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F36B7" w14:textId="77777777" w:rsidR="00967072" w:rsidRDefault="00967072">
      <w:pPr>
        <w:pStyle w:val="Header"/>
        <w:tabs>
          <w:tab w:val="clear" w:pos="4153"/>
          <w:tab w:val="clear" w:pos="8306"/>
        </w:tabs>
      </w:pPr>
    </w:p>
    <w:p w14:paraId="707F36B8" w14:textId="6DC40E8F" w:rsidR="00967072" w:rsidRDefault="00055839">
      <w:r>
        <w:rPr>
          <w:noProof/>
        </w:rPr>
        <w:drawing>
          <wp:inline distT="0" distB="0" distL="0" distR="0" wp14:anchorId="156F734C" wp14:editId="17389EAC">
            <wp:extent cx="1762371" cy="66684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36B9" w14:textId="77777777" w:rsidR="00967072" w:rsidRDefault="00967072"/>
    <w:p w14:paraId="707F36BA" w14:textId="77777777" w:rsidR="00967072" w:rsidRDefault="00967072">
      <w:pPr>
        <w:pStyle w:val="Header"/>
        <w:tabs>
          <w:tab w:val="clear" w:pos="4153"/>
          <w:tab w:val="clear" w:pos="8306"/>
        </w:tabs>
      </w:pPr>
    </w:p>
    <w:p w14:paraId="707F36BB" w14:textId="77777777" w:rsidR="00967072" w:rsidRDefault="00967072"/>
    <w:p w14:paraId="707F36BC" w14:textId="77777777" w:rsidR="00967072" w:rsidRDefault="00967072"/>
    <w:p w14:paraId="08DD4CAA" w14:textId="7A88461C" w:rsidR="006A49D7" w:rsidRPr="0054106F" w:rsidRDefault="00055839" w:rsidP="006A49D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National </w:t>
      </w:r>
      <w:r w:rsidR="006A49D7" w:rsidRPr="0054106F">
        <w:rPr>
          <w:rFonts w:ascii="Arial" w:hAnsi="Arial" w:cs="Arial"/>
          <w:b/>
          <w:spacing w:val="-3"/>
          <w:sz w:val="28"/>
          <w:szCs w:val="28"/>
        </w:rPr>
        <w:t>Highways Limited</w:t>
      </w:r>
    </w:p>
    <w:p w14:paraId="707F36BD" w14:textId="77777777" w:rsidR="00967072" w:rsidRDefault="00967072">
      <w:pPr>
        <w:pStyle w:val="Header"/>
        <w:tabs>
          <w:tab w:val="clear" w:pos="4153"/>
          <w:tab w:val="clear" w:pos="8306"/>
        </w:tabs>
      </w:pPr>
    </w:p>
    <w:p w14:paraId="707F36BE" w14:textId="77777777" w:rsidR="00967072" w:rsidRDefault="00967072"/>
    <w:p w14:paraId="707F36BF" w14:textId="77777777" w:rsidR="00967072" w:rsidRDefault="00967072"/>
    <w:p w14:paraId="707F36C0" w14:textId="77777777" w:rsidR="008E4B6C" w:rsidRDefault="008E4B6C"/>
    <w:p w14:paraId="707F36C1" w14:textId="77777777" w:rsidR="00967072" w:rsidRDefault="00967072"/>
    <w:p w14:paraId="707F36C2" w14:textId="77777777" w:rsidR="00967072" w:rsidRDefault="00967072">
      <w:pPr>
        <w:jc w:val="center"/>
        <w:rPr>
          <w:rFonts w:ascii="Arial" w:hAnsi="Arial"/>
          <w:b/>
          <w:sz w:val="44"/>
        </w:rPr>
      </w:pPr>
    </w:p>
    <w:p w14:paraId="707F36C4" w14:textId="34360EAA" w:rsidR="00B43F42" w:rsidRDefault="00B43F42">
      <w:pPr>
        <w:jc w:val="center"/>
        <w:rPr>
          <w:rFonts w:ascii="Arial" w:hAnsi="Arial"/>
          <w:b/>
          <w:sz w:val="44"/>
        </w:rPr>
      </w:pPr>
    </w:p>
    <w:p w14:paraId="707F36C5" w14:textId="77777777" w:rsidR="00265A11" w:rsidRPr="006A49D7" w:rsidRDefault="00265A11">
      <w:pPr>
        <w:jc w:val="center"/>
        <w:rPr>
          <w:rFonts w:ascii="Arial" w:hAnsi="Arial"/>
          <w:b/>
          <w:sz w:val="40"/>
          <w:szCs w:val="40"/>
        </w:rPr>
      </w:pPr>
    </w:p>
    <w:p w14:paraId="707F36C6" w14:textId="0CCF273B" w:rsidR="00265A11" w:rsidRPr="00327D5D" w:rsidRDefault="00265A11" w:rsidP="00265A11">
      <w:pPr>
        <w:jc w:val="center"/>
        <w:rPr>
          <w:rFonts w:ascii="Arial" w:hAnsi="Arial" w:cs="Arial"/>
          <w:b/>
          <w:sz w:val="40"/>
          <w:szCs w:val="40"/>
        </w:rPr>
      </w:pPr>
      <w:r w:rsidRPr="00327D5D">
        <w:rPr>
          <w:rFonts w:ascii="Arial" w:hAnsi="Arial" w:cs="Arial"/>
          <w:b/>
          <w:sz w:val="40"/>
          <w:szCs w:val="40"/>
        </w:rPr>
        <w:t>Scope</w:t>
      </w:r>
    </w:p>
    <w:p w14:paraId="707F36C7" w14:textId="77777777" w:rsidR="00B43F42" w:rsidRPr="006A49D7" w:rsidRDefault="00B43F42">
      <w:pPr>
        <w:jc w:val="center"/>
        <w:rPr>
          <w:rFonts w:ascii="Arial" w:hAnsi="Arial"/>
          <w:b/>
          <w:sz w:val="40"/>
          <w:szCs w:val="40"/>
        </w:rPr>
      </w:pPr>
    </w:p>
    <w:p w14:paraId="32E16A7A" w14:textId="03276BBC" w:rsidR="00A965A5" w:rsidRPr="00BD6D2B" w:rsidRDefault="00BD6D2B" w:rsidP="00A965A5">
      <w:pPr>
        <w:jc w:val="center"/>
        <w:rPr>
          <w:rFonts w:ascii="Arial" w:hAnsi="Arial" w:cs="Arial"/>
          <w:b/>
          <w:sz w:val="40"/>
          <w:szCs w:val="40"/>
        </w:rPr>
      </w:pPr>
      <w:r w:rsidRPr="00BD6D2B">
        <w:rPr>
          <w:rFonts w:ascii="Arial" w:hAnsi="Arial"/>
          <w:b/>
          <w:sz w:val="40"/>
          <w:szCs w:val="40"/>
        </w:rPr>
        <w:t>Data Protection</w:t>
      </w:r>
    </w:p>
    <w:p w14:paraId="0B2C5865" w14:textId="77777777" w:rsidR="00A965A5" w:rsidRDefault="00A965A5" w:rsidP="00A965A5">
      <w:pPr>
        <w:jc w:val="center"/>
        <w:rPr>
          <w:rFonts w:ascii="Arial" w:hAnsi="Arial" w:cs="Arial"/>
          <w:b/>
          <w:sz w:val="40"/>
          <w:szCs w:val="40"/>
        </w:rPr>
      </w:pPr>
    </w:p>
    <w:p w14:paraId="707F36CC" w14:textId="3AEEA652" w:rsidR="00967072" w:rsidRPr="006A49D7" w:rsidRDefault="00A965A5" w:rsidP="00A965A5">
      <w:pPr>
        <w:jc w:val="center"/>
        <w:rPr>
          <w:rFonts w:ascii="Arial" w:hAnsi="Arial"/>
          <w:b/>
          <w:color w:val="FF0000"/>
          <w:sz w:val="40"/>
          <w:szCs w:val="40"/>
        </w:rPr>
        <w:sectPr w:rsidR="00967072" w:rsidRPr="006A49D7">
          <w:headerReference w:type="default" r:id="rId12"/>
          <w:footerReference w:type="default" r:id="rId13"/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  <w:r w:rsidRPr="006A49D7">
        <w:rPr>
          <w:rFonts w:ascii="Arial" w:hAnsi="Arial" w:cs="Arial"/>
          <w:b/>
          <w:sz w:val="40"/>
          <w:szCs w:val="40"/>
        </w:rPr>
        <w:t>Annex</w:t>
      </w:r>
      <w:r w:rsidRPr="00C63997">
        <w:rPr>
          <w:rFonts w:ascii="Arial" w:hAnsi="Arial" w:cs="Arial"/>
          <w:b/>
          <w:sz w:val="40"/>
          <w:szCs w:val="40"/>
        </w:rPr>
        <w:t xml:space="preserve"> </w:t>
      </w:r>
      <w:r w:rsidR="001A3664">
        <w:rPr>
          <w:rFonts w:ascii="Arial" w:hAnsi="Arial" w:cs="Arial"/>
          <w:b/>
          <w:sz w:val="40"/>
          <w:szCs w:val="40"/>
        </w:rPr>
        <w:t>0</w:t>
      </w:r>
      <w:r w:rsidR="00CF008F">
        <w:rPr>
          <w:rFonts w:ascii="Arial" w:hAnsi="Arial" w:cs="Arial"/>
          <w:b/>
          <w:sz w:val="40"/>
          <w:szCs w:val="40"/>
        </w:rPr>
        <w:t>8</w:t>
      </w:r>
    </w:p>
    <w:p w14:paraId="707F36CD" w14:textId="77777777" w:rsidR="00967072" w:rsidRDefault="00967072">
      <w:pPr>
        <w:spacing w:before="240"/>
        <w:jc w:val="center"/>
        <w:rPr>
          <w:rFonts w:ascii="Arial" w:hAnsi="Arial"/>
          <w:b/>
          <w:sz w:val="28"/>
        </w:rPr>
      </w:pPr>
    </w:p>
    <w:p w14:paraId="707F36CF" w14:textId="737603CB" w:rsidR="00967072" w:rsidRDefault="00967072" w:rsidP="00400847">
      <w:pPr>
        <w:spacing w:before="120" w:after="1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CONTENTS AMENDMENT SHEET</w:t>
      </w:r>
    </w:p>
    <w:p w14:paraId="69C92166" w14:textId="01BA3772" w:rsidR="008A0C96" w:rsidRPr="000864EF" w:rsidRDefault="008A0C96" w:rsidP="00F90B4D">
      <w:pPr>
        <w:spacing w:line="288" w:lineRule="auto"/>
        <w:jc w:val="center"/>
        <w:rPr>
          <w:rFonts w:ascii="Arial" w:hAnsi="Arial" w:cs="Arial"/>
          <w:color w:val="FF0000"/>
        </w:rPr>
      </w:pPr>
    </w:p>
    <w:p w14:paraId="707F36D0" w14:textId="68FEBB44" w:rsidR="004B080B" w:rsidRDefault="004B080B">
      <w:pPr>
        <w:pStyle w:val="Header"/>
        <w:tabs>
          <w:tab w:val="clear" w:pos="4153"/>
          <w:tab w:val="clear" w:pos="8306"/>
        </w:tabs>
      </w:pPr>
    </w:p>
    <w:p w14:paraId="0F6311AC" w14:textId="77777777" w:rsidR="008A0C96" w:rsidRDefault="008A0C96">
      <w:pPr>
        <w:pStyle w:val="Header"/>
        <w:tabs>
          <w:tab w:val="clear" w:pos="4153"/>
          <w:tab w:val="clear" w:pos="8306"/>
        </w:tabs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88"/>
        <w:gridCol w:w="3969"/>
        <w:gridCol w:w="963"/>
        <w:gridCol w:w="1305"/>
      </w:tblGrid>
      <w:tr w:rsidR="00B27FB9" w:rsidRPr="00B27FB9" w14:paraId="707F36D6" w14:textId="77777777" w:rsidTr="00B73658"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1" w14:textId="79A9FD47" w:rsidR="00B27FB9" w:rsidRPr="00B27FB9" w:rsidRDefault="00400847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>Issue</w:t>
            </w:r>
            <w:r w:rsidR="00B27FB9" w:rsidRPr="00B27FB9">
              <w:rPr>
                <w:rFonts w:ascii="Arial" w:eastAsia="Calibri" w:hAnsi="Arial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2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Revision No.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3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Amendments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4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Initials</w:t>
            </w:r>
          </w:p>
        </w:tc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5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Date</w:t>
            </w:r>
          </w:p>
        </w:tc>
      </w:tr>
      <w:tr w:rsidR="00400847" w:rsidRPr="00B27FB9" w14:paraId="707F36DC" w14:textId="77777777" w:rsidTr="003D4512">
        <w:tc>
          <w:tcPr>
            <w:tcW w:w="1080" w:type="dxa"/>
            <w:tcBorders>
              <w:top w:val="double" w:sz="4" w:space="0" w:color="auto"/>
            </w:tcBorders>
          </w:tcPr>
          <w:p w14:paraId="707F36D7" w14:textId="0221B877" w:rsidR="00400847" w:rsidRPr="008A0C96" w:rsidRDefault="00400847" w:rsidP="00400847">
            <w:pPr>
              <w:spacing w:before="120" w:after="120" w:line="276" w:lineRule="auto"/>
              <w:jc w:val="center"/>
              <w:rPr>
                <w:rFonts w:ascii="Arial" w:eastAsia="Calibri" w:hAnsi="Arial"/>
                <w:color w:val="FF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</w:tcPr>
          <w:p w14:paraId="707F36D8" w14:textId="14404EF5" w:rsidR="00400847" w:rsidRPr="008A0C96" w:rsidRDefault="00400847" w:rsidP="00400847">
            <w:pPr>
              <w:spacing w:before="120" w:after="120" w:line="276" w:lineRule="auto"/>
              <w:jc w:val="center"/>
              <w:rPr>
                <w:rFonts w:ascii="Arial" w:eastAsia="Calibri" w:hAnsi="Arial"/>
                <w:color w:val="FF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D9" w14:textId="0629FFA0" w:rsidR="00400847" w:rsidRPr="008A0C96" w:rsidRDefault="00400847" w:rsidP="00400847">
            <w:pPr>
              <w:spacing w:before="120" w:after="120" w:line="276" w:lineRule="auto"/>
              <w:rPr>
                <w:rFonts w:ascii="Arial" w:eastAsia="Calibri" w:hAnsi="Arial"/>
                <w:color w:val="FF0000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DA" w14:textId="2C8BB1A0" w:rsidR="00400847" w:rsidRPr="008A0C96" w:rsidRDefault="00400847" w:rsidP="00400847">
            <w:pPr>
              <w:spacing w:before="120" w:after="120" w:line="276" w:lineRule="auto"/>
              <w:jc w:val="center"/>
              <w:rPr>
                <w:rFonts w:ascii="Arial" w:eastAsia="Calibri" w:hAnsi="Arial"/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DB" w14:textId="6A49CEB4" w:rsidR="00400847" w:rsidRPr="008A0C96" w:rsidRDefault="00400847" w:rsidP="00400847">
            <w:pPr>
              <w:spacing w:before="120" w:after="120" w:line="276" w:lineRule="auto"/>
              <w:jc w:val="center"/>
              <w:rPr>
                <w:rFonts w:ascii="Arial" w:eastAsia="Calibri" w:hAnsi="Arial"/>
                <w:color w:val="FF0000"/>
                <w:sz w:val="22"/>
                <w:szCs w:val="22"/>
              </w:rPr>
            </w:pPr>
          </w:p>
        </w:tc>
      </w:tr>
      <w:tr w:rsidR="00400847" w:rsidRPr="00B27FB9" w14:paraId="707F36E2" w14:textId="77777777" w:rsidTr="00B73658">
        <w:tc>
          <w:tcPr>
            <w:tcW w:w="1080" w:type="dxa"/>
          </w:tcPr>
          <w:p w14:paraId="707F36DD" w14:textId="2A428052" w:rsidR="00400847" w:rsidRPr="00E970A4" w:rsidRDefault="00400847" w:rsidP="0040084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DE" w14:textId="056C63EF" w:rsidR="00400847" w:rsidRPr="00E970A4" w:rsidRDefault="00400847" w:rsidP="0040084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DF" w14:textId="47B1A74F" w:rsidR="00400847" w:rsidRPr="00E970A4" w:rsidRDefault="00400847" w:rsidP="00400847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E0" w14:textId="58C63A26" w:rsidR="00400847" w:rsidRPr="00E970A4" w:rsidRDefault="00400847" w:rsidP="0040084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E1" w14:textId="62AE6E31" w:rsidR="00400847" w:rsidRPr="00E970A4" w:rsidRDefault="00400847" w:rsidP="0040084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2193" w:rsidRPr="00B27FB9" w14:paraId="707F36E8" w14:textId="77777777" w:rsidTr="00B73658">
        <w:tc>
          <w:tcPr>
            <w:tcW w:w="1080" w:type="dxa"/>
          </w:tcPr>
          <w:p w14:paraId="707F36E3" w14:textId="1D9109E5" w:rsidR="00D72193" w:rsidRPr="00E970A4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E4" w14:textId="646F515B" w:rsidR="00D72193" w:rsidRPr="00E970A4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E5" w14:textId="333DC9B1" w:rsidR="00D72193" w:rsidRPr="00E970A4" w:rsidRDefault="00D72193" w:rsidP="00D72193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E6" w14:textId="74EFEC01" w:rsidR="00D72193" w:rsidRPr="00E970A4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E7" w14:textId="5441A1FB" w:rsidR="00D72193" w:rsidRPr="00E970A4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2193" w:rsidRPr="00B27FB9" w14:paraId="707F36EE" w14:textId="77777777" w:rsidTr="00B73658">
        <w:tc>
          <w:tcPr>
            <w:tcW w:w="1080" w:type="dxa"/>
          </w:tcPr>
          <w:p w14:paraId="707F36E9" w14:textId="4B31DFDB" w:rsidR="00D72193" w:rsidRPr="00E970A4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EA" w14:textId="5FC6081B" w:rsidR="00D72193" w:rsidRPr="00E970A4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EB" w14:textId="319943AD" w:rsidR="00D72193" w:rsidRPr="00E970A4" w:rsidRDefault="00D72193" w:rsidP="00D72193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EC" w14:textId="79579FC5" w:rsidR="00D72193" w:rsidRPr="00E970A4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ED" w14:textId="60355701" w:rsidR="00D72193" w:rsidRPr="00E970A4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E0A7F" w14:paraId="1FD4F636" w14:textId="77777777" w:rsidTr="00BE0A7F"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6743E7" w14:textId="3365A1D2" w:rsidR="00BE0A7F" w:rsidRDefault="00BE0A7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F425" w14:textId="70276BF6" w:rsidR="00BE0A7F" w:rsidRDefault="00BE0A7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99D" w14:textId="2012111E" w:rsidR="00BE0A7F" w:rsidRDefault="00BE0A7F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4A3" w14:textId="7E7315A3" w:rsidR="00BE0A7F" w:rsidRDefault="00BE0A7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932A91" w14:textId="5365AB8D" w:rsidR="00BE0A7F" w:rsidRDefault="00BE0A7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2193" w:rsidRPr="00B27FB9" w14:paraId="707F36FA" w14:textId="77777777" w:rsidTr="00B73658">
        <w:tc>
          <w:tcPr>
            <w:tcW w:w="1080" w:type="dxa"/>
          </w:tcPr>
          <w:p w14:paraId="707F36F5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F6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F7" w14:textId="77777777" w:rsidR="00D72193" w:rsidRPr="00B27FB9" w:rsidRDefault="00D72193" w:rsidP="00D72193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F8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F9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72193" w:rsidRPr="00B27FB9" w14:paraId="707F3700" w14:textId="77777777" w:rsidTr="00B73658">
        <w:tc>
          <w:tcPr>
            <w:tcW w:w="1080" w:type="dxa"/>
          </w:tcPr>
          <w:p w14:paraId="707F36FB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FC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FD" w14:textId="77777777" w:rsidR="00D72193" w:rsidRPr="00B27FB9" w:rsidRDefault="00D72193" w:rsidP="00D72193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FE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FF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D72193" w:rsidRPr="00B27FB9" w14:paraId="707F3706" w14:textId="77777777" w:rsidTr="00B73658">
        <w:tc>
          <w:tcPr>
            <w:tcW w:w="1080" w:type="dxa"/>
          </w:tcPr>
          <w:p w14:paraId="707F3701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702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703" w14:textId="77777777" w:rsidR="00D72193" w:rsidRPr="00B27FB9" w:rsidRDefault="00D72193" w:rsidP="00D72193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704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705" w14:textId="77777777" w:rsidR="00D72193" w:rsidRPr="00B27FB9" w:rsidRDefault="00D72193" w:rsidP="00D72193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707F3707" w14:textId="77777777" w:rsidR="002D59BB" w:rsidRDefault="002D59BB" w:rsidP="004B080B">
      <w:pPr>
        <w:spacing w:before="240" w:after="240"/>
        <w:jc w:val="center"/>
      </w:pPr>
    </w:p>
    <w:p w14:paraId="707F3708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9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A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B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C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D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E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0F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10" w14:textId="77777777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11" w14:textId="165E3C2C" w:rsidR="00E306C4" w:rsidRDefault="00E306C4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38372A6B" w14:textId="5F68BF8A" w:rsidR="00400847" w:rsidRDefault="00400847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508908F1" w14:textId="77777777" w:rsidR="00400847" w:rsidRDefault="00400847" w:rsidP="004B080B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</w:p>
    <w:p w14:paraId="707F3713" w14:textId="3DFD8177" w:rsidR="002D59BB" w:rsidRPr="00A75EDD" w:rsidRDefault="00A75EDD" w:rsidP="00A75EDD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LIST OF CONTENTS</w:t>
      </w:r>
    </w:p>
    <w:p w14:paraId="707F3714" w14:textId="77777777" w:rsidR="002D59BB" w:rsidRDefault="002D59BB" w:rsidP="004B080B">
      <w:pPr>
        <w:spacing w:before="240" w:after="240"/>
        <w:jc w:val="center"/>
        <w:rPr>
          <w:rFonts w:ascii="Arial" w:hAnsi="Arial"/>
          <w:b/>
          <w:sz w:val="22"/>
        </w:rPr>
      </w:pPr>
    </w:p>
    <w:p w14:paraId="707F3715" w14:textId="77777777" w:rsidR="001B3946" w:rsidRPr="00E970A4" w:rsidRDefault="001B3946" w:rsidP="004B080B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</w:p>
    <w:p w14:paraId="49003DCA" w14:textId="2C146970" w:rsidR="00BE13A8" w:rsidRDefault="00D935EE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en-GB"/>
        </w:rPr>
      </w:pPr>
      <w:r>
        <w:rPr>
          <w:b w:val="0"/>
          <w:iCs/>
          <w:caps w:val="0"/>
          <w:color w:val="0000FF"/>
          <w:szCs w:val="22"/>
          <w:u w:val="single"/>
        </w:rPr>
        <w:fldChar w:fldCharType="begin"/>
      </w:r>
      <w:r>
        <w:rPr>
          <w:b w:val="0"/>
          <w:iCs/>
          <w:caps w:val="0"/>
          <w:color w:val="0000FF"/>
          <w:szCs w:val="22"/>
          <w:u w:val="single"/>
        </w:rPr>
        <w:instrText xml:space="preserve"> TOC \o "1-2" </w:instrText>
      </w:r>
      <w:r>
        <w:rPr>
          <w:b w:val="0"/>
          <w:iCs/>
          <w:caps w:val="0"/>
          <w:color w:val="0000FF"/>
          <w:szCs w:val="22"/>
          <w:u w:val="single"/>
        </w:rPr>
        <w:fldChar w:fldCharType="separate"/>
      </w:r>
      <w:r w:rsidR="00BE13A8">
        <w:rPr>
          <w:noProof/>
        </w:rPr>
        <w:t>1</w:t>
      </w:r>
      <w:r w:rsidR="00BE13A8"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en-GB"/>
        </w:rPr>
        <w:tab/>
      </w:r>
      <w:r w:rsidR="00BE13A8">
        <w:rPr>
          <w:noProof/>
        </w:rPr>
        <w:t>DATA PROTECTION</w:t>
      </w:r>
      <w:r w:rsidR="00BE13A8">
        <w:rPr>
          <w:noProof/>
        </w:rPr>
        <w:tab/>
      </w:r>
      <w:r w:rsidR="00BE13A8">
        <w:rPr>
          <w:noProof/>
        </w:rPr>
        <w:fldChar w:fldCharType="begin"/>
      </w:r>
      <w:r w:rsidR="00BE13A8">
        <w:rPr>
          <w:noProof/>
        </w:rPr>
        <w:instrText xml:space="preserve"> PAGEREF _Toc74211515 \h </w:instrText>
      </w:r>
      <w:r w:rsidR="00BE13A8">
        <w:rPr>
          <w:noProof/>
        </w:rPr>
      </w:r>
      <w:r w:rsidR="00BE13A8">
        <w:rPr>
          <w:noProof/>
        </w:rPr>
        <w:fldChar w:fldCharType="separate"/>
      </w:r>
      <w:r w:rsidR="00BE13A8">
        <w:rPr>
          <w:noProof/>
        </w:rPr>
        <w:t>4</w:t>
      </w:r>
      <w:r w:rsidR="00BE13A8">
        <w:rPr>
          <w:noProof/>
        </w:rPr>
        <w:fldChar w:fldCharType="end"/>
      </w:r>
    </w:p>
    <w:p w14:paraId="294F4F0B" w14:textId="2CBC83CE" w:rsidR="00BE13A8" w:rsidRDefault="00BE13A8">
      <w:pPr>
        <w:pStyle w:val="TOC2"/>
        <w:tabs>
          <w:tab w:val="left" w:pos="720"/>
          <w:tab w:val="right" w:leader="dot" w:pos="8302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szCs w:val="22"/>
          <w:lang w:eastAsia="en-GB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bCs w:val="0"/>
          <w:iCs w:val="0"/>
          <w:noProof/>
          <w:sz w:val="22"/>
          <w:szCs w:val="22"/>
          <w:lang w:eastAsia="en-GB"/>
        </w:rPr>
        <w:tab/>
      </w:r>
      <w:r>
        <w:rPr>
          <w:noProof/>
        </w:rPr>
        <w:t>Data Protection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_Toc74211516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298189C" w14:textId="2244AE58" w:rsidR="00BE13A8" w:rsidRDefault="00BE13A8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en-GB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en-GB"/>
        </w:rPr>
        <w:tab/>
      </w:r>
      <w:r>
        <w:rPr>
          <w:noProof/>
        </w:rPr>
        <w:t>DATA PROTECTION (SCHEDULE 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_Toc74211517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FF4FAAD" w14:textId="16513854" w:rsidR="00BE13A8" w:rsidRDefault="00BE13A8">
      <w:pPr>
        <w:pStyle w:val="TOC2"/>
        <w:tabs>
          <w:tab w:val="left" w:pos="720"/>
          <w:tab w:val="right" w:leader="dot" w:pos="8302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szCs w:val="22"/>
          <w:lang w:eastAsia="en-GB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bCs w:val="0"/>
          <w:iCs w:val="0"/>
          <w:noProof/>
          <w:sz w:val="22"/>
          <w:szCs w:val="22"/>
          <w:lang w:eastAsia="en-GB"/>
        </w:rPr>
        <w:tab/>
      </w:r>
      <w:r>
        <w:rPr>
          <w:noProof/>
        </w:rPr>
        <w:t>Schedule A – Processing, Personal Data and Data Subjects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_Toc74211518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07F371D" w14:textId="318EA943" w:rsidR="00967072" w:rsidRPr="00A52E7E" w:rsidRDefault="00D935EE" w:rsidP="00E86E5E">
      <w:pPr>
        <w:pStyle w:val="TOC2"/>
        <w:tabs>
          <w:tab w:val="left" w:pos="480"/>
          <w:tab w:val="right" w:leader="dot" w:pos="8302"/>
        </w:tabs>
        <w:rPr>
          <w:rFonts w:eastAsiaTheme="minorEastAsia"/>
          <w:b/>
          <w:bCs w:val="0"/>
          <w:iCs w:val="0"/>
          <w:noProof/>
          <w:sz w:val="24"/>
          <w:szCs w:val="24"/>
          <w:lang w:eastAsia="en-GB"/>
        </w:rPr>
        <w:sectPr w:rsidR="00967072" w:rsidRPr="00A52E7E"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  <w:r>
        <w:rPr>
          <w:b/>
          <w:iCs w:val="0"/>
          <w:caps/>
          <w:color w:val="0000FF"/>
          <w:sz w:val="22"/>
          <w:szCs w:val="22"/>
          <w:u w:val="single"/>
        </w:rPr>
        <w:fldChar w:fldCharType="end"/>
      </w:r>
    </w:p>
    <w:tbl>
      <w:tblPr>
        <w:tblW w:w="5420" w:type="pct"/>
        <w:jc w:val="center"/>
        <w:tblLayout w:type="fixed"/>
        <w:tblLook w:val="04A0" w:firstRow="1" w:lastRow="0" w:firstColumn="1" w:lastColumn="0" w:noHBand="0" w:noVBand="1"/>
      </w:tblPr>
      <w:tblGrid>
        <w:gridCol w:w="1436"/>
        <w:gridCol w:w="7574"/>
      </w:tblGrid>
      <w:tr w:rsidR="0008739C" w:rsidRPr="0008739C" w14:paraId="7ACC11FD" w14:textId="77777777" w:rsidTr="2FFDBA53">
        <w:trPr>
          <w:jc w:val="center"/>
        </w:trPr>
        <w:tc>
          <w:tcPr>
            <w:tcW w:w="5000" w:type="pct"/>
            <w:gridSpan w:val="2"/>
            <w:shd w:val="clear" w:color="auto" w:fill="17365D" w:themeFill="text2" w:themeFillShade="BF"/>
          </w:tcPr>
          <w:p w14:paraId="35EDB1D5" w14:textId="17371095" w:rsidR="0008739C" w:rsidRPr="0008739C" w:rsidRDefault="00BD6D2B" w:rsidP="0008739C">
            <w:pPr>
              <w:pStyle w:val="Heading1"/>
              <w:spacing w:before="120" w:after="120" w:line="276" w:lineRule="auto"/>
              <w:rPr>
                <w:szCs w:val="22"/>
              </w:rPr>
            </w:pPr>
            <w:bookmarkStart w:id="0" w:name="_Toc285117922"/>
            <w:bookmarkStart w:id="1" w:name="_Toc285117924"/>
            <w:bookmarkStart w:id="2" w:name="_Toc285117925"/>
            <w:bookmarkStart w:id="3" w:name="_Toc285117926"/>
            <w:bookmarkStart w:id="4" w:name="_Toc285117927"/>
            <w:bookmarkStart w:id="5" w:name="_Toc285117928"/>
            <w:bookmarkStart w:id="6" w:name="_Toc285117929"/>
            <w:bookmarkStart w:id="7" w:name="_Toc285117930"/>
            <w:bookmarkStart w:id="8" w:name="_Toc285117931"/>
            <w:bookmarkStart w:id="9" w:name="_Toc285117932"/>
            <w:bookmarkStart w:id="10" w:name="_Toc74211515"/>
            <w:bookmarkStart w:id="11" w:name="_Hlk10184711"/>
            <w:bookmarkStart w:id="12" w:name="_Hlk996151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szCs w:val="22"/>
              </w:rPr>
              <w:lastRenderedPageBreak/>
              <w:t>DATA PROTECTION</w:t>
            </w:r>
            <w:bookmarkEnd w:id="10"/>
          </w:p>
        </w:tc>
      </w:tr>
      <w:tr w:rsidR="0008739C" w:rsidRPr="0008739C" w14:paraId="26B378ED" w14:textId="77777777" w:rsidTr="2FFDBA53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9BA9A05" w14:textId="231D0973" w:rsidR="0008739C" w:rsidRPr="0008739C" w:rsidRDefault="00BD6D2B" w:rsidP="000E1517">
            <w:pPr>
              <w:pStyle w:val="Heading2"/>
              <w:spacing w:before="120" w:after="120" w:line="276" w:lineRule="auto"/>
              <w:rPr>
                <w:szCs w:val="22"/>
              </w:rPr>
            </w:pPr>
            <w:bookmarkStart w:id="13" w:name="_Toc74211516"/>
            <w:r>
              <w:rPr>
                <w:szCs w:val="22"/>
              </w:rPr>
              <w:t>Data Protection</w:t>
            </w:r>
            <w:bookmarkEnd w:id="13"/>
            <w:r>
              <w:rPr>
                <w:szCs w:val="22"/>
              </w:rPr>
              <w:t xml:space="preserve">  </w:t>
            </w:r>
          </w:p>
        </w:tc>
      </w:tr>
      <w:tr w:rsidR="0008739C" w:rsidRPr="00135EA1" w14:paraId="08603894" w14:textId="77777777" w:rsidTr="2FFDBA53">
        <w:trPr>
          <w:jc w:val="center"/>
        </w:trPr>
        <w:tc>
          <w:tcPr>
            <w:tcW w:w="797" w:type="pct"/>
          </w:tcPr>
          <w:p w14:paraId="6379E320" w14:textId="5F336AAF" w:rsidR="0008739C" w:rsidRPr="00135EA1" w:rsidRDefault="0008739C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3840C50C" w14:textId="6B91A1E9" w:rsidR="00BD6D2B" w:rsidRPr="00135EA1" w:rsidRDefault="00BD6D2B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EA1">
              <w:rPr>
                <w:rFonts w:ascii="Arial" w:hAnsi="Arial" w:cs="Arial"/>
                <w:sz w:val="22"/>
                <w:szCs w:val="22"/>
              </w:rPr>
              <w:t xml:space="preserve">For the purposes of </w:t>
            </w:r>
            <w:r w:rsidR="00D72193" w:rsidRPr="00135EA1">
              <w:rPr>
                <w:rFonts w:ascii="Arial" w:hAnsi="Arial" w:cs="Arial"/>
                <w:sz w:val="22"/>
                <w:szCs w:val="22"/>
              </w:rPr>
              <w:t>th</w:t>
            </w:r>
            <w:r w:rsidR="00D72193">
              <w:rPr>
                <w:rFonts w:ascii="Arial" w:hAnsi="Arial" w:cs="Arial"/>
                <w:sz w:val="22"/>
                <w:szCs w:val="22"/>
              </w:rPr>
              <w:t>e</w:t>
            </w:r>
            <w:r w:rsidR="00D72193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>contract and the Data Protection Legislation:</w:t>
            </w:r>
          </w:p>
          <w:p w14:paraId="27D422D2" w14:textId="6BF65C68" w:rsidR="00BD6D2B" w:rsidRPr="00135EA1" w:rsidRDefault="00BD6D2B" w:rsidP="008D7A8B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135EA1">
              <w:rPr>
                <w:rFonts w:ascii="Arial" w:hAnsi="Arial" w:cs="Arial"/>
              </w:rPr>
              <w:t xml:space="preserve">for the purposes of this </w:t>
            </w:r>
            <w:r w:rsidR="00D72193">
              <w:rPr>
                <w:rFonts w:ascii="Arial" w:hAnsi="Arial" w:cs="Arial"/>
              </w:rPr>
              <w:t>Annex</w:t>
            </w:r>
            <w:r w:rsidR="00D72193" w:rsidRPr="00135EA1">
              <w:rPr>
                <w:rFonts w:ascii="Arial" w:hAnsi="Arial" w:cs="Arial"/>
              </w:rPr>
              <w:t xml:space="preserve"> </w:t>
            </w:r>
            <w:r w:rsidRPr="00135EA1">
              <w:rPr>
                <w:rFonts w:ascii="Arial" w:hAnsi="Arial" w:cs="Arial"/>
              </w:rPr>
              <w:t>only the</w:t>
            </w:r>
            <w:r w:rsidRPr="00135EA1">
              <w:rPr>
                <w:rFonts w:ascii="Arial" w:hAnsi="Arial" w:cs="Arial"/>
                <w:i/>
                <w:color w:val="000000"/>
                <w:w w:val="0"/>
              </w:rPr>
              <w:t xml:space="preserve"> </w:t>
            </w:r>
            <w:r w:rsidRPr="00135EA1">
              <w:rPr>
                <w:rFonts w:ascii="Arial" w:hAnsi="Arial" w:cs="Arial"/>
                <w:i/>
                <w:w w:val="0"/>
              </w:rPr>
              <w:t>Client</w:t>
            </w:r>
            <w:r w:rsidR="001A3664" w:rsidRPr="00135EA1">
              <w:rPr>
                <w:rFonts w:ascii="Arial" w:hAnsi="Arial" w:cs="Arial"/>
              </w:rPr>
              <w:t xml:space="preserve"> </w:t>
            </w:r>
            <w:r w:rsidRPr="00135EA1">
              <w:rPr>
                <w:rFonts w:ascii="Arial" w:hAnsi="Arial" w:cs="Arial"/>
              </w:rPr>
              <w:t xml:space="preserve">is the </w:t>
            </w:r>
            <w:r w:rsidR="00465634">
              <w:rPr>
                <w:rFonts w:ascii="Arial" w:hAnsi="Arial" w:cs="Arial"/>
              </w:rPr>
              <w:t xml:space="preserve">Data </w:t>
            </w:r>
            <w:r w:rsidRPr="00135EA1">
              <w:rPr>
                <w:rFonts w:ascii="Arial" w:hAnsi="Arial" w:cs="Arial"/>
              </w:rPr>
              <w:t>Controller, and</w:t>
            </w:r>
          </w:p>
          <w:p w14:paraId="10489461" w14:textId="2D0AA9AC" w:rsidR="00BD6D2B" w:rsidRPr="00135EA1" w:rsidRDefault="00BD6D2B" w:rsidP="008D7A8B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135EA1">
              <w:rPr>
                <w:rFonts w:ascii="Arial" w:hAnsi="Arial" w:cs="Arial"/>
                <w:color w:val="000000"/>
                <w:w w:val="0"/>
              </w:rPr>
              <w:t xml:space="preserve">the </w:t>
            </w:r>
            <w:r w:rsidR="00DF288B" w:rsidRPr="2FFDBA53">
              <w:rPr>
                <w:rFonts w:ascii="Arial" w:hAnsi="Arial" w:cs="Arial"/>
                <w:i/>
                <w:iCs/>
              </w:rPr>
              <w:t>Consultant</w:t>
            </w:r>
            <w:r w:rsidR="00E54710" w:rsidRPr="00135EA1">
              <w:rPr>
                <w:rFonts w:ascii="Arial" w:hAnsi="Arial" w:cs="Arial"/>
              </w:rPr>
              <w:t xml:space="preserve"> </w:t>
            </w:r>
            <w:r w:rsidRPr="00135EA1">
              <w:rPr>
                <w:rFonts w:ascii="Arial" w:hAnsi="Arial" w:cs="Arial"/>
                <w:color w:val="000000"/>
                <w:w w:val="0"/>
              </w:rPr>
              <w:t>is the Processor</w:t>
            </w:r>
            <w:r w:rsidRPr="00135EA1">
              <w:rPr>
                <w:rFonts w:ascii="Arial" w:hAnsi="Arial" w:cs="Arial"/>
                <w:color w:val="FF0000"/>
                <w:w w:val="0"/>
              </w:rPr>
              <w:t xml:space="preserve"> </w:t>
            </w:r>
            <w:r w:rsidRPr="00135EA1">
              <w:rPr>
                <w:rFonts w:ascii="Arial" w:hAnsi="Arial" w:cs="Arial"/>
                <w:color w:val="000000"/>
                <w:w w:val="0"/>
              </w:rPr>
              <w:t>and</w:t>
            </w:r>
          </w:p>
          <w:p w14:paraId="560B3E41" w14:textId="2B0779A8" w:rsidR="0008739C" w:rsidRPr="00135EA1" w:rsidRDefault="00BD6D2B" w:rsidP="008D7A8B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135EA1">
              <w:rPr>
                <w:rFonts w:ascii="Arial" w:hAnsi="Arial" w:cs="Arial"/>
                <w:color w:val="000000"/>
                <w:w w:val="0"/>
              </w:rPr>
              <w:t xml:space="preserve">this </w:t>
            </w:r>
            <w:r w:rsidR="00D72193">
              <w:rPr>
                <w:rFonts w:ascii="Arial" w:hAnsi="Arial" w:cs="Arial"/>
                <w:color w:val="000000"/>
                <w:w w:val="0"/>
              </w:rPr>
              <w:t>Annex</w:t>
            </w:r>
            <w:r w:rsidR="00D72193" w:rsidRPr="00135EA1">
              <w:rPr>
                <w:rFonts w:ascii="Arial" w:hAnsi="Arial" w:cs="Arial"/>
                <w:color w:val="000000"/>
                <w:w w:val="0"/>
              </w:rPr>
              <w:t xml:space="preserve"> </w:t>
            </w:r>
            <w:r w:rsidRPr="00135EA1">
              <w:rPr>
                <w:rFonts w:ascii="Arial" w:hAnsi="Arial" w:cs="Arial"/>
                <w:color w:val="000000"/>
                <w:w w:val="0"/>
              </w:rPr>
              <w:t xml:space="preserve">and </w:t>
            </w:r>
            <w:r w:rsidR="00D72193" w:rsidRPr="2FFDBA53">
              <w:rPr>
                <w:rFonts w:ascii="Arial" w:hAnsi="Arial" w:cs="Arial"/>
                <w:w w:val="0"/>
              </w:rPr>
              <w:t>s</w:t>
            </w:r>
            <w:r w:rsidRPr="2FFDBA53">
              <w:rPr>
                <w:rFonts w:ascii="Arial" w:hAnsi="Arial" w:cs="Arial"/>
                <w:w w:val="0"/>
              </w:rPr>
              <w:t>chedule A (data protection) t</w:t>
            </w:r>
            <w:r w:rsidRPr="00135EA1">
              <w:rPr>
                <w:rFonts w:ascii="Arial" w:hAnsi="Arial" w:cs="Arial"/>
                <w:color w:val="000000"/>
                <w:w w:val="0"/>
              </w:rPr>
              <w:t>ogether constitute a data processing agreement where required by the Data Protection Legislation.</w:t>
            </w:r>
          </w:p>
        </w:tc>
      </w:tr>
      <w:tr w:rsidR="00716E70" w:rsidRPr="00135EA1" w14:paraId="0F5DCE4E" w14:textId="77777777" w:rsidTr="2FFDBA53">
        <w:trPr>
          <w:jc w:val="center"/>
        </w:trPr>
        <w:tc>
          <w:tcPr>
            <w:tcW w:w="797" w:type="pct"/>
          </w:tcPr>
          <w:p w14:paraId="3989382B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603C9645" w14:textId="2D02ADC0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EA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processes the Data in accordance with the Data Protection Legislation and only to the extent necessary for the purpose of Providing the 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>Service</w:t>
            </w:r>
            <w:r w:rsidRPr="00135E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6E70" w:rsidRPr="00135EA1" w14:paraId="1E134DC6" w14:textId="77777777" w:rsidTr="2FFDBA53">
        <w:trPr>
          <w:jc w:val="center"/>
        </w:trPr>
        <w:tc>
          <w:tcPr>
            <w:tcW w:w="797" w:type="pct"/>
          </w:tcPr>
          <w:p w14:paraId="0EF6A474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270FA400" w14:textId="6DABE269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EA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does not knowingly do anything or permit anything to be done which might lead to a breach of the Data Protection Legislation by either </w:t>
            </w:r>
            <w:r w:rsidR="00D72193">
              <w:rPr>
                <w:rFonts w:ascii="Arial" w:hAnsi="Arial" w:cs="Arial"/>
                <w:sz w:val="22"/>
                <w:szCs w:val="22"/>
              </w:rPr>
              <w:t>p</w:t>
            </w:r>
            <w:r w:rsidRPr="00135EA1">
              <w:rPr>
                <w:rFonts w:ascii="Arial" w:hAnsi="Arial" w:cs="Arial"/>
                <w:sz w:val="22"/>
                <w:szCs w:val="22"/>
              </w:rPr>
              <w:t>arty.</w:t>
            </w:r>
          </w:p>
        </w:tc>
      </w:tr>
      <w:tr w:rsidR="00716E70" w:rsidRPr="00135EA1" w14:paraId="7E5717E1" w14:textId="77777777" w:rsidTr="2FFDBA53">
        <w:trPr>
          <w:jc w:val="center"/>
        </w:trPr>
        <w:tc>
          <w:tcPr>
            <w:tcW w:w="797" w:type="pct"/>
          </w:tcPr>
          <w:p w14:paraId="3CE2ACD0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5F0C84FF" w14:textId="1D36DAEF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EA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obtains and maintains until </w:t>
            </w:r>
            <w:r w:rsidR="00DF288B">
              <w:rPr>
                <w:rFonts w:ascii="Arial" w:hAnsi="Arial" w:cs="Arial"/>
                <w:sz w:val="22"/>
                <w:szCs w:val="22"/>
              </w:rPr>
              <w:t xml:space="preserve">Completion </w:t>
            </w:r>
            <w:r w:rsidRPr="00135EA1">
              <w:rPr>
                <w:rFonts w:ascii="Arial" w:hAnsi="Arial" w:cs="Arial"/>
                <w:sz w:val="22"/>
                <w:szCs w:val="22"/>
              </w:rPr>
              <w:t>all registrations and notifications that it is obliged to obtain and maintain pursuant to the Data Protection Legislation</w:t>
            </w:r>
            <w:r w:rsidR="001A3664">
              <w:rPr>
                <w:rFonts w:ascii="Arial" w:hAnsi="Arial" w:cs="Arial"/>
                <w:sz w:val="22"/>
                <w:szCs w:val="22"/>
              </w:rPr>
              <w:t xml:space="preserve"> (see link in </w:t>
            </w:r>
            <w:r w:rsidR="001A3664" w:rsidRPr="001A3664">
              <w:rPr>
                <w:rFonts w:ascii="Arial" w:hAnsi="Arial" w:cs="Arial"/>
                <w:b/>
                <w:sz w:val="22"/>
                <w:szCs w:val="22"/>
              </w:rPr>
              <w:t xml:space="preserve">Annex </w:t>
            </w:r>
            <w:r w:rsidR="00DF288B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1A3664" w:rsidRPr="001A366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A3664">
              <w:rPr>
                <w:rFonts w:ascii="Arial" w:hAnsi="Arial" w:cs="Arial"/>
                <w:sz w:val="22"/>
                <w:szCs w:val="22"/>
              </w:rPr>
              <w:t>)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 in respect of Providing the 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>Service</w:t>
            </w:r>
            <w:r w:rsidRPr="00135E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6E70" w:rsidRPr="00135EA1" w14:paraId="6C703D2B" w14:textId="77777777" w:rsidTr="2FFDBA53">
        <w:trPr>
          <w:jc w:val="center"/>
        </w:trPr>
        <w:tc>
          <w:tcPr>
            <w:tcW w:w="797" w:type="pct"/>
          </w:tcPr>
          <w:p w14:paraId="49385130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254C91C7" w14:textId="63DFCAFD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EA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>only processes Data to the extent it relates to</w:t>
            </w:r>
          </w:p>
          <w:p w14:paraId="05813FA9" w14:textId="77777777" w:rsidR="00716E70" w:rsidRPr="00135EA1" w:rsidRDefault="00716E70" w:rsidP="008D7A8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135EA1">
              <w:rPr>
                <w:rFonts w:ascii="Arial" w:hAnsi="Arial" w:cs="Arial"/>
                <w:iCs/>
                <w:color w:val="000000"/>
                <w:w w:val="0"/>
              </w:rPr>
              <w:t>the types of Data,</w:t>
            </w:r>
          </w:p>
          <w:p w14:paraId="4A73EAFE" w14:textId="77777777" w:rsidR="00716E70" w:rsidRPr="00135EA1" w:rsidRDefault="00716E70" w:rsidP="008D7A8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135EA1">
              <w:rPr>
                <w:rFonts w:ascii="Arial" w:hAnsi="Arial" w:cs="Arial"/>
                <w:iCs/>
                <w:color w:val="000000"/>
                <w:w w:val="0"/>
              </w:rPr>
              <w:t>the categories of Data Subject and</w:t>
            </w:r>
          </w:p>
          <w:p w14:paraId="5C0AFFBE" w14:textId="03B81617" w:rsidR="00716E70" w:rsidRPr="00135EA1" w:rsidRDefault="00716E70" w:rsidP="008D7A8B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135EA1">
              <w:rPr>
                <w:rFonts w:ascii="Arial" w:hAnsi="Arial" w:cs="Arial"/>
                <w:iCs/>
                <w:color w:val="000000"/>
                <w:w w:val="0"/>
              </w:rPr>
              <w:t>the nature and purpose</w:t>
            </w:r>
            <w:r w:rsidR="003D4512">
              <w:rPr>
                <w:rFonts w:ascii="Arial" w:hAnsi="Arial" w:cs="Arial"/>
                <w:iCs/>
                <w:color w:val="000000"/>
                <w:w w:val="0"/>
              </w:rPr>
              <w:t>.</w:t>
            </w:r>
            <w:r w:rsidRPr="00135EA1">
              <w:rPr>
                <w:rFonts w:ascii="Arial" w:hAnsi="Arial" w:cs="Arial"/>
                <w:iCs/>
              </w:rPr>
              <w:t xml:space="preserve"> </w:t>
            </w:r>
          </w:p>
          <w:p w14:paraId="108F81B9" w14:textId="2D020453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2FFDBA53">
              <w:rPr>
                <w:rFonts w:ascii="Arial" w:hAnsi="Arial" w:cs="Arial"/>
                <w:sz w:val="22"/>
                <w:szCs w:val="22"/>
              </w:rPr>
              <w:t xml:space="preserve">Set out in </w:t>
            </w:r>
            <w:r w:rsidRPr="2FFDBA53">
              <w:rPr>
                <w:rFonts w:ascii="Arial" w:hAnsi="Arial" w:cs="Arial"/>
                <w:w w:val="0"/>
                <w:sz w:val="22"/>
                <w:szCs w:val="22"/>
              </w:rPr>
              <w:t xml:space="preserve">Schedule A (data protection) </w:t>
            </w:r>
            <w:r w:rsidRPr="2FFDBA53">
              <w:rPr>
                <w:rFonts w:ascii="Arial" w:hAnsi="Arial" w:cs="Arial"/>
                <w:sz w:val="22"/>
                <w:szCs w:val="22"/>
              </w:rPr>
              <w:t xml:space="preserve">and only for the duration specified in </w:t>
            </w:r>
            <w:r w:rsidRPr="2FFDBA53">
              <w:rPr>
                <w:rFonts w:ascii="Arial" w:hAnsi="Arial" w:cs="Arial"/>
                <w:w w:val="0"/>
                <w:sz w:val="22"/>
                <w:szCs w:val="22"/>
              </w:rPr>
              <w:t>Schedule A (data protection)</w:t>
            </w:r>
            <w:r w:rsidRPr="2FFDBA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6E70" w:rsidRPr="00135EA1" w14:paraId="401A982C" w14:textId="77777777" w:rsidTr="2FFDBA53">
        <w:trPr>
          <w:jc w:val="center"/>
        </w:trPr>
        <w:tc>
          <w:tcPr>
            <w:tcW w:w="797" w:type="pct"/>
          </w:tcPr>
          <w:p w14:paraId="002F8A0A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3ACF5C74" w14:textId="56AA7CEE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EA1">
              <w:rPr>
                <w:rFonts w:ascii="Arial" w:hAnsi="Arial" w:cs="Arial"/>
                <w:iCs/>
                <w:sz w:val="22"/>
                <w:szCs w:val="22"/>
              </w:rPr>
              <w:t>Without prejudice</w:t>
            </w:r>
            <w:r w:rsidRPr="00135EA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 xml:space="preserve">to </w:t>
            </w:r>
            <w:r w:rsidR="00F90B4D">
              <w:rPr>
                <w:rFonts w:ascii="Arial" w:hAnsi="Arial" w:cs="Arial"/>
                <w:iCs/>
                <w:sz w:val="22"/>
                <w:szCs w:val="22"/>
              </w:rPr>
              <w:t xml:space="preserve">paragraph </w:t>
            </w:r>
            <w:r w:rsidR="00C63997">
              <w:rPr>
                <w:rFonts w:ascii="Arial" w:hAnsi="Arial" w:cs="Arial"/>
                <w:iCs/>
                <w:sz w:val="22"/>
                <w:szCs w:val="22"/>
              </w:rPr>
              <w:t xml:space="preserve">1.1.2 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 xml:space="preserve">processes the Data only in accordance with the instructions of the </w:t>
            </w:r>
            <w:r w:rsidR="004701E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1A3664" w:rsidRPr="00135EA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 xml:space="preserve">unless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>is required to process Data for other reasons under the laws of the</w:t>
            </w:r>
            <w:r w:rsidR="00F90B4D">
              <w:rPr>
                <w:rFonts w:ascii="Arial" w:hAnsi="Arial" w:cs="Arial"/>
                <w:iCs/>
                <w:sz w:val="22"/>
                <w:szCs w:val="22"/>
              </w:rPr>
              <w:t xml:space="preserve"> United Kingdom and the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 xml:space="preserve"> European Union (or a member state of the EEA) to which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 xml:space="preserve">is subject. If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 xml:space="preserve">is required to process the Data for these other reasons, it informs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135EA1" w:rsidRPr="00135EA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>before carrying out the processing, unless prohibited by relevant law.</w:t>
            </w:r>
          </w:p>
        </w:tc>
      </w:tr>
      <w:tr w:rsidR="00716E70" w:rsidRPr="00135EA1" w14:paraId="556EC591" w14:textId="77777777" w:rsidTr="2FFDBA53">
        <w:trPr>
          <w:jc w:val="center"/>
        </w:trPr>
        <w:tc>
          <w:tcPr>
            <w:tcW w:w="797" w:type="pct"/>
          </w:tcPr>
          <w:p w14:paraId="27845805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1B3182AC" w14:textId="551C0A4A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35EA1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 xml:space="preserve">immediately informs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135EA1"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iCs/>
                <w:sz w:val="22"/>
                <w:szCs w:val="22"/>
              </w:rPr>
              <w:t>if it believes that an instruction infringes the Data Protection Legislation or any other applicable law.</w:t>
            </w:r>
          </w:p>
        </w:tc>
      </w:tr>
      <w:tr w:rsidR="00716E70" w:rsidRPr="00135EA1" w14:paraId="0B549E85" w14:textId="77777777" w:rsidTr="2FFDBA53">
        <w:trPr>
          <w:jc w:val="center"/>
        </w:trPr>
        <w:tc>
          <w:tcPr>
            <w:tcW w:w="797" w:type="pct"/>
          </w:tcPr>
          <w:p w14:paraId="101D7623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2F432761" w14:textId="7E508452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4" w:name="_Hlk255004"/>
            <w:bookmarkStart w:id="15" w:name="_Hlk534971794"/>
            <w:r w:rsidRPr="00135EA1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4"/>
          </w:p>
          <w:p w14:paraId="5D5FE410" w14:textId="34797E87" w:rsidR="00F90B4D" w:rsidRPr="00EE6000" w:rsidRDefault="00F90B4D" w:rsidP="00F90B4D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EE6000">
              <w:rPr>
                <w:rFonts w:ascii="Arial" w:hAnsi="Arial" w:cs="Arial"/>
              </w:rPr>
              <w:lastRenderedPageBreak/>
              <w:t>implements and maintains Protective Measure</w:t>
            </w:r>
            <w:r w:rsidR="007A4212">
              <w:rPr>
                <w:rFonts w:ascii="Arial" w:hAnsi="Arial" w:cs="Arial"/>
              </w:rPr>
              <w:t>s</w:t>
            </w:r>
            <w:r w:rsidRPr="00EE6000">
              <w:rPr>
                <w:rFonts w:ascii="Arial" w:hAnsi="Arial" w:cs="Arial"/>
              </w:rPr>
              <w:t xml:space="preserve"> which </w:t>
            </w:r>
            <w:proofErr w:type="gramStart"/>
            <w:r w:rsidRPr="00EE6000">
              <w:rPr>
                <w:rFonts w:ascii="Arial" w:hAnsi="Arial" w:cs="Arial"/>
              </w:rPr>
              <w:t>take into account</w:t>
            </w:r>
            <w:proofErr w:type="gramEnd"/>
            <w:r w:rsidRPr="00EE6000">
              <w:rPr>
                <w:rFonts w:ascii="Arial" w:hAnsi="Arial" w:cs="Arial"/>
              </w:rPr>
              <w:t xml:space="preserve"> the nature, scope, context and purpose of processing the Data and</w:t>
            </w:r>
          </w:p>
          <w:p w14:paraId="426AEA49" w14:textId="7F8F5DC9" w:rsidR="00716E70" w:rsidRPr="00135EA1" w:rsidRDefault="00F90B4D" w:rsidP="008D7A8B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implements </w:t>
            </w:r>
            <w:r w:rsidR="00716E70" w:rsidRPr="00135EA1">
              <w:rPr>
                <w:rFonts w:ascii="Arial" w:hAnsi="Arial" w:cs="Arial"/>
              </w:rPr>
              <w:t>adequate security programmes and procedures to ensure that unauthorised persons do not have access to the Data or to any equipment used to process the Data.</w:t>
            </w:r>
          </w:p>
          <w:p w14:paraId="5549CD44" w14:textId="5ACF10EC" w:rsidR="00716E70" w:rsidRPr="00135EA1" w:rsidRDefault="00F90B4D" w:rsidP="00135EA1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Pr="006366CF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>
              <w:rPr>
                <w:rFonts w:ascii="Arial" w:hAnsi="Arial" w:cs="Arial"/>
                <w:sz w:val="22"/>
                <w:szCs w:val="22"/>
              </w:rPr>
              <w:t xml:space="preserve"> ensures its </w:t>
            </w:r>
            <w:r w:rsidR="00716E70" w:rsidRPr="00135EA1">
              <w:rPr>
                <w:rFonts w:ascii="Arial" w:hAnsi="Arial" w:cs="Arial"/>
                <w:iCs/>
                <w:sz w:val="22"/>
                <w:szCs w:val="22"/>
              </w:rPr>
              <w:t>processing is in accordance with the Data Protection Legislation and protects the rights of Data Subjects</w:t>
            </w:r>
            <w:bookmarkEnd w:id="15"/>
            <w:r w:rsidR="00716E70" w:rsidRPr="00135EA1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716E70" w:rsidRPr="00135EA1" w14:paraId="633399E5" w14:textId="77777777" w:rsidTr="2FFDBA53">
        <w:trPr>
          <w:jc w:val="center"/>
        </w:trPr>
        <w:tc>
          <w:tcPr>
            <w:tcW w:w="797" w:type="pct"/>
          </w:tcPr>
          <w:p w14:paraId="0AD29EE7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4D26C3D5" w14:textId="61EEEF09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35EA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submits details of its Protective Measures to the </w:t>
            </w:r>
            <w:r w:rsidRPr="001A3664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 for acceptance. A reason for not accepting them is that they are not appropriate to protect against a</w:t>
            </w:r>
            <w:r w:rsidR="00417AAA">
              <w:rPr>
                <w:rFonts w:ascii="Arial" w:hAnsi="Arial" w:cs="Arial"/>
                <w:sz w:val="22"/>
                <w:szCs w:val="22"/>
              </w:rPr>
              <w:t xml:space="preserve"> Security Incident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. Acceptance (or a failure to reject) by the </w:t>
            </w:r>
            <w:r w:rsidR="00E54710" w:rsidRPr="001A3664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="00E54710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does not amount to approval by the </w:t>
            </w:r>
            <w:r w:rsidR="00417AAA" w:rsidRPr="006366CF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="00417AAA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>of the adequacy of the Protective Measure</w:t>
            </w:r>
            <w:r w:rsidR="00417AAA">
              <w:rPr>
                <w:rFonts w:ascii="Arial" w:hAnsi="Arial" w:cs="Arial"/>
                <w:sz w:val="22"/>
                <w:szCs w:val="22"/>
              </w:rPr>
              <w:t>s</w:t>
            </w:r>
            <w:r w:rsidRPr="00135E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16E70" w:rsidRPr="00135EA1" w14:paraId="5D05B3DB" w14:textId="77777777" w:rsidTr="2FFDBA53">
        <w:trPr>
          <w:jc w:val="center"/>
        </w:trPr>
        <w:tc>
          <w:tcPr>
            <w:tcW w:w="797" w:type="pct"/>
          </w:tcPr>
          <w:p w14:paraId="106E27E8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6CFDBB42" w14:textId="08CCC9C1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ensures that all persons authorised to process Data are bound by obligations equivalent to those set out in this </w:t>
            </w:r>
            <w:r w:rsidR="00417AAA">
              <w:rPr>
                <w:rFonts w:ascii="Arial" w:hAnsi="Arial" w:cs="Arial"/>
                <w:iCs/>
                <w:sz w:val="22"/>
                <w:szCs w:val="22"/>
              </w:rPr>
              <w:t>Annex</w:t>
            </w:r>
            <w:r w:rsidR="00417AAA" w:rsidRPr="001A366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and are aware of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i/>
                <w:sz w:val="22"/>
                <w:szCs w:val="22"/>
              </w:rPr>
              <w:t>’s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obligations under the contract and the Data Protection Legislation.</w:t>
            </w:r>
          </w:p>
        </w:tc>
      </w:tr>
      <w:tr w:rsidR="00716E70" w:rsidRPr="00135EA1" w14:paraId="019B575E" w14:textId="77777777" w:rsidTr="2FFDBA53">
        <w:trPr>
          <w:jc w:val="center"/>
        </w:trPr>
        <w:tc>
          <w:tcPr>
            <w:tcW w:w="797" w:type="pct"/>
          </w:tcPr>
          <w:p w14:paraId="7AFCA9F3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4A10CD28" w14:textId="753FE402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ensures access to the Data is limited to those persons who need access in order for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to Provide the </w:t>
            </w:r>
            <w:r w:rsidR="001A3664">
              <w:rPr>
                <w:rFonts w:ascii="Arial" w:hAnsi="Arial" w:cs="Arial"/>
                <w:iCs/>
                <w:sz w:val="22"/>
                <w:szCs w:val="22"/>
              </w:rPr>
              <w:t xml:space="preserve">Service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and (in each case) to such parts of the Data as are strictly necessary for performance of that person’s duties.</w:t>
            </w:r>
          </w:p>
        </w:tc>
      </w:tr>
      <w:tr w:rsidR="001A3664" w:rsidRPr="001A3664" w14:paraId="55F5B8F4" w14:textId="77777777" w:rsidTr="2FFDBA53">
        <w:trPr>
          <w:jc w:val="center"/>
        </w:trPr>
        <w:tc>
          <w:tcPr>
            <w:tcW w:w="797" w:type="pct"/>
          </w:tcPr>
          <w:p w14:paraId="709F6CBE" w14:textId="77777777" w:rsidR="00716E70" w:rsidRPr="001A3664" w:rsidRDefault="00716E70" w:rsidP="2FFDBA53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03" w:type="pct"/>
          </w:tcPr>
          <w:p w14:paraId="2F1BBB85" w14:textId="22CCF603" w:rsidR="00716E70" w:rsidRPr="001A3664" w:rsidRDefault="7CCFEAF0" w:rsidP="007A4212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2FFDBA53">
              <w:rPr>
                <w:rFonts w:ascii="Arial" w:hAnsi="Arial" w:cs="Arial"/>
                <w:sz w:val="22"/>
                <w:szCs w:val="22"/>
              </w:rPr>
              <w:t>Not used.</w:t>
            </w:r>
          </w:p>
        </w:tc>
      </w:tr>
      <w:tr w:rsidR="00716E70" w:rsidRPr="00135EA1" w14:paraId="393A6EEA" w14:textId="77777777" w:rsidTr="2FFDBA53">
        <w:trPr>
          <w:jc w:val="center"/>
        </w:trPr>
        <w:tc>
          <w:tcPr>
            <w:tcW w:w="797" w:type="pct"/>
          </w:tcPr>
          <w:p w14:paraId="1770358B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46C2C633" w14:textId="011CA4A5" w:rsidR="00716E70" w:rsidRPr="007A4212" w:rsidRDefault="00716E70" w:rsidP="007A4212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On request,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, takes all necessary actions and provides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with all reasonable assistance necessary for the </w:t>
            </w:r>
            <w:r w:rsidR="00E54710" w:rsidRPr="001A3664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to comply with a Data Subject </w:t>
            </w:r>
            <w:r w:rsidR="00417AAA">
              <w:rPr>
                <w:rFonts w:ascii="Arial" w:hAnsi="Arial" w:cs="Arial"/>
                <w:iCs/>
                <w:sz w:val="22"/>
                <w:szCs w:val="22"/>
              </w:rPr>
              <w:t xml:space="preserve">Access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Request</w:t>
            </w:r>
            <w:r w:rsidR="00417AA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716E70" w:rsidRPr="00135EA1" w14:paraId="25A4A08A" w14:textId="77777777" w:rsidTr="2FFDBA53">
        <w:trPr>
          <w:jc w:val="center"/>
        </w:trPr>
        <w:tc>
          <w:tcPr>
            <w:tcW w:w="797" w:type="pct"/>
          </w:tcPr>
          <w:p w14:paraId="12CC094C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6F101313" w14:textId="27B62323" w:rsidR="00716E70" w:rsidRPr="001A3664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immediately notifies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Pr="001A3664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if it receives</w:t>
            </w:r>
          </w:p>
          <w:p w14:paraId="56B8B085" w14:textId="1B1132BF" w:rsidR="00716E70" w:rsidRPr="001A3664" w:rsidRDefault="00716E70" w:rsidP="008D7A8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782" w:hanging="357"/>
              <w:contextualSpacing w:val="0"/>
              <w:jc w:val="both"/>
              <w:rPr>
                <w:rFonts w:ascii="Arial" w:hAnsi="Arial" w:cs="Arial"/>
              </w:rPr>
            </w:pPr>
            <w:r w:rsidRPr="001A3664">
              <w:rPr>
                <w:rFonts w:ascii="Arial" w:hAnsi="Arial" w:cs="Arial"/>
                <w:iCs/>
              </w:rPr>
              <w:t xml:space="preserve">a Data Subject </w:t>
            </w:r>
            <w:r w:rsidR="00417AAA">
              <w:rPr>
                <w:rFonts w:ascii="Arial" w:hAnsi="Arial" w:cs="Arial"/>
                <w:iCs/>
              </w:rPr>
              <w:t xml:space="preserve">Access </w:t>
            </w:r>
            <w:r w:rsidRPr="001A3664">
              <w:rPr>
                <w:rFonts w:ascii="Arial" w:hAnsi="Arial" w:cs="Arial"/>
                <w:iCs/>
              </w:rPr>
              <w:t xml:space="preserve">Request (or </w:t>
            </w:r>
            <w:bookmarkStart w:id="16" w:name="_Hlk532305904"/>
            <w:r w:rsidRPr="001A3664">
              <w:rPr>
                <w:rFonts w:ascii="Arial" w:hAnsi="Arial" w:cs="Arial"/>
                <w:iCs/>
              </w:rPr>
              <w:t xml:space="preserve">purported </w:t>
            </w:r>
            <w:bookmarkEnd w:id="16"/>
            <w:r w:rsidRPr="001A3664">
              <w:rPr>
                <w:rFonts w:ascii="Arial" w:hAnsi="Arial" w:cs="Arial"/>
                <w:iCs/>
              </w:rPr>
              <w:t xml:space="preserve">Data Subject </w:t>
            </w:r>
            <w:r w:rsidR="0022331D">
              <w:rPr>
                <w:rFonts w:ascii="Arial" w:hAnsi="Arial" w:cs="Arial"/>
                <w:iCs/>
              </w:rPr>
              <w:t xml:space="preserve">Access </w:t>
            </w:r>
            <w:r w:rsidRPr="001A3664">
              <w:rPr>
                <w:rFonts w:ascii="Arial" w:hAnsi="Arial" w:cs="Arial"/>
                <w:iCs/>
              </w:rPr>
              <w:t>Request)</w:t>
            </w:r>
            <w:r w:rsidR="0056474B">
              <w:rPr>
                <w:rFonts w:ascii="Arial" w:hAnsi="Arial" w:cs="Arial"/>
                <w:iCs/>
              </w:rPr>
              <w:t>,</w:t>
            </w:r>
          </w:p>
          <w:p w14:paraId="0658B876" w14:textId="0ABD053C" w:rsidR="00716E70" w:rsidRPr="001A3664" w:rsidRDefault="00716E70" w:rsidP="008D7A8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782" w:hanging="357"/>
              <w:contextualSpacing w:val="0"/>
              <w:jc w:val="both"/>
              <w:rPr>
                <w:rFonts w:ascii="Arial" w:hAnsi="Arial" w:cs="Arial"/>
                <w:iCs/>
              </w:rPr>
            </w:pPr>
            <w:r w:rsidRPr="001A3664">
              <w:rPr>
                <w:rFonts w:ascii="Arial" w:hAnsi="Arial" w:cs="Arial"/>
                <w:iCs/>
              </w:rPr>
              <w:t xml:space="preserve">a complaint or request relating to the </w:t>
            </w:r>
            <w:r w:rsidR="00E54710" w:rsidRPr="001A3664">
              <w:rPr>
                <w:rFonts w:ascii="Arial" w:hAnsi="Arial" w:cs="Arial"/>
                <w:i/>
              </w:rPr>
              <w:t>Client’s</w:t>
            </w:r>
            <w:r w:rsidR="00E54710" w:rsidRPr="001A3664">
              <w:rPr>
                <w:rFonts w:ascii="Arial" w:hAnsi="Arial" w:cs="Arial"/>
              </w:rPr>
              <w:t xml:space="preserve"> </w:t>
            </w:r>
            <w:r w:rsidRPr="001A3664">
              <w:rPr>
                <w:rFonts w:ascii="Arial" w:hAnsi="Arial" w:cs="Arial"/>
                <w:iCs/>
              </w:rPr>
              <w:t>obligations under the Data Protection Legislation, or</w:t>
            </w:r>
          </w:p>
          <w:p w14:paraId="388D73EA" w14:textId="3DF90078" w:rsidR="00716E70" w:rsidRPr="001A3664" w:rsidRDefault="00716E70" w:rsidP="008D7A8B">
            <w:pPr>
              <w:pStyle w:val="ListParagraph"/>
              <w:numPr>
                <w:ilvl w:val="0"/>
                <w:numId w:val="14"/>
              </w:numPr>
              <w:spacing w:before="120" w:after="120"/>
              <w:ind w:left="782" w:hanging="357"/>
              <w:contextualSpacing w:val="0"/>
              <w:jc w:val="both"/>
              <w:rPr>
                <w:rFonts w:ascii="Arial" w:hAnsi="Arial" w:cs="Arial"/>
                <w:iCs/>
              </w:rPr>
            </w:pPr>
            <w:r w:rsidRPr="001A3664">
              <w:rPr>
                <w:rFonts w:ascii="Arial" w:hAnsi="Arial" w:cs="Arial"/>
                <w:iCs/>
              </w:rPr>
              <w:t>a request from any Supervisory Authority for assistance or information, unless provided by relevant law.</w:t>
            </w:r>
          </w:p>
        </w:tc>
      </w:tr>
      <w:tr w:rsidR="00716E70" w:rsidRPr="00135EA1" w14:paraId="3D1551DC" w14:textId="77777777" w:rsidTr="2FFDBA53">
        <w:trPr>
          <w:jc w:val="center"/>
        </w:trPr>
        <w:tc>
          <w:tcPr>
            <w:tcW w:w="797" w:type="pct"/>
          </w:tcPr>
          <w:p w14:paraId="1AD61B5F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5901E310" w14:textId="5D45B84E" w:rsidR="00716E70" w:rsidRPr="001A3664" w:rsidRDefault="00716E70" w:rsidP="008D7A8B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assists and co-operates with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in relation to any complaint or</w:t>
            </w:r>
            <w:r w:rsidR="00417AAA">
              <w:rPr>
                <w:rFonts w:ascii="Arial" w:hAnsi="Arial" w:cs="Arial"/>
                <w:iCs/>
                <w:sz w:val="22"/>
                <w:szCs w:val="22"/>
              </w:rPr>
              <w:t xml:space="preserve"> Data Subject R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equest received</w:t>
            </w:r>
            <w:r w:rsidR="00417AAA">
              <w:rPr>
                <w:rFonts w:ascii="Arial" w:hAnsi="Arial" w:cs="Arial"/>
                <w:iCs/>
                <w:sz w:val="22"/>
                <w:szCs w:val="22"/>
              </w:rPr>
              <w:t xml:space="preserve"> pursuant to paragraph 1.1.</w:t>
            </w:r>
            <w:r w:rsidR="0022331D">
              <w:rPr>
                <w:rFonts w:ascii="Arial" w:hAnsi="Arial" w:cs="Arial"/>
                <w:iCs/>
                <w:sz w:val="22"/>
                <w:szCs w:val="22"/>
              </w:rPr>
              <w:t>14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, including</w:t>
            </w:r>
          </w:p>
          <w:p w14:paraId="3870CD6E" w14:textId="0577A6B5" w:rsidR="00716E70" w:rsidRPr="001A3664" w:rsidRDefault="00716E70" w:rsidP="008D7A8B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A3664">
              <w:rPr>
                <w:rFonts w:ascii="Arial" w:hAnsi="Arial" w:cs="Arial"/>
                <w:iCs/>
              </w:rPr>
              <w:t xml:space="preserve">providing full details of the complaint or </w:t>
            </w:r>
            <w:r w:rsidR="00417AAA">
              <w:rPr>
                <w:rFonts w:ascii="Arial" w:hAnsi="Arial" w:cs="Arial"/>
                <w:iCs/>
              </w:rPr>
              <w:t>Data Subject Access R</w:t>
            </w:r>
            <w:r w:rsidRPr="001A3664">
              <w:rPr>
                <w:rFonts w:ascii="Arial" w:hAnsi="Arial" w:cs="Arial"/>
                <w:iCs/>
              </w:rPr>
              <w:t>equest</w:t>
            </w:r>
            <w:r w:rsidR="0056474B">
              <w:rPr>
                <w:rFonts w:ascii="Arial" w:hAnsi="Arial" w:cs="Arial"/>
                <w:iCs/>
              </w:rPr>
              <w:t>,</w:t>
            </w:r>
          </w:p>
          <w:p w14:paraId="5A85CF06" w14:textId="45889AFB" w:rsidR="00716E70" w:rsidRPr="001A3664" w:rsidRDefault="00716E70" w:rsidP="008D7A8B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A3664">
              <w:rPr>
                <w:rFonts w:ascii="Arial" w:hAnsi="Arial" w:cs="Arial"/>
                <w:iCs/>
              </w:rPr>
              <w:lastRenderedPageBreak/>
              <w:t>complying with the</w:t>
            </w:r>
            <w:r w:rsidR="00417AAA">
              <w:rPr>
                <w:rFonts w:ascii="Arial" w:hAnsi="Arial" w:cs="Arial"/>
                <w:iCs/>
              </w:rPr>
              <w:t xml:space="preserve"> Data Subject Access</w:t>
            </w:r>
            <w:r w:rsidRPr="001A3664">
              <w:rPr>
                <w:rFonts w:ascii="Arial" w:hAnsi="Arial" w:cs="Arial"/>
                <w:iCs/>
              </w:rPr>
              <w:t xml:space="preserve"> </w:t>
            </w:r>
            <w:r w:rsidR="00417AAA">
              <w:rPr>
                <w:rFonts w:ascii="Arial" w:hAnsi="Arial" w:cs="Arial"/>
                <w:iCs/>
              </w:rPr>
              <w:t>R</w:t>
            </w:r>
            <w:r w:rsidRPr="001A3664">
              <w:rPr>
                <w:rFonts w:ascii="Arial" w:hAnsi="Arial" w:cs="Arial"/>
                <w:iCs/>
              </w:rPr>
              <w:t>equest within the time limits set out in the Data Protection Legislation and in accordance with the instructions of the</w:t>
            </w:r>
            <w:r w:rsidR="001A3664" w:rsidRPr="001A3664">
              <w:rPr>
                <w:rFonts w:ascii="Arial" w:hAnsi="Arial" w:cs="Arial"/>
                <w:iCs/>
              </w:rPr>
              <w:t xml:space="preserve"> </w:t>
            </w:r>
            <w:r w:rsidR="004D6B69">
              <w:rPr>
                <w:rFonts w:ascii="Arial" w:hAnsi="Arial" w:cs="Arial"/>
                <w:i/>
                <w:iCs/>
              </w:rPr>
              <w:t>Client</w:t>
            </w:r>
            <w:r w:rsidRPr="001A3664">
              <w:rPr>
                <w:rFonts w:ascii="Arial" w:hAnsi="Arial" w:cs="Arial"/>
                <w:iCs/>
                <w:color w:val="FF0000"/>
              </w:rPr>
              <w:t xml:space="preserve"> </w:t>
            </w:r>
            <w:r w:rsidRPr="001A3664">
              <w:rPr>
                <w:rFonts w:ascii="Arial" w:hAnsi="Arial" w:cs="Arial"/>
                <w:iCs/>
              </w:rPr>
              <w:t>and</w:t>
            </w:r>
          </w:p>
          <w:p w14:paraId="22E4C2E3" w14:textId="24AE5F0F" w:rsidR="00716E70" w:rsidRPr="001A3664" w:rsidRDefault="00716E70" w:rsidP="008D7A8B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iCs/>
              </w:rPr>
            </w:pPr>
            <w:r w:rsidRPr="001A3664">
              <w:rPr>
                <w:rFonts w:ascii="Arial" w:hAnsi="Arial" w:cs="Arial"/>
                <w:iCs/>
              </w:rPr>
              <w:t xml:space="preserve">promptly providing the </w:t>
            </w:r>
            <w:r w:rsidR="00E54710" w:rsidRPr="001A3664">
              <w:rPr>
                <w:rFonts w:ascii="Arial" w:hAnsi="Arial" w:cs="Arial"/>
                <w:i/>
              </w:rPr>
              <w:t>Client</w:t>
            </w:r>
            <w:r w:rsidR="00E54710" w:rsidRPr="001A3664">
              <w:rPr>
                <w:rFonts w:ascii="Arial" w:hAnsi="Arial" w:cs="Arial"/>
              </w:rPr>
              <w:t xml:space="preserve"> </w:t>
            </w:r>
            <w:r w:rsidRPr="001A3664">
              <w:rPr>
                <w:rFonts w:ascii="Arial" w:hAnsi="Arial" w:cs="Arial"/>
                <w:iCs/>
              </w:rPr>
              <w:t xml:space="preserve">with any Personal Data and any other information requested by it to enable it to respond to the </w:t>
            </w:r>
            <w:r w:rsidR="00417AAA">
              <w:rPr>
                <w:rFonts w:ascii="Arial" w:hAnsi="Arial" w:cs="Arial"/>
                <w:iCs/>
              </w:rPr>
              <w:t>Data Subject Access R</w:t>
            </w:r>
            <w:r w:rsidRPr="001A3664">
              <w:rPr>
                <w:rFonts w:ascii="Arial" w:hAnsi="Arial" w:cs="Arial"/>
                <w:iCs/>
              </w:rPr>
              <w:t>equest</w:t>
            </w:r>
            <w:r w:rsidR="00417AAA" w:rsidRPr="00EE6000">
              <w:rPr>
                <w:rFonts w:ascii="Arial" w:hAnsi="Arial" w:cs="Arial"/>
                <w:iCs/>
              </w:rPr>
              <w:t xml:space="preserve"> within the time limits set out in the Data Protection Legislation</w:t>
            </w:r>
            <w:r w:rsidRPr="001A3664">
              <w:rPr>
                <w:rFonts w:ascii="Arial" w:hAnsi="Arial" w:cs="Arial"/>
                <w:iCs/>
              </w:rPr>
              <w:t>.</w:t>
            </w:r>
          </w:p>
        </w:tc>
      </w:tr>
      <w:tr w:rsidR="00716E70" w:rsidRPr="00135EA1" w14:paraId="4477A5F9" w14:textId="77777777" w:rsidTr="2FFDBA53">
        <w:trPr>
          <w:jc w:val="center"/>
        </w:trPr>
        <w:tc>
          <w:tcPr>
            <w:tcW w:w="797" w:type="pct"/>
          </w:tcPr>
          <w:p w14:paraId="2E6BDF84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47020B13" w14:textId="50818E0D" w:rsidR="00716E70" w:rsidRPr="001A3664" w:rsidRDefault="00716E70" w:rsidP="008D7A8B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does not process the Data outside the EEA (other than in the United Kingdom) without the agreement of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Where the </w:t>
            </w:r>
            <w:r w:rsidR="00E54710" w:rsidRPr="001A3664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agrees,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</w:p>
          <w:p w14:paraId="53177494" w14:textId="15336D21" w:rsidR="00716E70" w:rsidRPr="001A3664" w:rsidRDefault="003D4512" w:rsidP="008D7A8B">
            <w:pPr>
              <w:pStyle w:val="ListParagraph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</w:t>
            </w:r>
            <w:r w:rsidR="00716E70" w:rsidRPr="001A3664">
              <w:rPr>
                <w:rFonts w:ascii="Arial" w:hAnsi="Arial" w:cs="Arial"/>
              </w:rPr>
              <w:t xml:space="preserve">rovides evidence (acceptable to the </w:t>
            </w:r>
            <w:r w:rsidR="00E54710" w:rsidRPr="001A3664">
              <w:rPr>
                <w:rFonts w:ascii="Arial" w:hAnsi="Arial" w:cs="Arial"/>
                <w:i/>
              </w:rPr>
              <w:t>Client</w:t>
            </w:r>
            <w:r w:rsidR="00716E70" w:rsidRPr="001A3664">
              <w:rPr>
                <w:rFonts w:ascii="Arial" w:hAnsi="Arial" w:cs="Arial"/>
              </w:rPr>
              <w:t>) of appropriate safeguards as required by the Data Protection Legislation and</w:t>
            </w:r>
          </w:p>
          <w:p w14:paraId="7B6A9F8C" w14:textId="70EE4DBF" w:rsidR="00716E70" w:rsidRPr="001A3664" w:rsidRDefault="003D4512" w:rsidP="008D7A8B">
            <w:pPr>
              <w:pStyle w:val="ListParagraph"/>
              <w:numPr>
                <w:ilvl w:val="0"/>
                <w:numId w:val="16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</w:t>
            </w:r>
            <w:r w:rsidR="00716E70" w:rsidRPr="001A3664">
              <w:rPr>
                <w:rFonts w:ascii="Arial" w:hAnsi="Arial" w:cs="Arial"/>
              </w:rPr>
              <w:t xml:space="preserve">omplies with the instructions of the </w:t>
            </w:r>
            <w:r w:rsidR="00E54710" w:rsidRPr="001A3664">
              <w:rPr>
                <w:rFonts w:ascii="Arial" w:hAnsi="Arial" w:cs="Arial"/>
                <w:i/>
              </w:rPr>
              <w:t>Client</w:t>
            </w:r>
            <w:r w:rsidR="00716E70" w:rsidRPr="001A3664">
              <w:rPr>
                <w:rFonts w:ascii="Arial" w:hAnsi="Arial" w:cs="Arial"/>
                <w:i/>
              </w:rPr>
              <w:t>.</w:t>
            </w:r>
          </w:p>
        </w:tc>
      </w:tr>
      <w:tr w:rsidR="00716E70" w:rsidRPr="00135EA1" w14:paraId="6F4C926B" w14:textId="77777777" w:rsidTr="2FFDBA53">
        <w:trPr>
          <w:jc w:val="center"/>
        </w:trPr>
        <w:tc>
          <w:tcPr>
            <w:tcW w:w="797" w:type="pct"/>
          </w:tcPr>
          <w:p w14:paraId="1D5782DD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41442BAE" w14:textId="32E6D527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complies with the requirements of the </w:t>
            </w:r>
            <w:r w:rsidR="00E54710" w:rsidRPr="001A3664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in relation to the storage, dispatch and disposal of Data in any form or medium. Any requirement for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to destroy or delete copies of the Data is subject to any law of the European Union</w:t>
            </w:r>
            <w:r w:rsidR="00417AAA">
              <w:rPr>
                <w:rFonts w:ascii="Arial" w:hAnsi="Arial" w:cs="Arial"/>
                <w:iCs/>
                <w:sz w:val="22"/>
                <w:szCs w:val="22"/>
              </w:rPr>
              <w:t>, the United Kingdom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 or a member state of the EEA to which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is subject that requires Data to be retained.</w:t>
            </w:r>
          </w:p>
        </w:tc>
      </w:tr>
      <w:tr w:rsidR="00716E70" w:rsidRPr="00135EA1" w14:paraId="3474E0DE" w14:textId="77777777" w:rsidTr="2FFDBA53">
        <w:trPr>
          <w:jc w:val="center"/>
        </w:trPr>
        <w:tc>
          <w:tcPr>
            <w:tcW w:w="797" w:type="pct"/>
          </w:tcPr>
          <w:p w14:paraId="2BE553FD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7AA9CC69" w14:textId="1C0EA812" w:rsidR="00716E70" w:rsidRPr="001A3664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notifies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417AAA">
              <w:rPr>
                <w:rFonts w:ascii="Arial" w:hAnsi="Arial" w:cs="Arial"/>
                <w:iCs/>
                <w:sz w:val="22"/>
                <w:szCs w:val="22"/>
              </w:rPr>
              <w:t>as soon as they become aware</w:t>
            </w:r>
            <w:r w:rsidR="00417AAA" w:rsidRPr="001A366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of a Security Incident or any other breach of this section. The notification includes, as far as possible</w:t>
            </w:r>
          </w:p>
          <w:p w14:paraId="5F13DA5E" w14:textId="79527B5A" w:rsidR="00716E70" w:rsidRPr="001A3664" w:rsidRDefault="00716E70" w:rsidP="008D7A8B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82" w:hanging="357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A3664">
              <w:rPr>
                <w:rFonts w:ascii="Arial" w:hAnsi="Arial" w:cs="Arial"/>
                <w:iCs/>
              </w:rPr>
              <w:t>a description of the nature of the Security Incident, including the categories and approximate number of Data Subjects concerned</w:t>
            </w:r>
            <w:r w:rsidR="0056474B">
              <w:rPr>
                <w:rFonts w:ascii="Arial" w:hAnsi="Arial" w:cs="Arial"/>
                <w:iCs/>
              </w:rPr>
              <w:t>,</w:t>
            </w:r>
          </w:p>
          <w:p w14:paraId="17AD3CAA" w14:textId="77777777" w:rsidR="00716E70" w:rsidRPr="001A3664" w:rsidRDefault="00716E70" w:rsidP="008D7A8B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82" w:hanging="357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A3664">
              <w:rPr>
                <w:rFonts w:ascii="Arial" w:hAnsi="Arial" w:cs="Arial"/>
                <w:iCs/>
              </w:rPr>
              <w:t>the likely consequences of the breach and</w:t>
            </w:r>
          </w:p>
          <w:p w14:paraId="17D3D3E6" w14:textId="3FF1A45D" w:rsidR="00716E70" w:rsidRPr="001A3664" w:rsidRDefault="00716E70" w:rsidP="008D7A8B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82" w:hanging="357"/>
              <w:contextualSpacing w:val="0"/>
              <w:jc w:val="both"/>
              <w:rPr>
                <w:rFonts w:ascii="Arial" w:hAnsi="Arial" w:cs="Arial"/>
                <w:iCs/>
              </w:rPr>
            </w:pPr>
            <w:r w:rsidRPr="001A3664">
              <w:rPr>
                <w:rFonts w:ascii="Arial" w:hAnsi="Arial" w:cs="Arial"/>
                <w:iCs/>
              </w:rPr>
              <w:t>the Protective Measures taken, or to be taken, to address the breach, including measures taken to mitigate any possible adverse effects</w:t>
            </w:r>
            <w:r w:rsidR="00417AAA">
              <w:rPr>
                <w:rFonts w:ascii="Arial" w:hAnsi="Arial" w:cs="Arial"/>
                <w:iCs/>
              </w:rPr>
              <w:t>.</w:t>
            </w:r>
            <w:r w:rsidRPr="001A3664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716E70" w:rsidRPr="00135EA1" w14:paraId="25BC1829" w14:textId="77777777" w:rsidTr="2FFDBA53">
        <w:trPr>
          <w:jc w:val="center"/>
        </w:trPr>
        <w:tc>
          <w:tcPr>
            <w:tcW w:w="797" w:type="pct"/>
          </w:tcPr>
          <w:p w14:paraId="721DDE9C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7EF20523" w14:textId="64CE516F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In the event of a Security Incident,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provides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with full co-operation and assistance in dealing with the Security Incident, in particular in notifying individuals affected by the Security Incident or a Supervisory Authority as required by the Data Protection Legislation</w:t>
            </w:r>
            <w:r w:rsidR="00417AAA" w:rsidRPr="00EE6000">
              <w:rPr>
                <w:rFonts w:ascii="Arial" w:hAnsi="Arial" w:cs="Arial"/>
                <w:iCs/>
                <w:sz w:val="22"/>
                <w:szCs w:val="22"/>
              </w:rPr>
              <w:t xml:space="preserve"> and in accordance with the instructions of the </w:t>
            </w:r>
            <w:r w:rsidR="00417AAA">
              <w:rPr>
                <w:rFonts w:ascii="Arial" w:hAnsi="Arial" w:cs="Arial"/>
                <w:iCs/>
                <w:sz w:val="22"/>
                <w:szCs w:val="22"/>
              </w:rPr>
              <w:t>C</w:t>
            </w:r>
            <w:r w:rsidR="00417AAA">
              <w:rPr>
                <w:rFonts w:ascii="Arial" w:hAnsi="Arial" w:cs="Arial"/>
                <w:i/>
                <w:iCs/>
                <w:sz w:val="22"/>
                <w:szCs w:val="22"/>
              </w:rPr>
              <w:t>lient</w:t>
            </w:r>
            <w:r w:rsidR="00417AAA" w:rsidRPr="001A3664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716E70" w:rsidRPr="00135EA1" w14:paraId="6CFBD32A" w14:textId="77777777" w:rsidTr="2FFDBA53">
        <w:trPr>
          <w:jc w:val="center"/>
        </w:trPr>
        <w:tc>
          <w:tcPr>
            <w:tcW w:w="797" w:type="pct"/>
          </w:tcPr>
          <w:p w14:paraId="5EA6958A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37C3C8D1" w14:textId="0B7E3B1E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>On</w:t>
            </w:r>
            <w:r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request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provides to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all necessary information to demonstrate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56474B">
              <w:rPr>
                <w:rFonts w:ascii="Arial" w:hAnsi="Arial" w:cs="Arial"/>
                <w:i/>
                <w:sz w:val="22"/>
                <w:szCs w:val="22"/>
              </w:rPr>
              <w:t>’s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compliance with this </w:t>
            </w:r>
            <w:r w:rsidR="00417AAA">
              <w:rPr>
                <w:rFonts w:ascii="Arial" w:hAnsi="Arial" w:cs="Arial"/>
                <w:iCs/>
                <w:sz w:val="22"/>
                <w:szCs w:val="22"/>
              </w:rPr>
              <w:t>Annex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716E70" w:rsidRPr="001A3664" w14:paraId="3ADA7212" w14:textId="77777777" w:rsidTr="2FFDBA53">
        <w:trPr>
          <w:jc w:val="center"/>
        </w:trPr>
        <w:tc>
          <w:tcPr>
            <w:tcW w:w="797" w:type="pct"/>
          </w:tcPr>
          <w:p w14:paraId="11B56BBD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02C57B55" w14:textId="1EC5A5E4" w:rsidR="00716E70" w:rsidRPr="001A3664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promptly provides </w:t>
            </w:r>
            <w:r w:rsidR="002C7E98">
              <w:rPr>
                <w:rFonts w:ascii="Arial" w:hAnsi="Arial" w:cs="Arial"/>
                <w:iCs/>
                <w:sz w:val="22"/>
                <w:szCs w:val="22"/>
              </w:rPr>
              <w:t xml:space="preserve">all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assistance and information requested by any Supervisory Authority or required by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1A3664">
              <w:rPr>
                <w:rFonts w:ascii="Arial" w:hAnsi="Arial" w:cs="Arial"/>
                <w:iCs/>
                <w:sz w:val="22"/>
                <w:szCs w:val="22"/>
              </w:rPr>
              <w:t>in order for</w:t>
            </w:r>
            <w:proofErr w:type="gramEnd"/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 the </w:t>
            </w:r>
            <w:r w:rsidR="00E54710" w:rsidRPr="001A3664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lastRenderedPageBreak/>
              <w:t>to ensure compliance with its obligations under the Data Protection Legislation, including in relation to</w:t>
            </w:r>
          </w:p>
          <w:p w14:paraId="6D190A99" w14:textId="77777777" w:rsidR="00716E70" w:rsidRPr="001A3664" w:rsidRDefault="00716E70" w:rsidP="008D7A8B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A3664">
              <w:rPr>
                <w:rFonts w:ascii="Arial" w:hAnsi="Arial" w:cs="Arial"/>
              </w:rPr>
              <w:t>security of processing,</w:t>
            </w:r>
          </w:p>
          <w:p w14:paraId="5D80CE2B" w14:textId="77777777" w:rsidR="00716E70" w:rsidRPr="001A3664" w:rsidRDefault="00716E70" w:rsidP="008D7A8B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1A3664">
              <w:rPr>
                <w:rFonts w:ascii="Arial" w:hAnsi="Arial" w:cs="Arial"/>
              </w:rPr>
              <w:t>preparation of any necessary Data Protection Impact Assessments and</w:t>
            </w:r>
          </w:p>
          <w:p w14:paraId="77F2DB78" w14:textId="2D96AEDC" w:rsidR="00716E70" w:rsidRPr="001A3664" w:rsidRDefault="00716E70" w:rsidP="008D7A8B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 w:rsidRPr="001A3664">
              <w:rPr>
                <w:rFonts w:ascii="Arial" w:hAnsi="Arial" w:cs="Arial"/>
              </w:rPr>
              <w:t>undertaking any necessary data protection consultations</w:t>
            </w:r>
            <w:r w:rsidR="00417AAA">
              <w:rPr>
                <w:rFonts w:ascii="Arial" w:hAnsi="Arial" w:cs="Arial"/>
              </w:rPr>
              <w:t xml:space="preserve"> of Supervisory Authorities</w:t>
            </w:r>
            <w:r w:rsidRPr="001A3664">
              <w:rPr>
                <w:rFonts w:ascii="Arial" w:hAnsi="Arial" w:cs="Arial"/>
              </w:rPr>
              <w:t>.</w:t>
            </w:r>
          </w:p>
        </w:tc>
      </w:tr>
      <w:tr w:rsidR="00716E70" w:rsidRPr="00135EA1" w14:paraId="0533B207" w14:textId="77777777" w:rsidTr="2FFDBA53">
        <w:trPr>
          <w:jc w:val="center"/>
        </w:trPr>
        <w:tc>
          <w:tcPr>
            <w:tcW w:w="797" w:type="pct"/>
          </w:tcPr>
          <w:p w14:paraId="63B024DF" w14:textId="77777777" w:rsidR="00716E70" w:rsidRPr="001A3664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08DC84AE" w14:textId="4471DCAA" w:rsidR="00716E70" w:rsidRPr="001A3664" w:rsidRDefault="00716E70" w:rsidP="008D7A8B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maintains electronic records of all processing activities carried out on behalf of the </w:t>
            </w:r>
            <w:r w:rsidR="00E54710" w:rsidRPr="001A3664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, including</w:t>
            </w:r>
          </w:p>
          <w:p w14:paraId="0EDAB7D8" w14:textId="058C844F" w:rsidR="00716E70" w:rsidRPr="001A3664" w:rsidRDefault="00716E70" w:rsidP="008D7A8B">
            <w:pPr>
              <w:pStyle w:val="ListParagraph"/>
              <w:numPr>
                <w:ilvl w:val="0"/>
                <w:numId w:val="18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A3664">
              <w:rPr>
                <w:rFonts w:ascii="Arial" w:hAnsi="Arial" w:cs="Arial"/>
                <w:iCs/>
              </w:rPr>
              <w:t xml:space="preserve">the information described in </w:t>
            </w:r>
            <w:r w:rsidR="00417AAA">
              <w:rPr>
                <w:rFonts w:ascii="Arial" w:hAnsi="Arial" w:cs="Arial"/>
                <w:iCs/>
              </w:rPr>
              <w:t>paragraph</w:t>
            </w:r>
            <w:r w:rsidR="0022331D">
              <w:rPr>
                <w:rFonts w:ascii="Arial" w:hAnsi="Arial" w:cs="Arial"/>
                <w:iCs/>
              </w:rPr>
              <w:t xml:space="preserve"> </w:t>
            </w:r>
            <w:r w:rsidR="008D7A8B" w:rsidRPr="001A3664">
              <w:rPr>
                <w:rFonts w:ascii="Arial" w:hAnsi="Arial" w:cs="Arial"/>
                <w:iCs/>
              </w:rPr>
              <w:t>1.1.</w:t>
            </w:r>
            <w:r w:rsidR="0022331D">
              <w:rPr>
                <w:rFonts w:ascii="Arial" w:hAnsi="Arial" w:cs="Arial"/>
                <w:iCs/>
              </w:rPr>
              <w:t>5</w:t>
            </w:r>
            <w:r w:rsidRPr="001A3664">
              <w:rPr>
                <w:rFonts w:ascii="Arial" w:hAnsi="Arial" w:cs="Arial"/>
                <w:iCs/>
              </w:rPr>
              <w:t xml:space="preserve"> of this </w:t>
            </w:r>
            <w:r w:rsidR="008D7A8B" w:rsidRPr="001A3664">
              <w:rPr>
                <w:rFonts w:ascii="Arial" w:hAnsi="Arial" w:cs="Arial"/>
                <w:iCs/>
              </w:rPr>
              <w:t>annex</w:t>
            </w:r>
            <w:r w:rsidR="003D4512">
              <w:rPr>
                <w:rFonts w:ascii="Arial" w:hAnsi="Arial" w:cs="Arial"/>
                <w:iCs/>
              </w:rPr>
              <w:t>,</w:t>
            </w:r>
          </w:p>
          <w:p w14:paraId="77CB8885" w14:textId="185EEBD4" w:rsidR="00716E70" w:rsidRPr="001A3664" w:rsidRDefault="003D4512" w:rsidP="008D7A8B">
            <w:pPr>
              <w:pStyle w:val="ListParagraph"/>
              <w:numPr>
                <w:ilvl w:val="0"/>
                <w:numId w:val="18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Cs/>
              </w:rPr>
              <w:t>t</w:t>
            </w:r>
            <w:r w:rsidR="00716E70" w:rsidRPr="001A3664">
              <w:rPr>
                <w:rFonts w:ascii="Arial" w:hAnsi="Arial" w:cs="Arial"/>
                <w:iCs/>
              </w:rPr>
              <w:t>he different types of processing</w:t>
            </w:r>
            <w:r w:rsidR="00417AAA">
              <w:rPr>
                <w:rFonts w:ascii="Arial" w:hAnsi="Arial" w:cs="Arial"/>
                <w:iCs/>
              </w:rPr>
              <w:t xml:space="preserve"> of Data</w:t>
            </w:r>
            <w:r w:rsidR="00716E70" w:rsidRPr="001A3664">
              <w:rPr>
                <w:rFonts w:ascii="Arial" w:hAnsi="Arial" w:cs="Arial"/>
                <w:iCs/>
              </w:rPr>
              <w:t xml:space="preserve"> being carried out (if applicable),</w:t>
            </w:r>
          </w:p>
          <w:p w14:paraId="56415937" w14:textId="77777777" w:rsidR="00716E70" w:rsidRPr="001A3664" w:rsidRDefault="00716E70" w:rsidP="008D7A8B">
            <w:pPr>
              <w:pStyle w:val="ListParagraph"/>
              <w:numPr>
                <w:ilvl w:val="0"/>
                <w:numId w:val="18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A3664">
              <w:rPr>
                <w:rFonts w:ascii="Arial" w:hAnsi="Arial" w:cs="Arial"/>
                <w:iCs/>
              </w:rPr>
              <w:t>any transfers of Data outside the EEA or the United Kingdom, identifying the relevant country or international organisations and any documentation required to demonstrate suitable safeguards and</w:t>
            </w:r>
          </w:p>
          <w:p w14:paraId="24087969" w14:textId="0C89D519" w:rsidR="00716E70" w:rsidRPr="001A3664" w:rsidRDefault="00716E70" w:rsidP="008D7A8B">
            <w:pPr>
              <w:pStyle w:val="ListParagraph"/>
              <w:numPr>
                <w:ilvl w:val="0"/>
                <w:numId w:val="18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A3664">
              <w:rPr>
                <w:rFonts w:ascii="Arial" w:hAnsi="Arial" w:cs="Arial"/>
                <w:iCs/>
              </w:rPr>
              <w:t xml:space="preserve">a description of the technical and organisation security measures referred to in </w:t>
            </w:r>
            <w:r w:rsidR="006762FC">
              <w:rPr>
                <w:rFonts w:ascii="Arial" w:hAnsi="Arial" w:cs="Arial"/>
                <w:iCs/>
              </w:rPr>
              <w:t>paragraph</w:t>
            </w:r>
            <w:r w:rsidR="008D7A8B" w:rsidRPr="001A3664">
              <w:rPr>
                <w:rFonts w:ascii="Arial" w:hAnsi="Arial" w:cs="Arial"/>
                <w:iCs/>
              </w:rPr>
              <w:t>1.1.9</w:t>
            </w:r>
            <w:r w:rsidRPr="001A3664">
              <w:rPr>
                <w:rFonts w:ascii="Arial" w:hAnsi="Arial" w:cs="Arial"/>
                <w:iCs/>
              </w:rPr>
              <w:t xml:space="preserve"> of this </w:t>
            </w:r>
            <w:r w:rsidR="006762FC">
              <w:rPr>
                <w:rFonts w:ascii="Arial" w:hAnsi="Arial" w:cs="Arial"/>
                <w:iCs/>
              </w:rPr>
              <w:t>A</w:t>
            </w:r>
            <w:r w:rsidR="008D7A8B" w:rsidRPr="001A3664">
              <w:rPr>
                <w:rFonts w:ascii="Arial" w:hAnsi="Arial" w:cs="Arial"/>
                <w:iCs/>
              </w:rPr>
              <w:t>nnex</w:t>
            </w:r>
            <w:r w:rsidRPr="001A3664">
              <w:rPr>
                <w:rFonts w:ascii="Arial" w:hAnsi="Arial" w:cs="Arial"/>
                <w:iCs/>
              </w:rPr>
              <w:t>.</w:t>
            </w:r>
          </w:p>
          <w:p w14:paraId="77835A7F" w14:textId="1EC0D296" w:rsidR="00716E70" w:rsidRPr="00135EA1" w:rsidRDefault="00716E70" w:rsidP="008D7A8B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makes these records available to the </w:t>
            </w:r>
            <w:r w:rsidR="004D6B69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  <w:r w:rsidR="00E54710" w:rsidRPr="001A36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promptly on request.</w:t>
            </w:r>
          </w:p>
        </w:tc>
      </w:tr>
      <w:tr w:rsidR="00716E70" w:rsidRPr="00135EA1" w14:paraId="61AF6FEA" w14:textId="77777777" w:rsidTr="2FFDBA53">
        <w:trPr>
          <w:jc w:val="center"/>
        </w:trPr>
        <w:tc>
          <w:tcPr>
            <w:tcW w:w="797" w:type="pct"/>
          </w:tcPr>
          <w:p w14:paraId="7F0DAF04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010D6B79" w14:textId="59EA381C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EA1">
              <w:rPr>
                <w:rFonts w:ascii="Arial" w:hAnsi="Arial" w:cs="Arial"/>
                <w:sz w:val="22"/>
                <w:szCs w:val="22"/>
              </w:rPr>
              <w:t xml:space="preserve">Before allowing any Sub-Processor to process any Personal Data related to </w:t>
            </w:r>
            <w:r w:rsidR="006762FC">
              <w:rPr>
                <w:rFonts w:ascii="Arial" w:hAnsi="Arial" w:cs="Arial"/>
                <w:sz w:val="22"/>
                <w:szCs w:val="22"/>
              </w:rPr>
              <w:t>the contract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, the </w:t>
            </w:r>
            <w:r w:rsidR="006762FC" w:rsidRPr="006366CF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</w:p>
          <w:p w14:paraId="7AE0BA80" w14:textId="13E49A6C" w:rsidR="00716E70" w:rsidRPr="008D7A8B" w:rsidRDefault="00716E70" w:rsidP="008D7A8B">
            <w:pPr>
              <w:pStyle w:val="ListParagraph"/>
              <w:numPr>
                <w:ilvl w:val="0"/>
                <w:numId w:val="19"/>
              </w:numPr>
              <w:spacing w:before="120" w:after="120"/>
              <w:ind w:left="782" w:hanging="357"/>
              <w:contextualSpacing w:val="0"/>
              <w:jc w:val="both"/>
              <w:rPr>
                <w:rFonts w:ascii="Arial" w:hAnsi="Arial" w:cs="Arial"/>
              </w:rPr>
            </w:pPr>
            <w:r w:rsidRPr="008D7A8B">
              <w:rPr>
                <w:rFonts w:ascii="Arial" w:hAnsi="Arial" w:cs="Arial"/>
              </w:rPr>
              <w:t>notif</w:t>
            </w:r>
            <w:r w:rsidR="006762FC">
              <w:rPr>
                <w:rFonts w:ascii="Arial" w:hAnsi="Arial" w:cs="Arial"/>
              </w:rPr>
              <w:t>ies</w:t>
            </w:r>
            <w:r w:rsidRPr="008D7A8B">
              <w:rPr>
                <w:rFonts w:ascii="Arial" w:hAnsi="Arial" w:cs="Arial"/>
              </w:rPr>
              <w:t xml:space="preserve"> the </w:t>
            </w:r>
            <w:r w:rsidR="006762FC" w:rsidRPr="006366CF">
              <w:rPr>
                <w:rFonts w:ascii="Arial" w:hAnsi="Arial" w:cs="Arial"/>
                <w:i/>
              </w:rPr>
              <w:t>Client</w:t>
            </w:r>
            <w:r w:rsidR="006762FC" w:rsidRPr="008D7A8B">
              <w:rPr>
                <w:rFonts w:ascii="Arial" w:hAnsi="Arial" w:cs="Arial"/>
              </w:rPr>
              <w:t xml:space="preserve"> </w:t>
            </w:r>
            <w:r w:rsidRPr="008D7A8B">
              <w:rPr>
                <w:rFonts w:ascii="Arial" w:hAnsi="Arial" w:cs="Arial"/>
              </w:rPr>
              <w:t>in writing of the intended Sub-Processor and processing</w:t>
            </w:r>
            <w:r w:rsidR="00335E4F">
              <w:rPr>
                <w:rFonts w:ascii="Arial" w:hAnsi="Arial" w:cs="Arial"/>
              </w:rPr>
              <w:t>,</w:t>
            </w:r>
          </w:p>
          <w:p w14:paraId="1A5FAD86" w14:textId="0ABF4196" w:rsidR="00716E70" w:rsidRPr="008D7A8B" w:rsidRDefault="00716E70" w:rsidP="008D7A8B">
            <w:pPr>
              <w:pStyle w:val="ListParagraph"/>
              <w:numPr>
                <w:ilvl w:val="0"/>
                <w:numId w:val="19"/>
              </w:numPr>
              <w:spacing w:before="120" w:after="120"/>
              <w:ind w:left="782" w:hanging="357"/>
              <w:contextualSpacing w:val="0"/>
              <w:jc w:val="both"/>
              <w:rPr>
                <w:rFonts w:ascii="Arial" w:hAnsi="Arial" w:cs="Arial"/>
              </w:rPr>
            </w:pPr>
            <w:r w:rsidRPr="008D7A8B">
              <w:rPr>
                <w:rFonts w:ascii="Arial" w:hAnsi="Arial" w:cs="Arial"/>
              </w:rPr>
              <w:t>obtain</w:t>
            </w:r>
            <w:r w:rsidR="006762FC">
              <w:rPr>
                <w:rFonts w:ascii="Arial" w:hAnsi="Arial" w:cs="Arial"/>
              </w:rPr>
              <w:t>s</w:t>
            </w:r>
            <w:r w:rsidRPr="008D7A8B">
              <w:rPr>
                <w:rFonts w:ascii="Arial" w:hAnsi="Arial" w:cs="Arial"/>
              </w:rPr>
              <w:t xml:space="preserve"> the written </w:t>
            </w:r>
            <w:r w:rsidR="006762FC">
              <w:rPr>
                <w:rFonts w:ascii="Arial" w:hAnsi="Arial" w:cs="Arial"/>
              </w:rPr>
              <w:t>agreement</w:t>
            </w:r>
            <w:r w:rsidR="006762FC" w:rsidRPr="008D7A8B">
              <w:rPr>
                <w:rFonts w:ascii="Arial" w:hAnsi="Arial" w:cs="Arial"/>
              </w:rPr>
              <w:t xml:space="preserve"> </w:t>
            </w:r>
            <w:r w:rsidRPr="008D7A8B">
              <w:rPr>
                <w:rFonts w:ascii="Arial" w:hAnsi="Arial" w:cs="Arial"/>
              </w:rPr>
              <w:t xml:space="preserve">of the </w:t>
            </w:r>
            <w:r w:rsidR="006762FC" w:rsidRPr="006366CF">
              <w:rPr>
                <w:rFonts w:ascii="Arial" w:hAnsi="Arial" w:cs="Arial"/>
                <w:i/>
              </w:rPr>
              <w:t>Client</w:t>
            </w:r>
            <w:r w:rsidR="003D4512">
              <w:rPr>
                <w:rFonts w:ascii="Arial" w:hAnsi="Arial" w:cs="Arial"/>
              </w:rPr>
              <w:t>,</w:t>
            </w:r>
          </w:p>
          <w:p w14:paraId="6390B7C8" w14:textId="4FC0556E" w:rsidR="00716E70" w:rsidRPr="008D7A8B" w:rsidRDefault="00716E70" w:rsidP="008D7A8B">
            <w:pPr>
              <w:pStyle w:val="ListParagraph"/>
              <w:numPr>
                <w:ilvl w:val="0"/>
                <w:numId w:val="19"/>
              </w:numPr>
              <w:spacing w:before="120" w:after="120"/>
              <w:ind w:left="782" w:hanging="357"/>
              <w:contextualSpacing w:val="0"/>
              <w:jc w:val="both"/>
              <w:rPr>
                <w:rFonts w:ascii="Arial" w:hAnsi="Arial" w:cs="Arial"/>
              </w:rPr>
            </w:pPr>
            <w:r w:rsidRPr="008D7A8B">
              <w:rPr>
                <w:rFonts w:ascii="Arial" w:hAnsi="Arial" w:cs="Arial"/>
              </w:rPr>
              <w:t>enter</w:t>
            </w:r>
            <w:r w:rsidR="006762FC">
              <w:rPr>
                <w:rFonts w:ascii="Arial" w:hAnsi="Arial" w:cs="Arial"/>
              </w:rPr>
              <w:t>s</w:t>
            </w:r>
            <w:r w:rsidRPr="008D7A8B">
              <w:rPr>
                <w:rFonts w:ascii="Arial" w:hAnsi="Arial" w:cs="Arial"/>
              </w:rPr>
              <w:t xml:space="preserve"> into a written agreement with the Sub-Processor which give effect to the terms set out in </w:t>
            </w:r>
            <w:r w:rsidR="006762FC">
              <w:rPr>
                <w:rFonts w:ascii="Arial" w:hAnsi="Arial" w:cs="Arial"/>
              </w:rPr>
              <w:t>the contract</w:t>
            </w:r>
            <w:r w:rsidRPr="008D7A8B">
              <w:rPr>
                <w:rFonts w:ascii="Arial" w:hAnsi="Arial" w:cs="Arial"/>
              </w:rPr>
              <w:t xml:space="preserve"> such that they apply to the Sub-Processor and</w:t>
            </w:r>
          </w:p>
          <w:p w14:paraId="4B0032F3" w14:textId="5AEC9D56" w:rsidR="00716E70" w:rsidRPr="008D7A8B" w:rsidRDefault="00716E70" w:rsidP="008D7A8B">
            <w:pPr>
              <w:pStyle w:val="ListParagraph"/>
              <w:numPr>
                <w:ilvl w:val="0"/>
                <w:numId w:val="19"/>
              </w:numPr>
              <w:spacing w:before="120" w:after="120"/>
              <w:ind w:left="782" w:hanging="357"/>
              <w:contextualSpacing w:val="0"/>
              <w:jc w:val="both"/>
              <w:rPr>
                <w:rFonts w:ascii="Arial" w:hAnsi="Arial" w:cs="Arial"/>
                <w:iCs/>
              </w:rPr>
            </w:pPr>
            <w:r w:rsidRPr="008D7A8B">
              <w:rPr>
                <w:rFonts w:ascii="Arial" w:hAnsi="Arial" w:cs="Arial"/>
              </w:rPr>
              <w:t xml:space="preserve">provide the </w:t>
            </w:r>
            <w:r w:rsidR="006762FC" w:rsidRPr="006366CF">
              <w:rPr>
                <w:rFonts w:ascii="Arial" w:hAnsi="Arial" w:cs="Arial"/>
                <w:i/>
              </w:rPr>
              <w:t>Client</w:t>
            </w:r>
            <w:r w:rsidR="006762FC" w:rsidRPr="008D7A8B">
              <w:rPr>
                <w:rFonts w:ascii="Arial" w:hAnsi="Arial" w:cs="Arial"/>
              </w:rPr>
              <w:t xml:space="preserve"> </w:t>
            </w:r>
            <w:r w:rsidRPr="008D7A8B">
              <w:rPr>
                <w:rFonts w:ascii="Arial" w:hAnsi="Arial" w:cs="Arial"/>
              </w:rPr>
              <w:t xml:space="preserve">with such information regarding the Sub-Processor as the </w:t>
            </w:r>
            <w:r w:rsidR="006762FC" w:rsidRPr="006366CF">
              <w:rPr>
                <w:rFonts w:ascii="Arial" w:hAnsi="Arial" w:cs="Arial"/>
                <w:i/>
              </w:rPr>
              <w:t>Client</w:t>
            </w:r>
            <w:r w:rsidR="006762FC" w:rsidRPr="008D7A8B">
              <w:rPr>
                <w:rFonts w:ascii="Arial" w:hAnsi="Arial" w:cs="Arial"/>
              </w:rPr>
              <w:t xml:space="preserve"> </w:t>
            </w:r>
            <w:r w:rsidRPr="008D7A8B">
              <w:rPr>
                <w:rFonts w:ascii="Arial" w:hAnsi="Arial" w:cs="Arial"/>
              </w:rPr>
              <w:t>may reasonably require.</w:t>
            </w:r>
          </w:p>
        </w:tc>
      </w:tr>
      <w:tr w:rsidR="00716E70" w:rsidRPr="00135EA1" w14:paraId="55E4469E" w14:textId="77777777" w:rsidTr="2FFDBA53">
        <w:trPr>
          <w:jc w:val="center"/>
        </w:trPr>
        <w:tc>
          <w:tcPr>
            <w:tcW w:w="797" w:type="pct"/>
          </w:tcPr>
          <w:p w14:paraId="5D3B79F9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4DC33C11" w14:textId="161E2F97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EA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762FC" w:rsidRPr="006366CF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="006762FC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may, at any time revise this </w:t>
            </w:r>
            <w:r w:rsidR="006762FC">
              <w:rPr>
                <w:rFonts w:ascii="Arial" w:hAnsi="Arial" w:cs="Arial"/>
                <w:sz w:val="22"/>
                <w:szCs w:val="22"/>
              </w:rPr>
              <w:t>Annex</w:t>
            </w:r>
            <w:r w:rsidR="006762FC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by replacing it with any applicable </w:t>
            </w:r>
            <w:r w:rsidR="003641D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controller to processor standard </w:t>
            </w:r>
            <w:r w:rsidR="006762FC">
              <w:rPr>
                <w:rFonts w:ascii="Arial" w:hAnsi="Arial" w:cs="Arial"/>
                <w:sz w:val="22"/>
                <w:szCs w:val="22"/>
              </w:rPr>
              <w:t>provisions</w:t>
            </w:r>
            <w:r w:rsidR="006762FC"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5EA1">
              <w:rPr>
                <w:rFonts w:ascii="Arial" w:hAnsi="Arial" w:cs="Arial"/>
                <w:sz w:val="22"/>
                <w:szCs w:val="22"/>
              </w:rPr>
              <w:t>or similar terms forming part of an applicable certification scheme</w:t>
            </w:r>
            <w:r w:rsidR="006762FC">
              <w:rPr>
                <w:rFonts w:ascii="Arial" w:hAnsi="Arial" w:cs="Arial"/>
                <w:sz w:val="22"/>
                <w:szCs w:val="22"/>
              </w:rPr>
              <w:t>.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16E70" w:rsidRPr="00135EA1" w14:paraId="3AF09E41" w14:textId="77777777" w:rsidTr="2FFDBA53">
        <w:trPr>
          <w:jc w:val="center"/>
        </w:trPr>
        <w:tc>
          <w:tcPr>
            <w:tcW w:w="797" w:type="pct"/>
          </w:tcPr>
          <w:p w14:paraId="135C0CBF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4D61C5DD" w14:textId="55EBEA43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EA1">
              <w:rPr>
                <w:rFonts w:ascii="Arial" w:hAnsi="Arial" w:cs="Arial"/>
                <w:sz w:val="22"/>
                <w:szCs w:val="22"/>
              </w:rPr>
              <w:t xml:space="preserve">The Parties agree to take account of any guidance issued by the Information Commissioner’s Office. </w:t>
            </w:r>
          </w:p>
        </w:tc>
      </w:tr>
      <w:tr w:rsidR="00716E70" w:rsidRPr="00135EA1" w14:paraId="3EB0A1E7" w14:textId="77777777" w:rsidTr="2FFDBA53">
        <w:trPr>
          <w:jc w:val="center"/>
        </w:trPr>
        <w:tc>
          <w:tcPr>
            <w:tcW w:w="797" w:type="pct"/>
          </w:tcPr>
          <w:p w14:paraId="2056F744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4358BF53" w14:textId="5686DEFC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EA1">
              <w:rPr>
                <w:rFonts w:ascii="Arial" w:hAnsi="Arial" w:cs="Arial"/>
                <w:sz w:val="22"/>
                <w:szCs w:val="22"/>
              </w:rPr>
              <w:t>Each Party designate</w:t>
            </w:r>
            <w:r w:rsidR="006762FC">
              <w:rPr>
                <w:rFonts w:ascii="Arial" w:hAnsi="Arial" w:cs="Arial"/>
                <w:sz w:val="22"/>
                <w:szCs w:val="22"/>
              </w:rPr>
              <w:t>s</w:t>
            </w:r>
            <w:r w:rsidRPr="00135EA1">
              <w:rPr>
                <w:rFonts w:ascii="Arial" w:hAnsi="Arial" w:cs="Arial"/>
                <w:sz w:val="22"/>
                <w:szCs w:val="22"/>
              </w:rPr>
              <w:t xml:space="preserve"> its own Data Protection Officer if required by the Data Protection Legislation.</w:t>
            </w:r>
          </w:p>
        </w:tc>
      </w:tr>
      <w:tr w:rsidR="00716E70" w:rsidRPr="00135EA1" w14:paraId="3D9D880A" w14:textId="77777777" w:rsidTr="2FFDBA53">
        <w:trPr>
          <w:jc w:val="center"/>
        </w:trPr>
        <w:tc>
          <w:tcPr>
            <w:tcW w:w="797" w:type="pct"/>
          </w:tcPr>
          <w:p w14:paraId="7CCDCEA7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7E7DDD3E" w14:textId="76CFD7FB" w:rsidR="00716E70" w:rsidRPr="00135EA1" w:rsidRDefault="00113AE5" w:rsidP="00135EA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3AE5">
              <w:rPr>
                <w:rFonts w:ascii="Arial" w:hAnsi="Arial" w:cs="Arial"/>
                <w:sz w:val="22"/>
                <w:szCs w:val="22"/>
              </w:rPr>
              <w:t xml:space="preserve">Not Used </w:t>
            </w:r>
          </w:p>
        </w:tc>
      </w:tr>
      <w:tr w:rsidR="00716E70" w:rsidRPr="00135EA1" w14:paraId="11359235" w14:textId="77777777" w:rsidTr="2FFDBA53">
        <w:trPr>
          <w:jc w:val="center"/>
        </w:trPr>
        <w:tc>
          <w:tcPr>
            <w:tcW w:w="797" w:type="pct"/>
          </w:tcPr>
          <w:p w14:paraId="48F68484" w14:textId="77777777" w:rsidR="00716E70" w:rsidRPr="00135EA1" w:rsidRDefault="00716E70" w:rsidP="008D7A8B">
            <w:pPr>
              <w:pStyle w:val="ListParagraph"/>
              <w:numPr>
                <w:ilvl w:val="2"/>
                <w:numId w:val="9"/>
              </w:numPr>
              <w:spacing w:before="120" w:after="120"/>
              <w:ind w:hanging="1224"/>
              <w:jc w:val="both"/>
              <w:rPr>
                <w:rFonts w:ascii="Arial" w:hAnsi="Arial" w:cs="Arial"/>
              </w:rPr>
            </w:pPr>
          </w:p>
        </w:tc>
        <w:tc>
          <w:tcPr>
            <w:tcW w:w="4203" w:type="pct"/>
          </w:tcPr>
          <w:p w14:paraId="34468A54" w14:textId="4083FD1D" w:rsidR="00716E70" w:rsidRPr="00135EA1" w:rsidRDefault="00716E70" w:rsidP="00135EA1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A failure to comply with this </w:t>
            </w:r>
            <w:r w:rsidR="006762FC">
              <w:rPr>
                <w:rFonts w:ascii="Arial" w:hAnsi="Arial" w:cs="Arial"/>
                <w:iCs/>
                <w:sz w:val="22"/>
                <w:szCs w:val="22"/>
              </w:rPr>
              <w:t>Annex</w:t>
            </w:r>
            <w:r w:rsidR="006762FC" w:rsidRPr="001A366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 xml:space="preserve">is treated as a substantial failure by the </w:t>
            </w:r>
            <w:r w:rsidR="00DF288B" w:rsidRPr="00DF288B">
              <w:rPr>
                <w:rFonts w:ascii="Arial" w:hAnsi="Arial" w:cs="Arial"/>
                <w:i/>
                <w:sz w:val="22"/>
                <w:szCs w:val="22"/>
              </w:rPr>
              <w:t>Consultant</w:t>
            </w:r>
            <w:r w:rsidR="00E54710" w:rsidRPr="001A36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hAnsi="Arial" w:cs="Arial"/>
                <w:iCs/>
                <w:sz w:val="22"/>
                <w:szCs w:val="22"/>
              </w:rPr>
              <w:t>to comply with its obligations.</w:t>
            </w:r>
          </w:p>
        </w:tc>
      </w:tr>
      <w:tr w:rsidR="00716E70" w:rsidRPr="0008739C" w14:paraId="5140B76C" w14:textId="77777777" w:rsidTr="45EC0CFD">
        <w:trPr>
          <w:jc w:val="center"/>
        </w:trPr>
        <w:tc>
          <w:tcPr>
            <w:tcW w:w="5000" w:type="pct"/>
            <w:gridSpan w:val="2"/>
            <w:shd w:val="clear" w:color="auto" w:fill="17365D" w:themeFill="text2" w:themeFillShade="BF"/>
          </w:tcPr>
          <w:p w14:paraId="1142F86A" w14:textId="68A9A59E" w:rsidR="00716E70" w:rsidRPr="0008739C" w:rsidRDefault="00716E70" w:rsidP="000E1517">
            <w:pPr>
              <w:pStyle w:val="Heading1"/>
              <w:spacing w:before="120" w:after="120" w:line="276" w:lineRule="auto"/>
            </w:pPr>
            <w:bookmarkStart w:id="17" w:name="_Toc12276829"/>
            <w:bookmarkStart w:id="18" w:name="_Toc74211517"/>
            <w:bookmarkEnd w:id="11"/>
            <w:bookmarkEnd w:id="12"/>
            <w:r>
              <w:t>DATA PROTECTION (SCHEDULE A)</w:t>
            </w:r>
            <w:bookmarkEnd w:id="17"/>
            <w:bookmarkEnd w:id="18"/>
          </w:p>
        </w:tc>
      </w:tr>
      <w:tr w:rsidR="00716E70" w:rsidRPr="0008739C" w14:paraId="63BC51F4" w14:textId="77777777" w:rsidTr="45EC0CFD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AC99DED" w14:textId="3C141381" w:rsidR="00716E70" w:rsidRPr="0008739C" w:rsidRDefault="00716E70" w:rsidP="000E1517">
            <w:pPr>
              <w:pStyle w:val="Heading2"/>
              <w:spacing w:before="120" w:after="120" w:line="276" w:lineRule="auto"/>
            </w:pPr>
            <w:bookmarkStart w:id="19" w:name="_Toc12276830"/>
            <w:bookmarkStart w:id="20" w:name="_Toc74211518"/>
            <w:r w:rsidRPr="2FFDBA53">
              <w:t>Schedule A – P</w:t>
            </w:r>
            <w:r>
              <w:t>rocessing, Personal Data and Data Subjects</w:t>
            </w:r>
            <w:bookmarkEnd w:id="19"/>
            <w:bookmarkEnd w:id="20"/>
          </w:p>
        </w:tc>
      </w:tr>
      <w:tr w:rsidR="00716E70" w:rsidRPr="0008739C" w14:paraId="1CCCBDEE" w14:textId="77777777" w:rsidTr="45EC0CFD">
        <w:trPr>
          <w:jc w:val="center"/>
        </w:trPr>
        <w:tc>
          <w:tcPr>
            <w:tcW w:w="5000" w:type="pct"/>
            <w:gridSpan w:val="2"/>
          </w:tcPr>
          <w:p w14:paraId="4AA0FB12" w14:textId="1DE62C41" w:rsidR="00716E70" w:rsidRPr="0008739C" w:rsidRDefault="00716E70" w:rsidP="000E1517">
            <w:pPr>
              <w:pStyle w:val="Style2"/>
              <w:spacing w:before="120"/>
              <w:ind w:right="34"/>
              <w:rPr>
                <w:color w:val="auto"/>
                <w:sz w:val="22"/>
                <w:szCs w:val="22"/>
              </w:rPr>
            </w:pPr>
            <w:r w:rsidRPr="2FFDBA53">
              <w:rPr>
                <w:rFonts w:eastAsia="ArialMT"/>
                <w:color w:val="000000" w:themeColor="text1"/>
                <w:sz w:val="22"/>
                <w:szCs w:val="22"/>
              </w:rPr>
              <w:t xml:space="preserve">This </w:t>
            </w:r>
            <w:r w:rsidR="008D7A8B" w:rsidRPr="2FFDBA53">
              <w:rPr>
                <w:rFonts w:eastAsia="ArialMT"/>
                <w:color w:val="000000" w:themeColor="text1"/>
                <w:sz w:val="22"/>
                <w:szCs w:val="22"/>
              </w:rPr>
              <w:t>Schedule</w:t>
            </w:r>
            <w:r w:rsidRPr="2FFDBA53">
              <w:rPr>
                <w:rFonts w:eastAsia="ArialMT"/>
                <w:color w:val="000000" w:themeColor="text1"/>
                <w:sz w:val="22"/>
                <w:szCs w:val="22"/>
              </w:rPr>
              <w:t xml:space="preserve"> </w:t>
            </w:r>
            <w:r w:rsidR="1BFBC672" w:rsidRPr="2FFDBA53">
              <w:rPr>
                <w:rFonts w:eastAsia="ArialMT"/>
                <w:color w:val="000000" w:themeColor="text1"/>
                <w:sz w:val="22"/>
                <w:szCs w:val="22"/>
              </w:rPr>
              <w:t xml:space="preserve">is </w:t>
            </w:r>
            <w:r w:rsidRPr="2FFDBA53">
              <w:rPr>
                <w:rFonts w:eastAsia="ArialMT"/>
                <w:color w:val="000000" w:themeColor="text1"/>
                <w:sz w:val="22"/>
                <w:szCs w:val="22"/>
              </w:rPr>
              <w:t xml:space="preserve">completed by the </w:t>
            </w:r>
            <w:r w:rsidRPr="2FFDBA53">
              <w:rPr>
                <w:rFonts w:eastAsia="ArialMT"/>
                <w:i/>
                <w:iCs/>
                <w:color w:val="auto"/>
                <w:sz w:val="22"/>
                <w:szCs w:val="22"/>
              </w:rPr>
              <w:t>Client</w:t>
            </w:r>
            <w:r w:rsidRPr="2FFDBA53">
              <w:rPr>
                <w:rFonts w:eastAsia="ArialMT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2FFDBA53">
              <w:rPr>
                <w:rFonts w:eastAsia="ArialMT"/>
                <w:color w:val="000000" w:themeColor="text1"/>
                <w:sz w:val="22"/>
                <w:szCs w:val="22"/>
              </w:rPr>
              <w:t xml:space="preserve">who may take account of the view of the </w:t>
            </w:r>
            <w:r w:rsidR="00DF288B" w:rsidRPr="2FFDBA53">
              <w:rPr>
                <w:rFonts w:eastAsia="ArialMT"/>
                <w:i/>
                <w:iCs/>
                <w:color w:val="000000" w:themeColor="text1"/>
                <w:sz w:val="22"/>
                <w:szCs w:val="22"/>
              </w:rPr>
              <w:t>Consultant</w:t>
            </w:r>
            <w:r w:rsidR="008D7A8B" w:rsidRPr="2FFDBA53">
              <w:rPr>
                <w:rFonts w:eastAsia="ArialMT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2FFDBA53">
              <w:rPr>
                <w:rFonts w:eastAsia="ArialMT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2FFDBA53">
              <w:rPr>
                <w:rFonts w:eastAsia="ArialMT"/>
                <w:color w:val="000000" w:themeColor="text1"/>
                <w:sz w:val="22"/>
                <w:szCs w:val="22"/>
              </w:rPr>
              <w:t>however the final decision as to the content of this</w:t>
            </w:r>
            <w:r w:rsidRPr="2FFDBA53">
              <w:rPr>
                <w:rFonts w:eastAsia="ArialMT"/>
                <w:color w:val="auto"/>
                <w:sz w:val="22"/>
                <w:szCs w:val="22"/>
              </w:rPr>
              <w:t xml:space="preserve"> </w:t>
            </w:r>
            <w:r w:rsidR="006762FC" w:rsidRPr="2FFDBA53">
              <w:rPr>
                <w:rFonts w:eastAsia="ArialMT"/>
                <w:color w:val="auto"/>
                <w:sz w:val="22"/>
                <w:szCs w:val="22"/>
              </w:rPr>
              <w:t>s</w:t>
            </w:r>
            <w:r w:rsidR="008D7A8B" w:rsidRPr="2FFDBA53">
              <w:rPr>
                <w:rFonts w:eastAsia="ArialMT"/>
                <w:color w:val="auto"/>
                <w:sz w:val="22"/>
                <w:szCs w:val="22"/>
              </w:rPr>
              <w:t>chedule</w:t>
            </w:r>
            <w:r w:rsidRPr="2FFDBA53">
              <w:rPr>
                <w:rFonts w:eastAsia="ArialMT"/>
                <w:color w:val="auto"/>
                <w:sz w:val="22"/>
                <w:szCs w:val="22"/>
              </w:rPr>
              <w:t xml:space="preserve"> </w:t>
            </w:r>
            <w:r w:rsidR="006762FC" w:rsidRPr="2FFDBA53">
              <w:rPr>
                <w:rFonts w:eastAsia="ArialMT"/>
                <w:color w:val="auto"/>
                <w:sz w:val="22"/>
                <w:szCs w:val="22"/>
              </w:rPr>
              <w:t xml:space="preserve">is </w:t>
            </w:r>
            <w:r w:rsidR="007A4212">
              <w:rPr>
                <w:rFonts w:eastAsia="ArialMT"/>
                <w:color w:val="auto"/>
                <w:sz w:val="22"/>
                <w:szCs w:val="22"/>
              </w:rPr>
              <w:t xml:space="preserve">taken by </w:t>
            </w:r>
            <w:r w:rsidRPr="2FFDBA53">
              <w:rPr>
                <w:rFonts w:eastAsia="ArialMT"/>
                <w:color w:val="auto"/>
                <w:sz w:val="22"/>
                <w:szCs w:val="22"/>
              </w:rPr>
              <w:t xml:space="preserve">the </w:t>
            </w:r>
            <w:r w:rsidRPr="2FFDBA53">
              <w:rPr>
                <w:rFonts w:eastAsia="ArialMT"/>
                <w:i/>
                <w:iCs/>
                <w:color w:val="000000" w:themeColor="text1"/>
                <w:sz w:val="22"/>
                <w:szCs w:val="22"/>
              </w:rPr>
              <w:t xml:space="preserve">Client </w:t>
            </w:r>
            <w:r w:rsidR="006762FC" w:rsidRPr="2FFDBA53">
              <w:rPr>
                <w:rFonts w:eastAsia="ArialMT"/>
                <w:color w:val="000000" w:themeColor="text1"/>
                <w:sz w:val="22"/>
                <w:szCs w:val="22"/>
              </w:rPr>
              <w:t>and</w:t>
            </w:r>
            <w:r w:rsidR="006762FC" w:rsidRPr="2FFDBA53">
              <w:rPr>
                <w:rFonts w:eastAsia="ArialM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2FFDBA53">
              <w:rPr>
                <w:rFonts w:eastAsia="ArialMT"/>
                <w:color w:val="000000" w:themeColor="text1"/>
                <w:sz w:val="22"/>
                <w:szCs w:val="22"/>
              </w:rPr>
              <w:t>at its absolute discretion</w:t>
            </w:r>
            <w:r w:rsidR="0056474B" w:rsidRPr="2FFDBA53">
              <w:rPr>
                <w:rFonts w:eastAsia="ArialMT"/>
                <w:color w:val="000000" w:themeColor="text1"/>
                <w:sz w:val="22"/>
                <w:szCs w:val="22"/>
              </w:rPr>
              <w:t>.</w:t>
            </w:r>
          </w:p>
        </w:tc>
      </w:tr>
      <w:tr w:rsidR="001A3664" w:rsidRPr="001A3664" w14:paraId="45A65377" w14:textId="77777777" w:rsidTr="45EC0CFD">
        <w:trPr>
          <w:jc w:val="center"/>
        </w:trPr>
        <w:tc>
          <w:tcPr>
            <w:tcW w:w="797" w:type="pct"/>
          </w:tcPr>
          <w:p w14:paraId="759F0583" w14:textId="77777777" w:rsidR="00716E70" w:rsidRPr="001A3664" w:rsidRDefault="00716E70" w:rsidP="000E1517">
            <w:pPr>
              <w:pStyle w:val="Style2"/>
              <w:spacing w:before="120"/>
              <w:rPr>
                <w:color w:val="auto"/>
                <w:sz w:val="22"/>
                <w:szCs w:val="22"/>
              </w:rPr>
            </w:pPr>
          </w:p>
        </w:tc>
        <w:tc>
          <w:tcPr>
            <w:tcW w:w="4203" w:type="pct"/>
          </w:tcPr>
          <w:p w14:paraId="70A35950" w14:textId="433B431A" w:rsidR="00716E70" w:rsidRPr="001A3664" w:rsidRDefault="00716E70" w:rsidP="000E151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1A3664">
              <w:rPr>
                <w:rFonts w:ascii="Arial" w:eastAsia="ArialMT" w:hAnsi="Arial" w:cs="Arial"/>
                <w:sz w:val="22"/>
                <w:szCs w:val="22"/>
              </w:rPr>
              <w:t xml:space="preserve">1. The contact details of the </w:t>
            </w:r>
            <w:r w:rsidRPr="001A3664">
              <w:rPr>
                <w:rFonts w:ascii="Arial" w:eastAsia="ArialMT" w:hAnsi="Arial" w:cs="Arial"/>
                <w:i/>
                <w:sz w:val="22"/>
                <w:szCs w:val="22"/>
              </w:rPr>
              <w:t>Client’s</w:t>
            </w:r>
            <w:r w:rsidRPr="001A3664" w:rsidDel="00C57C99">
              <w:rPr>
                <w:rFonts w:ascii="Arial" w:eastAsia="ArialMT" w:hAnsi="Arial" w:cs="Arial"/>
                <w:i/>
                <w:sz w:val="22"/>
                <w:szCs w:val="22"/>
              </w:rPr>
              <w:t xml:space="preserve"> </w:t>
            </w:r>
            <w:r w:rsidRPr="001A3664">
              <w:rPr>
                <w:rFonts w:ascii="Arial" w:eastAsia="ArialMT" w:hAnsi="Arial" w:cs="Arial"/>
                <w:sz w:val="22"/>
                <w:szCs w:val="22"/>
              </w:rPr>
              <w:t>Data Protection Officer are Graham Woodhouse (dataprotectionadvice@highwaysengland.co.uk).</w:t>
            </w:r>
          </w:p>
        </w:tc>
      </w:tr>
      <w:tr w:rsidR="001A3664" w:rsidRPr="001A3664" w14:paraId="43C96410" w14:textId="77777777" w:rsidTr="45EC0CFD">
        <w:trPr>
          <w:jc w:val="center"/>
        </w:trPr>
        <w:tc>
          <w:tcPr>
            <w:tcW w:w="797" w:type="pct"/>
          </w:tcPr>
          <w:p w14:paraId="18DCCA62" w14:textId="77777777" w:rsidR="00716E70" w:rsidRPr="001A3664" w:rsidRDefault="00716E70" w:rsidP="000E1517">
            <w:pPr>
              <w:pStyle w:val="Style2"/>
              <w:spacing w:before="120"/>
              <w:rPr>
                <w:color w:val="auto"/>
                <w:sz w:val="22"/>
                <w:szCs w:val="22"/>
              </w:rPr>
            </w:pPr>
          </w:p>
        </w:tc>
        <w:tc>
          <w:tcPr>
            <w:tcW w:w="4203" w:type="pct"/>
          </w:tcPr>
          <w:p w14:paraId="694CD662" w14:textId="27547490" w:rsidR="00716E70" w:rsidRPr="001A3664" w:rsidRDefault="00716E70" w:rsidP="000E151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1A3664">
              <w:rPr>
                <w:rFonts w:ascii="Arial" w:eastAsia="ArialMT" w:hAnsi="Arial" w:cs="Arial"/>
                <w:sz w:val="22"/>
                <w:szCs w:val="22"/>
              </w:rPr>
              <w:t xml:space="preserve">2. The contact details of the </w:t>
            </w:r>
            <w:r w:rsidR="00DF288B" w:rsidRPr="00DF288B">
              <w:rPr>
                <w:rFonts w:ascii="Arial" w:eastAsia="ArialMT" w:hAnsi="Arial" w:cs="Arial"/>
                <w:i/>
                <w:sz w:val="22"/>
                <w:szCs w:val="22"/>
              </w:rPr>
              <w:t>Consultant</w:t>
            </w:r>
            <w:r w:rsidRPr="001A3664">
              <w:rPr>
                <w:rFonts w:ascii="Arial" w:eastAsia="ArialMT" w:hAnsi="Arial" w:cs="Arial"/>
                <w:sz w:val="22"/>
                <w:szCs w:val="22"/>
              </w:rPr>
              <w:t xml:space="preserve"> Data Protection Officer or nominated lead are per Contract Data part 2.</w:t>
            </w:r>
          </w:p>
        </w:tc>
      </w:tr>
      <w:tr w:rsidR="001A3664" w:rsidRPr="001A3664" w14:paraId="02EE9645" w14:textId="77777777" w:rsidTr="45EC0CFD">
        <w:trPr>
          <w:jc w:val="center"/>
        </w:trPr>
        <w:tc>
          <w:tcPr>
            <w:tcW w:w="797" w:type="pct"/>
          </w:tcPr>
          <w:p w14:paraId="20109A53" w14:textId="77777777" w:rsidR="00716E70" w:rsidRPr="001A3664" w:rsidRDefault="00716E70" w:rsidP="000E1517">
            <w:pPr>
              <w:pStyle w:val="BlockText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203" w:type="pct"/>
          </w:tcPr>
          <w:p w14:paraId="37FD13D5" w14:textId="6EAEBA24" w:rsidR="00716E70" w:rsidRPr="001A3664" w:rsidRDefault="00716E70" w:rsidP="000E151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1A3664">
              <w:rPr>
                <w:rFonts w:ascii="Arial" w:eastAsia="ArialMT" w:hAnsi="Arial" w:cs="Arial"/>
                <w:sz w:val="22"/>
                <w:szCs w:val="22"/>
              </w:rPr>
              <w:t xml:space="preserve">3. The </w:t>
            </w:r>
            <w:r w:rsidR="00DF288B" w:rsidRPr="00DF288B">
              <w:rPr>
                <w:rFonts w:ascii="Arial" w:eastAsia="ArialMT" w:hAnsi="Arial" w:cs="Arial"/>
                <w:i/>
                <w:sz w:val="22"/>
                <w:szCs w:val="22"/>
              </w:rPr>
              <w:t>Consultant</w:t>
            </w:r>
            <w:r w:rsidR="008D7A8B" w:rsidRPr="001A3664">
              <w:rPr>
                <w:rFonts w:ascii="Arial" w:eastAsia="ArialMT" w:hAnsi="Arial" w:cs="Arial"/>
                <w:sz w:val="22"/>
                <w:szCs w:val="22"/>
              </w:rPr>
              <w:t xml:space="preserve"> </w:t>
            </w:r>
            <w:r w:rsidRPr="001A3664">
              <w:rPr>
                <w:rFonts w:ascii="Arial" w:eastAsia="ArialMT" w:hAnsi="Arial" w:cs="Arial"/>
                <w:sz w:val="22"/>
                <w:szCs w:val="22"/>
              </w:rPr>
              <w:t xml:space="preserve">shall comply with any further written instructions with respect to processing by the </w:t>
            </w:r>
            <w:r w:rsidRPr="001A3664">
              <w:rPr>
                <w:rFonts w:ascii="Arial" w:eastAsia="ArialMT" w:hAnsi="Arial" w:cs="Arial"/>
                <w:i/>
                <w:sz w:val="22"/>
                <w:szCs w:val="22"/>
              </w:rPr>
              <w:t>Client</w:t>
            </w:r>
            <w:r w:rsidRPr="001A3664">
              <w:rPr>
                <w:rFonts w:ascii="Arial" w:eastAsia="ArialMT" w:hAnsi="Arial" w:cs="Arial"/>
                <w:sz w:val="22"/>
                <w:szCs w:val="22"/>
              </w:rPr>
              <w:t>.</w:t>
            </w:r>
          </w:p>
        </w:tc>
      </w:tr>
      <w:tr w:rsidR="00716E70" w14:paraId="2732A44A" w14:textId="77777777" w:rsidTr="45EC0CFD">
        <w:trPr>
          <w:jc w:val="center"/>
        </w:trPr>
        <w:tc>
          <w:tcPr>
            <w:tcW w:w="797" w:type="pct"/>
          </w:tcPr>
          <w:p w14:paraId="160777E9" w14:textId="77777777" w:rsidR="00716E70" w:rsidRPr="0008739C" w:rsidRDefault="00716E70" w:rsidP="000E1517">
            <w:pPr>
              <w:pStyle w:val="BlockText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203" w:type="pct"/>
          </w:tcPr>
          <w:p w14:paraId="378FEAE2" w14:textId="149A8A09" w:rsidR="00716E70" w:rsidRDefault="00716E70" w:rsidP="000E1517">
            <w:pPr>
              <w:spacing w:before="120" w:after="120" w:line="276" w:lineRule="auto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  <w:r w:rsidRPr="001B316C">
              <w:rPr>
                <w:rFonts w:ascii="Arial" w:eastAsia="ArialMT" w:hAnsi="Arial" w:cs="Arial"/>
                <w:color w:val="000000"/>
                <w:sz w:val="22"/>
                <w:szCs w:val="22"/>
              </w:rPr>
              <w:t xml:space="preserve">Any such further instructions </w:t>
            </w:r>
            <w:r w:rsidR="006762FC">
              <w:rPr>
                <w:rFonts w:ascii="Arial" w:eastAsia="ArialMT" w:hAnsi="Arial" w:cs="Arial"/>
                <w:color w:val="000000"/>
                <w:sz w:val="22"/>
                <w:szCs w:val="22"/>
              </w:rPr>
              <w:t>are</w:t>
            </w:r>
            <w:r w:rsidRPr="001B316C">
              <w:rPr>
                <w:rFonts w:ascii="Arial" w:eastAsia="ArialMT" w:hAnsi="Arial" w:cs="Arial"/>
                <w:color w:val="000000"/>
                <w:sz w:val="22"/>
                <w:szCs w:val="22"/>
              </w:rPr>
              <w:t xml:space="preserve"> </w:t>
            </w:r>
            <w:r w:rsidR="0022331D">
              <w:rPr>
                <w:rFonts w:ascii="Arial" w:eastAsia="ArialMT" w:hAnsi="Arial" w:cs="Arial"/>
                <w:color w:val="000000"/>
                <w:sz w:val="22"/>
                <w:szCs w:val="22"/>
              </w:rPr>
              <w:t xml:space="preserve">to be </w:t>
            </w:r>
            <w:r w:rsidRPr="001B316C">
              <w:rPr>
                <w:rFonts w:ascii="Arial" w:eastAsia="ArialMT" w:hAnsi="Arial" w:cs="Arial"/>
                <w:color w:val="000000"/>
                <w:sz w:val="22"/>
                <w:szCs w:val="22"/>
              </w:rPr>
              <w:t>incorporated into this table.</w:t>
            </w:r>
          </w:p>
        </w:tc>
      </w:tr>
      <w:tr w:rsidR="00716E70" w:rsidRPr="001B316C" w14:paraId="557FE099" w14:textId="77777777" w:rsidTr="45EC0CFD">
        <w:trPr>
          <w:jc w:val="center"/>
        </w:trPr>
        <w:tc>
          <w:tcPr>
            <w:tcW w:w="5000" w:type="pct"/>
            <w:gridSpan w:val="2"/>
          </w:tcPr>
          <w:p w14:paraId="5CD56999" w14:textId="77777777" w:rsidR="00716E70" w:rsidRDefault="00716E70" w:rsidP="000E1517">
            <w:pPr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7"/>
              <w:gridCol w:w="5579"/>
            </w:tblGrid>
            <w:tr w:rsidR="00716E70" w:rsidRPr="008B5219" w14:paraId="5C9AF1D0" w14:textId="77777777" w:rsidTr="45EC0CFD">
              <w:trPr>
                <w:jc w:val="center"/>
              </w:trPr>
              <w:tc>
                <w:tcPr>
                  <w:tcW w:w="3407" w:type="dxa"/>
                  <w:shd w:val="clear" w:color="auto" w:fill="BFBFBF" w:themeFill="background1" w:themeFillShade="BF"/>
                </w:tcPr>
                <w:p w14:paraId="0240EDB3" w14:textId="77777777" w:rsidR="00716E70" w:rsidRPr="008B5219" w:rsidRDefault="00716E70" w:rsidP="000E151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hAnsi="Arial" w:cs="Arial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5579" w:type="dxa"/>
                  <w:shd w:val="clear" w:color="auto" w:fill="BFBFBF" w:themeFill="background1" w:themeFillShade="BF"/>
                </w:tcPr>
                <w:p w14:paraId="0FEB9AB6" w14:textId="77777777" w:rsidR="00716E70" w:rsidRPr="008B5219" w:rsidRDefault="00716E70" w:rsidP="000E151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hAnsi="Arial" w:cs="Arial"/>
                      <w:sz w:val="20"/>
                      <w:szCs w:val="20"/>
                    </w:rPr>
                    <w:t>Details</w:t>
                  </w:r>
                </w:p>
              </w:tc>
            </w:tr>
            <w:tr w:rsidR="00716E70" w:rsidRPr="008B5219" w14:paraId="2942CFD2" w14:textId="77777777" w:rsidTr="45EC0CFD">
              <w:trPr>
                <w:jc w:val="center"/>
              </w:trPr>
              <w:tc>
                <w:tcPr>
                  <w:tcW w:w="3407" w:type="dxa"/>
                </w:tcPr>
                <w:p w14:paraId="3F3BA429" w14:textId="2C8D2C54" w:rsidR="00716E70" w:rsidRPr="008B5219" w:rsidRDefault="00716E70" w:rsidP="000E1517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B5219">
                    <w:rPr>
                      <w:rFonts w:ascii="Arial" w:hAnsi="Arial" w:cs="Arial"/>
                      <w:sz w:val="20"/>
                      <w:szCs w:val="20"/>
                    </w:rPr>
                    <w:t xml:space="preserve">Identity of the </w:t>
                  </w:r>
                  <w:r w:rsidRPr="001A366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Client </w:t>
                  </w:r>
                  <w:r w:rsidRPr="008B5219">
                    <w:rPr>
                      <w:rFonts w:ascii="Arial" w:hAnsi="Arial" w:cs="Arial"/>
                      <w:sz w:val="20"/>
                      <w:szCs w:val="20"/>
                    </w:rPr>
                    <w:t xml:space="preserve">and </w:t>
                  </w:r>
                  <w:r w:rsidR="00DF288B" w:rsidRPr="00465634">
                    <w:rPr>
                      <w:rFonts w:ascii="Arial" w:eastAsia="ArialMT" w:hAnsi="Arial" w:cs="Arial"/>
                      <w:i/>
                      <w:sz w:val="20"/>
                      <w:szCs w:val="20"/>
                    </w:rPr>
                    <w:t>Consultant</w:t>
                  </w:r>
                </w:p>
              </w:tc>
              <w:tc>
                <w:tcPr>
                  <w:tcW w:w="5579" w:type="dxa"/>
                </w:tcPr>
                <w:p w14:paraId="6E158C70" w14:textId="6D094A68" w:rsidR="00716E70" w:rsidRPr="008B5219" w:rsidRDefault="00716E70" w:rsidP="45EC0C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</w:pPr>
                  <w:r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 xml:space="preserve">The Parties acknowledge that for the purposes of the Data Protection Legislation, the </w:t>
                  </w:r>
                  <w:r w:rsidRPr="45EC0CFD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bidi="he-IL"/>
                    </w:rPr>
                    <w:t>Client</w:t>
                  </w:r>
                  <w:r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 xml:space="preserve"> is the </w:t>
                  </w:r>
                  <w:r w:rsidR="00465634"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 xml:space="preserve">Data </w:t>
                  </w:r>
                  <w:r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 xml:space="preserve">Controller and the </w:t>
                  </w:r>
                  <w:r w:rsidR="00DF288B" w:rsidRPr="45EC0CFD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bidi="he-IL"/>
                    </w:rPr>
                    <w:t>Consultant</w:t>
                  </w:r>
                  <w:r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 xml:space="preserve"> is the Processor in accordance with </w:t>
                  </w:r>
                  <w:r w:rsidR="596076C6"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>paragraph</w:t>
                  </w:r>
                  <w:r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 xml:space="preserve"> </w:t>
                  </w:r>
                  <w:r w:rsidR="006762FC"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>1.1.2</w:t>
                  </w:r>
                  <w:r w:rsidR="596076C6"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 xml:space="preserve"> of this Annex</w:t>
                  </w:r>
                  <w:r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>.</w:t>
                  </w:r>
                </w:p>
                <w:p w14:paraId="4BB992D5" w14:textId="77777777" w:rsidR="00716E70" w:rsidRPr="008B5219" w:rsidRDefault="00716E70" w:rsidP="45EC0C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716E70" w:rsidRPr="008B5219" w14:paraId="77177B65" w14:textId="77777777" w:rsidTr="45EC0CFD">
              <w:trPr>
                <w:jc w:val="center"/>
              </w:trPr>
              <w:tc>
                <w:tcPr>
                  <w:tcW w:w="3407" w:type="dxa"/>
                </w:tcPr>
                <w:p w14:paraId="032B67FC" w14:textId="77777777" w:rsidR="00716E70" w:rsidRPr="008B5219" w:rsidRDefault="00716E70" w:rsidP="000E151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hAnsi="Arial" w:cs="Arial"/>
                      <w:sz w:val="20"/>
                      <w:szCs w:val="20"/>
                    </w:rPr>
                    <w:t>Subject matter of the processing</w:t>
                  </w:r>
                </w:p>
              </w:tc>
              <w:tc>
                <w:tcPr>
                  <w:tcW w:w="5579" w:type="dxa"/>
                </w:tcPr>
                <w:p w14:paraId="2945D560" w14:textId="5020C0BF" w:rsidR="00716E70" w:rsidRPr="008B5219" w:rsidRDefault="00716E70" w:rsidP="45EC0C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</w:pPr>
                  <w:r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 xml:space="preserve">The processing is needed </w:t>
                  </w:r>
                  <w:proofErr w:type="gramStart"/>
                  <w:r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>in order to</w:t>
                  </w:r>
                  <w:proofErr w:type="gramEnd"/>
                  <w:r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 xml:space="preserve"> ensure that the Processor can effectively provide </w:t>
                  </w:r>
                  <w:r w:rsidR="0425F0F0"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 xml:space="preserve">the </w:t>
                  </w:r>
                  <w:r w:rsidR="79D57294" w:rsidRPr="45EC0CFD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bidi="he-IL"/>
                    </w:rPr>
                    <w:t>S</w:t>
                  </w:r>
                  <w:r w:rsidRPr="45EC0CFD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bidi="he-IL"/>
                    </w:rPr>
                    <w:t>ervice</w:t>
                  </w:r>
                  <w:r w:rsidRPr="45EC0CFD">
                    <w:rPr>
                      <w:rFonts w:ascii="Arial" w:hAnsi="Arial" w:cs="Arial"/>
                      <w:sz w:val="20"/>
                      <w:szCs w:val="20"/>
                      <w:lang w:bidi="he-IL"/>
                    </w:rPr>
                    <w:t>.</w:t>
                  </w:r>
                </w:p>
              </w:tc>
            </w:tr>
            <w:tr w:rsidR="00716E70" w:rsidRPr="008B5219" w14:paraId="1879A847" w14:textId="77777777" w:rsidTr="45EC0CFD">
              <w:trPr>
                <w:jc w:val="center"/>
              </w:trPr>
              <w:tc>
                <w:tcPr>
                  <w:tcW w:w="3407" w:type="dxa"/>
                </w:tcPr>
                <w:p w14:paraId="5AE5C262" w14:textId="77777777" w:rsidR="00716E70" w:rsidRPr="008B5219" w:rsidRDefault="00716E70" w:rsidP="000E1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MT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Duration of the</w:t>
                  </w:r>
                </w:p>
                <w:p w14:paraId="3B5F0AA2" w14:textId="77777777" w:rsidR="00716E70" w:rsidRPr="008B5219" w:rsidRDefault="00716E70" w:rsidP="000E151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processing</w:t>
                  </w:r>
                </w:p>
              </w:tc>
              <w:tc>
                <w:tcPr>
                  <w:tcW w:w="5579" w:type="dxa"/>
                </w:tcPr>
                <w:p w14:paraId="39AF631A" w14:textId="6C9B00BD" w:rsidR="00716E70" w:rsidRPr="008B5219" w:rsidRDefault="1D3BFE69" w:rsidP="45EC0CFD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Throughout the term of the </w:t>
                  </w:r>
                  <w:r w:rsidR="00160943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s</w:t>
                  </w:r>
                  <w:r w:rsidRPr="45EC0CFD">
                    <w:rPr>
                      <w:rFonts w:ascii="Arial" w:eastAsia="Arial" w:hAnsi="Arial" w:cs="Arial"/>
                      <w:i/>
                      <w:iCs/>
                      <w:color w:val="000000" w:themeColor="text1"/>
                      <w:sz w:val="20"/>
                      <w:szCs w:val="20"/>
                    </w:rPr>
                    <w:t>ervice</w:t>
                  </w:r>
                </w:p>
              </w:tc>
            </w:tr>
            <w:tr w:rsidR="00716E70" w:rsidRPr="008B5219" w14:paraId="725E7C61" w14:textId="77777777" w:rsidTr="45EC0CFD">
              <w:trPr>
                <w:jc w:val="center"/>
              </w:trPr>
              <w:tc>
                <w:tcPr>
                  <w:tcW w:w="3407" w:type="dxa"/>
                </w:tcPr>
                <w:p w14:paraId="0E395861" w14:textId="77777777" w:rsidR="00716E70" w:rsidRPr="008B5219" w:rsidRDefault="00716E70" w:rsidP="000E1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MT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Nature and purposes of</w:t>
                  </w:r>
                </w:p>
                <w:p w14:paraId="490037A3" w14:textId="77777777" w:rsidR="00716E70" w:rsidRPr="008B5219" w:rsidRDefault="00716E70" w:rsidP="000E151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the processing</w:t>
                  </w:r>
                </w:p>
              </w:tc>
              <w:tc>
                <w:tcPr>
                  <w:tcW w:w="5579" w:type="dxa"/>
                </w:tcPr>
                <w:p w14:paraId="6C396ED9" w14:textId="2E47E1EF" w:rsidR="00716E70" w:rsidRPr="008B5219" w:rsidRDefault="7AE96387" w:rsidP="45EC0CFD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The nature of the processing means any operation such as</w:t>
                  </w:r>
                  <w:r w:rsidRPr="45EC0CF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collection, recording,</w:t>
                  </w:r>
                  <w:r w:rsidRPr="45EC0CF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storage, use,</w:t>
                  </w:r>
                  <w:r w:rsidRPr="45EC0CF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disclosure by transmission</w:t>
                  </w:r>
                </w:p>
              </w:tc>
            </w:tr>
            <w:tr w:rsidR="00716E70" w:rsidRPr="008B5219" w14:paraId="6036982F" w14:textId="77777777" w:rsidTr="45EC0CFD">
              <w:trPr>
                <w:jc w:val="center"/>
              </w:trPr>
              <w:tc>
                <w:tcPr>
                  <w:tcW w:w="3407" w:type="dxa"/>
                </w:tcPr>
                <w:p w14:paraId="2DD697B1" w14:textId="77777777" w:rsidR="00716E70" w:rsidRPr="008B5219" w:rsidRDefault="00716E70" w:rsidP="000E151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Type of Personal Data</w:t>
                  </w:r>
                </w:p>
              </w:tc>
              <w:tc>
                <w:tcPr>
                  <w:tcW w:w="5579" w:type="dxa"/>
                </w:tcPr>
                <w:p w14:paraId="5C7D9207" w14:textId="7966DDE5" w:rsidR="00716E70" w:rsidRPr="008B5219" w:rsidRDefault="1F8AE603" w:rsidP="45EC0C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Business contact details of </w:t>
                  </w:r>
                  <w:r w:rsidRPr="00533D58">
                    <w:rPr>
                      <w:rFonts w:ascii="Arial" w:eastAsia="Arial" w:hAnsi="Arial" w:cs="Arial"/>
                      <w:i/>
                      <w:color w:val="000000" w:themeColor="text1"/>
                      <w:sz w:val="20"/>
                      <w:szCs w:val="20"/>
                    </w:rPr>
                    <w:t>Consultant</w:t>
                  </w: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 personnel</w:t>
                  </w:r>
                </w:p>
                <w:p w14:paraId="1C861DEC" w14:textId="0FD22251" w:rsidR="00716E70" w:rsidRPr="008B5219" w:rsidRDefault="1F8AE603" w:rsidP="45EC0C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Business contact details of any directors, officers, employees, agents, consultants and contractors of the </w:t>
                  </w:r>
                  <w:r w:rsidRPr="00533D58">
                    <w:rPr>
                      <w:rFonts w:ascii="Arial" w:eastAsia="Arial" w:hAnsi="Arial" w:cs="Arial"/>
                      <w:i/>
                      <w:color w:val="000000" w:themeColor="text1"/>
                      <w:sz w:val="20"/>
                      <w:szCs w:val="20"/>
                    </w:rPr>
                    <w:t>Client</w:t>
                  </w: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 (excluding the </w:t>
                  </w:r>
                  <w:r w:rsidRPr="00533D58">
                    <w:rPr>
                      <w:rFonts w:ascii="Arial" w:eastAsia="Arial" w:hAnsi="Arial" w:cs="Arial"/>
                      <w:i/>
                      <w:color w:val="000000" w:themeColor="text1"/>
                      <w:sz w:val="20"/>
                      <w:szCs w:val="20"/>
                    </w:rPr>
                    <w:t>Consultant’s</w:t>
                  </w: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 personnel) engaged in the performance of the </w:t>
                  </w:r>
                  <w:r w:rsidRPr="00533D58">
                    <w:rPr>
                      <w:rFonts w:ascii="Arial" w:eastAsia="Arial" w:hAnsi="Arial" w:cs="Arial"/>
                      <w:i/>
                      <w:color w:val="000000" w:themeColor="text1"/>
                      <w:sz w:val="20"/>
                      <w:szCs w:val="20"/>
                    </w:rPr>
                    <w:t>Client’s</w:t>
                  </w:r>
                  <w:r w:rsidRPr="45EC0CFD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 xml:space="preserve"> duties under this agreement</w:t>
                  </w:r>
                </w:p>
              </w:tc>
            </w:tr>
            <w:tr w:rsidR="00716E70" w:rsidRPr="008B5219" w14:paraId="63BD37D2" w14:textId="77777777" w:rsidTr="45EC0CFD">
              <w:trPr>
                <w:jc w:val="center"/>
              </w:trPr>
              <w:tc>
                <w:tcPr>
                  <w:tcW w:w="3407" w:type="dxa"/>
                </w:tcPr>
                <w:p w14:paraId="29793EC8" w14:textId="77777777" w:rsidR="00716E70" w:rsidRPr="008B5219" w:rsidRDefault="00716E70" w:rsidP="000E1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MT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Categories of Data</w:t>
                  </w:r>
                </w:p>
                <w:p w14:paraId="2B6A543A" w14:textId="77777777" w:rsidR="00716E70" w:rsidRPr="008B5219" w:rsidRDefault="00716E70" w:rsidP="000E151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Subject</w:t>
                  </w:r>
                </w:p>
              </w:tc>
              <w:tc>
                <w:tcPr>
                  <w:tcW w:w="5579" w:type="dxa"/>
                </w:tcPr>
                <w:p w14:paraId="292DF92F" w14:textId="7ECC0EBC" w:rsidR="00716E70" w:rsidRPr="008B5219" w:rsidRDefault="4F017BA2" w:rsidP="45EC0C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45EC0CFD">
                    <w:rPr>
                      <w:rFonts w:ascii="Arial" w:eastAsia="Arial" w:hAnsi="Arial" w:cs="Arial"/>
                      <w:sz w:val="20"/>
                      <w:szCs w:val="20"/>
                    </w:rPr>
                    <w:t>Staff (including volunteers, agents, and temporary workers), customers/ clients, suppliers</w:t>
                  </w:r>
                </w:p>
              </w:tc>
            </w:tr>
            <w:tr w:rsidR="00716E70" w:rsidRPr="008B5219" w14:paraId="2BD79816" w14:textId="77777777" w:rsidTr="45EC0CFD">
              <w:trPr>
                <w:jc w:val="center"/>
              </w:trPr>
              <w:tc>
                <w:tcPr>
                  <w:tcW w:w="3407" w:type="dxa"/>
                </w:tcPr>
                <w:p w14:paraId="6D135285" w14:textId="77777777" w:rsidR="00716E70" w:rsidRPr="008B5219" w:rsidRDefault="00716E70" w:rsidP="000E1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MT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Plan for return and</w:t>
                  </w:r>
                </w:p>
                <w:p w14:paraId="1951B35A" w14:textId="77777777" w:rsidR="00716E70" w:rsidRPr="008B5219" w:rsidRDefault="00716E70" w:rsidP="000E1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MT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destruction of the data</w:t>
                  </w:r>
                </w:p>
                <w:p w14:paraId="6E5A410F" w14:textId="77777777" w:rsidR="00716E70" w:rsidRPr="008B5219" w:rsidRDefault="00716E70" w:rsidP="000E1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MT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once the processing is</w:t>
                  </w:r>
                </w:p>
                <w:p w14:paraId="177ED397" w14:textId="77777777" w:rsidR="00716E70" w:rsidRPr="008B5219" w:rsidRDefault="00716E70" w:rsidP="000E1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MT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complete UNLESS</w:t>
                  </w:r>
                </w:p>
                <w:p w14:paraId="7787F423" w14:textId="77777777" w:rsidR="00716E70" w:rsidRPr="008B5219" w:rsidRDefault="00716E70" w:rsidP="000E1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MT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requirement under union</w:t>
                  </w:r>
                </w:p>
                <w:p w14:paraId="35ADC9F8" w14:textId="77777777" w:rsidR="00716E70" w:rsidRPr="008B5219" w:rsidRDefault="00716E70" w:rsidP="000E1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MT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or member state law to</w:t>
                  </w:r>
                </w:p>
                <w:p w14:paraId="6729EE42" w14:textId="77777777" w:rsidR="00716E70" w:rsidRPr="008B5219" w:rsidRDefault="00716E70" w:rsidP="000E15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MT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preserve that type of</w:t>
                  </w:r>
                </w:p>
                <w:p w14:paraId="4EA63889" w14:textId="77777777" w:rsidR="00716E70" w:rsidRPr="008B5219" w:rsidRDefault="00716E70" w:rsidP="000E151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219">
                    <w:rPr>
                      <w:rFonts w:ascii="Arial" w:eastAsia="ArialMT" w:hAnsi="Arial" w:cs="Arial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5579" w:type="dxa"/>
                </w:tcPr>
                <w:p w14:paraId="59D3C273" w14:textId="17650CE2" w:rsidR="00716E70" w:rsidRPr="008B5219" w:rsidRDefault="42EC4EE8" w:rsidP="45EC0C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45EC0CFD">
                    <w:rPr>
                      <w:rFonts w:ascii="Arial" w:eastAsia="Arial" w:hAnsi="Arial" w:cs="Arial"/>
                      <w:sz w:val="20"/>
                      <w:szCs w:val="20"/>
                    </w:rPr>
                    <w:t>Data will be retained for the duration of the contract term</w:t>
                  </w:r>
                </w:p>
              </w:tc>
            </w:tr>
          </w:tbl>
          <w:p w14:paraId="08F24376" w14:textId="77777777" w:rsidR="00716E70" w:rsidRDefault="00716E70" w:rsidP="000E1517">
            <w:pPr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  <w:p w14:paraId="5112B393" w14:textId="77777777" w:rsidR="00716E70" w:rsidRPr="001B316C" w:rsidRDefault="00716E70" w:rsidP="000E1517">
            <w:pPr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</w:tr>
    </w:tbl>
    <w:p w14:paraId="6E4A9FFB" w14:textId="77777777" w:rsidR="004E1BE9" w:rsidRPr="00D11B04" w:rsidRDefault="004E1BE9" w:rsidP="004E1BE9">
      <w:pPr>
        <w:rPr>
          <w:rFonts w:ascii="Arial" w:hAnsi="Arial" w:cs="Arial"/>
          <w:sz w:val="22"/>
          <w:szCs w:val="22"/>
        </w:rPr>
      </w:pPr>
    </w:p>
    <w:sectPr w:rsidR="004E1BE9" w:rsidRPr="00D11B04"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67969" w14:textId="77777777" w:rsidR="00F96D14" w:rsidRDefault="00F96D14">
      <w:r>
        <w:separator/>
      </w:r>
    </w:p>
  </w:endnote>
  <w:endnote w:type="continuationSeparator" w:id="0">
    <w:p w14:paraId="30AAA499" w14:textId="77777777" w:rsidR="00F96D14" w:rsidRDefault="00F96D14">
      <w:r>
        <w:continuationSeparator/>
      </w:r>
    </w:p>
  </w:endnote>
  <w:endnote w:type="continuationNotice" w:id="1">
    <w:p w14:paraId="50F1EFB8" w14:textId="77777777" w:rsidR="00F96D14" w:rsidRDefault="00F96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03E6D" w14:textId="5E8C8ACA" w:rsidR="002C7E98" w:rsidRPr="00C659B9" w:rsidRDefault="002C7E98" w:rsidP="00CF008F">
    <w:pPr>
      <w:pStyle w:val="Footer"/>
      <w:pBdr>
        <w:top w:val="single" w:sz="4" w:space="1" w:color="auto"/>
      </w:pBdr>
      <w:rPr>
        <w:rFonts w:ascii="Arial" w:hAnsi="Arial" w:cs="Arial"/>
        <w:color w:val="FF0000"/>
        <w:sz w:val="22"/>
        <w:szCs w:val="22"/>
      </w:rPr>
    </w:pPr>
    <w:r w:rsidRPr="004F2FB5">
      <w:rPr>
        <w:rFonts w:ascii="Arial" w:hAnsi="Arial" w:cs="Arial"/>
        <w:sz w:val="22"/>
        <w:szCs w:val="22"/>
      </w:rPr>
      <w:t xml:space="preserve">Issue 01, Revision </w:t>
    </w:r>
    <w:r w:rsidR="002E5028">
      <w:rPr>
        <w:rStyle w:val="PageNumber"/>
        <w:rFonts w:ascii="Arial" w:hAnsi="Arial" w:cs="Arial"/>
        <w:sz w:val="22"/>
        <w:szCs w:val="22"/>
      </w:rPr>
      <w:t>0.1</w:t>
    </w:r>
    <w:r w:rsidRPr="004F2FB5">
      <w:rPr>
        <w:rStyle w:val="PageNumber"/>
        <w:rFonts w:ascii="Arial" w:hAnsi="Arial" w:cs="Arial"/>
        <w:sz w:val="22"/>
        <w:szCs w:val="22"/>
      </w:rPr>
      <w:ptab w:relativeTo="margin" w:alignment="center" w:leader="none"/>
    </w:r>
    <w:r w:rsidRPr="004F2FB5">
      <w:rPr>
        <w:rStyle w:val="PageNumber"/>
        <w:rFonts w:ascii="Arial" w:hAnsi="Arial" w:cs="Arial"/>
        <w:sz w:val="22"/>
        <w:szCs w:val="22"/>
      </w:rPr>
      <w:t xml:space="preserve">Page </w:t>
    </w:r>
    <w:r w:rsidRPr="00C659B9">
      <w:rPr>
        <w:rStyle w:val="PageNumber"/>
        <w:rFonts w:ascii="Arial" w:hAnsi="Arial" w:cs="Arial"/>
        <w:sz w:val="22"/>
        <w:szCs w:val="22"/>
      </w:rPr>
      <w:fldChar w:fldCharType="begin"/>
    </w:r>
    <w:r w:rsidRPr="00C659B9">
      <w:rPr>
        <w:rStyle w:val="PageNumber"/>
        <w:rFonts w:ascii="Arial" w:hAnsi="Arial" w:cs="Arial"/>
        <w:sz w:val="22"/>
        <w:szCs w:val="22"/>
      </w:rPr>
      <w:instrText xml:space="preserve"> PAGE   \* MERGEFORMAT </w:instrText>
    </w:r>
    <w:r w:rsidRPr="00C659B9">
      <w:rPr>
        <w:rStyle w:val="PageNumber"/>
        <w:rFonts w:ascii="Arial" w:hAnsi="Arial" w:cs="Arial"/>
        <w:sz w:val="22"/>
        <w:szCs w:val="22"/>
      </w:rPr>
      <w:fldChar w:fldCharType="separate"/>
    </w:r>
    <w:r w:rsidR="003B29CD">
      <w:rPr>
        <w:rStyle w:val="PageNumber"/>
        <w:rFonts w:ascii="Arial" w:hAnsi="Arial" w:cs="Arial"/>
        <w:noProof/>
        <w:sz w:val="22"/>
        <w:szCs w:val="22"/>
      </w:rPr>
      <w:t>1</w:t>
    </w:r>
    <w:r w:rsidRPr="00C659B9">
      <w:rPr>
        <w:rStyle w:val="PageNumber"/>
        <w:rFonts w:ascii="Arial" w:hAnsi="Arial" w:cs="Arial"/>
        <w:sz w:val="22"/>
        <w:szCs w:val="22"/>
      </w:rPr>
      <w:fldChar w:fldCharType="end"/>
    </w:r>
    <w:r w:rsidRPr="00C659B9">
      <w:rPr>
        <w:rStyle w:val="PageNumber"/>
        <w:rFonts w:ascii="Arial" w:hAnsi="Arial" w:cs="Arial"/>
        <w:sz w:val="22"/>
        <w:szCs w:val="22"/>
      </w:rPr>
      <w:t xml:space="preserve"> of </w:t>
    </w:r>
    <w:r w:rsidRPr="00C659B9">
      <w:rPr>
        <w:rStyle w:val="PageNumber"/>
        <w:rFonts w:ascii="Arial" w:hAnsi="Arial" w:cs="Arial"/>
        <w:sz w:val="22"/>
        <w:szCs w:val="22"/>
      </w:rPr>
      <w:fldChar w:fldCharType="begin"/>
    </w:r>
    <w:r w:rsidRPr="00C659B9">
      <w:rPr>
        <w:rStyle w:val="PageNumber"/>
        <w:rFonts w:ascii="Arial" w:hAnsi="Arial" w:cs="Arial"/>
        <w:sz w:val="22"/>
        <w:szCs w:val="22"/>
      </w:rPr>
      <w:instrText xml:space="preserve"> NUMPAGES   \* MERGEFORMAT </w:instrText>
    </w:r>
    <w:r w:rsidRPr="00C659B9">
      <w:rPr>
        <w:rStyle w:val="PageNumber"/>
        <w:rFonts w:ascii="Arial" w:hAnsi="Arial" w:cs="Arial"/>
        <w:sz w:val="22"/>
        <w:szCs w:val="22"/>
      </w:rPr>
      <w:fldChar w:fldCharType="separate"/>
    </w:r>
    <w:r w:rsidR="003B29CD">
      <w:rPr>
        <w:rStyle w:val="PageNumber"/>
        <w:rFonts w:ascii="Arial" w:hAnsi="Arial" w:cs="Arial"/>
        <w:noProof/>
        <w:sz w:val="22"/>
        <w:szCs w:val="22"/>
      </w:rPr>
      <w:t>9</w:t>
    </w:r>
    <w:r w:rsidRPr="00C659B9">
      <w:rPr>
        <w:rStyle w:val="PageNumber"/>
        <w:rFonts w:ascii="Arial" w:hAnsi="Arial" w:cs="Arial"/>
        <w:sz w:val="22"/>
        <w:szCs w:val="22"/>
      </w:rPr>
      <w:fldChar w:fldCharType="end"/>
    </w:r>
    <w:r w:rsidRPr="00C659B9">
      <w:rPr>
        <w:rStyle w:val="PageNumber"/>
        <w:rFonts w:ascii="Arial" w:hAnsi="Arial" w:cs="Arial"/>
        <w:sz w:val="22"/>
        <w:szCs w:val="22"/>
      </w:rPr>
      <w:tab/>
      <w:t xml:space="preserve">    </w:t>
    </w:r>
    <w:r w:rsidRPr="008A0C96">
      <w:rPr>
        <w:rStyle w:val="PageNumber"/>
        <w:rFonts w:ascii="Arial" w:hAnsi="Arial" w:cs="Arial"/>
        <w:color w:val="FF0000"/>
        <w:sz w:val="22"/>
        <w:szCs w:val="22"/>
      </w:rPr>
      <w:t xml:space="preserve"> </w:t>
    </w:r>
    <w:r w:rsidRPr="006366CF">
      <w:rPr>
        <w:rStyle w:val="PageNumber"/>
        <w:rFonts w:ascii="Arial" w:hAnsi="Arial" w:cs="Arial"/>
        <w:sz w:val="22"/>
        <w:szCs w:val="22"/>
      </w:rPr>
      <w:t>Ju</w:t>
    </w:r>
    <w:r w:rsidR="00D23764">
      <w:rPr>
        <w:rStyle w:val="PageNumber"/>
        <w:rFonts w:ascii="Arial" w:hAnsi="Arial" w:cs="Arial"/>
        <w:sz w:val="22"/>
        <w:szCs w:val="22"/>
      </w:rPr>
      <w:t>ne</w:t>
    </w:r>
    <w:r w:rsidRPr="006366CF">
      <w:rPr>
        <w:rStyle w:val="PageNumber"/>
        <w:rFonts w:ascii="Arial" w:hAnsi="Arial" w:cs="Arial"/>
        <w:sz w:val="22"/>
        <w:szCs w:val="22"/>
      </w:rPr>
      <w:t xml:space="preserve"> 202</w:t>
    </w:r>
    <w:r w:rsidR="00D23764">
      <w:rPr>
        <w:rStyle w:val="PageNumber"/>
        <w:rFonts w:ascii="Arial" w:hAnsi="Arial" w:cs="Arial"/>
        <w:sz w:val="22"/>
        <w:szCs w:val="22"/>
      </w:rPr>
      <w:t>1</w:t>
    </w:r>
  </w:p>
  <w:p w14:paraId="707F377A" w14:textId="4A2E3691" w:rsidR="002C7E98" w:rsidRPr="00394EAD" w:rsidRDefault="002C7E98" w:rsidP="00CF008F">
    <w:pPr>
      <w:pStyle w:val="Footer"/>
      <w:tabs>
        <w:tab w:val="right" w:pos="8364"/>
        <w:tab w:val="right" w:pos="8789"/>
      </w:tabs>
      <w:ind w:right="-29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76C08" w14:textId="77777777" w:rsidR="00F96D14" w:rsidRDefault="00F96D14">
      <w:r>
        <w:separator/>
      </w:r>
    </w:p>
  </w:footnote>
  <w:footnote w:type="continuationSeparator" w:id="0">
    <w:p w14:paraId="0D556131" w14:textId="77777777" w:rsidR="00F96D14" w:rsidRDefault="00F96D14">
      <w:r>
        <w:continuationSeparator/>
      </w:r>
    </w:p>
  </w:footnote>
  <w:footnote w:type="continuationNotice" w:id="1">
    <w:p w14:paraId="4E0036ED" w14:textId="77777777" w:rsidR="00F96D14" w:rsidRDefault="00F96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D05AE" w14:textId="3B051D77" w:rsidR="002C7E98" w:rsidRPr="00CF008F" w:rsidRDefault="00055839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 xml:space="preserve">National </w:t>
    </w:r>
    <w:r w:rsidR="002C7E98" w:rsidRPr="00CF008F">
      <w:rPr>
        <w:rFonts w:ascii="Arial" w:hAnsi="Arial"/>
        <w:sz w:val="22"/>
      </w:rPr>
      <w:t xml:space="preserve">Highways                                                                                        </w:t>
    </w:r>
    <w:r w:rsidR="002C7E98" w:rsidRPr="00CF008F">
      <w:rPr>
        <w:rFonts w:ascii="Arial" w:hAnsi="Arial"/>
        <w:sz w:val="22"/>
      </w:rPr>
      <w:tab/>
      <w:t>Scope</w:t>
    </w:r>
  </w:p>
  <w:p w14:paraId="58A9859A" w14:textId="1D493150" w:rsidR="003B29CD" w:rsidRDefault="002C7E98">
    <w:pPr>
      <w:pStyle w:val="Header"/>
      <w:rPr>
        <w:rFonts w:ascii="Arial" w:hAnsi="Arial"/>
        <w:sz w:val="22"/>
      </w:rPr>
    </w:pPr>
    <w:r w:rsidRPr="00CF008F">
      <w:rPr>
        <w:rFonts w:ascii="Arial" w:hAnsi="Arial"/>
        <w:sz w:val="22"/>
      </w:rPr>
      <w:t xml:space="preserve">Professional Service </w:t>
    </w:r>
    <w:r>
      <w:rPr>
        <w:rFonts w:ascii="Arial" w:hAnsi="Arial"/>
        <w:sz w:val="22"/>
      </w:rPr>
      <w:t>Short C</w:t>
    </w:r>
    <w:r w:rsidRPr="00CF008F">
      <w:rPr>
        <w:rFonts w:ascii="Arial" w:hAnsi="Arial"/>
        <w:sz w:val="22"/>
      </w:rPr>
      <w:t>ontract</w:t>
    </w:r>
    <w:r w:rsidR="003B29CD">
      <w:rPr>
        <w:rFonts w:ascii="Arial" w:hAnsi="Arial"/>
        <w:sz w:val="22"/>
      </w:rPr>
      <w:t xml:space="preserve"> for the</w:t>
    </w:r>
    <w:r w:rsidR="003B29CD" w:rsidRPr="003B29CD">
      <w:rPr>
        <w:rFonts w:ascii="Arial" w:hAnsi="Arial"/>
        <w:sz w:val="22"/>
      </w:rPr>
      <w:t xml:space="preserve"> </w:t>
    </w:r>
    <w:r w:rsidR="003B29CD">
      <w:rPr>
        <w:rFonts w:ascii="Arial" w:hAnsi="Arial"/>
        <w:sz w:val="22"/>
      </w:rPr>
      <w:tab/>
    </w:r>
    <w:r w:rsidR="003B29CD" w:rsidRPr="00CF008F">
      <w:rPr>
        <w:rFonts w:ascii="Arial" w:hAnsi="Arial"/>
        <w:sz w:val="22"/>
      </w:rPr>
      <w:t>Annex 0</w:t>
    </w:r>
    <w:r w:rsidR="003B29CD">
      <w:rPr>
        <w:rFonts w:ascii="Arial" w:hAnsi="Arial"/>
        <w:sz w:val="22"/>
      </w:rPr>
      <w:t>8</w:t>
    </w:r>
  </w:p>
  <w:p w14:paraId="707F3775" w14:textId="15CDB551" w:rsidR="002C7E98" w:rsidRPr="00CF008F" w:rsidRDefault="003B29CD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>detailed design of contestable assets</w:t>
    </w:r>
    <w:r w:rsidR="002C7E98" w:rsidRPr="00CF008F">
      <w:rPr>
        <w:rFonts w:ascii="Arial" w:hAnsi="Arial"/>
        <w:sz w:val="22"/>
      </w:rPr>
      <w:tab/>
    </w:r>
    <w:r w:rsidR="002C7E98" w:rsidRPr="00CF008F">
      <w:rPr>
        <w:rFonts w:ascii="Arial" w:hAnsi="Arial"/>
        <w:sz w:val="22"/>
      </w:rPr>
      <w:tab/>
    </w:r>
  </w:p>
  <w:p w14:paraId="707F3777" w14:textId="77777777" w:rsidR="002C7E98" w:rsidRDefault="002C7E98">
    <w:pPr>
      <w:pStyle w:val="Header"/>
      <w:spacing w:before="60"/>
      <w:jc w:val="right"/>
      <w:rPr>
        <w:rFonts w:ascii="Arial" w:hAnsi="Arial"/>
      </w:rPr>
    </w:pPr>
    <w:r>
      <w:rPr>
        <w:b/>
        <w:i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7F377B" wp14:editId="707F377C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257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720ECC1">
            <v:line id="Line 1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2.85pt" to="414pt,2.85pt" w14:anchorId="4120A5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PA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E6mT/MUTKP3s4QU90Bjnf/AdYfCpMQSNEdicto6D9IBeoeEe5TeCCmj&#10;2VKhvsQLYI8BTkvBwmGAOXvYV9KiEwntEr9QByB7gFl9VCyStZyw9W3uiZDXOeClCnyQCsi5za79&#10;8G2RLtbz9Twf5ZPZepSndT16v6ny0WyTPU3rd3VV1dn3IC3Li1YwxlVQd+/NLP8772+v5NpVQ3cO&#10;ZUge2WOKIPb+j6Kjl8G+ayPsNbvsbKhGsBXaMYJvTyf0+6/riPr5wFc/AAAA//8DAFBLAwQUAAYA&#10;CAAAACEAInTuitgAAAAEAQAADwAAAGRycy9kb3ducmV2LnhtbEyPwU7DMBBE70j9B2uRuFTUIYgS&#10;hThVBeTGhVLEdRsvSUS8TmO3DXw9Cxc4Ps1q5m2xmlyvjjSGzrOBq0UCirj2tuPGwPalusxAhYhs&#10;sfdMBj4pwKqcnRWYW3/iZzpuYqOkhEOOBtoYh1zrULfkMCz8QCzZux8dRsGx0XbEk5S7XqdJstQO&#10;O5aFFge6b6n+2BycgVC90r76mtfz5O268ZTuH54e0ZiL82l9ByrSFP+O4Udf1KEUp50/sA2qNyCP&#10;RAM3t6AkzNJMePfLuiz0f/nyGwAA//8DAFBLAQItABQABgAIAAAAIQC2gziS/gAAAOEBAAATAAAA&#10;AAAAAAAAAAAAAAAAAABbQ29udGVudF9UeXBlc10ueG1sUEsBAi0AFAAGAAgAAAAhADj9If/WAAAA&#10;lAEAAAsAAAAAAAAAAAAAAAAALwEAAF9yZWxzLy5yZWxzUEsBAi0AFAAGAAgAAAAhAAva48ASAgAA&#10;KAQAAA4AAAAAAAAAAAAAAAAALgIAAGRycy9lMm9Eb2MueG1sUEsBAi0AFAAGAAgAAAAhACJ07orY&#10;AAAABA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0C2A"/>
    <w:multiLevelType w:val="hybridMultilevel"/>
    <w:tmpl w:val="9C560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C60"/>
    <w:multiLevelType w:val="hybridMultilevel"/>
    <w:tmpl w:val="E3FCCCD8"/>
    <w:lvl w:ilvl="0" w:tplc="152CC16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66C1C"/>
    <w:multiLevelType w:val="hybridMultilevel"/>
    <w:tmpl w:val="7054C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26E2E"/>
    <w:multiLevelType w:val="multilevel"/>
    <w:tmpl w:val="CDC221F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lvlRestart w:val="0"/>
      <w:pStyle w:val="BodyText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ListNumber"/>
      <w:lvlText w:val="(%5)"/>
      <w:lvlJc w:val="left"/>
      <w:pPr>
        <w:tabs>
          <w:tab w:val="num" w:pos="1559"/>
        </w:tabs>
        <w:ind w:left="1559" w:hanging="7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pStyle w:val="ListBullet2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pStyle w:val="ListNumber2"/>
      <w:lvlText w:val="(%8)"/>
      <w:lvlJc w:val="left"/>
      <w:pPr>
        <w:tabs>
          <w:tab w:val="num" w:pos="2126"/>
        </w:tabs>
        <w:ind w:left="2126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bullet"/>
      <w:pStyle w:val="Heading9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" w15:restartNumberingAfterBreak="0">
    <w:nsid w:val="2DED273C"/>
    <w:multiLevelType w:val="hybridMultilevel"/>
    <w:tmpl w:val="C9F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A2C"/>
    <w:multiLevelType w:val="hybridMultilevel"/>
    <w:tmpl w:val="5C4E7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4AE2E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 w:hint="default"/>
      </w:rPr>
    </w:lvl>
    <w:lvl w:ilvl="5" w:tplc="41E6AB02">
      <w:start w:val="1"/>
      <w:numFmt w:val="bullet"/>
      <w:pStyle w:val="List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A212A8"/>
    <w:multiLevelType w:val="hybridMultilevel"/>
    <w:tmpl w:val="FB70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3937"/>
    <w:multiLevelType w:val="multilevel"/>
    <w:tmpl w:val="96DE3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1C716F"/>
    <w:multiLevelType w:val="hybridMultilevel"/>
    <w:tmpl w:val="06869778"/>
    <w:lvl w:ilvl="0" w:tplc="152CC16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959F2"/>
    <w:multiLevelType w:val="hybridMultilevel"/>
    <w:tmpl w:val="AFDC15FA"/>
    <w:lvl w:ilvl="0" w:tplc="152CC16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85871"/>
    <w:multiLevelType w:val="hybridMultilevel"/>
    <w:tmpl w:val="80A2652A"/>
    <w:lvl w:ilvl="0" w:tplc="152CC16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60B7E"/>
    <w:multiLevelType w:val="hybridMultilevel"/>
    <w:tmpl w:val="E494A158"/>
    <w:lvl w:ilvl="0" w:tplc="152CC16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3EE47D8F"/>
    <w:multiLevelType w:val="hybridMultilevel"/>
    <w:tmpl w:val="3000D1CE"/>
    <w:lvl w:ilvl="0" w:tplc="152CC16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86A40"/>
    <w:multiLevelType w:val="hybridMultilevel"/>
    <w:tmpl w:val="C412580C"/>
    <w:lvl w:ilvl="0" w:tplc="152CC16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34C9E"/>
    <w:multiLevelType w:val="multilevel"/>
    <w:tmpl w:val="75D04F2C"/>
    <w:lvl w:ilvl="0">
      <w:start w:val="1"/>
      <w:numFmt w:val="decimal"/>
      <w:pStyle w:val="Heading0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(%4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%5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%5.%6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5147571"/>
    <w:multiLevelType w:val="hybridMultilevel"/>
    <w:tmpl w:val="6164D23A"/>
    <w:lvl w:ilvl="0" w:tplc="9F0625EA">
      <w:start w:val="1"/>
      <w:numFmt w:val="bullet"/>
      <w:pStyle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Times New Roman" w:hint="default"/>
        <w:b w:val="0"/>
        <w:i w:val="0"/>
        <w:color w:val="auto"/>
        <w:sz w:val="22"/>
        <w:effect w:val="none"/>
      </w:rPr>
    </w:lvl>
    <w:lvl w:ilvl="1" w:tplc="C60C2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4AB1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E88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CA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243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4F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E1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0E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167F6"/>
    <w:multiLevelType w:val="hybridMultilevel"/>
    <w:tmpl w:val="44284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12A8C"/>
    <w:multiLevelType w:val="hybridMultilevel"/>
    <w:tmpl w:val="ADA8A40C"/>
    <w:lvl w:ilvl="0" w:tplc="EF2AC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E591E"/>
    <w:multiLevelType w:val="hybridMultilevel"/>
    <w:tmpl w:val="2D7C746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Para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5"/>
  </w:num>
  <w:num w:numId="5">
    <w:abstractNumId w:val="18"/>
  </w:num>
  <w:num w:numId="6">
    <w:abstractNumId w:val="6"/>
  </w:num>
  <w:num w:numId="7">
    <w:abstractNumId w:val="0"/>
  </w:num>
  <w:num w:numId="8">
    <w:abstractNumId w:val="16"/>
  </w:num>
  <w:num w:numId="9">
    <w:abstractNumId w:val="7"/>
  </w:num>
  <w:num w:numId="10">
    <w:abstractNumId w:val="4"/>
  </w:num>
  <w:num w:numId="11">
    <w:abstractNumId w:val="2"/>
  </w:num>
  <w:num w:numId="12">
    <w:abstractNumId w:val="17"/>
  </w:num>
  <w:num w:numId="13">
    <w:abstractNumId w:val="11"/>
  </w:num>
  <w:num w:numId="14">
    <w:abstractNumId w:val="13"/>
  </w:num>
  <w:num w:numId="15">
    <w:abstractNumId w:val="1"/>
  </w:num>
  <w:num w:numId="16">
    <w:abstractNumId w:val="10"/>
  </w:num>
  <w:num w:numId="17">
    <w:abstractNumId w:val="12"/>
  </w:num>
  <w:num w:numId="18">
    <w:abstractNumId w:val="8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emac service information annex 01 draft 0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967072"/>
    <w:rsid w:val="00000FA5"/>
    <w:rsid w:val="000101B8"/>
    <w:rsid w:val="0002025F"/>
    <w:rsid w:val="00022134"/>
    <w:rsid w:val="00027862"/>
    <w:rsid w:val="00043A61"/>
    <w:rsid w:val="00046FDA"/>
    <w:rsid w:val="00055839"/>
    <w:rsid w:val="00056A5E"/>
    <w:rsid w:val="000637A1"/>
    <w:rsid w:val="00066F2A"/>
    <w:rsid w:val="0006752E"/>
    <w:rsid w:val="00071320"/>
    <w:rsid w:val="000749C6"/>
    <w:rsid w:val="0007518E"/>
    <w:rsid w:val="0007642C"/>
    <w:rsid w:val="0007688A"/>
    <w:rsid w:val="00080656"/>
    <w:rsid w:val="000867C5"/>
    <w:rsid w:val="0008739C"/>
    <w:rsid w:val="00094F7A"/>
    <w:rsid w:val="0009614A"/>
    <w:rsid w:val="000B4876"/>
    <w:rsid w:val="000B5454"/>
    <w:rsid w:val="000B5D9C"/>
    <w:rsid w:val="000C0EE4"/>
    <w:rsid w:val="000C17B2"/>
    <w:rsid w:val="000C2A64"/>
    <w:rsid w:val="000E1517"/>
    <w:rsid w:val="000E158D"/>
    <w:rsid w:val="000E7E5D"/>
    <w:rsid w:val="000F1683"/>
    <w:rsid w:val="000F601A"/>
    <w:rsid w:val="000F6466"/>
    <w:rsid w:val="000F6C2F"/>
    <w:rsid w:val="00105D82"/>
    <w:rsid w:val="00110061"/>
    <w:rsid w:val="00113711"/>
    <w:rsid w:val="00113AE5"/>
    <w:rsid w:val="00114C69"/>
    <w:rsid w:val="0012314F"/>
    <w:rsid w:val="00135EA1"/>
    <w:rsid w:val="0014224D"/>
    <w:rsid w:val="001433B7"/>
    <w:rsid w:val="00143729"/>
    <w:rsid w:val="00156D91"/>
    <w:rsid w:val="00160943"/>
    <w:rsid w:val="0016142C"/>
    <w:rsid w:val="00165D5E"/>
    <w:rsid w:val="001708A0"/>
    <w:rsid w:val="0017320C"/>
    <w:rsid w:val="001840E4"/>
    <w:rsid w:val="00184272"/>
    <w:rsid w:val="00190117"/>
    <w:rsid w:val="001904A5"/>
    <w:rsid w:val="001A3337"/>
    <w:rsid w:val="001A3664"/>
    <w:rsid w:val="001A7A9E"/>
    <w:rsid w:val="001A7F45"/>
    <w:rsid w:val="001B14D3"/>
    <w:rsid w:val="001B3946"/>
    <w:rsid w:val="001C047F"/>
    <w:rsid w:val="001C46C4"/>
    <w:rsid w:val="001D45DB"/>
    <w:rsid w:val="001D4F98"/>
    <w:rsid w:val="001D70CF"/>
    <w:rsid w:val="001F0A36"/>
    <w:rsid w:val="001F43F6"/>
    <w:rsid w:val="00210CE2"/>
    <w:rsid w:val="002174A5"/>
    <w:rsid w:val="0022331D"/>
    <w:rsid w:val="00223B6D"/>
    <w:rsid w:val="00224123"/>
    <w:rsid w:val="00243399"/>
    <w:rsid w:val="00247DDF"/>
    <w:rsid w:val="002617C8"/>
    <w:rsid w:val="00265A11"/>
    <w:rsid w:val="00284570"/>
    <w:rsid w:val="0028465D"/>
    <w:rsid w:val="00292E59"/>
    <w:rsid w:val="00294973"/>
    <w:rsid w:val="002949A1"/>
    <w:rsid w:val="0029641C"/>
    <w:rsid w:val="002A0560"/>
    <w:rsid w:val="002A062F"/>
    <w:rsid w:val="002A4FAE"/>
    <w:rsid w:val="002A597D"/>
    <w:rsid w:val="002C7E98"/>
    <w:rsid w:val="002D50CB"/>
    <w:rsid w:val="002D59BB"/>
    <w:rsid w:val="002D7092"/>
    <w:rsid w:val="002E05D9"/>
    <w:rsid w:val="002E0BC4"/>
    <w:rsid w:val="002E5028"/>
    <w:rsid w:val="002F0C64"/>
    <w:rsid w:val="002F28EA"/>
    <w:rsid w:val="002F70BE"/>
    <w:rsid w:val="003020A2"/>
    <w:rsid w:val="00305919"/>
    <w:rsid w:val="00313C9F"/>
    <w:rsid w:val="00327D5D"/>
    <w:rsid w:val="00335E4F"/>
    <w:rsid w:val="00346D9A"/>
    <w:rsid w:val="003513A0"/>
    <w:rsid w:val="00357541"/>
    <w:rsid w:val="00363262"/>
    <w:rsid w:val="003641DF"/>
    <w:rsid w:val="00365F84"/>
    <w:rsid w:val="00366D9D"/>
    <w:rsid w:val="003704E3"/>
    <w:rsid w:val="0037556E"/>
    <w:rsid w:val="003768A7"/>
    <w:rsid w:val="003808A2"/>
    <w:rsid w:val="003822D1"/>
    <w:rsid w:val="00384962"/>
    <w:rsid w:val="0038726E"/>
    <w:rsid w:val="00394EAD"/>
    <w:rsid w:val="003A6975"/>
    <w:rsid w:val="003A7B46"/>
    <w:rsid w:val="003B2413"/>
    <w:rsid w:val="003B29CD"/>
    <w:rsid w:val="003B4AC1"/>
    <w:rsid w:val="003C7033"/>
    <w:rsid w:val="003D4512"/>
    <w:rsid w:val="003D70A2"/>
    <w:rsid w:val="003E1974"/>
    <w:rsid w:val="003F5493"/>
    <w:rsid w:val="00400847"/>
    <w:rsid w:val="00400857"/>
    <w:rsid w:val="00405856"/>
    <w:rsid w:val="00405E7C"/>
    <w:rsid w:val="00410F89"/>
    <w:rsid w:val="00417AAA"/>
    <w:rsid w:val="00417C77"/>
    <w:rsid w:val="004335C1"/>
    <w:rsid w:val="00447C94"/>
    <w:rsid w:val="004528D8"/>
    <w:rsid w:val="004536AF"/>
    <w:rsid w:val="00455C05"/>
    <w:rsid w:val="00457685"/>
    <w:rsid w:val="00463E2E"/>
    <w:rsid w:val="00465634"/>
    <w:rsid w:val="004701E9"/>
    <w:rsid w:val="00485F9D"/>
    <w:rsid w:val="004866C3"/>
    <w:rsid w:val="00487D07"/>
    <w:rsid w:val="00491545"/>
    <w:rsid w:val="004932EB"/>
    <w:rsid w:val="0049445B"/>
    <w:rsid w:val="004A588C"/>
    <w:rsid w:val="004A712F"/>
    <w:rsid w:val="004B080B"/>
    <w:rsid w:val="004B3396"/>
    <w:rsid w:val="004C3F4D"/>
    <w:rsid w:val="004C5DAE"/>
    <w:rsid w:val="004C6C65"/>
    <w:rsid w:val="004D1626"/>
    <w:rsid w:val="004D4594"/>
    <w:rsid w:val="004D6B69"/>
    <w:rsid w:val="004E1BE9"/>
    <w:rsid w:val="004E2894"/>
    <w:rsid w:val="004E48BC"/>
    <w:rsid w:val="004E6A15"/>
    <w:rsid w:val="004F2FB5"/>
    <w:rsid w:val="004F520A"/>
    <w:rsid w:val="00505D4D"/>
    <w:rsid w:val="00510AAF"/>
    <w:rsid w:val="005129AE"/>
    <w:rsid w:val="00524F08"/>
    <w:rsid w:val="00525F3B"/>
    <w:rsid w:val="005267D8"/>
    <w:rsid w:val="00527D2C"/>
    <w:rsid w:val="00533D58"/>
    <w:rsid w:val="005343D5"/>
    <w:rsid w:val="00540C57"/>
    <w:rsid w:val="00545E97"/>
    <w:rsid w:val="00546E92"/>
    <w:rsid w:val="00552B4A"/>
    <w:rsid w:val="0056474B"/>
    <w:rsid w:val="00567993"/>
    <w:rsid w:val="00567D42"/>
    <w:rsid w:val="00570793"/>
    <w:rsid w:val="005715B2"/>
    <w:rsid w:val="00571908"/>
    <w:rsid w:val="00573333"/>
    <w:rsid w:val="005751A8"/>
    <w:rsid w:val="00575501"/>
    <w:rsid w:val="00576936"/>
    <w:rsid w:val="0058153F"/>
    <w:rsid w:val="0058190A"/>
    <w:rsid w:val="00581B90"/>
    <w:rsid w:val="00593D16"/>
    <w:rsid w:val="00595342"/>
    <w:rsid w:val="005A470C"/>
    <w:rsid w:val="005B0DE5"/>
    <w:rsid w:val="005B7B25"/>
    <w:rsid w:val="005C1BD2"/>
    <w:rsid w:val="005D6F95"/>
    <w:rsid w:val="005E209F"/>
    <w:rsid w:val="005E707B"/>
    <w:rsid w:val="00600017"/>
    <w:rsid w:val="00600759"/>
    <w:rsid w:val="00603075"/>
    <w:rsid w:val="00612884"/>
    <w:rsid w:val="006258BA"/>
    <w:rsid w:val="006304B6"/>
    <w:rsid w:val="006366CF"/>
    <w:rsid w:val="006511DC"/>
    <w:rsid w:val="00652C28"/>
    <w:rsid w:val="00655E65"/>
    <w:rsid w:val="0066077A"/>
    <w:rsid w:val="0066251C"/>
    <w:rsid w:val="00667A05"/>
    <w:rsid w:val="006734F7"/>
    <w:rsid w:val="006762FC"/>
    <w:rsid w:val="006806D7"/>
    <w:rsid w:val="006855AA"/>
    <w:rsid w:val="00687F2E"/>
    <w:rsid w:val="00693120"/>
    <w:rsid w:val="0069608E"/>
    <w:rsid w:val="006A1F3B"/>
    <w:rsid w:val="006A49D7"/>
    <w:rsid w:val="006B067F"/>
    <w:rsid w:val="006B5EE6"/>
    <w:rsid w:val="006E0447"/>
    <w:rsid w:val="006E11FA"/>
    <w:rsid w:val="006E1540"/>
    <w:rsid w:val="006E1E06"/>
    <w:rsid w:val="006E7951"/>
    <w:rsid w:val="006F161B"/>
    <w:rsid w:val="006F64C3"/>
    <w:rsid w:val="006F68B5"/>
    <w:rsid w:val="00700269"/>
    <w:rsid w:val="00701E3B"/>
    <w:rsid w:val="00704771"/>
    <w:rsid w:val="007049BA"/>
    <w:rsid w:val="00704A8E"/>
    <w:rsid w:val="00716E70"/>
    <w:rsid w:val="007253F3"/>
    <w:rsid w:val="00727AD7"/>
    <w:rsid w:val="00731C1C"/>
    <w:rsid w:val="00732095"/>
    <w:rsid w:val="00737F8D"/>
    <w:rsid w:val="0074222A"/>
    <w:rsid w:val="0074740D"/>
    <w:rsid w:val="007534CB"/>
    <w:rsid w:val="00754E99"/>
    <w:rsid w:val="007678B1"/>
    <w:rsid w:val="0077281F"/>
    <w:rsid w:val="00780C1B"/>
    <w:rsid w:val="0078317D"/>
    <w:rsid w:val="00787766"/>
    <w:rsid w:val="00794771"/>
    <w:rsid w:val="007A4212"/>
    <w:rsid w:val="007A4474"/>
    <w:rsid w:val="007A6609"/>
    <w:rsid w:val="007B1777"/>
    <w:rsid w:val="007B542F"/>
    <w:rsid w:val="007D14CA"/>
    <w:rsid w:val="007D1874"/>
    <w:rsid w:val="007D337C"/>
    <w:rsid w:val="007D7612"/>
    <w:rsid w:val="007E14FA"/>
    <w:rsid w:val="007F2E1F"/>
    <w:rsid w:val="008002FB"/>
    <w:rsid w:val="008006E4"/>
    <w:rsid w:val="00814ECF"/>
    <w:rsid w:val="008163FD"/>
    <w:rsid w:val="00821A97"/>
    <w:rsid w:val="008237AE"/>
    <w:rsid w:val="00825B37"/>
    <w:rsid w:val="00836745"/>
    <w:rsid w:val="00841658"/>
    <w:rsid w:val="00850819"/>
    <w:rsid w:val="008546CC"/>
    <w:rsid w:val="00854D62"/>
    <w:rsid w:val="00862BB8"/>
    <w:rsid w:val="00862BBD"/>
    <w:rsid w:val="00866BB3"/>
    <w:rsid w:val="00867BD6"/>
    <w:rsid w:val="0088221D"/>
    <w:rsid w:val="00884767"/>
    <w:rsid w:val="00894356"/>
    <w:rsid w:val="00894E3C"/>
    <w:rsid w:val="008968A5"/>
    <w:rsid w:val="00897668"/>
    <w:rsid w:val="008A0C96"/>
    <w:rsid w:val="008A73D3"/>
    <w:rsid w:val="008B2ABE"/>
    <w:rsid w:val="008B6BB9"/>
    <w:rsid w:val="008C0727"/>
    <w:rsid w:val="008D0E2F"/>
    <w:rsid w:val="008D40AC"/>
    <w:rsid w:val="008D44EB"/>
    <w:rsid w:val="008D5049"/>
    <w:rsid w:val="008D7A8B"/>
    <w:rsid w:val="008E4650"/>
    <w:rsid w:val="008E4B6C"/>
    <w:rsid w:val="008E4DD0"/>
    <w:rsid w:val="008E50F0"/>
    <w:rsid w:val="008F3847"/>
    <w:rsid w:val="008F7FC9"/>
    <w:rsid w:val="00902A83"/>
    <w:rsid w:val="00902D0D"/>
    <w:rsid w:val="0090409A"/>
    <w:rsid w:val="00907835"/>
    <w:rsid w:val="0091591E"/>
    <w:rsid w:val="00916422"/>
    <w:rsid w:val="009220E0"/>
    <w:rsid w:val="00925BEC"/>
    <w:rsid w:val="0092602F"/>
    <w:rsid w:val="0093695D"/>
    <w:rsid w:val="00945DAB"/>
    <w:rsid w:val="009471C5"/>
    <w:rsid w:val="00955ADF"/>
    <w:rsid w:val="00967072"/>
    <w:rsid w:val="00967A5A"/>
    <w:rsid w:val="00971958"/>
    <w:rsid w:val="009739CE"/>
    <w:rsid w:val="00983340"/>
    <w:rsid w:val="0099018F"/>
    <w:rsid w:val="009A314D"/>
    <w:rsid w:val="009A3614"/>
    <w:rsid w:val="009A71BC"/>
    <w:rsid w:val="009B2152"/>
    <w:rsid w:val="009B3027"/>
    <w:rsid w:val="009B5F16"/>
    <w:rsid w:val="009C45C6"/>
    <w:rsid w:val="009D1C5B"/>
    <w:rsid w:val="009D2571"/>
    <w:rsid w:val="009D3B57"/>
    <w:rsid w:val="009E3046"/>
    <w:rsid w:val="009E39DC"/>
    <w:rsid w:val="009E58A4"/>
    <w:rsid w:val="009F7CFB"/>
    <w:rsid w:val="00A022A9"/>
    <w:rsid w:val="00A05FC2"/>
    <w:rsid w:val="00A11944"/>
    <w:rsid w:val="00A15774"/>
    <w:rsid w:val="00A15EF2"/>
    <w:rsid w:val="00A16508"/>
    <w:rsid w:val="00A17C44"/>
    <w:rsid w:val="00A207D0"/>
    <w:rsid w:val="00A26579"/>
    <w:rsid w:val="00A3137C"/>
    <w:rsid w:val="00A37047"/>
    <w:rsid w:val="00A43579"/>
    <w:rsid w:val="00A51342"/>
    <w:rsid w:val="00A52E7E"/>
    <w:rsid w:val="00A578E0"/>
    <w:rsid w:val="00A616B5"/>
    <w:rsid w:val="00A75EDD"/>
    <w:rsid w:val="00A83FA5"/>
    <w:rsid w:val="00A87F4E"/>
    <w:rsid w:val="00A92CD1"/>
    <w:rsid w:val="00A94003"/>
    <w:rsid w:val="00A955E4"/>
    <w:rsid w:val="00A965A5"/>
    <w:rsid w:val="00A975AD"/>
    <w:rsid w:val="00AA1EA2"/>
    <w:rsid w:val="00AA3F1E"/>
    <w:rsid w:val="00AB4B28"/>
    <w:rsid w:val="00AC126F"/>
    <w:rsid w:val="00AC4748"/>
    <w:rsid w:val="00AD2994"/>
    <w:rsid w:val="00AD3A17"/>
    <w:rsid w:val="00AD42BE"/>
    <w:rsid w:val="00AE3C1D"/>
    <w:rsid w:val="00AE44EA"/>
    <w:rsid w:val="00AF171D"/>
    <w:rsid w:val="00AF4E50"/>
    <w:rsid w:val="00B01DD2"/>
    <w:rsid w:val="00B061EF"/>
    <w:rsid w:val="00B10120"/>
    <w:rsid w:val="00B16284"/>
    <w:rsid w:val="00B26BCE"/>
    <w:rsid w:val="00B26C5E"/>
    <w:rsid w:val="00B27FB9"/>
    <w:rsid w:val="00B4010A"/>
    <w:rsid w:val="00B426B6"/>
    <w:rsid w:val="00B43F42"/>
    <w:rsid w:val="00B51A87"/>
    <w:rsid w:val="00B55D1E"/>
    <w:rsid w:val="00B632D1"/>
    <w:rsid w:val="00B657D4"/>
    <w:rsid w:val="00B73658"/>
    <w:rsid w:val="00B77562"/>
    <w:rsid w:val="00B81E12"/>
    <w:rsid w:val="00B95BE4"/>
    <w:rsid w:val="00BA69E3"/>
    <w:rsid w:val="00BA7256"/>
    <w:rsid w:val="00BB418D"/>
    <w:rsid w:val="00BB7024"/>
    <w:rsid w:val="00BD053B"/>
    <w:rsid w:val="00BD09EB"/>
    <w:rsid w:val="00BD2569"/>
    <w:rsid w:val="00BD2656"/>
    <w:rsid w:val="00BD59A5"/>
    <w:rsid w:val="00BD6D2B"/>
    <w:rsid w:val="00BD7569"/>
    <w:rsid w:val="00BE0A7F"/>
    <w:rsid w:val="00BE13A8"/>
    <w:rsid w:val="00BE4CFF"/>
    <w:rsid w:val="00BF3899"/>
    <w:rsid w:val="00C03339"/>
    <w:rsid w:val="00C115FF"/>
    <w:rsid w:val="00C2487B"/>
    <w:rsid w:val="00C2725E"/>
    <w:rsid w:val="00C3026B"/>
    <w:rsid w:val="00C32DD6"/>
    <w:rsid w:val="00C333AD"/>
    <w:rsid w:val="00C423A9"/>
    <w:rsid w:val="00C43CAA"/>
    <w:rsid w:val="00C47F17"/>
    <w:rsid w:val="00C54412"/>
    <w:rsid w:val="00C63997"/>
    <w:rsid w:val="00C675B5"/>
    <w:rsid w:val="00C713EC"/>
    <w:rsid w:val="00C73A38"/>
    <w:rsid w:val="00C80B22"/>
    <w:rsid w:val="00C8354C"/>
    <w:rsid w:val="00C84843"/>
    <w:rsid w:val="00C8633A"/>
    <w:rsid w:val="00C86D25"/>
    <w:rsid w:val="00C939EC"/>
    <w:rsid w:val="00C9480B"/>
    <w:rsid w:val="00CA69AA"/>
    <w:rsid w:val="00CA745F"/>
    <w:rsid w:val="00CC617A"/>
    <w:rsid w:val="00CE6649"/>
    <w:rsid w:val="00CF008F"/>
    <w:rsid w:val="00CF09CB"/>
    <w:rsid w:val="00D03A24"/>
    <w:rsid w:val="00D11B04"/>
    <w:rsid w:val="00D16EE9"/>
    <w:rsid w:val="00D23764"/>
    <w:rsid w:val="00D256AE"/>
    <w:rsid w:val="00D26041"/>
    <w:rsid w:val="00D3136D"/>
    <w:rsid w:val="00D41007"/>
    <w:rsid w:val="00D46B81"/>
    <w:rsid w:val="00D5081D"/>
    <w:rsid w:val="00D520A6"/>
    <w:rsid w:val="00D622D4"/>
    <w:rsid w:val="00D66E9E"/>
    <w:rsid w:val="00D72193"/>
    <w:rsid w:val="00D811D9"/>
    <w:rsid w:val="00D90734"/>
    <w:rsid w:val="00D92E32"/>
    <w:rsid w:val="00D935EE"/>
    <w:rsid w:val="00D94AE3"/>
    <w:rsid w:val="00D95DB6"/>
    <w:rsid w:val="00DA1C74"/>
    <w:rsid w:val="00DB3722"/>
    <w:rsid w:val="00DC00CC"/>
    <w:rsid w:val="00DC048B"/>
    <w:rsid w:val="00DC7C7E"/>
    <w:rsid w:val="00DD0019"/>
    <w:rsid w:val="00DD188E"/>
    <w:rsid w:val="00DD2E54"/>
    <w:rsid w:val="00DD44DD"/>
    <w:rsid w:val="00DE573B"/>
    <w:rsid w:val="00DF288B"/>
    <w:rsid w:val="00DF3560"/>
    <w:rsid w:val="00DF7B5E"/>
    <w:rsid w:val="00E10CEF"/>
    <w:rsid w:val="00E212CD"/>
    <w:rsid w:val="00E22599"/>
    <w:rsid w:val="00E263A9"/>
    <w:rsid w:val="00E2717B"/>
    <w:rsid w:val="00E306C4"/>
    <w:rsid w:val="00E30F58"/>
    <w:rsid w:val="00E33389"/>
    <w:rsid w:val="00E349C7"/>
    <w:rsid w:val="00E478B1"/>
    <w:rsid w:val="00E47C6A"/>
    <w:rsid w:val="00E54710"/>
    <w:rsid w:val="00E55F71"/>
    <w:rsid w:val="00E5697A"/>
    <w:rsid w:val="00E6363D"/>
    <w:rsid w:val="00E656C5"/>
    <w:rsid w:val="00E72A15"/>
    <w:rsid w:val="00E72DA7"/>
    <w:rsid w:val="00E83D67"/>
    <w:rsid w:val="00E86B19"/>
    <w:rsid w:val="00E86E5E"/>
    <w:rsid w:val="00E91E0C"/>
    <w:rsid w:val="00E956C9"/>
    <w:rsid w:val="00E970A4"/>
    <w:rsid w:val="00EA5D94"/>
    <w:rsid w:val="00EB0A6B"/>
    <w:rsid w:val="00EB7D3D"/>
    <w:rsid w:val="00ED1B0D"/>
    <w:rsid w:val="00ED4877"/>
    <w:rsid w:val="00ED4D0D"/>
    <w:rsid w:val="00ED790D"/>
    <w:rsid w:val="00ED7B31"/>
    <w:rsid w:val="00EE7E84"/>
    <w:rsid w:val="00EF16AD"/>
    <w:rsid w:val="00EF464F"/>
    <w:rsid w:val="00F01A47"/>
    <w:rsid w:val="00F0495F"/>
    <w:rsid w:val="00F053E3"/>
    <w:rsid w:val="00F061D8"/>
    <w:rsid w:val="00F06A9B"/>
    <w:rsid w:val="00F0747C"/>
    <w:rsid w:val="00F36260"/>
    <w:rsid w:val="00F411F1"/>
    <w:rsid w:val="00F41531"/>
    <w:rsid w:val="00F41B76"/>
    <w:rsid w:val="00F427FD"/>
    <w:rsid w:val="00F4659D"/>
    <w:rsid w:val="00F549E1"/>
    <w:rsid w:val="00F569D8"/>
    <w:rsid w:val="00F61FA9"/>
    <w:rsid w:val="00F63F25"/>
    <w:rsid w:val="00F6436D"/>
    <w:rsid w:val="00F67F1C"/>
    <w:rsid w:val="00F72BD0"/>
    <w:rsid w:val="00F76C98"/>
    <w:rsid w:val="00F842CD"/>
    <w:rsid w:val="00F8512D"/>
    <w:rsid w:val="00F90B4D"/>
    <w:rsid w:val="00F96D14"/>
    <w:rsid w:val="00FA49CB"/>
    <w:rsid w:val="00FB450E"/>
    <w:rsid w:val="00FB63DE"/>
    <w:rsid w:val="00FC539A"/>
    <w:rsid w:val="00FD10A7"/>
    <w:rsid w:val="00FD21E5"/>
    <w:rsid w:val="00FD21FA"/>
    <w:rsid w:val="00FD7E94"/>
    <w:rsid w:val="00FF35EA"/>
    <w:rsid w:val="00FF64DF"/>
    <w:rsid w:val="0425F0F0"/>
    <w:rsid w:val="05FF4794"/>
    <w:rsid w:val="06C59C02"/>
    <w:rsid w:val="09F9CB90"/>
    <w:rsid w:val="1A2D05BC"/>
    <w:rsid w:val="1BFBC672"/>
    <w:rsid w:val="1D3BFE69"/>
    <w:rsid w:val="1F8AE603"/>
    <w:rsid w:val="21208D4E"/>
    <w:rsid w:val="27A87FDB"/>
    <w:rsid w:val="2956D64D"/>
    <w:rsid w:val="2FFDBA53"/>
    <w:rsid w:val="42EC4EE8"/>
    <w:rsid w:val="45EC0CFD"/>
    <w:rsid w:val="4C4128A2"/>
    <w:rsid w:val="4F017BA2"/>
    <w:rsid w:val="596076C6"/>
    <w:rsid w:val="5A2D77D9"/>
    <w:rsid w:val="79D57294"/>
    <w:rsid w:val="7AE96387"/>
    <w:rsid w:val="7CCFE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07F36B7"/>
  <w15:docId w15:val="{3D3CABC9-13C6-4054-B5E4-62969E38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240" w:line="264" w:lineRule="auto"/>
      <w:jc w:val="both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spacing w:before="240" w:line="264" w:lineRule="auto"/>
      <w:jc w:val="both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3"/>
      </w:numPr>
      <w:spacing w:before="240" w:line="264" w:lineRule="auto"/>
      <w:jc w:val="both"/>
      <w:outlineLvl w:val="2"/>
    </w:pPr>
    <w:rPr>
      <w:rFonts w:ascii="Arial" w:hAnsi="Arial"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line="360" w:lineRule="auto"/>
      <w:jc w:val="both"/>
      <w:outlineLvl w:val="3"/>
    </w:pPr>
    <w:rPr>
      <w:rFonts w:ascii="Arial" w:hAnsi="Arial"/>
      <w:bCs/>
      <w:sz w:val="22"/>
      <w:szCs w:val="28"/>
    </w:rPr>
  </w:style>
  <w:style w:type="paragraph" w:styleId="Heading5">
    <w:name w:val="heading 5"/>
    <w:basedOn w:val="Normal"/>
    <w:next w:val="Normal"/>
    <w:qFormat/>
    <w:pPr>
      <w:spacing w:before="240" w:line="360" w:lineRule="auto"/>
      <w:outlineLvl w:val="4"/>
    </w:pPr>
    <w:rPr>
      <w:rFonts w:ascii="Arial" w:hAnsi="Arial"/>
      <w:bCs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line="360" w:lineRule="auto"/>
      <w:jc w:val="both"/>
      <w:outlineLvl w:val="5"/>
    </w:pPr>
    <w:rPr>
      <w:rFonts w:ascii="Arial" w:hAnsi="Arial"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120" w:line="264" w:lineRule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0">
    <w:name w:val="Heading 0"/>
    <w:basedOn w:val="Normal"/>
    <w:next w:val="Normal"/>
    <w:autoRedefine/>
    <w:pPr>
      <w:numPr>
        <w:numId w:val="1"/>
      </w:numPr>
      <w:tabs>
        <w:tab w:val="left" w:pos="2131"/>
        <w:tab w:val="left" w:pos="3283"/>
        <w:tab w:val="left" w:pos="4003"/>
        <w:tab w:val="left" w:pos="4723"/>
      </w:tabs>
      <w:suppressAutoHyphens/>
      <w:spacing w:before="120" w:after="120" w:line="264" w:lineRule="auto"/>
      <w:jc w:val="both"/>
      <w:outlineLvl w:val="0"/>
    </w:pPr>
    <w:rPr>
      <w:rFonts w:ascii="Tahoma" w:hAnsi="Tahoma"/>
      <w:b/>
      <w:caps/>
      <w:sz w:val="22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emac">
    <w:name w:val="emac"/>
    <w:basedOn w:val="Normal"/>
    <w:pPr>
      <w:spacing w:before="240" w:line="360" w:lineRule="auto"/>
      <w:jc w:val="both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1">
    <w:name w:val="body text 1"/>
    <w:basedOn w:val="Normal"/>
    <w:pPr>
      <w:spacing w:before="240" w:line="288" w:lineRule="auto"/>
    </w:pPr>
    <w:rPr>
      <w:rFonts w:ascii="Arial" w:hAnsi="Arial"/>
      <w:sz w:val="22"/>
      <w:szCs w:val="20"/>
    </w:rPr>
  </w:style>
  <w:style w:type="paragraph" w:customStyle="1" w:styleId="alphabulletlist2">
    <w:name w:val="alpha bullet list 2"/>
    <w:basedOn w:val="Normal"/>
    <w:pPr>
      <w:tabs>
        <w:tab w:val="num" w:pos="360"/>
      </w:tabs>
    </w:pPr>
    <w:rPr>
      <w:szCs w:val="20"/>
      <w:lang w:val="en-US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styleId="TOC1">
    <w:name w:val="toc 1"/>
    <w:basedOn w:val="Heading1"/>
    <w:next w:val="Normal"/>
    <w:autoRedefine/>
    <w:uiPriority w:val="39"/>
    <w:rsid w:val="00D935EE"/>
    <w:pPr>
      <w:keepNext w:val="0"/>
      <w:numPr>
        <w:numId w:val="0"/>
      </w:numPr>
      <w:spacing w:line="240" w:lineRule="auto"/>
      <w:jc w:val="left"/>
      <w:outlineLvl w:val="9"/>
    </w:pPr>
    <w:rPr>
      <w:kern w:val="0"/>
    </w:rPr>
  </w:style>
  <w:style w:type="paragraph" w:styleId="TOC2">
    <w:name w:val="toc 2"/>
    <w:basedOn w:val="Heading2"/>
    <w:next w:val="Normal"/>
    <w:autoRedefine/>
    <w:uiPriority w:val="39"/>
    <w:rsid w:val="00D935EE"/>
    <w:pPr>
      <w:keepNext w:val="0"/>
      <w:numPr>
        <w:ilvl w:val="0"/>
        <w:numId w:val="0"/>
      </w:numPr>
      <w:spacing w:before="120" w:line="240" w:lineRule="auto"/>
      <w:jc w:val="left"/>
      <w:outlineLvl w:val="9"/>
    </w:pPr>
    <w:rPr>
      <w:b w:val="0"/>
      <w:sz w:val="20"/>
    </w:rPr>
  </w:style>
  <w:style w:type="paragraph" w:styleId="TOC3">
    <w:name w:val="toc 3"/>
    <w:basedOn w:val="Heading3"/>
    <w:next w:val="Normal"/>
    <w:autoRedefine/>
    <w:semiHidden/>
    <w:pPr>
      <w:keepNext w:val="0"/>
      <w:numPr>
        <w:ilvl w:val="0"/>
        <w:numId w:val="0"/>
      </w:numPr>
      <w:spacing w:before="0" w:line="240" w:lineRule="auto"/>
      <w:ind w:left="240"/>
      <w:jc w:val="left"/>
      <w:outlineLvl w:val="9"/>
    </w:pPr>
    <w:rPr>
      <w:rFonts w:ascii="Times New Roman" w:hAnsi="Times New Roman"/>
      <w:sz w:val="20"/>
      <w:u w:val="none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numPr>
        <w:ilvl w:val="3"/>
        <w:numId w:val="3"/>
      </w:numPr>
      <w:spacing w:before="240" w:line="264" w:lineRule="auto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240" w:line="288" w:lineRule="auto"/>
    </w:pPr>
    <w:rPr>
      <w:rFonts w:ascii="Arial" w:hAnsi="Arial"/>
      <w:sz w:val="22"/>
    </w:rPr>
  </w:style>
  <w:style w:type="paragraph" w:styleId="BodyText3">
    <w:name w:val="Body Text 3"/>
    <w:basedOn w:val="Normal"/>
    <w:pPr>
      <w:spacing w:before="240" w:line="288" w:lineRule="auto"/>
    </w:pPr>
    <w:rPr>
      <w:rFonts w:ascii="Arial" w:hAnsi="Arial"/>
      <w:sz w:val="22"/>
      <w:szCs w:val="16"/>
    </w:rPr>
  </w:style>
  <w:style w:type="paragraph" w:styleId="ListNumber">
    <w:name w:val="List Number"/>
    <w:basedOn w:val="Normal"/>
    <w:pPr>
      <w:numPr>
        <w:ilvl w:val="4"/>
        <w:numId w:val="3"/>
      </w:numPr>
      <w:spacing w:before="180" w:line="264" w:lineRule="auto"/>
      <w:jc w:val="both"/>
    </w:pPr>
    <w:rPr>
      <w:rFonts w:ascii="Arial" w:hAnsi="Arial"/>
      <w:sz w:val="22"/>
    </w:rPr>
  </w:style>
  <w:style w:type="paragraph" w:styleId="ListBullet">
    <w:name w:val="List Bullet"/>
    <w:basedOn w:val="Normal"/>
    <w:autoRedefine/>
    <w:rsid w:val="008C0727"/>
    <w:pPr>
      <w:numPr>
        <w:ilvl w:val="5"/>
        <w:numId w:val="4"/>
      </w:numPr>
      <w:tabs>
        <w:tab w:val="left" w:pos="2126"/>
      </w:tabs>
      <w:spacing w:before="120" w:line="264" w:lineRule="auto"/>
      <w:jc w:val="both"/>
    </w:pPr>
    <w:rPr>
      <w:rFonts w:ascii="Arial" w:hAnsi="Arial"/>
      <w:sz w:val="22"/>
    </w:rPr>
  </w:style>
  <w:style w:type="paragraph" w:styleId="ListBullet2">
    <w:name w:val="List Bullet 2"/>
    <w:basedOn w:val="Normal"/>
    <w:autoRedefine/>
    <w:pPr>
      <w:numPr>
        <w:ilvl w:val="6"/>
        <w:numId w:val="3"/>
      </w:numPr>
      <w:spacing w:before="120" w:line="264" w:lineRule="auto"/>
      <w:jc w:val="both"/>
    </w:pPr>
    <w:rPr>
      <w:rFonts w:ascii="Arial" w:hAnsi="Arial"/>
      <w:sz w:val="22"/>
      <w:lang w:val="en-US"/>
    </w:rPr>
  </w:style>
  <w:style w:type="paragraph" w:styleId="ListNumber2">
    <w:name w:val="List Number 2"/>
    <w:basedOn w:val="Normal"/>
    <w:pPr>
      <w:numPr>
        <w:ilvl w:val="7"/>
        <w:numId w:val="3"/>
      </w:numPr>
      <w:spacing w:before="120" w:line="264" w:lineRule="auto"/>
      <w:jc w:val="both"/>
    </w:pPr>
    <w:rPr>
      <w:rFonts w:ascii="Arial" w:hAnsi="Arial"/>
      <w:sz w:val="22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customStyle="1" w:styleId="Style1">
    <w:name w:val="Style1"/>
    <w:basedOn w:val="Normal"/>
    <w:pPr>
      <w:widowControl w:val="0"/>
      <w:spacing w:line="360" w:lineRule="auto"/>
    </w:pPr>
    <w:rPr>
      <w:sz w:val="22"/>
      <w:szCs w:val="20"/>
    </w:rPr>
  </w:style>
  <w:style w:type="paragraph" w:customStyle="1" w:styleId="Bullet">
    <w:name w:val="Bullet"/>
    <w:basedOn w:val="Normal"/>
    <w:pPr>
      <w:widowControl w:val="0"/>
      <w:numPr>
        <w:numId w:val="2"/>
      </w:numPr>
      <w:spacing w:after="240" w:line="360" w:lineRule="auto"/>
    </w:pPr>
    <w:rPr>
      <w:sz w:val="22"/>
      <w:szCs w:val="20"/>
    </w:rPr>
  </w:style>
  <w:style w:type="paragraph" w:styleId="CommentText">
    <w:name w:val="annotation text"/>
    <w:basedOn w:val="Normal"/>
    <w:link w:val="CommentTextChar"/>
    <w:uiPriority w:val="99"/>
    <w:pPr>
      <w:widowControl w:val="0"/>
      <w:spacing w:line="360" w:lineRule="auto"/>
    </w:pPr>
    <w:rPr>
      <w:sz w:val="20"/>
      <w:szCs w:val="20"/>
    </w:rPr>
  </w:style>
  <w:style w:type="paragraph" w:styleId="FootnoteText">
    <w:name w:val="footnote text"/>
    <w:basedOn w:val="Normal"/>
    <w:semiHidden/>
    <w:pPr>
      <w:widowControl w:val="0"/>
      <w:spacing w:line="360" w:lineRule="auto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571908"/>
    <w:rPr>
      <w:rFonts w:ascii="Arial" w:hAnsi="Arial" w:cs="Arial"/>
      <w:bCs/>
      <w:sz w:val="22"/>
      <w:szCs w:val="26"/>
      <w:u w:val="single"/>
      <w:lang w:eastAsia="en-US"/>
    </w:rPr>
  </w:style>
  <w:style w:type="paragraph" w:styleId="CommentSubject">
    <w:name w:val="annotation subject"/>
    <w:basedOn w:val="CommentText"/>
    <w:next w:val="CommentText"/>
    <w:semiHidden/>
    <w:rsid w:val="00113711"/>
    <w:pPr>
      <w:widowControl/>
      <w:spacing w:line="240" w:lineRule="auto"/>
    </w:pPr>
    <w:rPr>
      <w:b/>
      <w:bCs/>
    </w:rPr>
  </w:style>
  <w:style w:type="character" w:styleId="FollowedHyperlink">
    <w:name w:val="FollowedHyperlink"/>
    <w:rsid w:val="006F161B"/>
    <w:rPr>
      <w:color w:val="800080"/>
      <w:u w:val="single"/>
    </w:rPr>
  </w:style>
  <w:style w:type="character" w:styleId="Emphasis">
    <w:name w:val="Emphasis"/>
    <w:uiPriority w:val="20"/>
    <w:qFormat/>
    <w:rsid w:val="007D337C"/>
    <w:rPr>
      <w:i/>
      <w:iCs/>
    </w:rPr>
  </w:style>
  <w:style w:type="paragraph" w:styleId="ListParagraph">
    <w:name w:val="List Paragraph"/>
    <w:aliases w:val="bulleted paragraph,List Paragraph1"/>
    <w:basedOn w:val="Normal"/>
    <w:link w:val="ListParagraphChar"/>
    <w:uiPriority w:val="34"/>
    <w:qFormat/>
    <w:rsid w:val="00FB45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657D4"/>
    <w:pPr>
      <w:spacing w:before="100" w:beforeAutospacing="1" w:after="100" w:afterAutospacing="1"/>
    </w:pPr>
    <w:rPr>
      <w:rFonts w:eastAsiaTheme="minorEastAsia"/>
      <w:lang w:eastAsia="en-GB"/>
    </w:rPr>
  </w:style>
  <w:style w:type="paragraph" w:customStyle="1" w:styleId="Default">
    <w:name w:val="Default"/>
    <w:rsid w:val="00581B9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ara">
    <w:name w:val="Para"/>
    <w:basedOn w:val="BodyText"/>
    <w:qFormat/>
    <w:rsid w:val="00CF09CB"/>
    <w:pPr>
      <w:numPr>
        <w:ilvl w:val="1"/>
        <w:numId w:val="5"/>
      </w:numPr>
      <w:spacing w:before="0" w:after="120" w:line="240" w:lineRule="auto"/>
      <w:jc w:val="left"/>
    </w:pPr>
    <w:rPr>
      <w:rFonts w:ascii="Times New Roman" w:hAnsi="Times New Roman" w:cs="Arial"/>
    </w:rPr>
  </w:style>
  <w:style w:type="character" w:customStyle="1" w:styleId="FooterChar">
    <w:name w:val="Footer Char"/>
    <w:basedOn w:val="DefaultParagraphFont"/>
    <w:link w:val="Footer"/>
    <w:rsid w:val="00394EAD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41531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E304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39C"/>
    <w:rPr>
      <w:lang w:eastAsia="en-US"/>
    </w:rPr>
  </w:style>
  <w:style w:type="paragraph" w:styleId="BlockText">
    <w:name w:val="Block Text"/>
    <w:basedOn w:val="Normal"/>
    <w:link w:val="BlockTextChar"/>
    <w:rsid w:val="0008739C"/>
    <w:pPr>
      <w:widowControl w:val="0"/>
      <w:autoSpaceDE w:val="0"/>
      <w:autoSpaceDN w:val="0"/>
      <w:adjustRightInd w:val="0"/>
      <w:spacing w:before="120" w:after="120" w:line="360" w:lineRule="auto"/>
      <w:ind w:left="9" w:right="255"/>
      <w:jc w:val="both"/>
    </w:pPr>
    <w:rPr>
      <w:rFonts w:ascii="Arial" w:hAnsi="Arial" w:cs="Arial"/>
      <w:szCs w:val="20"/>
    </w:rPr>
  </w:style>
  <w:style w:type="character" w:customStyle="1" w:styleId="BlockTextChar">
    <w:name w:val="Block Text Char"/>
    <w:basedOn w:val="DefaultParagraphFont"/>
    <w:link w:val="BlockText"/>
    <w:rsid w:val="0008739C"/>
    <w:rPr>
      <w:rFonts w:ascii="Arial" w:hAnsi="Arial" w:cs="Arial"/>
      <w:sz w:val="24"/>
      <w:lang w:eastAsia="en-US"/>
    </w:rPr>
  </w:style>
  <w:style w:type="paragraph" w:customStyle="1" w:styleId="Style2">
    <w:name w:val="Style2"/>
    <w:basedOn w:val="BlockText"/>
    <w:link w:val="Style2Char"/>
    <w:qFormat/>
    <w:rsid w:val="0008739C"/>
    <w:pPr>
      <w:adjustRightInd/>
      <w:spacing w:before="0" w:line="276" w:lineRule="auto"/>
      <w:ind w:left="0" w:right="0"/>
    </w:pPr>
    <w:rPr>
      <w:bCs/>
      <w:color w:val="FF0000"/>
      <w:szCs w:val="24"/>
    </w:rPr>
  </w:style>
  <w:style w:type="character" w:customStyle="1" w:styleId="Style2Char">
    <w:name w:val="Style2 Char"/>
    <w:basedOn w:val="DefaultParagraphFont"/>
    <w:link w:val="Style2"/>
    <w:rsid w:val="0008739C"/>
    <w:rPr>
      <w:rFonts w:ascii="Arial" w:hAnsi="Arial" w:cs="Arial"/>
      <w:bCs/>
      <w:color w:val="FF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87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ed paragraph Char,List Paragraph1 Char"/>
    <w:link w:val="ListParagraph"/>
    <w:uiPriority w:val="34"/>
    <w:locked/>
    <w:rsid w:val="00BD6D2B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5E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8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4176502ED034CACF3CB539652B820" ma:contentTypeVersion="6" ma:contentTypeDescription="Create a new document." ma:contentTypeScope="" ma:versionID="cf193822f760a883f2438f2d4c5d5d24">
  <xsd:schema xmlns:xsd="http://www.w3.org/2001/XMLSchema" xmlns:xs="http://www.w3.org/2001/XMLSchema" xmlns:p="http://schemas.microsoft.com/office/2006/metadata/properties" xmlns:ns2="2cfbf2e9-7301-4340-9aff-cbd9ba941bf0" targetNamespace="http://schemas.microsoft.com/office/2006/metadata/properties" ma:root="true" ma:fieldsID="e0d1664722a026d53f122279a247851d" ns2:_="">
    <xsd:import namespace="2cfbf2e9-7301-4340-9aff-cbd9ba941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bf2e9-7301-4340-9aff-cbd9ba94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91B46-3CD8-4BAE-A858-AAEE192CD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bf2e9-7301-4340-9aff-cbd9ba94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1A570-D0C2-474B-8E1F-B5A101BEC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57A9D-D459-44B8-ADC8-8FB8816238D4}">
  <ds:schemaRefs>
    <ds:schemaRef ds:uri="http://purl.org/dc/terms/"/>
    <ds:schemaRef ds:uri="2cfbf2e9-7301-4340-9aff-cbd9ba941bf0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5E7302-F935-4900-B1F5-3D4F5A21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1626</Words>
  <Characters>8937</Characters>
  <Application>Microsoft Office Word</Application>
  <DocSecurity>0</DocSecurity>
  <Lines>74</Lines>
  <Paragraphs>21</Paragraphs>
  <ScaleCrop>false</ScaleCrop>
  <Manager>Procurement Policy Manager</Manager>
  <Company>Highways Agency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Model Service Information Annex 03</dc:title>
  <dc:creator>Procurement Policy</dc:creator>
  <cp:lastModifiedBy>Openshaw, Jessica</cp:lastModifiedBy>
  <cp:revision>12</cp:revision>
  <cp:lastPrinted>2015-07-23T12:41:00Z</cp:lastPrinted>
  <dcterms:created xsi:type="dcterms:W3CDTF">2020-07-17T14:20:00Z</dcterms:created>
  <dcterms:modified xsi:type="dcterms:W3CDTF">2021-09-20T10:07:00Z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0x010100E324176502ED034CACF3CB539652B820</vt:lpwstr>
  </property>
</Properties>
</file>