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66988351" w:rsidR="00F52BE8" w:rsidRDefault="00FC655B" w:rsidP="00746CF7">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67E2F96F" w:rsidR="00F52BE8" w:rsidRPr="00746CF7" w:rsidRDefault="004325E7" w:rsidP="00F52BE8">
      <w:pPr>
        <w:jc w:val="center"/>
        <w:rPr>
          <w:rFonts w:cs="Arial"/>
          <w:b/>
          <w:u w:val="single"/>
        </w:rPr>
      </w:pPr>
      <w:proofErr w:type="spellStart"/>
      <w:r w:rsidRPr="00746CF7">
        <w:rPr>
          <w:rFonts w:cs="Arial"/>
          <w:b/>
          <w:u w:val="single"/>
        </w:rPr>
        <w:t>PR23</w:t>
      </w:r>
      <w:proofErr w:type="spellEnd"/>
      <w:r w:rsidRPr="00746CF7">
        <w:rPr>
          <w:rFonts w:cs="Arial"/>
          <w:b/>
          <w:u w:val="single"/>
        </w:rPr>
        <w:t xml:space="preserve"> </w:t>
      </w:r>
      <w:r w:rsidR="00746CF7">
        <w:rPr>
          <w:rFonts w:cs="Arial"/>
          <w:b/>
          <w:u w:val="single"/>
        </w:rPr>
        <w:t>R</w:t>
      </w:r>
      <w:r w:rsidRPr="00746CF7">
        <w:rPr>
          <w:rFonts w:cs="Arial"/>
          <w:b/>
          <w:u w:val="single"/>
        </w:rPr>
        <w:t xml:space="preserve">eview of </w:t>
      </w:r>
      <w:r w:rsidR="00E11857" w:rsidRPr="00746CF7">
        <w:rPr>
          <w:rFonts w:cs="Arial"/>
          <w:b/>
          <w:u w:val="single"/>
        </w:rPr>
        <w:t xml:space="preserve">Network Rail’s </w:t>
      </w:r>
      <w:r w:rsidR="00746CF7">
        <w:rPr>
          <w:rFonts w:cs="Arial"/>
          <w:b/>
          <w:u w:val="single"/>
        </w:rPr>
        <w:t>A</w:t>
      </w:r>
      <w:r w:rsidR="00E11857" w:rsidRPr="00746CF7">
        <w:rPr>
          <w:rFonts w:cs="Arial"/>
          <w:b/>
          <w:u w:val="single"/>
        </w:rPr>
        <w:t xml:space="preserve">ccess </w:t>
      </w:r>
      <w:r w:rsidR="00746CF7">
        <w:rPr>
          <w:rFonts w:cs="Arial"/>
          <w:b/>
          <w:u w:val="single"/>
        </w:rPr>
        <w:t>C</w:t>
      </w:r>
      <w:r w:rsidR="00E76FD3" w:rsidRPr="00746CF7">
        <w:rPr>
          <w:rFonts w:cs="Arial"/>
          <w:b/>
          <w:u w:val="single"/>
        </w:rPr>
        <w:t>harges</w:t>
      </w:r>
      <w:r w:rsidRPr="00746CF7">
        <w:rPr>
          <w:rFonts w:cs="Arial"/>
          <w:b/>
          <w:u w:val="single"/>
        </w:rPr>
        <w:t xml:space="preserve">: </w:t>
      </w:r>
      <w:r w:rsidR="00746CF7">
        <w:rPr>
          <w:rFonts w:cs="Arial"/>
          <w:b/>
          <w:u w:val="single"/>
        </w:rPr>
        <w:t>M</w:t>
      </w:r>
      <w:r w:rsidR="00E76FD3" w:rsidRPr="00746CF7">
        <w:rPr>
          <w:rFonts w:cs="Arial"/>
          <w:b/>
          <w:u w:val="single"/>
        </w:rPr>
        <w:t>arket</w:t>
      </w:r>
      <w:r w:rsidRPr="00746CF7">
        <w:rPr>
          <w:rFonts w:cs="Arial"/>
          <w:b/>
          <w:u w:val="single"/>
        </w:rPr>
        <w:t xml:space="preserve"> </w:t>
      </w:r>
      <w:r w:rsidR="00746CF7">
        <w:rPr>
          <w:rFonts w:cs="Arial"/>
          <w:b/>
          <w:u w:val="single"/>
        </w:rPr>
        <w:t>C</w:t>
      </w:r>
      <w:r w:rsidR="00E76FD3" w:rsidRPr="00746CF7">
        <w:rPr>
          <w:rFonts w:cs="Arial"/>
          <w:b/>
          <w:u w:val="single"/>
        </w:rPr>
        <w:t xml:space="preserve">an </w:t>
      </w:r>
      <w:r w:rsidR="00746CF7">
        <w:rPr>
          <w:rFonts w:cs="Arial"/>
          <w:b/>
          <w:u w:val="single"/>
        </w:rPr>
        <w:t>B</w:t>
      </w:r>
      <w:r w:rsidR="00E76FD3" w:rsidRPr="00746CF7">
        <w:rPr>
          <w:rFonts w:cs="Arial"/>
          <w:b/>
          <w:u w:val="single"/>
        </w:rPr>
        <w:t xml:space="preserve">ear </w:t>
      </w:r>
      <w:r w:rsidR="00746CF7">
        <w:rPr>
          <w:rFonts w:cs="Arial"/>
          <w:b/>
          <w:u w:val="single"/>
        </w:rPr>
        <w:t>A</w:t>
      </w:r>
      <w:r w:rsidR="00E76FD3" w:rsidRPr="00746CF7">
        <w:rPr>
          <w:rFonts w:cs="Arial"/>
          <w:b/>
          <w:u w:val="single"/>
        </w:rPr>
        <w:t>nalysis</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2B7908E8" w:rsidR="00F52BE8" w:rsidRPr="003E4B06" w:rsidRDefault="00F52BE8" w:rsidP="00F52BE8">
      <w:pPr>
        <w:spacing w:after="0" w:line="360" w:lineRule="auto"/>
        <w:rPr>
          <w:rFonts w:cs="Arial"/>
          <w:b/>
          <w:u w:val="single"/>
        </w:rPr>
      </w:pPr>
      <w:proofErr w:type="spellStart"/>
      <w:r w:rsidRPr="00034159">
        <w:rPr>
          <w:rFonts w:cs="Arial"/>
          <w:b/>
          <w:u w:val="single"/>
        </w:rPr>
        <w:t>CPV</w:t>
      </w:r>
      <w:proofErr w:type="spellEnd"/>
      <w:r w:rsidRPr="00034159">
        <w:rPr>
          <w:rFonts w:cs="Arial"/>
          <w:b/>
          <w:u w:val="single"/>
        </w:rPr>
        <w:t xml:space="preserve"> Code: </w:t>
      </w:r>
      <w:r w:rsidR="003E4B06" w:rsidRPr="003E4B06">
        <w:rPr>
          <w:rFonts w:cs="Arial"/>
          <w:b/>
          <w:u w:val="single"/>
        </w:rPr>
        <w:t>72221000</w:t>
      </w:r>
    </w:p>
    <w:p w14:paraId="610DAFD3" w14:textId="742604F6" w:rsidR="00F52BE8" w:rsidRPr="00034159" w:rsidRDefault="00F52BE8" w:rsidP="00F52BE8">
      <w:pPr>
        <w:spacing w:after="0" w:line="360" w:lineRule="auto"/>
        <w:rPr>
          <w:rFonts w:cs="Arial"/>
          <w:b/>
        </w:rPr>
      </w:pPr>
      <w:r>
        <w:rPr>
          <w:rFonts w:cs="Arial"/>
          <w:b/>
          <w:u w:val="single"/>
        </w:rPr>
        <w:t>Tender Reference:</w:t>
      </w:r>
      <w:r w:rsidR="00746CF7">
        <w:rPr>
          <w:rFonts w:cs="Arial"/>
          <w:b/>
          <w:u w:val="single"/>
        </w:rPr>
        <w:t xml:space="preserve"> ORR/CT/21-32</w:t>
      </w:r>
      <w:r>
        <w:rPr>
          <w:rFonts w:cs="Arial"/>
          <w:b/>
          <w:u w:val="single"/>
        </w:rPr>
        <w:t xml:space="preserve"> </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476C94AD"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E76FD3">
        <w:rPr>
          <w:rFonts w:cs="Arial"/>
          <w:color w:val="000000"/>
        </w:rPr>
        <w:t xml:space="preserve">undertaking some market can bear analysis </w:t>
      </w:r>
      <w:r w:rsidRPr="00034159">
        <w:rPr>
          <w:rFonts w:cs="Arial"/>
          <w:color w:val="000000"/>
        </w:rPr>
        <w:t>for</w:t>
      </w:r>
      <w:r>
        <w:rPr>
          <w:rFonts w:cs="Arial"/>
          <w:color w:val="000000"/>
        </w:rPr>
        <w:t xml:space="preserve"> the Office of Rail and Road (ORR)</w:t>
      </w:r>
      <w:r w:rsidR="00E76FD3">
        <w:rPr>
          <w:rFonts w:cs="Arial"/>
          <w:color w:val="000000"/>
        </w:rPr>
        <w:t xml:space="preserve">, as part of our </w:t>
      </w:r>
      <w:proofErr w:type="spellStart"/>
      <w:r w:rsidR="00E76FD3">
        <w:rPr>
          <w:rFonts w:cs="Arial"/>
          <w:color w:val="000000"/>
        </w:rPr>
        <w:t>PR23</w:t>
      </w:r>
      <w:proofErr w:type="spellEnd"/>
      <w:r w:rsidR="00E76FD3">
        <w:rPr>
          <w:rFonts w:cs="Arial"/>
          <w:color w:val="000000"/>
        </w:rPr>
        <w:t xml:space="preserve"> review of charges</w:t>
      </w:r>
      <w:r>
        <w:rPr>
          <w:rFonts w:cs="Arial"/>
          <w:color w:val="000000"/>
        </w:rPr>
        <w:t>.</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w:t>
      </w:r>
      <w:proofErr w:type="spellStart"/>
      <w:r w:rsidRPr="00BA669C">
        <w:rPr>
          <w:rFonts w:cs="Arial"/>
          <w:szCs w:val="24"/>
        </w:rPr>
        <w:t>ORR’s</w:t>
      </w:r>
      <w:proofErr w:type="spellEnd"/>
      <w:r w:rsidRPr="00BA669C">
        <w:rPr>
          <w:rFonts w:cs="Arial"/>
          <w:szCs w:val="24"/>
        </w:rPr>
        <w:t xml:space="preserve">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480405E4"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5D62C4CF" w14:textId="77777777" w:rsidR="00F52BE8" w:rsidRPr="007E2FBB" w:rsidRDefault="00F52BE8" w:rsidP="00F52BE8">
      <w:pPr>
        <w:tabs>
          <w:tab w:val="left" w:pos="720"/>
        </w:tabs>
        <w:spacing w:after="0"/>
        <w:rPr>
          <w:rFonts w:cs="Arial"/>
          <w:szCs w:val="24"/>
        </w:rPr>
      </w:pPr>
    </w:p>
    <w:p w14:paraId="31250FE4"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75DF7DBC" w14:textId="77777777" w:rsidR="00F52BE8" w:rsidRPr="007E2FBB" w:rsidRDefault="00F52BE8" w:rsidP="00F52BE8">
      <w:pPr>
        <w:tabs>
          <w:tab w:val="left" w:pos="720"/>
        </w:tabs>
        <w:spacing w:after="0"/>
        <w:rPr>
          <w:rFonts w:cs="Arial"/>
          <w:szCs w:val="24"/>
        </w:rPr>
      </w:pPr>
    </w:p>
    <w:p w14:paraId="19E78252"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 xml:space="preserve">Secure improved performance, including efficiency, </w:t>
      </w:r>
      <w:proofErr w:type="gramStart"/>
      <w:r w:rsidRPr="007E2FBB">
        <w:rPr>
          <w:rFonts w:cs="Arial"/>
          <w:szCs w:val="24"/>
        </w:rPr>
        <w:t>safety</w:t>
      </w:r>
      <w:proofErr w:type="gramEnd"/>
      <w:r w:rsidRPr="007E2FBB">
        <w:rPr>
          <w:rFonts w:cs="Arial"/>
          <w:szCs w:val="24"/>
        </w:rPr>
        <w:t xml:space="preserve"> and sustainability, from the strategic road network, for the benefit of road users and the public, through proportionate, risk-based monitoring, increased transparency, enforcement and robust advice on future performance requirements.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EA3AF0">
      <w:pPr>
        <w:pStyle w:val="ListNumber"/>
        <w:numPr>
          <w:ilvl w:val="0"/>
          <w:numId w:val="2"/>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EA3AF0">
      <w:pPr>
        <w:pStyle w:val="ListNumber"/>
        <w:numPr>
          <w:ilvl w:val="0"/>
          <w:numId w:val="2"/>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EA3AF0">
      <w:pPr>
        <w:pStyle w:val="ListNumber"/>
        <w:numPr>
          <w:ilvl w:val="0"/>
          <w:numId w:val="2"/>
        </w:numPr>
        <w:rPr>
          <w:lang w:val="en" w:eastAsia="en-GB"/>
        </w:rPr>
      </w:pPr>
      <w:r w:rsidRPr="00DF0367">
        <w:rPr>
          <w:lang w:val="en" w:eastAsia="en-GB"/>
        </w:rPr>
        <w:lastRenderedPageBreak/>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EA3AF0">
      <w:pPr>
        <w:pStyle w:val="ListNumber"/>
        <w:numPr>
          <w:ilvl w:val="0"/>
          <w:numId w:val="2"/>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EA3AF0">
      <w:pPr>
        <w:pStyle w:val="ListNumber"/>
        <w:numPr>
          <w:ilvl w:val="0"/>
          <w:numId w:val="2"/>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proofErr w:type="spellStart"/>
        <w:r w:rsidRPr="005A690E">
          <w:rPr>
            <w:rStyle w:val="Hyperlink"/>
          </w:rPr>
          <w:t>www.orr.gov.uk</w:t>
        </w:r>
        <w:proofErr w:type="spellEnd"/>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E2732">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E2732">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E2732">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E2732">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E2732">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E2732">
            <w:pPr>
              <w:jc w:val="center"/>
              <w:rPr>
                <w:rFonts w:cs="Arial"/>
                <w:b/>
                <w:bCs/>
              </w:rPr>
            </w:pPr>
            <w:r w:rsidRPr="00362F5D">
              <w:rPr>
                <w:rFonts w:cs="Arial"/>
                <w:b/>
                <w:bCs/>
              </w:rPr>
              <w:t>Balance Sheet Total</w:t>
            </w:r>
          </w:p>
        </w:tc>
      </w:tr>
      <w:tr w:rsidR="00F52BE8" w:rsidRPr="00362F5D" w14:paraId="3DD1D934" w14:textId="77777777" w:rsidTr="003E273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E2732">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E2732">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E2732">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E2732">
            <w:pPr>
              <w:jc w:val="center"/>
              <w:rPr>
                <w:rFonts w:cs="Arial"/>
                <w:b/>
                <w:bCs/>
              </w:rPr>
            </w:pPr>
            <w:r w:rsidRPr="00362F5D">
              <w:rPr>
                <w:rFonts w:cs="Arial"/>
                <w:b/>
                <w:bCs/>
              </w:rPr>
              <w:t>≤ € 2 million</w:t>
            </w:r>
          </w:p>
        </w:tc>
      </w:tr>
      <w:tr w:rsidR="00F52BE8" w:rsidRPr="00362F5D" w14:paraId="37954759" w14:textId="77777777" w:rsidTr="003E2732">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E273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E273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E273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E2732">
            <w:pPr>
              <w:rPr>
                <w:rFonts w:cs="Arial"/>
                <w:b/>
                <w:bCs/>
              </w:rPr>
            </w:pPr>
          </w:p>
        </w:tc>
      </w:tr>
      <w:tr w:rsidR="00F52BE8" w:rsidRPr="00362F5D" w14:paraId="0BD2A39B" w14:textId="77777777" w:rsidTr="003E273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E2732">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E2732">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E2732">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E2732">
            <w:pPr>
              <w:jc w:val="center"/>
              <w:rPr>
                <w:rFonts w:cs="Arial"/>
                <w:b/>
                <w:bCs/>
              </w:rPr>
            </w:pPr>
            <w:r w:rsidRPr="00362F5D">
              <w:rPr>
                <w:rFonts w:cs="Arial"/>
                <w:b/>
                <w:bCs/>
              </w:rPr>
              <w:t>≤ € 10 million</w:t>
            </w:r>
          </w:p>
        </w:tc>
      </w:tr>
      <w:tr w:rsidR="00F52BE8" w:rsidRPr="00362F5D" w14:paraId="2E6CB3ED" w14:textId="77777777" w:rsidTr="003E2732">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E273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E273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E273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E2732">
            <w:pPr>
              <w:rPr>
                <w:rFonts w:cs="Arial"/>
                <w:b/>
                <w:bCs/>
              </w:rPr>
            </w:pPr>
          </w:p>
        </w:tc>
      </w:tr>
      <w:tr w:rsidR="00F52BE8" w:rsidRPr="00362F5D" w14:paraId="638D624F" w14:textId="77777777" w:rsidTr="003E2732">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E2732">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E2732">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E2732">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E2732">
            <w:pPr>
              <w:jc w:val="center"/>
              <w:rPr>
                <w:rFonts w:cs="Arial"/>
                <w:b/>
                <w:bCs/>
              </w:rPr>
            </w:pPr>
            <w:r w:rsidRPr="00362F5D">
              <w:rPr>
                <w:rFonts w:cs="Arial"/>
                <w:b/>
                <w:bCs/>
              </w:rPr>
              <w:t>≤ € 43 million</w:t>
            </w:r>
          </w:p>
        </w:tc>
      </w:tr>
      <w:tr w:rsidR="00F52BE8" w:rsidRPr="00362F5D" w14:paraId="260890AF" w14:textId="77777777" w:rsidTr="003E2732">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E2732">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E2732">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E2732">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E2732">
            <w:pPr>
              <w:rPr>
                <w:rFonts w:cs="Arial"/>
                <w:b/>
                <w:bCs/>
              </w:rPr>
            </w:pPr>
          </w:p>
        </w:tc>
      </w:tr>
      <w:tr w:rsidR="00F52BE8" w:rsidRPr="00362F5D" w14:paraId="6C65AC39" w14:textId="77777777" w:rsidTr="003E2732">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E2732">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E2732">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E2732">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E2732">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tblGrid>
      <w:tr w:rsidR="00F52BE8" w:rsidRPr="0036077E" w14:paraId="7DC6446B" w14:textId="77777777" w:rsidTr="00A31A26">
        <w:trPr>
          <w:trHeight w:val="454"/>
        </w:trPr>
        <w:tc>
          <w:tcPr>
            <w:tcW w:w="8500" w:type="dxa"/>
            <w:shd w:val="clear" w:color="auto" w:fill="99CCFF"/>
          </w:tcPr>
          <w:p w14:paraId="51A338C8" w14:textId="77777777" w:rsidR="00F52BE8" w:rsidRPr="0036077E" w:rsidRDefault="00F52BE8" w:rsidP="003E2732">
            <w:pPr>
              <w:rPr>
                <w:rFonts w:cs="Arial"/>
                <w:b/>
                <w:sz w:val="28"/>
                <w:szCs w:val="28"/>
              </w:rPr>
            </w:pPr>
            <w:r w:rsidRPr="0036077E">
              <w:rPr>
                <w:rFonts w:cs="Arial"/>
                <w:b/>
                <w:sz w:val="28"/>
                <w:szCs w:val="28"/>
              </w:rPr>
              <w:t>2.1 Background to the project</w:t>
            </w:r>
          </w:p>
        </w:tc>
      </w:tr>
      <w:tr w:rsidR="00F52BE8" w:rsidRPr="0036077E" w14:paraId="503C3C58" w14:textId="77777777" w:rsidTr="00A31A26">
        <w:trPr>
          <w:trHeight w:val="760"/>
        </w:trPr>
        <w:tc>
          <w:tcPr>
            <w:tcW w:w="8500" w:type="dxa"/>
            <w:tcBorders>
              <w:bottom w:val="single" w:sz="4" w:space="0" w:color="auto"/>
            </w:tcBorders>
            <w:shd w:val="clear" w:color="auto" w:fill="auto"/>
          </w:tcPr>
          <w:p w14:paraId="2BEF6A7B" w14:textId="5CBADE21" w:rsidR="00EC4554" w:rsidRDefault="00112AD5" w:rsidP="003E2732">
            <w:pPr>
              <w:rPr>
                <w:rFonts w:cs="Arial"/>
                <w:sz w:val="22"/>
                <w:szCs w:val="22"/>
              </w:rPr>
            </w:pPr>
            <w:r>
              <w:rPr>
                <w:rFonts w:cs="Arial"/>
                <w:b/>
                <w:sz w:val="22"/>
                <w:szCs w:val="22"/>
              </w:rPr>
              <w:t xml:space="preserve">                                                                                                                                  </w:t>
            </w:r>
            <w:r w:rsidR="003E2732" w:rsidRPr="003E2732">
              <w:rPr>
                <w:rFonts w:cs="Arial"/>
                <w:sz w:val="22"/>
                <w:szCs w:val="22"/>
              </w:rPr>
              <w:t>The ORR is the economic regulator for Britain’s railway infrastructure.</w:t>
            </w:r>
            <w:r w:rsidR="003E2732">
              <w:rPr>
                <w:rFonts w:cs="Arial"/>
                <w:sz w:val="22"/>
                <w:szCs w:val="22"/>
              </w:rPr>
              <w:t xml:space="preserve"> </w:t>
            </w:r>
            <w:r w:rsidR="003E2732" w:rsidRPr="003E2732">
              <w:rPr>
                <w:rFonts w:cs="Arial"/>
                <w:sz w:val="22"/>
                <w:szCs w:val="22"/>
              </w:rPr>
              <w:t>We regulate Network Rail and other railway networks,</w:t>
            </w:r>
            <w:r w:rsidR="003E2732">
              <w:rPr>
                <w:rFonts w:cs="Arial"/>
                <w:sz w:val="22"/>
                <w:szCs w:val="22"/>
              </w:rPr>
              <w:t xml:space="preserve"> </w:t>
            </w:r>
            <w:r w:rsidR="003E2732" w:rsidRPr="003E2732">
              <w:rPr>
                <w:rFonts w:cs="Arial"/>
                <w:sz w:val="22"/>
                <w:szCs w:val="22"/>
              </w:rPr>
              <w:t>including the Channel Tunnel and High Speed 1.</w:t>
            </w:r>
            <w:r>
              <w:rPr>
                <w:rFonts w:cs="Arial"/>
                <w:sz w:val="22"/>
                <w:szCs w:val="22"/>
              </w:rPr>
              <w:t xml:space="preserve"> </w:t>
            </w:r>
            <w:r w:rsidR="003E2732" w:rsidRPr="003E2732">
              <w:rPr>
                <w:rFonts w:cs="Arial"/>
                <w:sz w:val="22"/>
                <w:szCs w:val="22"/>
              </w:rPr>
              <w:t>We regulate Network Rail</w:t>
            </w:r>
            <w:r w:rsidR="003E2732">
              <w:rPr>
                <w:rFonts w:cs="Arial"/>
                <w:sz w:val="22"/>
                <w:szCs w:val="22"/>
              </w:rPr>
              <w:t xml:space="preserve"> </w:t>
            </w:r>
            <w:r w:rsidR="003E2732" w:rsidRPr="003E2732">
              <w:rPr>
                <w:rFonts w:cs="Arial"/>
                <w:sz w:val="22"/>
                <w:szCs w:val="22"/>
              </w:rPr>
              <w:t>by conducting five-yearly reviews (“</w:t>
            </w:r>
            <w:r w:rsidR="00EC4554">
              <w:rPr>
                <w:rFonts w:cs="Arial"/>
                <w:sz w:val="22"/>
                <w:szCs w:val="22"/>
              </w:rPr>
              <w:t>periodic r</w:t>
            </w:r>
            <w:r w:rsidR="003E2732" w:rsidRPr="003E2732">
              <w:rPr>
                <w:rFonts w:cs="Arial"/>
                <w:sz w:val="22"/>
                <w:szCs w:val="22"/>
              </w:rPr>
              <w:t>eviews”)</w:t>
            </w:r>
            <w:r w:rsidR="00EC4554">
              <w:rPr>
                <w:rFonts w:cs="Arial"/>
                <w:sz w:val="22"/>
                <w:szCs w:val="22"/>
              </w:rPr>
              <w:t>, which determine what Network Rail must achieve in each control period, along with the funding it requires for this</w:t>
            </w:r>
            <w:r w:rsidR="003E2732" w:rsidRPr="003E2732">
              <w:rPr>
                <w:rFonts w:cs="Arial"/>
                <w:sz w:val="22"/>
                <w:szCs w:val="22"/>
              </w:rPr>
              <w:t xml:space="preserve">. </w:t>
            </w:r>
          </w:p>
          <w:p w14:paraId="6AD62F06" w14:textId="5A323583" w:rsidR="00E16F73" w:rsidRDefault="003E2732" w:rsidP="003E2732">
            <w:pPr>
              <w:rPr>
                <w:rFonts w:cs="Arial"/>
                <w:sz w:val="22"/>
                <w:szCs w:val="22"/>
              </w:rPr>
            </w:pPr>
            <w:r w:rsidRPr="003E2732">
              <w:rPr>
                <w:rFonts w:cs="Arial"/>
                <w:sz w:val="22"/>
                <w:szCs w:val="22"/>
              </w:rPr>
              <w:t xml:space="preserve">As part of </w:t>
            </w:r>
            <w:r w:rsidR="00EC4554">
              <w:rPr>
                <w:rFonts w:cs="Arial"/>
                <w:sz w:val="22"/>
                <w:szCs w:val="22"/>
              </w:rPr>
              <w:t>each P</w:t>
            </w:r>
            <w:r w:rsidRPr="003E2732">
              <w:rPr>
                <w:rFonts w:cs="Arial"/>
                <w:sz w:val="22"/>
                <w:szCs w:val="22"/>
              </w:rPr>
              <w:t xml:space="preserve">eriodic </w:t>
            </w:r>
            <w:r w:rsidR="00EC4554">
              <w:rPr>
                <w:rFonts w:cs="Arial"/>
                <w:sz w:val="22"/>
                <w:szCs w:val="22"/>
              </w:rPr>
              <w:t>R</w:t>
            </w:r>
            <w:r w:rsidRPr="003E2732">
              <w:rPr>
                <w:rFonts w:cs="Arial"/>
                <w:sz w:val="22"/>
                <w:szCs w:val="22"/>
              </w:rPr>
              <w:t xml:space="preserve">eview, we also decide any changes to the </w:t>
            </w:r>
            <w:r w:rsidR="00EC4554">
              <w:rPr>
                <w:rFonts w:cs="Arial"/>
                <w:sz w:val="22"/>
                <w:szCs w:val="22"/>
              </w:rPr>
              <w:t xml:space="preserve">structure of Network Rail’s access charges. These </w:t>
            </w:r>
            <w:r w:rsidR="00E16F73" w:rsidRPr="00E16F73">
              <w:rPr>
                <w:rFonts w:cs="Arial"/>
                <w:sz w:val="22"/>
                <w:szCs w:val="22"/>
              </w:rPr>
              <w:t xml:space="preserve">charges are paid by </w:t>
            </w:r>
            <w:r w:rsidR="00E16F73">
              <w:rPr>
                <w:rFonts w:cs="Arial"/>
                <w:sz w:val="22"/>
                <w:szCs w:val="22"/>
              </w:rPr>
              <w:t xml:space="preserve">all </w:t>
            </w:r>
            <w:r w:rsidR="00E16F73" w:rsidRPr="00E16F73">
              <w:rPr>
                <w:rFonts w:cs="Arial"/>
                <w:sz w:val="22"/>
                <w:szCs w:val="22"/>
              </w:rPr>
              <w:t>train operators</w:t>
            </w:r>
            <w:r w:rsidR="007646FB">
              <w:rPr>
                <w:rFonts w:cs="Arial"/>
                <w:sz w:val="22"/>
                <w:szCs w:val="22"/>
              </w:rPr>
              <w:t xml:space="preserve"> for use of the rail</w:t>
            </w:r>
            <w:r w:rsidR="00EC4554">
              <w:rPr>
                <w:rFonts w:cs="Arial"/>
                <w:sz w:val="22"/>
                <w:szCs w:val="22"/>
              </w:rPr>
              <w:t xml:space="preserve"> network</w:t>
            </w:r>
            <w:r w:rsidR="00E16F73" w:rsidRPr="00E16F73">
              <w:rPr>
                <w:rFonts w:cs="Arial"/>
                <w:sz w:val="22"/>
                <w:szCs w:val="22"/>
              </w:rPr>
              <w:t xml:space="preserve">, and are one of Network Rail’s </w:t>
            </w:r>
            <w:r w:rsidR="00EC4554">
              <w:rPr>
                <w:rFonts w:cs="Arial"/>
                <w:sz w:val="22"/>
                <w:szCs w:val="22"/>
              </w:rPr>
              <w:t xml:space="preserve">main </w:t>
            </w:r>
            <w:r w:rsidR="00E16F73" w:rsidRPr="00E16F73">
              <w:rPr>
                <w:rFonts w:cs="Arial"/>
                <w:sz w:val="22"/>
                <w:szCs w:val="22"/>
              </w:rPr>
              <w:t>sources of income.</w:t>
            </w:r>
            <w:r w:rsidR="00E93674">
              <w:rPr>
                <w:rFonts w:cs="Arial"/>
                <w:sz w:val="22"/>
                <w:szCs w:val="22"/>
              </w:rPr>
              <w:t xml:space="preserve"> </w:t>
            </w:r>
            <w:r w:rsidRPr="003E2732">
              <w:rPr>
                <w:rFonts w:cs="Arial"/>
                <w:sz w:val="22"/>
                <w:szCs w:val="22"/>
              </w:rPr>
              <w:t xml:space="preserve">We completed our most recent </w:t>
            </w:r>
            <w:r w:rsidR="00112AD5">
              <w:rPr>
                <w:rFonts w:cs="Arial"/>
                <w:sz w:val="22"/>
                <w:szCs w:val="22"/>
              </w:rPr>
              <w:t>P</w:t>
            </w:r>
            <w:r w:rsidRPr="003E2732">
              <w:rPr>
                <w:rFonts w:cs="Arial"/>
                <w:sz w:val="22"/>
                <w:szCs w:val="22"/>
              </w:rPr>
              <w:t xml:space="preserve">eriodic </w:t>
            </w:r>
            <w:r w:rsidR="00112AD5">
              <w:rPr>
                <w:rFonts w:cs="Arial"/>
                <w:sz w:val="22"/>
                <w:szCs w:val="22"/>
              </w:rPr>
              <w:t>R</w:t>
            </w:r>
            <w:r w:rsidRPr="003E2732">
              <w:rPr>
                <w:rFonts w:cs="Arial"/>
                <w:sz w:val="22"/>
                <w:szCs w:val="22"/>
              </w:rPr>
              <w:t>eview (</w:t>
            </w:r>
            <w:proofErr w:type="spellStart"/>
            <w:r w:rsidRPr="003E2732">
              <w:rPr>
                <w:rFonts w:cs="Arial"/>
                <w:sz w:val="22"/>
                <w:szCs w:val="22"/>
              </w:rPr>
              <w:t>PR18</w:t>
            </w:r>
            <w:proofErr w:type="spellEnd"/>
            <w:r w:rsidRPr="003E2732">
              <w:rPr>
                <w:rFonts w:cs="Arial"/>
                <w:sz w:val="22"/>
                <w:szCs w:val="22"/>
              </w:rPr>
              <w:t>) in late 2018. Th</w:t>
            </w:r>
            <w:r w:rsidR="00112AD5">
              <w:rPr>
                <w:rFonts w:cs="Arial"/>
                <w:sz w:val="22"/>
                <w:szCs w:val="22"/>
              </w:rPr>
              <w:t>is</w:t>
            </w:r>
            <w:r w:rsidRPr="003E2732">
              <w:rPr>
                <w:rFonts w:cs="Arial"/>
                <w:sz w:val="22"/>
                <w:szCs w:val="22"/>
              </w:rPr>
              <w:t xml:space="preserve"> review determined the framework for Network R</w:t>
            </w:r>
            <w:r w:rsidR="00E76FD3">
              <w:rPr>
                <w:rFonts w:cs="Arial"/>
                <w:sz w:val="22"/>
                <w:szCs w:val="22"/>
              </w:rPr>
              <w:t xml:space="preserve">ail’s access charges </w:t>
            </w:r>
            <w:r w:rsidRPr="003E2732">
              <w:rPr>
                <w:rFonts w:cs="Arial"/>
                <w:sz w:val="22"/>
                <w:szCs w:val="22"/>
              </w:rPr>
              <w:t xml:space="preserve">for the current control period (control period 6, or </w:t>
            </w:r>
            <w:proofErr w:type="spellStart"/>
            <w:r w:rsidRPr="003E2732">
              <w:rPr>
                <w:rFonts w:cs="Arial"/>
                <w:sz w:val="22"/>
                <w:szCs w:val="22"/>
              </w:rPr>
              <w:t>CP6</w:t>
            </w:r>
            <w:proofErr w:type="spellEnd"/>
            <w:r w:rsidRPr="003E2732">
              <w:rPr>
                <w:rFonts w:cs="Arial"/>
                <w:sz w:val="22"/>
                <w:szCs w:val="22"/>
              </w:rPr>
              <w:t>, which runs from 1 April 2019 to 31 March 2024).</w:t>
            </w:r>
            <w:r w:rsidR="00112AD5">
              <w:rPr>
                <w:rFonts w:cs="Arial"/>
                <w:sz w:val="22"/>
                <w:szCs w:val="22"/>
              </w:rPr>
              <w:t xml:space="preserve"> </w:t>
            </w:r>
          </w:p>
          <w:p w14:paraId="1DB9C41A" w14:textId="12C610E1" w:rsidR="00E16F73" w:rsidRDefault="00112AD5" w:rsidP="003E2732">
            <w:pPr>
              <w:rPr>
                <w:rFonts w:cs="Arial"/>
                <w:sz w:val="22"/>
                <w:szCs w:val="22"/>
              </w:rPr>
            </w:pPr>
            <w:r>
              <w:rPr>
                <w:rFonts w:cs="Arial"/>
                <w:sz w:val="22"/>
                <w:szCs w:val="22"/>
              </w:rPr>
              <w:t xml:space="preserve">We have recently commenced our next </w:t>
            </w:r>
            <w:r w:rsidR="00C14B82">
              <w:rPr>
                <w:rFonts w:cs="Arial"/>
                <w:sz w:val="22"/>
                <w:szCs w:val="22"/>
              </w:rPr>
              <w:t xml:space="preserve">periodic </w:t>
            </w:r>
            <w:r w:rsidR="00C14B82" w:rsidRPr="00407117">
              <w:rPr>
                <w:rFonts w:cs="Arial"/>
                <w:sz w:val="22"/>
                <w:szCs w:val="22"/>
              </w:rPr>
              <w:t>review process</w:t>
            </w:r>
            <w:r w:rsidRPr="00407117">
              <w:rPr>
                <w:rFonts w:cs="Arial"/>
                <w:sz w:val="22"/>
                <w:szCs w:val="22"/>
              </w:rPr>
              <w:t xml:space="preserve"> </w:t>
            </w:r>
            <w:r w:rsidR="003E2732" w:rsidRPr="00407117">
              <w:rPr>
                <w:rFonts w:cs="Arial"/>
                <w:sz w:val="22"/>
                <w:szCs w:val="22"/>
              </w:rPr>
              <w:t>(</w:t>
            </w:r>
            <w:proofErr w:type="spellStart"/>
            <w:r w:rsidR="003E2732" w:rsidRPr="00407117">
              <w:rPr>
                <w:rFonts w:cs="Arial"/>
                <w:sz w:val="22"/>
                <w:szCs w:val="22"/>
              </w:rPr>
              <w:t>PR23</w:t>
            </w:r>
            <w:proofErr w:type="spellEnd"/>
            <w:r w:rsidR="003E2732" w:rsidRPr="00407117">
              <w:rPr>
                <w:rFonts w:cs="Arial"/>
                <w:sz w:val="22"/>
                <w:szCs w:val="22"/>
              </w:rPr>
              <w:t>)</w:t>
            </w:r>
            <w:r w:rsidR="00E16F73" w:rsidRPr="00407117">
              <w:rPr>
                <w:rStyle w:val="FootnoteReference"/>
                <w:rFonts w:cs="Arial"/>
                <w:sz w:val="22"/>
                <w:szCs w:val="22"/>
              </w:rPr>
              <w:footnoteReference w:id="1"/>
            </w:r>
            <w:r w:rsidRPr="00407117">
              <w:rPr>
                <w:rFonts w:cs="Arial"/>
                <w:sz w:val="22"/>
                <w:szCs w:val="22"/>
              </w:rPr>
              <w:t>.</w:t>
            </w:r>
            <w:r w:rsidR="00E16F73" w:rsidRPr="00407117">
              <w:rPr>
                <w:rFonts w:cs="Arial"/>
                <w:sz w:val="22"/>
                <w:szCs w:val="22"/>
              </w:rPr>
              <w:t xml:space="preserve"> </w:t>
            </w:r>
            <w:r w:rsidR="00EC4554" w:rsidRPr="00407117">
              <w:rPr>
                <w:rFonts w:cs="Arial"/>
                <w:sz w:val="22"/>
                <w:szCs w:val="22"/>
              </w:rPr>
              <w:t xml:space="preserve">Through </w:t>
            </w:r>
            <w:proofErr w:type="spellStart"/>
            <w:r w:rsidR="00E16F73" w:rsidRPr="00407117">
              <w:rPr>
                <w:rFonts w:cs="Arial"/>
                <w:sz w:val="22"/>
                <w:szCs w:val="22"/>
              </w:rPr>
              <w:t>PR23</w:t>
            </w:r>
            <w:proofErr w:type="spellEnd"/>
            <w:r w:rsidR="00E16F73" w:rsidRPr="00407117">
              <w:rPr>
                <w:rFonts w:cs="Arial"/>
                <w:sz w:val="22"/>
                <w:szCs w:val="22"/>
              </w:rPr>
              <w:t xml:space="preserve">, we are undertaking a review of Network Rail’s </w:t>
            </w:r>
            <w:r w:rsidR="00F81E26">
              <w:rPr>
                <w:rFonts w:cs="Arial"/>
                <w:sz w:val="22"/>
                <w:szCs w:val="22"/>
              </w:rPr>
              <w:t xml:space="preserve">access </w:t>
            </w:r>
            <w:r w:rsidR="00E16F73" w:rsidRPr="00407117">
              <w:rPr>
                <w:rFonts w:cs="Arial"/>
                <w:sz w:val="22"/>
                <w:szCs w:val="22"/>
              </w:rPr>
              <w:t>charges. We published an initial consultation on our appr</w:t>
            </w:r>
            <w:r w:rsidR="000617C2" w:rsidRPr="00407117">
              <w:rPr>
                <w:rFonts w:cs="Arial"/>
                <w:sz w:val="22"/>
                <w:szCs w:val="22"/>
              </w:rPr>
              <w:t xml:space="preserve">oach and key priorities for this </w:t>
            </w:r>
            <w:r w:rsidR="00E16F73" w:rsidRPr="00407117">
              <w:rPr>
                <w:rFonts w:cs="Arial"/>
                <w:sz w:val="22"/>
                <w:szCs w:val="22"/>
              </w:rPr>
              <w:t>review in July 2021. This consultation is available on our website</w:t>
            </w:r>
            <w:r w:rsidR="00407117" w:rsidRPr="00407117">
              <w:rPr>
                <w:rFonts w:cs="Arial"/>
                <w:sz w:val="22"/>
                <w:szCs w:val="22"/>
              </w:rPr>
              <w:t xml:space="preserve"> </w:t>
            </w:r>
            <w:hyperlink r:id="rId10" w:history="1">
              <w:r w:rsidR="00407117" w:rsidRPr="00407117">
                <w:rPr>
                  <w:rStyle w:val="Hyperlink"/>
                  <w:sz w:val="22"/>
                  <w:szCs w:val="22"/>
                </w:rPr>
                <w:t>here</w:t>
              </w:r>
            </w:hyperlink>
            <w:r w:rsidR="00407117">
              <w:rPr>
                <w:sz w:val="22"/>
                <w:szCs w:val="22"/>
              </w:rPr>
              <w:t xml:space="preserve">. </w:t>
            </w:r>
            <w:r w:rsidR="00407117">
              <w:rPr>
                <w:rFonts w:cs="Arial"/>
                <w:sz w:val="22"/>
                <w:szCs w:val="22"/>
              </w:rPr>
              <w:t xml:space="preserve"> </w:t>
            </w:r>
            <w:r w:rsidR="00E16F73">
              <w:rPr>
                <w:rFonts w:cs="Arial"/>
                <w:sz w:val="22"/>
                <w:szCs w:val="22"/>
              </w:rPr>
              <w:t xml:space="preserve"> </w:t>
            </w:r>
          </w:p>
          <w:p w14:paraId="3C1E4A21" w14:textId="7130AA44" w:rsidR="00DA7EEB" w:rsidRPr="00DA7EEB" w:rsidRDefault="00112AD5" w:rsidP="003E2732">
            <w:pPr>
              <w:rPr>
                <w:rFonts w:cs="Arial"/>
                <w:b/>
                <w:sz w:val="22"/>
                <w:szCs w:val="22"/>
              </w:rPr>
            </w:pPr>
            <w:proofErr w:type="spellStart"/>
            <w:r>
              <w:rPr>
                <w:rFonts w:cs="Arial"/>
                <w:b/>
                <w:sz w:val="22"/>
                <w:szCs w:val="22"/>
              </w:rPr>
              <w:t>CP6</w:t>
            </w:r>
            <w:proofErr w:type="spellEnd"/>
            <w:r>
              <w:rPr>
                <w:rFonts w:cs="Arial"/>
                <w:b/>
                <w:sz w:val="22"/>
                <w:szCs w:val="22"/>
              </w:rPr>
              <w:t xml:space="preserve"> structure of charges </w:t>
            </w:r>
          </w:p>
          <w:p w14:paraId="29305A44" w14:textId="538238AA" w:rsidR="000617C2" w:rsidRDefault="003E2732" w:rsidP="00E16F73">
            <w:pPr>
              <w:rPr>
                <w:rFonts w:cs="Arial"/>
                <w:sz w:val="22"/>
                <w:szCs w:val="22"/>
                <w:shd w:val="clear" w:color="auto" w:fill="FFFFFF"/>
              </w:rPr>
            </w:pPr>
            <w:r w:rsidRPr="003E2732">
              <w:rPr>
                <w:rFonts w:cs="Arial"/>
                <w:sz w:val="22"/>
                <w:szCs w:val="22"/>
              </w:rPr>
              <w:t>Network Rail levies several different types of charge on train operator</w:t>
            </w:r>
            <w:r w:rsidR="00E16F73">
              <w:rPr>
                <w:rFonts w:cs="Arial"/>
                <w:sz w:val="22"/>
                <w:szCs w:val="22"/>
              </w:rPr>
              <w:t>s</w:t>
            </w:r>
            <w:r>
              <w:rPr>
                <w:rFonts w:cs="Arial"/>
                <w:sz w:val="22"/>
                <w:szCs w:val="22"/>
              </w:rPr>
              <w:t xml:space="preserve">. </w:t>
            </w:r>
            <w:r>
              <w:rPr>
                <w:rFonts w:cs="Arial"/>
                <w:sz w:val="22"/>
                <w:szCs w:val="22"/>
                <w:shd w:val="clear" w:color="auto" w:fill="FFFFFF"/>
              </w:rPr>
              <w:t xml:space="preserve">There are two </w:t>
            </w:r>
            <w:r w:rsidR="00E93674">
              <w:rPr>
                <w:rFonts w:cs="Arial"/>
                <w:sz w:val="22"/>
                <w:szCs w:val="22"/>
                <w:shd w:val="clear" w:color="auto" w:fill="FFFFFF"/>
              </w:rPr>
              <w:t xml:space="preserve">broad </w:t>
            </w:r>
            <w:r>
              <w:rPr>
                <w:rFonts w:cs="Arial"/>
                <w:sz w:val="22"/>
                <w:szCs w:val="22"/>
                <w:shd w:val="clear" w:color="auto" w:fill="FFFFFF"/>
              </w:rPr>
              <w:t xml:space="preserve">categories of </w:t>
            </w:r>
            <w:r w:rsidR="00C14B82">
              <w:rPr>
                <w:rFonts w:cs="Arial"/>
                <w:sz w:val="22"/>
                <w:szCs w:val="22"/>
                <w:shd w:val="clear" w:color="auto" w:fill="FFFFFF"/>
              </w:rPr>
              <w:t xml:space="preserve">track access </w:t>
            </w:r>
            <w:r>
              <w:rPr>
                <w:rFonts w:cs="Arial"/>
                <w:sz w:val="22"/>
                <w:szCs w:val="22"/>
                <w:shd w:val="clear" w:color="auto" w:fill="FFFFFF"/>
              </w:rPr>
              <w:t>charge paid by operators:</w:t>
            </w:r>
            <w:r w:rsidR="00E16F73">
              <w:rPr>
                <w:rFonts w:cs="Arial"/>
                <w:sz w:val="22"/>
                <w:szCs w:val="22"/>
                <w:shd w:val="clear" w:color="auto" w:fill="FFFFFF"/>
              </w:rPr>
              <w:t xml:space="preserve"> (</w:t>
            </w:r>
            <w:proofErr w:type="spellStart"/>
            <w:r w:rsidR="00E16F73">
              <w:rPr>
                <w:rFonts w:cs="Arial"/>
                <w:sz w:val="22"/>
                <w:szCs w:val="22"/>
                <w:shd w:val="clear" w:color="auto" w:fill="FFFFFF"/>
              </w:rPr>
              <w:t>i</w:t>
            </w:r>
            <w:proofErr w:type="spellEnd"/>
            <w:r w:rsidR="00E16F73">
              <w:rPr>
                <w:rFonts w:cs="Arial"/>
                <w:sz w:val="22"/>
                <w:szCs w:val="22"/>
                <w:shd w:val="clear" w:color="auto" w:fill="FFFFFF"/>
              </w:rPr>
              <w:t>) c</w:t>
            </w:r>
            <w:r w:rsidRPr="00E16F73">
              <w:rPr>
                <w:rFonts w:cs="Arial"/>
                <w:sz w:val="22"/>
                <w:szCs w:val="22"/>
                <w:shd w:val="clear" w:color="auto" w:fill="FFFFFF"/>
              </w:rPr>
              <w:t xml:space="preserve">harges that recover </w:t>
            </w:r>
            <w:r w:rsidR="00E93674">
              <w:rPr>
                <w:rFonts w:cs="Arial"/>
                <w:sz w:val="22"/>
                <w:szCs w:val="22"/>
                <w:shd w:val="clear" w:color="auto" w:fill="FFFFFF"/>
              </w:rPr>
              <w:t xml:space="preserve">a portion of the </w:t>
            </w:r>
            <w:r w:rsidRPr="00E16F73">
              <w:rPr>
                <w:rFonts w:cs="Arial"/>
                <w:sz w:val="22"/>
                <w:szCs w:val="22"/>
                <w:shd w:val="clear" w:color="auto" w:fill="FFFFFF"/>
              </w:rPr>
              <w:t>fixed costs</w:t>
            </w:r>
            <w:r w:rsidR="00E93674">
              <w:rPr>
                <w:rFonts w:cs="Arial"/>
                <w:sz w:val="22"/>
                <w:szCs w:val="22"/>
                <w:shd w:val="clear" w:color="auto" w:fill="FFFFFF"/>
              </w:rPr>
              <w:t xml:space="preserve"> of rail infrastructure</w:t>
            </w:r>
            <w:r w:rsidRPr="00E16F73">
              <w:rPr>
                <w:rFonts w:cs="Arial"/>
                <w:sz w:val="22"/>
                <w:szCs w:val="22"/>
                <w:shd w:val="clear" w:color="auto" w:fill="FFFFFF"/>
              </w:rPr>
              <w:t xml:space="preserve"> (i.e. costs </w:t>
            </w:r>
            <w:r w:rsidR="00E93674">
              <w:rPr>
                <w:rFonts w:cs="Arial"/>
                <w:sz w:val="22"/>
                <w:szCs w:val="22"/>
                <w:shd w:val="clear" w:color="auto" w:fill="FFFFFF"/>
              </w:rPr>
              <w:t xml:space="preserve">which </w:t>
            </w:r>
            <w:r w:rsidRPr="00E16F73">
              <w:rPr>
                <w:rFonts w:cs="Arial"/>
                <w:sz w:val="22"/>
                <w:szCs w:val="22"/>
                <w:shd w:val="clear" w:color="auto" w:fill="FFFFFF"/>
              </w:rPr>
              <w:t xml:space="preserve">do not vary with </w:t>
            </w:r>
            <w:r w:rsidR="00E93674">
              <w:rPr>
                <w:rFonts w:cs="Arial"/>
                <w:sz w:val="22"/>
                <w:szCs w:val="22"/>
                <w:shd w:val="clear" w:color="auto" w:fill="FFFFFF"/>
              </w:rPr>
              <w:t xml:space="preserve">network </w:t>
            </w:r>
            <w:r w:rsidRPr="00E16F73">
              <w:rPr>
                <w:rFonts w:cs="Arial"/>
                <w:sz w:val="22"/>
                <w:szCs w:val="22"/>
                <w:shd w:val="clear" w:color="auto" w:fill="FFFFFF"/>
              </w:rPr>
              <w:t>use in the short te</w:t>
            </w:r>
            <w:r w:rsidR="00E16F73">
              <w:rPr>
                <w:rFonts w:cs="Arial"/>
                <w:sz w:val="22"/>
                <w:szCs w:val="22"/>
                <w:shd w:val="clear" w:color="auto" w:fill="FFFFFF"/>
              </w:rPr>
              <w:t>rm)</w:t>
            </w:r>
            <w:r w:rsidR="00E93674">
              <w:rPr>
                <w:rStyle w:val="FootnoteReference"/>
                <w:rFonts w:cs="Arial"/>
                <w:sz w:val="22"/>
                <w:szCs w:val="22"/>
                <w:shd w:val="clear" w:color="auto" w:fill="FFFFFF"/>
              </w:rPr>
              <w:footnoteReference w:id="2"/>
            </w:r>
            <w:r w:rsidR="00E16F73">
              <w:rPr>
                <w:rFonts w:cs="Arial"/>
                <w:sz w:val="22"/>
                <w:szCs w:val="22"/>
                <w:shd w:val="clear" w:color="auto" w:fill="FFFFFF"/>
              </w:rPr>
              <w:t xml:space="preserve">; and (ii) </w:t>
            </w:r>
            <w:r w:rsidR="00E93674">
              <w:rPr>
                <w:rFonts w:cs="Arial"/>
                <w:sz w:val="22"/>
                <w:szCs w:val="22"/>
                <w:shd w:val="clear" w:color="auto" w:fill="FFFFFF"/>
              </w:rPr>
              <w:t xml:space="preserve">variable </w:t>
            </w:r>
            <w:r w:rsidR="00E16F73">
              <w:rPr>
                <w:rFonts w:cs="Arial"/>
                <w:sz w:val="22"/>
                <w:szCs w:val="22"/>
                <w:shd w:val="clear" w:color="auto" w:fill="FFFFFF"/>
              </w:rPr>
              <w:t>c</w:t>
            </w:r>
            <w:r w:rsidR="00E16F73" w:rsidRPr="0095515E">
              <w:rPr>
                <w:rFonts w:cs="Arial"/>
                <w:sz w:val="22"/>
                <w:szCs w:val="22"/>
                <w:shd w:val="clear" w:color="auto" w:fill="FFFFFF"/>
              </w:rPr>
              <w:t>harges</w:t>
            </w:r>
            <w:r w:rsidR="00E93674">
              <w:rPr>
                <w:rFonts w:cs="Arial"/>
                <w:sz w:val="22"/>
                <w:szCs w:val="22"/>
                <w:shd w:val="clear" w:color="auto" w:fill="FFFFFF"/>
              </w:rPr>
              <w:t xml:space="preserve">, which recover </w:t>
            </w:r>
            <w:r w:rsidR="00E16F73" w:rsidRPr="0095515E">
              <w:rPr>
                <w:rFonts w:cs="Arial"/>
                <w:sz w:val="22"/>
                <w:szCs w:val="22"/>
                <w:shd w:val="clear" w:color="auto" w:fill="FFFFFF"/>
              </w:rPr>
              <w:t xml:space="preserve">costs </w:t>
            </w:r>
            <w:r w:rsidR="00E16F73">
              <w:rPr>
                <w:rFonts w:cs="Arial"/>
                <w:sz w:val="22"/>
                <w:szCs w:val="22"/>
                <w:shd w:val="clear" w:color="auto" w:fill="FFFFFF"/>
              </w:rPr>
              <w:t xml:space="preserve">directly </w:t>
            </w:r>
            <w:r w:rsidR="00E16F73" w:rsidRPr="0095515E">
              <w:rPr>
                <w:rFonts w:cs="Arial"/>
                <w:sz w:val="22"/>
                <w:szCs w:val="22"/>
                <w:shd w:val="clear" w:color="auto" w:fill="FFFFFF"/>
              </w:rPr>
              <w:t xml:space="preserve">incurred by Network Rail </w:t>
            </w:r>
            <w:r w:rsidR="00E93674" w:rsidRPr="00E93674">
              <w:rPr>
                <w:rFonts w:cs="Arial"/>
                <w:sz w:val="22"/>
                <w:szCs w:val="22"/>
                <w:shd w:val="clear" w:color="auto" w:fill="FFFFFF"/>
              </w:rPr>
              <w:t>when train services are operated over its network</w:t>
            </w:r>
            <w:r w:rsidR="00E16F73" w:rsidRPr="0095515E">
              <w:rPr>
                <w:rFonts w:cs="Arial"/>
                <w:sz w:val="22"/>
                <w:szCs w:val="22"/>
                <w:shd w:val="clear" w:color="auto" w:fill="FFFFFF"/>
              </w:rPr>
              <w:t>.</w:t>
            </w:r>
            <w:r w:rsidR="000617C2">
              <w:rPr>
                <w:rFonts w:cs="Arial"/>
                <w:sz w:val="22"/>
                <w:szCs w:val="22"/>
                <w:shd w:val="clear" w:color="auto" w:fill="FFFFFF"/>
              </w:rPr>
              <w:t xml:space="preserve"> </w:t>
            </w:r>
            <w:r w:rsidR="00E16F73">
              <w:rPr>
                <w:rFonts w:cs="Arial"/>
                <w:sz w:val="22"/>
                <w:szCs w:val="22"/>
                <w:shd w:val="clear" w:color="auto" w:fill="FFFFFF"/>
              </w:rPr>
              <w:t>We refer to the first category of charges as Infrastructure Cost Charges (ICCs).</w:t>
            </w:r>
          </w:p>
          <w:p w14:paraId="72EBB24A" w14:textId="67487BDC" w:rsidR="000617C2" w:rsidRDefault="000617C2" w:rsidP="00E16F73">
            <w:pPr>
              <w:rPr>
                <w:rFonts w:cs="Arial"/>
                <w:sz w:val="22"/>
                <w:szCs w:val="22"/>
                <w:shd w:val="clear" w:color="auto" w:fill="FFFFFF"/>
              </w:rPr>
            </w:pPr>
            <w:r>
              <w:rPr>
                <w:rFonts w:cs="Arial"/>
                <w:sz w:val="22"/>
                <w:szCs w:val="22"/>
                <w:shd w:val="clear" w:color="auto" w:fill="FFFFFF"/>
              </w:rPr>
              <w:t xml:space="preserve">Network Rail currently recovers its fixed costs through three ICCs, based on the type of operator </w:t>
            </w:r>
            <w:r w:rsidR="008E7901">
              <w:rPr>
                <w:rFonts w:cs="Arial"/>
                <w:sz w:val="22"/>
                <w:szCs w:val="22"/>
                <w:shd w:val="clear" w:color="auto" w:fill="FFFFFF"/>
              </w:rPr>
              <w:t xml:space="preserve">that is </w:t>
            </w:r>
            <w:r>
              <w:rPr>
                <w:rFonts w:cs="Arial"/>
                <w:sz w:val="22"/>
                <w:szCs w:val="22"/>
                <w:shd w:val="clear" w:color="auto" w:fill="FFFFFF"/>
              </w:rPr>
              <w:t>using the network</w:t>
            </w:r>
            <w:r w:rsidR="00E93674">
              <w:rPr>
                <w:rFonts w:cs="Arial"/>
                <w:sz w:val="22"/>
                <w:szCs w:val="22"/>
                <w:shd w:val="clear" w:color="auto" w:fill="FFFFFF"/>
              </w:rPr>
              <w:t>:</w:t>
            </w:r>
          </w:p>
          <w:p w14:paraId="3CB49D23" w14:textId="77777777" w:rsidR="008E0BF5" w:rsidRDefault="000617C2" w:rsidP="008E0BF5">
            <w:pPr>
              <w:pStyle w:val="ListParagraph"/>
              <w:numPr>
                <w:ilvl w:val="0"/>
                <w:numId w:val="16"/>
              </w:numPr>
              <w:rPr>
                <w:rFonts w:cs="Arial"/>
                <w:sz w:val="22"/>
                <w:szCs w:val="22"/>
                <w:shd w:val="clear" w:color="auto" w:fill="FFFFFF"/>
              </w:rPr>
            </w:pPr>
            <w:r>
              <w:rPr>
                <w:rFonts w:cs="Arial"/>
                <w:sz w:val="22"/>
                <w:szCs w:val="22"/>
                <w:shd w:val="clear" w:color="auto" w:fill="FFFFFF"/>
              </w:rPr>
              <w:t>The fixed track access charge (</w:t>
            </w:r>
            <w:proofErr w:type="spellStart"/>
            <w:r>
              <w:rPr>
                <w:rFonts w:cs="Arial"/>
                <w:sz w:val="22"/>
                <w:szCs w:val="22"/>
                <w:shd w:val="clear" w:color="auto" w:fill="FFFFFF"/>
              </w:rPr>
              <w:t>FTAC</w:t>
            </w:r>
            <w:proofErr w:type="spellEnd"/>
            <w:r>
              <w:rPr>
                <w:rFonts w:cs="Arial"/>
                <w:sz w:val="22"/>
                <w:szCs w:val="22"/>
                <w:shd w:val="clear" w:color="auto" w:fill="FFFFFF"/>
              </w:rPr>
              <w:t>). This is a lump-sum annual charge paid by franchised passenger operators</w:t>
            </w:r>
            <w:r>
              <w:rPr>
                <w:rStyle w:val="FootnoteReference"/>
                <w:rFonts w:cs="Arial"/>
                <w:sz w:val="22"/>
                <w:szCs w:val="22"/>
                <w:shd w:val="clear" w:color="auto" w:fill="FFFFFF"/>
              </w:rPr>
              <w:footnoteReference w:id="3"/>
            </w:r>
            <w:r w:rsidR="00C8036C">
              <w:rPr>
                <w:rFonts w:cs="Arial"/>
                <w:sz w:val="22"/>
                <w:szCs w:val="22"/>
                <w:shd w:val="clear" w:color="auto" w:fill="FFFFFF"/>
              </w:rPr>
              <w:t>;</w:t>
            </w:r>
            <w:r>
              <w:rPr>
                <w:rFonts w:cs="Arial"/>
                <w:sz w:val="22"/>
                <w:szCs w:val="22"/>
                <w:shd w:val="clear" w:color="auto" w:fill="FFFFFF"/>
              </w:rPr>
              <w:t xml:space="preserve"> </w:t>
            </w:r>
          </w:p>
          <w:p w14:paraId="2ECFCC1D" w14:textId="77777777" w:rsidR="00E93674" w:rsidRDefault="00E93674" w:rsidP="00E93674">
            <w:pPr>
              <w:pStyle w:val="ListParagraph"/>
              <w:ind w:left="360"/>
              <w:rPr>
                <w:rFonts w:cs="Arial"/>
                <w:sz w:val="22"/>
                <w:szCs w:val="22"/>
                <w:shd w:val="clear" w:color="auto" w:fill="FFFFFF"/>
              </w:rPr>
            </w:pPr>
          </w:p>
          <w:p w14:paraId="462F2E54" w14:textId="2B71261C" w:rsidR="000617C2" w:rsidRPr="008E0BF5" w:rsidRDefault="000617C2" w:rsidP="008E0BF5">
            <w:pPr>
              <w:pStyle w:val="ListParagraph"/>
              <w:numPr>
                <w:ilvl w:val="0"/>
                <w:numId w:val="16"/>
              </w:numPr>
              <w:rPr>
                <w:rFonts w:cs="Arial"/>
                <w:sz w:val="22"/>
                <w:szCs w:val="22"/>
                <w:shd w:val="clear" w:color="auto" w:fill="FFFFFF"/>
              </w:rPr>
            </w:pPr>
            <w:r w:rsidRPr="008E0BF5">
              <w:rPr>
                <w:rFonts w:cs="Arial"/>
                <w:sz w:val="22"/>
                <w:szCs w:val="22"/>
                <w:shd w:val="clear" w:color="auto" w:fill="FFFFFF"/>
              </w:rPr>
              <w:t xml:space="preserve">The </w:t>
            </w:r>
            <w:r w:rsidR="00672A0C">
              <w:rPr>
                <w:rFonts w:cs="Arial"/>
                <w:sz w:val="22"/>
                <w:szCs w:val="22"/>
                <w:shd w:val="clear" w:color="auto" w:fill="FFFFFF"/>
              </w:rPr>
              <w:t>ICC for freight services</w:t>
            </w:r>
            <w:r w:rsidR="00672A0C">
              <w:rPr>
                <w:rStyle w:val="FootnoteReference"/>
                <w:rFonts w:cs="Arial"/>
                <w:sz w:val="22"/>
                <w:szCs w:val="22"/>
                <w:shd w:val="clear" w:color="auto" w:fill="FFFFFF"/>
              </w:rPr>
              <w:footnoteReference w:id="4"/>
            </w:r>
            <w:r w:rsidR="00672A0C">
              <w:rPr>
                <w:rFonts w:cs="Arial"/>
                <w:sz w:val="22"/>
                <w:szCs w:val="22"/>
                <w:shd w:val="clear" w:color="auto" w:fill="FFFFFF"/>
              </w:rPr>
              <w:t>.</w:t>
            </w:r>
            <w:r w:rsidRPr="008E0BF5">
              <w:rPr>
                <w:rFonts w:cs="Arial"/>
                <w:sz w:val="22"/>
                <w:szCs w:val="22"/>
                <w:shd w:val="clear" w:color="auto" w:fill="FFFFFF"/>
              </w:rPr>
              <w:t xml:space="preserve"> This </w:t>
            </w:r>
            <w:r w:rsidR="00C8036C" w:rsidRPr="008E0BF5">
              <w:rPr>
                <w:rFonts w:cs="Arial"/>
                <w:sz w:val="22"/>
                <w:szCs w:val="22"/>
                <w:shd w:val="clear" w:color="auto" w:fill="FFFFFF"/>
              </w:rPr>
              <w:t>charge is paid by freight operators carrying certain commodities, at a rate per thousand gross tonne miles (£/</w:t>
            </w:r>
            <w:proofErr w:type="spellStart"/>
            <w:r w:rsidR="00C8036C" w:rsidRPr="008E0BF5">
              <w:rPr>
                <w:rFonts w:cs="Arial"/>
                <w:sz w:val="22"/>
                <w:szCs w:val="22"/>
                <w:shd w:val="clear" w:color="auto" w:fill="FFFFFF"/>
              </w:rPr>
              <w:t>kgtm</w:t>
            </w:r>
            <w:proofErr w:type="spellEnd"/>
            <w:r w:rsidR="00C8036C" w:rsidRPr="008E0BF5">
              <w:rPr>
                <w:rFonts w:cs="Arial"/>
                <w:sz w:val="22"/>
                <w:szCs w:val="22"/>
                <w:shd w:val="clear" w:color="auto" w:fill="FFFFFF"/>
              </w:rPr>
              <w:t>)</w:t>
            </w:r>
            <w:r w:rsidR="00C14B82">
              <w:rPr>
                <w:rFonts w:cs="Arial"/>
                <w:sz w:val="22"/>
                <w:szCs w:val="22"/>
                <w:shd w:val="clear" w:color="auto" w:fill="FFFFFF"/>
              </w:rPr>
              <w:t>;</w:t>
            </w:r>
            <w:r w:rsidRPr="008E0BF5">
              <w:rPr>
                <w:rFonts w:cs="Arial"/>
                <w:sz w:val="22"/>
                <w:szCs w:val="22"/>
                <w:shd w:val="clear" w:color="auto" w:fill="FFFFFF"/>
              </w:rPr>
              <w:t xml:space="preserve"> </w:t>
            </w:r>
          </w:p>
          <w:p w14:paraId="7DA0FE9D" w14:textId="77777777" w:rsidR="008E0BF5" w:rsidRDefault="008E0BF5" w:rsidP="008E0BF5">
            <w:pPr>
              <w:pStyle w:val="ListParagraph"/>
              <w:ind w:left="360"/>
              <w:rPr>
                <w:rFonts w:cs="Arial"/>
                <w:sz w:val="22"/>
                <w:szCs w:val="22"/>
                <w:shd w:val="clear" w:color="auto" w:fill="FFFFFF"/>
              </w:rPr>
            </w:pPr>
          </w:p>
          <w:p w14:paraId="66416DC7" w14:textId="15CB1855" w:rsidR="000617C2" w:rsidRPr="000617C2" w:rsidRDefault="000617C2" w:rsidP="00EA3AF0">
            <w:pPr>
              <w:pStyle w:val="ListParagraph"/>
              <w:numPr>
                <w:ilvl w:val="0"/>
                <w:numId w:val="16"/>
              </w:numPr>
              <w:rPr>
                <w:rFonts w:cs="Arial"/>
                <w:sz w:val="22"/>
                <w:szCs w:val="22"/>
                <w:shd w:val="clear" w:color="auto" w:fill="FFFFFF"/>
              </w:rPr>
            </w:pPr>
            <w:r>
              <w:rPr>
                <w:rFonts w:cs="Arial"/>
                <w:sz w:val="22"/>
                <w:szCs w:val="22"/>
                <w:shd w:val="clear" w:color="auto" w:fill="FFFFFF"/>
              </w:rPr>
              <w:t xml:space="preserve">The ICC for </w:t>
            </w:r>
            <w:r w:rsidR="00263408">
              <w:rPr>
                <w:rFonts w:cs="Arial"/>
                <w:sz w:val="22"/>
                <w:szCs w:val="22"/>
                <w:shd w:val="clear" w:color="auto" w:fill="FFFFFF"/>
              </w:rPr>
              <w:t>open access</w:t>
            </w:r>
            <w:r>
              <w:rPr>
                <w:rFonts w:cs="Arial"/>
                <w:sz w:val="22"/>
                <w:szCs w:val="22"/>
                <w:shd w:val="clear" w:color="auto" w:fill="FFFFFF"/>
              </w:rPr>
              <w:t xml:space="preserve"> operators</w:t>
            </w:r>
            <w:r w:rsidR="00C8036C">
              <w:rPr>
                <w:rFonts w:cs="Arial"/>
                <w:sz w:val="22"/>
                <w:szCs w:val="22"/>
                <w:shd w:val="clear" w:color="auto" w:fill="FFFFFF"/>
              </w:rPr>
              <w:t xml:space="preserve">. This is a rate per train mile which is levied on operators providing new interurban services only i.e. services between two major urban areas. </w:t>
            </w:r>
            <w:r w:rsidR="00384A5B">
              <w:rPr>
                <w:rFonts w:cs="Arial"/>
                <w:sz w:val="22"/>
                <w:szCs w:val="22"/>
                <w:shd w:val="clear" w:color="auto" w:fill="FFFFFF"/>
              </w:rPr>
              <w:t xml:space="preserve">We introduced this charge for the first time in </w:t>
            </w:r>
            <w:proofErr w:type="spellStart"/>
            <w:r w:rsidR="00384A5B">
              <w:rPr>
                <w:rFonts w:cs="Arial"/>
                <w:sz w:val="22"/>
                <w:szCs w:val="22"/>
                <w:shd w:val="clear" w:color="auto" w:fill="FFFFFF"/>
              </w:rPr>
              <w:t>PR18</w:t>
            </w:r>
            <w:proofErr w:type="spellEnd"/>
            <w:r w:rsidR="00384A5B">
              <w:rPr>
                <w:rFonts w:cs="Arial"/>
                <w:sz w:val="22"/>
                <w:szCs w:val="22"/>
                <w:shd w:val="clear" w:color="auto" w:fill="FFFFFF"/>
              </w:rPr>
              <w:t xml:space="preserve">. </w:t>
            </w:r>
            <w:r w:rsidR="00C8036C">
              <w:rPr>
                <w:rFonts w:cs="Arial"/>
                <w:sz w:val="22"/>
                <w:szCs w:val="22"/>
                <w:shd w:val="clear" w:color="auto" w:fill="FFFFFF"/>
              </w:rPr>
              <w:t>No operators current</w:t>
            </w:r>
            <w:r w:rsidR="00384A5B">
              <w:rPr>
                <w:rFonts w:cs="Arial"/>
                <w:sz w:val="22"/>
                <w:szCs w:val="22"/>
                <w:shd w:val="clear" w:color="auto" w:fill="FFFFFF"/>
              </w:rPr>
              <w:t>ly</w:t>
            </w:r>
            <w:r w:rsidR="00C8036C">
              <w:rPr>
                <w:rFonts w:cs="Arial"/>
                <w:sz w:val="22"/>
                <w:szCs w:val="22"/>
                <w:shd w:val="clear" w:color="auto" w:fill="FFFFFF"/>
              </w:rPr>
              <w:t xml:space="preserve"> pay this charge, </w:t>
            </w:r>
            <w:r w:rsidR="00E93674">
              <w:rPr>
                <w:rFonts w:cs="Arial"/>
                <w:sz w:val="22"/>
                <w:szCs w:val="22"/>
                <w:shd w:val="clear" w:color="auto" w:fill="FFFFFF"/>
              </w:rPr>
              <w:t>though</w:t>
            </w:r>
            <w:r w:rsidR="00C8036C">
              <w:rPr>
                <w:rFonts w:cs="Arial"/>
                <w:sz w:val="22"/>
                <w:szCs w:val="22"/>
                <w:shd w:val="clear" w:color="auto" w:fill="FFFFFF"/>
              </w:rPr>
              <w:t xml:space="preserve"> </w:t>
            </w:r>
            <w:r w:rsidR="00C8036C" w:rsidRPr="00C8036C">
              <w:rPr>
                <w:rFonts w:cs="Arial"/>
                <w:sz w:val="22"/>
                <w:szCs w:val="22"/>
                <w:shd w:val="clear" w:color="auto" w:fill="FFFFFF"/>
              </w:rPr>
              <w:t>First</w:t>
            </w:r>
            <w:r w:rsidR="00C8036C">
              <w:rPr>
                <w:rFonts w:cs="Arial"/>
                <w:sz w:val="22"/>
                <w:szCs w:val="22"/>
                <w:shd w:val="clear" w:color="auto" w:fill="FFFFFF"/>
              </w:rPr>
              <w:t xml:space="preserve"> </w:t>
            </w:r>
            <w:r w:rsidR="00C8036C" w:rsidRPr="00C8036C">
              <w:rPr>
                <w:rFonts w:cs="Arial"/>
                <w:sz w:val="22"/>
                <w:szCs w:val="22"/>
                <w:shd w:val="clear" w:color="auto" w:fill="FFFFFF"/>
              </w:rPr>
              <w:t xml:space="preserve">Rail’s </w:t>
            </w:r>
            <w:r w:rsidR="00C14B82">
              <w:rPr>
                <w:rFonts w:cs="Arial"/>
                <w:sz w:val="22"/>
                <w:szCs w:val="22"/>
                <w:shd w:val="clear" w:color="auto" w:fill="FFFFFF"/>
              </w:rPr>
              <w:t xml:space="preserve">planned </w:t>
            </w:r>
            <w:r w:rsidR="00C8036C" w:rsidRPr="00C8036C">
              <w:rPr>
                <w:rFonts w:cs="Arial"/>
                <w:sz w:val="22"/>
                <w:szCs w:val="22"/>
                <w:shd w:val="clear" w:color="auto" w:fill="FFFFFF"/>
              </w:rPr>
              <w:t>London to Edinburgh service</w:t>
            </w:r>
            <w:r w:rsidR="00C8036C">
              <w:rPr>
                <w:rFonts w:cs="Arial"/>
                <w:sz w:val="22"/>
                <w:szCs w:val="22"/>
                <w:shd w:val="clear" w:color="auto" w:fill="FFFFFF"/>
              </w:rPr>
              <w:t xml:space="preserve"> </w:t>
            </w:r>
            <w:r w:rsidR="00C8036C" w:rsidRPr="00C8036C">
              <w:rPr>
                <w:rFonts w:cs="Arial"/>
                <w:sz w:val="22"/>
                <w:szCs w:val="22"/>
                <w:shd w:val="clear" w:color="auto" w:fill="FFFFFF"/>
              </w:rPr>
              <w:t>w</w:t>
            </w:r>
            <w:r w:rsidR="00E93674">
              <w:rPr>
                <w:rFonts w:cs="Arial"/>
                <w:sz w:val="22"/>
                <w:szCs w:val="22"/>
                <w:shd w:val="clear" w:color="auto" w:fill="FFFFFF"/>
              </w:rPr>
              <w:t xml:space="preserve">ould </w:t>
            </w:r>
            <w:r w:rsidR="00C8036C" w:rsidRPr="00C8036C">
              <w:rPr>
                <w:rFonts w:cs="Arial"/>
                <w:sz w:val="22"/>
                <w:szCs w:val="22"/>
                <w:shd w:val="clear" w:color="auto" w:fill="FFFFFF"/>
              </w:rPr>
              <w:t>be liable to pay an ICC</w:t>
            </w:r>
            <w:r w:rsidR="00C8036C">
              <w:rPr>
                <w:rFonts w:cs="Arial"/>
                <w:sz w:val="22"/>
                <w:szCs w:val="22"/>
                <w:shd w:val="clear" w:color="auto" w:fill="FFFFFF"/>
              </w:rPr>
              <w:t xml:space="preserve">. </w:t>
            </w:r>
            <w:r>
              <w:rPr>
                <w:rFonts w:cs="Arial"/>
                <w:sz w:val="22"/>
                <w:szCs w:val="22"/>
                <w:shd w:val="clear" w:color="auto" w:fill="FFFFFF"/>
              </w:rPr>
              <w:t xml:space="preserve">  </w:t>
            </w:r>
          </w:p>
          <w:p w14:paraId="7894240E" w14:textId="2092EDE7" w:rsidR="00DA7EEB" w:rsidRPr="00DA7EEB" w:rsidRDefault="00DA7EEB" w:rsidP="00DA7EEB">
            <w:pPr>
              <w:rPr>
                <w:rFonts w:cs="Arial"/>
                <w:b/>
                <w:sz w:val="22"/>
                <w:szCs w:val="22"/>
              </w:rPr>
            </w:pPr>
            <w:r w:rsidRPr="00DA7EEB">
              <w:rPr>
                <w:rFonts w:cs="Arial"/>
                <w:b/>
                <w:sz w:val="22"/>
                <w:szCs w:val="22"/>
              </w:rPr>
              <w:lastRenderedPageBreak/>
              <w:t>The relevant legal framework</w:t>
            </w:r>
          </w:p>
          <w:p w14:paraId="0AEAB99E" w14:textId="7C3884AF" w:rsidR="00C8036C" w:rsidRDefault="00C8036C" w:rsidP="00DA7EEB">
            <w:pPr>
              <w:rPr>
                <w:rFonts w:cs="Arial"/>
                <w:sz w:val="22"/>
                <w:szCs w:val="22"/>
                <w:shd w:val="clear" w:color="auto" w:fill="FFFFFF"/>
              </w:rPr>
            </w:pPr>
            <w:r>
              <w:rPr>
                <w:rFonts w:cs="Arial"/>
                <w:sz w:val="22"/>
                <w:szCs w:val="22"/>
              </w:rPr>
              <w:t xml:space="preserve">Requirements for access charging are set out in </w:t>
            </w:r>
            <w:r>
              <w:rPr>
                <w:rFonts w:cs="Arial"/>
                <w:sz w:val="22"/>
                <w:szCs w:val="22"/>
                <w:shd w:val="clear" w:color="auto" w:fill="FFFFFF"/>
              </w:rPr>
              <w:t xml:space="preserve">Schedule 3 of the Railways (Access, Management and Licensing of Railway Undertakings) Regulations 2016 (“the </w:t>
            </w:r>
            <w:r w:rsidR="00C14B82">
              <w:rPr>
                <w:rFonts w:cs="Arial"/>
                <w:sz w:val="22"/>
                <w:szCs w:val="22"/>
                <w:shd w:val="clear" w:color="auto" w:fill="FFFFFF"/>
              </w:rPr>
              <w:t>2016 Regulations</w:t>
            </w:r>
            <w:r>
              <w:rPr>
                <w:rFonts w:cs="Arial"/>
                <w:sz w:val="22"/>
                <w:szCs w:val="22"/>
                <w:shd w:val="clear" w:color="auto" w:fill="FFFFFF"/>
              </w:rPr>
              <w:t>”). Th</w:t>
            </w:r>
            <w:r w:rsidR="008E7901">
              <w:rPr>
                <w:rFonts w:cs="Arial"/>
                <w:sz w:val="22"/>
                <w:szCs w:val="22"/>
                <w:shd w:val="clear" w:color="auto" w:fill="FFFFFF"/>
              </w:rPr>
              <w:t xml:space="preserve">e </w:t>
            </w:r>
            <w:r w:rsidR="00C14B82">
              <w:rPr>
                <w:rFonts w:cs="Arial"/>
                <w:sz w:val="22"/>
                <w:szCs w:val="22"/>
                <w:shd w:val="clear" w:color="auto" w:fill="FFFFFF"/>
              </w:rPr>
              <w:t>2016 Regulations</w:t>
            </w:r>
            <w:r w:rsidR="008E7901">
              <w:rPr>
                <w:rFonts w:cs="Arial"/>
                <w:sz w:val="22"/>
                <w:szCs w:val="22"/>
                <w:shd w:val="clear" w:color="auto" w:fill="FFFFFF"/>
              </w:rPr>
              <w:t xml:space="preserve"> </w:t>
            </w:r>
            <w:r>
              <w:rPr>
                <w:rFonts w:cs="Arial"/>
                <w:sz w:val="22"/>
                <w:szCs w:val="22"/>
                <w:shd w:val="clear" w:color="auto" w:fill="FFFFFF"/>
              </w:rPr>
              <w:t>require that access charges (for the minimum access package) shall be set at the cost that is directly incurred as a result of opera</w:t>
            </w:r>
            <w:r w:rsidR="008E7901">
              <w:rPr>
                <w:rFonts w:cs="Arial"/>
                <w:sz w:val="22"/>
                <w:szCs w:val="22"/>
                <w:shd w:val="clear" w:color="auto" w:fill="FFFFFF"/>
              </w:rPr>
              <w:t>ting train services. However, they</w:t>
            </w:r>
            <w:r>
              <w:rPr>
                <w:rFonts w:cs="Arial"/>
                <w:sz w:val="22"/>
                <w:szCs w:val="22"/>
                <w:shd w:val="clear" w:color="auto" w:fill="FFFFFF"/>
              </w:rPr>
              <w:t xml:space="preserve"> also state that</w:t>
            </w:r>
            <w:r w:rsidR="00AE1F5B">
              <w:rPr>
                <w:rStyle w:val="FootnoteReference"/>
                <w:rFonts w:cs="Arial"/>
                <w:sz w:val="22"/>
                <w:szCs w:val="22"/>
                <w:shd w:val="clear" w:color="auto" w:fill="FFFFFF"/>
              </w:rPr>
              <w:footnoteReference w:id="5"/>
            </w:r>
            <w:r>
              <w:rPr>
                <w:rFonts w:cs="Arial"/>
                <w:sz w:val="22"/>
                <w:szCs w:val="22"/>
                <w:shd w:val="clear" w:color="auto" w:fill="FFFFFF"/>
              </w:rPr>
              <w:t>:</w:t>
            </w:r>
          </w:p>
          <w:p w14:paraId="24EBD2CB" w14:textId="41C16F33" w:rsidR="00C8036C" w:rsidRDefault="00C8036C" w:rsidP="00DA7EEB">
            <w:pPr>
              <w:rPr>
                <w:rFonts w:cs="Arial"/>
                <w:i/>
                <w:sz w:val="22"/>
                <w:szCs w:val="22"/>
              </w:rPr>
            </w:pPr>
            <w:r>
              <w:rPr>
                <w:rFonts w:cs="Arial"/>
                <w:i/>
                <w:sz w:val="22"/>
                <w:szCs w:val="22"/>
              </w:rPr>
              <w:t>I</w:t>
            </w:r>
            <w:r w:rsidRPr="00C8036C">
              <w:rPr>
                <w:rFonts w:cs="Arial"/>
                <w:i/>
                <w:sz w:val="22"/>
                <w:szCs w:val="22"/>
              </w:rPr>
              <w:t>n order to obtain full recovery of the costs incurred the infrastructure manager, with the</w:t>
            </w:r>
            <w:r>
              <w:rPr>
                <w:rFonts w:cs="Arial"/>
                <w:i/>
                <w:sz w:val="22"/>
                <w:szCs w:val="22"/>
              </w:rPr>
              <w:t xml:space="preserve"> </w:t>
            </w:r>
            <w:r w:rsidRPr="00C8036C">
              <w:rPr>
                <w:rFonts w:cs="Arial"/>
                <w:i/>
                <w:sz w:val="22"/>
                <w:szCs w:val="22"/>
              </w:rPr>
              <w:t>approval of the Office of Rail and Road or, in relation to a rail link facility, the Secretary of State,</w:t>
            </w:r>
            <w:r>
              <w:rPr>
                <w:rFonts w:cs="Arial"/>
                <w:i/>
                <w:sz w:val="22"/>
                <w:szCs w:val="22"/>
              </w:rPr>
              <w:t xml:space="preserve"> </w:t>
            </w:r>
            <w:r w:rsidRPr="00C8036C">
              <w:rPr>
                <w:rFonts w:cs="Arial"/>
                <w:i/>
                <w:sz w:val="22"/>
                <w:szCs w:val="22"/>
              </w:rPr>
              <w:t>may levy mark-ups on the basis of efficient, transparent and non-discriminatory principles, whilst</w:t>
            </w:r>
            <w:r>
              <w:rPr>
                <w:rFonts w:cs="Arial"/>
                <w:i/>
                <w:sz w:val="22"/>
                <w:szCs w:val="22"/>
              </w:rPr>
              <w:t xml:space="preserve"> </w:t>
            </w:r>
            <w:r w:rsidRPr="00C8036C">
              <w:rPr>
                <w:rFonts w:cs="Arial"/>
                <w:i/>
                <w:sz w:val="22"/>
                <w:szCs w:val="22"/>
              </w:rPr>
              <w:t>guaranteeing optimum competitiveness, in particular in respect of rail market segments.</w:t>
            </w:r>
          </w:p>
          <w:p w14:paraId="4F032742" w14:textId="66939943" w:rsidR="00AE1F5B" w:rsidRPr="00AE1F5B" w:rsidRDefault="00C8036C" w:rsidP="00DA7EEB">
            <w:pPr>
              <w:rPr>
                <w:rFonts w:cs="Arial"/>
                <w:i/>
                <w:sz w:val="22"/>
                <w:szCs w:val="22"/>
              </w:rPr>
            </w:pPr>
            <w:r w:rsidRPr="00C8036C">
              <w:rPr>
                <w:rFonts w:cs="Arial"/>
                <w:i/>
                <w:sz w:val="22"/>
                <w:szCs w:val="22"/>
              </w:rPr>
              <w:t>The effect</w:t>
            </w:r>
            <w:r w:rsidR="00AE1F5B">
              <w:rPr>
                <w:rFonts w:cs="Arial"/>
                <w:i/>
                <w:sz w:val="22"/>
                <w:szCs w:val="22"/>
              </w:rPr>
              <w:t xml:space="preserve"> [of levying mark-ups] </w:t>
            </w:r>
            <w:r w:rsidRPr="00C8036C">
              <w:rPr>
                <w:rFonts w:cs="Arial"/>
                <w:i/>
                <w:sz w:val="22"/>
                <w:szCs w:val="22"/>
              </w:rPr>
              <w:t>must not be to exclude the use of infrastructure by</w:t>
            </w:r>
            <w:r>
              <w:rPr>
                <w:rFonts w:cs="Arial"/>
                <w:i/>
                <w:sz w:val="22"/>
                <w:szCs w:val="22"/>
              </w:rPr>
              <w:t xml:space="preserve"> </w:t>
            </w:r>
            <w:r w:rsidRPr="00C8036C">
              <w:rPr>
                <w:rFonts w:cs="Arial"/>
                <w:i/>
                <w:sz w:val="22"/>
                <w:szCs w:val="22"/>
              </w:rPr>
              <w:t>market segments which can pay at least the cost that is directly incurred as a result of operating the</w:t>
            </w:r>
            <w:r>
              <w:rPr>
                <w:rFonts w:cs="Arial"/>
                <w:i/>
                <w:sz w:val="22"/>
                <w:szCs w:val="22"/>
              </w:rPr>
              <w:t xml:space="preserve"> </w:t>
            </w:r>
            <w:r w:rsidRPr="00C8036C">
              <w:rPr>
                <w:rFonts w:cs="Arial"/>
                <w:i/>
                <w:sz w:val="22"/>
                <w:szCs w:val="22"/>
              </w:rPr>
              <w:t>railway service, plus a rate of return which the market can bear.</w:t>
            </w:r>
          </w:p>
          <w:p w14:paraId="12E10AEB" w14:textId="390E40DF" w:rsidR="008E7901" w:rsidRDefault="00C8036C" w:rsidP="008E7901">
            <w:pPr>
              <w:rPr>
                <w:rFonts w:cs="Arial"/>
                <w:sz w:val="22"/>
                <w:szCs w:val="22"/>
              </w:rPr>
            </w:pPr>
            <w:r>
              <w:rPr>
                <w:rFonts w:cs="Arial"/>
                <w:sz w:val="22"/>
                <w:szCs w:val="22"/>
                <w:shd w:val="clear" w:color="auto" w:fill="FFFFFF"/>
              </w:rPr>
              <w:t>T</w:t>
            </w:r>
            <w:r w:rsidR="008E7901">
              <w:rPr>
                <w:rFonts w:cs="Arial"/>
                <w:sz w:val="22"/>
                <w:szCs w:val="22"/>
                <w:shd w:val="clear" w:color="auto" w:fill="FFFFFF"/>
              </w:rPr>
              <w:t>his</w:t>
            </w:r>
            <w:r>
              <w:rPr>
                <w:rFonts w:cs="Arial"/>
                <w:sz w:val="22"/>
                <w:szCs w:val="22"/>
                <w:shd w:val="clear" w:color="auto" w:fill="FFFFFF"/>
              </w:rPr>
              <w:t xml:space="preserve"> </w:t>
            </w:r>
            <w:r w:rsidR="008E7901">
              <w:rPr>
                <w:rFonts w:cs="Arial"/>
                <w:sz w:val="22"/>
                <w:szCs w:val="22"/>
                <w:shd w:val="clear" w:color="auto" w:fill="FFFFFF"/>
              </w:rPr>
              <w:t xml:space="preserve">article underpins Network Rail’s recovery of </w:t>
            </w:r>
            <w:r w:rsidR="00384A5B">
              <w:rPr>
                <w:rFonts w:cs="Arial"/>
                <w:sz w:val="22"/>
                <w:szCs w:val="22"/>
                <w:shd w:val="clear" w:color="auto" w:fill="FFFFFF"/>
              </w:rPr>
              <w:t>fixed costs through ICCs. I</w:t>
            </w:r>
            <w:r w:rsidR="00D20010">
              <w:rPr>
                <w:rFonts w:cs="Arial"/>
                <w:sz w:val="22"/>
                <w:szCs w:val="22"/>
                <w:shd w:val="clear" w:color="auto" w:fill="FFFFFF"/>
              </w:rPr>
              <w:t>n particular, i</w:t>
            </w:r>
            <w:r w:rsidR="00384A5B">
              <w:rPr>
                <w:rFonts w:cs="Arial"/>
                <w:sz w:val="22"/>
                <w:szCs w:val="22"/>
                <w:shd w:val="clear" w:color="auto" w:fill="FFFFFF"/>
              </w:rPr>
              <w:t xml:space="preserve">t </w:t>
            </w:r>
            <w:r w:rsidR="008E7901">
              <w:rPr>
                <w:rFonts w:cs="Arial"/>
                <w:sz w:val="22"/>
                <w:szCs w:val="22"/>
                <w:shd w:val="clear" w:color="auto" w:fill="FFFFFF"/>
              </w:rPr>
              <w:t xml:space="preserve">gives rise to the </w:t>
            </w:r>
            <w:r w:rsidR="008E7901">
              <w:rPr>
                <w:rFonts w:cs="Arial"/>
                <w:sz w:val="22"/>
                <w:szCs w:val="22"/>
              </w:rPr>
              <w:t xml:space="preserve">concept of a </w:t>
            </w:r>
            <w:r w:rsidR="00E67F6C">
              <w:rPr>
                <w:rFonts w:cs="Arial"/>
                <w:sz w:val="22"/>
                <w:szCs w:val="22"/>
              </w:rPr>
              <w:t xml:space="preserve">‘market can bear’ </w:t>
            </w:r>
            <w:r w:rsidR="00E93674">
              <w:rPr>
                <w:rFonts w:cs="Arial"/>
                <w:sz w:val="22"/>
                <w:szCs w:val="22"/>
              </w:rPr>
              <w:t>(</w:t>
            </w:r>
            <w:proofErr w:type="spellStart"/>
            <w:r w:rsidR="00E93674">
              <w:rPr>
                <w:rFonts w:cs="Arial"/>
                <w:sz w:val="22"/>
                <w:szCs w:val="22"/>
              </w:rPr>
              <w:t>MCB</w:t>
            </w:r>
            <w:proofErr w:type="spellEnd"/>
            <w:r w:rsidR="00E93674">
              <w:rPr>
                <w:rFonts w:cs="Arial"/>
                <w:sz w:val="22"/>
                <w:szCs w:val="22"/>
              </w:rPr>
              <w:t xml:space="preserve">) </w:t>
            </w:r>
            <w:r w:rsidR="008E7901">
              <w:rPr>
                <w:rFonts w:cs="Arial"/>
                <w:sz w:val="22"/>
                <w:szCs w:val="22"/>
              </w:rPr>
              <w:t>test to determine specifically which train operators should be subject to a</w:t>
            </w:r>
            <w:r w:rsidR="00E93674">
              <w:rPr>
                <w:rFonts w:cs="Arial"/>
                <w:sz w:val="22"/>
                <w:szCs w:val="22"/>
              </w:rPr>
              <w:t>n</w:t>
            </w:r>
            <w:r w:rsidR="008E7901">
              <w:rPr>
                <w:rFonts w:cs="Arial"/>
                <w:sz w:val="22"/>
                <w:szCs w:val="22"/>
              </w:rPr>
              <w:t xml:space="preserve"> ICC (or ‘mark-up’), as well as the level of any ICCs levied. </w:t>
            </w:r>
            <w:r w:rsidR="00384A5B">
              <w:rPr>
                <w:rFonts w:cs="Arial"/>
                <w:sz w:val="22"/>
                <w:szCs w:val="22"/>
              </w:rPr>
              <w:t xml:space="preserve">In previous periodic reviews, we have taken the following approach to </w:t>
            </w:r>
            <w:r w:rsidR="00E93674">
              <w:rPr>
                <w:rFonts w:cs="Arial"/>
                <w:sz w:val="22"/>
                <w:szCs w:val="22"/>
              </w:rPr>
              <w:t xml:space="preserve">fulfilling </w:t>
            </w:r>
            <w:r w:rsidR="00384A5B">
              <w:rPr>
                <w:rFonts w:cs="Arial"/>
                <w:sz w:val="22"/>
                <w:szCs w:val="22"/>
              </w:rPr>
              <w:t xml:space="preserve">the requirement for a </w:t>
            </w:r>
            <w:proofErr w:type="spellStart"/>
            <w:r w:rsidR="00E93674">
              <w:rPr>
                <w:rFonts w:cs="Arial"/>
                <w:sz w:val="22"/>
                <w:szCs w:val="22"/>
              </w:rPr>
              <w:t>MCB</w:t>
            </w:r>
            <w:proofErr w:type="spellEnd"/>
            <w:r w:rsidR="00384A5B">
              <w:rPr>
                <w:rFonts w:cs="Arial"/>
                <w:sz w:val="22"/>
                <w:szCs w:val="22"/>
              </w:rPr>
              <w:t xml:space="preserve"> test</w:t>
            </w:r>
            <w:r w:rsidR="00D22138">
              <w:rPr>
                <w:rStyle w:val="FootnoteReference"/>
                <w:rFonts w:cs="Arial"/>
                <w:sz w:val="22"/>
                <w:szCs w:val="22"/>
              </w:rPr>
              <w:footnoteReference w:id="6"/>
            </w:r>
            <w:r w:rsidR="00384A5B">
              <w:rPr>
                <w:rFonts w:cs="Arial"/>
                <w:sz w:val="22"/>
                <w:szCs w:val="22"/>
              </w:rPr>
              <w:t xml:space="preserve">: </w:t>
            </w:r>
          </w:p>
          <w:p w14:paraId="531D3191" w14:textId="0018F731" w:rsidR="00384A5B" w:rsidRDefault="00384A5B" w:rsidP="00EA3AF0">
            <w:pPr>
              <w:pStyle w:val="ListParagraph"/>
              <w:numPr>
                <w:ilvl w:val="0"/>
                <w:numId w:val="17"/>
              </w:numPr>
              <w:rPr>
                <w:rFonts w:cs="Arial"/>
                <w:sz w:val="22"/>
                <w:szCs w:val="22"/>
              </w:rPr>
            </w:pPr>
            <w:r>
              <w:rPr>
                <w:rFonts w:cs="Arial"/>
                <w:sz w:val="22"/>
                <w:szCs w:val="22"/>
              </w:rPr>
              <w:t>For franchised passenger operators, t</w:t>
            </w:r>
            <w:r w:rsidR="008E7901" w:rsidRPr="00384A5B">
              <w:rPr>
                <w:rFonts w:cs="Arial"/>
                <w:sz w:val="22"/>
                <w:szCs w:val="22"/>
              </w:rPr>
              <w:t xml:space="preserve">he </w:t>
            </w:r>
            <w:proofErr w:type="spellStart"/>
            <w:r w:rsidR="008E7901" w:rsidRPr="00384A5B">
              <w:rPr>
                <w:rFonts w:cs="Arial"/>
                <w:sz w:val="22"/>
                <w:szCs w:val="22"/>
              </w:rPr>
              <w:t>FTAC</w:t>
            </w:r>
            <w:proofErr w:type="spellEnd"/>
            <w:r w:rsidR="008E7901" w:rsidRPr="00384A5B">
              <w:rPr>
                <w:rFonts w:cs="Arial"/>
                <w:sz w:val="22"/>
                <w:szCs w:val="22"/>
              </w:rPr>
              <w:t xml:space="preserve"> is based on an </w:t>
            </w:r>
            <w:r w:rsidR="008E7901" w:rsidRPr="00A94CAC">
              <w:rPr>
                <w:rFonts w:cs="Arial"/>
                <w:i/>
                <w:sz w:val="22"/>
                <w:szCs w:val="22"/>
              </w:rPr>
              <w:t>implicit</w:t>
            </w:r>
            <w:r w:rsidR="008E7901" w:rsidRPr="00384A5B">
              <w:rPr>
                <w:rFonts w:cs="Arial"/>
                <w:sz w:val="22"/>
                <w:szCs w:val="22"/>
              </w:rPr>
              <w:t xml:space="preserve"> </w:t>
            </w:r>
            <w:proofErr w:type="spellStart"/>
            <w:r w:rsidR="008E7901" w:rsidRPr="00384A5B">
              <w:rPr>
                <w:rFonts w:cs="Arial"/>
                <w:sz w:val="22"/>
                <w:szCs w:val="22"/>
              </w:rPr>
              <w:t>MCB</w:t>
            </w:r>
            <w:proofErr w:type="spellEnd"/>
            <w:r w:rsidR="008E7901" w:rsidRPr="00384A5B">
              <w:rPr>
                <w:rFonts w:cs="Arial"/>
                <w:sz w:val="22"/>
                <w:szCs w:val="22"/>
              </w:rPr>
              <w:t xml:space="preserve"> assessment, which takes account of the fact that this charge </w:t>
            </w:r>
            <w:r>
              <w:rPr>
                <w:rFonts w:cs="Arial"/>
                <w:sz w:val="22"/>
                <w:szCs w:val="22"/>
              </w:rPr>
              <w:t>is effectively</w:t>
            </w:r>
            <w:r w:rsidR="00C14B82">
              <w:rPr>
                <w:rFonts w:cs="Arial"/>
                <w:sz w:val="22"/>
                <w:szCs w:val="22"/>
              </w:rPr>
              <w:t xml:space="preserve"> </w:t>
            </w:r>
            <w:r>
              <w:rPr>
                <w:rFonts w:cs="Arial"/>
                <w:sz w:val="22"/>
                <w:szCs w:val="22"/>
              </w:rPr>
              <w:t xml:space="preserve">passed through </w:t>
            </w:r>
            <w:r w:rsidR="008E7901" w:rsidRPr="00384A5B">
              <w:rPr>
                <w:rFonts w:cs="Arial"/>
                <w:sz w:val="22"/>
                <w:szCs w:val="22"/>
              </w:rPr>
              <w:t xml:space="preserve">to funders or </w:t>
            </w:r>
            <w:r>
              <w:rPr>
                <w:rFonts w:cs="Arial"/>
                <w:sz w:val="22"/>
                <w:szCs w:val="22"/>
              </w:rPr>
              <w:t xml:space="preserve">other </w:t>
            </w:r>
            <w:r w:rsidR="00E93674">
              <w:rPr>
                <w:rFonts w:cs="Arial"/>
                <w:sz w:val="22"/>
                <w:szCs w:val="22"/>
              </w:rPr>
              <w:t>rail authorities</w:t>
            </w:r>
            <w:r w:rsidR="008E7901" w:rsidRPr="00384A5B">
              <w:rPr>
                <w:rFonts w:cs="Arial"/>
                <w:sz w:val="22"/>
                <w:szCs w:val="22"/>
              </w:rPr>
              <w:t xml:space="preserve">. As such, we have not carried out a detailed </w:t>
            </w:r>
            <w:proofErr w:type="spellStart"/>
            <w:r w:rsidR="008E7901" w:rsidRPr="00384A5B">
              <w:rPr>
                <w:rFonts w:cs="Arial"/>
                <w:sz w:val="22"/>
                <w:szCs w:val="22"/>
              </w:rPr>
              <w:t>MCB</w:t>
            </w:r>
            <w:proofErr w:type="spellEnd"/>
            <w:r w:rsidR="008E7901" w:rsidRPr="00384A5B">
              <w:rPr>
                <w:rFonts w:cs="Arial"/>
                <w:sz w:val="22"/>
                <w:szCs w:val="22"/>
              </w:rPr>
              <w:t xml:space="preserve"> test to support the imposition of </w:t>
            </w:r>
            <w:proofErr w:type="spellStart"/>
            <w:r w:rsidR="008E7901" w:rsidRPr="00384A5B">
              <w:rPr>
                <w:rFonts w:cs="Arial"/>
                <w:sz w:val="22"/>
                <w:szCs w:val="22"/>
              </w:rPr>
              <w:t>FTAC</w:t>
            </w:r>
            <w:proofErr w:type="spellEnd"/>
            <w:r w:rsidR="008E7901" w:rsidRPr="00384A5B">
              <w:rPr>
                <w:rFonts w:cs="Arial"/>
                <w:sz w:val="22"/>
                <w:szCs w:val="22"/>
              </w:rPr>
              <w:t xml:space="preserve"> on these operators.</w:t>
            </w:r>
            <w:r>
              <w:rPr>
                <w:rFonts w:cs="Arial"/>
                <w:sz w:val="22"/>
                <w:szCs w:val="22"/>
              </w:rPr>
              <w:t xml:space="preserve"> Given the way that </w:t>
            </w:r>
            <w:proofErr w:type="spellStart"/>
            <w:r>
              <w:rPr>
                <w:rFonts w:cs="Arial"/>
                <w:sz w:val="22"/>
                <w:szCs w:val="22"/>
              </w:rPr>
              <w:t>FTAC</w:t>
            </w:r>
            <w:proofErr w:type="spellEnd"/>
            <w:r>
              <w:rPr>
                <w:rFonts w:cs="Arial"/>
                <w:sz w:val="22"/>
                <w:szCs w:val="22"/>
              </w:rPr>
              <w:t xml:space="preserve"> is treated in </w:t>
            </w:r>
            <w:r w:rsidR="00C14B82">
              <w:rPr>
                <w:rFonts w:cs="Arial"/>
                <w:sz w:val="22"/>
                <w:szCs w:val="22"/>
              </w:rPr>
              <w:t xml:space="preserve">these </w:t>
            </w:r>
            <w:r>
              <w:rPr>
                <w:rFonts w:cs="Arial"/>
                <w:sz w:val="22"/>
                <w:szCs w:val="22"/>
              </w:rPr>
              <w:t xml:space="preserve">operators’ </w:t>
            </w:r>
            <w:r w:rsidR="00C14B82">
              <w:rPr>
                <w:rFonts w:cs="Arial"/>
                <w:sz w:val="22"/>
                <w:szCs w:val="22"/>
              </w:rPr>
              <w:t xml:space="preserve">existing </w:t>
            </w:r>
            <w:r>
              <w:rPr>
                <w:rFonts w:cs="Arial"/>
                <w:sz w:val="22"/>
                <w:szCs w:val="22"/>
              </w:rPr>
              <w:t>concession</w:t>
            </w:r>
            <w:r w:rsidR="00C14B82">
              <w:rPr>
                <w:rFonts w:cs="Arial"/>
                <w:sz w:val="22"/>
                <w:szCs w:val="22"/>
              </w:rPr>
              <w:t>-style agreements</w:t>
            </w:r>
            <w:r>
              <w:rPr>
                <w:rFonts w:cs="Arial"/>
                <w:sz w:val="22"/>
                <w:szCs w:val="22"/>
              </w:rPr>
              <w:t>, we consider that this appr</w:t>
            </w:r>
            <w:r w:rsidR="00A94CAC">
              <w:rPr>
                <w:rFonts w:cs="Arial"/>
                <w:sz w:val="22"/>
                <w:szCs w:val="22"/>
              </w:rPr>
              <w:t>o</w:t>
            </w:r>
            <w:r w:rsidR="00D20010">
              <w:rPr>
                <w:rFonts w:cs="Arial"/>
                <w:sz w:val="22"/>
                <w:szCs w:val="22"/>
              </w:rPr>
              <w:t xml:space="preserve">ach remains </w:t>
            </w:r>
            <w:r w:rsidR="00537E98">
              <w:rPr>
                <w:rFonts w:cs="Arial"/>
                <w:sz w:val="22"/>
                <w:szCs w:val="22"/>
              </w:rPr>
              <w:t>valid</w:t>
            </w:r>
            <w:r w:rsidR="00D20010">
              <w:rPr>
                <w:rFonts w:cs="Arial"/>
                <w:sz w:val="22"/>
                <w:szCs w:val="22"/>
              </w:rPr>
              <w:t xml:space="preserve"> for </w:t>
            </w:r>
            <w:proofErr w:type="spellStart"/>
            <w:r w:rsidR="00D20010">
              <w:rPr>
                <w:rFonts w:cs="Arial"/>
                <w:sz w:val="22"/>
                <w:szCs w:val="22"/>
              </w:rPr>
              <w:t>PR23</w:t>
            </w:r>
            <w:proofErr w:type="spellEnd"/>
            <w:r w:rsidR="00D20010">
              <w:rPr>
                <w:rFonts w:cs="Arial"/>
                <w:sz w:val="22"/>
                <w:szCs w:val="22"/>
              </w:rPr>
              <w:t>. A</w:t>
            </w:r>
            <w:r w:rsidR="00A94CAC">
              <w:rPr>
                <w:rFonts w:cs="Arial"/>
                <w:sz w:val="22"/>
                <w:szCs w:val="22"/>
              </w:rPr>
              <w:t xml:space="preserve">n assessment of franchised passenger operators’ ability to bear </w:t>
            </w:r>
            <w:proofErr w:type="spellStart"/>
            <w:r w:rsidR="00A94CAC">
              <w:rPr>
                <w:rFonts w:cs="Arial"/>
                <w:sz w:val="22"/>
                <w:szCs w:val="22"/>
              </w:rPr>
              <w:t>FTAC</w:t>
            </w:r>
            <w:proofErr w:type="spellEnd"/>
            <w:r w:rsidR="00A94CAC">
              <w:rPr>
                <w:rFonts w:cs="Arial"/>
                <w:sz w:val="22"/>
                <w:szCs w:val="22"/>
              </w:rPr>
              <w:t xml:space="preserve"> is</w:t>
            </w:r>
            <w:r w:rsidR="00D20010">
              <w:rPr>
                <w:rFonts w:cs="Arial"/>
                <w:sz w:val="22"/>
                <w:szCs w:val="22"/>
              </w:rPr>
              <w:t xml:space="preserve"> therefore</w:t>
            </w:r>
            <w:r w:rsidR="00A94CAC">
              <w:rPr>
                <w:rFonts w:cs="Arial"/>
                <w:sz w:val="22"/>
                <w:szCs w:val="22"/>
              </w:rPr>
              <w:t xml:space="preserve"> </w:t>
            </w:r>
            <w:r w:rsidR="00D20010">
              <w:rPr>
                <w:rFonts w:cs="Arial"/>
                <w:sz w:val="22"/>
                <w:szCs w:val="22"/>
              </w:rPr>
              <w:t>not required for t</w:t>
            </w:r>
            <w:r w:rsidR="00D66D02">
              <w:rPr>
                <w:rFonts w:cs="Arial"/>
                <w:sz w:val="22"/>
                <w:szCs w:val="22"/>
              </w:rPr>
              <w:t>his project.</w:t>
            </w:r>
          </w:p>
          <w:p w14:paraId="395BB7B3" w14:textId="77777777" w:rsidR="00384A5B" w:rsidRDefault="00384A5B" w:rsidP="00384A5B">
            <w:pPr>
              <w:pStyle w:val="ListParagraph"/>
              <w:rPr>
                <w:rFonts w:cs="Arial"/>
                <w:sz w:val="22"/>
                <w:szCs w:val="22"/>
              </w:rPr>
            </w:pPr>
          </w:p>
          <w:p w14:paraId="0F746300" w14:textId="065C5E1B" w:rsidR="00C8036C" w:rsidRPr="00D20010" w:rsidRDefault="008E7901" w:rsidP="00EA3AF0">
            <w:pPr>
              <w:pStyle w:val="ListParagraph"/>
              <w:numPr>
                <w:ilvl w:val="0"/>
                <w:numId w:val="17"/>
              </w:numPr>
              <w:rPr>
                <w:rFonts w:cs="Arial"/>
                <w:sz w:val="22"/>
                <w:szCs w:val="22"/>
              </w:rPr>
            </w:pPr>
            <w:r w:rsidRPr="00D20010">
              <w:rPr>
                <w:rFonts w:cs="Arial"/>
                <w:sz w:val="22"/>
                <w:szCs w:val="22"/>
              </w:rPr>
              <w:t xml:space="preserve">For </w:t>
            </w:r>
            <w:r w:rsidR="00F04107" w:rsidRPr="00D20010">
              <w:rPr>
                <w:rFonts w:cs="Arial"/>
                <w:sz w:val="22"/>
                <w:szCs w:val="22"/>
              </w:rPr>
              <w:t xml:space="preserve">both </w:t>
            </w:r>
            <w:r w:rsidRPr="00D20010">
              <w:rPr>
                <w:rFonts w:cs="Arial"/>
                <w:sz w:val="22"/>
                <w:szCs w:val="22"/>
              </w:rPr>
              <w:t xml:space="preserve">freight and </w:t>
            </w:r>
            <w:r w:rsidR="00263408">
              <w:rPr>
                <w:rFonts w:cs="Arial"/>
                <w:sz w:val="22"/>
                <w:szCs w:val="22"/>
              </w:rPr>
              <w:t>open access</w:t>
            </w:r>
            <w:r w:rsidRPr="00D20010">
              <w:rPr>
                <w:rFonts w:cs="Arial"/>
                <w:sz w:val="22"/>
                <w:szCs w:val="22"/>
              </w:rPr>
              <w:t xml:space="preserve"> operators, we have undertaken analysis to</w:t>
            </w:r>
            <w:r w:rsidR="00384A5B" w:rsidRPr="00D20010">
              <w:rPr>
                <w:rFonts w:cs="Arial"/>
                <w:sz w:val="22"/>
                <w:szCs w:val="22"/>
              </w:rPr>
              <w:t xml:space="preserve"> consider whether these operators are able to bear a mark-up above charges which recover directly-incurred costs, and (if so) the appropriate level of a cha</w:t>
            </w:r>
            <w:r w:rsidR="00D20010" w:rsidRPr="00D20010">
              <w:rPr>
                <w:rFonts w:cs="Arial"/>
                <w:sz w:val="22"/>
                <w:szCs w:val="22"/>
              </w:rPr>
              <w:t>rge.</w:t>
            </w:r>
            <w:r w:rsidR="00D20010">
              <w:rPr>
                <w:rFonts w:cs="Arial"/>
                <w:sz w:val="22"/>
                <w:szCs w:val="22"/>
              </w:rPr>
              <w:t xml:space="preserve"> </w:t>
            </w:r>
            <w:r w:rsidRPr="00D20010">
              <w:rPr>
                <w:rFonts w:cs="Arial"/>
                <w:sz w:val="22"/>
                <w:szCs w:val="22"/>
              </w:rPr>
              <w:t>A summary of</w:t>
            </w:r>
            <w:r w:rsidR="00384A5B" w:rsidRPr="00D20010">
              <w:rPr>
                <w:rFonts w:cs="Arial"/>
                <w:sz w:val="22"/>
                <w:szCs w:val="22"/>
              </w:rPr>
              <w:t xml:space="preserve"> </w:t>
            </w:r>
            <w:r w:rsidR="00D20010" w:rsidRPr="00D20010">
              <w:rPr>
                <w:rFonts w:cs="Arial"/>
                <w:sz w:val="22"/>
                <w:szCs w:val="22"/>
              </w:rPr>
              <w:t xml:space="preserve">our previous </w:t>
            </w:r>
            <w:r w:rsidR="00384A5B" w:rsidRPr="00D20010">
              <w:rPr>
                <w:rFonts w:cs="Arial"/>
                <w:sz w:val="22"/>
                <w:szCs w:val="22"/>
              </w:rPr>
              <w:t xml:space="preserve">analysis </w:t>
            </w:r>
            <w:r w:rsidR="00D20010" w:rsidRPr="00D20010">
              <w:rPr>
                <w:rFonts w:cs="Arial"/>
                <w:sz w:val="22"/>
                <w:szCs w:val="22"/>
              </w:rPr>
              <w:t xml:space="preserve">for freight and </w:t>
            </w:r>
            <w:r w:rsidR="00263408">
              <w:rPr>
                <w:rFonts w:cs="Arial"/>
                <w:sz w:val="22"/>
                <w:szCs w:val="22"/>
              </w:rPr>
              <w:t>open access</w:t>
            </w:r>
            <w:r w:rsidR="00D20010" w:rsidRPr="00D20010">
              <w:rPr>
                <w:rFonts w:cs="Arial"/>
                <w:sz w:val="22"/>
                <w:szCs w:val="22"/>
              </w:rPr>
              <w:t xml:space="preserve"> operators </w:t>
            </w:r>
            <w:r w:rsidR="00384A5B" w:rsidRPr="00D20010">
              <w:rPr>
                <w:rFonts w:cs="Arial"/>
                <w:sz w:val="22"/>
                <w:szCs w:val="22"/>
              </w:rPr>
              <w:t>is set out below.</w:t>
            </w:r>
          </w:p>
          <w:p w14:paraId="220526FA" w14:textId="268E4C20" w:rsidR="001F5D6B" w:rsidRDefault="00384A5B" w:rsidP="001F5D6B">
            <w:pPr>
              <w:rPr>
                <w:rFonts w:cs="Arial"/>
                <w:b/>
                <w:sz w:val="22"/>
                <w:szCs w:val="22"/>
              </w:rPr>
            </w:pPr>
            <w:r>
              <w:rPr>
                <w:rFonts w:cs="Arial"/>
                <w:b/>
                <w:sz w:val="22"/>
                <w:szCs w:val="22"/>
              </w:rPr>
              <w:t>Previous m</w:t>
            </w:r>
            <w:r w:rsidR="001F5D6B" w:rsidRPr="001F5D6B">
              <w:rPr>
                <w:rFonts w:cs="Arial"/>
                <w:b/>
                <w:sz w:val="22"/>
                <w:szCs w:val="22"/>
              </w:rPr>
              <w:t>arket</w:t>
            </w:r>
            <w:r w:rsidR="00E93674">
              <w:rPr>
                <w:rFonts w:cs="Arial"/>
                <w:b/>
                <w:sz w:val="22"/>
                <w:szCs w:val="22"/>
              </w:rPr>
              <w:t xml:space="preserve"> </w:t>
            </w:r>
            <w:r w:rsidR="00AE1F5B">
              <w:rPr>
                <w:rFonts w:cs="Arial"/>
                <w:b/>
                <w:sz w:val="22"/>
                <w:szCs w:val="22"/>
              </w:rPr>
              <w:t>c</w:t>
            </w:r>
            <w:r w:rsidR="001F5D6B" w:rsidRPr="001F5D6B">
              <w:rPr>
                <w:rFonts w:cs="Arial"/>
                <w:b/>
                <w:sz w:val="22"/>
                <w:szCs w:val="22"/>
              </w:rPr>
              <w:t>an</w:t>
            </w:r>
            <w:r w:rsidR="00E93674">
              <w:rPr>
                <w:rFonts w:cs="Arial"/>
                <w:b/>
                <w:sz w:val="22"/>
                <w:szCs w:val="22"/>
              </w:rPr>
              <w:t xml:space="preserve"> </w:t>
            </w:r>
            <w:r w:rsidR="00AE1F5B">
              <w:rPr>
                <w:rFonts w:cs="Arial"/>
                <w:b/>
                <w:sz w:val="22"/>
                <w:szCs w:val="22"/>
              </w:rPr>
              <w:t>b</w:t>
            </w:r>
            <w:r w:rsidR="00A31A26">
              <w:rPr>
                <w:rFonts w:cs="Arial"/>
                <w:b/>
                <w:sz w:val="22"/>
                <w:szCs w:val="22"/>
              </w:rPr>
              <w:t>ear</w:t>
            </w:r>
            <w:r w:rsidR="00AE1F5B">
              <w:rPr>
                <w:rFonts w:cs="Arial"/>
                <w:b/>
                <w:sz w:val="22"/>
                <w:szCs w:val="22"/>
              </w:rPr>
              <w:t xml:space="preserve"> </w:t>
            </w:r>
            <w:r w:rsidR="00A31A26">
              <w:rPr>
                <w:rFonts w:cs="Arial"/>
                <w:b/>
                <w:sz w:val="22"/>
                <w:szCs w:val="22"/>
              </w:rPr>
              <w:t>(</w:t>
            </w:r>
            <w:proofErr w:type="spellStart"/>
            <w:r w:rsidR="00A31A26">
              <w:rPr>
                <w:rFonts w:cs="Arial"/>
                <w:b/>
                <w:sz w:val="22"/>
                <w:szCs w:val="22"/>
              </w:rPr>
              <w:t>MCB</w:t>
            </w:r>
            <w:proofErr w:type="spellEnd"/>
            <w:r w:rsidR="00A31A26">
              <w:rPr>
                <w:rFonts w:cs="Arial"/>
                <w:b/>
                <w:sz w:val="22"/>
                <w:szCs w:val="22"/>
              </w:rPr>
              <w:t xml:space="preserve">) </w:t>
            </w:r>
            <w:r>
              <w:rPr>
                <w:rFonts w:cs="Arial"/>
                <w:b/>
                <w:sz w:val="22"/>
                <w:szCs w:val="22"/>
              </w:rPr>
              <w:t>analysis</w:t>
            </w:r>
          </w:p>
          <w:p w14:paraId="1FD5DA43" w14:textId="75385937" w:rsidR="00475A92" w:rsidRPr="00AE1F5B" w:rsidRDefault="00475A92" w:rsidP="001F5D6B">
            <w:pPr>
              <w:rPr>
                <w:rFonts w:cs="Arial"/>
                <w:sz w:val="22"/>
                <w:szCs w:val="22"/>
                <w:u w:val="single"/>
              </w:rPr>
            </w:pPr>
            <w:r w:rsidRPr="00AE1F5B">
              <w:rPr>
                <w:rFonts w:cs="Arial"/>
                <w:sz w:val="22"/>
                <w:szCs w:val="22"/>
                <w:u w:val="single"/>
              </w:rPr>
              <w:t>Freight</w:t>
            </w:r>
            <w:r w:rsidR="00A31A26">
              <w:rPr>
                <w:rFonts w:cs="Arial"/>
                <w:sz w:val="22"/>
                <w:szCs w:val="22"/>
                <w:u w:val="single"/>
              </w:rPr>
              <w:t xml:space="preserve"> operators</w:t>
            </w:r>
          </w:p>
          <w:p w14:paraId="5A612392" w14:textId="51210607" w:rsidR="001A4CE6" w:rsidRDefault="00D66D02" w:rsidP="00475A92">
            <w:pPr>
              <w:rPr>
                <w:rFonts w:cs="Arial"/>
                <w:sz w:val="22"/>
                <w:szCs w:val="22"/>
              </w:rPr>
            </w:pPr>
            <w:r>
              <w:rPr>
                <w:rFonts w:cs="Arial"/>
                <w:sz w:val="22"/>
                <w:szCs w:val="22"/>
              </w:rPr>
              <w:t xml:space="preserve">In </w:t>
            </w:r>
            <w:proofErr w:type="spellStart"/>
            <w:r w:rsidR="00D20010">
              <w:rPr>
                <w:rFonts w:cs="Arial"/>
                <w:sz w:val="22"/>
                <w:szCs w:val="22"/>
              </w:rPr>
              <w:t>PR08</w:t>
            </w:r>
            <w:proofErr w:type="spellEnd"/>
            <w:r w:rsidR="00D20010">
              <w:rPr>
                <w:rFonts w:cs="Arial"/>
                <w:sz w:val="22"/>
                <w:szCs w:val="22"/>
              </w:rPr>
              <w:t xml:space="preserve"> and </w:t>
            </w:r>
            <w:proofErr w:type="spellStart"/>
            <w:r>
              <w:rPr>
                <w:rFonts w:cs="Arial"/>
                <w:sz w:val="22"/>
                <w:szCs w:val="22"/>
              </w:rPr>
              <w:t>PR13</w:t>
            </w:r>
            <w:proofErr w:type="spellEnd"/>
            <w:r>
              <w:rPr>
                <w:rFonts w:cs="Arial"/>
                <w:sz w:val="22"/>
                <w:szCs w:val="22"/>
              </w:rPr>
              <w:t xml:space="preserve">, we undertook a </w:t>
            </w:r>
            <w:proofErr w:type="spellStart"/>
            <w:r w:rsidR="00A31A26">
              <w:rPr>
                <w:rFonts w:cs="Arial"/>
                <w:sz w:val="22"/>
                <w:szCs w:val="22"/>
              </w:rPr>
              <w:t>MCB</w:t>
            </w:r>
            <w:proofErr w:type="spellEnd"/>
            <w:r w:rsidR="00A31A26">
              <w:rPr>
                <w:rFonts w:cs="Arial"/>
                <w:sz w:val="22"/>
                <w:szCs w:val="22"/>
              </w:rPr>
              <w:t xml:space="preserve"> </w:t>
            </w:r>
            <w:r>
              <w:rPr>
                <w:rFonts w:cs="Arial"/>
                <w:sz w:val="22"/>
                <w:szCs w:val="22"/>
              </w:rPr>
              <w:t xml:space="preserve">test to determine which freight services are liable to pay </w:t>
            </w:r>
            <w:r w:rsidR="00A31A26">
              <w:rPr>
                <w:rFonts w:cs="Arial"/>
                <w:sz w:val="22"/>
                <w:szCs w:val="22"/>
              </w:rPr>
              <w:t>mark-ups</w:t>
            </w:r>
            <w:r>
              <w:rPr>
                <w:rFonts w:cs="Arial"/>
                <w:sz w:val="22"/>
                <w:szCs w:val="22"/>
              </w:rPr>
              <w:t xml:space="preserve">. We segmented </w:t>
            </w:r>
            <w:r w:rsidR="001A4CE6">
              <w:rPr>
                <w:rFonts w:cs="Arial"/>
                <w:sz w:val="22"/>
                <w:szCs w:val="22"/>
              </w:rPr>
              <w:t xml:space="preserve">rail </w:t>
            </w:r>
            <w:r>
              <w:rPr>
                <w:rFonts w:cs="Arial"/>
                <w:sz w:val="22"/>
                <w:szCs w:val="22"/>
              </w:rPr>
              <w:t xml:space="preserve">freight services </w:t>
            </w:r>
            <w:r w:rsidR="001A4CE6">
              <w:rPr>
                <w:rFonts w:cs="Arial"/>
                <w:sz w:val="22"/>
                <w:szCs w:val="22"/>
              </w:rPr>
              <w:t xml:space="preserve">based on the </w:t>
            </w:r>
            <w:r w:rsidR="001A4CE6" w:rsidRPr="00D55305">
              <w:rPr>
                <w:rFonts w:cs="Arial"/>
                <w:i/>
                <w:sz w:val="22"/>
                <w:szCs w:val="22"/>
              </w:rPr>
              <w:t>commodities carried</w:t>
            </w:r>
            <w:r w:rsidR="001A4CE6">
              <w:rPr>
                <w:rFonts w:cs="Arial"/>
                <w:sz w:val="22"/>
                <w:szCs w:val="22"/>
              </w:rPr>
              <w:t xml:space="preserve">, and assessed evidence on the </w:t>
            </w:r>
            <w:r w:rsidRPr="00475A92">
              <w:rPr>
                <w:rFonts w:cs="Arial"/>
                <w:sz w:val="22"/>
                <w:szCs w:val="22"/>
              </w:rPr>
              <w:t>elasticity of demand</w:t>
            </w:r>
            <w:r w:rsidR="001A4CE6">
              <w:rPr>
                <w:rFonts w:cs="Arial"/>
                <w:sz w:val="22"/>
                <w:szCs w:val="22"/>
              </w:rPr>
              <w:t xml:space="preserve"> for freight services f</w:t>
            </w:r>
            <w:r w:rsidR="00537E98">
              <w:rPr>
                <w:rFonts w:cs="Arial"/>
                <w:sz w:val="22"/>
                <w:szCs w:val="22"/>
              </w:rPr>
              <w:t>or</w:t>
            </w:r>
            <w:r w:rsidR="001A4CE6">
              <w:rPr>
                <w:rFonts w:cs="Arial"/>
                <w:sz w:val="22"/>
                <w:szCs w:val="22"/>
              </w:rPr>
              <w:t xml:space="preserve"> different commodities (including by way of consideration of the extent to which other forms of freight transport – such as road – compete with rail freight). We levied ICC</w:t>
            </w:r>
            <w:r w:rsidR="00A31A26">
              <w:rPr>
                <w:rFonts w:cs="Arial"/>
                <w:sz w:val="22"/>
                <w:szCs w:val="22"/>
              </w:rPr>
              <w:t>s</w:t>
            </w:r>
            <w:r w:rsidR="001A4CE6">
              <w:rPr>
                <w:rFonts w:cs="Arial"/>
                <w:sz w:val="22"/>
                <w:szCs w:val="22"/>
              </w:rPr>
              <w:t xml:space="preserve"> on freight services carrying commodities where demand was relatively inelastic, and </w:t>
            </w:r>
            <w:r w:rsidR="001A4CE6">
              <w:rPr>
                <w:rFonts w:cs="Arial"/>
                <w:sz w:val="22"/>
                <w:szCs w:val="22"/>
              </w:rPr>
              <w:lastRenderedPageBreak/>
              <w:t xml:space="preserve">which would therefore likely be less affected </w:t>
            </w:r>
            <w:r w:rsidR="00A31A26">
              <w:rPr>
                <w:rFonts w:cs="Arial"/>
                <w:sz w:val="22"/>
                <w:szCs w:val="22"/>
              </w:rPr>
              <w:t>by the imposition of a</w:t>
            </w:r>
            <w:r w:rsidR="00537E98">
              <w:rPr>
                <w:rFonts w:cs="Arial"/>
                <w:sz w:val="22"/>
                <w:szCs w:val="22"/>
              </w:rPr>
              <w:t>n ICC</w:t>
            </w:r>
            <w:r w:rsidR="001A4CE6">
              <w:rPr>
                <w:rFonts w:cs="Arial"/>
                <w:sz w:val="22"/>
                <w:szCs w:val="22"/>
              </w:rPr>
              <w:t>. We identified the following commodities as being able to bear ICC</w:t>
            </w:r>
            <w:r w:rsidR="00A31A26">
              <w:rPr>
                <w:rFonts w:cs="Arial"/>
                <w:sz w:val="22"/>
                <w:szCs w:val="22"/>
              </w:rPr>
              <w:t>s</w:t>
            </w:r>
            <w:r w:rsidR="001A4CE6">
              <w:rPr>
                <w:rFonts w:cs="Arial"/>
                <w:sz w:val="22"/>
                <w:szCs w:val="22"/>
              </w:rPr>
              <w:t xml:space="preserve">: </w:t>
            </w:r>
            <w:proofErr w:type="spellStart"/>
            <w:r w:rsidR="001A4CE6" w:rsidRPr="00690C1B">
              <w:rPr>
                <w:rFonts w:cs="Arial"/>
                <w:sz w:val="22"/>
                <w:szCs w:val="22"/>
              </w:rPr>
              <w:t>ESI</w:t>
            </w:r>
            <w:proofErr w:type="spellEnd"/>
            <w:r w:rsidR="001A4CE6" w:rsidRPr="00690C1B">
              <w:rPr>
                <w:rFonts w:cs="Arial"/>
                <w:sz w:val="22"/>
                <w:szCs w:val="22"/>
              </w:rPr>
              <w:t xml:space="preserve"> (El</w:t>
            </w:r>
            <w:r w:rsidR="001A4CE6">
              <w:rPr>
                <w:rFonts w:cs="Arial"/>
                <w:sz w:val="22"/>
                <w:szCs w:val="22"/>
              </w:rPr>
              <w:t>ectricity supply industry) coal; s</w:t>
            </w:r>
            <w:r w:rsidR="001A4CE6" w:rsidRPr="00690C1B">
              <w:rPr>
                <w:rFonts w:cs="Arial"/>
                <w:sz w:val="22"/>
                <w:szCs w:val="22"/>
              </w:rPr>
              <w:t>pent nuclear fuel</w:t>
            </w:r>
            <w:r w:rsidR="001A4CE6">
              <w:rPr>
                <w:rFonts w:cs="Arial"/>
                <w:sz w:val="22"/>
                <w:szCs w:val="22"/>
              </w:rPr>
              <w:t>; and i</w:t>
            </w:r>
            <w:r w:rsidR="001A4CE6" w:rsidRPr="00690C1B">
              <w:rPr>
                <w:rFonts w:cs="Arial"/>
                <w:sz w:val="22"/>
                <w:szCs w:val="22"/>
              </w:rPr>
              <w:t>ron ore</w:t>
            </w:r>
            <w:r w:rsidR="001A4CE6">
              <w:rPr>
                <w:rFonts w:cs="Arial"/>
                <w:sz w:val="22"/>
                <w:szCs w:val="22"/>
              </w:rPr>
              <w:t>.</w:t>
            </w:r>
          </w:p>
          <w:p w14:paraId="4D03EA77" w14:textId="1409CAFA" w:rsidR="001A4CE6" w:rsidRPr="00631C6F" w:rsidRDefault="001A4CE6" w:rsidP="001A4CE6">
            <w:pPr>
              <w:rPr>
                <w:rFonts w:cs="Arial"/>
                <w:sz w:val="22"/>
                <w:szCs w:val="22"/>
              </w:rPr>
            </w:pPr>
            <w:r>
              <w:rPr>
                <w:rFonts w:cs="Arial"/>
                <w:sz w:val="22"/>
                <w:szCs w:val="22"/>
              </w:rPr>
              <w:t xml:space="preserve">In </w:t>
            </w:r>
            <w:proofErr w:type="spellStart"/>
            <w:r>
              <w:rPr>
                <w:rFonts w:cs="Arial"/>
                <w:sz w:val="22"/>
                <w:szCs w:val="22"/>
              </w:rPr>
              <w:t>PR18</w:t>
            </w:r>
            <w:proofErr w:type="spellEnd"/>
            <w:r>
              <w:rPr>
                <w:rFonts w:cs="Arial"/>
                <w:sz w:val="22"/>
                <w:szCs w:val="22"/>
              </w:rPr>
              <w:t>, w</w:t>
            </w:r>
            <w:r w:rsidR="00D66D02">
              <w:rPr>
                <w:rFonts w:cs="Arial"/>
                <w:sz w:val="22"/>
                <w:szCs w:val="22"/>
              </w:rPr>
              <w:t xml:space="preserve">e updated </w:t>
            </w:r>
            <w:r>
              <w:rPr>
                <w:rFonts w:cs="Arial"/>
                <w:sz w:val="22"/>
                <w:szCs w:val="22"/>
              </w:rPr>
              <w:t xml:space="preserve">our </w:t>
            </w:r>
            <w:proofErr w:type="spellStart"/>
            <w:r w:rsidR="00A31A26">
              <w:rPr>
                <w:rFonts w:cs="Arial"/>
                <w:sz w:val="22"/>
                <w:szCs w:val="22"/>
              </w:rPr>
              <w:t>MCB</w:t>
            </w:r>
            <w:proofErr w:type="spellEnd"/>
            <w:r>
              <w:rPr>
                <w:rFonts w:cs="Arial"/>
                <w:sz w:val="22"/>
                <w:szCs w:val="22"/>
              </w:rPr>
              <w:t xml:space="preserve"> </w:t>
            </w:r>
            <w:r w:rsidR="00D66D02">
              <w:rPr>
                <w:rFonts w:cs="Arial"/>
                <w:sz w:val="22"/>
                <w:szCs w:val="22"/>
              </w:rPr>
              <w:t xml:space="preserve">analysis </w:t>
            </w:r>
            <w:r w:rsidR="00A31A26">
              <w:rPr>
                <w:rFonts w:cs="Arial"/>
                <w:sz w:val="22"/>
                <w:szCs w:val="22"/>
              </w:rPr>
              <w:t xml:space="preserve">based on </w:t>
            </w:r>
            <w:r w:rsidR="00537E98">
              <w:rPr>
                <w:rFonts w:cs="Arial"/>
                <w:sz w:val="22"/>
                <w:szCs w:val="22"/>
              </w:rPr>
              <w:t xml:space="preserve">further </w:t>
            </w:r>
            <w:r w:rsidR="00A31A26">
              <w:rPr>
                <w:rFonts w:cs="Arial"/>
                <w:sz w:val="22"/>
                <w:szCs w:val="22"/>
              </w:rPr>
              <w:t>analysis that we commissioned</w:t>
            </w:r>
            <w:r w:rsidR="000D4031">
              <w:rPr>
                <w:rStyle w:val="FootnoteReference"/>
                <w:rFonts w:cs="Arial"/>
                <w:sz w:val="22"/>
                <w:szCs w:val="22"/>
              </w:rPr>
              <w:footnoteReference w:id="7"/>
            </w:r>
            <w:r w:rsidR="00D66D02">
              <w:rPr>
                <w:rFonts w:cs="Arial"/>
                <w:sz w:val="22"/>
                <w:szCs w:val="22"/>
              </w:rPr>
              <w:t xml:space="preserve">. </w:t>
            </w:r>
            <w:r>
              <w:rPr>
                <w:rFonts w:cs="Arial"/>
                <w:sz w:val="22"/>
                <w:szCs w:val="22"/>
              </w:rPr>
              <w:t xml:space="preserve">On the basis of this analysis, we </w:t>
            </w:r>
            <w:r w:rsidR="00D55305">
              <w:rPr>
                <w:rFonts w:cs="Arial"/>
                <w:sz w:val="22"/>
                <w:szCs w:val="22"/>
              </w:rPr>
              <w:t>continued</w:t>
            </w:r>
            <w:r>
              <w:rPr>
                <w:rFonts w:cs="Arial"/>
                <w:sz w:val="22"/>
                <w:szCs w:val="22"/>
              </w:rPr>
              <w:t xml:space="preserve"> levying ICC</w:t>
            </w:r>
            <w:r w:rsidR="00A31A26">
              <w:rPr>
                <w:rFonts w:cs="Arial"/>
                <w:sz w:val="22"/>
                <w:szCs w:val="22"/>
              </w:rPr>
              <w:t>s</w:t>
            </w:r>
            <w:r>
              <w:rPr>
                <w:rFonts w:cs="Arial"/>
                <w:sz w:val="22"/>
                <w:szCs w:val="22"/>
              </w:rPr>
              <w:t xml:space="preserve"> on the commodities listed above</w:t>
            </w:r>
            <w:r w:rsidR="00A31A26">
              <w:rPr>
                <w:rFonts w:cs="Arial"/>
                <w:sz w:val="22"/>
                <w:szCs w:val="22"/>
              </w:rPr>
              <w:t xml:space="preserve">. We also decided to extend </w:t>
            </w:r>
            <w:r>
              <w:rPr>
                <w:rFonts w:cs="Arial"/>
                <w:sz w:val="22"/>
                <w:szCs w:val="22"/>
              </w:rPr>
              <w:t>ICC</w:t>
            </w:r>
            <w:r w:rsidR="00A31A26">
              <w:rPr>
                <w:rFonts w:cs="Arial"/>
                <w:sz w:val="22"/>
                <w:szCs w:val="22"/>
              </w:rPr>
              <w:t>s</w:t>
            </w:r>
            <w:r>
              <w:rPr>
                <w:rFonts w:cs="Arial"/>
                <w:sz w:val="22"/>
                <w:szCs w:val="22"/>
              </w:rPr>
              <w:t xml:space="preserve"> for freight services </w:t>
            </w:r>
            <w:r w:rsidRPr="00631C6F">
              <w:rPr>
                <w:rFonts w:cs="Arial"/>
                <w:sz w:val="22"/>
                <w:szCs w:val="22"/>
              </w:rPr>
              <w:t xml:space="preserve">carrying </w:t>
            </w:r>
            <w:proofErr w:type="spellStart"/>
            <w:r w:rsidRPr="00631C6F">
              <w:rPr>
                <w:rFonts w:cs="Arial"/>
                <w:sz w:val="22"/>
                <w:szCs w:val="22"/>
              </w:rPr>
              <w:t>ESI</w:t>
            </w:r>
            <w:proofErr w:type="spellEnd"/>
            <w:r w:rsidRPr="00631C6F">
              <w:rPr>
                <w:rFonts w:cs="Arial"/>
                <w:sz w:val="22"/>
                <w:szCs w:val="22"/>
              </w:rPr>
              <w:t xml:space="preserve"> </w:t>
            </w:r>
            <w:r w:rsidR="00A31A26">
              <w:rPr>
                <w:rFonts w:cs="Arial"/>
                <w:sz w:val="22"/>
                <w:szCs w:val="22"/>
              </w:rPr>
              <w:t>b</w:t>
            </w:r>
            <w:r w:rsidRPr="00631C6F">
              <w:rPr>
                <w:rFonts w:cs="Arial"/>
                <w:sz w:val="22"/>
                <w:szCs w:val="22"/>
              </w:rPr>
              <w:t>iomass</w:t>
            </w:r>
            <w:r>
              <w:rPr>
                <w:rFonts w:cs="Arial"/>
                <w:sz w:val="22"/>
                <w:szCs w:val="22"/>
              </w:rPr>
              <w:t>, as we considered there was sufficient evidence that these servi</w:t>
            </w:r>
            <w:r w:rsidR="00A31A26">
              <w:rPr>
                <w:rFonts w:cs="Arial"/>
                <w:sz w:val="22"/>
                <w:szCs w:val="22"/>
              </w:rPr>
              <w:t>ces could bear a charge</w:t>
            </w:r>
            <w:r w:rsidRPr="00631C6F">
              <w:rPr>
                <w:rFonts w:cs="Arial"/>
                <w:sz w:val="22"/>
                <w:szCs w:val="22"/>
              </w:rPr>
              <w:t xml:space="preserve">. </w:t>
            </w:r>
          </w:p>
          <w:p w14:paraId="51DF286B" w14:textId="13430544" w:rsidR="00AE1F5B" w:rsidRPr="00233F1B" w:rsidRDefault="00A31A26" w:rsidP="00475A92">
            <w:pPr>
              <w:rPr>
                <w:rFonts w:cs="Arial"/>
                <w:sz w:val="22"/>
                <w:szCs w:val="22"/>
              </w:rPr>
            </w:pPr>
            <w:r>
              <w:rPr>
                <w:rFonts w:cs="Arial"/>
                <w:sz w:val="22"/>
                <w:szCs w:val="22"/>
              </w:rPr>
              <w:t xml:space="preserve">As part of </w:t>
            </w:r>
            <w:proofErr w:type="spellStart"/>
            <w:r>
              <w:rPr>
                <w:rFonts w:cs="Arial"/>
                <w:sz w:val="22"/>
                <w:szCs w:val="22"/>
              </w:rPr>
              <w:t>PR18</w:t>
            </w:r>
            <w:proofErr w:type="spellEnd"/>
            <w:r>
              <w:rPr>
                <w:rFonts w:cs="Arial"/>
                <w:sz w:val="22"/>
                <w:szCs w:val="22"/>
              </w:rPr>
              <w:t>, we also combined the ICCs paid by relevant freight operators into one ICC</w:t>
            </w:r>
            <w:r w:rsidR="007D7EBE">
              <w:rPr>
                <w:rFonts w:cs="Arial"/>
                <w:sz w:val="22"/>
                <w:szCs w:val="22"/>
              </w:rPr>
              <w:t xml:space="preserve"> (known for billing purposes as the </w:t>
            </w:r>
            <w:r w:rsidR="00537E98">
              <w:rPr>
                <w:rFonts w:cs="Arial"/>
                <w:sz w:val="22"/>
                <w:szCs w:val="22"/>
              </w:rPr>
              <w:t xml:space="preserve">freight-specific charge, or </w:t>
            </w:r>
            <w:proofErr w:type="spellStart"/>
            <w:r w:rsidR="007D7EBE">
              <w:rPr>
                <w:rFonts w:cs="Arial"/>
                <w:sz w:val="22"/>
                <w:szCs w:val="22"/>
              </w:rPr>
              <w:t>FSC</w:t>
            </w:r>
            <w:proofErr w:type="spellEnd"/>
            <w:r w:rsidR="007D7EBE">
              <w:rPr>
                <w:rFonts w:cs="Arial"/>
                <w:sz w:val="22"/>
                <w:szCs w:val="22"/>
              </w:rPr>
              <w:t>)</w:t>
            </w:r>
            <w:r>
              <w:rPr>
                <w:rFonts w:cs="Arial"/>
                <w:sz w:val="22"/>
                <w:szCs w:val="22"/>
              </w:rPr>
              <w:t xml:space="preserve">. Prior to </w:t>
            </w:r>
            <w:proofErr w:type="spellStart"/>
            <w:r>
              <w:rPr>
                <w:rFonts w:cs="Arial"/>
                <w:sz w:val="22"/>
                <w:szCs w:val="22"/>
              </w:rPr>
              <w:t>PR18</w:t>
            </w:r>
            <w:proofErr w:type="spellEnd"/>
            <w:r>
              <w:rPr>
                <w:rFonts w:cs="Arial"/>
                <w:sz w:val="22"/>
                <w:szCs w:val="22"/>
              </w:rPr>
              <w:t xml:space="preserve">, we had levied two different ICCs on freight services, both of which contributed to Network Rail’s fixed cost recovery.  </w:t>
            </w:r>
          </w:p>
          <w:p w14:paraId="6A096825" w14:textId="230F0288" w:rsidR="00637F8B" w:rsidRPr="00A31A26" w:rsidRDefault="00637F8B" w:rsidP="00475A92">
            <w:pPr>
              <w:rPr>
                <w:rFonts w:cs="Arial"/>
                <w:sz w:val="22"/>
                <w:szCs w:val="22"/>
                <w:u w:val="single"/>
              </w:rPr>
            </w:pPr>
            <w:r w:rsidRPr="00A31A26">
              <w:rPr>
                <w:rFonts w:cs="Arial"/>
                <w:sz w:val="22"/>
                <w:szCs w:val="22"/>
                <w:u w:val="single"/>
              </w:rPr>
              <w:t xml:space="preserve">Open </w:t>
            </w:r>
            <w:r w:rsidR="00A31A26">
              <w:rPr>
                <w:rFonts w:cs="Arial"/>
                <w:sz w:val="22"/>
                <w:szCs w:val="22"/>
                <w:u w:val="single"/>
              </w:rPr>
              <w:t>a</w:t>
            </w:r>
            <w:r w:rsidRPr="00A31A26">
              <w:rPr>
                <w:rFonts w:cs="Arial"/>
                <w:sz w:val="22"/>
                <w:szCs w:val="22"/>
                <w:u w:val="single"/>
              </w:rPr>
              <w:t>ccess</w:t>
            </w:r>
            <w:r w:rsidR="00A31A26">
              <w:rPr>
                <w:rFonts w:cs="Arial"/>
                <w:sz w:val="22"/>
                <w:szCs w:val="22"/>
                <w:u w:val="single"/>
              </w:rPr>
              <w:t xml:space="preserve"> operators</w:t>
            </w:r>
          </w:p>
          <w:p w14:paraId="1BD5763F" w14:textId="405ED2AA" w:rsidR="00051E88" w:rsidRDefault="00A31A26" w:rsidP="00690C1B">
            <w:pPr>
              <w:rPr>
                <w:rFonts w:cs="Arial"/>
                <w:sz w:val="22"/>
                <w:szCs w:val="22"/>
              </w:rPr>
            </w:pPr>
            <w:r>
              <w:rPr>
                <w:rFonts w:cs="Arial"/>
                <w:sz w:val="22"/>
                <w:szCs w:val="22"/>
              </w:rPr>
              <w:t xml:space="preserve">Prior to </w:t>
            </w:r>
            <w:proofErr w:type="spellStart"/>
            <w:r>
              <w:rPr>
                <w:rFonts w:cs="Arial"/>
                <w:sz w:val="22"/>
                <w:szCs w:val="22"/>
              </w:rPr>
              <w:t>PR18</w:t>
            </w:r>
            <w:proofErr w:type="spellEnd"/>
            <w:r>
              <w:rPr>
                <w:rFonts w:cs="Arial"/>
                <w:sz w:val="22"/>
                <w:szCs w:val="22"/>
              </w:rPr>
              <w:t xml:space="preserve">, </w:t>
            </w:r>
            <w:r w:rsidR="00263408">
              <w:rPr>
                <w:rFonts w:cs="Arial"/>
                <w:sz w:val="22"/>
                <w:szCs w:val="22"/>
              </w:rPr>
              <w:t>open access</w:t>
            </w:r>
            <w:r>
              <w:rPr>
                <w:rFonts w:cs="Arial"/>
                <w:sz w:val="22"/>
                <w:szCs w:val="22"/>
              </w:rPr>
              <w:t xml:space="preserve"> operators did not </w:t>
            </w:r>
            <w:r w:rsidR="005515F2">
              <w:rPr>
                <w:rFonts w:cs="Arial"/>
                <w:sz w:val="22"/>
                <w:szCs w:val="22"/>
              </w:rPr>
              <w:t xml:space="preserve">pay any </w:t>
            </w:r>
            <w:r>
              <w:rPr>
                <w:rFonts w:cs="Arial"/>
                <w:sz w:val="22"/>
                <w:szCs w:val="22"/>
              </w:rPr>
              <w:t>ICCs</w:t>
            </w:r>
            <w:r w:rsidR="005515F2">
              <w:rPr>
                <w:rStyle w:val="FootnoteReference"/>
                <w:rFonts w:cs="Arial"/>
                <w:sz w:val="22"/>
                <w:szCs w:val="22"/>
              </w:rPr>
              <w:footnoteReference w:id="8"/>
            </w:r>
            <w:r>
              <w:rPr>
                <w:rFonts w:cs="Arial"/>
                <w:sz w:val="22"/>
                <w:szCs w:val="22"/>
              </w:rPr>
              <w:t xml:space="preserve">. </w:t>
            </w:r>
            <w:r w:rsidR="00757BCB" w:rsidRPr="00757BCB">
              <w:rPr>
                <w:rFonts w:cs="Arial"/>
                <w:sz w:val="22"/>
                <w:szCs w:val="22"/>
              </w:rPr>
              <w:t xml:space="preserve">In </w:t>
            </w:r>
            <w:proofErr w:type="spellStart"/>
            <w:r w:rsidR="00757BCB" w:rsidRPr="00757BCB">
              <w:rPr>
                <w:rFonts w:cs="Arial"/>
                <w:sz w:val="22"/>
                <w:szCs w:val="22"/>
              </w:rPr>
              <w:t>PR18</w:t>
            </w:r>
            <w:proofErr w:type="spellEnd"/>
            <w:r w:rsidR="00757BCB">
              <w:rPr>
                <w:rFonts w:cs="Arial"/>
                <w:sz w:val="22"/>
                <w:szCs w:val="22"/>
              </w:rPr>
              <w:t xml:space="preserve">, we decided to </w:t>
            </w:r>
            <w:r>
              <w:rPr>
                <w:rFonts w:cs="Arial"/>
                <w:sz w:val="22"/>
                <w:szCs w:val="22"/>
              </w:rPr>
              <w:t xml:space="preserve">introduce an ICC for </w:t>
            </w:r>
            <w:r w:rsidR="00263408">
              <w:rPr>
                <w:rFonts w:cs="Arial"/>
                <w:sz w:val="22"/>
                <w:szCs w:val="22"/>
              </w:rPr>
              <w:t>open access</w:t>
            </w:r>
            <w:r w:rsidR="00D20010">
              <w:rPr>
                <w:rFonts w:cs="Arial"/>
                <w:sz w:val="22"/>
                <w:szCs w:val="22"/>
              </w:rPr>
              <w:t xml:space="preserve"> operators for the first time (subject to a </w:t>
            </w:r>
            <w:proofErr w:type="spellStart"/>
            <w:r w:rsidR="00D20010">
              <w:rPr>
                <w:rFonts w:cs="Arial"/>
                <w:sz w:val="22"/>
                <w:szCs w:val="22"/>
              </w:rPr>
              <w:t>MCB</w:t>
            </w:r>
            <w:proofErr w:type="spellEnd"/>
            <w:r w:rsidR="00D20010">
              <w:rPr>
                <w:rFonts w:cs="Arial"/>
                <w:sz w:val="22"/>
                <w:szCs w:val="22"/>
              </w:rPr>
              <w:t xml:space="preserve"> test to determine specifically which services could bear an ICC). This policy </w:t>
            </w:r>
            <w:r w:rsidR="00314F73">
              <w:rPr>
                <w:rFonts w:cs="Arial"/>
                <w:sz w:val="22"/>
                <w:szCs w:val="22"/>
                <w:shd w:val="clear" w:color="auto" w:fill="FFFFFF"/>
              </w:rPr>
              <w:t>aimed to facilitate increased on-rail competition between passenger services over the longer-term, by allowing open access operators to benefit from potentially greater access to the network, while requiring that they contribute towards Network Rail’s recovery of fixed costs where they are able to do so</w:t>
            </w:r>
            <w:r w:rsidR="00051E88">
              <w:rPr>
                <w:rFonts w:cs="Arial"/>
                <w:sz w:val="22"/>
                <w:szCs w:val="22"/>
              </w:rPr>
              <w:t>.</w:t>
            </w:r>
          </w:p>
          <w:p w14:paraId="66F14839" w14:textId="200AAA49" w:rsidR="00A31A26" w:rsidRDefault="00A31A26" w:rsidP="00690C1B">
            <w:pPr>
              <w:rPr>
                <w:rFonts w:cs="Arial"/>
                <w:sz w:val="22"/>
                <w:szCs w:val="22"/>
              </w:rPr>
            </w:pPr>
            <w:r>
              <w:rPr>
                <w:rFonts w:cs="Arial"/>
                <w:sz w:val="22"/>
                <w:szCs w:val="22"/>
              </w:rPr>
              <w:t xml:space="preserve">We commissioned </w:t>
            </w:r>
            <w:r w:rsidR="000D4031">
              <w:rPr>
                <w:rFonts w:cs="Arial"/>
                <w:sz w:val="22"/>
                <w:szCs w:val="22"/>
              </w:rPr>
              <w:t xml:space="preserve">a consultant </w:t>
            </w:r>
            <w:r>
              <w:rPr>
                <w:rFonts w:cs="Arial"/>
                <w:sz w:val="22"/>
                <w:szCs w:val="22"/>
              </w:rPr>
              <w:t xml:space="preserve">to develop a </w:t>
            </w:r>
            <w:proofErr w:type="spellStart"/>
            <w:r>
              <w:rPr>
                <w:rFonts w:cs="Arial"/>
                <w:sz w:val="22"/>
                <w:szCs w:val="22"/>
              </w:rPr>
              <w:t>MCB</w:t>
            </w:r>
            <w:proofErr w:type="spellEnd"/>
            <w:r>
              <w:rPr>
                <w:rFonts w:cs="Arial"/>
                <w:sz w:val="22"/>
                <w:szCs w:val="22"/>
              </w:rPr>
              <w:t xml:space="preserve"> test for </w:t>
            </w:r>
            <w:r w:rsidR="00263408">
              <w:rPr>
                <w:rFonts w:cs="Arial"/>
                <w:sz w:val="22"/>
                <w:szCs w:val="22"/>
              </w:rPr>
              <w:t>open access</w:t>
            </w:r>
            <w:r>
              <w:rPr>
                <w:rFonts w:cs="Arial"/>
                <w:sz w:val="22"/>
                <w:szCs w:val="22"/>
              </w:rPr>
              <w:t xml:space="preserve"> services and make recommendations on which services could bear an ICC, along with the level of this charge</w:t>
            </w:r>
            <w:r w:rsidR="000D4031">
              <w:rPr>
                <w:rStyle w:val="FootnoteReference"/>
                <w:rFonts w:cs="Arial"/>
                <w:sz w:val="22"/>
                <w:szCs w:val="22"/>
              </w:rPr>
              <w:footnoteReference w:id="9"/>
            </w:r>
            <w:r>
              <w:rPr>
                <w:rFonts w:cs="Arial"/>
                <w:sz w:val="22"/>
                <w:szCs w:val="22"/>
              </w:rPr>
              <w:t>.</w:t>
            </w:r>
            <w:r w:rsidR="00D55305">
              <w:rPr>
                <w:rFonts w:cs="Arial"/>
                <w:sz w:val="22"/>
                <w:szCs w:val="22"/>
              </w:rPr>
              <w:t xml:space="preserve"> </w:t>
            </w:r>
            <w:r w:rsidR="004B157C">
              <w:rPr>
                <w:rFonts w:cs="Arial"/>
                <w:sz w:val="22"/>
                <w:szCs w:val="22"/>
              </w:rPr>
              <w:t>At a high</w:t>
            </w:r>
            <w:r w:rsidR="00537E98">
              <w:rPr>
                <w:rFonts w:cs="Arial"/>
                <w:sz w:val="22"/>
                <w:szCs w:val="22"/>
              </w:rPr>
              <w:t xml:space="preserve"> </w:t>
            </w:r>
            <w:r w:rsidR="004B157C">
              <w:rPr>
                <w:rFonts w:cs="Arial"/>
                <w:sz w:val="22"/>
                <w:szCs w:val="22"/>
              </w:rPr>
              <w:t>level, t</w:t>
            </w:r>
            <w:r>
              <w:rPr>
                <w:rFonts w:cs="Arial"/>
                <w:sz w:val="22"/>
                <w:szCs w:val="22"/>
              </w:rPr>
              <w:t xml:space="preserve">his involved </w:t>
            </w:r>
            <w:r w:rsidR="00D55305">
              <w:rPr>
                <w:rFonts w:cs="Arial"/>
                <w:sz w:val="22"/>
                <w:szCs w:val="22"/>
              </w:rPr>
              <w:t>the following:</w:t>
            </w:r>
          </w:p>
          <w:p w14:paraId="4BD35E4C" w14:textId="36AE8D5A" w:rsidR="00D55305" w:rsidRDefault="00D55305" w:rsidP="00EA3AF0">
            <w:pPr>
              <w:pStyle w:val="ListParagraph"/>
              <w:numPr>
                <w:ilvl w:val="0"/>
                <w:numId w:val="18"/>
              </w:numPr>
              <w:rPr>
                <w:rFonts w:cs="Arial"/>
                <w:sz w:val="22"/>
                <w:szCs w:val="22"/>
              </w:rPr>
            </w:pPr>
            <w:r>
              <w:rPr>
                <w:rFonts w:cs="Arial"/>
                <w:sz w:val="22"/>
                <w:szCs w:val="22"/>
              </w:rPr>
              <w:t xml:space="preserve">Developing an appropriate passenger market segmentation. </w:t>
            </w:r>
            <w:r w:rsidR="000D4031">
              <w:rPr>
                <w:rFonts w:cs="Arial"/>
                <w:sz w:val="22"/>
                <w:szCs w:val="22"/>
              </w:rPr>
              <w:t xml:space="preserve">The consultant </w:t>
            </w:r>
            <w:r>
              <w:rPr>
                <w:rFonts w:cs="Arial"/>
                <w:sz w:val="22"/>
                <w:szCs w:val="22"/>
              </w:rPr>
              <w:t xml:space="preserve">considered </w:t>
            </w:r>
            <w:r w:rsidR="004B157C">
              <w:rPr>
                <w:rFonts w:cs="Arial"/>
                <w:sz w:val="22"/>
                <w:szCs w:val="22"/>
              </w:rPr>
              <w:t xml:space="preserve">that demand for </w:t>
            </w:r>
            <w:r>
              <w:rPr>
                <w:rFonts w:cs="Arial"/>
                <w:sz w:val="22"/>
                <w:szCs w:val="22"/>
              </w:rPr>
              <w:t xml:space="preserve">passenger services </w:t>
            </w:r>
            <w:r w:rsidR="004B157C">
              <w:rPr>
                <w:rFonts w:cs="Arial"/>
                <w:sz w:val="22"/>
                <w:szCs w:val="22"/>
              </w:rPr>
              <w:t xml:space="preserve">(and therefore ability to bear) is </w:t>
            </w:r>
            <w:r>
              <w:rPr>
                <w:rFonts w:cs="Arial"/>
                <w:sz w:val="22"/>
                <w:szCs w:val="22"/>
              </w:rPr>
              <w:t xml:space="preserve">likely to be affected by </w:t>
            </w:r>
            <w:r w:rsidR="004B157C">
              <w:rPr>
                <w:rFonts w:cs="Arial"/>
                <w:sz w:val="22"/>
                <w:szCs w:val="22"/>
              </w:rPr>
              <w:t xml:space="preserve">the location, type and time of </w:t>
            </w:r>
            <w:r w:rsidR="00537E98">
              <w:rPr>
                <w:rFonts w:cs="Arial"/>
                <w:sz w:val="22"/>
                <w:szCs w:val="22"/>
              </w:rPr>
              <w:t xml:space="preserve">passenger </w:t>
            </w:r>
            <w:r w:rsidR="004B157C">
              <w:rPr>
                <w:rFonts w:cs="Arial"/>
                <w:sz w:val="22"/>
                <w:szCs w:val="22"/>
              </w:rPr>
              <w:t xml:space="preserve">journeys. Due to data limitations, </w:t>
            </w:r>
            <w:r w:rsidR="00C66780">
              <w:rPr>
                <w:rFonts w:cs="Arial"/>
                <w:sz w:val="22"/>
                <w:szCs w:val="22"/>
              </w:rPr>
              <w:t xml:space="preserve">they did not attempt to segment services by time of day </w:t>
            </w:r>
            <w:r w:rsidR="003776CE">
              <w:rPr>
                <w:rFonts w:cs="Arial"/>
                <w:sz w:val="22"/>
                <w:szCs w:val="22"/>
              </w:rPr>
              <w:t xml:space="preserve">or day of the week </w:t>
            </w:r>
            <w:r w:rsidR="00C66780">
              <w:rPr>
                <w:rFonts w:cs="Arial"/>
                <w:sz w:val="22"/>
                <w:szCs w:val="22"/>
              </w:rPr>
              <w:t>and instead focused on segmenting servic</w:t>
            </w:r>
            <w:r w:rsidR="00A75842">
              <w:rPr>
                <w:rFonts w:cs="Arial"/>
                <w:sz w:val="22"/>
                <w:szCs w:val="22"/>
              </w:rPr>
              <w:t xml:space="preserve">es by journey type </w:t>
            </w:r>
            <w:r w:rsidR="00537E98">
              <w:rPr>
                <w:rFonts w:cs="Arial"/>
                <w:sz w:val="22"/>
                <w:szCs w:val="22"/>
              </w:rPr>
              <w:t>/</w:t>
            </w:r>
            <w:r w:rsidR="00A75842">
              <w:rPr>
                <w:rFonts w:cs="Arial"/>
                <w:sz w:val="22"/>
                <w:szCs w:val="22"/>
              </w:rPr>
              <w:t xml:space="preserve"> location.</w:t>
            </w:r>
            <w:r w:rsidR="004B157C">
              <w:rPr>
                <w:rFonts w:cs="Arial"/>
                <w:sz w:val="22"/>
                <w:szCs w:val="22"/>
              </w:rPr>
              <w:t xml:space="preserve"> </w:t>
            </w:r>
          </w:p>
          <w:p w14:paraId="57DED8E7" w14:textId="77777777" w:rsidR="00D55305" w:rsidRDefault="00D55305" w:rsidP="00D55305">
            <w:pPr>
              <w:pStyle w:val="ListParagraph"/>
              <w:rPr>
                <w:rFonts w:cs="Arial"/>
                <w:sz w:val="22"/>
                <w:szCs w:val="22"/>
              </w:rPr>
            </w:pPr>
          </w:p>
          <w:p w14:paraId="5656C8F8" w14:textId="4368B4D5" w:rsidR="00D55305" w:rsidRDefault="00D55305" w:rsidP="00EA3AF0">
            <w:pPr>
              <w:pStyle w:val="ListParagraph"/>
              <w:numPr>
                <w:ilvl w:val="0"/>
                <w:numId w:val="18"/>
              </w:numPr>
              <w:rPr>
                <w:rFonts w:cs="Arial"/>
                <w:sz w:val="22"/>
                <w:szCs w:val="22"/>
              </w:rPr>
            </w:pPr>
            <w:r w:rsidRPr="002F5969">
              <w:rPr>
                <w:rFonts w:cs="Arial"/>
                <w:sz w:val="22"/>
                <w:szCs w:val="22"/>
              </w:rPr>
              <w:t>Assessme</w:t>
            </w:r>
            <w:r w:rsidR="000D4031">
              <w:rPr>
                <w:rFonts w:cs="Arial"/>
                <w:sz w:val="22"/>
                <w:szCs w:val="22"/>
              </w:rPr>
              <w:t xml:space="preserve">nt of ability to bear: The consultant </w:t>
            </w:r>
            <w:r w:rsidRPr="002F5969">
              <w:rPr>
                <w:rFonts w:cs="Arial"/>
                <w:sz w:val="22"/>
                <w:szCs w:val="22"/>
              </w:rPr>
              <w:t>conduc</w:t>
            </w:r>
            <w:r w:rsidR="002F5969" w:rsidRPr="002F5969">
              <w:rPr>
                <w:rFonts w:cs="Arial"/>
                <w:sz w:val="22"/>
                <w:szCs w:val="22"/>
              </w:rPr>
              <w:t>ted an</w:t>
            </w:r>
            <w:r w:rsidRPr="002F5969">
              <w:rPr>
                <w:rFonts w:cs="Arial"/>
                <w:sz w:val="22"/>
                <w:szCs w:val="22"/>
              </w:rPr>
              <w:t xml:space="preserve"> analysis</w:t>
            </w:r>
            <w:r w:rsidR="002F5969" w:rsidRPr="002F5969">
              <w:rPr>
                <w:rFonts w:cs="Arial"/>
                <w:sz w:val="22"/>
                <w:szCs w:val="22"/>
              </w:rPr>
              <w:t xml:space="preserve"> of revenues for different </w:t>
            </w:r>
            <w:r w:rsidR="00FB0657">
              <w:rPr>
                <w:rFonts w:cs="Arial"/>
                <w:sz w:val="22"/>
                <w:szCs w:val="22"/>
              </w:rPr>
              <w:t>types of passenger services</w:t>
            </w:r>
            <w:r w:rsidR="002F5969" w:rsidRPr="002F5969">
              <w:rPr>
                <w:rFonts w:cs="Arial"/>
                <w:sz w:val="22"/>
                <w:szCs w:val="22"/>
              </w:rPr>
              <w:t>, as well as estimating the cost</w:t>
            </w:r>
            <w:r w:rsidR="00537E98">
              <w:rPr>
                <w:rFonts w:cs="Arial"/>
                <w:sz w:val="22"/>
                <w:szCs w:val="22"/>
              </w:rPr>
              <w:t>s</w:t>
            </w:r>
            <w:r w:rsidR="002F5969" w:rsidRPr="002F5969">
              <w:rPr>
                <w:rFonts w:cs="Arial"/>
                <w:sz w:val="22"/>
                <w:szCs w:val="22"/>
              </w:rPr>
              <w:t xml:space="preserve"> associated with providing these services</w:t>
            </w:r>
            <w:r w:rsidR="002F5969">
              <w:rPr>
                <w:rStyle w:val="FootnoteReference"/>
                <w:rFonts w:cs="Arial"/>
                <w:sz w:val="22"/>
                <w:szCs w:val="22"/>
              </w:rPr>
              <w:footnoteReference w:id="10"/>
            </w:r>
            <w:r w:rsidR="002F5969" w:rsidRPr="002F5969">
              <w:rPr>
                <w:rFonts w:cs="Arial"/>
                <w:sz w:val="22"/>
                <w:szCs w:val="22"/>
              </w:rPr>
              <w:t xml:space="preserve">, to estimate operators’ net operating </w:t>
            </w:r>
            <w:r w:rsidR="00FB0657">
              <w:rPr>
                <w:rFonts w:cs="Arial"/>
                <w:sz w:val="22"/>
                <w:szCs w:val="22"/>
              </w:rPr>
              <w:t>surplus</w:t>
            </w:r>
            <w:r w:rsidR="002F5969" w:rsidRPr="002F5969">
              <w:rPr>
                <w:rFonts w:cs="Arial"/>
                <w:sz w:val="22"/>
                <w:szCs w:val="22"/>
              </w:rPr>
              <w:t xml:space="preserve"> </w:t>
            </w:r>
            <w:r w:rsidR="00FB0657">
              <w:rPr>
                <w:rFonts w:cs="Arial"/>
                <w:sz w:val="22"/>
                <w:szCs w:val="22"/>
              </w:rPr>
              <w:t xml:space="preserve">by </w:t>
            </w:r>
            <w:r w:rsidR="002F5969" w:rsidRPr="002F5969">
              <w:rPr>
                <w:rFonts w:cs="Arial"/>
                <w:sz w:val="22"/>
                <w:szCs w:val="22"/>
              </w:rPr>
              <w:t>service</w:t>
            </w:r>
            <w:r w:rsidR="00FB0657">
              <w:rPr>
                <w:rFonts w:cs="Arial"/>
                <w:sz w:val="22"/>
                <w:szCs w:val="22"/>
              </w:rPr>
              <w:t xml:space="preserve"> type</w:t>
            </w:r>
            <w:r w:rsidR="002F5969" w:rsidRPr="002F5969">
              <w:rPr>
                <w:rFonts w:cs="Arial"/>
                <w:sz w:val="22"/>
                <w:szCs w:val="22"/>
              </w:rPr>
              <w:t>.</w:t>
            </w:r>
            <w:r w:rsidRPr="002F5969">
              <w:rPr>
                <w:rFonts w:cs="Arial"/>
                <w:sz w:val="22"/>
                <w:szCs w:val="22"/>
              </w:rPr>
              <w:t xml:space="preserve"> </w:t>
            </w:r>
            <w:r w:rsidR="002F5969" w:rsidRPr="002F5969">
              <w:rPr>
                <w:rFonts w:cs="Arial"/>
                <w:sz w:val="22"/>
                <w:szCs w:val="22"/>
              </w:rPr>
              <w:t xml:space="preserve">This </w:t>
            </w:r>
            <w:r w:rsidR="002F5969">
              <w:rPr>
                <w:rFonts w:cs="Arial"/>
                <w:sz w:val="22"/>
                <w:szCs w:val="22"/>
              </w:rPr>
              <w:t xml:space="preserve">analysis indicated that </w:t>
            </w:r>
            <w:r w:rsidR="00FB0657">
              <w:rPr>
                <w:rFonts w:cs="Arial"/>
                <w:sz w:val="22"/>
                <w:szCs w:val="22"/>
              </w:rPr>
              <w:t xml:space="preserve">services on </w:t>
            </w:r>
            <w:r w:rsidRPr="002F5969">
              <w:rPr>
                <w:rFonts w:cs="Arial"/>
                <w:sz w:val="22"/>
                <w:szCs w:val="22"/>
              </w:rPr>
              <w:t>inter</w:t>
            </w:r>
            <w:r w:rsidR="004B157C">
              <w:rPr>
                <w:rFonts w:cs="Arial"/>
                <w:sz w:val="22"/>
                <w:szCs w:val="22"/>
              </w:rPr>
              <w:t xml:space="preserve">city and highly utilised commuter routes </w:t>
            </w:r>
            <w:r w:rsidRPr="002F5969">
              <w:rPr>
                <w:rFonts w:cs="Arial"/>
                <w:sz w:val="22"/>
                <w:szCs w:val="22"/>
              </w:rPr>
              <w:t>ha</w:t>
            </w:r>
            <w:r w:rsidR="00051743">
              <w:rPr>
                <w:rFonts w:cs="Arial"/>
                <w:sz w:val="22"/>
                <w:szCs w:val="22"/>
              </w:rPr>
              <w:t>d</w:t>
            </w:r>
            <w:r w:rsidR="00FB0657">
              <w:rPr>
                <w:rFonts w:cs="Arial"/>
                <w:sz w:val="22"/>
                <w:szCs w:val="22"/>
              </w:rPr>
              <w:t xml:space="preserve"> the highest operating surplus, indicating a </w:t>
            </w:r>
            <w:r w:rsidRPr="002F5969">
              <w:rPr>
                <w:rFonts w:cs="Arial"/>
                <w:sz w:val="22"/>
                <w:szCs w:val="22"/>
              </w:rPr>
              <w:t xml:space="preserve">materially greater ability to bear an ICC than other </w:t>
            </w:r>
            <w:r w:rsidR="00263408">
              <w:rPr>
                <w:rFonts w:cs="Arial"/>
                <w:sz w:val="22"/>
                <w:szCs w:val="22"/>
              </w:rPr>
              <w:t>open access</w:t>
            </w:r>
            <w:r w:rsidRPr="002F5969">
              <w:rPr>
                <w:rFonts w:cs="Arial"/>
                <w:sz w:val="22"/>
                <w:szCs w:val="22"/>
              </w:rPr>
              <w:t xml:space="preserve"> services</w:t>
            </w:r>
            <w:r w:rsidR="00C66780">
              <w:rPr>
                <w:rFonts w:cs="Arial"/>
                <w:sz w:val="22"/>
                <w:szCs w:val="22"/>
              </w:rPr>
              <w:t xml:space="preserve">. </w:t>
            </w:r>
          </w:p>
          <w:p w14:paraId="499BE72B" w14:textId="77777777" w:rsidR="004B157C" w:rsidRDefault="004B157C" w:rsidP="004B157C">
            <w:pPr>
              <w:pStyle w:val="ListParagraph"/>
              <w:rPr>
                <w:rFonts w:cs="Arial"/>
                <w:sz w:val="22"/>
                <w:szCs w:val="22"/>
              </w:rPr>
            </w:pPr>
          </w:p>
          <w:p w14:paraId="57E8E096" w14:textId="3B39DBC8" w:rsidR="004B157C" w:rsidRDefault="00C66780" w:rsidP="00EA3AF0">
            <w:pPr>
              <w:pStyle w:val="ListParagraph"/>
              <w:numPr>
                <w:ilvl w:val="0"/>
                <w:numId w:val="18"/>
              </w:numPr>
              <w:rPr>
                <w:rFonts w:cs="Arial"/>
                <w:sz w:val="22"/>
                <w:szCs w:val="22"/>
              </w:rPr>
            </w:pPr>
            <w:r>
              <w:rPr>
                <w:rFonts w:cs="Arial"/>
                <w:sz w:val="22"/>
                <w:szCs w:val="22"/>
              </w:rPr>
              <w:lastRenderedPageBreak/>
              <w:t xml:space="preserve">Level of an ICC: </w:t>
            </w:r>
            <w:r w:rsidRPr="00C66780">
              <w:rPr>
                <w:rFonts w:cs="Arial"/>
                <w:sz w:val="22"/>
                <w:szCs w:val="22"/>
              </w:rPr>
              <w:t>These estimates were then used to model the maximum level of charge that could be levied</w:t>
            </w:r>
            <w:r>
              <w:rPr>
                <w:rFonts w:cs="Arial"/>
                <w:sz w:val="22"/>
                <w:szCs w:val="22"/>
              </w:rPr>
              <w:t xml:space="preserve"> on these services</w:t>
            </w:r>
            <w:r w:rsidRPr="00C66780">
              <w:rPr>
                <w:rFonts w:cs="Arial"/>
                <w:sz w:val="22"/>
                <w:szCs w:val="22"/>
              </w:rPr>
              <w:t>,</w:t>
            </w:r>
            <w:r>
              <w:rPr>
                <w:rFonts w:cs="Arial"/>
                <w:sz w:val="22"/>
                <w:szCs w:val="22"/>
              </w:rPr>
              <w:t xml:space="preserve"> </w:t>
            </w:r>
            <w:r w:rsidRPr="00C66780">
              <w:rPr>
                <w:rFonts w:cs="Arial"/>
                <w:sz w:val="22"/>
                <w:szCs w:val="22"/>
              </w:rPr>
              <w:t>without deterring an operator from introducing a new service tha</w:t>
            </w:r>
            <w:r w:rsidR="00051743">
              <w:rPr>
                <w:rFonts w:cs="Arial"/>
                <w:sz w:val="22"/>
                <w:szCs w:val="22"/>
              </w:rPr>
              <w:t>t would otherwise be profitable. This was used to inform our view on the appropriate level of an ICC.</w:t>
            </w:r>
          </w:p>
          <w:p w14:paraId="4AC5A019" w14:textId="343317C5" w:rsidR="00D55305" w:rsidRDefault="004B157C" w:rsidP="00690C1B">
            <w:pPr>
              <w:rPr>
                <w:rFonts w:cs="Arial"/>
                <w:sz w:val="22"/>
                <w:szCs w:val="22"/>
                <w:shd w:val="clear" w:color="auto" w:fill="FFFFFF"/>
              </w:rPr>
            </w:pPr>
            <w:r>
              <w:rPr>
                <w:rFonts w:cs="Arial"/>
                <w:sz w:val="22"/>
                <w:szCs w:val="22"/>
                <w:shd w:val="clear" w:color="auto" w:fill="FFFFFF"/>
              </w:rPr>
              <w:t xml:space="preserve">Based on this analysis, we decided to segment the </w:t>
            </w:r>
            <w:r w:rsidR="00263408">
              <w:rPr>
                <w:rFonts w:cs="Arial"/>
                <w:sz w:val="22"/>
                <w:szCs w:val="22"/>
                <w:shd w:val="clear" w:color="auto" w:fill="FFFFFF"/>
              </w:rPr>
              <w:t>open access</w:t>
            </w:r>
            <w:r>
              <w:rPr>
                <w:rFonts w:cs="Arial"/>
                <w:sz w:val="22"/>
                <w:szCs w:val="22"/>
                <w:shd w:val="clear" w:color="auto" w:fill="FFFFFF"/>
              </w:rPr>
              <w:t xml:space="preserve"> market into two segments: “interurban services” (broadly covering </w:t>
            </w:r>
            <w:r w:rsidR="00C66780">
              <w:rPr>
                <w:rFonts w:cs="Arial"/>
                <w:sz w:val="22"/>
                <w:szCs w:val="22"/>
                <w:shd w:val="clear" w:color="auto" w:fill="FFFFFF"/>
              </w:rPr>
              <w:t>intercity and commuter services</w:t>
            </w:r>
            <w:r>
              <w:rPr>
                <w:rFonts w:cs="Arial"/>
                <w:sz w:val="22"/>
                <w:szCs w:val="22"/>
                <w:shd w:val="clear" w:color="auto" w:fill="FFFFFF"/>
              </w:rPr>
              <w:t>) and other services</w:t>
            </w:r>
            <w:r w:rsidR="00C66780">
              <w:rPr>
                <w:rStyle w:val="FootnoteReference"/>
                <w:rFonts w:cs="Arial"/>
                <w:sz w:val="22"/>
                <w:szCs w:val="22"/>
                <w:shd w:val="clear" w:color="auto" w:fill="FFFFFF"/>
              </w:rPr>
              <w:footnoteReference w:id="11"/>
            </w:r>
            <w:r>
              <w:rPr>
                <w:rFonts w:cs="Arial"/>
                <w:sz w:val="22"/>
                <w:szCs w:val="22"/>
                <w:shd w:val="clear" w:color="auto" w:fill="FFFFFF"/>
              </w:rPr>
              <w:t xml:space="preserve">. </w:t>
            </w:r>
            <w:r w:rsidRPr="004B157C">
              <w:rPr>
                <w:rFonts w:cs="Arial"/>
                <w:sz w:val="22"/>
                <w:szCs w:val="22"/>
                <w:shd w:val="clear" w:color="auto" w:fill="FFFFFF"/>
              </w:rPr>
              <w:t>We</w:t>
            </w:r>
            <w:r>
              <w:rPr>
                <w:rFonts w:cs="Arial"/>
                <w:sz w:val="22"/>
                <w:szCs w:val="22"/>
                <w:shd w:val="clear" w:color="auto" w:fill="FFFFFF"/>
              </w:rPr>
              <w:t xml:space="preserve"> </w:t>
            </w:r>
            <w:r w:rsidRPr="004B157C">
              <w:rPr>
                <w:rFonts w:cs="Arial"/>
                <w:sz w:val="22"/>
                <w:szCs w:val="22"/>
                <w:shd w:val="clear" w:color="auto" w:fill="FFFFFF"/>
              </w:rPr>
              <w:t xml:space="preserve">decided to levy an ICC </w:t>
            </w:r>
            <w:r w:rsidR="00314F73">
              <w:rPr>
                <w:rFonts w:cs="Arial"/>
                <w:sz w:val="22"/>
                <w:szCs w:val="22"/>
                <w:shd w:val="clear" w:color="auto" w:fill="FFFFFF"/>
              </w:rPr>
              <w:t xml:space="preserve">only </w:t>
            </w:r>
            <w:r w:rsidRPr="004B157C">
              <w:rPr>
                <w:rFonts w:cs="Arial"/>
                <w:sz w:val="22"/>
                <w:szCs w:val="22"/>
                <w:shd w:val="clear" w:color="auto" w:fill="FFFFFF"/>
              </w:rPr>
              <w:t xml:space="preserve">on services operating in the interurban market segment, </w:t>
            </w:r>
            <w:r>
              <w:rPr>
                <w:rFonts w:cs="Arial"/>
                <w:sz w:val="22"/>
                <w:szCs w:val="22"/>
                <w:shd w:val="clear" w:color="auto" w:fill="FFFFFF"/>
              </w:rPr>
              <w:t xml:space="preserve">reflecting the analysis that </w:t>
            </w:r>
            <w:r w:rsidR="00314F73">
              <w:rPr>
                <w:rFonts w:cs="Arial"/>
                <w:sz w:val="22"/>
                <w:szCs w:val="22"/>
                <w:shd w:val="clear" w:color="auto" w:fill="FFFFFF"/>
              </w:rPr>
              <w:t xml:space="preserve">suggested </w:t>
            </w:r>
            <w:r w:rsidRPr="004B157C">
              <w:rPr>
                <w:rFonts w:cs="Arial"/>
                <w:sz w:val="22"/>
                <w:szCs w:val="22"/>
                <w:shd w:val="clear" w:color="auto" w:fill="FFFFFF"/>
              </w:rPr>
              <w:t>other services would not be able to bear such a charge. We levied the ICC on new interurban services</w:t>
            </w:r>
            <w:r>
              <w:rPr>
                <w:rFonts w:cs="Arial"/>
                <w:sz w:val="22"/>
                <w:szCs w:val="22"/>
                <w:shd w:val="clear" w:color="auto" w:fill="FFFFFF"/>
              </w:rPr>
              <w:t xml:space="preserve"> </w:t>
            </w:r>
            <w:r w:rsidRPr="004B157C">
              <w:rPr>
                <w:rFonts w:cs="Arial"/>
                <w:sz w:val="22"/>
                <w:szCs w:val="22"/>
                <w:shd w:val="clear" w:color="auto" w:fill="FFFFFF"/>
              </w:rPr>
              <w:t xml:space="preserve">only, </w:t>
            </w:r>
            <w:r w:rsidR="00314F73">
              <w:rPr>
                <w:rFonts w:cs="Arial"/>
                <w:sz w:val="22"/>
                <w:szCs w:val="22"/>
                <w:shd w:val="clear" w:color="auto" w:fill="FFFFFF"/>
              </w:rPr>
              <w:t xml:space="preserve">set at </w:t>
            </w:r>
            <w:r w:rsidR="00C66780">
              <w:rPr>
                <w:rFonts w:cs="Arial"/>
                <w:sz w:val="22"/>
                <w:szCs w:val="22"/>
                <w:shd w:val="clear" w:color="auto" w:fill="FFFFFF"/>
              </w:rPr>
              <w:t>a conservat</w:t>
            </w:r>
            <w:r w:rsidR="000D4031">
              <w:rPr>
                <w:rFonts w:cs="Arial"/>
                <w:sz w:val="22"/>
                <w:szCs w:val="22"/>
                <w:shd w:val="clear" w:color="auto" w:fill="FFFFFF"/>
              </w:rPr>
              <w:t xml:space="preserve">ive level of £4 per train mile </w:t>
            </w:r>
            <w:r w:rsidR="00C66780">
              <w:rPr>
                <w:rFonts w:cs="Arial"/>
                <w:sz w:val="22"/>
                <w:szCs w:val="22"/>
                <w:shd w:val="clear" w:color="auto" w:fill="FFFFFF"/>
              </w:rPr>
              <w:t>(g</w:t>
            </w:r>
            <w:r w:rsidR="00C66780" w:rsidRPr="00C66780">
              <w:rPr>
                <w:rFonts w:cs="Arial"/>
                <w:sz w:val="22"/>
                <w:szCs w:val="22"/>
                <w:shd w:val="clear" w:color="auto" w:fill="FFFFFF"/>
              </w:rPr>
              <w:t xml:space="preserve">iven that </w:t>
            </w:r>
            <w:r w:rsidR="00C66780">
              <w:rPr>
                <w:rFonts w:cs="Arial"/>
                <w:sz w:val="22"/>
                <w:szCs w:val="22"/>
                <w:shd w:val="clear" w:color="auto" w:fill="FFFFFF"/>
              </w:rPr>
              <w:t>this</w:t>
            </w:r>
            <w:r w:rsidR="00C66780" w:rsidRPr="00C66780">
              <w:rPr>
                <w:rFonts w:cs="Arial"/>
                <w:sz w:val="22"/>
                <w:szCs w:val="22"/>
                <w:shd w:val="clear" w:color="auto" w:fill="FFFFFF"/>
              </w:rPr>
              <w:t xml:space="preserve"> was the first time we had </w:t>
            </w:r>
            <w:r w:rsidR="00314F73">
              <w:rPr>
                <w:rFonts w:cs="Arial"/>
                <w:sz w:val="22"/>
                <w:szCs w:val="22"/>
                <w:shd w:val="clear" w:color="auto" w:fill="FFFFFF"/>
              </w:rPr>
              <w:t>levied such a charge</w:t>
            </w:r>
            <w:r w:rsidR="00C66780">
              <w:rPr>
                <w:rFonts w:cs="Arial"/>
                <w:sz w:val="22"/>
                <w:szCs w:val="22"/>
                <w:shd w:val="clear" w:color="auto" w:fill="FFFFFF"/>
              </w:rPr>
              <w:t xml:space="preserve">). </w:t>
            </w:r>
            <w:r w:rsidR="00C66780" w:rsidRPr="00C66780">
              <w:rPr>
                <w:rFonts w:cs="Arial"/>
                <w:sz w:val="22"/>
                <w:szCs w:val="22"/>
                <w:shd w:val="clear" w:color="auto" w:fill="FFFFFF"/>
              </w:rPr>
              <w:t>We also decided to phase</w:t>
            </w:r>
            <w:r w:rsidR="00816CCC">
              <w:rPr>
                <w:rFonts w:cs="Arial"/>
                <w:sz w:val="22"/>
                <w:szCs w:val="22"/>
                <w:shd w:val="clear" w:color="auto" w:fill="FFFFFF"/>
              </w:rPr>
              <w:t xml:space="preserve"> </w:t>
            </w:r>
            <w:r w:rsidR="00C66780" w:rsidRPr="00C66780">
              <w:rPr>
                <w:rFonts w:cs="Arial"/>
                <w:sz w:val="22"/>
                <w:szCs w:val="22"/>
                <w:shd w:val="clear" w:color="auto" w:fill="FFFFFF"/>
              </w:rPr>
              <w:t>in this ICC over the first five years of the operation of relevant</w:t>
            </w:r>
            <w:r w:rsidR="00E67F6C" w:rsidRPr="00C66780">
              <w:rPr>
                <w:rFonts w:cs="Arial"/>
                <w:sz w:val="22"/>
                <w:szCs w:val="22"/>
                <w:shd w:val="clear" w:color="auto" w:fill="FFFFFF"/>
              </w:rPr>
              <w:t xml:space="preserve"> services</w:t>
            </w:r>
            <w:r w:rsidR="00E67F6C">
              <w:rPr>
                <w:rFonts w:cs="Arial"/>
                <w:sz w:val="22"/>
                <w:szCs w:val="22"/>
                <w:shd w:val="clear" w:color="auto" w:fill="FFFFFF"/>
              </w:rPr>
              <w:t>.</w:t>
            </w:r>
            <w:r w:rsidR="00C66780">
              <w:rPr>
                <w:rFonts w:cs="Arial"/>
                <w:sz w:val="22"/>
                <w:szCs w:val="22"/>
                <w:shd w:val="clear" w:color="auto" w:fill="FFFFFF"/>
              </w:rPr>
              <w:t xml:space="preserve">  </w:t>
            </w:r>
          </w:p>
          <w:p w14:paraId="78FA5F6F" w14:textId="02C6E1D8" w:rsidR="00D55305" w:rsidRDefault="00D55305" w:rsidP="00C66780">
            <w:pPr>
              <w:rPr>
                <w:rFonts w:cs="Arial"/>
                <w:sz w:val="22"/>
                <w:szCs w:val="22"/>
                <w:shd w:val="clear" w:color="auto" w:fill="FFFFFF"/>
              </w:rPr>
            </w:pPr>
            <w:r>
              <w:rPr>
                <w:rFonts w:cs="Arial"/>
                <w:sz w:val="22"/>
                <w:szCs w:val="22"/>
                <w:shd w:val="clear" w:color="auto" w:fill="FFFFFF"/>
              </w:rPr>
              <w:t xml:space="preserve">Further details on the implementation of the </w:t>
            </w:r>
            <w:r w:rsidR="00263408">
              <w:rPr>
                <w:rFonts w:cs="Arial"/>
                <w:sz w:val="22"/>
                <w:szCs w:val="22"/>
                <w:shd w:val="clear" w:color="auto" w:fill="FFFFFF"/>
              </w:rPr>
              <w:t>open access</w:t>
            </w:r>
            <w:r>
              <w:rPr>
                <w:rFonts w:cs="Arial"/>
                <w:sz w:val="22"/>
                <w:szCs w:val="22"/>
                <w:shd w:val="clear" w:color="auto" w:fill="FFFFFF"/>
              </w:rPr>
              <w:t xml:space="preserve"> ICC (including the definition of the interurban market segment) </w:t>
            </w:r>
            <w:r w:rsidR="00314F73">
              <w:rPr>
                <w:rFonts w:cs="Arial"/>
                <w:sz w:val="22"/>
                <w:szCs w:val="22"/>
                <w:shd w:val="clear" w:color="auto" w:fill="FFFFFF"/>
              </w:rPr>
              <w:t>are</w:t>
            </w:r>
            <w:r>
              <w:rPr>
                <w:rFonts w:cs="Arial"/>
                <w:sz w:val="22"/>
                <w:szCs w:val="22"/>
                <w:shd w:val="clear" w:color="auto" w:fill="FFFFFF"/>
              </w:rPr>
              <w:t xml:space="preserve"> available </w:t>
            </w:r>
            <w:hyperlink r:id="rId11" w:history="1">
              <w:r w:rsidR="00C66780" w:rsidRPr="009056B4">
                <w:rPr>
                  <w:rStyle w:val="Hyperlink"/>
                  <w:rFonts w:cs="Arial"/>
                  <w:sz w:val="22"/>
                  <w:szCs w:val="22"/>
                  <w:shd w:val="clear" w:color="auto" w:fill="FFFFFF"/>
                </w:rPr>
                <w:t>h</w:t>
              </w:r>
              <w:r w:rsidR="00C66780">
                <w:rPr>
                  <w:rStyle w:val="Hyperlink"/>
                  <w:rFonts w:cs="Arial"/>
                  <w:sz w:val="22"/>
                  <w:szCs w:val="22"/>
                  <w:shd w:val="clear" w:color="auto" w:fill="FFFFFF"/>
                </w:rPr>
                <w:t>ere</w:t>
              </w:r>
            </w:hyperlink>
            <w:r w:rsidR="00C66780">
              <w:rPr>
                <w:rFonts w:cs="Arial"/>
                <w:sz w:val="22"/>
                <w:szCs w:val="22"/>
                <w:shd w:val="clear" w:color="auto" w:fill="FFFFFF"/>
              </w:rPr>
              <w:t>.</w:t>
            </w:r>
          </w:p>
          <w:p w14:paraId="32E88A63" w14:textId="77777777" w:rsidR="00F01F43" w:rsidRDefault="00F01F43" w:rsidP="00C66780">
            <w:pPr>
              <w:rPr>
                <w:rFonts w:cs="Arial"/>
                <w:sz w:val="22"/>
                <w:szCs w:val="22"/>
                <w:u w:val="single"/>
                <w:shd w:val="clear" w:color="auto" w:fill="FFFFFF"/>
              </w:rPr>
            </w:pPr>
            <w:r>
              <w:rPr>
                <w:rFonts w:cs="Arial"/>
                <w:sz w:val="22"/>
                <w:szCs w:val="22"/>
                <w:u w:val="single"/>
                <w:shd w:val="clear" w:color="auto" w:fill="FFFFFF"/>
              </w:rPr>
              <w:t xml:space="preserve">Summary of </w:t>
            </w:r>
            <w:proofErr w:type="spellStart"/>
            <w:r>
              <w:rPr>
                <w:rFonts w:cs="Arial"/>
                <w:sz w:val="22"/>
                <w:szCs w:val="22"/>
                <w:u w:val="single"/>
                <w:shd w:val="clear" w:color="auto" w:fill="FFFFFF"/>
              </w:rPr>
              <w:t>PR18</w:t>
            </w:r>
            <w:proofErr w:type="spellEnd"/>
            <w:r>
              <w:rPr>
                <w:rFonts w:cs="Arial"/>
                <w:sz w:val="22"/>
                <w:szCs w:val="22"/>
                <w:u w:val="single"/>
                <w:shd w:val="clear" w:color="auto" w:fill="FFFFFF"/>
              </w:rPr>
              <w:t xml:space="preserve"> decisions on ICCs</w:t>
            </w:r>
          </w:p>
          <w:p w14:paraId="0E2CD4EF" w14:textId="77777777" w:rsidR="00F01F43" w:rsidRDefault="00F01F43" w:rsidP="000D4031">
            <w:pPr>
              <w:rPr>
                <w:rFonts w:cs="Arial"/>
                <w:sz w:val="22"/>
                <w:szCs w:val="22"/>
                <w:shd w:val="clear" w:color="auto" w:fill="FFFFFF"/>
              </w:rPr>
            </w:pPr>
            <w:r w:rsidRPr="00F01F43">
              <w:rPr>
                <w:rFonts w:cs="Arial"/>
                <w:sz w:val="22"/>
                <w:szCs w:val="22"/>
                <w:shd w:val="clear" w:color="auto" w:fill="FFFFFF"/>
              </w:rPr>
              <w:t>A summary of</w:t>
            </w:r>
            <w:r>
              <w:rPr>
                <w:rFonts w:cs="Arial"/>
                <w:sz w:val="22"/>
                <w:szCs w:val="22"/>
                <w:shd w:val="clear" w:color="auto" w:fill="FFFFFF"/>
              </w:rPr>
              <w:t xml:space="preserve"> our </w:t>
            </w:r>
            <w:r w:rsidR="00C54AFA">
              <w:rPr>
                <w:rFonts w:cs="Arial"/>
                <w:sz w:val="22"/>
                <w:szCs w:val="22"/>
                <w:shd w:val="clear" w:color="auto" w:fill="FFFFFF"/>
              </w:rPr>
              <w:t xml:space="preserve">full </w:t>
            </w:r>
            <w:r>
              <w:rPr>
                <w:rFonts w:cs="Arial"/>
                <w:sz w:val="22"/>
                <w:szCs w:val="22"/>
                <w:shd w:val="clear" w:color="auto" w:fill="FFFFFF"/>
              </w:rPr>
              <w:t xml:space="preserve">decisions in respect of setting ICCs for both freight and </w:t>
            </w:r>
            <w:r w:rsidR="00263408">
              <w:rPr>
                <w:rFonts w:cs="Arial"/>
                <w:sz w:val="22"/>
                <w:szCs w:val="22"/>
                <w:shd w:val="clear" w:color="auto" w:fill="FFFFFF"/>
              </w:rPr>
              <w:t>open access</w:t>
            </w:r>
            <w:r>
              <w:rPr>
                <w:rFonts w:cs="Arial"/>
                <w:sz w:val="22"/>
                <w:szCs w:val="22"/>
                <w:shd w:val="clear" w:color="auto" w:fill="FFFFFF"/>
              </w:rPr>
              <w:t xml:space="preserve"> operators, based on the </w:t>
            </w:r>
            <w:proofErr w:type="spellStart"/>
            <w:r>
              <w:rPr>
                <w:rFonts w:cs="Arial"/>
                <w:sz w:val="22"/>
                <w:szCs w:val="22"/>
                <w:shd w:val="clear" w:color="auto" w:fill="FFFFFF"/>
              </w:rPr>
              <w:t>MCB</w:t>
            </w:r>
            <w:proofErr w:type="spellEnd"/>
            <w:r>
              <w:rPr>
                <w:rFonts w:cs="Arial"/>
                <w:sz w:val="22"/>
                <w:szCs w:val="22"/>
                <w:shd w:val="clear" w:color="auto" w:fill="FFFFFF"/>
              </w:rPr>
              <w:t xml:space="preserve"> analysis undertaken, </w:t>
            </w:r>
            <w:r w:rsidR="00C54AFA">
              <w:rPr>
                <w:rFonts w:cs="Arial"/>
                <w:sz w:val="22"/>
                <w:szCs w:val="22"/>
                <w:shd w:val="clear" w:color="auto" w:fill="FFFFFF"/>
              </w:rPr>
              <w:t xml:space="preserve">was set out in our </w:t>
            </w:r>
            <w:r w:rsidR="00FB0657">
              <w:rPr>
                <w:rFonts w:cs="Arial"/>
                <w:sz w:val="22"/>
                <w:szCs w:val="22"/>
                <w:shd w:val="clear" w:color="auto" w:fill="FFFFFF"/>
              </w:rPr>
              <w:t xml:space="preserve">October 2018 </w:t>
            </w:r>
            <w:proofErr w:type="spellStart"/>
            <w:r w:rsidR="00C54AFA">
              <w:rPr>
                <w:rFonts w:cs="Arial"/>
                <w:sz w:val="22"/>
                <w:szCs w:val="22"/>
                <w:shd w:val="clear" w:color="auto" w:fill="FFFFFF"/>
              </w:rPr>
              <w:t>PR18</w:t>
            </w:r>
            <w:proofErr w:type="spellEnd"/>
            <w:r w:rsidR="00C54AFA">
              <w:rPr>
                <w:rFonts w:cs="Arial"/>
                <w:sz w:val="22"/>
                <w:szCs w:val="22"/>
                <w:shd w:val="clear" w:color="auto" w:fill="FFFFFF"/>
              </w:rPr>
              <w:t xml:space="preserve"> Final Determination. This </w:t>
            </w:r>
            <w:r>
              <w:rPr>
                <w:rFonts w:cs="Arial"/>
                <w:sz w:val="22"/>
                <w:szCs w:val="22"/>
                <w:shd w:val="clear" w:color="auto" w:fill="FFFFFF"/>
              </w:rPr>
              <w:t xml:space="preserve">is available </w:t>
            </w:r>
            <w:hyperlink r:id="rId12" w:history="1">
              <w:r w:rsidRPr="009056B4">
                <w:rPr>
                  <w:rStyle w:val="Hyperlink"/>
                  <w:rFonts w:cs="Arial"/>
                  <w:sz w:val="22"/>
                  <w:szCs w:val="22"/>
                  <w:shd w:val="clear" w:color="auto" w:fill="FFFFFF"/>
                </w:rPr>
                <w:t>h</w:t>
              </w:r>
              <w:r>
                <w:rPr>
                  <w:rStyle w:val="Hyperlink"/>
                  <w:rFonts w:cs="Arial"/>
                  <w:sz w:val="22"/>
                  <w:szCs w:val="22"/>
                  <w:shd w:val="clear" w:color="auto" w:fill="FFFFFF"/>
                </w:rPr>
                <w:t>ere</w:t>
              </w:r>
            </w:hyperlink>
            <w:r>
              <w:rPr>
                <w:rFonts w:cs="Arial"/>
                <w:sz w:val="22"/>
                <w:szCs w:val="22"/>
                <w:shd w:val="clear" w:color="auto" w:fill="FFFFFF"/>
              </w:rPr>
              <w:t xml:space="preserve">. </w:t>
            </w:r>
          </w:p>
          <w:p w14:paraId="27293A24" w14:textId="586B8F2F" w:rsidR="00157922" w:rsidRDefault="00157922" w:rsidP="000D4031">
            <w:pPr>
              <w:rPr>
                <w:rFonts w:cs="Arial"/>
                <w:b/>
                <w:bCs/>
                <w:sz w:val="22"/>
                <w:szCs w:val="22"/>
                <w:shd w:val="clear" w:color="auto" w:fill="FFFFFF"/>
              </w:rPr>
            </w:pPr>
            <w:r>
              <w:rPr>
                <w:rFonts w:cs="Arial"/>
                <w:b/>
                <w:bCs/>
                <w:sz w:val="22"/>
                <w:szCs w:val="22"/>
                <w:shd w:val="clear" w:color="auto" w:fill="FFFFFF"/>
              </w:rPr>
              <w:t xml:space="preserve">Interaction with </w:t>
            </w:r>
            <w:r w:rsidR="00AD5960">
              <w:rPr>
                <w:rFonts w:cs="Arial"/>
                <w:b/>
                <w:bCs/>
                <w:sz w:val="22"/>
                <w:szCs w:val="22"/>
                <w:shd w:val="clear" w:color="auto" w:fill="FFFFFF"/>
              </w:rPr>
              <w:t xml:space="preserve">UK government’s </w:t>
            </w:r>
            <w:r>
              <w:rPr>
                <w:rFonts w:cs="Arial"/>
                <w:b/>
                <w:bCs/>
                <w:sz w:val="22"/>
                <w:szCs w:val="22"/>
                <w:shd w:val="clear" w:color="auto" w:fill="FFFFFF"/>
              </w:rPr>
              <w:t>rail reform programme</w:t>
            </w:r>
          </w:p>
          <w:p w14:paraId="4EB251A1" w14:textId="773227C0" w:rsidR="00C82D59" w:rsidRDefault="00157922" w:rsidP="000D4031">
            <w:pPr>
              <w:rPr>
                <w:rFonts w:cs="Arial"/>
                <w:sz w:val="22"/>
                <w:szCs w:val="22"/>
                <w:shd w:val="clear" w:color="auto" w:fill="FFFFFF"/>
              </w:rPr>
            </w:pPr>
            <w:r>
              <w:rPr>
                <w:rFonts w:cs="Arial"/>
                <w:sz w:val="22"/>
                <w:szCs w:val="22"/>
                <w:shd w:val="clear" w:color="auto" w:fill="FFFFFF"/>
              </w:rPr>
              <w:t>The</w:t>
            </w:r>
            <w:r w:rsidR="00AD7DBB">
              <w:rPr>
                <w:rFonts w:cs="Arial"/>
                <w:sz w:val="22"/>
                <w:szCs w:val="22"/>
                <w:shd w:val="clear" w:color="auto" w:fill="FFFFFF"/>
              </w:rPr>
              <w:t xml:space="preserve"> UK </w:t>
            </w:r>
            <w:r w:rsidR="00C82D59">
              <w:rPr>
                <w:rFonts w:cs="Arial"/>
                <w:sz w:val="22"/>
                <w:szCs w:val="22"/>
                <w:shd w:val="clear" w:color="auto" w:fill="FFFFFF"/>
              </w:rPr>
              <w:t>government has recently published a white paper (the Williams-</w:t>
            </w:r>
            <w:proofErr w:type="spellStart"/>
            <w:r w:rsidR="00C82D59">
              <w:rPr>
                <w:rFonts w:cs="Arial"/>
                <w:sz w:val="22"/>
                <w:szCs w:val="22"/>
                <w:shd w:val="clear" w:color="auto" w:fill="FFFFFF"/>
              </w:rPr>
              <w:t>Shapps</w:t>
            </w:r>
            <w:proofErr w:type="spellEnd"/>
            <w:r w:rsidR="00C82D59">
              <w:rPr>
                <w:rFonts w:cs="Arial"/>
                <w:sz w:val="22"/>
                <w:szCs w:val="22"/>
                <w:shd w:val="clear" w:color="auto" w:fill="FFFFFF"/>
              </w:rPr>
              <w:t xml:space="preserve"> Plan) which sets out a vision for the future of the railway. This envisages some major changes to the structure and operation of the rail industry, including the development of a new rules-based access system that will apply to a new </w:t>
            </w:r>
            <w:r w:rsidR="00C82D59" w:rsidRPr="00C82D59">
              <w:rPr>
                <w:rFonts w:cs="Arial"/>
                <w:sz w:val="22"/>
                <w:szCs w:val="22"/>
                <w:shd w:val="clear" w:color="auto" w:fill="FFFFFF"/>
              </w:rPr>
              <w:t>body that</w:t>
            </w:r>
            <w:r w:rsidR="00C82D59">
              <w:rPr>
                <w:rFonts w:cs="Arial"/>
                <w:sz w:val="22"/>
                <w:szCs w:val="22"/>
                <w:shd w:val="clear" w:color="auto" w:fill="FFFFFF"/>
              </w:rPr>
              <w:t xml:space="preserve"> </w:t>
            </w:r>
            <w:r w:rsidR="00C82D59" w:rsidRPr="00C82D59">
              <w:rPr>
                <w:rFonts w:cs="Arial"/>
                <w:sz w:val="22"/>
                <w:szCs w:val="22"/>
                <w:shd w:val="clear" w:color="auto" w:fill="FFFFFF"/>
              </w:rPr>
              <w:t>will run the railway infrastructure: Great British Railways</w:t>
            </w:r>
            <w:r w:rsidR="00C82D59">
              <w:rPr>
                <w:rFonts w:cs="Arial"/>
                <w:sz w:val="22"/>
                <w:szCs w:val="22"/>
                <w:shd w:val="clear" w:color="auto" w:fill="FFFFFF"/>
              </w:rPr>
              <w:t>.</w:t>
            </w:r>
          </w:p>
          <w:p w14:paraId="17727550" w14:textId="35E500B0" w:rsidR="00AD7DBB" w:rsidRDefault="00C82D59" w:rsidP="00037613">
            <w:pPr>
              <w:rPr>
                <w:rFonts w:cs="Arial"/>
                <w:sz w:val="22"/>
                <w:szCs w:val="22"/>
                <w:shd w:val="clear" w:color="auto" w:fill="FFFFFF"/>
              </w:rPr>
            </w:pPr>
            <w:r>
              <w:rPr>
                <w:rFonts w:cs="Arial"/>
                <w:sz w:val="22"/>
                <w:szCs w:val="22"/>
                <w:shd w:val="clear" w:color="auto" w:fill="FFFFFF"/>
              </w:rPr>
              <w:t xml:space="preserve">These changes are likely to carry implications for the future </w:t>
            </w:r>
            <w:r w:rsidRPr="00C82D59">
              <w:rPr>
                <w:rFonts w:cs="Arial"/>
                <w:sz w:val="22"/>
                <w:szCs w:val="22"/>
                <w:shd w:val="clear" w:color="auto" w:fill="FFFFFF"/>
              </w:rPr>
              <w:t>approach to charging that may be applied by Great British Railways</w:t>
            </w:r>
            <w:r w:rsidR="00037613">
              <w:rPr>
                <w:rFonts w:cs="Arial"/>
                <w:sz w:val="22"/>
                <w:szCs w:val="22"/>
                <w:shd w:val="clear" w:color="auto" w:fill="FFFFFF"/>
              </w:rPr>
              <w:t xml:space="preserve"> – including whether and how ICCs for freight and open access operators are set. H</w:t>
            </w:r>
            <w:r>
              <w:rPr>
                <w:rFonts w:cs="Arial"/>
                <w:sz w:val="22"/>
                <w:szCs w:val="22"/>
                <w:shd w:val="clear" w:color="auto" w:fill="FFFFFF"/>
              </w:rPr>
              <w:t>owever, the timing of th</w:t>
            </w:r>
            <w:r w:rsidR="00037613">
              <w:rPr>
                <w:rFonts w:cs="Arial"/>
                <w:sz w:val="22"/>
                <w:szCs w:val="22"/>
                <w:shd w:val="clear" w:color="auto" w:fill="FFFFFF"/>
              </w:rPr>
              <w:t xml:space="preserve">ese changes remains </w:t>
            </w:r>
            <w:r>
              <w:rPr>
                <w:rFonts w:cs="Arial"/>
                <w:sz w:val="22"/>
                <w:szCs w:val="22"/>
                <w:shd w:val="clear" w:color="auto" w:fill="FFFFFF"/>
              </w:rPr>
              <w:t>uncertain</w:t>
            </w:r>
            <w:r w:rsidR="00037613">
              <w:rPr>
                <w:rFonts w:cs="Arial"/>
                <w:sz w:val="22"/>
                <w:szCs w:val="22"/>
                <w:shd w:val="clear" w:color="auto" w:fill="FFFFFF"/>
              </w:rPr>
              <w:t xml:space="preserve"> and </w:t>
            </w:r>
            <w:r w:rsidR="00037613" w:rsidRPr="00037613">
              <w:rPr>
                <w:rFonts w:cs="Arial"/>
                <w:sz w:val="22"/>
                <w:szCs w:val="22"/>
                <w:shd w:val="clear" w:color="auto" w:fill="FFFFFF"/>
              </w:rPr>
              <w:t>the current</w:t>
            </w:r>
            <w:r w:rsidR="00037613">
              <w:rPr>
                <w:rFonts w:cs="Arial"/>
                <w:sz w:val="22"/>
                <w:szCs w:val="22"/>
                <w:shd w:val="clear" w:color="auto" w:fill="FFFFFF"/>
              </w:rPr>
              <w:t xml:space="preserve"> </w:t>
            </w:r>
            <w:r w:rsidR="00037613" w:rsidRPr="00037613">
              <w:rPr>
                <w:rFonts w:cs="Arial"/>
                <w:sz w:val="22"/>
                <w:szCs w:val="22"/>
                <w:shd w:val="clear" w:color="auto" w:fill="FFFFFF"/>
              </w:rPr>
              <w:t>framework</w:t>
            </w:r>
            <w:r w:rsidR="00037613">
              <w:rPr>
                <w:rFonts w:cs="Arial"/>
                <w:sz w:val="22"/>
                <w:szCs w:val="22"/>
                <w:shd w:val="clear" w:color="auto" w:fill="FFFFFF"/>
              </w:rPr>
              <w:t xml:space="preserve"> – </w:t>
            </w:r>
            <w:r w:rsidR="00AD7DBB">
              <w:rPr>
                <w:rFonts w:cs="Arial"/>
                <w:sz w:val="22"/>
                <w:szCs w:val="22"/>
                <w:shd w:val="clear" w:color="auto" w:fill="FFFFFF"/>
              </w:rPr>
              <w:t xml:space="preserve">which is </w:t>
            </w:r>
            <w:r w:rsidR="00037613">
              <w:rPr>
                <w:rFonts w:cs="Arial"/>
                <w:sz w:val="22"/>
                <w:szCs w:val="22"/>
                <w:shd w:val="clear" w:color="auto" w:fill="FFFFFF"/>
              </w:rPr>
              <w:t xml:space="preserve">determined and overseen by ORR – </w:t>
            </w:r>
            <w:r w:rsidR="00037613" w:rsidRPr="00037613">
              <w:rPr>
                <w:rFonts w:cs="Arial"/>
                <w:sz w:val="22"/>
                <w:szCs w:val="22"/>
                <w:shd w:val="clear" w:color="auto" w:fill="FFFFFF"/>
              </w:rPr>
              <w:t xml:space="preserve">may need to apply on an interim basis for part or all of </w:t>
            </w:r>
            <w:proofErr w:type="spellStart"/>
            <w:r w:rsidR="00037613" w:rsidRPr="00037613">
              <w:rPr>
                <w:rFonts w:cs="Arial"/>
                <w:sz w:val="22"/>
                <w:szCs w:val="22"/>
                <w:shd w:val="clear" w:color="auto" w:fill="FFFFFF"/>
              </w:rPr>
              <w:t>CP7</w:t>
            </w:r>
            <w:proofErr w:type="spellEnd"/>
            <w:r>
              <w:rPr>
                <w:rFonts w:cs="Arial"/>
                <w:sz w:val="22"/>
                <w:szCs w:val="22"/>
                <w:shd w:val="clear" w:color="auto" w:fill="FFFFFF"/>
              </w:rPr>
              <w:t xml:space="preserve">. </w:t>
            </w:r>
          </w:p>
          <w:p w14:paraId="77EDED18" w14:textId="7AB95A15" w:rsidR="00AD7DBB" w:rsidRDefault="00037613" w:rsidP="00AD7DBB">
            <w:pPr>
              <w:rPr>
                <w:rFonts w:cs="Arial"/>
                <w:sz w:val="22"/>
                <w:szCs w:val="22"/>
                <w:shd w:val="clear" w:color="auto" w:fill="FFFFFF"/>
              </w:rPr>
            </w:pPr>
            <w:r>
              <w:rPr>
                <w:rFonts w:cs="Arial"/>
                <w:sz w:val="22"/>
                <w:szCs w:val="22"/>
                <w:shd w:val="clear" w:color="auto" w:fill="FFFFFF"/>
              </w:rPr>
              <w:t xml:space="preserve">Furthermore, over the longer-term, </w:t>
            </w:r>
            <w:r w:rsidR="00C82D59" w:rsidRPr="00C82D59">
              <w:rPr>
                <w:rFonts w:cs="Arial"/>
                <w:sz w:val="22"/>
                <w:szCs w:val="22"/>
                <w:shd w:val="clear" w:color="auto" w:fill="FFFFFF"/>
              </w:rPr>
              <w:t>there will remain a clear need for Great British Railways to recover a</w:t>
            </w:r>
            <w:r w:rsidR="00C82D59">
              <w:rPr>
                <w:rFonts w:cs="Arial"/>
                <w:sz w:val="22"/>
                <w:szCs w:val="22"/>
                <w:shd w:val="clear" w:color="auto" w:fill="FFFFFF"/>
              </w:rPr>
              <w:t xml:space="preserve">n appropriate level of </w:t>
            </w:r>
            <w:r w:rsidR="00C82D59" w:rsidRPr="00C82D59">
              <w:rPr>
                <w:rFonts w:cs="Arial"/>
                <w:sz w:val="22"/>
                <w:szCs w:val="22"/>
                <w:shd w:val="clear" w:color="auto" w:fill="FFFFFF"/>
              </w:rPr>
              <w:t>costs from th</w:t>
            </w:r>
            <w:r w:rsidR="00C82D59">
              <w:rPr>
                <w:rFonts w:cs="Arial"/>
                <w:sz w:val="22"/>
                <w:szCs w:val="22"/>
                <w:shd w:val="clear" w:color="auto" w:fill="FFFFFF"/>
              </w:rPr>
              <w:t xml:space="preserve">ird party operators (including freight and open access). </w:t>
            </w:r>
            <w:r>
              <w:rPr>
                <w:rFonts w:cs="Arial"/>
                <w:sz w:val="22"/>
                <w:szCs w:val="22"/>
                <w:shd w:val="clear" w:color="auto" w:fill="FFFFFF"/>
              </w:rPr>
              <w:t>T</w:t>
            </w:r>
            <w:r w:rsidR="00C82D59">
              <w:rPr>
                <w:rFonts w:cs="Arial"/>
                <w:sz w:val="22"/>
                <w:szCs w:val="22"/>
                <w:shd w:val="clear" w:color="auto" w:fill="FFFFFF"/>
              </w:rPr>
              <w:t>his work</w:t>
            </w:r>
            <w:r w:rsidR="00AD7DBB">
              <w:rPr>
                <w:rFonts w:cs="Arial"/>
                <w:sz w:val="22"/>
                <w:szCs w:val="22"/>
                <w:shd w:val="clear" w:color="auto" w:fill="FFFFFF"/>
              </w:rPr>
              <w:t xml:space="preserve"> </w:t>
            </w:r>
            <w:r>
              <w:rPr>
                <w:rFonts w:cs="Arial"/>
                <w:sz w:val="22"/>
                <w:szCs w:val="22"/>
                <w:shd w:val="clear" w:color="auto" w:fill="FFFFFF"/>
              </w:rPr>
              <w:t>has the potential to inform th</w:t>
            </w:r>
            <w:r w:rsidR="00AD7DBB">
              <w:rPr>
                <w:rFonts w:cs="Arial"/>
                <w:sz w:val="22"/>
                <w:szCs w:val="22"/>
                <w:shd w:val="clear" w:color="auto" w:fill="FFFFFF"/>
              </w:rPr>
              <w:t>e approach taken there, b</w:t>
            </w:r>
            <w:r>
              <w:rPr>
                <w:rFonts w:cs="Arial"/>
                <w:sz w:val="22"/>
                <w:szCs w:val="22"/>
                <w:shd w:val="clear" w:color="auto" w:fill="FFFFFF"/>
              </w:rPr>
              <w:t xml:space="preserve">y providing up-to-date </w:t>
            </w:r>
            <w:r w:rsidR="00AD7DBB">
              <w:rPr>
                <w:rFonts w:cs="Arial"/>
                <w:sz w:val="22"/>
                <w:szCs w:val="22"/>
                <w:shd w:val="clear" w:color="auto" w:fill="FFFFFF"/>
              </w:rPr>
              <w:t xml:space="preserve">evidence </w:t>
            </w:r>
            <w:r>
              <w:rPr>
                <w:rFonts w:cs="Arial"/>
                <w:sz w:val="22"/>
                <w:szCs w:val="22"/>
                <w:shd w:val="clear" w:color="auto" w:fill="FFFFFF"/>
              </w:rPr>
              <w:t xml:space="preserve">on the latest trends and </w:t>
            </w:r>
            <w:r w:rsidR="00AD7DBB">
              <w:rPr>
                <w:rFonts w:cs="Arial"/>
                <w:sz w:val="22"/>
                <w:szCs w:val="22"/>
                <w:shd w:val="clear" w:color="auto" w:fill="FFFFFF"/>
              </w:rPr>
              <w:t xml:space="preserve">market </w:t>
            </w:r>
            <w:r>
              <w:rPr>
                <w:rFonts w:cs="Arial"/>
                <w:sz w:val="22"/>
                <w:szCs w:val="22"/>
                <w:shd w:val="clear" w:color="auto" w:fill="FFFFFF"/>
              </w:rPr>
              <w:t xml:space="preserve">conditions </w:t>
            </w:r>
            <w:r w:rsidR="00AD7DBB">
              <w:rPr>
                <w:rFonts w:cs="Arial"/>
                <w:sz w:val="22"/>
                <w:szCs w:val="22"/>
                <w:shd w:val="clear" w:color="auto" w:fill="FFFFFF"/>
              </w:rPr>
              <w:t>for</w:t>
            </w:r>
            <w:r>
              <w:rPr>
                <w:rFonts w:cs="Arial"/>
                <w:sz w:val="22"/>
                <w:szCs w:val="22"/>
                <w:shd w:val="clear" w:color="auto" w:fill="FFFFFF"/>
              </w:rPr>
              <w:t xml:space="preserve"> these market segments.</w:t>
            </w:r>
          </w:p>
          <w:p w14:paraId="0A9567A9" w14:textId="77777777" w:rsidR="00AD7DBB" w:rsidRDefault="00AD7DBB" w:rsidP="00AD7DBB">
            <w:pPr>
              <w:rPr>
                <w:rFonts w:cs="Arial"/>
                <w:sz w:val="22"/>
                <w:szCs w:val="22"/>
                <w:shd w:val="clear" w:color="auto" w:fill="FFFFFF"/>
              </w:rPr>
            </w:pPr>
          </w:p>
          <w:p w14:paraId="5BFE9237" w14:textId="7DADAB66" w:rsidR="00157922" w:rsidRPr="00157922" w:rsidRDefault="00157922" w:rsidP="00AD7DBB">
            <w:pPr>
              <w:rPr>
                <w:rFonts w:cs="Arial"/>
                <w:sz w:val="22"/>
                <w:szCs w:val="22"/>
                <w:shd w:val="clear" w:color="auto" w:fill="FFFFFF"/>
              </w:rPr>
            </w:pPr>
            <w:r>
              <w:rPr>
                <w:rFonts w:cs="Arial"/>
                <w:sz w:val="22"/>
                <w:szCs w:val="22"/>
                <w:shd w:val="clear" w:color="auto" w:fill="FFFFFF"/>
              </w:rPr>
              <w:t xml:space="preserve"> </w:t>
            </w:r>
          </w:p>
        </w:tc>
      </w:tr>
      <w:tr w:rsidR="00F52BE8" w:rsidRPr="0036077E" w14:paraId="0D0F920E" w14:textId="77777777" w:rsidTr="00A31A26">
        <w:trPr>
          <w:trHeight w:val="371"/>
        </w:trPr>
        <w:tc>
          <w:tcPr>
            <w:tcW w:w="8500" w:type="dxa"/>
            <w:shd w:val="clear" w:color="auto" w:fill="99CCFF"/>
          </w:tcPr>
          <w:p w14:paraId="31E3D92E" w14:textId="77777777" w:rsidR="00F52BE8" w:rsidRPr="0036077E" w:rsidRDefault="00F52BE8" w:rsidP="003E2732">
            <w:pPr>
              <w:rPr>
                <w:rFonts w:cs="Arial"/>
                <w:b/>
                <w:sz w:val="28"/>
                <w:szCs w:val="28"/>
              </w:rPr>
            </w:pPr>
            <w:r w:rsidRPr="0036077E">
              <w:rPr>
                <w:rFonts w:cs="Arial"/>
                <w:b/>
                <w:sz w:val="28"/>
                <w:szCs w:val="28"/>
              </w:rPr>
              <w:lastRenderedPageBreak/>
              <w:t>2.2 Project Objectives &amp; Scope</w:t>
            </w:r>
          </w:p>
        </w:tc>
      </w:tr>
      <w:tr w:rsidR="00F52BE8" w:rsidRPr="0036077E" w14:paraId="0F124279" w14:textId="77777777" w:rsidTr="00A31A26">
        <w:trPr>
          <w:trHeight w:val="757"/>
        </w:trPr>
        <w:tc>
          <w:tcPr>
            <w:tcW w:w="8500" w:type="dxa"/>
            <w:tcBorders>
              <w:bottom w:val="single" w:sz="4" w:space="0" w:color="auto"/>
            </w:tcBorders>
            <w:shd w:val="clear" w:color="auto" w:fill="auto"/>
          </w:tcPr>
          <w:p w14:paraId="66421B87" w14:textId="6775B590" w:rsidR="00B87F28" w:rsidRPr="00B87F28" w:rsidRDefault="00384A5B" w:rsidP="0030765A">
            <w:pPr>
              <w:rPr>
                <w:rFonts w:cs="Arial"/>
                <w:sz w:val="22"/>
                <w:szCs w:val="22"/>
              </w:rPr>
            </w:pPr>
            <w:r>
              <w:rPr>
                <w:rFonts w:cs="Arial"/>
                <w:b/>
                <w:sz w:val="22"/>
                <w:szCs w:val="22"/>
              </w:rPr>
              <w:t xml:space="preserve">                                                                                                                                   </w:t>
            </w:r>
            <w:r w:rsidR="00B87F28" w:rsidRPr="00A94CAC">
              <w:rPr>
                <w:rFonts w:cs="Arial"/>
                <w:sz w:val="22"/>
                <w:szCs w:val="22"/>
              </w:rPr>
              <w:t>The</w:t>
            </w:r>
            <w:r w:rsidRPr="00A94CAC">
              <w:rPr>
                <w:rFonts w:cs="Arial"/>
                <w:sz w:val="22"/>
                <w:szCs w:val="22"/>
              </w:rPr>
              <w:t xml:space="preserve"> objective of this project is to review the </w:t>
            </w:r>
            <w:proofErr w:type="spellStart"/>
            <w:r w:rsidR="00271D57" w:rsidRPr="00A94CAC">
              <w:rPr>
                <w:rFonts w:cs="Arial"/>
                <w:sz w:val="22"/>
                <w:szCs w:val="22"/>
              </w:rPr>
              <w:t>MCB</w:t>
            </w:r>
            <w:proofErr w:type="spellEnd"/>
            <w:r w:rsidRPr="00A94CAC">
              <w:rPr>
                <w:rFonts w:cs="Arial"/>
                <w:sz w:val="22"/>
                <w:szCs w:val="22"/>
              </w:rPr>
              <w:t xml:space="preserve"> analysis that we conducted during </w:t>
            </w:r>
            <w:proofErr w:type="spellStart"/>
            <w:r w:rsidRPr="00A94CAC">
              <w:rPr>
                <w:rFonts w:cs="Arial"/>
                <w:sz w:val="22"/>
                <w:szCs w:val="22"/>
              </w:rPr>
              <w:t>PR18</w:t>
            </w:r>
            <w:proofErr w:type="spellEnd"/>
            <w:r w:rsidRPr="00A94CAC">
              <w:rPr>
                <w:rFonts w:cs="Arial"/>
                <w:sz w:val="22"/>
                <w:szCs w:val="22"/>
              </w:rPr>
              <w:t xml:space="preserve">, </w:t>
            </w:r>
            <w:r w:rsidR="00271D57" w:rsidRPr="00A94CAC">
              <w:rPr>
                <w:rFonts w:cs="Arial"/>
                <w:sz w:val="22"/>
                <w:szCs w:val="22"/>
              </w:rPr>
              <w:t xml:space="preserve">for both freight and </w:t>
            </w:r>
            <w:r w:rsidR="00263408">
              <w:rPr>
                <w:rFonts w:cs="Arial"/>
                <w:sz w:val="22"/>
                <w:szCs w:val="22"/>
              </w:rPr>
              <w:t>open access</w:t>
            </w:r>
            <w:r w:rsidR="00271D57" w:rsidRPr="00A94CAC">
              <w:rPr>
                <w:rFonts w:cs="Arial"/>
                <w:sz w:val="22"/>
                <w:szCs w:val="22"/>
              </w:rPr>
              <w:t xml:space="preserve"> operators, </w:t>
            </w:r>
            <w:r w:rsidRPr="00A94CAC">
              <w:rPr>
                <w:rFonts w:cs="Arial"/>
                <w:sz w:val="22"/>
                <w:szCs w:val="22"/>
              </w:rPr>
              <w:t>and update the conclusions of this analysis where relevant</w:t>
            </w:r>
            <w:r>
              <w:rPr>
                <w:rFonts w:cs="Arial"/>
                <w:sz w:val="22"/>
                <w:szCs w:val="22"/>
              </w:rPr>
              <w:t xml:space="preserve">. This will </w:t>
            </w:r>
            <w:r w:rsidR="0096525D">
              <w:rPr>
                <w:rFonts w:cs="Arial"/>
                <w:sz w:val="22"/>
                <w:szCs w:val="22"/>
              </w:rPr>
              <w:t xml:space="preserve">primarily </w:t>
            </w:r>
            <w:r>
              <w:rPr>
                <w:rFonts w:cs="Arial"/>
                <w:sz w:val="22"/>
                <w:szCs w:val="22"/>
              </w:rPr>
              <w:t>involve:</w:t>
            </w:r>
            <w:r w:rsidR="00B87F28" w:rsidRPr="00B87F28">
              <w:rPr>
                <w:rFonts w:cs="Arial"/>
                <w:sz w:val="22"/>
                <w:szCs w:val="22"/>
              </w:rPr>
              <w:t xml:space="preserve"> </w:t>
            </w:r>
          </w:p>
          <w:p w14:paraId="664CE2AA" w14:textId="6EDB8130" w:rsidR="0030765A" w:rsidRPr="00B87F28" w:rsidRDefault="00757BCB" w:rsidP="00EA3AF0">
            <w:pPr>
              <w:pStyle w:val="ListParagraph"/>
              <w:numPr>
                <w:ilvl w:val="0"/>
                <w:numId w:val="13"/>
              </w:numPr>
              <w:spacing w:after="0"/>
              <w:contextualSpacing w:val="0"/>
              <w:rPr>
                <w:rFonts w:cs="Arial"/>
                <w:sz w:val="22"/>
                <w:szCs w:val="22"/>
              </w:rPr>
            </w:pPr>
            <w:r>
              <w:rPr>
                <w:rFonts w:cs="Arial"/>
                <w:sz w:val="22"/>
                <w:szCs w:val="22"/>
              </w:rPr>
              <w:t xml:space="preserve">Reviewing </w:t>
            </w:r>
            <w:r w:rsidR="00271D57">
              <w:rPr>
                <w:rFonts w:cs="Arial"/>
                <w:sz w:val="22"/>
                <w:szCs w:val="22"/>
              </w:rPr>
              <w:t xml:space="preserve">the suitability of </w:t>
            </w:r>
            <w:r w:rsidR="0096525D">
              <w:rPr>
                <w:rFonts w:cs="Arial"/>
                <w:sz w:val="22"/>
                <w:szCs w:val="22"/>
              </w:rPr>
              <w:t>aspects of the previous methodologies</w:t>
            </w:r>
            <w:r w:rsidR="0030765A" w:rsidRPr="00B87F28">
              <w:rPr>
                <w:rFonts w:cs="Arial"/>
                <w:sz w:val="22"/>
                <w:szCs w:val="22"/>
              </w:rPr>
              <w:t>; and</w:t>
            </w:r>
          </w:p>
          <w:p w14:paraId="2EA08128" w14:textId="5F8822A7" w:rsidR="0030765A" w:rsidRDefault="0030765A" w:rsidP="00EA3AF0">
            <w:pPr>
              <w:pStyle w:val="ListParagraph"/>
              <w:numPr>
                <w:ilvl w:val="0"/>
                <w:numId w:val="13"/>
              </w:numPr>
              <w:spacing w:after="0"/>
              <w:contextualSpacing w:val="0"/>
              <w:rPr>
                <w:rFonts w:cs="Arial"/>
                <w:sz w:val="22"/>
                <w:szCs w:val="22"/>
              </w:rPr>
            </w:pPr>
            <w:r w:rsidRPr="00B87F28">
              <w:rPr>
                <w:rFonts w:cs="Arial"/>
                <w:sz w:val="22"/>
                <w:szCs w:val="22"/>
              </w:rPr>
              <w:t xml:space="preserve">Updating </w:t>
            </w:r>
            <w:r w:rsidR="00271D57">
              <w:rPr>
                <w:rFonts w:cs="Arial"/>
                <w:sz w:val="22"/>
                <w:szCs w:val="22"/>
              </w:rPr>
              <w:t>the analysis to</w:t>
            </w:r>
            <w:r w:rsidR="00384A5B">
              <w:rPr>
                <w:rFonts w:cs="Arial"/>
                <w:sz w:val="22"/>
                <w:szCs w:val="22"/>
              </w:rPr>
              <w:t xml:space="preserve"> reflect </w:t>
            </w:r>
            <w:r w:rsidR="00271D57">
              <w:rPr>
                <w:rFonts w:cs="Arial"/>
                <w:sz w:val="22"/>
                <w:szCs w:val="22"/>
              </w:rPr>
              <w:t xml:space="preserve">any new evidence that has emerged, as well as changes to market </w:t>
            </w:r>
            <w:r w:rsidR="003D5F57">
              <w:rPr>
                <w:rFonts w:cs="Arial"/>
                <w:sz w:val="22"/>
                <w:szCs w:val="22"/>
              </w:rPr>
              <w:t xml:space="preserve">and demand characteristics, since </w:t>
            </w:r>
            <w:proofErr w:type="spellStart"/>
            <w:r w:rsidR="003D5F57">
              <w:rPr>
                <w:rFonts w:cs="Arial"/>
                <w:sz w:val="22"/>
                <w:szCs w:val="22"/>
              </w:rPr>
              <w:t>PR18</w:t>
            </w:r>
            <w:proofErr w:type="spellEnd"/>
            <w:r w:rsidR="003D5F57">
              <w:rPr>
                <w:rFonts w:cs="Arial"/>
                <w:sz w:val="22"/>
                <w:szCs w:val="22"/>
              </w:rPr>
              <w:t>.</w:t>
            </w:r>
            <w:r w:rsidR="00271D57">
              <w:rPr>
                <w:rFonts w:cs="Arial"/>
                <w:sz w:val="22"/>
                <w:szCs w:val="22"/>
              </w:rPr>
              <w:t xml:space="preserve"> </w:t>
            </w:r>
          </w:p>
          <w:p w14:paraId="48B7F632" w14:textId="77777777" w:rsidR="00C64A59" w:rsidRDefault="00C64A59" w:rsidP="00B87F28">
            <w:pPr>
              <w:spacing w:after="0"/>
              <w:rPr>
                <w:rFonts w:cs="Arial"/>
                <w:sz w:val="22"/>
                <w:szCs w:val="22"/>
              </w:rPr>
            </w:pPr>
          </w:p>
          <w:p w14:paraId="556C8923" w14:textId="065F0FAF" w:rsidR="004604E9" w:rsidRDefault="00271D57" w:rsidP="00B87F28">
            <w:pPr>
              <w:spacing w:after="0"/>
              <w:rPr>
                <w:rFonts w:cs="Arial"/>
                <w:sz w:val="22"/>
                <w:szCs w:val="22"/>
              </w:rPr>
            </w:pPr>
            <w:r>
              <w:rPr>
                <w:rFonts w:cs="Arial"/>
                <w:sz w:val="22"/>
                <w:szCs w:val="22"/>
              </w:rPr>
              <w:t xml:space="preserve">At a high-level, we consider the </w:t>
            </w:r>
            <w:proofErr w:type="spellStart"/>
            <w:r w:rsidR="00BC5926">
              <w:rPr>
                <w:rFonts w:cs="Arial"/>
                <w:sz w:val="22"/>
                <w:szCs w:val="22"/>
              </w:rPr>
              <w:t>MCB</w:t>
            </w:r>
            <w:proofErr w:type="spellEnd"/>
            <w:r w:rsidR="00BC5926">
              <w:rPr>
                <w:rFonts w:cs="Arial"/>
                <w:sz w:val="22"/>
                <w:szCs w:val="22"/>
              </w:rPr>
              <w:t xml:space="preserve"> test can be split</w:t>
            </w:r>
            <w:r w:rsidR="00B87F28">
              <w:rPr>
                <w:rFonts w:cs="Arial"/>
                <w:sz w:val="22"/>
                <w:szCs w:val="22"/>
              </w:rPr>
              <w:t xml:space="preserve"> into 3 stages: </w:t>
            </w:r>
          </w:p>
          <w:p w14:paraId="3FF8AB35" w14:textId="77777777" w:rsidR="004604E9" w:rsidRDefault="004604E9" w:rsidP="00B87F28">
            <w:pPr>
              <w:spacing w:after="0"/>
              <w:rPr>
                <w:rFonts w:cs="Arial"/>
                <w:sz w:val="22"/>
                <w:szCs w:val="22"/>
              </w:rPr>
            </w:pPr>
          </w:p>
          <w:p w14:paraId="78EBE6C8" w14:textId="71579F08" w:rsidR="00B87F28" w:rsidRDefault="003D5F57" w:rsidP="00EA3AF0">
            <w:pPr>
              <w:pStyle w:val="ListParagraph"/>
              <w:numPr>
                <w:ilvl w:val="0"/>
                <w:numId w:val="14"/>
              </w:numPr>
              <w:spacing w:after="0"/>
              <w:rPr>
                <w:rFonts w:cs="Arial"/>
                <w:sz w:val="22"/>
                <w:szCs w:val="22"/>
              </w:rPr>
            </w:pPr>
            <w:r>
              <w:rPr>
                <w:rFonts w:cs="Arial"/>
                <w:sz w:val="22"/>
                <w:szCs w:val="22"/>
              </w:rPr>
              <w:t xml:space="preserve">Stage 1: </w:t>
            </w:r>
            <w:r w:rsidR="00271D57">
              <w:rPr>
                <w:rFonts w:cs="Arial"/>
                <w:sz w:val="22"/>
                <w:szCs w:val="22"/>
              </w:rPr>
              <w:t>A market segmentation</w:t>
            </w:r>
            <w:r w:rsidR="00CC5DC3">
              <w:rPr>
                <w:rFonts w:cs="Arial"/>
                <w:sz w:val="22"/>
                <w:szCs w:val="22"/>
              </w:rPr>
              <w:t xml:space="preserve"> </w:t>
            </w:r>
            <w:r w:rsidR="00271D57">
              <w:rPr>
                <w:rFonts w:cs="Arial"/>
                <w:sz w:val="22"/>
                <w:szCs w:val="22"/>
              </w:rPr>
              <w:t>exercise;</w:t>
            </w:r>
          </w:p>
          <w:p w14:paraId="7D39C02C" w14:textId="668642FB" w:rsidR="00CC5DC3" w:rsidRDefault="003D5F57" w:rsidP="00EA3AF0">
            <w:pPr>
              <w:pStyle w:val="ListParagraph"/>
              <w:numPr>
                <w:ilvl w:val="0"/>
                <w:numId w:val="14"/>
              </w:numPr>
              <w:spacing w:after="0"/>
              <w:rPr>
                <w:rFonts w:cs="Arial"/>
                <w:sz w:val="22"/>
                <w:szCs w:val="22"/>
              </w:rPr>
            </w:pPr>
            <w:r>
              <w:rPr>
                <w:rFonts w:cs="Arial"/>
                <w:sz w:val="22"/>
                <w:szCs w:val="22"/>
              </w:rPr>
              <w:t xml:space="preserve">Stage 2: </w:t>
            </w:r>
            <w:r w:rsidR="00CC5DC3">
              <w:rPr>
                <w:rFonts w:cs="Arial"/>
                <w:sz w:val="22"/>
                <w:szCs w:val="22"/>
              </w:rPr>
              <w:t xml:space="preserve">Assessment of ability </w:t>
            </w:r>
            <w:r w:rsidR="00271D57">
              <w:rPr>
                <w:rFonts w:cs="Arial"/>
                <w:sz w:val="22"/>
                <w:szCs w:val="22"/>
              </w:rPr>
              <w:t xml:space="preserve">of each market segment </w:t>
            </w:r>
            <w:r w:rsidR="00CC5DC3">
              <w:rPr>
                <w:rFonts w:cs="Arial"/>
                <w:sz w:val="22"/>
                <w:szCs w:val="22"/>
              </w:rPr>
              <w:t>to bear</w:t>
            </w:r>
            <w:r w:rsidR="00271D57">
              <w:rPr>
                <w:rFonts w:cs="Arial"/>
                <w:sz w:val="22"/>
                <w:szCs w:val="22"/>
              </w:rPr>
              <w:t xml:space="preserve"> an ICC; and</w:t>
            </w:r>
          </w:p>
          <w:p w14:paraId="1402BAA9" w14:textId="777ED07A" w:rsidR="00CC5DC3" w:rsidRDefault="00271D57" w:rsidP="00EA3AF0">
            <w:pPr>
              <w:pStyle w:val="ListParagraph"/>
              <w:numPr>
                <w:ilvl w:val="0"/>
                <w:numId w:val="14"/>
              </w:numPr>
              <w:spacing w:after="0"/>
              <w:rPr>
                <w:rFonts w:cs="Arial"/>
                <w:sz w:val="22"/>
                <w:szCs w:val="22"/>
              </w:rPr>
            </w:pPr>
            <w:r>
              <w:rPr>
                <w:rFonts w:cs="Arial"/>
                <w:sz w:val="22"/>
                <w:szCs w:val="22"/>
              </w:rPr>
              <w:t>S</w:t>
            </w:r>
            <w:r w:rsidR="003D5F57">
              <w:rPr>
                <w:rFonts w:cs="Arial"/>
                <w:sz w:val="22"/>
                <w:szCs w:val="22"/>
              </w:rPr>
              <w:t>tage 3: S</w:t>
            </w:r>
            <w:r>
              <w:rPr>
                <w:rFonts w:cs="Arial"/>
                <w:sz w:val="22"/>
                <w:szCs w:val="22"/>
              </w:rPr>
              <w:t>etting the level of the ICC.</w:t>
            </w:r>
          </w:p>
          <w:p w14:paraId="32A8C3E7" w14:textId="0F705521" w:rsidR="00BC5926" w:rsidRDefault="00BC5926" w:rsidP="004604E9">
            <w:pPr>
              <w:spacing w:after="0"/>
              <w:rPr>
                <w:rFonts w:cs="Arial"/>
                <w:sz w:val="22"/>
                <w:szCs w:val="22"/>
              </w:rPr>
            </w:pPr>
          </w:p>
          <w:p w14:paraId="4E762652" w14:textId="2630067B" w:rsidR="007D0946" w:rsidRDefault="00C64A59" w:rsidP="00C95E5F">
            <w:pPr>
              <w:spacing w:after="0"/>
              <w:rPr>
                <w:rFonts w:cs="Arial"/>
                <w:sz w:val="22"/>
                <w:szCs w:val="22"/>
              </w:rPr>
            </w:pPr>
            <w:r>
              <w:rPr>
                <w:rFonts w:cs="Arial"/>
                <w:sz w:val="22"/>
                <w:szCs w:val="22"/>
              </w:rPr>
              <w:t>For freight</w:t>
            </w:r>
            <w:r w:rsidR="00271D57">
              <w:rPr>
                <w:rFonts w:cs="Arial"/>
                <w:sz w:val="22"/>
                <w:szCs w:val="22"/>
              </w:rPr>
              <w:t>,</w:t>
            </w:r>
            <w:r>
              <w:rPr>
                <w:rFonts w:cs="Arial"/>
                <w:sz w:val="22"/>
                <w:szCs w:val="22"/>
              </w:rPr>
              <w:t xml:space="preserve"> we would like the consultan</w:t>
            </w:r>
            <w:r w:rsidR="007B331D">
              <w:rPr>
                <w:rFonts w:cs="Arial"/>
                <w:sz w:val="22"/>
                <w:szCs w:val="22"/>
              </w:rPr>
              <w:t>t</w:t>
            </w:r>
            <w:r w:rsidR="00C20FC7">
              <w:rPr>
                <w:rFonts w:cs="Arial"/>
                <w:sz w:val="22"/>
                <w:szCs w:val="22"/>
              </w:rPr>
              <w:t xml:space="preserve"> to </w:t>
            </w:r>
            <w:r w:rsidR="00271D57">
              <w:rPr>
                <w:rFonts w:cs="Arial"/>
                <w:sz w:val="22"/>
                <w:szCs w:val="22"/>
              </w:rPr>
              <w:t xml:space="preserve">review </w:t>
            </w:r>
            <w:r w:rsidR="00E67F6C">
              <w:rPr>
                <w:rFonts w:cs="Arial"/>
                <w:sz w:val="22"/>
                <w:szCs w:val="22"/>
              </w:rPr>
              <w:t>stages 1 and 2 as set out above</w:t>
            </w:r>
            <w:r w:rsidR="004905B0">
              <w:rPr>
                <w:rFonts w:cs="Arial"/>
                <w:sz w:val="22"/>
                <w:szCs w:val="22"/>
              </w:rPr>
              <w:t xml:space="preserve"> (the l</w:t>
            </w:r>
            <w:r w:rsidR="00C95E5F" w:rsidRPr="00C95E5F">
              <w:rPr>
                <w:rFonts w:cs="Arial"/>
                <w:sz w:val="22"/>
                <w:szCs w:val="22"/>
              </w:rPr>
              <w:t xml:space="preserve">evel of </w:t>
            </w:r>
            <w:r w:rsidR="00C95E5F">
              <w:rPr>
                <w:rFonts w:cs="Arial"/>
                <w:sz w:val="22"/>
                <w:szCs w:val="22"/>
              </w:rPr>
              <w:t xml:space="preserve">freight ICCs </w:t>
            </w:r>
            <w:r w:rsidR="00C95E5F" w:rsidRPr="00C95E5F">
              <w:rPr>
                <w:rFonts w:cs="Arial"/>
                <w:sz w:val="22"/>
                <w:szCs w:val="22"/>
              </w:rPr>
              <w:t xml:space="preserve">will </w:t>
            </w:r>
            <w:r w:rsidR="00C95E5F">
              <w:rPr>
                <w:rFonts w:cs="Arial"/>
                <w:sz w:val="22"/>
                <w:szCs w:val="22"/>
              </w:rPr>
              <w:t xml:space="preserve">need to </w:t>
            </w:r>
            <w:r w:rsidR="00C95E5F" w:rsidRPr="00C95E5F">
              <w:rPr>
                <w:rFonts w:cs="Arial"/>
                <w:sz w:val="22"/>
                <w:szCs w:val="22"/>
              </w:rPr>
              <w:t xml:space="preserve">take account of </w:t>
            </w:r>
            <w:r w:rsidR="00C95E5F">
              <w:rPr>
                <w:rFonts w:cs="Arial"/>
                <w:sz w:val="22"/>
                <w:szCs w:val="22"/>
              </w:rPr>
              <w:t xml:space="preserve">any </w:t>
            </w:r>
            <w:r w:rsidR="00C95E5F" w:rsidRPr="00C95E5F">
              <w:rPr>
                <w:rFonts w:cs="Arial"/>
                <w:sz w:val="22"/>
                <w:szCs w:val="22"/>
              </w:rPr>
              <w:t>changes to other charges paid by</w:t>
            </w:r>
            <w:r w:rsidR="00C95E5F">
              <w:rPr>
                <w:rFonts w:cs="Arial"/>
                <w:sz w:val="22"/>
                <w:szCs w:val="22"/>
              </w:rPr>
              <w:t xml:space="preserve"> </w:t>
            </w:r>
            <w:r w:rsidR="00C95E5F" w:rsidRPr="00C95E5F">
              <w:rPr>
                <w:rFonts w:cs="Arial"/>
                <w:sz w:val="22"/>
                <w:szCs w:val="22"/>
              </w:rPr>
              <w:t xml:space="preserve">freight operators in </w:t>
            </w:r>
            <w:proofErr w:type="spellStart"/>
            <w:r w:rsidR="00C95E5F" w:rsidRPr="00C95E5F">
              <w:rPr>
                <w:rFonts w:cs="Arial"/>
                <w:sz w:val="22"/>
                <w:szCs w:val="22"/>
              </w:rPr>
              <w:t>CP7</w:t>
            </w:r>
            <w:proofErr w:type="spellEnd"/>
            <w:r w:rsidR="00C95E5F">
              <w:rPr>
                <w:rFonts w:cs="Arial"/>
                <w:sz w:val="22"/>
                <w:szCs w:val="22"/>
              </w:rPr>
              <w:t xml:space="preserve">, which </w:t>
            </w:r>
            <w:r w:rsidR="004905B0">
              <w:rPr>
                <w:rFonts w:cs="Arial"/>
                <w:sz w:val="22"/>
                <w:szCs w:val="22"/>
              </w:rPr>
              <w:t>are</w:t>
            </w:r>
            <w:r w:rsidR="00C95E5F">
              <w:rPr>
                <w:rFonts w:cs="Arial"/>
                <w:sz w:val="22"/>
                <w:szCs w:val="22"/>
              </w:rPr>
              <w:t xml:space="preserve"> considered as part of the broader charges review</w:t>
            </w:r>
            <w:r w:rsidR="004905B0">
              <w:rPr>
                <w:rFonts w:cs="Arial"/>
                <w:sz w:val="22"/>
                <w:szCs w:val="22"/>
              </w:rPr>
              <w:t>)</w:t>
            </w:r>
            <w:r w:rsidR="00C20FC7">
              <w:rPr>
                <w:rFonts w:cs="Arial"/>
                <w:sz w:val="22"/>
                <w:szCs w:val="22"/>
              </w:rPr>
              <w:t xml:space="preserve">. </w:t>
            </w:r>
            <w:r>
              <w:rPr>
                <w:rFonts w:cs="Arial"/>
                <w:sz w:val="22"/>
                <w:szCs w:val="22"/>
              </w:rPr>
              <w:t>For</w:t>
            </w:r>
            <w:r w:rsidR="00271D57">
              <w:rPr>
                <w:rFonts w:cs="Arial"/>
                <w:sz w:val="22"/>
                <w:szCs w:val="22"/>
              </w:rPr>
              <w:t xml:space="preserve"> </w:t>
            </w:r>
            <w:r w:rsidR="00263408">
              <w:rPr>
                <w:rFonts w:cs="Arial"/>
                <w:sz w:val="22"/>
                <w:szCs w:val="22"/>
              </w:rPr>
              <w:t>open access</w:t>
            </w:r>
            <w:r w:rsidR="00271D57">
              <w:rPr>
                <w:rFonts w:cs="Arial"/>
                <w:sz w:val="22"/>
                <w:szCs w:val="22"/>
              </w:rPr>
              <w:t xml:space="preserve"> operators,</w:t>
            </w:r>
            <w:r w:rsidR="007B331D">
              <w:rPr>
                <w:rFonts w:cs="Arial"/>
                <w:sz w:val="22"/>
                <w:szCs w:val="22"/>
              </w:rPr>
              <w:t xml:space="preserve"> we would like the consultant</w:t>
            </w:r>
            <w:r>
              <w:rPr>
                <w:rFonts w:cs="Arial"/>
                <w:sz w:val="22"/>
                <w:szCs w:val="22"/>
              </w:rPr>
              <w:t xml:space="preserve"> to underta</w:t>
            </w:r>
            <w:r w:rsidR="00271D57">
              <w:rPr>
                <w:rFonts w:cs="Arial"/>
                <w:sz w:val="22"/>
                <w:szCs w:val="22"/>
              </w:rPr>
              <w:t>ke all 3 stages.</w:t>
            </w:r>
            <w:r>
              <w:rPr>
                <w:rFonts w:cs="Arial"/>
                <w:sz w:val="22"/>
                <w:szCs w:val="22"/>
              </w:rPr>
              <w:t xml:space="preserve"> </w:t>
            </w:r>
          </w:p>
          <w:p w14:paraId="04AE4090" w14:textId="2175291C" w:rsidR="00C20FC7" w:rsidRDefault="00C20FC7" w:rsidP="00C20FC7">
            <w:pPr>
              <w:spacing w:after="0"/>
              <w:rPr>
                <w:rFonts w:cs="Arial"/>
                <w:sz w:val="22"/>
                <w:szCs w:val="22"/>
              </w:rPr>
            </w:pPr>
          </w:p>
          <w:p w14:paraId="41664E05" w14:textId="342BC8CF" w:rsidR="00AD52CE" w:rsidRDefault="00271D57" w:rsidP="00C20FC7">
            <w:pPr>
              <w:spacing w:after="0"/>
              <w:rPr>
                <w:rFonts w:cs="Arial"/>
                <w:sz w:val="22"/>
                <w:szCs w:val="22"/>
              </w:rPr>
            </w:pPr>
            <w:r>
              <w:rPr>
                <w:rFonts w:cs="Arial"/>
                <w:sz w:val="22"/>
                <w:szCs w:val="22"/>
              </w:rPr>
              <w:t xml:space="preserve">We have set out below </w:t>
            </w:r>
            <w:r w:rsidR="00C95E5F">
              <w:rPr>
                <w:rFonts w:cs="Arial"/>
                <w:sz w:val="22"/>
                <w:szCs w:val="22"/>
              </w:rPr>
              <w:t xml:space="preserve">some </w:t>
            </w:r>
            <w:r>
              <w:rPr>
                <w:rFonts w:cs="Arial"/>
                <w:sz w:val="22"/>
                <w:szCs w:val="22"/>
              </w:rPr>
              <w:t>further</w:t>
            </w:r>
            <w:r w:rsidR="003D5F57">
              <w:rPr>
                <w:rFonts w:cs="Arial"/>
                <w:sz w:val="22"/>
                <w:szCs w:val="22"/>
              </w:rPr>
              <w:t xml:space="preserve"> detail on the scope of the required analysis</w:t>
            </w:r>
            <w:r>
              <w:rPr>
                <w:rFonts w:cs="Arial"/>
                <w:sz w:val="22"/>
                <w:szCs w:val="22"/>
              </w:rPr>
              <w:t xml:space="preserve">, in respect of both freight and </w:t>
            </w:r>
            <w:r w:rsidR="00263408">
              <w:rPr>
                <w:rFonts w:cs="Arial"/>
                <w:sz w:val="22"/>
                <w:szCs w:val="22"/>
              </w:rPr>
              <w:t>open access</w:t>
            </w:r>
            <w:r>
              <w:rPr>
                <w:rFonts w:cs="Arial"/>
                <w:sz w:val="22"/>
                <w:szCs w:val="22"/>
              </w:rPr>
              <w:t xml:space="preserve">. We have also highlighted some of the key issues and </w:t>
            </w:r>
            <w:r w:rsidR="003D5F57">
              <w:rPr>
                <w:rFonts w:cs="Arial"/>
                <w:sz w:val="22"/>
                <w:szCs w:val="22"/>
              </w:rPr>
              <w:t>considerations that will need to be addressed as part of this work</w:t>
            </w:r>
            <w:r>
              <w:rPr>
                <w:rFonts w:cs="Arial"/>
                <w:sz w:val="22"/>
                <w:szCs w:val="22"/>
              </w:rPr>
              <w:t xml:space="preserve">. We expect </w:t>
            </w:r>
            <w:r w:rsidR="00ED1D11">
              <w:rPr>
                <w:rFonts w:cs="Arial"/>
                <w:sz w:val="22"/>
                <w:szCs w:val="22"/>
              </w:rPr>
              <w:t>bidders</w:t>
            </w:r>
            <w:r>
              <w:rPr>
                <w:rFonts w:cs="Arial"/>
                <w:sz w:val="22"/>
                <w:szCs w:val="22"/>
              </w:rPr>
              <w:t xml:space="preserve"> to set out a detailed methodology and approach to undertaking this work</w:t>
            </w:r>
            <w:r w:rsidR="003D5F57">
              <w:rPr>
                <w:rFonts w:cs="Arial"/>
                <w:sz w:val="22"/>
                <w:szCs w:val="22"/>
              </w:rPr>
              <w:t xml:space="preserve">, including how they intend to address the </w:t>
            </w:r>
            <w:r w:rsidR="00FB0657">
              <w:rPr>
                <w:rFonts w:cs="Arial"/>
                <w:sz w:val="22"/>
                <w:szCs w:val="22"/>
              </w:rPr>
              <w:t xml:space="preserve">specific </w:t>
            </w:r>
            <w:r w:rsidR="003D5F57">
              <w:rPr>
                <w:rFonts w:cs="Arial"/>
                <w:sz w:val="22"/>
                <w:szCs w:val="22"/>
              </w:rPr>
              <w:t>points highlighted below.</w:t>
            </w:r>
          </w:p>
          <w:p w14:paraId="1098FC7A" w14:textId="581A913C" w:rsidR="000941FF" w:rsidRDefault="000941FF" w:rsidP="00C20FC7">
            <w:pPr>
              <w:spacing w:after="0"/>
              <w:rPr>
                <w:rFonts w:cs="Arial"/>
                <w:sz w:val="22"/>
                <w:szCs w:val="22"/>
              </w:rPr>
            </w:pPr>
          </w:p>
          <w:p w14:paraId="2CC6E645" w14:textId="79E0E087" w:rsidR="000941FF" w:rsidRDefault="000941FF" w:rsidP="000941FF">
            <w:pPr>
              <w:spacing w:after="0"/>
              <w:rPr>
                <w:rFonts w:cs="Arial"/>
                <w:sz w:val="22"/>
                <w:szCs w:val="22"/>
              </w:rPr>
            </w:pPr>
            <w:r>
              <w:rPr>
                <w:rFonts w:cs="Arial"/>
                <w:sz w:val="22"/>
                <w:szCs w:val="22"/>
              </w:rPr>
              <w:t>T</w:t>
            </w:r>
            <w:r w:rsidR="008E0BF5">
              <w:rPr>
                <w:rFonts w:cs="Arial"/>
                <w:sz w:val="22"/>
                <w:szCs w:val="22"/>
              </w:rPr>
              <w:t xml:space="preserve">he overall approach should </w:t>
            </w:r>
            <w:r>
              <w:rPr>
                <w:rFonts w:cs="Arial"/>
                <w:sz w:val="22"/>
                <w:szCs w:val="22"/>
              </w:rPr>
              <w:t xml:space="preserve">strike an appropriate balance between accuracy and practicability, taking account of issues such as data limitations and the need for a set of ICCs </w:t>
            </w:r>
            <w:r w:rsidR="00816CCC">
              <w:rPr>
                <w:rFonts w:cs="Arial"/>
                <w:sz w:val="22"/>
                <w:szCs w:val="22"/>
              </w:rPr>
              <w:t xml:space="preserve">that </w:t>
            </w:r>
            <w:r>
              <w:rPr>
                <w:rFonts w:cs="Arial"/>
                <w:sz w:val="22"/>
                <w:szCs w:val="22"/>
              </w:rPr>
              <w:t>can be relatively eas</w:t>
            </w:r>
            <w:r w:rsidR="008E0BF5">
              <w:rPr>
                <w:rFonts w:cs="Arial"/>
                <w:sz w:val="22"/>
                <w:szCs w:val="22"/>
              </w:rPr>
              <w:t>ily implemented by Network Rail</w:t>
            </w:r>
            <w:r>
              <w:rPr>
                <w:rFonts w:cs="Arial"/>
                <w:sz w:val="22"/>
                <w:szCs w:val="22"/>
              </w:rPr>
              <w:t>.</w:t>
            </w:r>
            <w:r w:rsidR="007B331D">
              <w:rPr>
                <w:rFonts w:cs="Arial"/>
                <w:sz w:val="22"/>
                <w:szCs w:val="22"/>
              </w:rPr>
              <w:t xml:space="preserve"> We will work with the</w:t>
            </w:r>
            <w:r>
              <w:rPr>
                <w:rFonts w:cs="Arial"/>
                <w:sz w:val="22"/>
                <w:szCs w:val="22"/>
              </w:rPr>
              <w:t xml:space="preserve"> </w:t>
            </w:r>
            <w:r w:rsidR="007B331D">
              <w:rPr>
                <w:rFonts w:cs="Arial"/>
                <w:sz w:val="22"/>
                <w:szCs w:val="22"/>
              </w:rPr>
              <w:t xml:space="preserve">consultant </w:t>
            </w:r>
            <w:r>
              <w:rPr>
                <w:rFonts w:cs="Arial"/>
                <w:sz w:val="22"/>
                <w:szCs w:val="22"/>
              </w:rPr>
              <w:t xml:space="preserve">to ensure the </w:t>
            </w:r>
            <w:r w:rsidR="008E0BF5">
              <w:rPr>
                <w:rFonts w:cs="Arial"/>
                <w:sz w:val="22"/>
                <w:szCs w:val="22"/>
              </w:rPr>
              <w:t xml:space="preserve">approach and </w:t>
            </w:r>
            <w:r>
              <w:rPr>
                <w:rFonts w:cs="Arial"/>
                <w:sz w:val="22"/>
                <w:szCs w:val="22"/>
              </w:rPr>
              <w:t>level of analysis undertaken</w:t>
            </w:r>
            <w:r w:rsidR="007B331D">
              <w:rPr>
                <w:rFonts w:cs="Arial"/>
                <w:sz w:val="22"/>
                <w:szCs w:val="22"/>
              </w:rPr>
              <w:t xml:space="preserve"> is proportionate</w:t>
            </w:r>
            <w:r>
              <w:rPr>
                <w:rFonts w:cs="Arial"/>
                <w:sz w:val="22"/>
                <w:szCs w:val="22"/>
              </w:rPr>
              <w:t>.</w:t>
            </w:r>
          </w:p>
          <w:p w14:paraId="0E429E7D" w14:textId="00479273" w:rsidR="000941FF" w:rsidRDefault="000941FF" w:rsidP="00C20FC7">
            <w:pPr>
              <w:spacing w:after="0"/>
              <w:rPr>
                <w:rFonts w:cs="Arial"/>
                <w:sz w:val="22"/>
                <w:szCs w:val="22"/>
              </w:rPr>
            </w:pPr>
          </w:p>
          <w:p w14:paraId="54C9F654" w14:textId="565C2324" w:rsidR="00B95240" w:rsidRDefault="00314F73" w:rsidP="00C20FC7">
            <w:pPr>
              <w:spacing w:after="0"/>
              <w:rPr>
                <w:rFonts w:cs="Arial"/>
                <w:sz w:val="22"/>
                <w:szCs w:val="22"/>
              </w:rPr>
            </w:pPr>
            <w:r>
              <w:rPr>
                <w:rFonts w:cs="Arial"/>
                <w:sz w:val="22"/>
                <w:szCs w:val="22"/>
              </w:rPr>
              <w:t>In determining the approach to this work, w</w:t>
            </w:r>
            <w:r w:rsidR="00B95240">
              <w:rPr>
                <w:rFonts w:cs="Arial"/>
                <w:sz w:val="22"/>
                <w:szCs w:val="22"/>
              </w:rPr>
              <w:t xml:space="preserve">e would also expect the </w:t>
            </w:r>
            <w:r w:rsidR="009F390A">
              <w:rPr>
                <w:rFonts w:cs="Arial"/>
                <w:sz w:val="22"/>
                <w:szCs w:val="22"/>
              </w:rPr>
              <w:t>consultant</w:t>
            </w:r>
            <w:r w:rsidR="00B95240">
              <w:rPr>
                <w:rFonts w:cs="Arial"/>
                <w:sz w:val="22"/>
                <w:szCs w:val="22"/>
              </w:rPr>
              <w:t xml:space="preserve"> to consider any </w:t>
            </w:r>
            <w:r>
              <w:rPr>
                <w:rFonts w:cs="Arial"/>
                <w:sz w:val="22"/>
                <w:szCs w:val="22"/>
              </w:rPr>
              <w:t xml:space="preserve">relevant </w:t>
            </w:r>
            <w:r w:rsidR="00B95240">
              <w:rPr>
                <w:rFonts w:cs="Arial"/>
                <w:sz w:val="22"/>
                <w:szCs w:val="22"/>
              </w:rPr>
              <w:t xml:space="preserve">views </w:t>
            </w:r>
            <w:r>
              <w:rPr>
                <w:rFonts w:cs="Arial"/>
                <w:sz w:val="22"/>
                <w:szCs w:val="22"/>
              </w:rPr>
              <w:t xml:space="preserve">and suggestions </w:t>
            </w:r>
            <w:r w:rsidR="00B95240">
              <w:rPr>
                <w:rFonts w:cs="Arial"/>
                <w:sz w:val="22"/>
                <w:szCs w:val="22"/>
              </w:rPr>
              <w:t xml:space="preserve">by industry stakeholders that are included in responses to our initial consultation on the </w:t>
            </w:r>
            <w:proofErr w:type="spellStart"/>
            <w:r w:rsidR="00B95240">
              <w:rPr>
                <w:rFonts w:cs="Arial"/>
                <w:sz w:val="22"/>
                <w:szCs w:val="22"/>
              </w:rPr>
              <w:t>PR23</w:t>
            </w:r>
            <w:proofErr w:type="spellEnd"/>
            <w:r w:rsidR="00B95240">
              <w:rPr>
                <w:rFonts w:cs="Arial"/>
                <w:sz w:val="22"/>
                <w:szCs w:val="22"/>
              </w:rPr>
              <w:t xml:space="preserve"> charges review (which are due in late September 2021).  </w:t>
            </w:r>
          </w:p>
          <w:p w14:paraId="75332A8E" w14:textId="77777777" w:rsidR="00B95240" w:rsidRDefault="00B95240" w:rsidP="00C20FC7">
            <w:pPr>
              <w:spacing w:after="0"/>
              <w:rPr>
                <w:rFonts w:cs="Arial"/>
                <w:sz w:val="22"/>
                <w:szCs w:val="22"/>
              </w:rPr>
            </w:pPr>
          </w:p>
          <w:p w14:paraId="33FB55CD" w14:textId="399B661A" w:rsidR="00C64A59" w:rsidRPr="007D0946" w:rsidRDefault="0030765A" w:rsidP="00C64A59">
            <w:pPr>
              <w:rPr>
                <w:rFonts w:cs="Arial"/>
                <w:b/>
                <w:sz w:val="22"/>
                <w:szCs w:val="22"/>
              </w:rPr>
            </w:pPr>
            <w:r w:rsidRPr="007D0946">
              <w:rPr>
                <w:rFonts w:cs="Arial"/>
                <w:b/>
                <w:sz w:val="22"/>
                <w:szCs w:val="22"/>
              </w:rPr>
              <w:t>Freight </w:t>
            </w:r>
            <w:r w:rsidR="003D5F57">
              <w:rPr>
                <w:rFonts w:cs="Arial"/>
                <w:b/>
                <w:sz w:val="22"/>
                <w:szCs w:val="22"/>
              </w:rPr>
              <w:t>analysis</w:t>
            </w:r>
          </w:p>
          <w:p w14:paraId="16636520" w14:textId="7BBB4D18" w:rsidR="00C20FC7" w:rsidRPr="003D5F57" w:rsidRDefault="003D5F57" w:rsidP="00C64A59">
            <w:pPr>
              <w:rPr>
                <w:rFonts w:cs="Arial"/>
                <w:sz w:val="22"/>
                <w:szCs w:val="22"/>
                <w:u w:val="single"/>
              </w:rPr>
            </w:pPr>
            <w:r w:rsidRPr="003D5F57">
              <w:rPr>
                <w:rFonts w:cs="Arial"/>
                <w:sz w:val="22"/>
                <w:szCs w:val="22"/>
                <w:u w:val="single"/>
              </w:rPr>
              <w:t>Stage 1</w:t>
            </w:r>
            <w:r>
              <w:rPr>
                <w:rFonts w:cs="Arial"/>
                <w:sz w:val="22"/>
                <w:szCs w:val="22"/>
                <w:u w:val="single"/>
              </w:rPr>
              <w:t>: Market segmentation</w:t>
            </w:r>
          </w:p>
          <w:p w14:paraId="194BF40B" w14:textId="19F81992" w:rsidR="003D5F57" w:rsidRDefault="003D5F57" w:rsidP="00C64A59">
            <w:pPr>
              <w:rPr>
                <w:rFonts w:cs="Arial"/>
                <w:sz w:val="22"/>
                <w:szCs w:val="22"/>
                <w:shd w:val="clear" w:color="auto" w:fill="FFFFFF"/>
              </w:rPr>
            </w:pPr>
            <w:r>
              <w:rPr>
                <w:rFonts w:cs="Arial"/>
                <w:sz w:val="22"/>
                <w:szCs w:val="22"/>
              </w:rPr>
              <w:t xml:space="preserve">As explained above, we have previously segmented the freight market based on commodities carried. This </w:t>
            </w:r>
            <w:r>
              <w:rPr>
                <w:rFonts w:cs="Arial"/>
                <w:sz w:val="22"/>
                <w:szCs w:val="22"/>
                <w:shd w:val="clear" w:color="auto" w:fill="FFFFFF"/>
              </w:rPr>
              <w:t>approach is now well-established and understood by the freight industry; remains practicable to implement; and is likely to reflect differences in underlying demand for rail freight, which is the basis for an assessment of ability to bear mark-ups. We therefore expect to retain the same approach for this review.</w:t>
            </w:r>
          </w:p>
          <w:p w14:paraId="6D77D020" w14:textId="45C427E8" w:rsidR="003D5F57" w:rsidRDefault="003D5F57" w:rsidP="00C64A59">
            <w:pPr>
              <w:rPr>
                <w:rFonts w:cs="Arial"/>
                <w:sz w:val="22"/>
                <w:szCs w:val="22"/>
              </w:rPr>
            </w:pPr>
            <w:r>
              <w:rPr>
                <w:rFonts w:cs="Arial"/>
                <w:sz w:val="22"/>
                <w:szCs w:val="22"/>
                <w:shd w:val="clear" w:color="auto" w:fill="FFFFFF"/>
              </w:rPr>
              <w:t xml:space="preserve">As such, stage 1 of the freight </w:t>
            </w:r>
            <w:proofErr w:type="spellStart"/>
            <w:r>
              <w:rPr>
                <w:rFonts w:cs="Arial"/>
                <w:sz w:val="22"/>
                <w:szCs w:val="22"/>
                <w:shd w:val="clear" w:color="auto" w:fill="FFFFFF"/>
              </w:rPr>
              <w:t>MCB</w:t>
            </w:r>
            <w:proofErr w:type="spellEnd"/>
            <w:r>
              <w:rPr>
                <w:rFonts w:cs="Arial"/>
                <w:sz w:val="22"/>
                <w:szCs w:val="22"/>
                <w:shd w:val="clear" w:color="auto" w:fill="FFFFFF"/>
              </w:rPr>
              <w:t xml:space="preserve"> analysis should focus on</w:t>
            </w:r>
            <w:r w:rsidR="00C4072C">
              <w:rPr>
                <w:rFonts w:cs="Arial"/>
                <w:sz w:val="22"/>
                <w:szCs w:val="22"/>
                <w:shd w:val="clear" w:color="auto" w:fill="FFFFFF"/>
              </w:rPr>
              <w:t xml:space="preserve"> the following</w:t>
            </w:r>
            <w:r>
              <w:rPr>
                <w:rFonts w:cs="Arial"/>
                <w:sz w:val="22"/>
                <w:szCs w:val="22"/>
                <w:shd w:val="clear" w:color="auto" w:fill="FFFFFF"/>
              </w:rPr>
              <w:t>:</w:t>
            </w:r>
          </w:p>
          <w:p w14:paraId="7713DB12" w14:textId="092848D2" w:rsidR="003D5F57" w:rsidRDefault="003D5F57" w:rsidP="00EA3AF0">
            <w:pPr>
              <w:pStyle w:val="ListParagraph"/>
              <w:numPr>
                <w:ilvl w:val="0"/>
                <w:numId w:val="19"/>
              </w:numPr>
              <w:rPr>
                <w:rFonts w:cs="Arial"/>
                <w:sz w:val="22"/>
                <w:szCs w:val="22"/>
              </w:rPr>
            </w:pPr>
            <w:r>
              <w:rPr>
                <w:rFonts w:cs="Arial"/>
                <w:sz w:val="22"/>
                <w:szCs w:val="22"/>
              </w:rPr>
              <w:t>W</w:t>
            </w:r>
            <w:r w:rsidR="0030765A" w:rsidRPr="003D5F57">
              <w:rPr>
                <w:rFonts w:cs="Arial"/>
                <w:sz w:val="22"/>
                <w:szCs w:val="22"/>
              </w:rPr>
              <w:t xml:space="preserve">hether there are </w:t>
            </w:r>
            <w:r>
              <w:rPr>
                <w:rFonts w:cs="Arial"/>
                <w:sz w:val="22"/>
                <w:szCs w:val="22"/>
              </w:rPr>
              <w:t xml:space="preserve">any major </w:t>
            </w:r>
            <w:r w:rsidR="0030765A" w:rsidRPr="003D5F57">
              <w:rPr>
                <w:rFonts w:cs="Arial"/>
                <w:sz w:val="22"/>
                <w:szCs w:val="22"/>
              </w:rPr>
              <w:t xml:space="preserve">new </w:t>
            </w:r>
            <w:r w:rsidR="00A769FC">
              <w:rPr>
                <w:rFonts w:cs="Arial"/>
                <w:sz w:val="22"/>
                <w:szCs w:val="22"/>
              </w:rPr>
              <w:t xml:space="preserve">freight </w:t>
            </w:r>
            <w:r w:rsidR="0030765A" w:rsidRPr="003D5F57">
              <w:rPr>
                <w:rFonts w:cs="Arial"/>
                <w:sz w:val="22"/>
                <w:szCs w:val="22"/>
              </w:rPr>
              <w:t>commodit</w:t>
            </w:r>
            <w:r>
              <w:rPr>
                <w:rFonts w:cs="Arial"/>
                <w:sz w:val="22"/>
                <w:szCs w:val="22"/>
              </w:rPr>
              <w:t>y flows which should be defined</w:t>
            </w:r>
            <w:r w:rsidR="00A67D04">
              <w:rPr>
                <w:rFonts w:cs="Arial"/>
                <w:sz w:val="22"/>
                <w:szCs w:val="22"/>
              </w:rPr>
              <w:t xml:space="preserve"> as new market segments</w:t>
            </w:r>
            <w:r w:rsidR="007929CC">
              <w:rPr>
                <w:rFonts w:cs="Arial"/>
                <w:sz w:val="22"/>
                <w:szCs w:val="22"/>
              </w:rPr>
              <w:t xml:space="preserve">. We have previously identified the following </w:t>
            </w:r>
            <w:r w:rsidR="007929CC">
              <w:rPr>
                <w:rFonts w:cs="Arial"/>
                <w:sz w:val="22"/>
                <w:szCs w:val="22"/>
              </w:rPr>
              <w:lastRenderedPageBreak/>
              <w:t xml:space="preserve">segments: </w:t>
            </w:r>
            <w:proofErr w:type="spellStart"/>
            <w:r w:rsidR="007929CC" w:rsidRPr="007929CC">
              <w:rPr>
                <w:rFonts w:cs="Arial"/>
                <w:sz w:val="22"/>
                <w:szCs w:val="22"/>
              </w:rPr>
              <w:t>ES</w:t>
            </w:r>
            <w:r w:rsidR="007929CC">
              <w:rPr>
                <w:rFonts w:cs="Arial"/>
                <w:sz w:val="22"/>
                <w:szCs w:val="22"/>
              </w:rPr>
              <w:t>I</w:t>
            </w:r>
            <w:proofErr w:type="spellEnd"/>
            <w:r w:rsidR="007929CC" w:rsidRPr="007929CC">
              <w:rPr>
                <w:rFonts w:cs="Arial"/>
                <w:sz w:val="22"/>
                <w:szCs w:val="22"/>
              </w:rPr>
              <w:t xml:space="preserve"> coal; </w:t>
            </w:r>
            <w:r w:rsidR="007929CC">
              <w:rPr>
                <w:rFonts w:cs="Arial"/>
                <w:sz w:val="22"/>
                <w:szCs w:val="22"/>
              </w:rPr>
              <w:t>iron o</w:t>
            </w:r>
            <w:r w:rsidR="007929CC" w:rsidRPr="007929CC">
              <w:rPr>
                <w:rFonts w:cs="Arial"/>
                <w:sz w:val="22"/>
                <w:szCs w:val="22"/>
              </w:rPr>
              <w:t xml:space="preserve">re; </w:t>
            </w:r>
            <w:r w:rsidR="007929CC">
              <w:rPr>
                <w:rFonts w:cs="Arial"/>
                <w:sz w:val="22"/>
                <w:szCs w:val="22"/>
              </w:rPr>
              <w:t>m</w:t>
            </w:r>
            <w:r w:rsidR="007929CC" w:rsidRPr="007929CC">
              <w:rPr>
                <w:rFonts w:cs="Arial"/>
                <w:sz w:val="22"/>
                <w:szCs w:val="22"/>
              </w:rPr>
              <w:t xml:space="preserve">etals; </w:t>
            </w:r>
            <w:r w:rsidR="007929CC">
              <w:rPr>
                <w:rFonts w:cs="Arial"/>
                <w:sz w:val="22"/>
                <w:szCs w:val="22"/>
              </w:rPr>
              <w:t xml:space="preserve">petroleum </w:t>
            </w:r>
            <w:r w:rsidR="007929CC" w:rsidRPr="007929CC">
              <w:rPr>
                <w:rFonts w:cs="Arial"/>
                <w:sz w:val="22"/>
                <w:szCs w:val="22"/>
              </w:rPr>
              <w:t xml:space="preserve">and chemicals; </w:t>
            </w:r>
            <w:r w:rsidR="007929CC">
              <w:rPr>
                <w:rFonts w:cs="Arial"/>
                <w:sz w:val="22"/>
                <w:szCs w:val="22"/>
              </w:rPr>
              <w:t>i</w:t>
            </w:r>
            <w:r w:rsidR="007929CC" w:rsidRPr="007929CC">
              <w:rPr>
                <w:rFonts w:cs="Arial"/>
                <w:sz w:val="22"/>
                <w:szCs w:val="22"/>
              </w:rPr>
              <w:t xml:space="preserve">ntermodal; </w:t>
            </w:r>
            <w:r w:rsidR="007929CC">
              <w:rPr>
                <w:rFonts w:cs="Arial"/>
                <w:sz w:val="22"/>
                <w:szCs w:val="22"/>
              </w:rPr>
              <w:t>automotive; s</w:t>
            </w:r>
            <w:r w:rsidR="007929CC" w:rsidRPr="007929CC">
              <w:rPr>
                <w:rFonts w:cs="Arial"/>
                <w:sz w:val="22"/>
                <w:szCs w:val="22"/>
              </w:rPr>
              <w:t xml:space="preserve">pent </w:t>
            </w:r>
            <w:r w:rsidR="007929CC">
              <w:rPr>
                <w:rFonts w:cs="Arial"/>
                <w:sz w:val="22"/>
                <w:szCs w:val="22"/>
              </w:rPr>
              <w:t>n</w:t>
            </w:r>
            <w:r w:rsidR="00F769AA">
              <w:rPr>
                <w:rFonts w:cs="Arial"/>
                <w:sz w:val="22"/>
                <w:szCs w:val="22"/>
              </w:rPr>
              <w:t xml:space="preserve">uclear </w:t>
            </w:r>
            <w:r w:rsidR="007929CC" w:rsidRPr="007929CC">
              <w:rPr>
                <w:rFonts w:cs="Arial"/>
                <w:sz w:val="22"/>
                <w:szCs w:val="22"/>
              </w:rPr>
              <w:t xml:space="preserve">fuels; </w:t>
            </w:r>
            <w:r w:rsidR="007929CC">
              <w:rPr>
                <w:rFonts w:cs="Arial"/>
                <w:sz w:val="22"/>
                <w:szCs w:val="22"/>
              </w:rPr>
              <w:t>g</w:t>
            </w:r>
            <w:r w:rsidR="007929CC" w:rsidRPr="007929CC">
              <w:rPr>
                <w:rFonts w:cs="Arial"/>
                <w:sz w:val="22"/>
                <w:szCs w:val="22"/>
              </w:rPr>
              <w:t xml:space="preserve">eneral </w:t>
            </w:r>
            <w:r w:rsidR="007929CC">
              <w:rPr>
                <w:rFonts w:cs="Arial"/>
                <w:sz w:val="22"/>
                <w:szCs w:val="22"/>
              </w:rPr>
              <w:t>d</w:t>
            </w:r>
            <w:r w:rsidR="007929CC" w:rsidRPr="007929CC">
              <w:rPr>
                <w:rFonts w:cs="Arial"/>
                <w:sz w:val="22"/>
                <w:szCs w:val="22"/>
              </w:rPr>
              <w:t xml:space="preserve">istribution; </w:t>
            </w:r>
            <w:r w:rsidR="007929CC">
              <w:rPr>
                <w:rFonts w:cs="Arial"/>
                <w:sz w:val="22"/>
                <w:szCs w:val="22"/>
              </w:rPr>
              <w:t xml:space="preserve">biomass; </w:t>
            </w:r>
            <w:r w:rsidR="00921B28">
              <w:rPr>
                <w:rFonts w:cs="Arial"/>
                <w:sz w:val="22"/>
                <w:szCs w:val="22"/>
              </w:rPr>
              <w:t xml:space="preserve">construction (mainly the transport of aggregates) </w:t>
            </w:r>
            <w:r w:rsidR="007929CC" w:rsidRPr="007929CC">
              <w:rPr>
                <w:rFonts w:cs="Arial"/>
                <w:sz w:val="22"/>
                <w:szCs w:val="22"/>
              </w:rPr>
              <w:t xml:space="preserve">and </w:t>
            </w:r>
            <w:r w:rsidR="007929CC">
              <w:rPr>
                <w:rFonts w:cs="Arial"/>
                <w:sz w:val="22"/>
                <w:szCs w:val="22"/>
              </w:rPr>
              <w:t>p</w:t>
            </w:r>
            <w:r w:rsidR="007929CC" w:rsidRPr="007929CC">
              <w:rPr>
                <w:rFonts w:cs="Arial"/>
                <w:sz w:val="22"/>
                <w:szCs w:val="22"/>
              </w:rPr>
              <w:t>remium mail and logistics.</w:t>
            </w:r>
          </w:p>
          <w:p w14:paraId="5436FB4D" w14:textId="77777777" w:rsidR="00802EF8" w:rsidRDefault="00802EF8" w:rsidP="00802EF8">
            <w:pPr>
              <w:pStyle w:val="ListParagraph"/>
              <w:rPr>
                <w:rFonts w:cs="Arial"/>
                <w:sz w:val="22"/>
                <w:szCs w:val="22"/>
              </w:rPr>
            </w:pPr>
          </w:p>
          <w:p w14:paraId="28EDA9F5" w14:textId="2C88B27A" w:rsidR="00C4072C" w:rsidRDefault="007929CC" w:rsidP="00EA3AF0">
            <w:pPr>
              <w:pStyle w:val="ListParagraph"/>
              <w:numPr>
                <w:ilvl w:val="0"/>
                <w:numId w:val="19"/>
              </w:numPr>
              <w:rPr>
                <w:rFonts w:cs="Arial"/>
                <w:sz w:val="22"/>
                <w:szCs w:val="22"/>
              </w:rPr>
            </w:pPr>
            <w:r>
              <w:rPr>
                <w:rFonts w:cs="Arial"/>
                <w:sz w:val="22"/>
                <w:szCs w:val="22"/>
              </w:rPr>
              <w:t xml:space="preserve">Whether </w:t>
            </w:r>
            <w:r w:rsidR="00F769AA">
              <w:rPr>
                <w:rFonts w:cs="Arial"/>
                <w:sz w:val="22"/>
                <w:szCs w:val="22"/>
              </w:rPr>
              <w:t xml:space="preserve">any </w:t>
            </w:r>
            <w:r w:rsidR="00A67D04">
              <w:rPr>
                <w:rFonts w:cs="Arial"/>
                <w:sz w:val="22"/>
                <w:szCs w:val="22"/>
              </w:rPr>
              <w:t>existing commodity market segments</w:t>
            </w:r>
            <w:r w:rsidR="0030765A" w:rsidRPr="003D5F57">
              <w:rPr>
                <w:rFonts w:cs="Arial"/>
                <w:sz w:val="22"/>
                <w:szCs w:val="22"/>
              </w:rPr>
              <w:t xml:space="preserve"> should be sub-defined</w:t>
            </w:r>
            <w:r w:rsidR="002C108A" w:rsidRPr="003D5F57">
              <w:rPr>
                <w:rFonts w:cs="Arial"/>
                <w:sz w:val="22"/>
                <w:szCs w:val="22"/>
              </w:rPr>
              <w:t>.</w:t>
            </w:r>
            <w:r w:rsidR="003D5F57">
              <w:rPr>
                <w:rFonts w:cs="Arial"/>
                <w:sz w:val="22"/>
                <w:szCs w:val="22"/>
              </w:rPr>
              <w:t xml:space="preserve"> We note that i</w:t>
            </w:r>
            <w:r w:rsidR="002C108A" w:rsidRPr="003D5F57">
              <w:rPr>
                <w:rFonts w:cs="Arial"/>
                <w:sz w:val="22"/>
                <w:szCs w:val="22"/>
              </w:rPr>
              <w:t xml:space="preserve">n </w:t>
            </w:r>
            <w:proofErr w:type="spellStart"/>
            <w:r w:rsidR="002C108A" w:rsidRPr="003D5F57">
              <w:rPr>
                <w:rFonts w:cs="Arial"/>
                <w:sz w:val="22"/>
                <w:szCs w:val="22"/>
              </w:rPr>
              <w:t>PR18</w:t>
            </w:r>
            <w:proofErr w:type="spellEnd"/>
            <w:r w:rsidR="002C108A" w:rsidRPr="003D5F57">
              <w:rPr>
                <w:rFonts w:cs="Arial"/>
                <w:sz w:val="22"/>
                <w:szCs w:val="22"/>
              </w:rPr>
              <w:t xml:space="preserve">, </w:t>
            </w:r>
            <w:r w:rsidR="000D4031">
              <w:rPr>
                <w:rFonts w:cs="Arial"/>
                <w:sz w:val="22"/>
                <w:szCs w:val="22"/>
              </w:rPr>
              <w:t xml:space="preserve">we </w:t>
            </w:r>
            <w:r>
              <w:rPr>
                <w:rFonts w:cs="Arial"/>
                <w:sz w:val="22"/>
                <w:szCs w:val="22"/>
              </w:rPr>
              <w:t xml:space="preserve">explored the feasibility of disaggregating the </w:t>
            </w:r>
            <w:r w:rsidR="002C108A" w:rsidRPr="003D5F57">
              <w:rPr>
                <w:rFonts w:cs="Arial"/>
                <w:sz w:val="22"/>
                <w:szCs w:val="22"/>
              </w:rPr>
              <w:t>intermodal market segment</w:t>
            </w:r>
            <w:r>
              <w:rPr>
                <w:rFonts w:cs="Arial"/>
                <w:sz w:val="22"/>
                <w:szCs w:val="22"/>
              </w:rPr>
              <w:t xml:space="preserve"> on a geographic basis</w:t>
            </w:r>
            <w:r w:rsidR="002C108A" w:rsidRPr="003D5F57">
              <w:rPr>
                <w:rFonts w:cs="Arial"/>
                <w:sz w:val="22"/>
                <w:szCs w:val="22"/>
              </w:rPr>
              <w:t>, but</w:t>
            </w:r>
            <w:r>
              <w:rPr>
                <w:rFonts w:cs="Arial"/>
                <w:sz w:val="22"/>
                <w:szCs w:val="22"/>
              </w:rPr>
              <w:t xml:space="preserve"> considered that </w:t>
            </w:r>
            <w:r w:rsidR="00C4072C">
              <w:rPr>
                <w:rFonts w:cs="Arial"/>
                <w:sz w:val="22"/>
                <w:szCs w:val="22"/>
              </w:rPr>
              <w:t>e</w:t>
            </w:r>
            <w:r w:rsidR="00C4072C" w:rsidRPr="00C4072C">
              <w:rPr>
                <w:rFonts w:cs="Arial"/>
                <w:sz w:val="22"/>
                <w:szCs w:val="22"/>
              </w:rPr>
              <w:t>vidence to support</w:t>
            </w:r>
            <w:r w:rsidR="00C4072C">
              <w:rPr>
                <w:rFonts w:cs="Arial"/>
                <w:sz w:val="22"/>
                <w:szCs w:val="22"/>
              </w:rPr>
              <w:t xml:space="preserve"> levying ICCs in specific geographic areas was limited at that</w:t>
            </w:r>
            <w:r w:rsidR="00C4072C" w:rsidRPr="00C4072C">
              <w:rPr>
                <w:rFonts w:cs="Arial"/>
                <w:sz w:val="22"/>
                <w:szCs w:val="22"/>
              </w:rPr>
              <w:t xml:space="preserve"> point in time.</w:t>
            </w:r>
            <w:r w:rsidR="00C4072C">
              <w:rPr>
                <w:rFonts w:cs="Arial"/>
                <w:sz w:val="22"/>
                <w:szCs w:val="22"/>
              </w:rPr>
              <w:t xml:space="preserve"> </w:t>
            </w:r>
            <w:r w:rsidR="000D4031">
              <w:rPr>
                <w:rFonts w:cs="Arial"/>
                <w:sz w:val="22"/>
                <w:szCs w:val="22"/>
              </w:rPr>
              <w:t xml:space="preserve">We </w:t>
            </w:r>
            <w:r w:rsidR="00A769FC">
              <w:rPr>
                <w:rFonts w:cs="Arial"/>
                <w:sz w:val="22"/>
                <w:szCs w:val="22"/>
              </w:rPr>
              <w:t xml:space="preserve">also </w:t>
            </w:r>
            <w:r w:rsidR="00C4072C">
              <w:rPr>
                <w:rFonts w:cs="Arial"/>
                <w:sz w:val="22"/>
                <w:szCs w:val="22"/>
              </w:rPr>
              <w:t xml:space="preserve">identified </w:t>
            </w:r>
            <w:r>
              <w:rPr>
                <w:rFonts w:cs="Arial"/>
                <w:sz w:val="22"/>
                <w:szCs w:val="22"/>
              </w:rPr>
              <w:t>several practical issue</w:t>
            </w:r>
            <w:r w:rsidR="00C4072C">
              <w:rPr>
                <w:rFonts w:cs="Arial"/>
                <w:sz w:val="22"/>
                <w:szCs w:val="22"/>
              </w:rPr>
              <w:t>s with levying a charge in this way (e.g. the use of portfolio pricing for freight services). We would</w:t>
            </w:r>
            <w:r w:rsidR="009307F2">
              <w:rPr>
                <w:rFonts w:cs="Arial"/>
                <w:sz w:val="22"/>
                <w:szCs w:val="22"/>
              </w:rPr>
              <w:t xml:space="preserve"> expect this work to review whether this </w:t>
            </w:r>
            <w:r w:rsidR="00C4072C">
              <w:rPr>
                <w:rFonts w:cs="Arial"/>
                <w:sz w:val="22"/>
                <w:szCs w:val="22"/>
              </w:rPr>
              <w:t>conclusion</w:t>
            </w:r>
            <w:r w:rsidR="009307F2">
              <w:rPr>
                <w:rFonts w:cs="Arial"/>
                <w:sz w:val="22"/>
                <w:szCs w:val="22"/>
              </w:rPr>
              <w:t xml:space="preserve"> continues to hold</w:t>
            </w:r>
            <w:r w:rsidR="00C4072C">
              <w:rPr>
                <w:rFonts w:cs="Arial"/>
                <w:sz w:val="22"/>
                <w:szCs w:val="22"/>
              </w:rPr>
              <w:t xml:space="preserve">.  </w:t>
            </w:r>
          </w:p>
          <w:p w14:paraId="6C227E0A" w14:textId="2E6FA3B7" w:rsidR="00C4072C" w:rsidRDefault="0030765A" w:rsidP="00AD7DBB">
            <w:pPr>
              <w:rPr>
                <w:sz w:val="22"/>
                <w:szCs w:val="22"/>
                <w:u w:val="single"/>
              </w:rPr>
            </w:pPr>
            <w:r w:rsidRPr="00C4072C">
              <w:rPr>
                <w:sz w:val="22"/>
                <w:szCs w:val="22"/>
                <w:u w:val="single"/>
              </w:rPr>
              <w:t>Stage 2:</w:t>
            </w:r>
            <w:r w:rsidR="00C4072C">
              <w:rPr>
                <w:sz w:val="22"/>
                <w:szCs w:val="22"/>
                <w:u w:val="single"/>
              </w:rPr>
              <w:t xml:space="preserve"> Assessment of ability to bear</w:t>
            </w:r>
            <w:r w:rsidR="00690C1B" w:rsidRPr="00C4072C">
              <w:rPr>
                <w:sz w:val="22"/>
                <w:szCs w:val="22"/>
                <w:u w:val="single"/>
              </w:rPr>
              <w:t xml:space="preserve"> </w:t>
            </w:r>
          </w:p>
          <w:p w14:paraId="75517C37" w14:textId="199B5F67" w:rsidR="00A67D04" w:rsidRDefault="00A67D04" w:rsidP="00A67D04">
            <w:pPr>
              <w:spacing w:after="0"/>
              <w:rPr>
                <w:rFonts w:cs="Arial"/>
                <w:sz w:val="22"/>
                <w:szCs w:val="22"/>
              </w:rPr>
            </w:pPr>
            <w:r>
              <w:rPr>
                <w:rFonts w:cs="Arial"/>
                <w:sz w:val="22"/>
                <w:szCs w:val="22"/>
              </w:rPr>
              <w:t>This stage of the freight analysis should be undertaken in a proportionate way. We would expect the work to focus on</w:t>
            </w:r>
            <w:r w:rsidR="00FC7FBB">
              <w:rPr>
                <w:rFonts w:cs="Arial"/>
                <w:sz w:val="22"/>
                <w:szCs w:val="22"/>
              </w:rPr>
              <w:t xml:space="preserve"> the ability to bear for</w:t>
            </w:r>
            <w:r>
              <w:rPr>
                <w:rFonts w:cs="Arial"/>
                <w:sz w:val="22"/>
                <w:szCs w:val="22"/>
              </w:rPr>
              <w:t>:</w:t>
            </w:r>
          </w:p>
          <w:p w14:paraId="5FE8EB86" w14:textId="05A0631A" w:rsidR="00A67D04" w:rsidRDefault="00A67D04" w:rsidP="00A67D04">
            <w:pPr>
              <w:spacing w:after="0"/>
              <w:rPr>
                <w:rFonts w:cs="Arial"/>
                <w:sz w:val="22"/>
                <w:szCs w:val="22"/>
              </w:rPr>
            </w:pPr>
          </w:p>
          <w:p w14:paraId="624800D8" w14:textId="408BA062" w:rsidR="00816CCC" w:rsidRDefault="00A67D04" w:rsidP="00816CCC">
            <w:pPr>
              <w:pStyle w:val="ListParagraph"/>
              <w:numPr>
                <w:ilvl w:val="0"/>
                <w:numId w:val="15"/>
              </w:numPr>
              <w:spacing w:after="0"/>
              <w:rPr>
                <w:rFonts w:cs="Arial"/>
                <w:sz w:val="22"/>
                <w:szCs w:val="22"/>
              </w:rPr>
            </w:pPr>
            <w:r w:rsidRPr="00A67D04">
              <w:rPr>
                <w:rFonts w:cs="Arial"/>
                <w:sz w:val="22"/>
                <w:szCs w:val="22"/>
              </w:rPr>
              <w:t xml:space="preserve">The existing commodities </w:t>
            </w:r>
            <w:r>
              <w:rPr>
                <w:rFonts w:cs="Arial"/>
                <w:sz w:val="22"/>
                <w:szCs w:val="22"/>
              </w:rPr>
              <w:t>for which a</w:t>
            </w:r>
            <w:r w:rsidR="00E96223">
              <w:rPr>
                <w:rFonts w:cs="Arial"/>
                <w:sz w:val="22"/>
                <w:szCs w:val="22"/>
              </w:rPr>
              <w:t>n</w:t>
            </w:r>
            <w:r>
              <w:rPr>
                <w:rFonts w:cs="Arial"/>
                <w:sz w:val="22"/>
                <w:szCs w:val="22"/>
              </w:rPr>
              <w:t xml:space="preserve"> </w:t>
            </w:r>
            <w:r w:rsidR="007D7EBE">
              <w:rPr>
                <w:rFonts w:cs="Arial"/>
                <w:sz w:val="22"/>
                <w:szCs w:val="22"/>
              </w:rPr>
              <w:t xml:space="preserve">ICC </w:t>
            </w:r>
            <w:r>
              <w:rPr>
                <w:rFonts w:cs="Arial"/>
                <w:sz w:val="22"/>
                <w:szCs w:val="22"/>
              </w:rPr>
              <w:t xml:space="preserve">is paid. As set out above, these are: </w:t>
            </w:r>
            <w:proofErr w:type="spellStart"/>
            <w:r w:rsidRPr="00690C1B">
              <w:rPr>
                <w:rFonts w:cs="Arial"/>
                <w:sz w:val="22"/>
                <w:szCs w:val="22"/>
              </w:rPr>
              <w:t>ESI</w:t>
            </w:r>
            <w:proofErr w:type="spellEnd"/>
            <w:r w:rsidRPr="00690C1B">
              <w:rPr>
                <w:rFonts w:cs="Arial"/>
                <w:sz w:val="22"/>
                <w:szCs w:val="22"/>
              </w:rPr>
              <w:t xml:space="preserve"> </w:t>
            </w:r>
            <w:r>
              <w:rPr>
                <w:rFonts w:cs="Arial"/>
                <w:sz w:val="22"/>
                <w:szCs w:val="22"/>
              </w:rPr>
              <w:t>coal; s</w:t>
            </w:r>
            <w:r w:rsidRPr="00690C1B">
              <w:rPr>
                <w:rFonts w:cs="Arial"/>
                <w:sz w:val="22"/>
                <w:szCs w:val="22"/>
              </w:rPr>
              <w:t>pent nuclear fuel</w:t>
            </w:r>
            <w:r>
              <w:rPr>
                <w:rFonts w:cs="Arial"/>
                <w:sz w:val="22"/>
                <w:szCs w:val="22"/>
              </w:rPr>
              <w:t>; i</w:t>
            </w:r>
            <w:r w:rsidRPr="00690C1B">
              <w:rPr>
                <w:rFonts w:cs="Arial"/>
                <w:sz w:val="22"/>
                <w:szCs w:val="22"/>
              </w:rPr>
              <w:t>ron ore</w:t>
            </w:r>
            <w:r>
              <w:rPr>
                <w:rFonts w:cs="Arial"/>
                <w:sz w:val="22"/>
                <w:szCs w:val="22"/>
              </w:rPr>
              <w:t xml:space="preserve">; and </w:t>
            </w:r>
            <w:proofErr w:type="spellStart"/>
            <w:r>
              <w:rPr>
                <w:rFonts w:cs="Arial"/>
                <w:sz w:val="22"/>
                <w:szCs w:val="22"/>
              </w:rPr>
              <w:t>ESI</w:t>
            </w:r>
            <w:proofErr w:type="spellEnd"/>
            <w:r>
              <w:rPr>
                <w:rFonts w:cs="Arial"/>
                <w:sz w:val="22"/>
                <w:szCs w:val="22"/>
              </w:rPr>
              <w:t xml:space="preserve"> biomass.</w:t>
            </w:r>
            <w:r w:rsidR="00816CCC">
              <w:rPr>
                <w:rFonts w:cs="Arial"/>
                <w:sz w:val="22"/>
                <w:szCs w:val="22"/>
              </w:rPr>
              <w:t xml:space="preserve"> In particular:</w:t>
            </w:r>
          </w:p>
          <w:p w14:paraId="44D960F8" w14:textId="34D9A7AC" w:rsidR="00816CCC" w:rsidRDefault="00816CCC" w:rsidP="00816CCC">
            <w:pPr>
              <w:pStyle w:val="ListParagraph"/>
              <w:numPr>
                <w:ilvl w:val="1"/>
                <w:numId w:val="15"/>
              </w:numPr>
              <w:spacing w:after="0"/>
              <w:rPr>
                <w:rFonts w:cs="Arial"/>
                <w:sz w:val="22"/>
                <w:szCs w:val="22"/>
              </w:rPr>
            </w:pPr>
            <w:r>
              <w:rPr>
                <w:rFonts w:cs="Arial"/>
                <w:sz w:val="22"/>
                <w:szCs w:val="22"/>
              </w:rPr>
              <w:t>W</w:t>
            </w:r>
            <w:r w:rsidR="00A67D04" w:rsidRPr="00816CCC">
              <w:rPr>
                <w:rFonts w:cs="Arial"/>
                <w:sz w:val="22"/>
                <w:szCs w:val="22"/>
              </w:rPr>
              <w:t xml:space="preserve">e would expect the analysis to consider the position of </w:t>
            </w:r>
            <w:proofErr w:type="spellStart"/>
            <w:r w:rsidR="00A67D04" w:rsidRPr="00816CCC">
              <w:rPr>
                <w:rFonts w:cs="Arial"/>
                <w:sz w:val="22"/>
                <w:szCs w:val="22"/>
              </w:rPr>
              <w:t>ESI</w:t>
            </w:r>
            <w:proofErr w:type="spellEnd"/>
            <w:r w:rsidR="00A67D04" w:rsidRPr="00816CCC">
              <w:rPr>
                <w:rFonts w:cs="Arial"/>
                <w:sz w:val="22"/>
                <w:szCs w:val="22"/>
              </w:rPr>
              <w:t xml:space="preserve"> coal, given the significant decline </w:t>
            </w:r>
            <w:r w:rsidR="00FC7FBB" w:rsidRPr="00816CCC">
              <w:rPr>
                <w:rFonts w:cs="Arial"/>
                <w:sz w:val="22"/>
                <w:szCs w:val="22"/>
              </w:rPr>
              <w:t>in volumes of rail freight for th</w:t>
            </w:r>
            <w:r w:rsidR="007823EB" w:rsidRPr="00816CCC">
              <w:rPr>
                <w:rFonts w:cs="Arial"/>
                <w:sz w:val="22"/>
                <w:szCs w:val="22"/>
              </w:rPr>
              <w:t>is</w:t>
            </w:r>
            <w:r w:rsidR="00FC7FBB" w:rsidRPr="00816CCC">
              <w:rPr>
                <w:rFonts w:cs="Arial"/>
                <w:sz w:val="22"/>
                <w:szCs w:val="22"/>
              </w:rPr>
              <w:t xml:space="preserve"> commod</w:t>
            </w:r>
            <w:r w:rsidR="007823EB" w:rsidRPr="00816CCC">
              <w:rPr>
                <w:rFonts w:cs="Arial"/>
                <w:sz w:val="22"/>
                <w:szCs w:val="22"/>
              </w:rPr>
              <w:t>ity</w:t>
            </w:r>
            <w:r w:rsidR="00FC7FBB" w:rsidRPr="00816CCC">
              <w:rPr>
                <w:rFonts w:cs="Arial"/>
                <w:sz w:val="22"/>
                <w:szCs w:val="22"/>
              </w:rPr>
              <w:t xml:space="preserve"> over the last few years</w:t>
            </w:r>
            <w:r w:rsidR="00671A5C">
              <w:rPr>
                <w:rStyle w:val="FootnoteReference"/>
                <w:rFonts w:cs="Arial"/>
                <w:sz w:val="22"/>
                <w:szCs w:val="22"/>
              </w:rPr>
              <w:footnoteReference w:id="12"/>
            </w:r>
            <w:r w:rsidR="00FC7FBB" w:rsidRPr="00816CCC">
              <w:rPr>
                <w:rFonts w:cs="Arial"/>
                <w:sz w:val="22"/>
                <w:szCs w:val="22"/>
              </w:rPr>
              <w:t>.</w:t>
            </w:r>
          </w:p>
          <w:p w14:paraId="05435015" w14:textId="0DE92912" w:rsidR="00A67D04" w:rsidRPr="00816CCC" w:rsidRDefault="00FC7FBB" w:rsidP="00816CCC">
            <w:pPr>
              <w:pStyle w:val="ListParagraph"/>
              <w:numPr>
                <w:ilvl w:val="1"/>
                <w:numId w:val="15"/>
              </w:numPr>
              <w:spacing w:after="0"/>
              <w:rPr>
                <w:rFonts w:cs="Arial"/>
                <w:sz w:val="22"/>
                <w:szCs w:val="22"/>
              </w:rPr>
            </w:pPr>
            <w:r w:rsidRPr="00816CCC">
              <w:rPr>
                <w:rFonts w:cs="Arial"/>
                <w:sz w:val="22"/>
                <w:szCs w:val="22"/>
              </w:rPr>
              <w:t xml:space="preserve">For </w:t>
            </w:r>
            <w:proofErr w:type="spellStart"/>
            <w:r w:rsidRPr="00816CCC">
              <w:rPr>
                <w:rFonts w:cs="Arial"/>
                <w:sz w:val="22"/>
                <w:szCs w:val="22"/>
              </w:rPr>
              <w:t>ESI</w:t>
            </w:r>
            <w:proofErr w:type="spellEnd"/>
            <w:r w:rsidRPr="00816CCC">
              <w:rPr>
                <w:rFonts w:cs="Arial"/>
                <w:sz w:val="22"/>
                <w:szCs w:val="22"/>
              </w:rPr>
              <w:t xml:space="preserve"> biomass, we would also expect the work to consider any evidence on the impact on volumes and profitability of our decision to introduce a charge for </w:t>
            </w:r>
            <w:proofErr w:type="spellStart"/>
            <w:r w:rsidRPr="00816CCC">
              <w:rPr>
                <w:rFonts w:cs="Arial"/>
                <w:sz w:val="22"/>
                <w:szCs w:val="22"/>
              </w:rPr>
              <w:t>CP6</w:t>
            </w:r>
            <w:proofErr w:type="spellEnd"/>
            <w:r w:rsidRPr="00816CCC">
              <w:rPr>
                <w:rFonts w:cs="Arial"/>
                <w:sz w:val="22"/>
                <w:szCs w:val="22"/>
              </w:rPr>
              <w:t xml:space="preserve"> (noting that, due to the phase-in profile we set in </w:t>
            </w:r>
            <w:proofErr w:type="spellStart"/>
            <w:r w:rsidRPr="00816CCC">
              <w:rPr>
                <w:rFonts w:cs="Arial"/>
                <w:sz w:val="22"/>
                <w:szCs w:val="22"/>
              </w:rPr>
              <w:t>PR18</w:t>
            </w:r>
            <w:proofErr w:type="spellEnd"/>
            <w:r w:rsidRPr="00816CCC">
              <w:rPr>
                <w:rFonts w:cs="Arial"/>
                <w:sz w:val="22"/>
                <w:szCs w:val="22"/>
              </w:rPr>
              <w:t>, freight operators have only started paying a</w:t>
            </w:r>
            <w:r w:rsidR="00E96223" w:rsidRPr="00816CCC">
              <w:rPr>
                <w:rFonts w:cs="Arial"/>
                <w:sz w:val="22"/>
                <w:szCs w:val="22"/>
              </w:rPr>
              <w:t>n</w:t>
            </w:r>
            <w:r w:rsidRPr="00816CCC">
              <w:rPr>
                <w:rFonts w:cs="Arial"/>
                <w:sz w:val="22"/>
                <w:szCs w:val="22"/>
              </w:rPr>
              <w:t xml:space="preserve"> </w:t>
            </w:r>
            <w:r w:rsidR="007D7EBE" w:rsidRPr="00816CCC">
              <w:rPr>
                <w:rFonts w:cs="Arial"/>
                <w:sz w:val="22"/>
                <w:szCs w:val="22"/>
              </w:rPr>
              <w:t>ICC</w:t>
            </w:r>
            <w:r w:rsidRPr="00816CCC">
              <w:rPr>
                <w:rFonts w:cs="Arial"/>
                <w:sz w:val="22"/>
                <w:szCs w:val="22"/>
              </w:rPr>
              <w:t xml:space="preserve"> for biomass services in the current financial year). </w:t>
            </w:r>
          </w:p>
          <w:p w14:paraId="697A57C9" w14:textId="77777777" w:rsidR="00A67D04" w:rsidRDefault="00A67D04" w:rsidP="00A67D04">
            <w:pPr>
              <w:pStyle w:val="ListParagraph"/>
              <w:spacing w:after="0"/>
              <w:rPr>
                <w:rFonts w:cs="Arial"/>
                <w:sz w:val="22"/>
                <w:szCs w:val="22"/>
              </w:rPr>
            </w:pPr>
          </w:p>
          <w:p w14:paraId="65B4128D" w14:textId="19FB047B" w:rsidR="00A67D04" w:rsidRPr="00A67D04" w:rsidRDefault="00A67D04" w:rsidP="00EA3AF0">
            <w:pPr>
              <w:pStyle w:val="ListParagraph"/>
              <w:numPr>
                <w:ilvl w:val="0"/>
                <w:numId w:val="15"/>
              </w:numPr>
              <w:spacing w:after="0"/>
              <w:rPr>
                <w:rFonts w:cs="Arial"/>
                <w:sz w:val="22"/>
                <w:szCs w:val="22"/>
              </w:rPr>
            </w:pPr>
            <w:r>
              <w:rPr>
                <w:rFonts w:cs="Arial"/>
                <w:sz w:val="22"/>
                <w:szCs w:val="22"/>
              </w:rPr>
              <w:t xml:space="preserve">Other commodities </w:t>
            </w:r>
            <w:r w:rsidR="00F769AA">
              <w:rPr>
                <w:rFonts w:cs="Arial"/>
                <w:sz w:val="22"/>
                <w:szCs w:val="22"/>
              </w:rPr>
              <w:t xml:space="preserve">for which </w:t>
            </w:r>
            <w:r>
              <w:rPr>
                <w:rFonts w:cs="Arial"/>
                <w:sz w:val="22"/>
                <w:szCs w:val="22"/>
              </w:rPr>
              <w:t xml:space="preserve">there have been significant changes in </w:t>
            </w:r>
            <w:r w:rsidR="00F769AA">
              <w:rPr>
                <w:rFonts w:cs="Arial"/>
                <w:sz w:val="22"/>
                <w:szCs w:val="22"/>
              </w:rPr>
              <w:t xml:space="preserve">demand and / or </w:t>
            </w:r>
            <w:r>
              <w:rPr>
                <w:rFonts w:cs="Arial"/>
                <w:sz w:val="22"/>
                <w:szCs w:val="22"/>
              </w:rPr>
              <w:t xml:space="preserve">market </w:t>
            </w:r>
            <w:r w:rsidR="00F769AA">
              <w:rPr>
                <w:rFonts w:cs="Arial"/>
                <w:sz w:val="22"/>
                <w:szCs w:val="22"/>
              </w:rPr>
              <w:t>c</w:t>
            </w:r>
            <w:r>
              <w:rPr>
                <w:rFonts w:cs="Arial"/>
                <w:sz w:val="22"/>
                <w:szCs w:val="22"/>
              </w:rPr>
              <w:t xml:space="preserve">onditions since </w:t>
            </w:r>
            <w:proofErr w:type="spellStart"/>
            <w:r>
              <w:rPr>
                <w:rFonts w:cs="Arial"/>
                <w:sz w:val="22"/>
                <w:szCs w:val="22"/>
              </w:rPr>
              <w:t>PR18</w:t>
            </w:r>
            <w:proofErr w:type="spellEnd"/>
            <w:r>
              <w:rPr>
                <w:rFonts w:cs="Arial"/>
                <w:sz w:val="22"/>
                <w:szCs w:val="22"/>
              </w:rPr>
              <w:t xml:space="preserve">, which may have materially increased their ability to bear mark-ups. </w:t>
            </w:r>
          </w:p>
          <w:p w14:paraId="290ACA1D" w14:textId="66BA38B6" w:rsidR="00A67D04" w:rsidRDefault="00A67D04" w:rsidP="00A67D04">
            <w:pPr>
              <w:spacing w:after="0"/>
              <w:rPr>
                <w:rFonts w:cs="Arial"/>
                <w:sz w:val="22"/>
                <w:szCs w:val="22"/>
              </w:rPr>
            </w:pPr>
          </w:p>
          <w:p w14:paraId="782B6EBE" w14:textId="58CA5BA7" w:rsidR="00C20FC7" w:rsidRDefault="00FC7FBB" w:rsidP="00C85338">
            <w:pPr>
              <w:spacing w:after="0"/>
              <w:rPr>
                <w:rFonts w:cs="Arial"/>
                <w:sz w:val="22"/>
                <w:szCs w:val="22"/>
              </w:rPr>
            </w:pPr>
            <w:r>
              <w:rPr>
                <w:rFonts w:cs="Arial"/>
                <w:sz w:val="22"/>
                <w:szCs w:val="22"/>
              </w:rPr>
              <w:t>For the market segments which we decide to prioritise, bas</w:t>
            </w:r>
            <w:r w:rsidR="003F065C">
              <w:rPr>
                <w:rFonts w:cs="Arial"/>
                <w:sz w:val="22"/>
                <w:szCs w:val="22"/>
              </w:rPr>
              <w:t>ed on the considerations</w:t>
            </w:r>
            <w:r>
              <w:rPr>
                <w:rFonts w:cs="Arial"/>
                <w:sz w:val="22"/>
                <w:szCs w:val="22"/>
              </w:rPr>
              <w:t xml:space="preserve"> above,</w:t>
            </w:r>
            <w:r w:rsidR="00C85338">
              <w:rPr>
                <w:rFonts w:cs="Arial"/>
                <w:sz w:val="22"/>
                <w:szCs w:val="22"/>
              </w:rPr>
              <w:t xml:space="preserve"> we expect the stage two assessment </w:t>
            </w:r>
            <w:r w:rsidR="00C20FC7">
              <w:rPr>
                <w:rFonts w:cs="Arial"/>
                <w:sz w:val="22"/>
                <w:szCs w:val="22"/>
              </w:rPr>
              <w:t>would involve</w:t>
            </w:r>
            <w:r w:rsidR="00C85338">
              <w:rPr>
                <w:rFonts w:cs="Arial"/>
                <w:sz w:val="22"/>
                <w:szCs w:val="22"/>
              </w:rPr>
              <w:t xml:space="preserve"> the following activities</w:t>
            </w:r>
            <w:r w:rsidR="00C20FC7">
              <w:rPr>
                <w:rFonts w:cs="Arial"/>
                <w:sz w:val="22"/>
                <w:szCs w:val="22"/>
              </w:rPr>
              <w:t>:</w:t>
            </w:r>
          </w:p>
          <w:p w14:paraId="413FDD98" w14:textId="77777777" w:rsidR="00C85338" w:rsidRPr="002C108A" w:rsidRDefault="00C85338" w:rsidP="00C85338">
            <w:pPr>
              <w:spacing w:after="0"/>
              <w:rPr>
                <w:rFonts w:cs="Arial"/>
                <w:sz w:val="22"/>
                <w:szCs w:val="22"/>
              </w:rPr>
            </w:pPr>
          </w:p>
          <w:p w14:paraId="40697872" w14:textId="41A2056C" w:rsidR="00FC7FBB" w:rsidRDefault="0030765A" w:rsidP="00792E01">
            <w:pPr>
              <w:pStyle w:val="ListParagraph"/>
              <w:numPr>
                <w:ilvl w:val="0"/>
                <w:numId w:val="20"/>
              </w:numPr>
              <w:spacing w:after="0"/>
              <w:rPr>
                <w:rFonts w:cs="Arial"/>
                <w:sz w:val="22"/>
                <w:szCs w:val="22"/>
              </w:rPr>
            </w:pPr>
            <w:r w:rsidRPr="002916BB">
              <w:rPr>
                <w:rFonts w:cs="Arial"/>
                <w:sz w:val="22"/>
                <w:szCs w:val="22"/>
              </w:rPr>
              <w:t xml:space="preserve">Reviewing </w:t>
            </w:r>
            <w:r w:rsidR="00FC7FBB" w:rsidRPr="002916BB">
              <w:rPr>
                <w:rFonts w:cs="Arial"/>
                <w:sz w:val="22"/>
                <w:szCs w:val="22"/>
              </w:rPr>
              <w:t xml:space="preserve">the </w:t>
            </w:r>
            <w:r w:rsidRPr="002916BB">
              <w:rPr>
                <w:rFonts w:cs="Arial"/>
                <w:sz w:val="22"/>
                <w:szCs w:val="22"/>
              </w:rPr>
              <w:t xml:space="preserve">latest </w:t>
            </w:r>
            <w:r w:rsidR="00C85338" w:rsidRPr="002916BB">
              <w:rPr>
                <w:rFonts w:cs="Arial"/>
                <w:sz w:val="22"/>
                <w:szCs w:val="22"/>
              </w:rPr>
              <w:t xml:space="preserve">quantitative </w:t>
            </w:r>
            <w:r w:rsidRPr="002916BB">
              <w:rPr>
                <w:rFonts w:cs="Arial"/>
                <w:sz w:val="22"/>
                <w:szCs w:val="22"/>
              </w:rPr>
              <w:t xml:space="preserve">evidence on </w:t>
            </w:r>
            <w:r w:rsidR="00FC7FBB" w:rsidRPr="002916BB">
              <w:rPr>
                <w:rFonts w:cs="Arial"/>
                <w:sz w:val="22"/>
                <w:szCs w:val="22"/>
              </w:rPr>
              <w:t xml:space="preserve">commodity-specific demand </w:t>
            </w:r>
            <w:r w:rsidRPr="002916BB">
              <w:rPr>
                <w:rFonts w:cs="Arial"/>
                <w:sz w:val="22"/>
                <w:szCs w:val="22"/>
              </w:rPr>
              <w:t>elasticiti</w:t>
            </w:r>
            <w:r w:rsidR="00FC7FBB" w:rsidRPr="002916BB">
              <w:rPr>
                <w:rFonts w:cs="Arial"/>
                <w:sz w:val="22"/>
                <w:szCs w:val="22"/>
              </w:rPr>
              <w:t>es</w:t>
            </w:r>
            <w:r w:rsidR="00972E2E" w:rsidRPr="002916BB">
              <w:rPr>
                <w:rFonts w:cs="Arial"/>
                <w:sz w:val="22"/>
                <w:szCs w:val="22"/>
              </w:rPr>
              <w:t xml:space="preserve">. </w:t>
            </w:r>
            <w:r w:rsidR="000D4031">
              <w:rPr>
                <w:rFonts w:cs="Arial"/>
                <w:sz w:val="22"/>
                <w:szCs w:val="22"/>
              </w:rPr>
              <w:t xml:space="preserve">The </w:t>
            </w:r>
            <w:proofErr w:type="spellStart"/>
            <w:r w:rsidR="0076303B" w:rsidRPr="002916BB">
              <w:rPr>
                <w:rFonts w:cs="Arial"/>
                <w:sz w:val="22"/>
                <w:szCs w:val="22"/>
              </w:rPr>
              <w:t>PR18</w:t>
            </w:r>
            <w:proofErr w:type="spellEnd"/>
            <w:r w:rsidR="0076303B" w:rsidRPr="002916BB">
              <w:rPr>
                <w:rFonts w:cs="Arial"/>
                <w:sz w:val="22"/>
                <w:szCs w:val="22"/>
              </w:rPr>
              <w:t xml:space="preserve"> analysis was informed by historic e</w:t>
            </w:r>
            <w:r w:rsidR="00972E2E" w:rsidRPr="002916BB">
              <w:rPr>
                <w:rFonts w:cs="Arial"/>
                <w:sz w:val="22"/>
                <w:szCs w:val="22"/>
              </w:rPr>
              <w:t>lasticit</w:t>
            </w:r>
            <w:r w:rsidR="000941FF" w:rsidRPr="002916BB">
              <w:rPr>
                <w:rFonts w:cs="Arial"/>
                <w:sz w:val="22"/>
                <w:szCs w:val="22"/>
              </w:rPr>
              <w:t xml:space="preserve">y estimates </w:t>
            </w:r>
            <w:r w:rsidR="0076303B" w:rsidRPr="002916BB">
              <w:rPr>
                <w:rFonts w:cs="Arial"/>
                <w:sz w:val="22"/>
                <w:szCs w:val="22"/>
              </w:rPr>
              <w:t>from</w:t>
            </w:r>
            <w:r w:rsidR="00972E2E" w:rsidRPr="002916BB">
              <w:rPr>
                <w:rFonts w:cs="Arial"/>
                <w:sz w:val="22"/>
                <w:szCs w:val="22"/>
              </w:rPr>
              <w:t xml:space="preserve"> </w:t>
            </w:r>
            <w:r w:rsidR="00E67F6C" w:rsidRPr="002916BB">
              <w:rPr>
                <w:rFonts w:cs="Arial"/>
                <w:sz w:val="22"/>
                <w:szCs w:val="22"/>
              </w:rPr>
              <w:t xml:space="preserve">MDS </w:t>
            </w:r>
            <w:proofErr w:type="spellStart"/>
            <w:r w:rsidR="00E67F6C" w:rsidRPr="002916BB">
              <w:rPr>
                <w:rFonts w:cs="Arial"/>
                <w:sz w:val="22"/>
                <w:szCs w:val="22"/>
              </w:rPr>
              <w:t>Transmodal’s</w:t>
            </w:r>
            <w:proofErr w:type="spellEnd"/>
            <w:r w:rsidR="00E67F6C" w:rsidRPr="002916BB">
              <w:rPr>
                <w:rFonts w:cs="Arial"/>
                <w:sz w:val="22"/>
                <w:szCs w:val="22"/>
              </w:rPr>
              <w:t xml:space="preserve"> ‘GB Freight Model’ (validated by the Department for Transport);</w:t>
            </w:r>
            <w:r w:rsidR="00972E2E">
              <w:rPr>
                <w:rStyle w:val="FootnoteReference"/>
                <w:rFonts w:cs="Arial"/>
                <w:sz w:val="22"/>
                <w:szCs w:val="22"/>
              </w:rPr>
              <w:footnoteReference w:id="13"/>
            </w:r>
          </w:p>
          <w:p w14:paraId="6A31993B" w14:textId="77777777" w:rsidR="002916BB" w:rsidRPr="002916BB" w:rsidRDefault="002916BB" w:rsidP="002916BB">
            <w:pPr>
              <w:pStyle w:val="ListParagraph"/>
              <w:spacing w:after="0"/>
              <w:rPr>
                <w:rFonts w:cs="Arial"/>
                <w:sz w:val="22"/>
                <w:szCs w:val="22"/>
              </w:rPr>
            </w:pPr>
          </w:p>
          <w:p w14:paraId="4F572712" w14:textId="6BB5F564" w:rsidR="00FC7FBB" w:rsidRDefault="00826B40" w:rsidP="00EA3AF0">
            <w:pPr>
              <w:pStyle w:val="ListParagraph"/>
              <w:numPr>
                <w:ilvl w:val="0"/>
                <w:numId w:val="20"/>
              </w:numPr>
              <w:spacing w:after="0"/>
              <w:rPr>
                <w:rFonts w:cs="Arial"/>
                <w:sz w:val="22"/>
                <w:szCs w:val="22"/>
              </w:rPr>
            </w:pPr>
            <w:r w:rsidRPr="00FC7FBB">
              <w:rPr>
                <w:rFonts w:cs="Arial"/>
                <w:sz w:val="22"/>
                <w:szCs w:val="22"/>
              </w:rPr>
              <w:t xml:space="preserve">Where </w:t>
            </w:r>
            <w:r w:rsidR="0030765A" w:rsidRPr="00FC7FBB">
              <w:rPr>
                <w:rFonts w:cs="Arial"/>
                <w:sz w:val="22"/>
                <w:szCs w:val="22"/>
              </w:rPr>
              <w:t>more recent information</w:t>
            </w:r>
            <w:r w:rsidR="00C85338">
              <w:rPr>
                <w:rFonts w:cs="Arial"/>
                <w:sz w:val="22"/>
                <w:szCs w:val="22"/>
              </w:rPr>
              <w:t xml:space="preserve"> on demand elasticities is not available, a qualitative assessment of </w:t>
            </w:r>
            <w:r w:rsidR="00E67F6C" w:rsidRPr="00FC7FBB">
              <w:rPr>
                <w:rFonts w:cs="Arial"/>
                <w:sz w:val="22"/>
                <w:szCs w:val="22"/>
              </w:rPr>
              <w:t>changes to market conditions</w:t>
            </w:r>
            <w:r w:rsidR="00E67F6C">
              <w:rPr>
                <w:rFonts w:cs="Arial"/>
                <w:sz w:val="22"/>
                <w:szCs w:val="22"/>
              </w:rPr>
              <w:t xml:space="preserve"> </w:t>
            </w:r>
            <w:r w:rsidR="0030765A" w:rsidRPr="00FC7FBB">
              <w:rPr>
                <w:rFonts w:cs="Arial"/>
                <w:sz w:val="22"/>
                <w:szCs w:val="22"/>
              </w:rPr>
              <w:t>(and hence ability to bear)</w:t>
            </w:r>
            <w:r w:rsidR="00C85338">
              <w:rPr>
                <w:rFonts w:cs="Arial"/>
                <w:sz w:val="22"/>
                <w:szCs w:val="22"/>
              </w:rPr>
              <w:t xml:space="preserve">. This </w:t>
            </w:r>
            <w:r w:rsidR="000941FF">
              <w:rPr>
                <w:rFonts w:cs="Arial"/>
                <w:sz w:val="22"/>
                <w:szCs w:val="22"/>
              </w:rPr>
              <w:t xml:space="preserve">may </w:t>
            </w:r>
            <w:r w:rsidR="00C85338">
              <w:rPr>
                <w:rFonts w:cs="Arial"/>
                <w:sz w:val="22"/>
                <w:szCs w:val="22"/>
              </w:rPr>
              <w:t xml:space="preserve">for instance include the impact of </w:t>
            </w:r>
            <w:r w:rsidR="00334AF1">
              <w:rPr>
                <w:rFonts w:cs="Arial"/>
                <w:sz w:val="22"/>
                <w:szCs w:val="22"/>
              </w:rPr>
              <w:t xml:space="preserve">Covid and </w:t>
            </w:r>
            <w:r w:rsidR="00C85338">
              <w:rPr>
                <w:rFonts w:cs="Arial"/>
                <w:sz w:val="22"/>
                <w:szCs w:val="22"/>
              </w:rPr>
              <w:t>Brexit on different commodity flows, and / or the likely impact of energy market changes on demand for certain freight commodities</w:t>
            </w:r>
            <w:r w:rsidR="00F769AA">
              <w:rPr>
                <w:rFonts w:cs="Arial"/>
                <w:sz w:val="22"/>
                <w:szCs w:val="22"/>
              </w:rPr>
              <w:t>;</w:t>
            </w:r>
          </w:p>
          <w:p w14:paraId="79AB0274" w14:textId="77777777" w:rsidR="00FC7FBB" w:rsidRDefault="00FC7FBB" w:rsidP="00FC7FBB">
            <w:pPr>
              <w:pStyle w:val="ListParagraph"/>
              <w:spacing w:after="0"/>
              <w:rPr>
                <w:rFonts w:cs="Arial"/>
                <w:sz w:val="22"/>
                <w:szCs w:val="22"/>
              </w:rPr>
            </w:pPr>
          </w:p>
          <w:p w14:paraId="0F1672BD" w14:textId="645B1332" w:rsidR="00FC7FBB" w:rsidRDefault="00A769FC" w:rsidP="00EA3AF0">
            <w:pPr>
              <w:pStyle w:val="ListParagraph"/>
              <w:numPr>
                <w:ilvl w:val="0"/>
                <w:numId w:val="20"/>
              </w:numPr>
              <w:spacing w:after="0"/>
              <w:rPr>
                <w:rFonts w:cs="Arial"/>
                <w:sz w:val="22"/>
                <w:szCs w:val="22"/>
              </w:rPr>
            </w:pPr>
            <w:r>
              <w:rPr>
                <w:rFonts w:cs="Arial"/>
                <w:sz w:val="22"/>
                <w:szCs w:val="22"/>
              </w:rPr>
              <w:lastRenderedPageBreak/>
              <w:t>C</w:t>
            </w:r>
            <w:r w:rsidR="00C85338">
              <w:rPr>
                <w:rFonts w:cs="Arial"/>
                <w:sz w:val="22"/>
                <w:szCs w:val="22"/>
              </w:rPr>
              <w:t xml:space="preserve">onsistency with </w:t>
            </w:r>
            <w:r w:rsidR="0030765A" w:rsidRPr="00FC7FBB">
              <w:rPr>
                <w:rFonts w:cs="Arial"/>
                <w:sz w:val="22"/>
                <w:szCs w:val="22"/>
              </w:rPr>
              <w:t>Government policy towards certain commodities</w:t>
            </w:r>
            <w:r w:rsidR="00C85338">
              <w:rPr>
                <w:rFonts w:cs="Arial"/>
                <w:sz w:val="22"/>
                <w:szCs w:val="22"/>
              </w:rPr>
              <w:t>, for instance to reflect the environmental impacts of using different commodities in energy production</w:t>
            </w:r>
            <w:r w:rsidR="00F769AA">
              <w:rPr>
                <w:rFonts w:cs="Arial"/>
                <w:sz w:val="22"/>
                <w:szCs w:val="22"/>
              </w:rPr>
              <w:t>;</w:t>
            </w:r>
          </w:p>
          <w:p w14:paraId="0764CEE0" w14:textId="77777777" w:rsidR="00FC7FBB" w:rsidRDefault="00FC7FBB" w:rsidP="00FC7FBB">
            <w:pPr>
              <w:pStyle w:val="ListParagraph"/>
              <w:spacing w:after="0"/>
              <w:rPr>
                <w:rFonts w:cs="Arial"/>
                <w:sz w:val="22"/>
                <w:szCs w:val="22"/>
              </w:rPr>
            </w:pPr>
          </w:p>
          <w:p w14:paraId="6B274B43" w14:textId="4B3511AE" w:rsidR="005515F2" w:rsidRDefault="00F769AA" w:rsidP="00EA3AF0">
            <w:pPr>
              <w:pStyle w:val="ListParagraph"/>
              <w:numPr>
                <w:ilvl w:val="0"/>
                <w:numId w:val="20"/>
              </w:numPr>
              <w:spacing w:after="0"/>
              <w:rPr>
                <w:rFonts w:cs="Arial"/>
                <w:sz w:val="22"/>
                <w:szCs w:val="22"/>
              </w:rPr>
            </w:pPr>
            <w:r>
              <w:rPr>
                <w:rFonts w:cs="Arial"/>
                <w:sz w:val="22"/>
                <w:szCs w:val="22"/>
              </w:rPr>
              <w:t>O</w:t>
            </w:r>
            <w:r w:rsidR="00A67D04" w:rsidRPr="00FC7FBB">
              <w:rPr>
                <w:rFonts w:cs="Arial"/>
                <w:sz w:val="22"/>
                <w:szCs w:val="22"/>
              </w:rPr>
              <w:t xml:space="preserve">ther </w:t>
            </w:r>
            <w:r w:rsidR="00A769FC">
              <w:rPr>
                <w:rFonts w:cs="Arial"/>
                <w:sz w:val="22"/>
                <w:szCs w:val="22"/>
              </w:rPr>
              <w:t xml:space="preserve">relevant </w:t>
            </w:r>
            <w:r w:rsidR="00A67D04" w:rsidRPr="00FC7FBB">
              <w:rPr>
                <w:rFonts w:cs="Arial"/>
                <w:sz w:val="22"/>
                <w:szCs w:val="22"/>
              </w:rPr>
              <w:t>factors that may have affected the degree of substitutability between road and rail freight</w:t>
            </w:r>
            <w:r w:rsidR="00C85338">
              <w:rPr>
                <w:rFonts w:cs="Arial"/>
                <w:sz w:val="22"/>
                <w:szCs w:val="22"/>
              </w:rPr>
              <w:t xml:space="preserve"> since </w:t>
            </w:r>
            <w:proofErr w:type="spellStart"/>
            <w:r w:rsidR="00C85338">
              <w:rPr>
                <w:rFonts w:cs="Arial"/>
                <w:sz w:val="22"/>
                <w:szCs w:val="22"/>
              </w:rPr>
              <w:t>PR18</w:t>
            </w:r>
            <w:proofErr w:type="spellEnd"/>
            <w:r>
              <w:rPr>
                <w:rFonts w:cs="Arial"/>
                <w:sz w:val="22"/>
                <w:szCs w:val="22"/>
              </w:rPr>
              <w:t>.</w:t>
            </w:r>
          </w:p>
          <w:p w14:paraId="03D0D153" w14:textId="77777777" w:rsidR="005515F2" w:rsidRDefault="005515F2" w:rsidP="005515F2">
            <w:pPr>
              <w:spacing w:after="0"/>
              <w:rPr>
                <w:rFonts w:cs="Arial"/>
                <w:sz w:val="22"/>
                <w:szCs w:val="22"/>
              </w:rPr>
            </w:pPr>
          </w:p>
          <w:p w14:paraId="49585E8C" w14:textId="0BE61251" w:rsidR="004902F0" w:rsidRPr="005515F2" w:rsidRDefault="009A7A17" w:rsidP="005515F2">
            <w:pPr>
              <w:spacing w:after="0"/>
              <w:rPr>
                <w:rFonts w:cs="Arial"/>
                <w:sz w:val="22"/>
                <w:szCs w:val="22"/>
              </w:rPr>
            </w:pPr>
            <w:r>
              <w:rPr>
                <w:rFonts w:cs="Arial"/>
                <w:sz w:val="22"/>
                <w:szCs w:val="22"/>
              </w:rPr>
              <w:t>T</w:t>
            </w:r>
            <w:r w:rsidR="004902F0" w:rsidRPr="005515F2">
              <w:rPr>
                <w:rFonts w:cs="Arial"/>
                <w:sz w:val="22"/>
                <w:szCs w:val="22"/>
              </w:rPr>
              <w:t xml:space="preserve">his </w:t>
            </w:r>
            <w:r w:rsidR="00F769AA">
              <w:rPr>
                <w:rFonts w:cs="Arial"/>
                <w:sz w:val="22"/>
                <w:szCs w:val="22"/>
              </w:rPr>
              <w:t xml:space="preserve">analysis </w:t>
            </w:r>
            <w:r w:rsidR="004902F0" w:rsidRPr="005515F2">
              <w:rPr>
                <w:rFonts w:cs="Arial"/>
                <w:sz w:val="22"/>
                <w:szCs w:val="22"/>
              </w:rPr>
              <w:t xml:space="preserve">should as far as possible be forward-looking, as </w:t>
            </w:r>
            <w:r w:rsidR="00F769AA">
              <w:rPr>
                <w:rFonts w:cs="Arial"/>
                <w:sz w:val="22"/>
                <w:szCs w:val="22"/>
              </w:rPr>
              <w:t>we are seeking to assess</w:t>
            </w:r>
            <w:r w:rsidR="004902F0" w:rsidRPr="005515F2">
              <w:rPr>
                <w:rFonts w:cs="Arial"/>
                <w:sz w:val="22"/>
                <w:szCs w:val="22"/>
              </w:rPr>
              <w:t xml:space="preserve"> </w:t>
            </w:r>
            <w:r w:rsidR="00F769AA">
              <w:rPr>
                <w:rFonts w:cs="Arial"/>
                <w:sz w:val="22"/>
                <w:szCs w:val="22"/>
              </w:rPr>
              <w:t xml:space="preserve">the ability of </w:t>
            </w:r>
            <w:r w:rsidR="004902F0" w:rsidRPr="005515F2">
              <w:rPr>
                <w:rFonts w:cs="Arial"/>
                <w:sz w:val="22"/>
                <w:szCs w:val="22"/>
              </w:rPr>
              <w:t>freight services</w:t>
            </w:r>
            <w:r w:rsidR="00F769AA">
              <w:rPr>
                <w:rFonts w:cs="Arial"/>
                <w:sz w:val="22"/>
                <w:szCs w:val="22"/>
              </w:rPr>
              <w:t xml:space="preserve"> </w:t>
            </w:r>
            <w:r w:rsidR="004902F0" w:rsidRPr="005515F2">
              <w:rPr>
                <w:rFonts w:cs="Arial"/>
                <w:sz w:val="22"/>
                <w:szCs w:val="22"/>
              </w:rPr>
              <w:t xml:space="preserve">to bear </w:t>
            </w:r>
            <w:r w:rsidR="00F769AA">
              <w:rPr>
                <w:rFonts w:cs="Arial"/>
                <w:sz w:val="22"/>
                <w:szCs w:val="22"/>
              </w:rPr>
              <w:t>a</w:t>
            </w:r>
            <w:r w:rsidR="007C7098">
              <w:rPr>
                <w:rFonts w:cs="Arial"/>
                <w:sz w:val="22"/>
                <w:szCs w:val="22"/>
              </w:rPr>
              <w:t>n</w:t>
            </w:r>
            <w:r w:rsidR="004902F0" w:rsidRPr="005515F2">
              <w:rPr>
                <w:rFonts w:cs="Arial"/>
                <w:sz w:val="22"/>
                <w:szCs w:val="22"/>
              </w:rPr>
              <w:t xml:space="preserve"> </w:t>
            </w:r>
            <w:r w:rsidR="007D7EBE">
              <w:rPr>
                <w:rFonts w:cs="Arial"/>
                <w:sz w:val="22"/>
                <w:szCs w:val="22"/>
              </w:rPr>
              <w:t>ICC</w:t>
            </w:r>
            <w:r w:rsidR="004902F0" w:rsidRPr="005515F2">
              <w:rPr>
                <w:rFonts w:cs="Arial"/>
                <w:sz w:val="22"/>
                <w:szCs w:val="22"/>
              </w:rPr>
              <w:t xml:space="preserve"> in the next control period</w:t>
            </w:r>
            <w:r w:rsidR="00F769AA">
              <w:rPr>
                <w:rFonts w:cs="Arial"/>
                <w:sz w:val="22"/>
                <w:szCs w:val="22"/>
              </w:rPr>
              <w:t xml:space="preserve"> (</w:t>
            </w:r>
            <w:proofErr w:type="spellStart"/>
            <w:r w:rsidR="00F769AA">
              <w:rPr>
                <w:rFonts w:cs="Arial"/>
                <w:sz w:val="22"/>
                <w:szCs w:val="22"/>
              </w:rPr>
              <w:t>CP7</w:t>
            </w:r>
            <w:proofErr w:type="spellEnd"/>
            <w:r w:rsidR="00F769AA">
              <w:rPr>
                <w:rFonts w:cs="Arial"/>
                <w:sz w:val="22"/>
                <w:szCs w:val="22"/>
              </w:rPr>
              <w:t>)</w:t>
            </w:r>
            <w:r w:rsidR="004902F0" w:rsidRPr="005515F2">
              <w:rPr>
                <w:rFonts w:cs="Arial"/>
                <w:sz w:val="22"/>
                <w:szCs w:val="22"/>
              </w:rPr>
              <w:t xml:space="preserve">, which </w:t>
            </w:r>
            <w:r w:rsidR="00F769AA">
              <w:rPr>
                <w:rFonts w:cs="Arial"/>
                <w:sz w:val="22"/>
                <w:szCs w:val="22"/>
              </w:rPr>
              <w:t xml:space="preserve">will cover the period </w:t>
            </w:r>
            <w:r w:rsidR="004902F0" w:rsidRPr="005515F2">
              <w:rPr>
                <w:rFonts w:cs="Arial"/>
                <w:sz w:val="22"/>
                <w:szCs w:val="22"/>
              </w:rPr>
              <w:t>from 2024 to 2029.</w:t>
            </w:r>
          </w:p>
          <w:p w14:paraId="47F433EA" w14:textId="77777777" w:rsidR="004902F0" w:rsidRDefault="004902F0" w:rsidP="00C20FC7">
            <w:pPr>
              <w:spacing w:after="0"/>
              <w:rPr>
                <w:rFonts w:cs="Arial"/>
                <w:sz w:val="22"/>
                <w:szCs w:val="22"/>
              </w:rPr>
            </w:pPr>
          </w:p>
          <w:p w14:paraId="02942AB1" w14:textId="77777777" w:rsidR="00AD7DBB" w:rsidRDefault="00263408" w:rsidP="00AD7DBB">
            <w:pPr>
              <w:spacing w:after="0"/>
              <w:rPr>
                <w:b/>
                <w:sz w:val="22"/>
                <w:szCs w:val="22"/>
              </w:rPr>
            </w:pPr>
            <w:r>
              <w:rPr>
                <w:b/>
                <w:sz w:val="22"/>
                <w:szCs w:val="22"/>
              </w:rPr>
              <w:t>Open access</w:t>
            </w:r>
            <w:r w:rsidR="0030765A" w:rsidRPr="00512C13">
              <w:rPr>
                <w:b/>
                <w:sz w:val="22"/>
                <w:szCs w:val="22"/>
              </w:rPr>
              <w:t xml:space="preserve"> </w:t>
            </w:r>
            <w:r w:rsidR="00512C13">
              <w:rPr>
                <w:b/>
                <w:sz w:val="22"/>
                <w:szCs w:val="22"/>
              </w:rPr>
              <w:t>analysis</w:t>
            </w:r>
          </w:p>
          <w:p w14:paraId="0A7F2FBD" w14:textId="77777777" w:rsidR="00AD7DBB" w:rsidRDefault="00AD7DBB" w:rsidP="00AD7DBB">
            <w:pPr>
              <w:spacing w:after="0"/>
              <w:rPr>
                <w:b/>
                <w:sz w:val="22"/>
                <w:szCs w:val="22"/>
                <w:u w:val="single"/>
              </w:rPr>
            </w:pPr>
          </w:p>
          <w:p w14:paraId="5DF78B36" w14:textId="77777777" w:rsidR="00AD7DBB" w:rsidRDefault="00512C13" w:rsidP="00AD7DBB">
            <w:pPr>
              <w:spacing w:after="0"/>
              <w:rPr>
                <w:rFonts w:cs="Arial"/>
                <w:sz w:val="22"/>
                <w:szCs w:val="22"/>
                <w:u w:val="single"/>
              </w:rPr>
            </w:pPr>
            <w:r w:rsidRPr="003D5F57">
              <w:rPr>
                <w:rFonts w:cs="Arial"/>
                <w:sz w:val="22"/>
                <w:szCs w:val="22"/>
                <w:u w:val="single"/>
              </w:rPr>
              <w:t>Stage 1</w:t>
            </w:r>
            <w:r>
              <w:rPr>
                <w:rFonts w:cs="Arial"/>
                <w:sz w:val="22"/>
                <w:szCs w:val="22"/>
                <w:u w:val="single"/>
              </w:rPr>
              <w:t>: Market segmentation</w:t>
            </w:r>
          </w:p>
          <w:p w14:paraId="4D9A51BC" w14:textId="77777777" w:rsidR="00AD7DBB" w:rsidRDefault="00AD7DBB" w:rsidP="00AD7DBB">
            <w:pPr>
              <w:spacing w:after="0"/>
              <w:rPr>
                <w:rFonts w:cs="Arial"/>
                <w:sz w:val="22"/>
                <w:szCs w:val="22"/>
                <w:u w:val="single"/>
              </w:rPr>
            </w:pPr>
          </w:p>
          <w:p w14:paraId="57D8EF05" w14:textId="7CA47E9D" w:rsidR="00512C13" w:rsidRDefault="00D14A90" w:rsidP="00AD7DBB">
            <w:pPr>
              <w:spacing w:after="0"/>
              <w:rPr>
                <w:rFonts w:cs="Arial"/>
                <w:sz w:val="22"/>
                <w:szCs w:val="22"/>
              </w:rPr>
            </w:pPr>
            <w:r>
              <w:rPr>
                <w:rFonts w:cs="Arial"/>
                <w:sz w:val="22"/>
                <w:szCs w:val="22"/>
              </w:rPr>
              <w:t xml:space="preserve">The starting point for reviewing our passenger market segmentation is the requirements as set out in the </w:t>
            </w:r>
            <w:r w:rsidR="00C14B82">
              <w:rPr>
                <w:rFonts w:cs="Arial"/>
                <w:sz w:val="22"/>
                <w:szCs w:val="22"/>
              </w:rPr>
              <w:t>2016 Regulations.</w:t>
            </w:r>
            <w:r>
              <w:rPr>
                <w:rFonts w:cs="Arial"/>
                <w:sz w:val="22"/>
                <w:szCs w:val="22"/>
              </w:rPr>
              <w:t xml:space="preserve"> This states that </w:t>
            </w:r>
            <w:r w:rsidR="00512C13" w:rsidRPr="001F5D6B">
              <w:rPr>
                <w:rFonts w:cs="Arial"/>
                <w:sz w:val="22"/>
                <w:szCs w:val="22"/>
              </w:rPr>
              <w:t xml:space="preserve">ORR must </w:t>
            </w:r>
            <w:r w:rsidR="00051E88">
              <w:rPr>
                <w:rFonts w:cs="Arial"/>
                <w:sz w:val="22"/>
                <w:szCs w:val="22"/>
              </w:rPr>
              <w:t xml:space="preserve">ensure the infrastructure manager </w:t>
            </w:r>
            <w:r w:rsidR="00512C13" w:rsidRPr="001F5D6B">
              <w:rPr>
                <w:rFonts w:cs="Arial"/>
                <w:sz w:val="22"/>
                <w:szCs w:val="22"/>
              </w:rPr>
              <w:t>evaluate</w:t>
            </w:r>
            <w:r w:rsidR="00051E88">
              <w:rPr>
                <w:rFonts w:cs="Arial"/>
                <w:sz w:val="22"/>
                <w:szCs w:val="22"/>
              </w:rPr>
              <w:t>s</w:t>
            </w:r>
            <w:r w:rsidR="00512C13" w:rsidRPr="001F5D6B">
              <w:rPr>
                <w:rFonts w:cs="Arial"/>
                <w:sz w:val="22"/>
                <w:szCs w:val="22"/>
              </w:rPr>
              <w:t xml:space="preserve"> the relevance of a mark-up</w:t>
            </w:r>
            <w:r>
              <w:rPr>
                <w:rFonts w:cs="Arial"/>
                <w:sz w:val="22"/>
                <w:szCs w:val="22"/>
              </w:rPr>
              <w:t xml:space="preserve">, every five years, for the </w:t>
            </w:r>
            <w:r w:rsidR="00512C13" w:rsidRPr="001F5D6B">
              <w:rPr>
                <w:rFonts w:cs="Arial"/>
                <w:sz w:val="22"/>
                <w:szCs w:val="22"/>
              </w:rPr>
              <w:t xml:space="preserve">segments </w:t>
            </w:r>
            <w:r>
              <w:rPr>
                <w:rFonts w:cs="Arial"/>
                <w:sz w:val="22"/>
                <w:szCs w:val="22"/>
              </w:rPr>
              <w:t xml:space="preserve">listed </w:t>
            </w:r>
            <w:r w:rsidR="00512C13" w:rsidRPr="001F5D6B">
              <w:rPr>
                <w:rFonts w:cs="Arial"/>
                <w:sz w:val="22"/>
                <w:szCs w:val="22"/>
              </w:rPr>
              <w:t>below:</w:t>
            </w:r>
          </w:p>
          <w:p w14:paraId="385688AE" w14:textId="77777777" w:rsidR="00512C13" w:rsidRPr="008E0BF5" w:rsidRDefault="00512C13" w:rsidP="00EA3AF0">
            <w:pPr>
              <w:pStyle w:val="ListParagraph"/>
              <w:numPr>
                <w:ilvl w:val="0"/>
                <w:numId w:val="12"/>
              </w:numPr>
              <w:rPr>
                <w:rFonts w:cs="Arial"/>
                <w:sz w:val="22"/>
                <w:szCs w:val="22"/>
              </w:rPr>
            </w:pPr>
            <w:r w:rsidRPr="001F5D6B">
              <w:rPr>
                <w:rFonts w:cs="Arial"/>
                <w:sz w:val="22"/>
                <w:szCs w:val="22"/>
              </w:rPr>
              <w:t xml:space="preserve">passenger </w:t>
            </w:r>
            <w:r w:rsidRPr="008E0BF5">
              <w:rPr>
                <w:rFonts w:cs="Arial"/>
                <w:sz w:val="22"/>
                <w:szCs w:val="22"/>
              </w:rPr>
              <w:t>versus freight services;</w:t>
            </w:r>
          </w:p>
          <w:p w14:paraId="6AC64A55" w14:textId="544C0BEC" w:rsidR="00512C13" w:rsidRPr="008E0BF5" w:rsidRDefault="00512C13" w:rsidP="00EA3AF0">
            <w:pPr>
              <w:pStyle w:val="ListParagraph"/>
              <w:numPr>
                <w:ilvl w:val="0"/>
                <w:numId w:val="12"/>
              </w:numPr>
              <w:rPr>
                <w:rFonts w:cs="Arial"/>
                <w:sz w:val="22"/>
                <w:szCs w:val="22"/>
              </w:rPr>
            </w:pPr>
            <w:r w:rsidRPr="008E0BF5">
              <w:rPr>
                <w:rFonts w:cs="Arial"/>
                <w:sz w:val="22"/>
                <w:szCs w:val="22"/>
              </w:rPr>
              <w:t>trains carrying dangerous goods versus other freight trains;</w:t>
            </w:r>
          </w:p>
          <w:p w14:paraId="541E97E3" w14:textId="77777777" w:rsidR="00512C13" w:rsidRPr="008E0BF5" w:rsidRDefault="00512C13" w:rsidP="00EA3AF0">
            <w:pPr>
              <w:pStyle w:val="ListParagraph"/>
              <w:numPr>
                <w:ilvl w:val="0"/>
                <w:numId w:val="12"/>
              </w:numPr>
              <w:rPr>
                <w:rFonts w:cs="Arial"/>
                <w:sz w:val="22"/>
                <w:szCs w:val="22"/>
              </w:rPr>
            </w:pPr>
            <w:r w:rsidRPr="008E0BF5">
              <w:rPr>
                <w:rFonts w:cs="Arial"/>
                <w:sz w:val="22"/>
                <w:szCs w:val="22"/>
              </w:rPr>
              <w:t>domestic versus international services;</w:t>
            </w:r>
          </w:p>
          <w:p w14:paraId="34B5C6CB" w14:textId="77777777" w:rsidR="00512C13" w:rsidRPr="008E0BF5" w:rsidRDefault="00512C13" w:rsidP="00EA3AF0">
            <w:pPr>
              <w:pStyle w:val="ListParagraph"/>
              <w:numPr>
                <w:ilvl w:val="0"/>
                <w:numId w:val="12"/>
              </w:numPr>
              <w:rPr>
                <w:rFonts w:cs="Arial"/>
                <w:sz w:val="22"/>
                <w:szCs w:val="22"/>
              </w:rPr>
            </w:pPr>
            <w:r w:rsidRPr="008E0BF5">
              <w:rPr>
                <w:rFonts w:cs="Arial"/>
                <w:sz w:val="22"/>
                <w:szCs w:val="22"/>
              </w:rPr>
              <w:t>combined transport versus direct trains;</w:t>
            </w:r>
          </w:p>
          <w:p w14:paraId="3C981FBB" w14:textId="77777777" w:rsidR="00512C13" w:rsidRPr="008E0BF5" w:rsidRDefault="00512C13" w:rsidP="00EA3AF0">
            <w:pPr>
              <w:pStyle w:val="ListParagraph"/>
              <w:numPr>
                <w:ilvl w:val="0"/>
                <w:numId w:val="12"/>
              </w:numPr>
              <w:rPr>
                <w:rFonts w:cs="Arial"/>
                <w:sz w:val="22"/>
                <w:szCs w:val="22"/>
              </w:rPr>
            </w:pPr>
            <w:r w:rsidRPr="008E0BF5">
              <w:rPr>
                <w:rFonts w:cs="Arial"/>
                <w:sz w:val="22"/>
                <w:szCs w:val="22"/>
              </w:rPr>
              <w:t>urban or regional versus interurban passenger services;</w:t>
            </w:r>
          </w:p>
          <w:p w14:paraId="33061570" w14:textId="77777777" w:rsidR="00512C13" w:rsidRPr="008E0BF5" w:rsidRDefault="00512C13" w:rsidP="00EA3AF0">
            <w:pPr>
              <w:pStyle w:val="ListParagraph"/>
              <w:numPr>
                <w:ilvl w:val="0"/>
                <w:numId w:val="12"/>
              </w:numPr>
              <w:rPr>
                <w:rFonts w:cs="Arial"/>
                <w:sz w:val="22"/>
                <w:szCs w:val="22"/>
              </w:rPr>
            </w:pPr>
            <w:r w:rsidRPr="008E0BF5">
              <w:rPr>
                <w:rFonts w:cs="Arial"/>
                <w:sz w:val="22"/>
                <w:szCs w:val="22"/>
              </w:rPr>
              <w:t xml:space="preserve">block trains versus single wagon load trains; </w:t>
            </w:r>
          </w:p>
          <w:p w14:paraId="0B712EA0" w14:textId="77777777" w:rsidR="00512C13" w:rsidRDefault="00512C13" w:rsidP="00EA3AF0">
            <w:pPr>
              <w:pStyle w:val="ListParagraph"/>
              <w:numPr>
                <w:ilvl w:val="0"/>
                <w:numId w:val="12"/>
              </w:numPr>
              <w:rPr>
                <w:rFonts w:cs="Arial"/>
                <w:sz w:val="22"/>
                <w:szCs w:val="22"/>
              </w:rPr>
            </w:pPr>
            <w:r w:rsidRPr="008E0BF5">
              <w:rPr>
                <w:rFonts w:cs="Arial"/>
                <w:sz w:val="22"/>
                <w:szCs w:val="22"/>
              </w:rPr>
              <w:t>and regular versus occasional</w:t>
            </w:r>
            <w:r w:rsidRPr="001F5D6B">
              <w:rPr>
                <w:rFonts w:cs="Arial"/>
                <w:sz w:val="22"/>
                <w:szCs w:val="22"/>
              </w:rPr>
              <w:t xml:space="preserve"> train services.</w:t>
            </w:r>
          </w:p>
          <w:p w14:paraId="504C09AA" w14:textId="1FAE51A0" w:rsidR="00CA57C0" w:rsidRDefault="00CA57C0" w:rsidP="00CA57C0">
            <w:pPr>
              <w:rPr>
                <w:rFonts w:cs="Arial"/>
                <w:sz w:val="22"/>
                <w:szCs w:val="22"/>
                <w:shd w:val="clear" w:color="auto" w:fill="FFFFFF"/>
              </w:rPr>
            </w:pPr>
            <w:r>
              <w:rPr>
                <w:rFonts w:cs="Arial"/>
                <w:sz w:val="22"/>
                <w:szCs w:val="22"/>
              </w:rPr>
              <w:t>The first stage of this</w:t>
            </w:r>
            <w:r w:rsidR="00D14A90">
              <w:rPr>
                <w:rFonts w:cs="Arial"/>
                <w:sz w:val="22"/>
                <w:szCs w:val="22"/>
              </w:rPr>
              <w:t xml:space="preserve"> work </w:t>
            </w:r>
            <w:r>
              <w:rPr>
                <w:rFonts w:cs="Arial"/>
                <w:sz w:val="22"/>
                <w:szCs w:val="22"/>
              </w:rPr>
              <w:t xml:space="preserve">should involve </w:t>
            </w:r>
            <w:r w:rsidR="00D14A90">
              <w:rPr>
                <w:rFonts w:cs="Arial"/>
                <w:sz w:val="22"/>
                <w:szCs w:val="22"/>
              </w:rPr>
              <w:t>review</w:t>
            </w:r>
            <w:r>
              <w:rPr>
                <w:rFonts w:cs="Arial"/>
                <w:sz w:val="22"/>
                <w:szCs w:val="22"/>
              </w:rPr>
              <w:t>ing</w:t>
            </w:r>
            <w:r w:rsidR="00D14A90">
              <w:rPr>
                <w:rFonts w:cs="Arial"/>
                <w:sz w:val="22"/>
                <w:szCs w:val="22"/>
              </w:rPr>
              <w:t xml:space="preserve"> the relevance of these pairs for our </w:t>
            </w:r>
            <w:proofErr w:type="spellStart"/>
            <w:r w:rsidR="00D14A90">
              <w:rPr>
                <w:rFonts w:cs="Arial"/>
                <w:sz w:val="22"/>
                <w:szCs w:val="22"/>
              </w:rPr>
              <w:t>MCB</w:t>
            </w:r>
            <w:proofErr w:type="spellEnd"/>
            <w:r w:rsidR="00D14A90">
              <w:rPr>
                <w:rFonts w:cs="Arial"/>
                <w:sz w:val="22"/>
                <w:szCs w:val="22"/>
              </w:rPr>
              <w:t xml:space="preserve"> test</w:t>
            </w:r>
            <w:r w:rsidR="00D14A90">
              <w:rPr>
                <w:rStyle w:val="FootnoteReference"/>
                <w:rFonts w:cs="Arial"/>
                <w:sz w:val="22"/>
                <w:szCs w:val="22"/>
              </w:rPr>
              <w:footnoteReference w:id="14"/>
            </w:r>
            <w:r w:rsidR="00D14A90">
              <w:rPr>
                <w:rFonts w:cs="Arial"/>
                <w:sz w:val="22"/>
                <w:szCs w:val="22"/>
              </w:rPr>
              <w:t xml:space="preserve">. </w:t>
            </w:r>
            <w:r>
              <w:rPr>
                <w:rFonts w:cs="Arial"/>
                <w:sz w:val="22"/>
                <w:szCs w:val="22"/>
              </w:rPr>
              <w:t xml:space="preserve">As explained above, in </w:t>
            </w:r>
            <w:proofErr w:type="spellStart"/>
            <w:r>
              <w:rPr>
                <w:rFonts w:cs="Arial"/>
                <w:sz w:val="22"/>
                <w:szCs w:val="22"/>
              </w:rPr>
              <w:t>PR18</w:t>
            </w:r>
            <w:proofErr w:type="spellEnd"/>
            <w:r>
              <w:rPr>
                <w:rFonts w:cs="Arial"/>
                <w:sz w:val="22"/>
                <w:szCs w:val="22"/>
              </w:rPr>
              <w:t xml:space="preserve"> we defined two market segments linked to pair (e) list</w:t>
            </w:r>
            <w:r w:rsidR="00D52407">
              <w:rPr>
                <w:rFonts w:cs="Arial"/>
                <w:sz w:val="22"/>
                <w:szCs w:val="22"/>
              </w:rPr>
              <w:t>ed</w:t>
            </w:r>
            <w:r>
              <w:rPr>
                <w:rFonts w:cs="Arial"/>
                <w:sz w:val="22"/>
                <w:szCs w:val="22"/>
              </w:rPr>
              <w:t xml:space="preserve"> above: interurban services and all other services. We did not consider pairs (c) or (g) for the purposes of assessing ability to bear, for the reasons explained in paragraphs 3.15 </w:t>
            </w:r>
            <w:r w:rsidR="00985540">
              <w:rPr>
                <w:rFonts w:cs="Arial"/>
                <w:sz w:val="22"/>
                <w:szCs w:val="22"/>
              </w:rPr>
              <w:t xml:space="preserve">- </w:t>
            </w:r>
            <w:r>
              <w:rPr>
                <w:rFonts w:cs="Arial"/>
                <w:sz w:val="22"/>
                <w:szCs w:val="22"/>
              </w:rPr>
              <w:t xml:space="preserve">3.16 of our </w:t>
            </w:r>
            <w:proofErr w:type="spellStart"/>
            <w:r>
              <w:rPr>
                <w:rFonts w:cs="Arial"/>
                <w:sz w:val="22"/>
                <w:szCs w:val="22"/>
              </w:rPr>
              <w:t>PR18</w:t>
            </w:r>
            <w:proofErr w:type="spellEnd"/>
            <w:r>
              <w:rPr>
                <w:rFonts w:cs="Arial"/>
                <w:sz w:val="22"/>
                <w:szCs w:val="22"/>
              </w:rPr>
              <w:t xml:space="preserve"> decisions</w:t>
            </w:r>
            <w:r>
              <w:rPr>
                <w:rFonts w:cs="Arial"/>
                <w:sz w:val="22"/>
                <w:szCs w:val="22"/>
                <w:shd w:val="clear" w:color="auto" w:fill="FFFFFF"/>
              </w:rPr>
              <w:t xml:space="preserve"> </w:t>
            </w:r>
            <w:hyperlink r:id="rId13" w:history="1">
              <w:r>
                <w:rPr>
                  <w:rStyle w:val="Hyperlink"/>
                  <w:rFonts w:cs="Arial"/>
                  <w:sz w:val="22"/>
                  <w:szCs w:val="22"/>
                  <w:shd w:val="clear" w:color="auto" w:fill="FFFFFF"/>
                </w:rPr>
                <w:t>document</w:t>
              </w:r>
            </w:hyperlink>
            <w:r>
              <w:rPr>
                <w:rFonts w:cs="Arial"/>
                <w:sz w:val="22"/>
                <w:szCs w:val="22"/>
                <w:shd w:val="clear" w:color="auto" w:fill="FFFFFF"/>
              </w:rPr>
              <w:t>.</w:t>
            </w:r>
          </w:p>
          <w:p w14:paraId="14CCF3B8" w14:textId="6238B140" w:rsidR="00CA57C0" w:rsidRDefault="00CA57C0" w:rsidP="00CA57C0">
            <w:pPr>
              <w:rPr>
                <w:rFonts w:cs="Arial"/>
                <w:sz w:val="22"/>
                <w:szCs w:val="22"/>
              </w:rPr>
            </w:pPr>
            <w:r>
              <w:rPr>
                <w:rFonts w:cs="Arial"/>
                <w:sz w:val="22"/>
                <w:szCs w:val="22"/>
              </w:rPr>
              <w:t xml:space="preserve">Schedule 3 of the </w:t>
            </w:r>
            <w:r w:rsidR="00C14B82">
              <w:rPr>
                <w:rFonts w:cs="Arial"/>
                <w:sz w:val="22"/>
                <w:szCs w:val="22"/>
              </w:rPr>
              <w:t>2016 Regulations</w:t>
            </w:r>
            <w:r w:rsidR="00D14A90">
              <w:rPr>
                <w:rFonts w:cs="Arial"/>
                <w:sz w:val="22"/>
                <w:szCs w:val="22"/>
              </w:rPr>
              <w:t xml:space="preserve"> </w:t>
            </w:r>
            <w:r>
              <w:rPr>
                <w:rFonts w:cs="Arial"/>
                <w:sz w:val="22"/>
                <w:szCs w:val="22"/>
              </w:rPr>
              <w:t xml:space="preserve">(paragraph 2(7)) </w:t>
            </w:r>
            <w:r w:rsidR="00D14A90">
              <w:rPr>
                <w:rFonts w:cs="Arial"/>
                <w:sz w:val="22"/>
                <w:szCs w:val="22"/>
              </w:rPr>
              <w:t>also state</w:t>
            </w:r>
            <w:r w:rsidR="00985540">
              <w:rPr>
                <w:rFonts w:cs="Arial"/>
                <w:sz w:val="22"/>
                <w:szCs w:val="22"/>
              </w:rPr>
              <w:t>s</w:t>
            </w:r>
            <w:r w:rsidR="00D14A90">
              <w:rPr>
                <w:rFonts w:cs="Arial"/>
                <w:sz w:val="22"/>
                <w:szCs w:val="22"/>
              </w:rPr>
              <w:t xml:space="preserve"> that t</w:t>
            </w:r>
            <w:r w:rsidR="00D14A90" w:rsidRPr="00D14A90">
              <w:rPr>
                <w:rFonts w:cs="Arial"/>
                <w:sz w:val="22"/>
                <w:szCs w:val="22"/>
              </w:rPr>
              <w:t>he infrastructure</w:t>
            </w:r>
            <w:r w:rsidR="00D14A90">
              <w:rPr>
                <w:rFonts w:cs="Arial"/>
                <w:sz w:val="22"/>
                <w:szCs w:val="22"/>
              </w:rPr>
              <w:t xml:space="preserve"> </w:t>
            </w:r>
            <w:r w:rsidR="00D14A90" w:rsidRPr="00D14A90">
              <w:rPr>
                <w:rFonts w:cs="Arial"/>
                <w:sz w:val="22"/>
                <w:szCs w:val="22"/>
              </w:rPr>
              <w:t xml:space="preserve">manager may consider </w:t>
            </w:r>
            <w:r w:rsidR="00D14A90" w:rsidRPr="00A75842">
              <w:rPr>
                <w:rFonts w:cs="Arial"/>
                <w:i/>
                <w:sz w:val="22"/>
                <w:szCs w:val="22"/>
              </w:rPr>
              <w:t>further</w:t>
            </w:r>
            <w:r w:rsidR="00D14A90" w:rsidRPr="00D14A90">
              <w:rPr>
                <w:rFonts w:cs="Arial"/>
                <w:sz w:val="22"/>
                <w:szCs w:val="22"/>
              </w:rPr>
              <w:t xml:space="preserve"> market s</w:t>
            </w:r>
            <w:r w:rsidR="00D14A90">
              <w:rPr>
                <w:rFonts w:cs="Arial"/>
                <w:sz w:val="22"/>
                <w:szCs w:val="22"/>
              </w:rPr>
              <w:t>egments, according</w:t>
            </w:r>
            <w:r w:rsidR="00D14A90" w:rsidRPr="00D14A90">
              <w:rPr>
                <w:rFonts w:cs="Arial"/>
                <w:sz w:val="22"/>
                <w:szCs w:val="22"/>
              </w:rPr>
              <w:t xml:space="preserve"> </w:t>
            </w:r>
            <w:r>
              <w:rPr>
                <w:rFonts w:cs="Arial"/>
                <w:sz w:val="22"/>
                <w:szCs w:val="22"/>
              </w:rPr>
              <w:t xml:space="preserve">to </w:t>
            </w:r>
            <w:r w:rsidR="00D14A90" w:rsidRPr="00D14A90">
              <w:rPr>
                <w:rFonts w:cs="Arial"/>
                <w:sz w:val="22"/>
                <w:szCs w:val="22"/>
              </w:rPr>
              <w:t>passengers transported</w:t>
            </w:r>
            <w:r w:rsidR="00A75842">
              <w:rPr>
                <w:rFonts w:cs="Arial"/>
                <w:sz w:val="22"/>
                <w:szCs w:val="22"/>
              </w:rPr>
              <w:t>. As such, t</w:t>
            </w:r>
            <w:r>
              <w:rPr>
                <w:rFonts w:cs="Arial"/>
                <w:sz w:val="22"/>
                <w:szCs w:val="22"/>
              </w:rPr>
              <w:t xml:space="preserve">his work should </w:t>
            </w:r>
            <w:r w:rsidR="00761CD5">
              <w:rPr>
                <w:rFonts w:cs="Arial"/>
                <w:sz w:val="22"/>
                <w:szCs w:val="22"/>
              </w:rPr>
              <w:t xml:space="preserve">explore </w:t>
            </w:r>
            <w:r>
              <w:rPr>
                <w:rFonts w:cs="Arial"/>
                <w:sz w:val="22"/>
                <w:szCs w:val="22"/>
              </w:rPr>
              <w:t xml:space="preserve">whether it would be appropriate to define further market segments for </w:t>
            </w:r>
            <w:r w:rsidR="00263408">
              <w:rPr>
                <w:rFonts w:cs="Arial"/>
                <w:sz w:val="22"/>
                <w:szCs w:val="22"/>
              </w:rPr>
              <w:t>open access</w:t>
            </w:r>
            <w:r>
              <w:rPr>
                <w:rFonts w:cs="Arial"/>
                <w:sz w:val="22"/>
                <w:szCs w:val="22"/>
              </w:rPr>
              <w:t xml:space="preserve"> services, based on material differences in demand for such services.</w:t>
            </w:r>
            <w:r w:rsidR="00BA226A">
              <w:rPr>
                <w:rFonts w:cs="Arial"/>
                <w:sz w:val="22"/>
                <w:szCs w:val="22"/>
              </w:rPr>
              <w:t xml:space="preserve"> </w:t>
            </w:r>
            <w:r w:rsidR="005E39BD">
              <w:rPr>
                <w:rFonts w:cs="Arial"/>
                <w:sz w:val="22"/>
                <w:szCs w:val="22"/>
              </w:rPr>
              <w:t>Whil</w:t>
            </w:r>
            <w:r w:rsidR="00BA226A">
              <w:rPr>
                <w:rFonts w:cs="Arial"/>
                <w:sz w:val="22"/>
                <w:szCs w:val="22"/>
              </w:rPr>
              <w:t>e</w:t>
            </w:r>
            <w:r w:rsidR="005E39BD">
              <w:rPr>
                <w:rFonts w:cs="Arial"/>
                <w:sz w:val="22"/>
                <w:szCs w:val="22"/>
              </w:rPr>
              <w:t xml:space="preserve"> </w:t>
            </w:r>
            <w:r>
              <w:rPr>
                <w:rFonts w:cs="Arial"/>
                <w:sz w:val="22"/>
                <w:szCs w:val="22"/>
              </w:rPr>
              <w:t>data limitations</w:t>
            </w:r>
            <w:r w:rsidR="00A75842">
              <w:rPr>
                <w:rFonts w:cs="Arial"/>
                <w:sz w:val="22"/>
                <w:szCs w:val="22"/>
              </w:rPr>
              <w:t xml:space="preserve"> may preclude a </w:t>
            </w:r>
            <w:r>
              <w:rPr>
                <w:rFonts w:cs="Arial"/>
                <w:sz w:val="22"/>
                <w:szCs w:val="22"/>
              </w:rPr>
              <w:t>more granular market segmentation</w:t>
            </w:r>
            <w:r w:rsidR="005E39BD">
              <w:rPr>
                <w:rFonts w:cs="Arial"/>
                <w:sz w:val="22"/>
                <w:szCs w:val="22"/>
              </w:rPr>
              <w:t>,</w:t>
            </w:r>
            <w:r>
              <w:rPr>
                <w:rFonts w:cs="Arial"/>
                <w:sz w:val="22"/>
                <w:szCs w:val="22"/>
              </w:rPr>
              <w:t xml:space="preserve"> </w:t>
            </w:r>
            <w:r w:rsidR="005E39BD">
              <w:rPr>
                <w:rFonts w:cs="Arial"/>
                <w:sz w:val="22"/>
                <w:szCs w:val="22"/>
              </w:rPr>
              <w:t>w</w:t>
            </w:r>
            <w:r>
              <w:rPr>
                <w:rFonts w:cs="Arial"/>
                <w:sz w:val="22"/>
                <w:szCs w:val="22"/>
              </w:rPr>
              <w:t xml:space="preserve">e </w:t>
            </w:r>
            <w:r w:rsidR="003F065C">
              <w:rPr>
                <w:rFonts w:cs="Arial"/>
                <w:sz w:val="22"/>
                <w:szCs w:val="22"/>
              </w:rPr>
              <w:t xml:space="preserve">consider </w:t>
            </w:r>
            <w:r>
              <w:rPr>
                <w:rFonts w:cs="Arial"/>
                <w:sz w:val="22"/>
                <w:szCs w:val="22"/>
              </w:rPr>
              <w:t xml:space="preserve">it is worth exploring the scope for </w:t>
            </w:r>
            <w:r w:rsidR="00E374C3">
              <w:rPr>
                <w:rFonts w:cs="Arial"/>
                <w:sz w:val="22"/>
                <w:szCs w:val="22"/>
              </w:rPr>
              <w:t>amending our approach in this area, to improve the suitability of the services for which an ICC is levied.</w:t>
            </w:r>
            <w:r w:rsidR="00A75842">
              <w:rPr>
                <w:rFonts w:cs="Arial"/>
                <w:sz w:val="22"/>
                <w:szCs w:val="22"/>
              </w:rPr>
              <w:t xml:space="preserve"> </w:t>
            </w:r>
            <w:r w:rsidR="00BA226A">
              <w:rPr>
                <w:rFonts w:cs="Arial"/>
                <w:sz w:val="22"/>
                <w:szCs w:val="22"/>
              </w:rPr>
              <w:t>In particular, we consider t</w:t>
            </w:r>
            <w:r w:rsidR="00A75842" w:rsidRPr="00A75842">
              <w:rPr>
                <w:rFonts w:cs="Arial"/>
                <w:sz w:val="22"/>
                <w:szCs w:val="22"/>
              </w:rPr>
              <w:t>h</w:t>
            </w:r>
            <w:r w:rsidR="00BA226A">
              <w:rPr>
                <w:rFonts w:cs="Arial"/>
                <w:sz w:val="22"/>
                <w:szCs w:val="22"/>
              </w:rPr>
              <w:t xml:space="preserve">e assessment should </w:t>
            </w:r>
            <w:r w:rsidR="00A75842" w:rsidRPr="00A75842">
              <w:rPr>
                <w:rFonts w:cs="Arial"/>
                <w:sz w:val="22"/>
                <w:szCs w:val="22"/>
              </w:rPr>
              <w:t xml:space="preserve">consider the practicality of </w:t>
            </w:r>
            <w:r w:rsidR="00A75842">
              <w:rPr>
                <w:rFonts w:cs="Arial"/>
                <w:sz w:val="22"/>
                <w:szCs w:val="22"/>
              </w:rPr>
              <w:t xml:space="preserve">setting an </w:t>
            </w:r>
            <w:r w:rsidR="00A75842" w:rsidRPr="00A75842">
              <w:rPr>
                <w:rFonts w:cs="Arial"/>
                <w:sz w:val="22"/>
                <w:szCs w:val="22"/>
              </w:rPr>
              <w:t>ICC</w:t>
            </w:r>
            <w:r w:rsidR="00A75842">
              <w:rPr>
                <w:rFonts w:cs="Arial"/>
                <w:sz w:val="22"/>
                <w:szCs w:val="22"/>
              </w:rPr>
              <w:t xml:space="preserve"> </w:t>
            </w:r>
            <w:r w:rsidR="00816CCC">
              <w:rPr>
                <w:rFonts w:cs="Arial"/>
                <w:sz w:val="22"/>
                <w:szCs w:val="22"/>
              </w:rPr>
              <w:t xml:space="preserve">for </w:t>
            </w:r>
            <w:r w:rsidR="00A75842">
              <w:rPr>
                <w:rFonts w:cs="Arial"/>
                <w:sz w:val="22"/>
                <w:szCs w:val="22"/>
              </w:rPr>
              <w:t>ser</w:t>
            </w:r>
            <w:r w:rsidR="007D24A4">
              <w:rPr>
                <w:rFonts w:cs="Arial"/>
                <w:sz w:val="22"/>
                <w:szCs w:val="22"/>
              </w:rPr>
              <w:t>vices at specific</w:t>
            </w:r>
            <w:r w:rsidR="00A75842">
              <w:rPr>
                <w:rFonts w:cs="Arial"/>
                <w:sz w:val="22"/>
                <w:szCs w:val="22"/>
              </w:rPr>
              <w:t xml:space="preserve"> times of the week, and any implications for Network Rail’s billing requirements</w:t>
            </w:r>
            <w:r w:rsidR="00BA226A">
              <w:rPr>
                <w:rStyle w:val="FootnoteReference"/>
                <w:rFonts w:cs="Arial"/>
                <w:sz w:val="22"/>
                <w:szCs w:val="22"/>
              </w:rPr>
              <w:footnoteReference w:id="15"/>
            </w:r>
            <w:r w:rsidR="00A75842">
              <w:rPr>
                <w:rFonts w:cs="Arial"/>
                <w:sz w:val="22"/>
                <w:szCs w:val="22"/>
              </w:rPr>
              <w:t>.</w:t>
            </w:r>
          </w:p>
          <w:p w14:paraId="3318A699" w14:textId="2D93F5E2" w:rsidR="00E374C3" w:rsidRDefault="00E374C3" w:rsidP="00CA57C0">
            <w:pPr>
              <w:rPr>
                <w:rFonts w:cs="Arial"/>
                <w:sz w:val="22"/>
                <w:szCs w:val="22"/>
              </w:rPr>
            </w:pPr>
            <w:r>
              <w:rPr>
                <w:rFonts w:cs="Arial"/>
                <w:sz w:val="22"/>
                <w:szCs w:val="22"/>
              </w:rPr>
              <w:t xml:space="preserve">Furthermore, the work should also review the suitability of our existing definition of the interurban market segment (to the extent that we continue to define this as a </w:t>
            </w:r>
            <w:r>
              <w:rPr>
                <w:rFonts w:cs="Arial"/>
                <w:sz w:val="22"/>
                <w:szCs w:val="22"/>
              </w:rPr>
              <w:lastRenderedPageBreak/>
              <w:t xml:space="preserve">separate market segment). </w:t>
            </w:r>
            <w:r w:rsidR="00A75842">
              <w:rPr>
                <w:rFonts w:cs="Arial"/>
                <w:sz w:val="22"/>
                <w:szCs w:val="22"/>
              </w:rPr>
              <w:t>T</w:t>
            </w:r>
            <w:r>
              <w:rPr>
                <w:rFonts w:cs="Arial"/>
                <w:sz w:val="22"/>
                <w:szCs w:val="22"/>
              </w:rPr>
              <w:t>his is likely to i</w:t>
            </w:r>
            <w:r w:rsidR="00A75842">
              <w:rPr>
                <w:rFonts w:cs="Arial"/>
                <w:sz w:val="22"/>
                <w:szCs w:val="22"/>
              </w:rPr>
              <w:t xml:space="preserve">nvolve discussions with Network </w:t>
            </w:r>
            <w:r>
              <w:rPr>
                <w:rFonts w:cs="Arial"/>
                <w:sz w:val="22"/>
                <w:szCs w:val="22"/>
              </w:rPr>
              <w:t xml:space="preserve">Rail and stakeholders about the </w:t>
            </w:r>
            <w:r w:rsidR="007D24A4">
              <w:rPr>
                <w:rFonts w:cs="Arial"/>
                <w:sz w:val="22"/>
                <w:szCs w:val="22"/>
              </w:rPr>
              <w:t xml:space="preserve">appropriateness of existing thresholds, and the practicability </w:t>
            </w:r>
            <w:r>
              <w:rPr>
                <w:rFonts w:cs="Arial"/>
                <w:sz w:val="22"/>
                <w:szCs w:val="22"/>
              </w:rPr>
              <w:t>of applying the existing definition.</w:t>
            </w:r>
          </w:p>
          <w:p w14:paraId="6E6B68B7" w14:textId="35973E51" w:rsidR="00512C13" w:rsidRDefault="00512C13" w:rsidP="00512C13">
            <w:pPr>
              <w:spacing w:after="0"/>
              <w:rPr>
                <w:sz w:val="22"/>
                <w:szCs w:val="22"/>
                <w:u w:val="single"/>
              </w:rPr>
            </w:pPr>
            <w:r w:rsidRPr="00C4072C">
              <w:rPr>
                <w:sz w:val="22"/>
                <w:szCs w:val="22"/>
                <w:u w:val="single"/>
              </w:rPr>
              <w:t>Stage 2:</w:t>
            </w:r>
            <w:r>
              <w:rPr>
                <w:sz w:val="22"/>
                <w:szCs w:val="22"/>
                <w:u w:val="single"/>
              </w:rPr>
              <w:t xml:space="preserve"> Assessment of ability to bear</w:t>
            </w:r>
            <w:r w:rsidRPr="00C4072C">
              <w:rPr>
                <w:sz w:val="22"/>
                <w:szCs w:val="22"/>
                <w:u w:val="single"/>
              </w:rPr>
              <w:t xml:space="preserve"> </w:t>
            </w:r>
          </w:p>
          <w:p w14:paraId="0A606459" w14:textId="77777777" w:rsidR="00512C13" w:rsidRDefault="00512C13" w:rsidP="00512C13">
            <w:pPr>
              <w:spacing w:after="0"/>
              <w:rPr>
                <w:sz w:val="22"/>
                <w:szCs w:val="22"/>
                <w:u w:val="single"/>
              </w:rPr>
            </w:pPr>
          </w:p>
          <w:p w14:paraId="28B3F838" w14:textId="11C8DDC8" w:rsidR="004902F0" w:rsidRDefault="00CA57C0" w:rsidP="00512C13">
            <w:pPr>
              <w:spacing w:after="0"/>
              <w:rPr>
                <w:rFonts w:cs="Arial"/>
                <w:sz w:val="22"/>
                <w:szCs w:val="22"/>
              </w:rPr>
            </w:pPr>
            <w:r>
              <w:rPr>
                <w:rFonts w:cs="Arial"/>
                <w:sz w:val="22"/>
                <w:szCs w:val="22"/>
              </w:rPr>
              <w:t xml:space="preserve">Having </w:t>
            </w:r>
            <w:r w:rsidR="00C34545">
              <w:rPr>
                <w:rFonts w:cs="Arial"/>
                <w:sz w:val="22"/>
                <w:szCs w:val="22"/>
              </w:rPr>
              <w:t xml:space="preserve">reviewed </w:t>
            </w:r>
            <w:r w:rsidR="00275F9E">
              <w:rPr>
                <w:rFonts w:cs="Arial"/>
                <w:sz w:val="22"/>
                <w:szCs w:val="22"/>
              </w:rPr>
              <w:t xml:space="preserve">the </w:t>
            </w:r>
            <w:r>
              <w:rPr>
                <w:rFonts w:cs="Arial"/>
                <w:sz w:val="22"/>
                <w:szCs w:val="22"/>
              </w:rPr>
              <w:t>passenger market segment</w:t>
            </w:r>
            <w:r w:rsidR="00275F9E">
              <w:rPr>
                <w:rFonts w:cs="Arial"/>
                <w:sz w:val="22"/>
                <w:szCs w:val="22"/>
              </w:rPr>
              <w:t>ation</w:t>
            </w:r>
            <w:r>
              <w:rPr>
                <w:rFonts w:cs="Arial"/>
                <w:sz w:val="22"/>
                <w:szCs w:val="22"/>
              </w:rPr>
              <w:t xml:space="preserve">, stage two of this </w:t>
            </w:r>
            <w:r w:rsidR="004902F0">
              <w:rPr>
                <w:rFonts w:cs="Arial"/>
                <w:sz w:val="22"/>
                <w:szCs w:val="22"/>
              </w:rPr>
              <w:t xml:space="preserve">work </w:t>
            </w:r>
            <w:r>
              <w:rPr>
                <w:rFonts w:cs="Arial"/>
                <w:sz w:val="22"/>
                <w:szCs w:val="22"/>
              </w:rPr>
              <w:t xml:space="preserve">would involve updating the profitability analysis conducted in </w:t>
            </w:r>
            <w:proofErr w:type="spellStart"/>
            <w:r>
              <w:rPr>
                <w:rFonts w:cs="Arial"/>
                <w:sz w:val="22"/>
                <w:szCs w:val="22"/>
              </w:rPr>
              <w:t>PR18</w:t>
            </w:r>
            <w:proofErr w:type="spellEnd"/>
            <w:r>
              <w:rPr>
                <w:rFonts w:cs="Arial"/>
                <w:sz w:val="22"/>
                <w:szCs w:val="22"/>
              </w:rPr>
              <w:t>, to determine which market segments are likely to be able to bear an ICC.</w:t>
            </w:r>
            <w:r w:rsidR="004902F0">
              <w:rPr>
                <w:rFonts w:cs="Arial"/>
                <w:sz w:val="22"/>
                <w:szCs w:val="22"/>
              </w:rPr>
              <w:t xml:space="preserve"> </w:t>
            </w:r>
            <w:r w:rsidR="001B20EC">
              <w:rPr>
                <w:rFonts w:cs="Arial"/>
                <w:sz w:val="22"/>
                <w:szCs w:val="22"/>
              </w:rPr>
              <w:t xml:space="preserve">This </w:t>
            </w:r>
            <w:r w:rsidRPr="00CA57C0">
              <w:rPr>
                <w:rFonts w:cs="Arial"/>
                <w:sz w:val="22"/>
                <w:szCs w:val="22"/>
              </w:rPr>
              <w:t>is particularly important in light of the Covid-19 pandemic and</w:t>
            </w:r>
            <w:r>
              <w:rPr>
                <w:rFonts w:cs="Arial"/>
                <w:sz w:val="22"/>
                <w:szCs w:val="22"/>
              </w:rPr>
              <w:t xml:space="preserve"> </w:t>
            </w:r>
            <w:r w:rsidRPr="00CA57C0">
              <w:rPr>
                <w:rFonts w:cs="Arial"/>
                <w:sz w:val="22"/>
                <w:szCs w:val="22"/>
              </w:rPr>
              <w:t xml:space="preserve">its impact on passenger demand, which </w:t>
            </w:r>
            <w:r w:rsidR="004902F0">
              <w:rPr>
                <w:rFonts w:cs="Arial"/>
                <w:sz w:val="22"/>
                <w:szCs w:val="22"/>
              </w:rPr>
              <w:t>is like</w:t>
            </w:r>
            <w:r w:rsidR="004C011F">
              <w:rPr>
                <w:rFonts w:cs="Arial"/>
                <w:sz w:val="22"/>
                <w:szCs w:val="22"/>
              </w:rPr>
              <w:t xml:space="preserve">ly to have affected </w:t>
            </w:r>
            <w:r w:rsidR="00263408">
              <w:rPr>
                <w:rFonts w:cs="Arial"/>
                <w:sz w:val="22"/>
                <w:szCs w:val="22"/>
              </w:rPr>
              <w:t>open access</w:t>
            </w:r>
            <w:r w:rsidR="004902F0">
              <w:rPr>
                <w:rFonts w:cs="Arial"/>
                <w:sz w:val="22"/>
                <w:szCs w:val="22"/>
              </w:rPr>
              <w:t xml:space="preserve"> </w:t>
            </w:r>
            <w:r w:rsidR="004C011F">
              <w:rPr>
                <w:rFonts w:cs="Arial"/>
                <w:sz w:val="22"/>
                <w:szCs w:val="22"/>
              </w:rPr>
              <w:t xml:space="preserve">revenues </w:t>
            </w:r>
            <w:r w:rsidR="004902F0">
              <w:rPr>
                <w:rFonts w:cs="Arial"/>
                <w:sz w:val="22"/>
                <w:szCs w:val="22"/>
              </w:rPr>
              <w:t xml:space="preserve">(including for new interurban services). In turn, this may have affected their </w:t>
            </w:r>
            <w:r w:rsidRPr="00CA57C0">
              <w:rPr>
                <w:rFonts w:cs="Arial"/>
                <w:sz w:val="22"/>
                <w:szCs w:val="22"/>
              </w:rPr>
              <w:t xml:space="preserve">ability to bear </w:t>
            </w:r>
            <w:r w:rsidR="00275F9E">
              <w:rPr>
                <w:rFonts w:cs="Arial"/>
                <w:sz w:val="22"/>
                <w:szCs w:val="22"/>
              </w:rPr>
              <w:t>an ICC</w:t>
            </w:r>
            <w:r w:rsidR="00C92BDD">
              <w:rPr>
                <w:rStyle w:val="FootnoteReference"/>
                <w:rFonts w:cs="Arial"/>
                <w:sz w:val="22"/>
                <w:szCs w:val="22"/>
              </w:rPr>
              <w:footnoteReference w:id="16"/>
            </w:r>
            <w:r w:rsidR="00275F9E">
              <w:rPr>
                <w:rFonts w:cs="Arial"/>
                <w:sz w:val="22"/>
                <w:szCs w:val="22"/>
              </w:rPr>
              <w:t>.</w:t>
            </w:r>
          </w:p>
          <w:p w14:paraId="127BE0DF" w14:textId="356E8575" w:rsidR="001B20EC" w:rsidRDefault="001B20EC" w:rsidP="00512C13">
            <w:pPr>
              <w:spacing w:after="0"/>
              <w:rPr>
                <w:rFonts w:cs="Arial"/>
                <w:sz w:val="22"/>
                <w:szCs w:val="22"/>
              </w:rPr>
            </w:pPr>
          </w:p>
          <w:p w14:paraId="6C02A70D" w14:textId="6447B907" w:rsidR="001B20EC" w:rsidRDefault="001B20EC" w:rsidP="00512C13">
            <w:pPr>
              <w:spacing w:after="0"/>
              <w:rPr>
                <w:rFonts w:cs="Arial"/>
                <w:sz w:val="22"/>
                <w:szCs w:val="22"/>
              </w:rPr>
            </w:pPr>
            <w:r>
              <w:rPr>
                <w:rFonts w:cs="Arial"/>
                <w:sz w:val="22"/>
                <w:szCs w:val="22"/>
              </w:rPr>
              <w:t>Undertaking t</w:t>
            </w:r>
            <w:r w:rsidRPr="00CA57C0">
              <w:rPr>
                <w:rFonts w:cs="Arial"/>
                <w:sz w:val="22"/>
                <w:szCs w:val="22"/>
              </w:rPr>
              <w:t xml:space="preserve">his </w:t>
            </w:r>
            <w:r>
              <w:rPr>
                <w:rFonts w:cs="Arial"/>
                <w:sz w:val="22"/>
                <w:szCs w:val="22"/>
              </w:rPr>
              <w:t>analysis w</w:t>
            </w:r>
            <w:r w:rsidR="00552FEB">
              <w:rPr>
                <w:rFonts w:cs="Arial"/>
                <w:sz w:val="22"/>
                <w:szCs w:val="22"/>
              </w:rPr>
              <w:t>ould</w:t>
            </w:r>
            <w:r>
              <w:rPr>
                <w:rFonts w:cs="Arial"/>
                <w:sz w:val="22"/>
                <w:szCs w:val="22"/>
              </w:rPr>
              <w:t xml:space="preserve"> require the </w:t>
            </w:r>
            <w:r w:rsidR="007B331D">
              <w:rPr>
                <w:rFonts w:cs="Arial"/>
                <w:sz w:val="22"/>
                <w:szCs w:val="22"/>
              </w:rPr>
              <w:t xml:space="preserve">consultant </w:t>
            </w:r>
            <w:r>
              <w:rPr>
                <w:rFonts w:cs="Arial"/>
                <w:sz w:val="22"/>
                <w:szCs w:val="22"/>
              </w:rPr>
              <w:t xml:space="preserve">to use revenue and cost data to understand how operating profit has changed since </w:t>
            </w:r>
            <w:proofErr w:type="spellStart"/>
            <w:r>
              <w:rPr>
                <w:rFonts w:cs="Arial"/>
                <w:sz w:val="22"/>
                <w:szCs w:val="22"/>
              </w:rPr>
              <w:t>PR18</w:t>
            </w:r>
            <w:proofErr w:type="spellEnd"/>
            <w:r>
              <w:rPr>
                <w:rFonts w:cs="Arial"/>
                <w:sz w:val="22"/>
                <w:szCs w:val="22"/>
              </w:rPr>
              <w:t>, and the likely implications for ability to bear.</w:t>
            </w:r>
            <w:r w:rsidR="000941FF">
              <w:rPr>
                <w:rFonts w:cs="Arial"/>
                <w:sz w:val="22"/>
                <w:szCs w:val="22"/>
              </w:rPr>
              <w:t xml:space="preserve"> </w:t>
            </w:r>
            <w:r>
              <w:rPr>
                <w:rFonts w:cs="Arial"/>
                <w:sz w:val="22"/>
                <w:szCs w:val="22"/>
              </w:rPr>
              <w:t xml:space="preserve">As explained above (and in the “Data availability” section below), while we have access to revenue data for specific train services, cost data at train service level is not readily available. We </w:t>
            </w:r>
            <w:r w:rsidR="00C34545">
              <w:rPr>
                <w:rFonts w:cs="Arial"/>
                <w:sz w:val="22"/>
                <w:szCs w:val="22"/>
              </w:rPr>
              <w:t xml:space="preserve">would </w:t>
            </w:r>
            <w:r>
              <w:rPr>
                <w:rFonts w:cs="Arial"/>
                <w:sz w:val="22"/>
                <w:szCs w:val="22"/>
              </w:rPr>
              <w:t>therefore expect bidders to explain how they intend to overcome this issue, in order to produce an updated profitability analysis.</w:t>
            </w:r>
          </w:p>
          <w:p w14:paraId="53E0F0D4" w14:textId="42EE53B8" w:rsidR="007D24A4" w:rsidRDefault="007D24A4" w:rsidP="00512C13">
            <w:pPr>
              <w:spacing w:after="0"/>
              <w:rPr>
                <w:rFonts w:cs="Arial"/>
                <w:sz w:val="22"/>
                <w:szCs w:val="22"/>
              </w:rPr>
            </w:pPr>
          </w:p>
          <w:p w14:paraId="4C0E9315" w14:textId="2109C455" w:rsidR="00275F9E" w:rsidRDefault="00275F9E" w:rsidP="00512C13">
            <w:pPr>
              <w:spacing w:after="0"/>
              <w:rPr>
                <w:rFonts w:cs="Arial"/>
                <w:sz w:val="22"/>
                <w:szCs w:val="22"/>
              </w:rPr>
            </w:pPr>
            <w:r>
              <w:rPr>
                <w:rFonts w:cs="Arial"/>
                <w:sz w:val="22"/>
                <w:szCs w:val="22"/>
              </w:rPr>
              <w:t xml:space="preserve">As with the freight analysis, it is important that the assessment is </w:t>
            </w:r>
            <w:r w:rsidR="00B25F53">
              <w:rPr>
                <w:rFonts w:cs="Arial"/>
                <w:sz w:val="22"/>
                <w:szCs w:val="22"/>
              </w:rPr>
              <w:t xml:space="preserve">as </w:t>
            </w:r>
            <w:r>
              <w:rPr>
                <w:rFonts w:cs="Arial"/>
                <w:sz w:val="22"/>
                <w:szCs w:val="22"/>
              </w:rPr>
              <w:t xml:space="preserve">forward-looking as possible, taking account of the likely conditions that will prevail over the next control period (between 2024 and 2029), while recognising that there are inevitable uncertainties in this kind of analysis. </w:t>
            </w:r>
            <w:r w:rsidR="00C34545">
              <w:rPr>
                <w:rFonts w:cs="Arial"/>
                <w:sz w:val="22"/>
                <w:szCs w:val="22"/>
              </w:rPr>
              <w:t xml:space="preserve">As such, the analysis will likely </w:t>
            </w:r>
            <w:r w:rsidR="004C011F">
              <w:rPr>
                <w:rFonts w:cs="Arial"/>
                <w:sz w:val="22"/>
                <w:szCs w:val="22"/>
              </w:rPr>
              <w:t xml:space="preserve">need to draw on forecasts of passenger demand and </w:t>
            </w:r>
            <w:r w:rsidR="00B25F53">
              <w:rPr>
                <w:rFonts w:cs="Arial"/>
                <w:sz w:val="22"/>
                <w:szCs w:val="22"/>
              </w:rPr>
              <w:t xml:space="preserve">may </w:t>
            </w:r>
            <w:r w:rsidR="004C011F">
              <w:rPr>
                <w:rFonts w:cs="Arial"/>
                <w:sz w:val="22"/>
                <w:szCs w:val="22"/>
              </w:rPr>
              <w:t xml:space="preserve">require some scenario analysis based on a range of </w:t>
            </w:r>
            <w:r w:rsidR="00552FEB">
              <w:rPr>
                <w:rFonts w:cs="Arial"/>
                <w:sz w:val="22"/>
                <w:szCs w:val="22"/>
              </w:rPr>
              <w:t xml:space="preserve">demand </w:t>
            </w:r>
            <w:r w:rsidR="004C011F">
              <w:rPr>
                <w:rFonts w:cs="Arial"/>
                <w:sz w:val="22"/>
                <w:szCs w:val="22"/>
              </w:rPr>
              <w:t xml:space="preserve">forecasts. </w:t>
            </w:r>
          </w:p>
          <w:p w14:paraId="78AC6526" w14:textId="77777777" w:rsidR="00275F9E" w:rsidRDefault="00275F9E" w:rsidP="00512C13">
            <w:pPr>
              <w:spacing w:after="0"/>
              <w:rPr>
                <w:rFonts w:cs="Arial"/>
                <w:sz w:val="22"/>
                <w:szCs w:val="22"/>
              </w:rPr>
            </w:pPr>
          </w:p>
          <w:p w14:paraId="7EDCFB5B" w14:textId="35DE960D" w:rsidR="00512C13" w:rsidRDefault="00512C13" w:rsidP="00512C13">
            <w:pPr>
              <w:spacing w:after="0"/>
              <w:rPr>
                <w:sz w:val="22"/>
                <w:szCs w:val="22"/>
                <w:u w:val="single"/>
              </w:rPr>
            </w:pPr>
            <w:r>
              <w:rPr>
                <w:sz w:val="22"/>
                <w:szCs w:val="22"/>
                <w:u w:val="single"/>
              </w:rPr>
              <w:t>Stage 3: Level of ICC</w:t>
            </w:r>
          </w:p>
          <w:p w14:paraId="6FB76FA3" w14:textId="77777777" w:rsidR="00512C13" w:rsidRDefault="00512C13" w:rsidP="00512C13">
            <w:pPr>
              <w:spacing w:after="0"/>
              <w:rPr>
                <w:sz w:val="22"/>
                <w:szCs w:val="22"/>
                <w:u w:val="single"/>
              </w:rPr>
            </w:pPr>
          </w:p>
          <w:p w14:paraId="1001F5A9" w14:textId="77777777" w:rsidR="0041445E" w:rsidRDefault="004E4BEF" w:rsidP="00671A5C">
            <w:pPr>
              <w:spacing w:after="0"/>
              <w:rPr>
                <w:rFonts w:cs="Arial"/>
                <w:sz w:val="22"/>
                <w:szCs w:val="22"/>
              </w:rPr>
            </w:pPr>
            <w:r w:rsidRPr="004E4BEF">
              <w:rPr>
                <w:rFonts w:cs="Arial"/>
                <w:sz w:val="22"/>
                <w:szCs w:val="22"/>
              </w:rPr>
              <w:t xml:space="preserve">In </w:t>
            </w:r>
            <w:proofErr w:type="spellStart"/>
            <w:r w:rsidRPr="004E4BEF">
              <w:rPr>
                <w:rFonts w:cs="Arial"/>
                <w:sz w:val="22"/>
                <w:szCs w:val="22"/>
              </w:rPr>
              <w:t>PR18</w:t>
            </w:r>
            <w:proofErr w:type="spellEnd"/>
            <w:r w:rsidRPr="004E4BEF">
              <w:rPr>
                <w:rFonts w:cs="Arial"/>
                <w:sz w:val="22"/>
                <w:szCs w:val="22"/>
              </w:rPr>
              <w:t xml:space="preserve">, the consultants estimated a potential ICC level that could be paid by </w:t>
            </w:r>
            <w:proofErr w:type="spellStart"/>
            <w:r w:rsidRPr="004E4BEF">
              <w:rPr>
                <w:rFonts w:cs="Arial"/>
                <w:sz w:val="22"/>
                <w:szCs w:val="22"/>
              </w:rPr>
              <w:t>OAOs</w:t>
            </w:r>
            <w:proofErr w:type="spellEnd"/>
            <w:r w:rsidRPr="004E4BEF">
              <w:rPr>
                <w:rFonts w:cs="Arial"/>
                <w:sz w:val="22"/>
                <w:szCs w:val="22"/>
              </w:rPr>
              <w:t xml:space="preserve"> in the inter</w:t>
            </w:r>
            <w:r w:rsidR="00093B67">
              <w:rPr>
                <w:rFonts w:cs="Arial"/>
                <w:sz w:val="22"/>
                <w:szCs w:val="22"/>
              </w:rPr>
              <w:t xml:space="preserve">urban market segment of </w:t>
            </w:r>
            <w:r w:rsidRPr="004E4BEF">
              <w:rPr>
                <w:rFonts w:cs="Arial"/>
                <w:sz w:val="22"/>
                <w:szCs w:val="22"/>
              </w:rPr>
              <w:t>£6</w:t>
            </w:r>
            <w:r w:rsidR="00093B67">
              <w:rPr>
                <w:rFonts w:cs="Arial"/>
                <w:sz w:val="22"/>
                <w:szCs w:val="22"/>
              </w:rPr>
              <w:t xml:space="preserve"> – </w:t>
            </w:r>
            <w:r w:rsidRPr="004E4BEF">
              <w:rPr>
                <w:rFonts w:cs="Arial"/>
                <w:sz w:val="22"/>
                <w:szCs w:val="22"/>
              </w:rPr>
              <w:t>7 per train mile</w:t>
            </w:r>
            <w:r w:rsidR="00093B67">
              <w:rPr>
                <w:rFonts w:cs="Arial"/>
                <w:sz w:val="22"/>
                <w:szCs w:val="22"/>
              </w:rPr>
              <w:t xml:space="preserve"> (though, as explained above, we ultimately </w:t>
            </w:r>
            <w:r w:rsidRPr="004E4BEF">
              <w:rPr>
                <w:rFonts w:cs="Arial"/>
                <w:sz w:val="22"/>
                <w:szCs w:val="22"/>
              </w:rPr>
              <w:t xml:space="preserve">decided to </w:t>
            </w:r>
            <w:r w:rsidR="003F065C">
              <w:rPr>
                <w:rFonts w:cs="Arial"/>
                <w:sz w:val="22"/>
                <w:szCs w:val="22"/>
              </w:rPr>
              <w:t xml:space="preserve">set a more </w:t>
            </w:r>
            <w:r w:rsidRPr="004E4BEF">
              <w:rPr>
                <w:rFonts w:cs="Arial"/>
                <w:sz w:val="22"/>
                <w:szCs w:val="22"/>
              </w:rPr>
              <w:t>conservative rate of £4 per train mile</w:t>
            </w:r>
            <w:r w:rsidR="00093B67">
              <w:rPr>
                <w:rFonts w:cs="Arial"/>
                <w:sz w:val="22"/>
                <w:szCs w:val="22"/>
              </w:rPr>
              <w:t>)</w:t>
            </w:r>
            <w:r w:rsidRPr="004E4BEF">
              <w:rPr>
                <w:rFonts w:cs="Arial"/>
                <w:sz w:val="22"/>
                <w:szCs w:val="22"/>
              </w:rPr>
              <w:t xml:space="preserve">. </w:t>
            </w:r>
          </w:p>
          <w:p w14:paraId="6B106A66" w14:textId="77777777" w:rsidR="0041445E" w:rsidRDefault="0041445E" w:rsidP="00671A5C">
            <w:pPr>
              <w:spacing w:after="0"/>
              <w:rPr>
                <w:rFonts w:cs="Arial"/>
                <w:sz w:val="22"/>
                <w:szCs w:val="22"/>
              </w:rPr>
            </w:pPr>
          </w:p>
          <w:p w14:paraId="47A57767" w14:textId="77777777" w:rsidR="00BA226A" w:rsidRDefault="00EA3AF0" w:rsidP="00BA226A">
            <w:pPr>
              <w:spacing w:after="0"/>
              <w:rPr>
                <w:rFonts w:cs="Arial"/>
                <w:sz w:val="22"/>
                <w:szCs w:val="22"/>
              </w:rPr>
            </w:pPr>
            <w:r>
              <w:rPr>
                <w:rFonts w:cs="Arial"/>
                <w:sz w:val="22"/>
                <w:szCs w:val="22"/>
              </w:rPr>
              <w:t>W</w:t>
            </w:r>
            <w:r w:rsidR="004E4BEF" w:rsidRPr="004E4BEF">
              <w:rPr>
                <w:rFonts w:cs="Arial"/>
                <w:sz w:val="22"/>
                <w:szCs w:val="22"/>
              </w:rPr>
              <w:t xml:space="preserve">e would expect the </w:t>
            </w:r>
            <w:r w:rsidR="009F390A">
              <w:rPr>
                <w:rFonts w:cs="Arial"/>
                <w:sz w:val="22"/>
                <w:szCs w:val="22"/>
              </w:rPr>
              <w:t>consultant</w:t>
            </w:r>
            <w:r w:rsidR="00ED1D11">
              <w:rPr>
                <w:rFonts w:cs="Arial"/>
                <w:sz w:val="22"/>
                <w:szCs w:val="22"/>
              </w:rPr>
              <w:t xml:space="preserve"> </w:t>
            </w:r>
            <w:r>
              <w:rPr>
                <w:rFonts w:cs="Arial"/>
                <w:sz w:val="22"/>
                <w:szCs w:val="22"/>
              </w:rPr>
              <w:t>to estimate a revised</w:t>
            </w:r>
            <w:r w:rsidR="004E4BEF" w:rsidRPr="004E4BEF">
              <w:rPr>
                <w:rFonts w:cs="Arial"/>
                <w:sz w:val="22"/>
                <w:szCs w:val="22"/>
              </w:rPr>
              <w:t xml:space="preserve"> </w:t>
            </w:r>
            <w:r>
              <w:rPr>
                <w:rFonts w:cs="Arial"/>
                <w:sz w:val="22"/>
                <w:szCs w:val="22"/>
              </w:rPr>
              <w:t xml:space="preserve">range for the ICC, for all market segments which it considers can bear a charge, </w:t>
            </w:r>
            <w:r w:rsidR="001119CD">
              <w:rPr>
                <w:rFonts w:cs="Arial"/>
                <w:sz w:val="22"/>
                <w:szCs w:val="22"/>
              </w:rPr>
              <w:t>t</w:t>
            </w:r>
            <w:r>
              <w:rPr>
                <w:rFonts w:cs="Arial"/>
                <w:sz w:val="22"/>
                <w:szCs w:val="22"/>
              </w:rPr>
              <w:t>o inform our decision in this area.</w:t>
            </w:r>
            <w:r w:rsidR="0041445E">
              <w:rPr>
                <w:rFonts w:cs="Arial"/>
                <w:sz w:val="22"/>
                <w:szCs w:val="22"/>
              </w:rPr>
              <w:t xml:space="preserve"> As part of this, we would expect bidders to consider how</w:t>
            </w:r>
            <w:r w:rsidR="001119CD">
              <w:rPr>
                <w:rFonts w:cs="Arial"/>
                <w:sz w:val="22"/>
                <w:szCs w:val="22"/>
              </w:rPr>
              <w:t xml:space="preserve"> best to interpret the updated profitability analysis in order to set an appropriate ICC level, including: how to </w:t>
            </w:r>
            <w:r w:rsidR="0041445E">
              <w:rPr>
                <w:rFonts w:cs="Arial"/>
                <w:sz w:val="22"/>
                <w:szCs w:val="22"/>
              </w:rPr>
              <w:t xml:space="preserve">reflect a reasonable level of profit required for </w:t>
            </w:r>
            <w:r w:rsidR="00263408">
              <w:rPr>
                <w:rFonts w:cs="Arial"/>
                <w:sz w:val="22"/>
                <w:szCs w:val="22"/>
              </w:rPr>
              <w:t>open access</w:t>
            </w:r>
            <w:r w:rsidR="0041445E">
              <w:rPr>
                <w:rFonts w:cs="Arial"/>
                <w:sz w:val="22"/>
                <w:szCs w:val="22"/>
              </w:rPr>
              <w:t xml:space="preserve"> operators to provide services</w:t>
            </w:r>
            <w:r w:rsidR="001119CD">
              <w:rPr>
                <w:rFonts w:cs="Arial"/>
                <w:sz w:val="22"/>
                <w:szCs w:val="22"/>
              </w:rPr>
              <w:t xml:space="preserve">; and how </w:t>
            </w:r>
            <w:r w:rsidR="00EC0F74">
              <w:rPr>
                <w:rFonts w:cs="Arial"/>
                <w:sz w:val="22"/>
                <w:szCs w:val="22"/>
              </w:rPr>
              <w:t xml:space="preserve">the analysis could </w:t>
            </w:r>
            <w:r w:rsidR="001119CD">
              <w:rPr>
                <w:rFonts w:cs="Arial"/>
                <w:sz w:val="22"/>
                <w:szCs w:val="22"/>
              </w:rPr>
              <w:t>take account of any competitive response to open access entry from existing operators.</w:t>
            </w:r>
          </w:p>
          <w:p w14:paraId="5C1AD113" w14:textId="77777777" w:rsidR="00BA226A" w:rsidRDefault="00BA226A" w:rsidP="00BA226A">
            <w:pPr>
              <w:spacing w:after="0"/>
              <w:rPr>
                <w:rFonts w:cs="Arial"/>
                <w:b/>
                <w:sz w:val="22"/>
                <w:szCs w:val="22"/>
              </w:rPr>
            </w:pPr>
          </w:p>
          <w:p w14:paraId="3E18300A" w14:textId="77777777" w:rsidR="00BA226A" w:rsidRDefault="00826B40" w:rsidP="00BA226A">
            <w:pPr>
              <w:spacing w:after="0"/>
              <w:rPr>
                <w:rFonts w:cs="Arial"/>
                <w:b/>
                <w:sz w:val="22"/>
                <w:szCs w:val="22"/>
              </w:rPr>
            </w:pPr>
            <w:r>
              <w:rPr>
                <w:rFonts w:cs="Arial"/>
                <w:b/>
                <w:sz w:val="22"/>
                <w:szCs w:val="22"/>
              </w:rPr>
              <w:t>Data availability</w:t>
            </w:r>
          </w:p>
          <w:p w14:paraId="7AFC2F84" w14:textId="77777777" w:rsidR="00BA226A" w:rsidRDefault="00BA226A" w:rsidP="00BA226A">
            <w:pPr>
              <w:spacing w:after="0"/>
              <w:rPr>
                <w:rFonts w:cs="Arial"/>
                <w:b/>
                <w:sz w:val="22"/>
                <w:szCs w:val="22"/>
              </w:rPr>
            </w:pPr>
          </w:p>
          <w:p w14:paraId="249A3B4D" w14:textId="37B7DB3B" w:rsidR="001D76AA" w:rsidRDefault="00A05648" w:rsidP="00BA226A">
            <w:pPr>
              <w:spacing w:after="0"/>
              <w:rPr>
                <w:rFonts w:cs="Arial"/>
                <w:sz w:val="22"/>
                <w:szCs w:val="22"/>
              </w:rPr>
            </w:pPr>
            <w:r>
              <w:rPr>
                <w:rFonts w:cs="Arial"/>
                <w:sz w:val="22"/>
                <w:szCs w:val="22"/>
              </w:rPr>
              <w:t xml:space="preserve">This is a data-driven piece of work, particularly for the </w:t>
            </w:r>
            <w:r w:rsidR="00263408">
              <w:rPr>
                <w:rFonts w:cs="Arial"/>
                <w:sz w:val="22"/>
                <w:szCs w:val="22"/>
              </w:rPr>
              <w:t>open access</w:t>
            </w:r>
            <w:r>
              <w:rPr>
                <w:rFonts w:cs="Arial"/>
                <w:sz w:val="22"/>
                <w:szCs w:val="22"/>
              </w:rPr>
              <w:t xml:space="preserve"> analysis.</w:t>
            </w:r>
            <w:r w:rsidR="00453956">
              <w:rPr>
                <w:rFonts w:cs="Arial"/>
                <w:sz w:val="22"/>
                <w:szCs w:val="22"/>
              </w:rPr>
              <w:t xml:space="preserve"> </w:t>
            </w:r>
            <w:r w:rsidR="00783369">
              <w:rPr>
                <w:rFonts w:cs="Arial"/>
                <w:sz w:val="22"/>
                <w:szCs w:val="22"/>
              </w:rPr>
              <w:t xml:space="preserve">ORR would facilitate access </w:t>
            </w:r>
            <w:r w:rsidR="009E7BDB">
              <w:rPr>
                <w:rFonts w:cs="Arial"/>
                <w:sz w:val="22"/>
                <w:szCs w:val="22"/>
              </w:rPr>
              <w:t xml:space="preserve">to </w:t>
            </w:r>
            <w:r>
              <w:rPr>
                <w:rFonts w:cs="Arial"/>
                <w:sz w:val="22"/>
                <w:szCs w:val="22"/>
              </w:rPr>
              <w:t xml:space="preserve">the </w:t>
            </w:r>
            <w:r w:rsidR="009E7BDB">
              <w:rPr>
                <w:rFonts w:cs="Arial"/>
                <w:sz w:val="22"/>
                <w:szCs w:val="22"/>
              </w:rPr>
              <w:t>MOIRA and</w:t>
            </w:r>
            <w:r w:rsidR="00455D68">
              <w:rPr>
                <w:rFonts w:cs="Arial"/>
                <w:sz w:val="22"/>
                <w:szCs w:val="22"/>
              </w:rPr>
              <w:t>/</w:t>
            </w:r>
            <w:r w:rsidR="004252E4">
              <w:rPr>
                <w:rFonts w:cs="Arial"/>
                <w:sz w:val="22"/>
                <w:szCs w:val="22"/>
              </w:rPr>
              <w:t>or</w:t>
            </w:r>
            <w:r w:rsidR="009E7BDB">
              <w:rPr>
                <w:rFonts w:cs="Arial"/>
                <w:sz w:val="22"/>
                <w:szCs w:val="22"/>
              </w:rPr>
              <w:t xml:space="preserve"> </w:t>
            </w:r>
            <w:proofErr w:type="spellStart"/>
            <w:r w:rsidR="009E7BDB">
              <w:rPr>
                <w:rFonts w:cs="Arial"/>
                <w:sz w:val="22"/>
                <w:szCs w:val="22"/>
              </w:rPr>
              <w:t>MOIRA2</w:t>
            </w:r>
            <w:proofErr w:type="spellEnd"/>
            <w:r>
              <w:rPr>
                <w:rFonts w:cs="Arial"/>
                <w:sz w:val="22"/>
                <w:szCs w:val="22"/>
              </w:rPr>
              <w:t xml:space="preserve"> rail demand forecasting models,</w:t>
            </w:r>
            <w:r w:rsidR="009E7BDB">
              <w:rPr>
                <w:rFonts w:cs="Arial"/>
                <w:sz w:val="22"/>
                <w:szCs w:val="22"/>
              </w:rPr>
              <w:t xml:space="preserve"> to </w:t>
            </w:r>
            <w:r w:rsidR="00783369">
              <w:rPr>
                <w:rFonts w:cs="Arial"/>
                <w:sz w:val="22"/>
                <w:szCs w:val="22"/>
              </w:rPr>
              <w:t xml:space="preserve">support </w:t>
            </w:r>
            <w:r w:rsidR="009E7BDB">
              <w:rPr>
                <w:rFonts w:cs="Arial"/>
                <w:sz w:val="22"/>
                <w:szCs w:val="22"/>
              </w:rPr>
              <w:t>this work</w:t>
            </w:r>
            <w:r w:rsidR="00783369">
              <w:rPr>
                <w:rFonts w:cs="Arial"/>
                <w:sz w:val="22"/>
                <w:szCs w:val="22"/>
              </w:rPr>
              <w:t xml:space="preserve"> (please note this would require the consultant to sign a confidentiality agreement)</w:t>
            </w:r>
            <w:r w:rsidR="009E7BDB">
              <w:rPr>
                <w:rFonts w:cs="Arial"/>
                <w:sz w:val="22"/>
                <w:szCs w:val="22"/>
              </w:rPr>
              <w:t>.</w:t>
            </w:r>
            <w:r w:rsidR="00A0283B">
              <w:rPr>
                <w:rFonts w:cs="Arial"/>
                <w:sz w:val="22"/>
                <w:szCs w:val="22"/>
              </w:rPr>
              <w:t xml:space="preserve"> </w:t>
            </w:r>
            <w:r w:rsidR="001D76AA">
              <w:rPr>
                <w:rFonts w:cs="Arial"/>
                <w:sz w:val="22"/>
                <w:szCs w:val="22"/>
              </w:rPr>
              <w:t>Th</w:t>
            </w:r>
            <w:r w:rsidR="00783369">
              <w:rPr>
                <w:rFonts w:cs="Arial"/>
                <w:sz w:val="22"/>
                <w:szCs w:val="22"/>
              </w:rPr>
              <w:t xml:space="preserve">ese models </w:t>
            </w:r>
            <w:r w:rsidR="001D76AA">
              <w:rPr>
                <w:rFonts w:cs="Arial"/>
                <w:sz w:val="22"/>
                <w:szCs w:val="22"/>
              </w:rPr>
              <w:t>contain information on revenue from train services at a service code level</w:t>
            </w:r>
            <w:r w:rsidR="00453956">
              <w:rPr>
                <w:rFonts w:cs="Arial"/>
                <w:sz w:val="22"/>
                <w:szCs w:val="22"/>
              </w:rPr>
              <w:t xml:space="preserve"> (i.e. for different </w:t>
            </w:r>
            <w:r w:rsidR="00453956" w:rsidRPr="00453956">
              <w:rPr>
                <w:rFonts w:cs="Arial"/>
                <w:sz w:val="22"/>
                <w:szCs w:val="22"/>
              </w:rPr>
              <w:t xml:space="preserve">groups of train services within the </w:t>
            </w:r>
            <w:r w:rsidR="00453956" w:rsidRPr="00453956">
              <w:rPr>
                <w:rFonts w:cs="Arial"/>
                <w:sz w:val="22"/>
                <w:szCs w:val="22"/>
              </w:rPr>
              <w:lastRenderedPageBreak/>
              <w:t>timetable</w:t>
            </w:r>
            <w:r w:rsidR="00453956">
              <w:rPr>
                <w:rFonts w:cs="Arial"/>
                <w:sz w:val="22"/>
                <w:szCs w:val="22"/>
              </w:rPr>
              <w:t xml:space="preserve">). The MOIRA models do not contain any cost information. ORR holds </w:t>
            </w:r>
            <w:r w:rsidR="004252E4">
              <w:rPr>
                <w:rFonts w:cs="Arial"/>
                <w:sz w:val="22"/>
                <w:szCs w:val="22"/>
              </w:rPr>
              <w:t xml:space="preserve">separate </w:t>
            </w:r>
            <w:r w:rsidR="00453956">
              <w:rPr>
                <w:rFonts w:cs="Arial"/>
                <w:sz w:val="22"/>
                <w:szCs w:val="22"/>
              </w:rPr>
              <w:t>cost information at a TOC level</w:t>
            </w:r>
            <w:r w:rsidR="00552FEB">
              <w:rPr>
                <w:rStyle w:val="FootnoteReference"/>
                <w:rFonts w:cs="Arial"/>
                <w:sz w:val="22"/>
                <w:szCs w:val="22"/>
              </w:rPr>
              <w:footnoteReference w:id="17"/>
            </w:r>
            <w:r w:rsidR="00453956">
              <w:rPr>
                <w:rFonts w:cs="Arial"/>
                <w:sz w:val="22"/>
                <w:szCs w:val="22"/>
              </w:rPr>
              <w:t>.</w:t>
            </w:r>
          </w:p>
          <w:p w14:paraId="23623F13" w14:textId="77777777" w:rsidR="00BA226A" w:rsidRDefault="00BA226A" w:rsidP="00BA226A">
            <w:pPr>
              <w:spacing w:after="0"/>
              <w:rPr>
                <w:rFonts w:cs="Arial"/>
                <w:sz w:val="22"/>
                <w:szCs w:val="22"/>
              </w:rPr>
            </w:pPr>
          </w:p>
          <w:p w14:paraId="12CC82E2" w14:textId="33F4E042" w:rsidR="001B20EC" w:rsidRDefault="00455D68" w:rsidP="00A05648">
            <w:pPr>
              <w:rPr>
                <w:rFonts w:cs="Arial"/>
                <w:sz w:val="22"/>
                <w:szCs w:val="22"/>
              </w:rPr>
            </w:pPr>
            <w:r>
              <w:rPr>
                <w:rFonts w:cs="Arial"/>
                <w:sz w:val="22"/>
                <w:szCs w:val="22"/>
              </w:rPr>
              <w:t xml:space="preserve">We </w:t>
            </w:r>
            <w:r w:rsidR="001D76AA">
              <w:rPr>
                <w:rFonts w:cs="Arial"/>
                <w:sz w:val="22"/>
                <w:szCs w:val="22"/>
              </w:rPr>
              <w:t xml:space="preserve">would </w:t>
            </w:r>
            <w:r w:rsidR="00A05648">
              <w:rPr>
                <w:rFonts w:cs="Arial"/>
                <w:sz w:val="22"/>
                <w:szCs w:val="22"/>
              </w:rPr>
              <w:t xml:space="preserve">expect bidders to set out </w:t>
            </w:r>
            <w:r w:rsidR="001D76AA">
              <w:rPr>
                <w:rFonts w:cs="Arial"/>
                <w:sz w:val="22"/>
                <w:szCs w:val="22"/>
              </w:rPr>
              <w:t xml:space="preserve">any </w:t>
            </w:r>
            <w:r w:rsidR="00A05648">
              <w:rPr>
                <w:rFonts w:cs="Arial"/>
                <w:sz w:val="22"/>
                <w:szCs w:val="22"/>
              </w:rPr>
              <w:t xml:space="preserve">other models and data </w:t>
            </w:r>
            <w:r>
              <w:rPr>
                <w:rFonts w:cs="Arial"/>
                <w:sz w:val="22"/>
                <w:szCs w:val="22"/>
              </w:rPr>
              <w:t xml:space="preserve">they </w:t>
            </w:r>
            <w:r w:rsidR="00A05648">
              <w:rPr>
                <w:rFonts w:cs="Arial"/>
                <w:sz w:val="22"/>
                <w:szCs w:val="22"/>
              </w:rPr>
              <w:t>expect to use. We will</w:t>
            </w:r>
            <w:r w:rsidR="00783369">
              <w:rPr>
                <w:rFonts w:cs="Arial"/>
                <w:sz w:val="22"/>
                <w:szCs w:val="22"/>
              </w:rPr>
              <w:t xml:space="preserve"> </w:t>
            </w:r>
            <w:r w:rsidR="00A05648">
              <w:rPr>
                <w:rFonts w:cs="Arial"/>
                <w:sz w:val="22"/>
                <w:szCs w:val="22"/>
              </w:rPr>
              <w:t xml:space="preserve">seek to facilitate access to any </w:t>
            </w:r>
            <w:r w:rsidR="00783369">
              <w:rPr>
                <w:rFonts w:cs="Arial"/>
                <w:sz w:val="22"/>
                <w:szCs w:val="22"/>
              </w:rPr>
              <w:t xml:space="preserve">further </w:t>
            </w:r>
            <w:r w:rsidR="00A05648">
              <w:rPr>
                <w:rFonts w:cs="Arial"/>
                <w:sz w:val="22"/>
                <w:szCs w:val="22"/>
              </w:rPr>
              <w:t xml:space="preserve">data sources besides MOIRA and </w:t>
            </w:r>
            <w:proofErr w:type="spellStart"/>
            <w:r w:rsidR="00A05648">
              <w:rPr>
                <w:rFonts w:cs="Arial"/>
                <w:sz w:val="22"/>
                <w:szCs w:val="22"/>
              </w:rPr>
              <w:t>MOIRA2</w:t>
            </w:r>
            <w:proofErr w:type="spellEnd"/>
            <w:r w:rsidR="00A05648">
              <w:rPr>
                <w:rFonts w:cs="Arial"/>
                <w:sz w:val="22"/>
                <w:szCs w:val="22"/>
              </w:rPr>
              <w:t xml:space="preserve">, </w:t>
            </w:r>
            <w:r w:rsidR="00453956">
              <w:rPr>
                <w:rFonts w:cs="Arial"/>
                <w:sz w:val="22"/>
                <w:szCs w:val="22"/>
              </w:rPr>
              <w:t>where these are held internally</w:t>
            </w:r>
            <w:r w:rsidR="0008390F">
              <w:rPr>
                <w:rFonts w:cs="Arial"/>
                <w:sz w:val="22"/>
                <w:szCs w:val="22"/>
              </w:rPr>
              <w:t>, including in respect of passenger demand forecasts (e.g. from the Rail Covid Forecasting Group)</w:t>
            </w:r>
            <w:r w:rsidR="00453956">
              <w:rPr>
                <w:rFonts w:cs="Arial"/>
                <w:sz w:val="22"/>
                <w:szCs w:val="22"/>
              </w:rPr>
              <w:t>. We</w:t>
            </w:r>
            <w:r w:rsidR="00A05648">
              <w:rPr>
                <w:rFonts w:cs="Arial"/>
                <w:sz w:val="22"/>
                <w:szCs w:val="22"/>
              </w:rPr>
              <w:t xml:space="preserve"> will also support the </w:t>
            </w:r>
            <w:r w:rsidR="009F390A">
              <w:rPr>
                <w:rFonts w:cs="Arial"/>
                <w:sz w:val="22"/>
                <w:szCs w:val="22"/>
              </w:rPr>
              <w:t xml:space="preserve">appointed consultant </w:t>
            </w:r>
            <w:r w:rsidR="00A05648">
              <w:rPr>
                <w:rFonts w:cs="Arial"/>
                <w:sz w:val="22"/>
                <w:szCs w:val="22"/>
              </w:rPr>
              <w:t>in securing access to any other models or data sources as required.</w:t>
            </w:r>
            <w:r w:rsidR="009F5A74">
              <w:rPr>
                <w:rFonts w:cs="Arial"/>
                <w:sz w:val="22"/>
                <w:szCs w:val="22"/>
              </w:rPr>
              <w:t xml:space="preserve"> </w:t>
            </w:r>
          </w:p>
          <w:p w14:paraId="2D42E6E6" w14:textId="32B1FF6B" w:rsidR="00453956" w:rsidRDefault="00453956" w:rsidP="00453956">
            <w:pPr>
              <w:rPr>
                <w:rFonts w:cs="Arial"/>
                <w:sz w:val="22"/>
                <w:szCs w:val="22"/>
              </w:rPr>
            </w:pPr>
            <w:r>
              <w:rPr>
                <w:rFonts w:cs="Arial"/>
                <w:sz w:val="22"/>
                <w:szCs w:val="22"/>
              </w:rPr>
              <w:t xml:space="preserve">We note that we do not have access to the model previously used by </w:t>
            </w:r>
            <w:proofErr w:type="spellStart"/>
            <w:r>
              <w:rPr>
                <w:rFonts w:cs="Arial"/>
                <w:sz w:val="22"/>
                <w:szCs w:val="22"/>
              </w:rPr>
              <w:t>MDST</w:t>
            </w:r>
            <w:proofErr w:type="spellEnd"/>
            <w:r>
              <w:rPr>
                <w:rFonts w:cs="Arial"/>
                <w:sz w:val="22"/>
                <w:szCs w:val="22"/>
              </w:rPr>
              <w:t xml:space="preserve">, as part of our </w:t>
            </w:r>
            <w:proofErr w:type="spellStart"/>
            <w:r>
              <w:rPr>
                <w:rFonts w:cs="Arial"/>
                <w:sz w:val="22"/>
                <w:szCs w:val="22"/>
              </w:rPr>
              <w:t>PR13</w:t>
            </w:r>
            <w:proofErr w:type="spellEnd"/>
            <w:r>
              <w:rPr>
                <w:rFonts w:cs="Arial"/>
                <w:sz w:val="22"/>
                <w:szCs w:val="22"/>
              </w:rPr>
              <w:t xml:space="preserve"> review of charges, to estimate commodity-specific demand elasticities for freight services.</w:t>
            </w:r>
          </w:p>
          <w:p w14:paraId="19DDB80C" w14:textId="208A38FF" w:rsidR="00671A5C" w:rsidRPr="00671A5C" w:rsidRDefault="00671A5C" w:rsidP="00536FF3">
            <w:pPr>
              <w:rPr>
                <w:rFonts w:cs="Arial"/>
                <w:b/>
                <w:sz w:val="22"/>
                <w:szCs w:val="22"/>
              </w:rPr>
            </w:pPr>
            <w:r w:rsidRPr="00671A5C">
              <w:rPr>
                <w:rFonts w:cs="Arial"/>
                <w:b/>
                <w:sz w:val="22"/>
                <w:szCs w:val="22"/>
              </w:rPr>
              <w:t>Extension option</w:t>
            </w:r>
          </w:p>
          <w:p w14:paraId="70F3B508" w14:textId="277DFEBF" w:rsidR="00671A5C" w:rsidRDefault="00671A5C" w:rsidP="00536FF3">
            <w:pPr>
              <w:rPr>
                <w:rFonts w:cs="Arial"/>
                <w:sz w:val="22"/>
                <w:szCs w:val="22"/>
              </w:rPr>
            </w:pPr>
            <w:r w:rsidRPr="00671A5C">
              <w:rPr>
                <w:rFonts w:cs="Arial"/>
                <w:sz w:val="22"/>
                <w:szCs w:val="22"/>
              </w:rPr>
              <w:t xml:space="preserve">For both </w:t>
            </w:r>
            <w:r w:rsidR="00802EF8">
              <w:rPr>
                <w:rFonts w:cs="Arial"/>
                <w:sz w:val="22"/>
                <w:szCs w:val="22"/>
              </w:rPr>
              <w:t xml:space="preserve">the freight and </w:t>
            </w:r>
            <w:r w:rsidR="00263408">
              <w:rPr>
                <w:rFonts w:cs="Arial"/>
                <w:sz w:val="22"/>
                <w:szCs w:val="22"/>
              </w:rPr>
              <w:t>open access</w:t>
            </w:r>
            <w:r w:rsidR="00802EF8">
              <w:rPr>
                <w:rFonts w:cs="Arial"/>
                <w:sz w:val="22"/>
                <w:szCs w:val="22"/>
              </w:rPr>
              <w:t xml:space="preserve"> </w:t>
            </w:r>
            <w:r w:rsidRPr="00671A5C">
              <w:rPr>
                <w:rFonts w:cs="Arial"/>
                <w:sz w:val="22"/>
                <w:szCs w:val="22"/>
              </w:rPr>
              <w:t>workstreams</w:t>
            </w:r>
            <w:r w:rsidR="00802EF8">
              <w:rPr>
                <w:rFonts w:cs="Arial"/>
                <w:sz w:val="22"/>
                <w:szCs w:val="22"/>
              </w:rPr>
              <w:t>,</w:t>
            </w:r>
            <w:r w:rsidRPr="00671A5C">
              <w:rPr>
                <w:rFonts w:cs="Arial"/>
                <w:sz w:val="22"/>
                <w:szCs w:val="22"/>
              </w:rPr>
              <w:t xml:space="preserve"> there is a </w:t>
            </w:r>
            <w:r w:rsidR="008106BC">
              <w:rPr>
                <w:rFonts w:cs="Arial"/>
                <w:sz w:val="22"/>
                <w:szCs w:val="22"/>
              </w:rPr>
              <w:t>possibility</w:t>
            </w:r>
            <w:r w:rsidRPr="00671A5C">
              <w:rPr>
                <w:rFonts w:cs="Arial"/>
                <w:sz w:val="22"/>
                <w:szCs w:val="22"/>
              </w:rPr>
              <w:t xml:space="preserve"> of the consultants’ work being extended for a further </w:t>
            </w:r>
            <w:r w:rsidR="00B154C3">
              <w:rPr>
                <w:rFonts w:cs="Arial"/>
                <w:sz w:val="22"/>
                <w:szCs w:val="22"/>
              </w:rPr>
              <w:t xml:space="preserve">support </w:t>
            </w:r>
            <w:r w:rsidRPr="00671A5C">
              <w:rPr>
                <w:rFonts w:cs="Arial"/>
                <w:sz w:val="22"/>
                <w:szCs w:val="22"/>
              </w:rPr>
              <w:t>phase</w:t>
            </w:r>
            <w:r w:rsidR="00263408">
              <w:rPr>
                <w:rFonts w:cs="Arial"/>
                <w:sz w:val="22"/>
                <w:szCs w:val="22"/>
              </w:rPr>
              <w:t>,</w:t>
            </w:r>
            <w:r w:rsidRPr="00671A5C">
              <w:rPr>
                <w:rFonts w:cs="Arial"/>
                <w:sz w:val="22"/>
                <w:szCs w:val="22"/>
              </w:rPr>
              <w:t xml:space="preserve"> beyond the </w:t>
            </w:r>
            <w:r w:rsidR="00296408">
              <w:rPr>
                <w:rFonts w:cs="Arial"/>
                <w:sz w:val="22"/>
                <w:szCs w:val="22"/>
              </w:rPr>
              <w:t>stages set out above</w:t>
            </w:r>
            <w:r w:rsidRPr="00671A5C">
              <w:rPr>
                <w:rFonts w:cs="Arial"/>
                <w:sz w:val="22"/>
                <w:szCs w:val="22"/>
              </w:rPr>
              <w:t>.</w:t>
            </w:r>
            <w:r>
              <w:rPr>
                <w:rFonts w:cs="Arial"/>
                <w:sz w:val="22"/>
                <w:szCs w:val="22"/>
              </w:rPr>
              <w:t xml:space="preserve"> </w:t>
            </w:r>
            <w:r w:rsidRPr="00671A5C">
              <w:rPr>
                <w:rFonts w:cs="Arial"/>
                <w:sz w:val="22"/>
                <w:szCs w:val="22"/>
              </w:rPr>
              <w:t>Further details about this extension are set out in Section 2.4 below.</w:t>
            </w:r>
          </w:p>
          <w:p w14:paraId="2D9B37D3" w14:textId="77777777" w:rsidR="00671A5C" w:rsidRPr="00671A5C" w:rsidRDefault="00671A5C" w:rsidP="00536FF3">
            <w:pPr>
              <w:rPr>
                <w:rFonts w:cs="Arial"/>
                <w:b/>
                <w:sz w:val="22"/>
                <w:szCs w:val="22"/>
              </w:rPr>
            </w:pPr>
            <w:r w:rsidRPr="00671A5C">
              <w:rPr>
                <w:rFonts w:cs="Arial"/>
                <w:b/>
                <w:sz w:val="22"/>
                <w:szCs w:val="22"/>
              </w:rPr>
              <w:t>Contract Model</w:t>
            </w:r>
          </w:p>
          <w:p w14:paraId="66C42D7F" w14:textId="65B2AAD1" w:rsidR="00671A5C" w:rsidRPr="009F5A74" w:rsidRDefault="00671A5C" w:rsidP="00536FF3">
            <w:pPr>
              <w:rPr>
                <w:rFonts w:cs="Arial"/>
                <w:sz w:val="22"/>
                <w:szCs w:val="22"/>
              </w:rPr>
            </w:pPr>
            <w:r w:rsidRPr="00671A5C">
              <w:rPr>
                <w:rFonts w:cs="Arial"/>
                <w:sz w:val="22"/>
                <w:szCs w:val="22"/>
              </w:rPr>
              <w:t>To enable the widest possible</w:t>
            </w:r>
            <w:r>
              <w:rPr>
                <w:rFonts w:cs="Arial"/>
                <w:sz w:val="22"/>
                <w:szCs w:val="22"/>
              </w:rPr>
              <w:t xml:space="preserve"> </w:t>
            </w:r>
            <w:r w:rsidRPr="00671A5C">
              <w:rPr>
                <w:rFonts w:cs="Arial"/>
                <w:sz w:val="22"/>
                <w:szCs w:val="22"/>
              </w:rPr>
              <w:t>response and to ensure value for money</w:t>
            </w:r>
            <w:r w:rsidR="00C34545">
              <w:rPr>
                <w:rFonts w:cs="Arial"/>
                <w:sz w:val="22"/>
                <w:szCs w:val="22"/>
              </w:rPr>
              <w:t>,</w:t>
            </w:r>
            <w:r w:rsidRPr="00671A5C">
              <w:rPr>
                <w:rFonts w:cs="Arial"/>
                <w:sz w:val="22"/>
                <w:szCs w:val="22"/>
              </w:rPr>
              <w:t xml:space="preserve"> we are adopting a contracting model that could see either two individual contracts placed (one for each workstream) or a single contract placed for bot</w:t>
            </w:r>
            <w:r>
              <w:rPr>
                <w:rFonts w:cs="Arial"/>
                <w:sz w:val="22"/>
                <w:szCs w:val="22"/>
              </w:rPr>
              <w:t xml:space="preserve">h workstreams. </w:t>
            </w:r>
            <w:r w:rsidRPr="00671A5C">
              <w:rPr>
                <w:rFonts w:cs="Arial"/>
                <w:sz w:val="22"/>
                <w:szCs w:val="22"/>
              </w:rPr>
              <w:t>Bidders may therefore apply for one or both workstreams</w:t>
            </w:r>
            <w:r w:rsidR="00802EF8">
              <w:rPr>
                <w:rFonts w:cs="Arial"/>
                <w:sz w:val="22"/>
                <w:szCs w:val="22"/>
              </w:rPr>
              <w:t>,</w:t>
            </w:r>
            <w:r w:rsidRPr="00671A5C">
              <w:rPr>
                <w:rFonts w:cs="Arial"/>
                <w:sz w:val="22"/>
                <w:szCs w:val="22"/>
              </w:rPr>
              <w:t xml:space="preserve"> as well as a combined offer.</w:t>
            </w:r>
          </w:p>
        </w:tc>
      </w:tr>
      <w:tr w:rsidR="00F52BE8" w:rsidRPr="0036077E" w14:paraId="16B6CA3B" w14:textId="77777777" w:rsidTr="00A31A26">
        <w:trPr>
          <w:trHeight w:val="566"/>
        </w:trPr>
        <w:tc>
          <w:tcPr>
            <w:tcW w:w="8500" w:type="dxa"/>
            <w:shd w:val="clear" w:color="auto" w:fill="99CCFF"/>
          </w:tcPr>
          <w:p w14:paraId="4A8CCD8F" w14:textId="6C2C5162" w:rsidR="00F52BE8" w:rsidRPr="0036077E" w:rsidRDefault="00F52BE8" w:rsidP="003E2732">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A31A26">
        <w:trPr>
          <w:trHeight w:val="757"/>
        </w:trPr>
        <w:tc>
          <w:tcPr>
            <w:tcW w:w="8500" w:type="dxa"/>
            <w:tcBorders>
              <w:bottom w:val="single" w:sz="4" w:space="0" w:color="auto"/>
            </w:tcBorders>
            <w:shd w:val="clear" w:color="auto" w:fill="auto"/>
          </w:tcPr>
          <w:p w14:paraId="6703E58E" w14:textId="77777777" w:rsidR="00512C13" w:rsidRDefault="00512C13" w:rsidP="00512C13">
            <w:pPr>
              <w:spacing w:after="0"/>
              <w:rPr>
                <w:rFonts w:cs="Arial"/>
                <w:sz w:val="22"/>
                <w:szCs w:val="22"/>
              </w:rPr>
            </w:pPr>
          </w:p>
          <w:p w14:paraId="3F3C8CD0" w14:textId="185A5426" w:rsidR="004C34BA" w:rsidRDefault="004C34BA" w:rsidP="00512C13">
            <w:pPr>
              <w:spacing w:after="0"/>
              <w:rPr>
                <w:rFonts w:cs="Arial"/>
                <w:b/>
                <w:sz w:val="22"/>
                <w:szCs w:val="22"/>
              </w:rPr>
            </w:pPr>
            <w:r>
              <w:rPr>
                <w:rFonts w:cs="Arial"/>
                <w:b/>
                <w:sz w:val="22"/>
                <w:szCs w:val="22"/>
              </w:rPr>
              <w:t xml:space="preserve">Outputs / deliverables </w:t>
            </w:r>
          </w:p>
          <w:p w14:paraId="4135BB72" w14:textId="77777777" w:rsidR="004C34BA" w:rsidRPr="004C34BA" w:rsidRDefault="004C34BA" w:rsidP="00512C13">
            <w:pPr>
              <w:spacing w:after="0"/>
              <w:rPr>
                <w:rFonts w:cs="Arial"/>
                <w:b/>
                <w:sz w:val="22"/>
                <w:szCs w:val="22"/>
              </w:rPr>
            </w:pPr>
          </w:p>
          <w:p w14:paraId="3251DBBE" w14:textId="78B4D40C" w:rsidR="004C34BA" w:rsidRDefault="003F065C" w:rsidP="00512C13">
            <w:pPr>
              <w:spacing w:after="0"/>
              <w:rPr>
                <w:rFonts w:cs="Arial"/>
                <w:sz w:val="22"/>
                <w:szCs w:val="22"/>
              </w:rPr>
            </w:pPr>
            <w:r>
              <w:rPr>
                <w:rFonts w:cs="Arial"/>
                <w:sz w:val="22"/>
                <w:szCs w:val="22"/>
              </w:rPr>
              <w:t>T</w:t>
            </w:r>
            <w:r w:rsidR="004C34BA">
              <w:rPr>
                <w:rFonts w:cs="Arial"/>
                <w:sz w:val="22"/>
                <w:szCs w:val="22"/>
              </w:rPr>
              <w:t xml:space="preserve">he main outputs of this work will be two reports (in Word / PDF format) setting out the analysis and conclusions of the work described in Section 2.2 above, </w:t>
            </w:r>
            <w:r>
              <w:rPr>
                <w:rFonts w:cs="Arial"/>
                <w:sz w:val="22"/>
                <w:szCs w:val="22"/>
              </w:rPr>
              <w:t xml:space="preserve">separately </w:t>
            </w:r>
            <w:r w:rsidR="004C34BA">
              <w:rPr>
                <w:rFonts w:cs="Arial"/>
                <w:sz w:val="22"/>
                <w:szCs w:val="22"/>
              </w:rPr>
              <w:t>for frei</w:t>
            </w:r>
            <w:r w:rsidR="00997C38">
              <w:rPr>
                <w:rFonts w:cs="Arial"/>
                <w:sz w:val="22"/>
                <w:szCs w:val="22"/>
              </w:rPr>
              <w:t xml:space="preserve">ght and </w:t>
            </w:r>
            <w:r w:rsidR="00263408">
              <w:rPr>
                <w:rFonts w:cs="Arial"/>
                <w:sz w:val="22"/>
                <w:szCs w:val="22"/>
              </w:rPr>
              <w:t>open access</w:t>
            </w:r>
            <w:r w:rsidR="004C34BA">
              <w:rPr>
                <w:rFonts w:cs="Arial"/>
                <w:sz w:val="22"/>
                <w:szCs w:val="22"/>
              </w:rPr>
              <w:t>. These reports should contain</w:t>
            </w:r>
            <w:r>
              <w:rPr>
                <w:rFonts w:cs="Arial"/>
                <w:sz w:val="22"/>
                <w:szCs w:val="22"/>
              </w:rPr>
              <w:t xml:space="preserve"> provisional</w:t>
            </w:r>
            <w:r w:rsidR="004C34BA">
              <w:rPr>
                <w:rFonts w:cs="Arial"/>
                <w:sz w:val="22"/>
                <w:szCs w:val="22"/>
              </w:rPr>
              <w:t xml:space="preserve"> recommendations in respect of any changes to the market segmentation (i.e. stage 1 of the analysis), as well as which market segments are able to bear ICCs (stage 2)</w:t>
            </w:r>
            <w:r w:rsidR="00C34545">
              <w:rPr>
                <w:rFonts w:cs="Arial"/>
                <w:sz w:val="22"/>
                <w:szCs w:val="22"/>
              </w:rPr>
              <w:t xml:space="preserve"> and, in the case of open access, revised estimates for the level of any ICC (stage 3)</w:t>
            </w:r>
            <w:r w:rsidR="004C34BA">
              <w:rPr>
                <w:rFonts w:cs="Arial"/>
                <w:sz w:val="22"/>
                <w:szCs w:val="22"/>
              </w:rPr>
              <w:t>. The reports should also contain sufficient information about the work which has been undertaken, to support these recommendations.</w:t>
            </w:r>
          </w:p>
          <w:p w14:paraId="705F37D1" w14:textId="77777777" w:rsidR="004C34BA" w:rsidRDefault="004C34BA" w:rsidP="00512C13">
            <w:pPr>
              <w:spacing w:after="0"/>
              <w:rPr>
                <w:rFonts w:cs="Arial"/>
                <w:sz w:val="22"/>
                <w:szCs w:val="22"/>
              </w:rPr>
            </w:pPr>
          </w:p>
          <w:p w14:paraId="1B676B04" w14:textId="564EB248" w:rsidR="004C34BA" w:rsidRPr="00067C65" w:rsidRDefault="004C34BA" w:rsidP="00512C13">
            <w:pPr>
              <w:spacing w:after="0"/>
              <w:rPr>
                <w:rFonts w:cs="Arial"/>
                <w:sz w:val="22"/>
                <w:szCs w:val="22"/>
              </w:rPr>
            </w:pPr>
            <w:r>
              <w:rPr>
                <w:rFonts w:cs="Arial"/>
                <w:sz w:val="22"/>
                <w:szCs w:val="22"/>
              </w:rPr>
              <w:t xml:space="preserve">These reports will need to be produced to a publishable standard, as we would expect to publish them alongside a further consultation on our </w:t>
            </w:r>
            <w:proofErr w:type="spellStart"/>
            <w:r>
              <w:rPr>
                <w:rFonts w:cs="Arial"/>
                <w:sz w:val="22"/>
                <w:szCs w:val="22"/>
              </w:rPr>
              <w:t>PR23</w:t>
            </w:r>
            <w:proofErr w:type="spellEnd"/>
            <w:r>
              <w:rPr>
                <w:rFonts w:cs="Arial"/>
                <w:sz w:val="22"/>
                <w:szCs w:val="22"/>
              </w:rPr>
              <w:t xml:space="preserve"> access charges review (see Section 2.4 for further details of this).</w:t>
            </w:r>
            <w:r w:rsidR="001E2C53">
              <w:rPr>
                <w:rFonts w:cs="Arial"/>
                <w:sz w:val="22"/>
                <w:szCs w:val="22"/>
              </w:rPr>
              <w:t xml:space="preserve"> This means that we require the </w:t>
            </w:r>
            <w:r w:rsidR="00997C38">
              <w:rPr>
                <w:rFonts w:cs="Arial"/>
                <w:sz w:val="22"/>
                <w:szCs w:val="22"/>
              </w:rPr>
              <w:t xml:space="preserve">consultant </w:t>
            </w:r>
            <w:r w:rsidR="001E2C53">
              <w:rPr>
                <w:rFonts w:cs="Arial"/>
                <w:sz w:val="22"/>
                <w:szCs w:val="22"/>
              </w:rPr>
              <w:t>to deliver a draft report for comment</w:t>
            </w:r>
            <w:r w:rsidR="003F065C">
              <w:rPr>
                <w:rFonts w:cs="Arial"/>
                <w:sz w:val="22"/>
                <w:szCs w:val="22"/>
              </w:rPr>
              <w:t>,</w:t>
            </w:r>
            <w:r w:rsidR="001E2C53">
              <w:rPr>
                <w:rFonts w:cs="Arial"/>
                <w:sz w:val="22"/>
                <w:szCs w:val="22"/>
              </w:rPr>
              <w:t xml:space="preserve"> which details their provisional findings and recommendations</w:t>
            </w:r>
            <w:r w:rsidR="003F065C">
              <w:rPr>
                <w:rFonts w:cs="Arial"/>
                <w:sz w:val="22"/>
                <w:szCs w:val="22"/>
              </w:rPr>
              <w:t>, in advance of the end date for this project</w:t>
            </w:r>
            <w:r w:rsidR="001E2C53">
              <w:rPr>
                <w:rFonts w:cs="Arial"/>
                <w:sz w:val="22"/>
                <w:szCs w:val="22"/>
              </w:rPr>
              <w:t xml:space="preserve">. The </w:t>
            </w:r>
            <w:r w:rsidR="001E2C53">
              <w:rPr>
                <w:rFonts w:cs="Arial"/>
                <w:sz w:val="21"/>
                <w:szCs w:val="21"/>
                <w:shd w:val="clear" w:color="auto" w:fill="FFFFFF"/>
              </w:rPr>
              <w:t>f</w:t>
            </w:r>
            <w:r w:rsidR="001E2C53" w:rsidRPr="0030765A">
              <w:rPr>
                <w:rFonts w:cs="Arial"/>
                <w:sz w:val="21"/>
                <w:szCs w:val="21"/>
                <w:shd w:val="clear" w:color="auto" w:fill="FFFFFF"/>
              </w:rPr>
              <w:t xml:space="preserve">inal </w:t>
            </w:r>
            <w:r w:rsidR="001E2C53" w:rsidRPr="00067C65">
              <w:rPr>
                <w:rFonts w:cs="Arial"/>
                <w:sz w:val="22"/>
                <w:szCs w:val="22"/>
                <w:shd w:val="clear" w:color="auto" w:fill="FFFFFF"/>
              </w:rPr>
              <w:t>report would then incorporate comments and suggested amendments from ORR</w:t>
            </w:r>
            <w:r w:rsidR="001E2C53" w:rsidRPr="00067C65">
              <w:rPr>
                <w:rFonts w:cs="Arial"/>
                <w:sz w:val="22"/>
                <w:szCs w:val="22"/>
              </w:rPr>
              <w:t>.</w:t>
            </w:r>
          </w:p>
          <w:p w14:paraId="1EB81605" w14:textId="77777777" w:rsidR="004C34BA" w:rsidRDefault="004C34BA" w:rsidP="00512C13">
            <w:pPr>
              <w:spacing w:after="0"/>
              <w:rPr>
                <w:rFonts w:cs="Arial"/>
                <w:sz w:val="22"/>
                <w:szCs w:val="22"/>
              </w:rPr>
            </w:pPr>
          </w:p>
          <w:p w14:paraId="0D21C661" w14:textId="73B42ADF" w:rsidR="004C34BA" w:rsidRDefault="004C34BA" w:rsidP="00512C13">
            <w:pPr>
              <w:spacing w:after="0"/>
              <w:rPr>
                <w:rFonts w:cs="Arial"/>
                <w:sz w:val="22"/>
                <w:szCs w:val="22"/>
                <w:u w:val="single"/>
              </w:rPr>
            </w:pPr>
            <w:r>
              <w:rPr>
                <w:rFonts w:cs="Arial"/>
                <w:sz w:val="22"/>
                <w:szCs w:val="22"/>
                <w:u w:val="single"/>
              </w:rPr>
              <w:t xml:space="preserve">Engaging </w:t>
            </w:r>
            <w:r w:rsidR="00E67F6C">
              <w:rPr>
                <w:rFonts w:cs="Arial"/>
                <w:sz w:val="22"/>
                <w:szCs w:val="22"/>
                <w:u w:val="single"/>
              </w:rPr>
              <w:t>with relevant stakeholders</w:t>
            </w:r>
            <w:r>
              <w:rPr>
                <w:rFonts w:cs="Arial"/>
                <w:sz w:val="22"/>
                <w:szCs w:val="22"/>
                <w:u w:val="single"/>
              </w:rPr>
              <w:t xml:space="preserve"> </w:t>
            </w:r>
          </w:p>
          <w:p w14:paraId="15DE6E6F" w14:textId="77777777" w:rsidR="002916BB" w:rsidRDefault="002916BB" w:rsidP="00512C13">
            <w:pPr>
              <w:spacing w:after="0"/>
              <w:rPr>
                <w:rFonts w:cs="Arial"/>
                <w:sz w:val="22"/>
                <w:szCs w:val="22"/>
              </w:rPr>
            </w:pPr>
          </w:p>
          <w:p w14:paraId="702BB9FD" w14:textId="75D12B04" w:rsidR="00DD5AA2" w:rsidRDefault="002916BB" w:rsidP="00512C13">
            <w:pPr>
              <w:spacing w:after="0"/>
              <w:rPr>
                <w:rFonts w:cs="Arial"/>
                <w:sz w:val="22"/>
                <w:szCs w:val="22"/>
              </w:rPr>
            </w:pPr>
            <w:r>
              <w:rPr>
                <w:rFonts w:cs="Arial"/>
                <w:sz w:val="22"/>
                <w:szCs w:val="22"/>
              </w:rPr>
              <w:t>In undertaking the required analysis, we would expect the consultant to engage with relevant stakeholders where appropriate.</w:t>
            </w:r>
            <w:r w:rsidR="001D76AA">
              <w:rPr>
                <w:rFonts w:cs="Arial"/>
                <w:sz w:val="22"/>
                <w:szCs w:val="22"/>
              </w:rPr>
              <w:t xml:space="preserve"> It is likely that engagement with Network </w:t>
            </w:r>
            <w:r w:rsidR="001D76AA">
              <w:rPr>
                <w:rFonts w:cs="Arial"/>
                <w:sz w:val="22"/>
                <w:szCs w:val="22"/>
              </w:rPr>
              <w:lastRenderedPageBreak/>
              <w:t xml:space="preserve">Rail will be necessary to further understand some of the practical considerations around </w:t>
            </w:r>
            <w:r w:rsidR="00453956">
              <w:rPr>
                <w:rFonts w:cs="Arial"/>
                <w:sz w:val="22"/>
                <w:szCs w:val="22"/>
              </w:rPr>
              <w:t>market segmentation and how operators are billed for ICCs.</w:t>
            </w:r>
            <w:r w:rsidR="00C95557">
              <w:rPr>
                <w:rFonts w:cs="Arial"/>
                <w:sz w:val="22"/>
                <w:szCs w:val="22"/>
              </w:rPr>
              <w:t xml:space="preserve"> </w:t>
            </w:r>
            <w:r w:rsidR="007F6BF1">
              <w:rPr>
                <w:rFonts w:cs="Arial"/>
                <w:sz w:val="22"/>
                <w:szCs w:val="22"/>
              </w:rPr>
              <w:t xml:space="preserve">We </w:t>
            </w:r>
            <w:r w:rsidR="00092ADD">
              <w:rPr>
                <w:rFonts w:cs="Arial"/>
                <w:sz w:val="22"/>
                <w:szCs w:val="22"/>
              </w:rPr>
              <w:t xml:space="preserve">would also expect to hold at least two </w:t>
            </w:r>
            <w:r w:rsidR="00C95557">
              <w:rPr>
                <w:rFonts w:cs="Arial"/>
                <w:sz w:val="22"/>
                <w:szCs w:val="22"/>
              </w:rPr>
              <w:t xml:space="preserve">workshop(s) with </w:t>
            </w:r>
            <w:r w:rsidR="00157922">
              <w:rPr>
                <w:rFonts w:cs="Arial"/>
                <w:sz w:val="22"/>
                <w:szCs w:val="22"/>
              </w:rPr>
              <w:t xml:space="preserve">both existing and prospective </w:t>
            </w:r>
            <w:r w:rsidR="00C95557">
              <w:rPr>
                <w:rFonts w:cs="Arial"/>
                <w:sz w:val="22"/>
                <w:szCs w:val="22"/>
              </w:rPr>
              <w:t xml:space="preserve">train operators </w:t>
            </w:r>
            <w:r w:rsidR="00092ADD">
              <w:rPr>
                <w:rFonts w:cs="Arial"/>
                <w:sz w:val="22"/>
                <w:szCs w:val="22"/>
              </w:rPr>
              <w:t xml:space="preserve">(one focused on freight; and one focused on open access) </w:t>
            </w:r>
            <w:r w:rsidR="00C95557">
              <w:rPr>
                <w:rFonts w:cs="Arial"/>
                <w:sz w:val="22"/>
                <w:szCs w:val="22"/>
              </w:rPr>
              <w:t>to obtain their input on aspects of the analysis.</w:t>
            </w:r>
            <w:r w:rsidR="00856151">
              <w:rPr>
                <w:rFonts w:cs="Arial"/>
                <w:sz w:val="22"/>
                <w:szCs w:val="22"/>
              </w:rPr>
              <w:t xml:space="preserve"> We envisage these workshops would be held over the autumn (e.g. early November). ORR would help to facilitate and organise these workshops. </w:t>
            </w:r>
          </w:p>
          <w:p w14:paraId="68A35668" w14:textId="77777777" w:rsidR="00DD5AA2" w:rsidRDefault="00DD5AA2" w:rsidP="00512C13">
            <w:pPr>
              <w:spacing w:after="0"/>
              <w:rPr>
                <w:rFonts w:cs="Arial"/>
                <w:sz w:val="22"/>
                <w:szCs w:val="22"/>
              </w:rPr>
            </w:pPr>
          </w:p>
          <w:p w14:paraId="17BB1A41" w14:textId="501F7818" w:rsidR="00783369" w:rsidRDefault="00092ADD" w:rsidP="00512C13">
            <w:pPr>
              <w:spacing w:after="0"/>
              <w:rPr>
                <w:rFonts w:cs="Arial"/>
                <w:sz w:val="22"/>
                <w:szCs w:val="22"/>
              </w:rPr>
            </w:pPr>
            <w:r>
              <w:rPr>
                <w:rFonts w:cs="Arial"/>
                <w:sz w:val="22"/>
                <w:szCs w:val="22"/>
              </w:rPr>
              <w:t>Furthermore, i</w:t>
            </w:r>
            <w:r w:rsidR="00C95557">
              <w:rPr>
                <w:rFonts w:cs="Arial"/>
                <w:sz w:val="22"/>
                <w:szCs w:val="22"/>
              </w:rPr>
              <w:t xml:space="preserve">n updating the freight </w:t>
            </w:r>
            <w:proofErr w:type="spellStart"/>
            <w:r w:rsidR="00C95557">
              <w:rPr>
                <w:rFonts w:cs="Arial"/>
                <w:sz w:val="22"/>
                <w:szCs w:val="22"/>
              </w:rPr>
              <w:t>MCB</w:t>
            </w:r>
            <w:proofErr w:type="spellEnd"/>
            <w:r w:rsidR="00C95557">
              <w:rPr>
                <w:rFonts w:cs="Arial"/>
                <w:sz w:val="22"/>
                <w:szCs w:val="22"/>
              </w:rPr>
              <w:t xml:space="preserve"> analysis, </w:t>
            </w:r>
            <w:r w:rsidR="00DD5AA2">
              <w:rPr>
                <w:rFonts w:cs="Arial"/>
                <w:sz w:val="22"/>
                <w:szCs w:val="22"/>
              </w:rPr>
              <w:t xml:space="preserve">we would expect the consultant to </w:t>
            </w:r>
            <w:r w:rsidR="005146EF">
              <w:rPr>
                <w:rFonts w:cs="Arial"/>
                <w:sz w:val="22"/>
                <w:szCs w:val="22"/>
              </w:rPr>
              <w:t xml:space="preserve">speak to </w:t>
            </w:r>
            <w:r w:rsidR="00C95557">
              <w:rPr>
                <w:rFonts w:cs="Arial"/>
                <w:sz w:val="22"/>
                <w:szCs w:val="22"/>
              </w:rPr>
              <w:t>major freight customers to understand recent changes in market conditions for specific commodity flows.</w:t>
            </w:r>
          </w:p>
          <w:p w14:paraId="0BC79888" w14:textId="033348FD" w:rsidR="00783369" w:rsidRDefault="00783369" w:rsidP="00512C13">
            <w:pPr>
              <w:spacing w:after="0"/>
              <w:rPr>
                <w:rFonts w:cs="Arial"/>
                <w:sz w:val="22"/>
                <w:szCs w:val="22"/>
              </w:rPr>
            </w:pPr>
          </w:p>
          <w:p w14:paraId="1E55D462" w14:textId="1B8A33A0" w:rsidR="00F52BE8" w:rsidRDefault="00F52BE8" w:rsidP="003E2732">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69EDDA27" w14:textId="02793471" w:rsidR="001E2C53" w:rsidRDefault="001E2C53" w:rsidP="003E2732">
            <w:pPr>
              <w:autoSpaceDE w:val="0"/>
              <w:autoSpaceDN w:val="0"/>
              <w:adjustRightInd w:val="0"/>
              <w:spacing w:after="0"/>
              <w:rPr>
                <w:rFonts w:cs="Arial"/>
                <w:b/>
                <w:sz w:val="22"/>
                <w:szCs w:val="22"/>
                <w:lang w:eastAsia="en-GB"/>
              </w:rPr>
            </w:pPr>
          </w:p>
          <w:p w14:paraId="35DA6336" w14:textId="4CF6C69C" w:rsidR="001E2C53" w:rsidRDefault="001E2C53" w:rsidP="001E2C53">
            <w:pPr>
              <w:spacing w:after="0"/>
              <w:rPr>
                <w:rFonts w:cs="Arial"/>
                <w:sz w:val="22"/>
                <w:szCs w:val="22"/>
              </w:rPr>
            </w:pPr>
            <w:r>
              <w:rPr>
                <w:rFonts w:cs="Arial"/>
                <w:sz w:val="22"/>
                <w:szCs w:val="22"/>
              </w:rPr>
              <w:t xml:space="preserve">We expect the </w:t>
            </w:r>
            <w:r w:rsidR="00997C38">
              <w:rPr>
                <w:rFonts w:cs="Arial"/>
                <w:sz w:val="22"/>
                <w:szCs w:val="22"/>
              </w:rPr>
              <w:t>consultant</w:t>
            </w:r>
            <w:r>
              <w:rPr>
                <w:rFonts w:cs="Arial"/>
                <w:sz w:val="22"/>
                <w:szCs w:val="22"/>
              </w:rPr>
              <w:t xml:space="preserve"> will work closely with </w:t>
            </w:r>
            <w:proofErr w:type="spellStart"/>
            <w:r>
              <w:rPr>
                <w:rFonts w:cs="Arial"/>
                <w:sz w:val="22"/>
                <w:szCs w:val="22"/>
              </w:rPr>
              <w:t>ORR’s</w:t>
            </w:r>
            <w:proofErr w:type="spellEnd"/>
            <w:r>
              <w:rPr>
                <w:rFonts w:cs="Arial"/>
                <w:sz w:val="22"/>
                <w:szCs w:val="22"/>
              </w:rPr>
              <w:t xml:space="preserve"> project team leading the </w:t>
            </w:r>
            <w:proofErr w:type="spellStart"/>
            <w:r>
              <w:rPr>
                <w:rFonts w:cs="Arial"/>
                <w:sz w:val="22"/>
                <w:szCs w:val="22"/>
              </w:rPr>
              <w:t>PR23</w:t>
            </w:r>
            <w:proofErr w:type="spellEnd"/>
            <w:r>
              <w:rPr>
                <w:rFonts w:cs="Arial"/>
                <w:sz w:val="22"/>
                <w:szCs w:val="22"/>
              </w:rPr>
              <w:t xml:space="preserve"> charges review. As such, we would expect to have regular intera</w:t>
            </w:r>
            <w:r w:rsidR="00997C38">
              <w:rPr>
                <w:rFonts w:cs="Arial"/>
                <w:sz w:val="22"/>
                <w:szCs w:val="22"/>
              </w:rPr>
              <w:t>ction with the consultant</w:t>
            </w:r>
            <w:r>
              <w:rPr>
                <w:rFonts w:cs="Arial"/>
                <w:sz w:val="22"/>
                <w:szCs w:val="22"/>
              </w:rPr>
              <w:t xml:space="preserve">, as required by the work. </w:t>
            </w:r>
            <w:r w:rsidR="005937CD">
              <w:rPr>
                <w:rFonts w:cs="Arial"/>
                <w:sz w:val="22"/>
                <w:szCs w:val="22"/>
              </w:rPr>
              <w:t xml:space="preserve"> </w:t>
            </w:r>
          </w:p>
          <w:p w14:paraId="6E1D0187" w14:textId="77777777" w:rsidR="001E2C53" w:rsidRDefault="001E2C53" w:rsidP="001E2C53">
            <w:pPr>
              <w:spacing w:after="0"/>
              <w:rPr>
                <w:rFonts w:cs="Arial"/>
                <w:sz w:val="22"/>
                <w:szCs w:val="22"/>
              </w:rPr>
            </w:pPr>
          </w:p>
          <w:p w14:paraId="7EDD8699" w14:textId="546F4F3A" w:rsidR="001E2C53" w:rsidRDefault="001E2C53" w:rsidP="001E2C53">
            <w:pPr>
              <w:spacing w:after="0"/>
              <w:rPr>
                <w:rFonts w:cs="Arial"/>
                <w:sz w:val="22"/>
                <w:szCs w:val="22"/>
              </w:rPr>
            </w:pPr>
            <w:r>
              <w:rPr>
                <w:rFonts w:cs="Arial"/>
                <w:sz w:val="22"/>
                <w:szCs w:val="22"/>
              </w:rPr>
              <w:t xml:space="preserve">At a minimum, we would expect the </w:t>
            </w:r>
            <w:r w:rsidR="00997C38">
              <w:rPr>
                <w:rFonts w:cs="Arial"/>
                <w:sz w:val="22"/>
                <w:szCs w:val="22"/>
              </w:rPr>
              <w:t>consultant</w:t>
            </w:r>
            <w:r>
              <w:rPr>
                <w:rFonts w:cs="Arial"/>
                <w:sz w:val="22"/>
                <w:szCs w:val="22"/>
              </w:rPr>
              <w:t xml:space="preserve"> to provide a weekly progress update by email, as well as holding fortnightly update meetings to discuss any emerging issues in more detail.</w:t>
            </w:r>
            <w:r w:rsidR="005937CD">
              <w:rPr>
                <w:rFonts w:cs="Arial"/>
                <w:sz w:val="22"/>
                <w:szCs w:val="22"/>
              </w:rPr>
              <w:t xml:space="preserve"> </w:t>
            </w:r>
            <w:r>
              <w:rPr>
                <w:rFonts w:cs="Arial"/>
                <w:sz w:val="22"/>
                <w:szCs w:val="22"/>
              </w:rPr>
              <w:t xml:space="preserve">We would also expect to have more regular engagement than this at key stages in the project i.e. at the start of the contract, in order to agree a clear approach and methodology </w:t>
            </w:r>
            <w:r w:rsidR="00672A0C">
              <w:rPr>
                <w:rFonts w:cs="Arial"/>
                <w:sz w:val="22"/>
                <w:szCs w:val="22"/>
              </w:rPr>
              <w:t>for the work</w:t>
            </w:r>
            <w:r>
              <w:rPr>
                <w:rFonts w:cs="Arial"/>
                <w:sz w:val="22"/>
                <w:szCs w:val="22"/>
              </w:rPr>
              <w:t>; and in advance of the draft report being produced, to agree the scope and structure of this report.</w:t>
            </w:r>
          </w:p>
          <w:p w14:paraId="779700F3" w14:textId="770C5725" w:rsidR="001E2C53" w:rsidRDefault="001E2C53" w:rsidP="001E2C53">
            <w:pPr>
              <w:spacing w:after="0"/>
              <w:rPr>
                <w:rFonts w:cs="Arial"/>
                <w:sz w:val="22"/>
                <w:szCs w:val="22"/>
              </w:rPr>
            </w:pPr>
          </w:p>
          <w:p w14:paraId="2F5AC683" w14:textId="2FA44B68" w:rsidR="00F52BE8" w:rsidRDefault="005937CD" w:rsidP="00816CCC">
            <w:pPr>
              <w:spacing w:after="0"/>
              <w:rPr>
                <w:rFonts w:cs="Arial"/>
                <w:sz w:val="22"/>
                <w:szCs w:val="22"/>
              </w:rPr>
            </w:pPr>
            <w:r>
              <w:rPr>
                <w:rFonts w:cs="Arial"/>
                <w:sz w:val="22"/>
                <w:szCs w:val="22"/>
              </w:rPr>
              <w:t xml:space="preserve">We expect that most meetings would be conducted virtually over Microsoft Teams. Where circumstances allow, we would seek to conduct the project </w:t>
            </w:r>
            <w:r w:rsidR="00816CCC">
              <w:rPr>
                <w:rFonts w:cs="Arial"/>
                <w:sz w:val="22"/>
                <w:szCs w:val="22"/>
              </w:rPr>
              <w:t>start-up m</w:t>
            </w:r>
            <w:r>
              <w:rPr>
                <w:rFonts w:cs="Arial"/>
                <w:sz w:val="22"/>
                <w:szCs w:val="22"/>
              </w:rPr>
              <w:t xml:space="preserve">eeting face-to-face in our London offices. </w:t>
            </w:r>
          </w:p>
          <w:p w14:paraId="413A5EE2" w14:textId="04EA6614" w:rsidR="00816CCC" w:rsidRPr="0036077E" w:rsidRDefault="00816CCC" w:rsidP="00816CCC">
            <w:pPr>
              <w:spacing w:after="0"/>
              <w:rPr>
                <w:rFonts w:cs="Arial"/>
                <w:b/>
              </w:rPr>
            </w:pPr>
          </w:p>
        </w:tc>
      </w:tr>
      <w:tr w:rsidR="00F52BE8" w:rsidRPr="0036077E" w14:paraId="4166DCD0" w14:textId="77777777" w:rsidTr="00A31A26">
        <w:trPr>
          <w:trHeight w:val="250"/>
        </w:trPr>
        <w:tc>
          <w:tcPr>
            <w:tcW w:w="8500" w:type="dxa"/>
            <w:shd w:val="clear" w:color="auto" w:fill="99CCFF"/>
          </w:tcPr>
          <w:p w14:paraId="5B50AF6D" w14:textId="77777777" w:rsidR="00F52BE8" w:rsidRPr="0036077E" w:rsidRDefault="00F52BE8" w:rsidP="003E2732">
            <w:pPr>
              <w:rPr>
                <w:rFonts w:cs="Arial"/>
                <w:b/>
                <w:sz w:val="28"/>
                <w:szCs w:val="28"/>
              </w:rPr>
            </w:pPr>
            <w:r w:rsidRPr="0036077E">
              <w:rPr>
                <w:rFonts w:cs="Arial"/>
                <w:b/>
                <w:sz w:val="28"/>
                <w:szCs w:val="28"/>
              </w:rPr>
              <w:lastRenderedPageBreak/>
              <w:t>2.4 Project Timescales</w:t>
            </w:r>
          </w:p>
        </w:tc>
      </w:tr>
      <w:tr w:rsidR="00F52BE8" w:rsidRPr="0036077E" w14:paraId="2C89A944" w14:textId="77777777" w:rsidTr="00A31A26">
        <w:trPr>
          <w:trHeight w:val="250"/>
        </w:trPr>
        <w:tc>
          <w:tcPr>
            <w:tcW w:w="8500" w:type="dxa"/>
            <w:tcBorders>
              <w:bottom w:val="single" w:sz="4" w:space="0" w:color="auto"/>
            </w:tcBorders>
            <w:shd w:val="clear" w:color="auto" w:fill="auto"/>
          </w:tcPr>
          <w:p w14:paraId="7054CF29" w14:textId="019DD2AD" w:rsidR="00F52BE8" w:rsidRPr="0036077E" w:rsidRDefault="009D5033" w:rsidP="00512C13">
            <w:pPr>
              <w:rPr>
                <w:rFonts w:cs="Arial"/>
                <w:color w:val="000000"/>
                <w:sz w:val="22"/>
                <w:szCs w:val="22"/>
                <w:lang w:eastAsia="en-GB"/>
              </w:rPr>
            </w:pPr>
            <w:r>
              <w:rPr>
                <w:rFonts w:cs="Arial"/>
                <w:b/>
                <w:color w:val="FF0000"/>
                <w:sz w:val="22"/>
                <w:szCs w:val="22"/>
              </w:rPr>
              <w:t xml:space="preserve">                                                                                                                                    </w:t>
            </w:r>
            <w:r w:rsidR="00512C13">
              <w:rPr>
                <w:rFonts w:cs="Arial"/>
                <w:sz w:val="22"/>
                <w:szCs w:val="22"/>
              </w:rPr>
              <w:t xml:space="preserve">We would anticipate the project taking around </w:t>
            </w:r>
            <w:r w:rsidR="00816CCC">
              <w:rPr>
                <w:rFonts w:cs="Arial"/>
                <w:sz w:val="22"/>
                <w:szCs w:val="22"/>
              </w:rPr>
              <w:t>4</w:t>
            </w:r>
            <w:r w:rsidR="00512C13">
              <w:rPr>
                <w:rFonts w:cs="Arial"/>
                <w:sz w:val="22"/>
                <w:szCs w:val="22"/>
              </w:rPr>
              <w:t xml:space="preserve"> months, from </w:t>
            </w:r>
            <w:r w:rsidR="00672A0C">
              <w:rPr>
                <w:rFonts w:cs="Arial"/>
                <w:sz w:val="22"/>
                <w:szCs w:val="22"/>
              </w:rPr>
              <w:t xml:space="preserve">late September </w:t>
            </w:r>
            <w:r w:rsidR="00512C13">
              <w:rPr>
                <w:rFonts w:cs="Arial"/>
                <w:sz w:val="22"/>
                <w:szCs w:val="22"/>
              </w:rPr>
              <w:t xml:space="preserve">2021 to </w:t>
            </w:r>
            <w:r w:rsidR="00816CCC">
              <w:rPr>
                <w:rFonts w:cs="Arial"/>
                <w:sz w:val="22"/>
                <w:szCs w:val="22"/>
              </w:rPr>
              <w:t xml:space="preserve">late January </w:t>
            </w:r>
            <w:r w:rsidR="00512C13">
              <w:rPr>
                <w:rFonts w:cs="Arial"/>
                <w:sz w:val="22"/>
                <w:szCs w:val="22"/>
              </w:rPr>
              <w:t xml:space="preserve">2022. </w:t>
            </w:r>
            <w:r w:rsidR="00F52BE8" w:rsidRPr="0036077E">
              <w:rPr>
                <w:rFonts w:cs="Arial"/>
                <w:color w:val="000000"/>
                <w:sz w:val="22"/>
                <w:szCs w:val="22"/>
                <w:lang w:eastAsia="en-GB"/>
              </w:rPr>
              <w:t>The provisional project timetable is as follows:</w:t>
            </w:r>
          </w:p>
          <w:p w14:paraId="009C3E07" w14:textId="68F5AD88" w:rsidR="00F52BE8" w:rsidRPr="0036077E" w:rsidRDefault="00F52BE8" w:rsidP="00EA3AF0">
            <w:pPr>
              <w:numPr>
                <w:ilvl w:val="0"/>
                <w:numId w:val="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Start</w:t>
            </w:r>
            <w:r w:rsidR="00B154C3">
              <w:rPr>
                <w:rFonts w:cs="Arial"/>
                <w:color w:val="000000"/>
                <w:sz w:val="22"/>
                <w:szCs w:val="22"/>
                <w:lang w:eastAsia="en-GB"/>
              </w:rPr>
              <w:t>-</w:t>
            </w:r>
            <w:r w:rsidRPr="0036077E">
              <w:rPr>
                <w:rFonts w:cs="Arial"/>
                <w:color w:val="000000"/>
                <w:sz w:val="22"/>
                <w:szCs w:val="22"/>
                <w:lang w:eastAsia="en-GB"/>
              </w:rPr>
              <w:t xml:space="preserve">up meeting and commencement w/c </w:t>
            </w:r>
            <w:r w:rsidR="00E255DD">
              <w:rPr>
                <w:rFonts w:cs="Arial"/>
                <w:color w:val="000000"/>
                <w:sz w:val="22"/>
                <w:szCs w:val="22"/>
                <w:lang w:eastAsia="en-GB"/>
              </w:rPr>
              <w:t>20/09/2021</w:t>
            </w:r>
            <w:r w:rsidRPr="0036077E">
              <w:rPr>
                <w:rFonts w:cs="Arial"/>
                <w:color w:val="000000"/>
                <w:sz w:val="22"/>
                <w:szCs w:val="22"/>
                <w:lang w:eastAsia="en-GB"/>
              </w:rPr>
              <w:t>.</w:t>
            </w:r>
          </w:p>
          <w:p w14:paraId="050435D7" w14:textId="0288FBE5" w:rsidR="00F52BE8" w:rsidRPr="0036077E" w:rsidRDefault="005937CD" w:rsidP="00EA3AF0">
            <w:pPr>
              <w:numPr>
                <w:ilvl w:val="0"/>
                <w:numId w:val="6"/>
              </w:numPr>
              <w:autoSpaceDE w:val="0"/>
              <w:autoSpaceDN w:val="0"/>
              <w:adjustRightInd w:val="0"/>
              <w:spacing w:after="0"/>
              <w:rPr>
                <w:rFonts w:cs="Arial"/>
                <w:color w:val="000000"/>
                <w:sz w:val="22"/>
                <w:szCs w:val="22"/>
                <w:lang w:eastAsia="en-GB"/>
              </w:rPr>
            </w:pPr>
            <w:r>
              <w:rPr>
                <w:rFonts w:cs="Arial"/>
                <w:color w:val="000000"/>
                <w:sz w:val="22"/>
                <w:szCs w:val="22"/>
                <w:lang w:eastAsia="en-GB"/>
              </w:rPr>
              <w:t>Fortnightly</w:t>
            </w:r>
            <w:r w:rsidR="00F52BE8" w:rsidRPr="0036077E">
              <w:rPr>
                <w:rFonts w:cs="Arial"/>
                <w:color w:val="000000"/>
                <w:sz w:val="22"/>
                <w:szCs w:val="22"/>
                <w:lang w:eastAsia="en-GB"/>
              </w:rPr>
              <w:t xml:space="preserve"> updates on progress and any issues</w:t>
            </w:r>
          </w:p>
          <w:p w14:paraId="4212805A" w14:textId="685971B9" w:rsidR="00B154C3" w:rsidRDefault="00B154C3" w:rsidP="00EA3AF0">
            <w:pPr>
              <w:numPr>
                <w:ilvl w:val="0"/>
                <w:numId w:val="6"/>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Stakeholder engagement </w:t>
            </w:r>
            <w:r w:rsidR="00856151">
              <w:rPr>
                <w:rFonts w:cs="Arial"/>
                <w:color w:val="000000"/>
                <w:sz w:val="22"/>
                <w:szCs w:val="22"/>
                <w:lang w:eastAsia="en-GB"/>
              </w:rPr>
              <w:t xml:space="preserve">(including operator workshops) </w:t>
            </w:r>
            <w:r>
              <w:rPr>
                <w:rFonts w:cs="Arial"/>
                <w:color w:val="000000"/>
                <w:sz w:val="22"/>
                <w:szCs w:val="22"/>
                <w:lang w:eastAsia="en-GB"/>
              </w:rPr>
              <w:t>during autumn 2021</w:t>
            </w:r>
          </w:p>
          <w:p w14:paraId="0D921B6D" w14:textId="340F17D8" w:rsidR="00F52BE8" w:rsidRPr="0036077E" w:rsidRDefault="005937CD" w:rsidP="00EA3AF0">
            <w:pPr>
              <w:numPr>
                <w:ilvl w:val="0"/>
                <w:numId w:val="6"/>
              </w:numPr>
              <w:autoSpaceDE w:val="0"/>
              <w:autoSpaceDN w:val="0"/>
              <w:adjustRightInd w:val="0"/>
              <w:spacing w:after="0"/>
              <w:rPr>
                <w:rFonts w:cs="Arial"/>
                <w:color w:val="000000"/>
                <w:sz w:val="22"/>
                <w:szCs w:val="22"/>
                <w:lang w:eastAsia="en-GB"/>
              </w:rPr>
            </w:pPr>
            <w:r>
              <w:rPr>
                <w:rFonts w:cs="Arial"/>
                <w:color w:val="000000"/>
                <w:sz w:val="22"/>
                <w:szCs w:val="22"/>
                <w:lang w:eastAsia="en-GB"/>
              </w:rPr>
              <w:t>Meeting to discuss emerging f</w:t>
            </w:r>
            <w:r w:rsidR="00F52BE8" w:rsidRPr="0036077E">
              <w:rPr>
                <w:rFonts w:cs="Arial"/>
                <w:color w:val="000000"/>
                <w:sz w:val="22"/>
                <w:szCs w:val="22"/>
                <w:lang w:eastAsia="en-GB"/>
              </w:rPr>
              <w:t xml:space="preserve">indings </w:t>
            </w:r>
            <w:r w:rsidR="000B2D64">
              <w:rPr>
                <w:rFonts w:cs="Arial"/>
                <w:color w:val="000000"/>
                <w:sz w:val="22"/>
                <w:szCs w:val="22"/>
                <w:lang w:eastAsia="en-GB"/>
              </w:rPr>
              <w:t>/ recommendations by mid December 2021</w:t>
            </w:r>
          </w:p>
          <w:p w14:paraId="3932EAEA" w14:textId="54C8C883" w:rsidR="00F52BE8" w:rsidRPr="0036077E" w:rsidRDefault="00F52BE8" w:rsidP="00EA3AF0">
            <w:pPr>
              <w:numPr>
                <w:ilvl w:val="0"/>
                <w:numId w:val="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Draft report</w:t>
            </w:r>
            <w:r w:rsidR="005937CD">
              <w:rPr>
                <w:rFonts w:cs="Arial"/>
                <w:color w:val="000000"/>
                <w:sz w:val="22"/>
                <w:szCs w:val="22"/>
                <w:lang w:eastAsia="en-GB"/>
              </w:rPr>
              <w:t>s</w:t>
            </w:r>
            <w:r w:rsidRPr="0036077E">
              <w:rPr>
                <w:rFonts w:cs="Arial"/>
                <w:color w:val="000000"/>
                <w:sz w:val="22"/>
                <w:szCs w:val="22"/>
                <w:lang w:eastAsia="en-GB"/>
              </w:rPr>
              <w:t xml:space="preserve"> by </w:t>
            </w:r>
            <w:r w:rsidR="00816CCC">
              <w:rPr>
                <w:rFonts w:cs="Arial"/>
                <w:color w:val="000000"/>
                <w:sz w:val="22"/>
                <w:szCs w:val="22"/>
                <w:lang w:eastAsia="en-GB"/>
              </w:rPr>
              <w:t>mid-</w:t>
            </w:r>
            <w:r w:rsidR="00263408">
              <w:rPr>
                <w:rFonts w:cs="Arial"/>
                <w:color w:val="000000"/>
                <w:sz w:val="22"/>
                <w:szCs w:val="22"/>
                <w:lang w:eastAsia="en-GB"/>
              </w:rPr>
              <w:t xml:space="preserve">January </w:t>
            </w:r>
            <w:r w:rsidR="003F065C">
              <w:rPr>
                <w:rFonts w:cs="Arial"/>
                <w:color w:val="000000"/>
                <w:sz w:val="22"/>
                <w:szCs w:val="22"/>
                <w:lang w:eastAsia="en-GB"/>
              </w:rPr>
              <w:t>202</w:t>
            </w:r>
            <w:r w:rsidR="00263408">
              <w:rPr>
                <w:rFonts w:cs="Arial"/>
                <w:color w:val="000000"/>
                <w:sz w:val="22"/>
                <w:szCs w:val="22"/>
                <w:lang w:eastAsia="en-GB"/>
              </w:rPr>
              <w:t>1</w:t>
            </w:r>
          </w:p>
          <w:p w14:paraId="716AE40F" w14:textId="21A58179" w:rsidR="00F52BE8" w:rsidRDefault="00F52BE8" w:rsidP="00EA3AF0">
            <w:pPr>
              <w:numPr>
                <w:ilvl w:val="0"/>
                <w:numId w:val="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Final report</w:t>
            </w:r>
            <w:r w:rsidR="00CC0AB6">
              <w:rPr>
                <w:rFonts w:cs="Arial"/>
                <w:color w:val="000000"/>
                <w:sz w:val="22"/>
                <w:szCs w:val="22"/>
                <w:lang w:eastAsia="en-GB"/>
              </w:rPr>
              <w:t>s</w:t>
            </w:r>
            <w:r w:rsidRPr="0036077E">
              <w:rPr>
                <w:rFonts w:cs="Arial"/>
                <w:color w:val="000000"/>
                <w:sz w:val="22"/>
                <w:szCs w:val="22"/>
                <w:lang w:eastAsia="en-GB"/>
              </w:rPr>
              <w:t xml:space="preserve"> by </w:t>
            </w:r>
            <w:r w:rsidR="00816CCC">
              <w:rPr>
                <w:rFonts w:cs="Arial"/>
                <w:color w:val="000000"/>
                <w:sz w:val="22"/>
                <w:szCs w:val="22"/>
                <w:lang w:eastAsia="en-GB"/>
              </w:rPr>
              <w:t xml:space="preserve">end January / early </w:t>
            </w:r>
            <w:r w:rsidR="00E255DD">
              <w:rPr>
                <w:rFonts w:cs="Arial"/>
                <w:color w:val="000000"/>
                <w:sz w:val="22"/>
                <w:szCs w:val="22"/>
                <w:lang w:eastAsia="en-GB"/>
              </w:rPr>
              <w:t>February</w:t>
            </w:r>
            <w:r w:rsidR="00CC0AB6">
              <w:rPr>
                <w:rFonts w:cs="Arial"/>
                <w:color w:val="000000"/>
                <w:sz w:val="22"/>
                <w:szCs w:val="22"/>
                <w:lang w:eastAsia="en-GB"/>
              </w:rPr>
              <w:t xml:space="preserve"> 2022</w:t>
            </w:r>
          </w:p>
          <w:p w14:paraId="2CBC09B0" w14:textId="77777777" w:rsidR="00F52BE8" w:rsidRDefault="00F52BE8" w:rsidP="003E2732">
            <w:pPr>
              <w:autoSpaceDE w:val="0"/>
              <w:autoSpaceDN w:val="0"/>
              <w:adjustRightInd w:val="0"/>
              <w:spacing w:after="0"/>
              <w:rPr>
                <w:rFonts w:cs="Arial"/>
                <w:color w:val="000000"/>
                <w:sz w:val="22"/>
                <w:szCs w:val="22"/>
                <w:lang w:eastAsia="en-GB"/>
              </w:rPr>
            </w:pPr>
          </w:p>
          <w:p w14:paraId="69616ED7" w14:textId="0972F48B" w:rsidR="00512C13" w:rsidRDefault="00512C13" w:rsidP="00512C13">
            <w:pPr>
              <w:autoSpaceDE w:val="0"/>
              <w:autoSpaceDN w:val="0"/>
              <w:adjustRightInd w:val="0"/>
              <w:spacing w:after="0"/>
              <w:rPr>
                <w:rFonts w:cs="Arial"/>
                <w:sz w:val="22"/>
                <w:szCs w:val="22"/>
              </w:rPr>
            </w:pPr>
            <w:r>
              <w:rPr>
                <w:rFonts w:cs="Arial"/>
                <w:sz w:val="22"/>
                <w:szCs w:val="22"/>
              </w:rPr>
              <w:t xml:space="preserve">We expect the conclusions from this work to feed into a further consultation on our </w:t>
            </w:r>
            <w:proofErr w:type="spellStart"/>
            <w:r>
              <w:rPr>
                <w:rFonts w:cs="Arial"/>
                <w:sz w:val="22"/>
                <w:szCs w:val="22"/>
              </w:rPr>
              <w:t>PR23</w:t>
            </w:r>
            <w:proofErr w:type="spellEnd"/>
            <w:r>
              <w:rPr>
                <w:rFonts w:cs="Arial"/>
                <w:sz w:val="22"/>
                <w:szCs w:val="22"/>
              </w:rPr>
              <w:t xml:space="preserve"> charges review to be published </w:t>
            </w:r>
            <w:r w:rsidR="00672A0C">
              <w:rPr>
                <w:rFonts w:cs="Arial"/>
                <w:sz w:val="22"/>
                <w:szCs w:val="22"/>
              </w:rPr>
              <w:t xml:space="preserve">sometime </w:t>
            </w:r>
            <w:r w:rsidR="00263408">
              <w:rPr>
                <w:rFonts w:cs="Arial"/>
                <w:sz w:val="22"/>
                <w:szCs w:val="22"/>
              </w:rPr>
              <w:t xml:space="preserve">during </w:t>
            </w:r>
            <w:proofErr w:type="spellStart"/>
            <w:r>
              <w:rPr>
                <w:rFonts w:cs="Arial"/>
                <w:sz w:val="22"/>
                <w:szCs w:val="22"/>
              </w:rPr>
              <w:t>Q1</w:t>
            </w:r>
            <w:proofErr w:type="spellEnd"/>
            <w:r>
              <w:rPr>
                <w:rFonts w:cs="Arial"/>
                <w:sz w:val="22"/>
                <w:szCs w:val="22"/>
              </w:rPr>
              <w:t xml:space="preserve"> 2022. As such, it is important that th</w:t>
            </w:r>
            <w:r w:rsidR="000C69FC">
              <w:rPr>
                <w:rFonts w:cs="Arial"/>
                <w:sz w:val="22"/>
                <w:szCs w:val="22"/>
              </w:rPr>
              <w:t xml:space="preserve">e </w:t>
            </w:r>
            <w:r w:rsidR="00816CCC">
              <w:rPr>
                <w:rFonts w:cs="Arial"/>
                <w:sz w:val="22"/>
                <w:szCs w:val="22"/>
              </w:rPr>
              <w:t xml:space="preserve">substantive </w:t>
            </w:r>
            <w:r w:rsidR="000C69FC">
              <w:rPr>
                <w:rFonts w:cs="Arial"/>
                <w:sz w:val="22"/>
                <w:szCs w:val="22"/>
              </w:rPr>
              <w:t xml:space="preserve">analysis </w:t>
            </w:r>
            <w:r>
              <w:rPr>
                <w:rFonts w:cs="Arial"/>
                <w:sz w:val="22"/>
                <w:szCs w:val="22"/>
              </w:rPr>
              <w:t xml:space="preserve">is completed by </w:t>
            </w:r>
            <w:r w:rsidR="000C69FC">
              <w:rPr>
                <w:rFonts w:cs="Arial"/>
                <w:sz w:val="22"/>
                <w:szCs w:val="22"/>
              </w:rPr>
              <w:t xml:space="preserve">the </w:t>
            </w:r>
            <w:r w:rsidR="00816CCC">
              <w:rPr>
                <w:rFonts w:cs="Arial"/>
                <w:sz w:val="22"/>
                <w:szCs w:val="22"/>
              </w:rPr>
              <w:t xml:space="preserve">middle </w:t>
            </w:r>
            <w:r w:rsidR="000C69FC">
              <w:rPr>
                <w:rFonts w:cs="Arial"/>
                <w:sz w:val="22"/>
                <w:szCs w:val="22"/>
              </w:rPr>
              <w:t>of January</w:t>
            </w:r>
            <w:r>
              <w:rPr>
                <w:rFonts w:cs="Arial"/>
                <w:sz w:val="22"/>
                <w:szCs w:val="22"/>
              </w:rPr>
              <w:t>, to allow sufficient time for us to reflect</w:t>
            </w:r>
            <w:r w:rsidR="00A05648">
              <w:rPr>
                <w:rFonts w:cs="Arial"/>
                <w:sz w:val="22"/>
                <w:szCs w:val="22"/>
              </w:rPr>
              <w:t xml:space="preserve"> the outputs of the work in our next </w:t>
            </w:r>
            <w:r>
              <w:rPr>
                <w:rFonts w:cs="Arial"/>
                <w:sz w:val="22"/>
                <w:szCs w:val="22"/>
              </w:rPr>
              <w:t>consultation.</w:t>
            </w:r>
          </w:p>
          <w:p w14:paraId="79E10032" w14:textId="47D16EEE" w:rsidR="001E2C53" w:rsidRDefault="001E2C53" w:rsidP="00512C13">
            <w:pPr>
              <w:autoSpaceDE w:val="0"/>
              <w:autoSpaceDN w:val="0"/>
              <w:adjustRightInd w:val="0"/>
              <w:spacing w:after="0"/>
              <w:rPr>
                <w:rFonts w:cs="Arial"/>
                <w:sz w:val="22"/>
                <w:szCs w:val="22"/>
              </w:rPr>
            </w:pPr>
          </w:p>
          <w:p w14:paraId="44CC70B1" w14:textId="6A4E3392" w:rsidR="00F52BE8" w:rsidRDefault="008A6A59" w:rsidP="003E2732">
            <w:pPr>
              <w:autoSpaceDE w:val="0"/>
              <w:autoSpaceDN w:val="0"/>
              <w:adjustRightInd w:val="0"/>
              <w:spacing w:after="0"/>
              <w:rPr>
                <w:rFonts w:cs="Arial"/>
                <w:b/>
                <w:color w:val="000000"/>
                <w:sz w:val="22"/>
                <w:szCs w:val="22"/>
                <w:lang w:eastAsia="en-GB"/>
              </w:rPr>
            </w:pPr>
            <w:r>
              <w:rPr>
                <w:rFonts w:cs="Arial"/>
                <w:b/>
                <w:color w:val="000000"/>
                <w:sz w:val="22"/>
                <w:szCs w:val="22"/>
                <w:lang w:eastAsia="en-GB"/>
              </w:rPr>
              <w:t>Support Phase</w:t>
            </w:r>
          </w:p>
          <w:p w14:paraId="720C0246" w14:textId="77777777" w:rsidR="00F52BE8" w:rsidRDefault="00F52BE8" w:rsidP="003E2732">
            <w:pPr>
              <w:autoSpaceDE w:val="0"/>
              <w:autoSpaceDN w:val="0"/>
              <w:adjustRightInd w:val="0"/>
              <w:spacing w:after="0"/>
              <w:rPr>
                <w:rFonts w:cs="Arial"/>
                <w:b/>
                <w:color w:val="000000"/>
                <w:sz w:val="22"/>
                <w:szCs w:val="22"/>
                <w:lang w:eastAsia="en-GB"/>
              </w:rPr>
            </w:pPr>
          </w:p>
          <w:p w14:paraId="66066A70" w14:textId="682E36F7" w:rsidR="008B7341" w:rsidRDefault="005937CD" w:rsidP="003E2732">
            <w:pPr>
              <w:autoSpaceDE w:val="0"/>
              <w:autoSpaceDN w:val="0"/>
              <w:adjustRightInd w:val="0"/>
              <w:spacing w:after="0"/>
              <w:rPr>
                <w:rFonts w:cs="Arial"/>
                <w:sz w:val="22"/>
                <w:szCs w:val="22"/>
              </w:rPr>
            </w:pPr>
            <w:r w:rsidRPr="00BC35F0">
              <w:rPr>
                <w:rFonts w:cs="Arial"/>
                <w:sz w:val="22"/>
                <w:szCs w:val="22"/>
              </w:rPr>
              <w:t>There may be a requirement to support this work beyond the in</w:t>
            </w:r>
            <w:r w:rsidR="00EF19B3" w:rsidRPr="00BC35F0">
              <w:rPr>
                <w:rFonts w:cs="Arial"/>
                <w:sz w:val="22"/>
                <w:szCs w:val="22"/>
              </w:rPr>
              <w:t>itial phase</w:t>
            </w:r>
            <w:r w:rsidRPr="00BC35F0">
              <w:rPr>
                <w:rFonts w:cs="Arial"/>
                <w:sz w:val="22"/>
                <w:szCs w:val="22"/>
              </w:rPr>
              <w:t>, to support our assess</w:t>
            </w:r>
            <w:r w:rsidR="000C69FC">
              <w:rPr>
                <w:rFonts w:cs="Arial"/>
                <w:sz w:val="22"/>
                <w:szCs w:val="22"/>
              </w:rPr>
              <w:t xml:space="preserve">ment of </w:t>
            </w:r>
            <w:r w:rsidRPr="00BC35F0">
              <w:rPr>
                <w:rFonts w:cs="Arial"/>
                <w:sz w:val="22"/>
                <w:szCs w:val="22"/>
              </w:rPr>
              <w:t>stakeholder responses to our</w:t>
            </w:r>
            <w:r w:rsidR="000C69FC">
              <w:rPr>
                <w:rFonts w:cs="Arial"/>
                <w:sz w:val="22"/>
                <w:szCs w:val="22"/>
              </w:rPr>
              <w:t xml:space="preserve"> further </w:t>
            </w:r>
            <w:r w:rsidRPr="00BC35F0">
              <w:rPr>
                <w:rFonts w:cs="Arial"/>
                <w:sz w:val="22"/>
                <w:szCs w:val="22"/>
              </w:rPr>
              <w:t xml:space="preserve">consultation in </w:t>
            </w:r>
            <w:proofErr w:type="spellStart"/>
            <w:r w:rsidRPr="00BC35F0">
              <w:rPr>
                <w:rFonts w:cs="Arial"/>
                <w:sz w:val="22"/>
                <w:szCs w:val="22"/>
              </w:rPr>
              <w:t>Q1</w:t>
            </w:r>
            <w:proofErr w:type="spellEnd"/>
            <w:r w:rsidRPr="00BC35F0">
              <w:rPr>
                <w:rFonts w:cs="Arial"/>
                <w:sz w:val="22"/>
                <w:szCs w:val="22"/>
              </w:rPr>
              <w:t xml:space="preserve"> 2022. This will depend on the </w:t>
            </w:r>
            <w:r w:rsidR="00816CCC">
              <w:rPr>
                <w:rFonts w:cs="Arial"/>
                <w:sz w:val="22"/>
                <w:szCs w:val="22"/>
              </w:rPr>
              <w:t xml:space="preserve">nature and </w:t>
            </w:r>
            <w:r w:rsidR="001C3C1B">
              <w:rPr>
                <w:rFonts w:cs="Arial"/>
                <w:sz w:val="22"/>
                <w:szCs w:val="22"/>
              </w:rPr>
              <w:t>extent of</w:t>
            </w:r>
            <w:r w:rsidRPr="00BC35F0">
              <w:rPr>
                <w:rFonts w:cs="Arial"/>
                <w:sz w:val="22"/>
                <w:szCs w:val="22"/>
              </w:rPr>
              <w:t xml:space="preserve"> responses.</w:t>
            </w:r>
            <w:r w:rsidR="00BC35F0">
              <w:rPr>
                <w:rFonts w:cs="Arial"/>
                <w:sz w:val="22"/>
                <w:szCs w:val="22"/>
              </w:rPr>
              <w:t xml:space="preserve"> </w:t>
            </w:r>
            <w:r w:rsidR="00EF19B3" w:rsidRPr="00BC35F0">
              <w:rPr>
                <w:rFonts w:cs="Arial"/>
                <w:sz w:val="22"/>
                <w:szCs w:val="22"/>
              </w:rPr>
              <w:t>If this additional work is required, it would likely be over the summer of 2022.</w:t>
            </w:r>
          </w:p>
          <w:p w14:paraId="4FBE95E0" w14:textId="5D889069" w:rsidR="000F3330" w:rsidRDefault="000F3330" w:rsidP="003E2732">
            <w:pPr>
              <w:autoSpaceDE w:val="0"/>
              <w:autoSpaceDN w:val="0"/>
              <w:adjustRightInd w:val="0"/>
              <w:spacing w:after="0"/>
              <w:rPr>
                <w:rFonts w:cs="Arial"/>
                <w:sz w:val="22"/>
                <w:szCs w:val="22"/>
              </w:rPr>
            </w:pPr>
          </w:p>
          <w:p w14:paraId="598C9CDF" w14:textId="4D62BA35" w:rsidR="000B5073" w:rsidRDefault="000F3330" w:rsidP="003E2732">
            <w:pPr>
              <w:autoSpaceDE w:val="0"/>
              <w:autoSpaceDN w:val="0"/>
              <w:adjustRightInd w:val="0"/>
              <w:spacing w:after="0"/>
              <w:rPr>
                <w:rFonts w:cs="Arial"/>
                <w:sz w:val="22"/>
                <w:szCs w:val="22"/>
              </w:rPr>
            </w:pPr>
            <w:r>
              <w:rPr>
                <w:rFonts w:cs="Arial"/>
                <w:sz w:val="22"/>
                <w:szCs w:val="22"/>
              </w:rPr>
              <w:t>To enable this</w:t>
            </w:r>
            <w:r w:rsidR="00672A0C">
              <w:rPr>
                <w:rFonts w:cs="Arial"/>
                <w:sz w:val="22"/>
                <w:szCs w:val="22"/>
              </w:rPr>
              <w:t>,</w:t>
            </w:r>
            <w:r>
              <w:rPr>
                <w:rFonts w:cs="Arial"/>
                <w:sz w:val="22"/>
                <w:szCs w:val="22"/>
              </w:rPr>
              <w:t xml:space="preserve"> the contract shall remain in place until 31 August 2022</w:t>
            </w:r>
            <w:r w:rsidR="001F3D6F">
              <w:rPr>
                <w:rFonts w:cs="Arial"/>
                <w:sz w:val="22"/>
                <w:szCs w:val="22"/>
              </w:rPr>
              <w:t xml:space="preserve">, with an agreed set of day rates. </w:t>
            </w:r>
            <w:r w:rsidR="00444CA0">
              <w:rPr>
                <w:rFonts w:cs="Arial"/>
                <w:sz w:val="22"/>
                <w:szCs w:val="22"/>
              </w:rPr>
              <w:t xml:space="preserve">If support work is </w:t>
            </w:r>
            <w:r w:rsidR="008A76A9">
              <w:rPr>
                <w:rFonts w:cs="Arial"/>
                <w:sz w:val="22"/>
                <w:szCs w:val="22"/>
              </w:rPr>
              <w:t>needed</w:t>
            </w:r>
            <w:r w:rsidR="00ED1D11">
              <w:rPr>
                <w:rFonts w:cs="Arial"/>
                <w:sz w:val="22"/>
                <w:szCs w:val="22"/>
              </w:rPr>
              <w:t>,</w:t>
            </w:r>
            <w:r w:rsidR="00444CA0">
              <w:rPr>
                <w:rFonts w:cs="Arial"/>
                <w:sz w:val="22"/>
                <w:szCs w:val="22"/>
              </w:rPr>
              <w:t xml:space="preserve"> </w:t>
            </w:r>
            <w:r w:rsidR="008A76A9">
              <w:rPr>
                <w:rFonts w:cs="Arial"/>
                <w:sz w:val="22"/>
                <w:szCs w:val="22"/>
              </w:rPr>
              <w:t xml:space="preserve">the </w:t>
            </w:r>
            <w:r w:rsidR="00444CA0">
              <w:rPr>
                <w:rFonts w:cs="Arial"/>
                <w:sz w:val="22"/>
                <w:szCs w:val="22"/>
              </w:rPr>
              <w:t xml:space="preserve">ORR shall set out the required level of support and the </w:t>
            </w:r>
            <w:r w:rsidR="00ED1D11">
              <w:rPr>
                <w:rFonts w:cs="Arial"/>
                <w:sz w:val="22"/>
                <w:szCs w:val="22"/>
              </w:rPr>
              <w:t>s</w:t>
            </w:r>
            <w:r w:rsidR="00444CA0">
              <w:rPr>
                <w:rFonts w:cs="Arial"/>
                <w:sz w:val="22"/>
                <w:szCs w:val="22"/>
              </w:rPr>
              <w:t xml:space="preserve">upplier shall confirm their approach (e.g. methodology and resource) </w:t>
            </w:r>
            <w:r w:rsidR="008A76A9">
              <w:rPr>
                <w:rFonts w:cs="Arial"/>
                <w:sz w:val="22"/>
                <w:szCs w:val="22"/>
              </w:rPr>
              <w:t xml:space="preserve">in writing </w:t>
            </w:r>
            <w:r w:rsidR="00444CA0">
              <w:rPr>
                <w:rFonts w:cs="Arial"/>
                <w:sz w:val="22"/>
                <w:szCs w:val="22"/>
              </w:rPr>
              <w:t>using the agreed rates.</w:t>
            </w:r>
          </w:p>
          <w:p w14:paraId="5D8C7702" w14:textId="77777777" w:rsidR="000B5073" w:rsidRDefault="000B5073" w:rsidP="003E2732">
            <w:pPr>
              <w:autoSpaceDE w:val="0"/>
              <w:autoSpaceDN w:val="0"/>
              <w:adjustRightInd w:val="0"/>
              <w:spacing w:after="0"/>
              <w:rPr>
                <w:rFonts w:cs="Arial"/>
                <w:sz w:val="22"/>
                <w:szCs w:val="22"/>
              </w:rPr>
            </w:pPr>
          </w:p>
          <w:p w14:paraId="2FD43D97" w14:textId="77777777" w:rsidR="00672A0C" w:rsidRDefault="008A76A9" w:rsidP="00B154C3">
            <w:pPr>
              <w:autoSpaceDE w:val="0"/>
              <w:autoSpaceDN w:val="0"/>
              <w:adjustRightInd w:val="0"/>
              <w:spacing w:after="0"/>
              <w:rPr>
                <w:rFonts w:cs="Arial"/>
                <w:b/>
                <w:color w:val="FF0000"/>
                <w:sz w:val="22"/>
                <w:szCs w:val="22"/>
              </w:rPr>
            </w:pPr>
            <w:r>
              <w:rPr>
                <w:rFonts w:cs="Arial"/>
                <w:sz w:val="22"/>
                <w:szCs w:val="22"/>
              </w:rPr>
              <w:t>The ORR shall then confirm its agreement in writing for the work to commence</w:t>
            </w:r>
            <w:r w:rsidR="00432A5E">
              <w:rPr>
                <w:rFonts w:cs="Arial"/>
                <w:sz w:val="22"/>
                <w:szCs w:val="22"/>
              </w:rPr>
              <w:t>, or not as the case may be.</w:t>
            </w:r>
            <w:r w:rsidR="000B5073">
              <w:rPr>
                <w:rFonts w:cs="Arial"/>
                <w:sz w:val="22"/>
                <w:szCs w:val="22"/>
              </w:rPr>
              <w:t xml:space="preserve"> </w:t>
            </w:r>
            <w:r w:rsidR="00BC35F0" w:rsidRPr="00BC35F0">
              <w:rPr>
                <w:rFonts w:cs="Arial"/>
                <w:sz w:val="22"/>
                <w:szCs w:val="22"/>
              </w:rPr>
              <w:t xml:space="preserve">ORR would </w:t>
            </w:r>
            <w:r w:rsidR="000B5073">
              <w:rPr>
                <w:rFonts w:cs="Arial"/>
                <w:sz w:val="22"/>
                <w:szCs w:val="22"/>
              </w:rPr>
              <w:t xml:space="preserve">expect to </w:t>
            </w:r>
            <w:r w:rsidR="00BC35F0" w:rsidRPr="00BC35F0">
              <w:rPr>
                <w:rFonts w:cs="Arial"/>
                <w:sz w:val="22"/>
                <w:szCs w:val="22"/>
              </w:rPr>
              <w:t>take a decision as to whether this work is required</w:t>
            </w:r>
            <w:r w:rsidR="000B5073">
              <w:rPr>
                <w:rFonts w:cs="Arial"/>
                <w:sz w:val="22"/>
                <w:szCs w:val="22"/>
              </w:rPr>
              <w:t xml:space="preserve"> a</w:t>
            </w:r>
            <w:r w:rsidR="000B5073" w:rsidRPr="00BC35F0">
              <w:rPr>
                <w:rFonts w:cs="Arial"/>
                <w:sz w:val="22"/>
                <w:szCs w:val="22"/>
              </w:rPr>
              <w:t>t the point that stakeholder responses are known</w:t>
            </w:r>
            <w:r w:rsidR="00BC35F0" w:rsidRPr="00BC35F0">
              <w:rPr>
                <w:rFonts w:cs="Arial"/>
                <w:sz w:val="22"/>
                <w:szCs w:val="22"/>
              </w:rPr>
              <w:t>.</w:t>
            </w:r>
            <w:r w:rsidR="00A675E1">
              <w:rPr>
                <w:rFonts w:cs="Arial"/>
                <w:b/>
                <w:color w:val="FF0000"/>
                <w:sz w:val="22"/>
                <w:szCs w:val="22"/>
              </w:rPr>
              <w:t xml:space="preserve">  </w:t>
            </w:r>
          </w:p>
          <w:p w14:paraId="395C7F3A" w14:textId="76EAFC0C" w:rsidR="00C95E5F" w:rsidRPr="0036077E" w:rsidRDefault="00C95E5F" w:rsidP="00B154C3">
            <w:pPr>
              <w:autoSpaceDE w:val="0"/>
              <w:autoSpaceDN w:val="0"/>
              <w:adjustRightInd w:val="0"/>
              <w:spacing w:after="0"/>
              <w:rPr>
                <w:rFonts w:cs="Arial"/>
                <w:color w:val="000000"/>
                <w:sz w:val="22"/>
                <w:szCs w:val="22"/>
                <w:lang w:eastAsia="en-GB"/>
              </w:rPr>
            </w:pPr>
          </w:p>
        </w:tc>
      </w:tr>
      <w:tr w:rsidR="00F52BE8" w:rsidRPr="0036077E" w14:paraId="0C1C7899" w14:textId="77777777" w:rsidTr="00A31A26">
        <w:trPr>
          <w:trHeight w:val="129"/>
        </w:trPr>
        <w:tc>
          <w:tcPr>
            <w:tcW w:w="8500" w:type="dxa"/>
            <w:shd w:val="clear" w:color="auto" w:fill="99CCFF"/>
          </w:tcPr>
          <w:p w14:paraId="382F5D56" w14:textId="77777777" w:rsidR="00F52BE8" w:rsidRPr="0036077E" w:rsidRDefault="00F52BE8" w:rsidP="003E2732">
            <w:pPr>
              <w:rPr>
                <w:rFonts w:cs="Arial"/>
                <w:b/>
                <w:sz w:val="28"/>
                <w:szCs w:val="28"/>
              </w:rPr>
            </w:pPr>
            <w:r w:rsidRPr="0036077E">
              <w:rPr>
                <w:rFonts w:cs="Arial"/>
                <w:b/>
                <w:sz w:val="28"/>
                <w:szCs w:val="28"/>
              </w:rPr>
              <w:lastRenderedPageBreak/>
              <w:t>2.5 Budget</w:t>
            </w:r>
            <w:r>
              <w:rPr>
                <w:rFonts w:cs="Arial"/>
                <w:b/>
                <w:sz w:val="28"/>
                <w:szCs w:val="28"/>
              </w:rPr>
              <w:t xml:space="preserve"> and Payment Schedule</w:t>
            </w:r>
          </w:p>
        </w:tc>
      </w:tr>
      <w:tr w:rsidR="00F52BE8" w:rsidRPr="0036077E" w14:paraId="5841746B" w14:textId="77777777" w:rsidTr="00A31A26">
        <w:trPr>
          <w:trHeight w:val="127"/>
        </w:trPr>
        <w:tc>
          <w:tcPr>
            <w:tcW w:w="8500" w:type="dxa"/>
            <w:tcBorders>
              <w:bottom w:val="single" w:sz="4" w:space="0" w:color="auto"/>
            </w:tcBorders>
            <w:shd w:val="clear" w:color="auto" w:fill="auto"/>
          </w:tcPr>
          <w:p w14:paraId="505FE00B" w14:textId="40439E1C" w:rsidR="00F52BE8" w:rsidRDefault="003F065C" w:rsidP="003E2732">
            <w:pPr>
              <w:rPr>
                <w:rFonts w:cs="Arial"/>
                <w:color w:val="000000"/>
                <w:sz w:val="22"/>
                <w:szCs w:val="22"/>
              </w:rPr>
            </w:pPr>
            <w:r>
              <w:rPr>
                <w:b/>
                <w:sz w:val="22"/>
                <w:szCs w:val="22"/>
              </w:rPr>
              <w:t xml:space="preserve">                                                                                                                                      </w:t>
            </w:r>
            <w:r w:rsidR="00F52BE8" w:rsidRPr="0036077E">
              <w:rPr>
                <w:sz w:val="22"/>
                <w:szCs w:val="22"/>
              </w:rPr>
              <w:t>The maximum budget for this is £</w:t>
            </w:r>
            <w:r w:rsidR="0026778D">
              <w:rPr>
                <w:sz w:val="22"/>
                <w:szCs w:val="22"/>
              </w:rPr>
              <w:t xml:space="preserve">100,000 </w:t>
            </w:r>
            <w:r w:rsidR="00F52BE8" w:rsidRPr="0036077E">
              <w:rPr>
                <w:sz w:val="22"/>
                <w:szCs w:val="22"/>
              </w:rPr>
              <w:t>(inc</w:t>
            </w:r>
            <w:r w:rsidR="0026778D">
              <w:rPr>
                <w:sz w:val="22"/>
                <w:szCs w:val="22"/>
              </w:rPr>
              <w:t>lusive</w:t>
            </w:r>
            <w:r w:rsidR="00F52BE8" w:rsidRPr="0036077E">
              <w:rPr>
                <w:sz w:val="22"/>
                <w:szCs w:val="22"/>
              </w:rPr>
              <w:t xml:space="preserve"> of expenses, exc</w:t>
            </w:r>
            <w:r w:rsidR="0026778D">
              <w:rPr>
                <w:sz w:val="22"/>
                <w:szCs w:val="22"/>
              </w:rPr>
              <w:t xml:space="preserve">luding </w:t>
            </w:r>
            <w:r w:rsidR="00F52BE8" w:rsidRPr="0036077E">
              <w:rPr>
                <w:sz w:val="22"/>
                <w:szCs w:val="22"/>
              </w:rPr>
              <w:t>VAT)</w:t>
            </w:r>
            <w:r w:rsidR="00F52BE8" w:rsidRPr="0036077E">
              <w:rPr>
                <w:rFonts w:cs="Arial"/>
                <w:color w:val="000000"/>
                <w:sz w:val="22"/>
                <w:szCs w:val="22"/>
              </w:rPr>
              <w:t>.</w:t>
            </w:r>
          </w:p>
          <w:p w14:paraId="409B03DB" w14:textId="77777777" w:rsidR="001C3C1B" w:rsidRDefault="001C3C1B" w:rsidP="001C3C1B">
            <w:pPr>
              <w:rPr>
                <w:rFonts w:cs="Arial"/>
                <w:color w:val="000000"/>
                <w:sz w:val="22"/>
                <w:szCs w:val="22"/>
              </w:rPr>
            </w:pPr>
            <w:r>
              <w:rPr>
                <w:rFonts w:cs="Arial"/>
                <w:color w:val="000000"/>
                <w:sz w:val="22"/>
                <w:szCs w:val="22"/>
              </w:rPr>
              <w:t xml:space="preserve">As an indication, we envisage this overall sum being broken down as follows, though there is some flexibility on this point: </w:t>
            </w:r>
          </w:p>
          <w:p w14:paraId="15EFC64D" w14:textId="20500D19" w:rsidR="001C3C1B" w:rsidRDefault="001C3C1B" w:rsidP="00EA3AF0">
            <w:pPr>
              <w:pStyle w:val="ListParagraph"/>
              <w:numPr>
                <w:ilvl w:val="0"/>
                <w:numId w:val="21"/>
              </w:numPr>
              <w:rPr>
                <w:rFonts w:cs="Arial"/>
                <w:color w:val="000000"/>
                <w:sz w:val="22"/>
                <w:szCs w:val="22"/>
              </w:rPr>
            </w:pPr>
            <w:r>
              <w:rPr>
                <w:rFonts w:cs="Arial"/>
                <w:color w:val="000000"/>
                <w:sz w:val="22"/>
                <w:szCs w:val="22"/>
              </w:rPr>
              <w:t xml:space="preserve">£50,000 for the workstream covering freight analysis; and </w:t>
            </w:r>
          </w:p>
          <w:p w14:paraId="03737793" w14:textId="13078F66" w:rsidR="001C3C1B" w:rsidRDefault="001C3C1B" w:rsidP="00EA3AF0">
            <w:pPr>
              <w:pStyle w:val="ListParagraph"/>
              <w:numPr>
                <w:ilvl w:val="0"/>
                <w:numId w:val="21"/>
              </w:numPr>
              <w:rPr>
                <w:rFonts w:cs="Arial"/>
                <w:color w:val="000000"/>
                <w:sz w:val="22"/>
                <w:szCs w:val="22"/>
              </w:rPr>
            </w:pPr>
            <w:r>
              <w:rPr>
                <w:rFonts w:cs="Arial"/>
                <w:color w:val="000000"/>
                <w:sz w:val="22"/>
                <w:szCs w:val="22"/>
              </w:rPr>
              <w:t xml:space="preserve">£50,000 for the workstream covering </w:t>
            </w:r>
            <w:r w:rsidR="00263408">
              <w:rPr>
                <w:rFonts w:cs="Arial"/>
                <w:color w:val="000000"/>
                <w:sz w:val="22"/>
                <w:szCs w:val="22"/>
              </w:rPr>
              <w:t>open access</w:t>
            </w:r>
            <w:r>
              <w:rPr>
                <w:rFonts w:cs="Arial"/>
                <w:color w:val="000000"/>
                <w:sz w:val="22"/>
                <w:szCs w:val="22"/>
              </w:rPr>
              <w:t xml:space="preserve"> analysis.</w:t>
            </w:r>
          </w:p>
          <w:p w14:paraId="7FBEFE91" w14:textId="77777777" w:rsidR="001C3C1B" w:rsidRDefault="001C3C1B" w:rsidP="001C3C1B">
            <w:pPr>
              <w:rPr>
                <w:rFonts w:cs="Arial"/>
                <w:color w:val="000000"/>
                <w:sz w:val="22"/>
                <w:szCs w:val="22"/>
              </w:rPr>
            </w:pPr>
            <w:r>
              <w:rPr>
                <w:rFonts w:cs="Arial"/>
                <w:color w:val="000000"/>
                <w:sz w:val="22"/>
                <w:szCs w:val="22"/>
              </w:rPr>
              <w:t>We request that you break down your bid into sums for the two workstreams. We may award both workstreams to a single consultant, or to different consultants. Bidders are welcome to bid for just a single workstream.</w:t>
            </w:r>
          </w:p>
          <w:p w14:paraId="2620ED6F" w14:textId="3031C1DC" w:rsidR="00F52BE8" w:rsidRPr="00816394" w:rsidRDefault="0026778D" w:rsidP="008D022C">
            <w:pPr>
              <w:rPr>
                <w:b/>
                <w:color w:val="FF0000"/>
              </w:rPr>
            </w:pPr>
            <w:r>
              <w:rPr>
                <w:rFonts w:cs="Arial"/>
                <w:color w:val="000000"/>
                <w:sz w:val="22"/>
                <w:szCs w:val="22"/>
              </w:rPr>
              <w:t xml:space="preserve">ORR would prefer to pay upon successful completion of the </w:t>
            </w:r>
            <w:r w:rsidR="008A6A59">
              <w:rPr>
                <w:rFonts w:cs="Arial"/>
                <w:color w:val="000000"/>
                <w:sz w:val="22"/>
                <w:szCs w:val="22"/>
              </w:rPr>
              <w:t>deliverables</w:t>
            </w:r>
            <w:r>
              <w:rPr>
                <w:rFonts w:cs="Arial"/>
                <w:color w:val="000000"/>
                <w:sz w:val="22"/>
                <w:szCs w:val="22"/>
              </w:rPr>
              <w:t>; however, if bidders wish to supply a milestone payment schedule</w:t>
            </w:r>
            <w:r w:rsidR="00D72DAA">
              <w:rPr>
                <w:rFonts w:cs="Arial"/>
                <w:color w:val="000000"/>
                <w:sz w:val="22"/>
                <w:szCs w:val="22"/>
              </w:rPr>
              <w:t>,</w:t>
            </w:r>
            <w:r>
              <w:rPr>
                <w:rFonts w:cs="Arial"/>
                <w:color w:val="000000"/>
                <w:sz w:val="22"/>
                <w:szCs w:val="22"/>
              </w:rPr>
              <w:t xml:space="preserve"> this would be considered. Any proposed milestones must be linked to a tangible deliverable. Payments should also not be frontloaded and should reflect the value of the deliverable.</w:t>
            </w:r>
          </w:p>
        </w:tc>
      </w:tr>
      <w:tr w:rsidR="00F52BE8" w:rsidRPr="0036077E" w14:paraId="6A95EAA1" w14:textId="77777777" w:rsidTr="00A31A26">
        <w:trPr>
          <w:trHeight w:val="127"/>
        </w:trPr>
        <w:tc>
          <w:tcPr>
            <w:tcW w:w="8500" w:type="dxa"/>
            <w:shd w:val="clear" w:color="auto" w:fill="99CCFF"/>
          </w:tcPr>
          <w:p w14:paraId="621C1671" w14:textId="77777777" w:rsidR="00F52BE8" w:rsidRPr="0036077E" w:rsidRDefault="00F52BE8" w:rsidP="003E2732">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A31A26">
        <w:trPr>
          <w:trHeight w:val="127"/>
        </w:trPr>
        <w:tc>
          <w:tcPr>
            <w:tcW w:w="8500" w:type="dxa"/>
            <w:shd w:val="clear" w:color="auto" w:fill="auto"/>
          </w:tcPr>
          <w:p w14:paraId="6A9357BC" w14:textId="77777777" w:rsidR="00F52BE8" w:rsidRDefault="00F52BE8" w:rsidP="003E2732">
            <w:pPr>
              <w:pStyle w:val="ListNumber"/>
              <w:numPr>
                <w:ilvl w:val="0"/>
                <w:numId w:val="0"/>
              </w:numPr>
              <w:spacing w:before="0" w:after="0"/>
              <w:rPr>
                <w:b/>
                <w:sz w:val="22"/>
                <w:szCs w:val="22"/>
              </w:rPr>
            </w:pPr>
          </w:p>
          <w:p w14:paraId="3199AEC6" w14:textId="1DCEF8F8" w:rsidR="00F52BE8" w:rsidRPr="0036077E" w:rsidRDefault="00F52BE8" w:rsidP="003E2732">
            <w:pPr>
              <w:pStyle w:val="ListNumber"/>
              <w:numPr>
                <w:ilvl w:val="0"/>
                <w:numId w:val="0"/>
              </w:numPr>
              <w:spacing w:before="0" w:after="0"/>
              <w:rPr>
                <w:b/>
                <w:sz w:val="22"/>
                <w:szCs w:val="22"/>
              </w:rPr>
            </w:pPr>
            <w:r w:rsidRPr="0036077E">
              <w:rPr>
                <w:b/>
                <w:sz w:val="22"/>
                <w:szCs w:val="22"/>
              </w:rPr>
              <w:t>Intellectual Property Rights</w:t>
            </w:r>
          </w:p>
          <w:p w14:paraId="6FD2B5D9" w14:textId="28321604" w:rsidR="00F52BE8" w:rsidRPr="0036077E" w:rsidRDefault="00F52BE8" w:rsidP="003E2732">
            <w:pPr>
              <w:pStyle w:val="ListNumber"/>
              <w:numPr>
                <w:ilvl w:val="0"/>
                <w:numId w:val="0"/>
              </w:numPr>
              <w:tabs>
                <w:tab w:val="clear" w:pos="720"/>
              </w:tabs>
              <w:spacing w:before="0" w:after="0"/>
              <w:rPr>
                <w:rFonts w:cs="Arial"/>
                <w:color w:val="000000"/>
                <w:sz w:val="22"/>
                <w:szCs w:val="22"/>
              </w:rPr>
            </w:pPr>
          </w:p>
          <w:p w14:paraId="01973076" w14:textId="270B02B7" w:rsidR="00F52BE8" w:rsidRPr="0036077E" w:rsidRDefault="00F52BE8" w:rsidP="003E2732">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ORR will own the Intellectual Property Rights for all project</w:t>
            </w:r>
            <w:r w:rsidR="00B154C3">
              <w:rPr>
                <w:rFonts w:cs="Arial"/>
                <w:color w:val="000000"/>
                <w:sz w:val="22"/>
                <w:szCs w:val="22"/>
              </w:rPr>
              <w:t>-</w:t>
            </w:r>
            <w:r w:rsidRPr="0036077E">
              <w:rPr>
                <w:rFonts w:cs="Arial"/>
                <w:color w:val="000000"/>
                <w:sz w:val="22"/>
                <w:szCs w:val="22"/>
              </w:rPr>
              <w:t xml:space="preserve">related documentation and artefacts. </w:t>
            </w:r>
          </w:p>
          <w:p w14:paraId="202ABE44" w14:textId="77777777" w:rsidR="00F52BE8" w:rsidRDefault="00F52BE8" w:rsidP="003E2732">
            <w:pPr>
              <w:pStyle w:val="ListNumber"/>
              <w:numPr>
                <w:ilvl w:val="0"/>
                <w:numId w:val="0"/>
              </w:numPr>
              <w:tabs>
                <w:tab w:val="clear" w:pos="720"/>
              </w:tabs>
              <w:spacing w:before="0"/>
              <w:rPr>
                <w:b/>
                <w:sz w:val="22"/>
                <w:szCs w:val="22"/>
              </w:rPr>
            </w:pPr>
          </w:p>
          <w:p w14:paraId="22D1EE4E" w14:textId="77777777" w:rsidR="00F52BE8" w:rsidRDefault="00F52BE8" w:rsidP="003E2732">
            <w:pPr>
              <w:pStyle w:val="ListNumber"/>
              <w:numPr>
                <w:ilvl w:val="0"/>
                <w:numId w:val="0"/>
              </w:numPr>
              <w:tabs>
                <w:tab w:val="clear" w:pos="720"/>
              </w:tabs>
              <w:spacing w:before="0"/>
              <w:rPr>
                <w:b/>
                <w:sz w:val="22"/>
                <w:szCs w:val="22"/>
              </w:rPr>
            </w:pPr>
            <w:r>
              <w:rPr>
                <w:b/>
                <w:sz w:val="22"/>
                <w:szCs w:val="22"/>
              </w:rPr>
              <w:t>Transparency requirements</w:t>
            </w:r>
          </w:p>
          <w:p w14:paraId="1C9B74C7" w14:textId="77777777" w:rsidR="0026778D" w:rsidRDefault="00F52BE8" w:rsidP="0026778D">
            <w:pPr>
              <w:pStyle w:val="ListNumber"/>
              <w:numPr>
                <w:ilvl w:val="0"/>
                <w:numId w:val="0"/>
              </w:numPr>
              <w:tabs>
                <w:tab w:val="clear" w:pos="720"/>
              </w:tabs>
              <w:spacing w:before="0"/>
              <w:rPr>
                <w:sz w:val="22"/>
                <w:szCs w:val="22"/>
              </w:rPr>
            </w:pPr>
            <w:r>
              <w:rPr>
                <w:sz w:val="22"/>
                <w:szCs w:val="22"/>
              </w:rPr>
              <w:t>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w:t>
            </w:r>
          </w:p>
          <w:p w14:paraId="58472C00" w14:textId="77777777" w:rsidR="00EA3AF0" w:rsidRDefault="00EA3AF0" w:rsidP="0026778D">
            <w:pPr>
              <w:pStyle w:val="ListNumber"/>
              <w:numPr>
                <w:ilvl w:val="0"/>
                <w:numId w:val="0"/>
              </w:numPr>
              <w:tabs>
                <w:tab w:val="clear" w:pos="720"/>
              </w:tabs>
              <w:spacing w:before="0"/>
              <w:rPr>
                <w:b/>
                <w:sz w:val="22"/>
                <w:szCs w:val="22"/>
              </w:rPr>
            </w:pPr>
          </w:p>
          <w:p w14:paraId="77B55D1F" w14:textId="416B9BDC" w:rsidR="00F52BE8" w:rsidRPr="0026778D" w:rsidRDefault="00F52BE8" w:rsidP="0026778D">
            <w:pPr>
              <w:pStyle w:val="ListNumber"/>
              <w:numPr>
                <w:ilvl w:val="0"/>
                <w:numId w:val="0"/>
              </w:numPr>
              <w:tabs>
                <w:tab w:val="clear" w:pos="720"/>
              </w:tabs>
              <w:spacing w:before="0"/>
              <w:rPr>
                <w:sz w:val="22"/>
                <w:szCs w:val="22"/>
              </w:rPr>
            </w:pPr>
            <w:r w:rsidRPr="0036077E">
              <w:rPr>
                <w:b/>
                <w:sz w:val="22"/>
                <w:szCs w:val="22"/>
              </w:rPr>
              <w:t>Confidentiality</w:t>
            </w:r>
          </w:p>
          <w:p w14:paraId="55B95E8A" w14:textId="77777777" w:rsidR="00783369" w:rsidRDefault="00F52BE8" w:rsidP="003E2732">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w:t>
            </w:r>
          </w:p>
          <w:p w14:paraId="3D1E46D3" w14:textId="77777777" w:rsidR="00783369" w:rsidRDefault="00783369" w:rsidP="003E2732">
            <w:pPr>
              <w:pStyle w:val="ListNumber"/>
              <w:numPr>
                <w:ilvl w:val="0"/>
                <w:numId w:val="0"/>
              </w:numPr>
              <w:spacing w:before="0" w:after="0"/>
              <w:rPr>
                <w:sz w:val="22"/>
                <w:szCs w:val="22"/>
              </w:rPr>
            </w:pPr>
          </w:p>
          <w:p w14:paraId="567BECBC" w14:textId="4FFF8BE7" w:rsidR="00F52BE8" w:rsidRDefault="00F52BE8" w:rsidP="003E2732">
            <w:pPr>
              <w:pStyle w:val="ListNumber"/>
              <w:numPr>
                <w:ilvl w:val="0"/>
                <w:numId w:val="0"/>
              </w:numPr>
              <w:spacing w:before="0" w:after="0"/>
              <w:rPr>
                <w:sz w:val="22"/>
                <w:szCs w:val="22"/>
              </w:rPr>
            </w:pPr>
            <w:r w:rsidRPr="0036077E">
              <w:rPr>
                <w:sz w:val="22"/>
                <w:szCs w:val="22"/>
              </w:rPr>
              <w:lastRenderedPageBreak/>
              <w:t xml:space="preserve">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r w:rsidR="00783369">
              <w:rPr>
                <w:sz w:val="22"/>
                <w:szCs w:val="22"/>
              </w:rPr>
              <w:t xml:space="preserve">As explained in Section 2.2, a confidentiality agreement is required for access to the </w:t>
            </w:r>
            <w:r w:rsidR="00783369">
              <w:rPr>
                <w:rFonts w:cs="Arial"/>
                <w:sz w:val="22"/>
                <w:szCs w:val="22"/>
              </w:rPr>
              <w:t xml:space="preserve">MOIRA and </w:t>
            </w:r>
            <w:proofErr w:type="spellStart"/>
            <w:r w:rsidR="00783369">
              <w:rPr>
                <w:rFonts w:cs="Arial"/>
                <w:sz w:val="22"/>
                <w:szCs w:val="22"/>
              </w:rPr>
              <w:t>MOIRA2</w:t>
            </w:r>
            <w:proofErr w:type="spellEnd"/>
            <w:r w:rsidR="00783369">
              <w:rPr>
                <w:rFonts w:cs="Arial"/>
                <w:sz w:val="22"/>
                <w:szCs w:val="22"/>
              </w:rPr>
              <w:t xml:space="preserve"> rail demand forecasting models. </w:t>
            </w:r>
          </w:p>
          <w:p w14:paraId="474F2859" w14:textId="5E247E76" w:rsidR="00F52BE8" w:rsidRDefault="00F52BE8" w:rsidP="003E2732">
            <w:pPr>
              <w:pStyle w:val="ListNumber"/>
              <w:numPr>
                <w:ilvl w:val="0"/>
                <w:numId w:val="0"/>
              </w:numPr>
              <w:spacing w:before="0" w:after="0"/>
              <w:rPr>
                <w:color w:val="FF0000"/>
                <w:sz w:val="22"/>
                <w:szCs w:val="22"/>
              </w:rPr>
            </w:pPr>
          </w:p>
          <w:p w14:paraId="1D6DB5C3" w14:textId="77777777" w:rsidR="00F52BE8" w:rsidRPr="00907369" w:rsidRDefault="00F52BE8" w:rsidP="003E2732">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E2732">
            <w:pPr>
              <w:pStyle w:val="ListNumber"/>
              <w:numPr>
                <w:ilvl w:val="0"/>
                <w:numId w:val="0"/>
              </w:numPr>
              <w:spacing w:before="0" w:after="0"/>
              <w:rPr>
                <w:b/>
                <w:sz w:val="22"/>
                <w:szCs w:val="22"/>
              </w:rPr>
            </w:pPr>
          </w:p>
          <w:p w14:paraId="57BB071D" w14:textId="77777777" w:rsidR="00F52BE8" w:rsidRPr="00907369" w:rsidRDefault="00F52BE8" w:rsidP="003E2732">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EA3AF0">
            <w:pPr>
              <w:pStyle w:val="ListNumber2"/>
              <w:numPr>
                <w:ilvl w:val="0"/>
                <w:numId w:val="10"/>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EA3AF0">
            <w:pPr>
              <w:pStyle w:val="ListNumber2"/>
              <w:numPr>
                <w:ilvl w:val="0"/>
                <w:numId w:val="10"/>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E2732">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E2732">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89CBE0C" w14:textId="0C957478" w:rsid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r w:rsidR="00B154C3">
              <w:rPr>
                <w:rFonts w:cs="Arial"/>
                <w:sz w:val="22"/>
                <w:szCs w:val="22"/>
              </w:rPr>
              <w:t>w</w:t>
            </w:r>
            <w:r w:rsidR="00D74997" w:rsidRPr="00D74997">
              <w:rPr>
                <w:rFonts w:cs="Arial"/>
                <w:sz w:val="22"/>
                <w:szCs w:val="22"/>
              </w:rPr>
              <w:t xml:space="preserve">here any potential, actual or perceived conflicts of interest in respect of this </w:t>
            </w:r>
            <w:r w:rsidR="00D74997">
              <w:rPr>
                <w:rFonts w:cs="Arial"/>
                <w:sz w:val="22"/>
                <w:szCs w:val="22"/>
              </w:rPr>
              <w:t xml:space="preserve">contract exist, </w:t>
            </w:r>
            <w:r w:rsidR="00D74997" w:rsidRPr="00D74997">
              <w:rPr>
                <w:rFonts w:cs="Arial"/>
                <w:sz w:val="22"/>
                <w:szCs w:val="22"/>
              </w:rPr>
              <w:t xml:space="preserve">tenderers need to outline what </w:t>
            </w:r>
            <w:r w:rsidR="009878A7">
              <w:rPr>
                <w:rFonts w:cs="Arial"/>
                <w:sz w:val="22"/>
                <w:szCs w:val="22"/>
              </w:rPr>
              <w:t>mitigation/</w:t>
            </w:r>
            <w:r w:rsidR="00D74997"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E2732">
        <w:tc>
          <w:tcPr>
            <w:tcW w:w="8528" w:type="dxa"/>
            <w:shd w:val="clear" w:color="auto" w:fill="99CCFF"/>
          </w:tcPr>
          <w:p w14:paraId="639C8E11" w14:textId="77777777" w:rsidR="00F52BE8" w:rsidRPr="0036077E" w:rsidRDefault="00F52BE8" w:rsidP="003E2732">
            <w:pPr>
              <w:rPr>
                <w:rFonts w:cs="Arial"/>
                <w:b/>
                <w:sz w:val="28"/>
                <w:szCs w:val="28"/>
              </w:rPr>
            </w:pPr>
            <w:r w:rsidRPr="0036077E">
              <w:rPr>
                <w:rFonts w:cs="Arial"/>
                <w:b/>
                <w:sz w:val="28"/>
                <w:szCs w:val="28"/>
              </w:rPr>
              <w:t>3.1 The Tender Response</w:t>
            </w:r>
          </w:p>
        </w:tc>
      </w:tr>
      <w:tr w:rsidR="00F52BE8" w:rsidRPr="0036077E" w14:paraId="2B700EF6" w14:textId="77777777" w:rsidTr="00746CF7">
        <w:trPr>
          <w:trHeight w:val="1266"/>
        </w:trPr>
        <w:tc>
          <w:tcPr>
            <w:tcW w:w="8528" w:type="dxa"/>
            <w:tcBorders>
              <w:bottom w:val="single" w:sz="4" w:space="0" w:color="auto"/>
            </w:tcBorders>
            <w:shd w:val="clear" w:color="auto" w:fill="auto"/>
          </w:tcPr>
          <w:p w14:paraId="78A4536E" w14:textId="1DE5F05F" w:rsidR="00F52BE8" w:rsidRPr="0036077E" w:rsidRDefault="00F52BE8" w:rsidP="003E2732">
            <w:pPr>
              <w:rPr>
                <w:rFonts w:cs="Arial"/>
                <w:sz w:val="22"/>
                <w:szCs w:val="22"/>
              </w:rPr>
            </w:pPr>
            <w:r w:rsidRPr="0036077E">
              <w:rPr>
                <w:rFonts w:cs="Arial"/>
                <w:sz w:val="22"/>
                <w:szCs w:val="22"/>
              </w:rPr>
              <w:t xml:space="preserve">The proposals for this project should include an outline of how bidders will meet the requirement outlined in section </w:t>
            </w:r>
            <w:r w:rsidR="00B154C3">
              <w:rPr>
                <w:rFonts w:cs="Arial"/>
                <w:sz w:val="22"/>
                <w:szCs w:val="22"/>
              </w:rPr>
              <w:t>two (</w:t>
            </w:r>
            <w:r w:rsidRPr="0036077E">
              <w:rPr>
                <w:rFonts w:cs="Arial"/>
                <w:sz w:val="22"/>
                <w:szCs w:val="22"/>
              </w:rPr>
              <w:t>“Statement of Requirement”</w:t>
            </w:r>
            <w:r w:rsidR="00B154C3">
              <w:rPr>
                <w:rFonts w:cs="Arial"/>
                <w:sz w:val="22"/>
                <w:szCs w:val="22"/>
              </w:rPr>
              <w:t>)</w:t>
            </w:r>
            <w:r w:rsidRPr="0036077E">
              <w:rPr>
                <w:rFonts w:cs="Arial"/>
                <w:sz w:val="22"/>
                <w:szCs w:val="22"/>
              </w:rPr>
              <w:t>. The following i</w:t>
            </w:r>
            <w:r w:rsidR="005404E3">
              <w:rPr>
                <w:rFonts w:cs="Arial"/>
                <w:sz w:val="22"/>
                <w:szCs w:val="22"/>
              </w:rPr>
              <w:t>nformation should be included:</w:t>
            </w:r>
          </w:p>
          <w:p w14:paraId="532189D6" w14:textId="6FE2F761" w:rsidR="00F52BE8" w:rsidRPr="0036077E" w:rsidRDefault="00F52BE8" w:rsidP="003E2732">
            <w:pPr>
              <w:pStyle w:val="Default"/>
              <w:rPr>
                <w:sz w:val="22"/>
                <w:szCs w:val="22"/>
              </w:rPr>
            </w:pPr>
            <w:r w:rsidRPr="0036077E">
              <w:rPr>
                <w:b/>
                <w:bCs/>
                <w:sz w:val="22"/>
                <w:szCs w:val="22"/>
              </w:rPr>
              <w:t xml:space="preserve">a) </w:t>
            </w:r>
            <w:r w:rsidR="005404E3">
              <w:rPr>
                <w:b/>
                <w:bCs/>
                <w:sz w:val="22"/>
                <w:szCs w:val="22"/>
              </w:rPr>
              <w:t xml:space="preserve">  </w:t>
            </w:r>
            <w:r w:rsidRPr="0036077E">
              <w:rPr>
                <w:b/>
                <w:bCs/>
                <w:sz w:val="22"/>
                <w:szCs w:val="22"/>
              </w:rPr>
              <w:t xml:space="preserve">Understanding of customer's requirements </w:t>
            </w:r>
          </w:p>
          <w:p w14:paraId="48B1BFB7" w14:textId="77777777" w:rsidR="00F52BE8" w:rsidRPr="0036077E" w:rsidRDefault="00F52BE8" w:rsidP="003E2732">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EA3AF0">
            <w:pPr>
              <w:numPr>
                <w:ilvl w:val="0"/>
                <w:numId w:val="9"/>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E2732">
            <w:pPr>
              <w:autoSpaceDE w:val="0"/>
              <w:autoSpaceDN w:val="0"/>
              <w:adjustRightInd w:val="0"/>
              <w:spacing w:after="0"/>
              <w:rPr>
                <w:rFonts w:cs="Arial"/>
                <w:color w:val="000000"/>
                <w:sz w:val="22"/>
                <w:szCs w:val="22"/>
                <w:lang w:eastAsia="en-GB"/>
              </w:rPr>
            </w:pPr>
          </w:p>
          <w:p w14:paraId="077B5BE2" w14:textId="39618E99" w:rsidR="00F52BE8" w:rsidRPr="005404E3" w:rsidRDefault="00F52BE8" w:rsidP="005404E3">
            <w:pPr>
              <w:rPr>
                <w:rFonts w:cs="Arial"/>
                <w:sz w:val="22"/>
                <w:szCs w:val="22"/>
              </w:rPr>
            </w:pPr>
            <w:r w:rsidRPr="0036077E">
              <w:rPr>
                <w:rFonts w:cs="Arial"/>
                <w:b/>
                <w:bCs/>
                <w:color w:val="000000"/>
                <w:sz w:val="22"/>
                <w:szCs w:val="22"/>
                <w:lang w:eastAsia="en-GB"/>
              </w:rPr>
              <w:t xml:space="preserve">b) </w:t>
            </w:r>
            <w:r w:rsidR="005404E3">
              <w:rPr>
                <w:rFonts w:cs="Arial"/>
                <w:b/>
                <w:bCs/>
                <w:color w:val="000000"/>
                <w:sz w:val="22"/>
                <w:szCs w:val="22"/>
                <w:lang w:eastAsia="en-GB"/>
              </w:rPr>
              <w:t xml:space="preserve">  </w:t>
            </w:r>
            <w:r w:rsidRPr="0036077E">
              <w:rPr>
                <w:rFonts w:cs="Arial"/>
                <w:b/>
                <w:bCs/>
                <w:color w:val="000000"/>
                <w:sz w:val="22"/>
                <w:szCs w:val="22"/>
                <w:lang w:eastAsia="en-GB"/>
              </w:rPr>
              <w:t>Approach to customer's requirements</w:t>
            </w:r>
          </w:p>
          <w:p w14:paraId="2280A60D" w14:textId="2F5AEB36" w:rsidR="00F52BE8" w:rsidRPr="0036077E" w:rsidRDefault="00F52BE8" w:rsidP="00EA3AF0">
            <w:pPr>
              <w:numPr>
                <w:ilvl w:val="0"/>
                <w:numId w:val="9"/>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w:t>
            </w:r>
            <w:r w:rsidR="00E8426B">
              <w:rPr>
                <w:rFonts w:cs="Arial"/>
                <w:color w:val="000000"/>
                <w:sz w:val="22"/>
                <w:szCs w:val="22"/>
                <w:lang w:eastAsia="en-GB"/>
              </w:rPr>
              <w:t xml:space="preserve"> clear</w:t>
            </w:r>
            <w:r w:rsidRPr="0036077E">
              <w:rPr>
                <w:rFonts w:cs="Arial"/>
                <w:color w:val="000000"/>
                <w:sz w:val="22"/>
                <w:szCs w:val="22"/>
                <w:lang w:eastAsia="en-GB"/>
              </w:rPr>
              <w:t xml:space="preserve"> explanation of the proposed appr</w:t>
            </w:r>
            <w:r w:rsidR="005404E3">
              <w:rPr>
                <w:rFonts w:cs="Arial"/>
                <w:color w:val="000000"/>
                <w:sz w:val="22"/>
                <w:szCs w:val="22"/>
                <w:lang w:eastAsia="en-GB"/>
              </w:rPr>
              <w:t xml:space="preserve">oach to the </w:t>
            </w:r>
            <w:r w:rsidR="00E8426B">
              <w:rPr>
                <w:rFonts w:cs="Arial"/>
                <w:color w:val="000000"/>
                <w:sz w:val="22"/>
                <w:szCs w:val="22"/>
                <w:lang w:eastAsia="en-GB"/>
              </w:rPr>
              <w:t>work</w:t>
            </w:r>
            <w:r w:rsidR="003F065C">
              <w:rPr>
                <w:rFonts w:cs="Arial"/>
                <w:color w:val="000000"/>
                <w:sz w:val="22"/>
                <w:szCs w:val="22"/>
                <w:lang w:eastAsia="en-GB"/>
              </w:rPr>
              <w:t xml:space="preserve"> for both freight and </w:t>
            </w:r>
            <w:r w:rsidR="00263408">
              <w:rPr>
                <w:rFonts w:cs="Arial"/>
                <w:color w:val="000000"/>
                <w:sz w:val="22"/>
                <w:szCs w:val="22"/>
                <w:lang w:eastAsia="en-GB"/>
              </w:rPr>
              <w:t>open access</w:t>
            </w:r>
            <w:r w:rsidR="00E8426B">
              <w:rPr>
                <w:rFonts w:cs="Arial"/>
                <w:color w:val="000000"/>
                <w:sz w:val="22"/>
                <w:szCs w:val="22"/>
                <w:lang w:eastAsia="en-GB"/>
              </w:rPr>
              <w:t xml:space="preserve">, </w:t>
            </w:r>
            <w:r w:rsidR="00E42982">
              <w:rPr>
                <w:rFonts w:cs="Arial"/>
                <w:color w:val="000000"/>
                <w:sz w:val="22"/>
                <w:szCs w:val="22"/>
                <w:lang w:eastAsia="en-GB"/>
              </w:rPr>
              <w:t>and the methodolog</w:t>
            </w:r>
            <w:r w:rsidR="003F065C">
              <w:rPr>
                <w:rFonts w:cs="Arial"/>
                <w:color w:val="000000"/>
                <w:sz w:val="22"/>
                <w:szCs w:val="22"/>
                <w:lang w:eastAsia="en-GB"/>
              </w:rPr>
              <w:t>y for reviewing and updating the</w:t>
            </w:r>
            <w:r w:rsidR="00E42982">
              <w:rPr>
                <w:rFonts w:cs="Arial"/>
                <w:color w:val="000000"/>
                <w:sz w:val="22"/>
                <w:szCs w:val="22"/>
                <w:lang w:eastAsia="en-GB"/>
              </w:rPr>
              <w:t xml:space="preserve"> </w:t>
            </w:r>
            <w:proofErr w:type="spellStart"/>
            <w:r w:rsidR="00B154C3">
              <w:rPr>
                <w:rFonts w:cs="Arial"/>
                <w:color w:val="000000"/>
                <w:sz w:val="22"/>
                <w:szCs w:val="22"/>
                <w:lang w:eastAsia="en-GB"/>
              </w:rPr>
              <w:t>PR18</w:t>
            </w:r>
            <w:proofErr w:type="spellEnd"/>
            <w:r w:rsidR="00B154C3">
              <w:rPr>
                <w:rFonts w:cs="Arial"/>
                <w:color w:val="000000"/>
                <w:sz w:val="22"/>
                <w:szCs w:val="22"/>
                <w:lang w:eastAsia="en-GB"/>
              </w:rPr>
              <w:t xml:space="preserve"> </w:t>
            </w:r>
            <w:proofErr w:type="spellStart"/>
            <w:r w:rsidR="00E42982">
              <w:rPr>
                <w:rFonts w:cs="Arial"/>
                <w:color w:val="000000"/>
                <w:sz w:val="22"/>
                <w:szCs w:val="22"/>
                <w:lang w:eastAsia="en-GB"/>
              </w:rPr>
              <w:t>MCB</w:t>
            </w:r>
            <w:proofErr w:type="spellEnd"/>
            <w:r w:rsidR="00E42982">
              <w:rPr>
                <w:rFonts w:cs="Arial"/>
                <w:color w:val="000000"/>
                <w:sz w:val="22"/>
                <w:szCs w:val="22"/>
                <w:lang w:eastAsia="en-GB"/>
              </w:rPr>
              <w:t xml:space="preserve"> analysis</w:t>
            </w:r>
            <w:r w:rsidR="003F065C">
              <w:rPr>
                <w:rFonts w:cs="Arial"/>
                <w:color w:val="000000"/>
                <w:sz w:val="22"/>
                <w:szCs w:val="22"/>
                <w:lang w:eastAsia="en-GB"/>
              </w:rPr>
              <w:t xml:space="preserve"> in each case</w:t>
            </w:r>
            <w:r w:rsidR="00E42982">
              <w:rPr>
                <w:rFonts w:cs="Arial"/>
                <w:color w:val="000000"/>
                <w:sz w:val="22"/>
                <w:szCs w:val="22"/>
                <w:lang w:eastAsia="en-GB"/>
              </w:rPr>
              <w:t xml:space="preserve">, </w:t>
            </w:r>
            <w:r w:rsidR="00E8426B">
              <w:rPr>
                <w:rFonts w:cs="Arial"/>
                <w:color w:val="000000"/>
                <w:sz w:val="22"/>
                <w:szCs w:val="22"/>
                <w:lang w:eastAsia="en-GB"/>
              </w:rPr>
              <w:t>including how this will address the issues highlighted in Section 2.2 of this document</w:t>
            </w:r>
          </w:p>
          <w:p w14:paraId="3C6EF5FF" w14:textId="77777777" w:rsidR="00F52BE8" w:rsidRPr="0036077E" w:rsidRDefault="00F52BE8" w:rsidP="003E2732">
            <w:pPr>
              <w:autoSpaceDE w:val="0"/>
              <w:autoSpaceDN w:val="0"/>
              <w:adjustRightInd w:val="0"/>
              <w:spacing w:after="0"/>
              <w:rPr>
                <w:rFonts w:cs="Arial"/>
                <w:color w:val="000000"/>
                <w:sz w:val="22"/>
                <w:szCs w:val="22"/>
                <w:lang w:eastAsia="en-GB"/>
              </w:rPr>
            </w:pPr>
          </w:p>
          <w:p w14:paraId="07E01719" w14:textId="1257DA4B" w:rsidR="00F52BE8" w:rsidRPr="0036077E" w:rsidRDefault="00F52BE8" w:rsidP="00EA3AF0">
            <w:pPr>
              <w:numPr>
                <w:ilvl w:val="0"/>
                <w:numId w:val="9"/>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Details of your assumptions and</w:t>
            </w:r>
            <w:r w:rsidR="005404E3">
              <w:rPr>
                <w:rFonts w:cs="Arial"/>
                <w:color w:val="000000"/>
                <w:sz w:val="22"/>
                <w:szCs w:val="22"/>
                <w:lang w:eastAsia="en-GB"/>
              </w:rPr>
              <w:t xml:space="preserve"> </w:t>
            </w:r>
            <w:r w:rsidRPr="0036077E">
              <w:rPr>
                <w:rFonts w:cs="Arial"/>
                <w:color w:val="000000"/>
                <w:sz w:val="22"/>
                <w:szCs w:val="22"/>
                <w:lang w:eastAsia="en-GB"/>
              </w:rPr>
              <w:t>/</w:t>
            </w:r>
            <w:r w:rsidR="005404E3">
              <w:rPr>
                <w:rFonts w:cs="Arial"/>
                <w:color w:val="000000"/>
                <w:sz w:val="22"/>
                <w:szCs w:val="22"/>
                <w:lang w:eastAsia="en-GB"/>
              </w:rPr>
              <w:t xml:space="preserve"> </w:t>
            </w:r>
            <w:r w:rsidRPr="0036077E">
              <w:rPr>
                <w:rFonts w:cs="Arial"/>
                <w:color w:val="000000"/>
                <w:sz w:val="22"/>
                <w:szCs w:val="22"/>
                <w:lang w:eastAsia="en-GB"/>
              </w:rPr>
              <w:t>or constraints</w:t>
            </w:r>
            <w:r w:rsidR="005404E3">
              <w:rPr>
                <w:rFonts w:cs="Arial"/>
                <w:color w:val="000000"/>
                <w:sz w:val="22"/>
                <w:szCs w:val="22"/>
                <w:lang w:eastAsia="en-GB"/>
              </w:rPr>
              <w:t xml:space="preserve"> </w:t>
            </w:r>
            <w:r w:rsidR="00B154C3">
              <w:rPr>
                <w:rFonts w:cs="Arial"/>
                <w:color w:val="000000"/>
                <w:sz w:val="22"/>
                <w:szCs w:val="22"/>
                <w:lang w:eastAsia="en-GB"/>
              </w:rPr>
              <w:t>and</w:t>
            </w:r>
            <w:r w:rsidR="005404E3">
              <w:rPr>
                <w:rFonts w:cs="Arial"/>
                <w:color w:val="000000"/>
                <w:sz w:val="22"/>
                <w:szCs w:val="22"/>
                <w:lang w:eastAsia="en-GB"/>
              </w:rPr>
              <w:t xml:space="preserve"> </w:t>
            </w:r>
            <w:r w:rsidRPr="0036077E">
              <w:rPr>
                <w:rFonts w:cs="Arial"/>
                <w:color w:val="000000"/>
                <w:sz w:val="22"/>
                <w:szCs w:val="22"/>
                <w:lang w:eastAsia="en-GB"/>
              </w:rPr>
              <w:t>dependencies made in relation to the project</w:t>
            </w:r>
            <w:r w:rsidR="005404E3">
              <w:rPr>
                <w:rFonts w:cs="Arial"/>
                <w:color w:val="000000"/>
                <w:sz w:val="22"/>
                <w:szCs w:val="22"/>
                <w:lang w:eastAsia="en-GB"/>
              </w:rPr>
              <w:t xml:space="preserve"> </w:t>
            </w:r>
            <w:r w:rsidR="00E8426B">
              <w:rPr>
                <w:rFonts w:cs="Arial"/>
                <w:color w:val="000000"/>
                <w:sz w:val="22"/>
                <w:szCs w:val="22"/>
                <w:lang w:eastAsia="en-GB"/>
              </w:rPr>
              <w:t xml:space="preserve">(particularly </w:t>
            </w:r>
            <w:r w:rsidR="005404E3">
              <w:rPr>
                <w:rFonts w:cs="Arial"/>
                <w:color w:val="000000"/>
                <w:sz w:val="22"/>
                <w:szCs w:val="22"/>
                <w:lang w:eastAsia="en-GB"/>
              </w:rPr>
              <w:t>in respect of data availability)</w:t>
            </w:r>
            <w:r w:rsidRPr="0036077E">
              <w:rPr>
                <w:rFonts w:cs="Arial"/>
                <w:color w:val="000000"/>
                <w:sz w:val="22"/>
                <w:szCs w:val="22"/>
                <w:lang w:eastAsia="en-GB"/>
              </w:rPr>
              <w:t xml:space="preserve"> </w:t>
            </w:r>
          </w:p>
          <w:p w14:paraId="3AE2DD4B" w14:textId="77777777" w:rsidR="00F52BE8" w:rsidRPr="0036077E" w:rsidRDefault="00F52BE8" w:rsidP="003E2732">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EA3AF0">
            <w:pPr>
              <w:numPr>
                <w:ilvl w:val="0"/>
                <w:numId w:val="9"/>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4F5E30E2" w:rsidR="00F52BE8" w:rsidRPr="0036077E" w:rsidRDefault="00F52BE8" w:rsidP="00EA3AF0">
            <w:pPr>
              <w:numPr>
                <w:ilvl w:val="0"/>
                <w:numId w:val="9"/>
              </w:numPr>
              <w:rPr>
                <w:rFonts w:cs="Arial"/>
                <w:sz w:val="22"/>
                <w:szCs w:val="22"/>
              </w:rPr>
            </w:pPr>
            <w:r w:rsidRPr="0036077E">
              <w:rPr>
                <w:rFonts w:cs="Arial"/>
                <w:sz w:val="22"/>
                <w:szCs w:val="22"/>
              </w:rPr>
              <w:t>An understanding of the risks, and explain how they would be mitigated to ensure delivery</w:t>
            </w:r>
            <w:r w:rsidR="00B154C3">
              <w:rPr>
                <w:rFonts w:cs="Arial"/>
                <w:sz w:val="22"/>
                <w:szCs w:val="22"/>
              </w:rPr>
              <w:t>.</w:t>
            </w:r>
          </w:p>
          <w:p w14:paraId="5A5E28BF" w14:textId="0CE3481D" w:rsidR="00F52BE8" w:rsidRPr="0036077E" w:rsidRDefault="005404E3" w:rsidP="003E2732">
            <w:pPr>
              <w:pStyle w:val="ListNumber"/>
              <w:numPr>
                <w:ilvl w:val="0"/>
                <w:numId w:val="0"/>
              </w:numPr>
              <w:rPr>
                <w:b/>
                <w:bCs/>
                <w:sz w:val="22"/>
                <w:szCs w:val="22"/>
              </w:rPr>
            </w:pPr>
            <w:r>
              <w:rPr>
                <w:b/>
                <w:bCs/>
                <w:sz w:val="22"/>
                <w:szCs w:val="22"/>
              </w:rPr>
              <w:t xml:space="preserve">c)   </w:t>
            </w:r>
            <w:r w:rsidR="00F52BE8" w:rsidRPr="0036077E">
              <w:rPr>
                <w:b/>
                <w:bCs/>
                <w:sz w:val="22"/>
                <w:szCs w:val="22"/>
              </w:rPr>
              <w:t>Proposed delivery team</w:t>
            </w:r>
          </w:p>
          <w:p w14:paraId="567B3156" w14:textId="7BACC5F8" w:rsidR="00F52BE8" w:rsidRPr="0036077E" w:rsidRDefault="00F52BE8" w:rsidP="00EA3AF0">
            <w:pPr>
              <w:numPr>
                <w:ilvl w:val="0"/>
                <w:numId w:val="9"/>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w:t>
            </w:r>
            <w:r w:rsidR="00BE4C9D">
              <w:rPr>
                <w:rFonts w:cs="Arial"/>
                <w:color w:val="000000"/>
                <w:sz w:val="22"/>
                <w:szCs w:val="22"/>
                <w:lang w:eastAsia="en-GB"/>
              </w:rPr>
              <w:t>,</w:t>
            </w:r>
            <w:r w:rsidRPr="0036077E">
              <w:rPr>
                <w:rFonts w:cs="Arial"/>
                <w:color w:val="000000"/>
                <w:sz w:val="22"/>
                <w:szCs w:val="22"/>
                <w:lang w:eastAsia="en-GB"/>
              </w:rPr>
              <w:t xml:space="preserve"> including details of how their key skills, experience and qualifications align to </w:t>
            </w:r>
            <w:r w:rsidR="00E8426B">
              <w:rPr>
                <w:rFonts w:cs="Arial"/>
                <w:color w:val="000000"/>
                <w:sz w:val="22"/>
                <w:szCs w:val="22"/>
                <w:lang w:eastAsia="en-GB"/>
              </w:rPr>
              <w:t>the delivery of the project;</w:t>
            </w:r>
            <w:r w:rsidRPr="0036077E">
              <w:rPr>
                <w:rFonts w:cs="Arial"/>
                <w:color w:val="000000"/>
                <w:sz w:val="22"/>
                <w:szCs w:val="22"/>
                <w:lang w:eastAsia="en-GB"/>
              </w:rPr>
              <w:t xml:space="preserve"> </w:t>
            </w:r>
          </w:p>
          <w:p w14:paraId="4F208596" w14:textId="77777777" w:rsidR="00F52BE8" w:rsidRPr="0036077E" w:rsidRDefault="00F52BE8" w:rsidP="003E2732">
            <w:pPr>
              <w:autoSpaceDE w:val="0"/>
              <w:autoSpaceDN w:val="0"/>
              <w:adjustRightInd w:val="0"/>
              <w:spacing w:after="0"/>
              <w:rPr>
                <w:rFonts w:cs="Arial"/>
                <w:color w:val="000000"/>
                <w:sz w:val="22"/>
                <w:szCs w:val="22"/>
                <w:lang w:eastAsia="en-GB"/>
              </w:rPr>
            </w:pPr>
          </w:p>
          <w:p w14:paraId="3CD058FF" w14:textId="059D3953" w:rsidR="00E8426B" w:rsidRPr="0036077E" w:rsidRDefault="00BE4C9D" w:rsidP="00EA3AF0">
            <w:pPr>
              <w:numPr>
                <w:ilvl w:val="0"/>
                <w:numId w:val="9"/>
              </w:numPr>
              <w:rPr>
                <w:rFonts w:cs="Arial"/>
                <w:sz w:val="22"/>
                <w:szCs w:val="22"/>
              </w:rPr>
            </w:pPr>
            <w:r>
              <w:rPr>
                <w:rFonts w:cs="Arial"/>
                <w:sz w:val="22"/>
                <w:szCs w:val="22"/>
              </w:rPr>
              <w:t>R</w:t>
            </w:r>
            <w:r w:rsidR="00E8426B" w:rsidRPr="0036077E">
              <w:rPr>
                <w:rFonts w:cs="Arial"/>
                <w:sz w:val="22"/>
                <w:szCs w:val="22"/>
              </w:rPr>
              <w:t>elevant examples of previous work that bidders have carried out</w:t>
            </w:r>
            <w:r w:rsidR="00E8426B">
              <w:rPr>
                <w:rFonts w:cs="Arial"/>
                <w:sz w:val="22"/>
                <w:szCs w:val="22"/>
              </w:rPr>
              <w:t>; and</w:t>
            </w:r>
          </w:p>
          <w:p w14:paraId="531C89D8" w14:textId="57B9A5EF" w:rsidR="00F52BE8" w:rsidRPr="003F065C" w:rsidRDefault="00F52BE8" w:rsidP="00EA3AF0">
            <w:pPr>
              <w:numPr>
                <w:ilvl w:val="0"/>
                <w:numId w:val="9"/>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r w:rsidR="00E8426B">
              <w:rPr>
                <w:sz w:val="22"/>
                <w:szCs w:val="22"/>
              </w:rPr>
              <w:t>.</w:t>
            </w:r>
          </w:p>
          <w:p w14:paraId="081FB30B" w14:textId="77777777" w:rsidR="003F065C" w:rsidRPr="00C251D3" w:rsidRDefault="003F065C" w:rsidP="003F065C">
            <w:pPr>
              <w:autoSpaceDE w:val="0"/>
              <w:autoSpaceDN w:val="0"/>
              <w:adjustRightInd w:val="0"/>
              <w:spacing w:after="0"/>
              <w:ind w:left="360"/>
              <w:rPr>
                <w:rFonts w:cs="Arial"/>
                <w:color w:val="000000"/>
                <w:sz w:val="22"/>
                <w:szCs w:val="22"/>
                <w:lang w:eastAsia="en-GB"/>
              </w:rPr>
            </w:pPr>
          </w:p>
          <w:p w14:paraId="61A37265" w14:textId="4A83BAC7" w:rsidR="00E8426B" w:rsidRDefault="00E8426B" w:rsidP="00E8426B">
            <w:pPr>
              <w:rPr>
                <w:rFonts w:cs="Arial"/>
                <w:b/>
                <w:sz w:val="22"/>
                <w:szCs w:val="22"/>
              </w:rPr>
            </w:pPr>
            <w:r>
              <w:rPr>
                <w:rFonts w:cs="Arial"/>
                <w:b/>
                <w:sz w:val="22"/>
                <w:szCs w:val="22"/>
              </w:rPr>
              <w:t>d)   Pricing</w:t>
            </w:r>
          </w:p>
          <w:p w14:paraId="7C8A77C2" w14:textId="55788A2A" w:rsidR="00F52BE8" w:rsidRPr="008A6A59" w:rsidRDefault="00F52BE8" w:rsidP="00EA3AF0">
            <w:pPr>
              <w:numPr>
                <w:ilvl w:val="0"/>
                <w:numId w:val="9"/>
              </w:numPr>
              <w:autoSpaceDE w:val="0"/>
              <w:autoSpaceDN w:val="0"/>
              <w:adjustRightInd w:val="0"/>
              <w:spacing w:after="0"/>
              <w:rPr>
                <w:rFonts w:cs="Arial"/>
                <w:b/>
                <w:sz w:val="22"/>
                <w:szCs w:val="22"/>
              </w:rPr>
            </w:pPr>
            <w:r w:rsidRPr="0036077E">
              <w:rPr>
                <w:sz w:val="22"/>
                <w:szCs w:val="22"/>
              </w:rPr>
              <w:t xml:space="preserve">A fixed fee </w:t>
            </w:r>
            <w:r w:rsidR="008A6A59" w:rsidRPr="0036077E">
              <w:rPr>
                <w:sz w:val="22"/>
                <w:szCs w:val="22"/>
              </w:rPr>
              <w:t xml:space="preserve">inclusive of all expense </w:t>
            </w:r>
            <w:r w:rsidRPr="0036077E">
              <w:rPr>
                <w:sz w:val="22"/>
                <w:szCs w:val="22"/>
              </w:rPr>
              <w:t xml:space="preserve">for </w:t>
            </w:r>
            <w:r w:rsidR="008A6A59">
              <w:rPr>
                <w:sz w:val="22"/>
                <w:szCs w:val="22"/>
              </w:rPr>
              <w:t xml:space="preserve">each workstream, plus a combined offer if bidding </w:t>
            </w:r>
            <w:r w:rsidR="000B5073">
              <w:rPr>
                <w:sz w:val="22"/>
                <w:szCs w:val="22"/>
              </w:rPr>
              <w:t xml:space="preserve">for </w:t>
            </w:r>
            <w:r w:rsidR="008A6A59">
              <w:rPr>
                <w:sz w:val="22"/>
                <w:szCs w:val="22"/>
              </w:rPr>
              <w:t>both workstreams and the combined offer differs from the individual workstream fees (e.g. there is a price saving)</w:t>
            </w:r>
            <w:r w:rsidRPr="0036077E">
              <w:rPr>
                <w:sz w:val="22"/>
                <w:szCs w:val="22"/>
              </w:rPr>
              <w:t>. This should include</w:t>
            </w:r>
            <w:r w:rsidR="00E8426B">
              <w:rPr>
                <w:rFonts w:cs="Arial"/>
                <w:b/>
                <w:sz w:val="22"/>
                <w:szCs w:val="22"/>
              </w:rPr>
              <w:t xml:space="preserve"> </w:t>
            </w: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7B8DCC6D" w14:textId="77777777" w:rsidR="008A6A59" w:rsidRPr="008A6A59" w:rsidRDefault="008A6A59" w:rsidP="008A6A59">
            <w:pPr>
              <w:autoSpaceDE w:val="0"/>
              <w:autoSpaceDN w:val="0"/>
              <w:adjustRightInd w:val="0"/>
              <w:spacing w:after="0"/>
              <w:ind w:left="360"/>
              <w:rPr>
                <w:rFonts w:cs="Arial"/>
                <w:b/>
                <w:sz w:val="22"/>
                <w:szCs w:val="22"/>
              </w:rPr>
            </w:pPr>
          </w:p>
          <w:p w14:paraId="54F31398" w14:textId="6B862C6F" w:rsidR="008A6A59" w:rsidRPr="00B154C3" w:rsidRDefault="00557E34" w:rsidP="00EA3AF0">
            <w:pPr>
              <w:numPr>
                <w:ilvl w:val="0"/>
                <w:numId w:val="9"/>
              </w:numPr>
              <w:autoSpaceDE w:val="0"/>
              <w:autoSpaceDN w:val="0"/>
              <w:adjustRightInd w:val="0"/>
              <w:spacing w:after="0"/>
              <w:rPr>
                <w:rFonts w:cs="Arial"/>
                <w:b/>
                <w:sz w:val="22"/>
                <w:szCs w:val="22"/>
              </w:rPr>
            </w:pPr>
            <w:r>
              <w:rPr>
                <w:sz w:val="22"/>
                <w:szCs w:val="22"/>
              </w:rPr>
              <w:t>A</w:t>
            </w:r>
            <w:r w:rsidR="008A6A59">
              <w:rPr>
                <w:sz w:val="22"/>
                <w:szCs w:val="22"/>
              </w:rPr>
              <w:t xml:space="preserve"> set of </w:t>
            </w:r>
            <w:r>
              <w:rPr>
                <w:sz w:val="22"/>
                <w:szCs w:val="22"/>
              </w:rPr>
              <w:t xml:space="preserve">day </w:t>
            </w:r>
            <w:r w:rsidR="008A6A59">
              <w:rPr>
                <w:sz w:val="22"/>
                <w:szCs w:val="22"/>
              </w:rPr>
              <w:t>rates by grade as detailed below, for the support phase that may be required after completion of the workstreams.</w:t>
            </w:r>
          </w:p>
          <w:p w14:paraId="67214C67" w14:textId="77777777" w:rsidR="00F52BE8" w:rsidRDefault="00F52BE8" w:rsidP="003E2732">
            <w:pPr>
              <w:autoSpaceDE w:val="0"/>
              <w:autoSpaceDN w:val="0"/>
              <w:adjustRightInd w:val="0"/>
              <w:spacing w:after="0"/>
              <w:rPr>
                <w:rFonts w:cs="Arial"/>
                <w:color w:val="000000"/>
                <w:sz w:val="22"/>
                <w:szCs w:val="22"/>
                <w:lang w:eastAsia="en-GB"/>
              </w:rPr>
            </w:pPr>
          </w:p>
          <w:p w14:paraId="037D003C" w14:textId="2650851B" w:rsidR="009878A7" w:rsidRPr="009878A7" w:rsidRDefault="009878A7" w:rsidP="003E2732">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 xml:space="preserve">e) </w:t>
            </w:r>
            <w:r w:rsidR="00E8426B">
              <w:rPr>
                <w:rFonts w:cs="Arial"/>
                <w:b/>
                <w:color w:val="000000"/>
                <w:sz w:val="22"/>
                <w:szCs w:val="22"/>
                <w:lang w:eastAsia="en-GB"/>
              </w:rPr>
              <w:t xml:space="preserve">  </w:t>
            </w:r>
            <w:r w:rsidRPr="009878A7">
              <w:rPr>
                <w:rFonts w:cs="Arial"/>
                <w:b/>
                <w:color w:val="000000"/>
                <w:sz w:val="22"/>
                <w:szCs w:val="22"/>
                <w:lang w:eastAsia="en-GB"/>
              </w:rPr>
              <w:t>Conflicts of Interest</w:t>
            </w:r>
          </w:p>
          <w:p w14:paraId="6D7EB817" w14:textId="77777777" w:rsidR="009878A7" w:rsidRDefault="009878A7" w:rsidP="003E2732">
            <w:pPr>
              <w:autoSpaceDE w:val="0"/>
              <w:autoSpaceDN w:val="0"/>
              <w:adjustRightInd w:val="0"/>
              <w:spacing w:after="0"/>
              <w:rPr>
                <w:rFonts w:cs="Arial"/>
                <w:color w:val="000000"/>
                <w:sz w:val="22"/>
                <w:szCs w:val="22"/>
                <w:lang w:eastAsia="en-GB"/>
              </w:rPr>
            </w:pPr>
          </w:p>
          <w:p w14:paraId="31693056" w14:textId="4C3DE060" w:rsidR="000B5073" w:rsidRPr="00B154C3" w:rsidRDefault="009878A7" w:rsidP="000B5073">
            <w:pPr>
              <w:numPr>
                <w:ilvl w:val="0"/>
                <w:numId w:val="9"/>
              </w:numPr>
              <w:autoSpaceDE w:val="0"/>
              <w:autoSpaceDN w:val="0"/>
              <w:adjustRightInd w:val="0"/>
              <w:spacing w:after="0"/>
              <w:rPr>
                <w:rFonts w:cs="Arial"/>
                <w:color w:val="000000"/>
                <w:sz w:val="22"/>
                <w:szCs w:val="22"/>
                <w:lang w:eastAsia="en-GB"/>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E2732">
        <w:trPr>
          <w:trHeight w:val="353"/>
        </w:trPr>
        <w:tc>
          <w:tcPr>
            <w:tcW w:w="8528" w:type="dxa"/>
            <w:tcBorders>
              <w:bottom w:val="single" w:sz="4" w:space="0" w:color="auto"/>
            </w:tcBorders>
            <w:shd w:val="clear" w:color="auto" w:fill="99CCFF"/>
          </w:tcPr>
          <w:p w14:paraId="04FAC44B" w14:textId="0A1A28D1" w:rsidR="00F52BE8" w:rsidRPr="0036077E" w:rsidRDefault="00F52BE8" w:rsidP="00E8426B">
            <w:pPr>
              <w:rPr>
                <w:rFonts w:cs="Arial"/>
                <w:b/>
                <w:sz w:val="28"/>
                <w:szCs w:val="28"/>
              </w:rPr>
            </w:pPr>
            <w:r w:rsidRPr="0036077E">
              <w:rPr>
                <w:rFonts w:cs="Arial"/>
                <w:b/>
                <w:sz w:val="28"/>
                <w:szCs w:val="28"/>
              </w:rPr>
              <w:lastRenderedPageBreak/>
              <w:t>3.2 Evaluation Crite</w:t>
            </w:r>
            <w:r w:rsidR="00E8426B">
              <w:rPr>
                <w:rFonts w:cs="Arial"/>
                <w:b/>
                <w:sz w:val="28"/>
                <w:szCs w:val="28"/>
              </w:rPr>
              <w:t>r</w:t>
            </w:r>
            <w:r w:rsidRPr="0036077E">
              <w:rPr>
                <w:rFonts w:cs="Arial"/>
                <w:b/>
                <w:sz w:val="28"/>
                <w:szCs w:val="28"/>
              </w:rPr>
              <w:t>ia</w:t>
            </w:r>
          </w:p>
        </w:tc>
      </w:tr>
      <w:tr w:rsidR="00F52BE8" w:rsidRPr="0036077E" w14:paraId="5BF1BB9F" w14:textId="77777777" w:rsidTr="003E2732">
        <w:trPr>
          <w:trHeight w:val="352"/>
        </w:trPr>
        <w:tc>
          <w:tcPr>
            <w:tcW w:w="8528" w:type="dxa"/>
            <w:tcBorders>
              <w:bottom w:val="single" w:sz="4" w:space="0" w:color="auto"/>
            </w:tcBorders>
            <w:shd w:val="clear" w:color="auto" w:fill="auto"/>
          </w:tcPr>
          <w:p w14:paraId="490F937F" w14:textId="3D6774DF" w:rsidR="00F52BE8" w:rsidRPr="00BE4C9D" w:rsidRDefault="00E8426B" w:rsidP="00E8426B">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jc w:val="left"/>
              <w:rPr>
                <w:rFonts w:ascii="Arial" w:hAnsi="Arial" w:cs="Arial"/>
                <w:sz w:val="22"/>
                <w:szCs w:val="22"/>
              </w:rPr>
            </w:pPr>
            <w:r w:rsidRPr="00BE4C9D">
              <w:rPr>
                <w:rFonts w:ascii="Arial" w:hAnsi="Arial" w:cs="Arial"/>
                <w:sz w:val="22"/>
                <w:szCs w:val="22"/>
              </w:rPr>
              <w:t xml:space="preserve">Tenders </w:t>
            </w:r>
            <w:r w:rsidR="00F52BE8" w:rsidRPr="00BE4C9D">
              <w:rPr>
                <w:rFonts w:ascii="Arial" w:hAnsi="Arial" w:cs="Arial"/>
                <w:sz w:val="22"/>
                <w:szCs w:val="22"/>
              </w:rPr>
              <w:t>will be assessed for compliance with procurement and contractual requirements which will include:</w:t>
            </w:r>
          </w:p>
          <w:p w14:paraId="759A5D81" w14:textId="77777777" w:rsidR="00F52BE8" w:rsidRPr="00BE4C9D" w:rsidRDefault="00F52BE8" w:rsidP="00E8426B">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jc w:val="left"/>
              <w:rPr>
                <w:rFonts w:ascii="Arial" w:hAnsi="Arial" w:cs="Arial"/>
                <w:sz w:val="22"/>
                <w:szCs w:val="22"/>
              </w:rPr>
            </w:pPr>
          </w:p>
          <w:p w14:paraId="3E020D0F" w14:textId="77777777" w:rsidR="00F52BE8" w:rsidRPr="00BE4C9D" w:rsidRDefault="00F52BE8" w:rsidP="00EA3AF0">
            <w:pPr>
              <w:pStyle w:val="BodyText"/>
              <w:widowControl/>
              <w:numPr>
                <w:ilvl w:val="0"/>
                <w:numId w:val="8"/>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BE4C9D">
              <w:rPr>
                <w:rFonts w:ascii="Arial" w:hAnsi="Arial" w:cs="Arial"/>
                <w:sz w:val="22"/>
                <w:szCs w:val="22"/>
              </w:rPr>
              <w:t>Completeness of the tender information</w:t>
            </w:r>
          </w:p>
          <w:p w14:paraId="6FBBC134" w14:textId="77777777" w:rsidR="00F52BE8" w:rsidRPr="00BE4C9D" w:rsidRDefault="00F52BE8" w:rsidP="00EA3AF0">
            <w:pPr>
              <w:pStyle w:val="BodyText"/>
              <w:widowControl/>
              <w:numPr>
                <w:ilvl w:val="0"/>
                <w:numId w:val="8"/>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jc w:val="left"/>
              <w:rPr>
                <w:rFonts w:ascii="Arial" w:hAnsi="Arial" w:cs="Arial"/>
                <w:sz w:val="22"/>
                <w:szCs w:val="22"/>
              </w:rPr>
            </w:pPr>
            <w:r w:rsidRPr="00BE4C9D">
              <w:rPr>
                <w:rFonts w:ascii="Arial" w:hAnsi="Arial" w:cs="Arial"/>
                <w:sz w:val="22"/>
                <w:szCs w:val="22"/>
              </w:rPr>
              <w:t>Completed Declaration Form of Tender and Disclaimer</w:t>
            </w:r>
          </w:p>
          <w:p w14:paraId="10EFD00B" w14:textId="77777777" w:rsidR="00F52BE8" w:rsidRPr="00BE4C9D" w:rsidRDefault="00F52BE8" w:rsidP="00EA3AF0">
            <w:pPr>
              <w:pStyle w:val="BodyText"/>
              <w:widowControl/>
              <w:numPr>
                <w:ilvl w:val="0"/>
                <w:numId w:val="8"/>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jc w:val="left"/>
              <w:rPr>
                <w:rFonts w:ascii="Arial" w:hAnsi="Arial" w:cs="Arial"/>
                <w:sz w:val="22"/>
                <w:szCs w:val="22"/>
              </w:rPr>
            </w:pPr>
            <w:r w:rsidRPr="00BE4C9D">
              <w:rPr>
                <w:rFonts w:ascii="Arial" w:hAnsi="Arial" w:cs="Arial"/>
                <w:sz w:val="22"/>
                <w:szCs w:val="22"/>
              </w:rPr>
              <w:t>Tender submitted in accordance with the conditions and instructions for tendering</w:t>
            </w:r>
          </w:p>
          <w:p w14:paraId="5B0CFC0D" w14:textId="77777777" w:rsidR="00F52BE8" w:rsidRPr="00BE4C9D" w:rsidRDefault="00F52BE8" w:rsidP="00EA3AF0">
            <w:pPr>
              <w:pStyle w:val="BodyText"/>
              <w:widowControl/>
              <w:numPr>
                <w:ilvl w:val="0"/>
                <w:numId w:val="8"/>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BE4C9D">
              <w:rPr>
                <w:rFonts w:ascii="Arial" w:hAnsi="Arial" w:cs="Arial"/>
                <w:sz w:val="22"/>
                <w:szCs w:val="22"/>
              </w:rPr>
              <w:t>Tender submitted by the closing date and time</w:t>
            </w:r>
          </w:p>
          <w:p w14:paraId="1C2E788F" w14:textId="77777777" w:rsidR="00F52BE8" w:rsidRPr="00BE4C9D" w:rsidRDefault="00F52BE8" w:rsidP="00EA3AF0">
            <w:pPr>
              <w:pStyle w:val="BodyText"/>
              <w:widowControl/>
              <w:numPr>
                <w:ilvl w:val="0"/>
                <w:numId w:val="8"/>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BE4C9D">
              <w:rPr>
                <w:rFonts w:ascii="Arial" w:hAnsi="Arial" w:cs="Arial"/>
                <w:sz w:val="22"/>
                <w:szCs w:val="22"/>
              </w:rPr>
              <w:t>Compliance with contractual arrangements.</w:t>
            </w:r>
          </w:p>
          <w:p w14:paraId="3DD3C6C3" w14:textId="77777777" w:rsidR="00F52BE8" w:rsidRPr="00BE4C9D" w:rsidRDefault="00F52BE8" w:rsidP="00E8426B">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jc w:val="left"/>
              <w:rPr>
                <w:rFonts w:ascii="Arial" w:hAnsi="Arial" w:cs="Arial"/>
                <w:sz w:val="22"/>
                <w:szCs w:val="22"/>
              </w:rPr>
            </w:pPr>
          </w:p>
          <w:p w14:paraId="007D0541" w14:textId="4A086896" w:rsidR="00F52BE8" w:rsidRPr="00BE4C9D" w:rsidRDefault="00F52BE8" w:rsidP="00E8426B">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jc w:val="left"/>
              <w:rPr>
                <w:rFonts w:ascii="Arial" w:hAnsi="Arial" w:cs="Arial"/>
                <w:sz w:val="22"/>
                <w:szCs w:val="22"/>
              </w:rPr>
            </w:pPr>
            <w:r w:rsidRPr="00BE4C9D">
              <w:rPr>
                <w:rFonts w:ascii="Arial" w:hAnsi="Arial" w:cs="Arial"/>
                <w:sz w:val="22"/>
                <w:szCs w:val="22"/>
              </w:rPr>
              <w:t xml:space="preserve">Tenders that are not compliant may be disqualified from the process. We reserve the right to clarify any issues regarding a Bidder’s compliance. It will be at </w:t>
            </w:r>
            <w:proofErr w:type="spellStart"/>
            <w:r w:rsidRPr="00BE4C9D">
              <w:rPr>
                <w:rFonts w:ascii="Arial" w:hAnsi="Arial" w:cs="Arial"/>
                <w:sz w:val="22"/>
                <w:szCs w:val="22"/>
              </w:rPr>
              <w:t>ORR's</w:t>
            </w:r>
            <w:proofErr w:type="spellEnd"/>
            <w:r w:rsidRPr="00BE4C9D">
              <w:rPr>
                <w:rFonts w:ascii="Arial" w:hAnsi="Arial" w:cs="Arial"/>
                <w:sz w:val="22"/>
                <w:szCs w:val="22"/>
              </w:rPr>
              <w:t xml:space="preserve"> sole discretion whether to include the relevant Bidder’s response in the next stage of the process. </w:t>
            </w:r>
          </w:p>
          <w:p w14:paraId="5C01A10E" w14:textId="77777777" w:rsidR="00557E34" w:rsidRPr="0036077E" w:rsidRDefault="00557E34" w:rsidP="00557E34">
            <w:pPr>
              <w:pStyle w:val="ListNumber"/>
              <w:numPr>
                <w:ilvl w:val="0"/>
                <w:numId w:val="0"/>
              </w:numPr>
              <w:rPr>
                <w:sz w:val="22"/>
                <w:szCs w:val="22"/>
              </w:rPr>
            </w:pPr>
            <w:r>
              <w:rPr>
                <w:sz w:val="22"/>
                <w:szCs w:val="22"/>
              </w:rPr>
              <w:t>For each workstream t</w:t>
            </w:r>
            <w:r w:rsidRPr="0036077E">
              <w:rPr>
                <w:sz w:val="22"/>
                <w:szCs w:val="22"/>
              </w:rPr>
              <w:t xml:space="preserve">he contract will be awarded to the Bidder(s) submitting the </w:t>
            </w:r>
            <w:r w:rsidRPr="0036077E">
              <w:rPr>
                <w:b/>
                <w:sz w:val="22"/>
                <w:szCs w:val="22"/>
                <w:u w:val="single"/>
              </w:rPr>
              <w:t>‘most economically advantageous tender’</w:t>
            </w:r>
            <w:r>
              <w:t xml:space="preserve"> (MEAT) </w:t>
            </w:r>
            <w:r w:rsidRPr="000E4BDA">
              <w:rPr>
                <w:sz w:val="22"/>
                <w:szCs w:val="22"/>
              </w:rPr>
              <w:t xml:space="preserve">or a combined offer as set out below. Tenders will be evaluated according to </w:t>
            </w:r>
            <w:r w:rsidRPr="0036077E">
              <w:rPr>
                <w:sz w:val="22"/>
                <w:szCs w:val="22"/>
              </w:rPr>
              <w:t xml:space="preserve">weighted criteria as follows: </w:t>
            </w:r>
          </w:p>
          <w:p w14:paraId="79AABF1E" w14:textId="77777777" w:rsidR="00E8426B" w:rsidRPr="00BE4C9D" w:rsidRDefault="00E8426B" w:rsidP="00E8426B">
            <w:pPr>
              <w:pStyle w:val="ListNumber"/>
              <w:numPr>
                <w:ilvl w:val="0"/>
                <w:numId w:val="0"/>
              </w:numPr>
              <w:rPr>
                <w:rFonts w:cs="Arial"/>
                <w:b/>
                <w:sz w:val="22"/>
                <w:szCs w:val="22"/>
              </w:rPr>
            </w:pPr>
          </w:p>
          <w:p w14:paraId="178948B0" w14:textId="76A0FA4A" w:rsidR="00F52BE8" w:rsidRPr="00BE4C9D" w:rsidRDefault="00F52BE8" w:rsidP="00E8426B">
            <w:pPr>
              <w:pStyle w:val="ListNumber"/>
              <w:numPr>
                <w:ilvl w:val="0"/>
                <w:numId w:val="0"/>
              </w:numPr>
              <w:rPr>
                <w:rFonts w:cs="Arial"/>
                <w:sz w:val="22"/>
                <w:szCs w:val="22"/>
              </w:rPr>
            </w:pPr>
            <w:r w:rsidRPr="00BE4C9D">
              <w:rPr>
                <w:rFonts w:cs="Arial"/>
                <w:b/>
                <w:sz w:val="22"/>
                <w:szCs w:val="22"/>
              </w:rPr>
              <w:t>Methodology (</w:t>
            </w:r>
            <w:r w:rsidR="005404E3" w:rsidRPr="00BE4C9D">
              <w:rPr>
                <w:rFonts w:cs="Arial"/>
                <w:b/>
                <w:sz w:val="22"/>
                <w:szCs w:val="22"/>
              </w:rPr>
              <w:t>2</w:t>
            </w:r>
            <w:r w:rsidR="00B154C3">
              <w:rPr>
                <w:rFonts w:cs="Arial"/>
                <w:b/>
                <w:sz w:val="22"/>
                <w:szCs w:val="22"/>
              </w:rPr>
              <w:t>0</w:t>
            </w:r>
            <w:r w:rsidRPr="00BE4C9D">
              <w:rPr>
                <w:rFonts w:cs="Arial"/>
                <w:b/>
                <w:sz w:val="22"/>
                <w:szCs w:val="22"/>
              </w:rPr>
              <w:t>%)</w:t>
            </w:r>
          </w:p>
          <w:p w14:paraId="08B651BF" w14:textId="79B18E01" w:rsidR="00F52BE8" w:rsidRPr="00BE4C9D" w:rsidRDefault="00F52BE8" w:rsidP="00E8426B">
            <w:pPr>
              <w:pStyle w:val="ListNumber"/>
              <w:numPr>
                <w:ilvl w:val="0"/>
                <w:numId w:val="0"/>
              </w:numPr>
              <w:rPr>
                <w:sz w:val="22"/>
                <w:szCs w:val="22"/>
              </w:rPr>
            </w:pPr>
            <w:r w:rsidRPr="00BE4C9D">
              <w:rPr>
                <w:sz w:val="22"/>
                <w:szCs w:val="22"/>
              </w:rPr>
              <w:t>The proposal should set out the methodology by which the project requirement will be initi</w:t>
            </w:r>
            <w:r w:rsidR="00E8426B" w:rsidRPr="00BE4C9D">
              <w:rPr>
                <w:sz w:val="22"/>
                <w:szCs w:val="22"/>
              </w:rPr>
              <w:t xml:space="preserve">ated, delivered and concluded. </w:t>
            </w:r>
            <w:r w:rsidRPr="00BE4C9D">
              <w:rPr>
                <w:sz w:val="22"/>
                <w:szCs w:val="22"/>
              </w:rPr>
              <w:t>In particular, it must:</w:t>
            </w:r>
          </w:p>
          <w:p w14:paraId="556ABCA4" w14:textId="6839553C" w:rsidR="00F52BE8" w:rsidRDefault="003F065C" w:rsidP="00E8426B">
            <w:pPr>
              <w:pStyle w:val="ListNumber"/>
              <w:numPr>
                <w:ilvl w:val="0"/>
                <w:numId w:val="0"/>
              </w:numPr>
              <w:tabs>
                <w:tab w:val="clear" w:pos="720"/>
                <w:tab w:val="left" w:pos="426"/>
              </w:tabs>
              <w:rPr>
                <w:rFonts w:cs="Arial"/>
                <w:sz w:val="22"/>
                <w:szCs w:val="22"/>
              </w:rPr>
            </w:pPr>
            <w:r>
              <w:rPr>
                <w:rFonts w:cs="Arial"/>
                <w:sz w:val="22"/>
                <w:szCs w:val="22"/>
              </w:rPr>
              <w:t xml:space="preserve">a) </w:t>
            </w:r>
            <w:r w:rsidR="00F52BE8" w:rsidRPr="00BE4C9D">
              <w:rPr>
                <w:rFonts w:cs="Arial"/>
                <w:sz w:val="22"/>
                <w:szCs w:val="22"/>
              </w:rPr>
              <w:t xml:space="preserve">Explain the </w:t>
            </w:r>
            <w:r w:rsidR="00E42982">
              <w:rPr>
                <w:rFonts w:cs="Arial"/>
                <w:sz w:val="22"/>
                <w:szCs w:val="22"/>
              </w:rPr>
              <w:t xml:space="preserve">overall approach and </w:t>
            </w:r>
            <w:r w:rsidR="00F52BE8" w:rsidRPr="00BE4C9D">
              <w:rPr>
                <w:rFonts w:cs="Arial"/>
                <w:sz w:val="22"/>
                <w:szCs w:val="22"/>
              </w:rPr>
              <w:t>methodology to ensure that the requirements of this specification are met in terms of quality;</w:t>
            </w:r>
          </w:p>
          <w:p w14:paraId="095AA1A7" w14:textId="7EF786CB" w:rsidR="00E6515F" w:rsidRDefault="00E6515F" w:rsidP="00E8426B">
            <w:pPr>
              <w:pStyle w:val="ListNumber"/>
              <w:numPr>
                <w:ilvl w:val="0"/>
                <w:numId w:val="0"/>
              </w:numPr>
              <w:tabs>
                <w:tab w:val="clear" w:pos="720"/>
                <w:tab w:val="left" w:pos="426"/>
              </w:tabs>
              <w:rPr>
                <w:rFonts w:cs="Arial"/>
                <w:sz w:val="22"/>
                <w:szCs w:val="22"/>
              </w:rPr>
            </w:pPr>
            <w:r>
              <w:rPr>
                <w:rFonts w:cs="Arial"/>
                <w:sz w:val="22"/>
                <w:szCs w:val="22"/>
              </w:rPr>
              <w:t>b) Outline the evidence and data that you are expecting to use, to carry out the required analysis.</w:t>
            </w:r>
          </w:p>
          <w:p w14:paraId="54CE6FFF" w14:textId="66131201" w:rsidR="00F52BE8" w:rsidRPr="00BE4C9D" w:rsidRDefault="00E6515F" w:rsidP="00E6515F">
            <w:pPr>
              <w:pStyle w:val="ListNumber"/>
              <w:numPr>
                <w:ilvl w:val="0"/>
                <w:numId w:val="0"/>
              </w:numPr>
              <w:tabs>
                <w:tab w:val="clear" w:pos="720"/>
                <w:tab w:val="left" w:pos="3135"/>
              </w:tabs>
              <w:rPr>
                <w:rFonts w:cs="Arial"/>
                <w:sz w:val="22"/>
                <w:szCs w:val="22"/>
              </w:rPr>
            </w:pPr>
            <w:r>
              <w:rPr>
                <w:rFonts w:cs="Arial"/>
                <w:sz w:val="22"/>
                <w:szCs w:val="22"/>
              </w:rPr>
              <w:tab/>
            </w:r>
          </w:p>
          <w:p w14:paraId="0EAB7769" w14:textId="5C795022" w:rsidR="00F52BE8" w:rsidRPr="00BE4C9D" w:rsidRDefault="00F52BE8" w:rsidP="00E8426B">
            <w:pPr>
              <w:pStyle w:val="ListNumber"/>
              <w:numPr>
                <w:ilvl w:val="0"/>
                <w:numId w:val="0"/>
              </w:numPr>
              <w:rPr>
                <w:rFonts w:cs="Arial"/>
                <w:b/>
                <w:bCs/>
                <w:sz w:val="22"/>
                <w:szCs w:val="22"/>
                <w:lang w:eastAsia="en-GB"/>
              </w:rPr>
            </w:pPr>
            <w:r w:rsidRPr="00BE4C9D">
              <w:rPr>
                <w:rFonts w:cs="Arial"/>
                <w:b/>
                <w:bCs/>
                <w:sz w:val="22"/>
                <w:szCs w:val="22"/>
                <w:lang w:eastAsia="en-GB"/>
              </w:rPr>
              <w:t>Delivery (</w:t>
            </w:r>
            <w:r w:rsidR="00B154C3">
              <w:rPr>
                <w:rFonts w:cs="Arial"/>
                <w:b/>
                <w:bCs/>
                <w:sz w:val="22"/>
                <w:szCs w:val="22"/>
                <w:lang w:eastAsia="en-GB"/>
              </w:rPr>
              <w:t>20</w:t>
            </w:r>
            <w:r w:rsidRPr="00BE4C9D">
              <w:rPr>
                <w:rFonts w:cs="Arial"/>
                <w:b/>
                <w:bCs/>
                <w:sz w:val="22"/>
                <w:szCs w:val="22"/>
                <w:lang w:eastAsia="en-GB"/>
              </w:rPr>
              <w:t>%)</w:t>
            </w:r>
          </w:p>
          <w:p w14:paraId="6310AE97" w14:textId="6D3D0C68" w:rsidR="00F52BE8" w:rsidRPr="00BE4C9D" w:rsidRDefault="00F52BE8" w:rsidP="00E8426B">
            <w:pPr>
              <w:pStyle w:val="ListNumber"/>
              <w:numPr>
                <w:ilvl w:val="0"/>
                <w:numId w:val="0"/>
              </w:numPr>
              <w:rPr>
                <w:sz w:val="22"/>
                <w:szCs w:val="22"/>
              </w:rPr>
            </w:pPr>
            <w:r w:rsidRPr="00BE4C9D">
              <w:rPr>
                <w:sz w:val="22"/>
                <w:szCs w:val="22"/>
              </w:rPr>
              <w:t xml:space="preserve">The proposal should set out how and when the project </w:t>
            </w:r>
            <w:r w:rsidR="00E8426B" w:rsidRPr="00BE4C9D">
              <w:rPr>
                <w:sz w:val="22"/>
                <w:szCs w:val="22"/>
              </w:rPr>
              <w:t xml:space="preserve">requirement will be delivered. </w:t>
            </w:r>
            <w:r w:rsidRPr="00BE4C9D">
              <w:rPr>
                <w:sz w:val="22"/>
                <w:szCs w:val="22"/>
              </w:rPr>
              <w:t>In particular, it must:</w:t>
            </w:r>
          </w:p>
          <w:p w14:paraId="1206C095" w14:textId="77777777" w:rsidR="00F52BE8" w:rsidRPr="00BE4C9D" w:rsidRDefault="00F52BE8" w:rsidP="00E8426B">
            <w:pPr>
              <w:pStyle w:val="ListNumber"/>
              <w:numPr>
                <w:ilvl w:val="0"/>
                <w:numId w:val="0"/>
              </w:numPr>
              <w:rPr>
                <w:rFonts w:cs="Arial"/>
                <w:sz w:val="22"/>
                <w:szCs w:val="22"/>
              </w:rPr>
            </w:pPr>
            <w:r w:rsidRPr="00BE4C9D">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BE4C9D" w:rsidRDefault="00F52BE8" w:rsidP="00E8426B">
            <w:pPr>
              <w:pStyle w:val="ListNumber"/>
              <w:numPr>
                <w:ilvl w:val="0"/>
                <w:numId w:val="0"/>
              </w:numPr>
              <w:rPr>
                <w:rFonts w:cs="Arial"/>
                <w:sz w:val="22"/>
                <w:szCs w:val="22"/>
              </w:rPr>
            </w:pPr>
            <w:r w:rsidRPr="00BE4C9D">
              <w:rPr>
                <w:rFonts w:cs="Arial"/>
                <w:sz w:val="22"/>
                <w:szCs w:val="22"/>
              </w:rPr>
              <w:t xml:space="preserve">b)  Demonstrate an understanding of the risks, and project dependencies and explain how they would be mitigated to ensure project delivery; </w:t>
            </w:r>
          </w:p>
          <w:p w14:paraId="0EA66375" w14:textId="7A2A75AC" w:rsidR="00F52BE8" w:rsidRPr="00BE4C9D" w:rsidRDefault="00F52BE8" w:rsidP="00E8426B">
            <w:pPr>
              <w:pStyle w:val="ListNumber"/>
              <w:numPr>
                <w:ilvl w:val="0"/>
                <w:numId w:val="0"/>
              </w:numPr>
              <w:rPr>
                <w:rFonts w:cs="Arial"/>
                <w:sz w:val="22"/>
                <w:szCs w:val="22"/>
              </w:rPr>
            </w:pPr>
            <w:r w:rsidRPr="00BE4C9D">
              <w:rPr>
                <w:rFonts w:cs="Arial"/>
                <w:sz w:val="22"/>
                <w:szCs w:val="22"/>
              </w:rPr>
              <w:t xml:space="preserve">c) Explain </w:t>
            </w:r>
            <w:r w:rsidR="00E42982">
              <w:rPr>
                <w:rFonts w:cs="Arial"/>
                <w:sz w:val="22"/>
                <w:szCs w:val="22"/>
              </w:rPr>
              <w:t>how you will work with ORR to ensure the project requirements are met.</w:t>
            </w:r>
          </w:p>
          <w:p w14:paraId="20422A11" w14:textId="77777777" w:rsidR="00F52BE8" w:rsidRPr="00BE4C9D" w:rsidRDefault="00F52BE8" w:rsidP="00E8426B">
            <w:pPr>
              <w:pStyle w:val="ListNumber"/>
              <w:numPr>
                <w:ilvl w:val="0"/>
                <w:numId w:val="0"/>
              </w:numPr>
              <w:rPr>
                <w:rFonts w:cs="Arial"/>
                <w:sz w:val="22"/>
                <w:szCs w:val="22"/>
              </w:rPr>
            </w:pPr>
          </w:p>
          <w:p w14:paraId="2554883F" w14:textId="4D05A9B7" w:rsidR="00F52BE8" w:rsidRPr="00BE4C9D" w:rsidRDefault="00F52BE8" w:rsidP="00E8426B">
            <w:pPr>
              <w:pStyle w:val="ListNumber"/>
              <w:numPr>
                <w:ilvl w:val="0"/>
                <w:numId w:val="0"/>
              </w:numPr>
              <w:tabs>
                <w:tab w:val="clear" w:pos="720"/>
                <w:tab w:val="left" w:pos="426"/>
              </w:tabs>
              <w:rPr>
                <w:rFonts w:cs="Arial"/>
                <w:b/>
                <w:sz w:val="22"/>
                <w:szCs w:val="22"/>
              </w:rPr>
            </w:pPr>
            <w:r w:rsidRPr="00BE4C9D">
              <w:rPr>
                <w:rFonts w:cs="Arial"/>
                <w:b/>
                <w:sz w:val="22"/>
                <w:szCs w:val="22"/>
              </w:rPr>
              <w:t>Experience (</w:t>
            </w:r>
            <w:r w:rsidR="005404E3" w:rsidRPr="00BE4C9D">
              <w:rPr>
                <w:rFonts w:cs="Arial"/>
                <w:b/>
                <w:sz w:val="22"/>
                <w:szCs w:val="22"/>
              </w:rPr>
              <w:t>30</w:t>
            </w:r>
            <w:r w:rsidRPr="00BE4C9D">
              <w:rPr>
                <w:rFonts w:cs="Arial"/>
                <w:b/>
                <w:sz w:val="22"/>
                <w:szCs w:val="22"/>
              </w:rPr>
              <w:t>%)</w:t>
            </w:r>
          </w:p>
          <w:p w14:paraId="36FBA9F6" w14:textId="6C466797" w:rsidR="00F52BE8" w:rsidRPr="00BE4C9D" w:rsidRDefault="00F52BE8" w:rsidP="00E8426B">
            <w:pPr>
              <w:pStyle w:val="ListNumber"/>
              <w:numPr>
                <w:ilvl w:val="0"/>
                <w:numId w:val="0"/>
              </w:numPr>
              <w:rPr>
                <w:rFonts w:cs="Arial"/>
                <w:sz w:val="22"/>
                <w:szCs w:val="22"/>
              </w:rPr>
            </w:pPr>
            <w:r w:rsidRPr="00BE4C9D">
              <w:rPr>
                <w:sz w:val="22"/>
                <w:szCs w:val="22"/>
              </w:rPr>
              <w:t>The proposal should set out any experience relevant to the project requirement. In particular, it must:</w:t>
            </w:r>
          </w:p>
          <w:p w14:paraId="6FB40A5F" w14:textId="77777777" w:rsidR="00F52BE8" w:rsidRPr="00BE4C9D" w:rsidRDefault="00F52BE8" w:rsidP="00E8426B">
            <w:pPr>
              <w:pStyle w:val="ListNumber"/>
              <w:numPr>
                <w:ilvl w:val="0"/>
                <w:numId w:val="0"/>
              </w:numPr>
              <w:rPr>
                <w:rFonts w:cs="Arial"/>
                <w:sz w:val="22"/>
                <w:szCs w:val="22"/>
              </w:rPr>
            </w:pPr>
            <w:r w:rsidRPr="00BE4C9D">
              <w:rPr>
                <w:rFonts w:cs="Arial"/>
                <w:sz w:val="22"/>
                <w:szCs w:val="22"/>
              </w:rPr>
              <w:lastRenderedPageBreak/>
              <w:t xml:space="preserve">a)  Provide CVs of the consultants who will be delivering the project; </w:t>
            </w:r>
          </w:p>
          <w:p w14:paraId="68FECDB4" w14:textId="69B6743B" w:rsidR="00F52BE8" w:rsidRPr="00BE4C9D" w:rsidRDefault="00F52BE8" w:rsidP="00E8426B">
            <w:pPr>
              <w:pStyle w:val="ListNumber"/>
              <w:numPr>
                <w:ilvl w:val="0"/>
                <w:numId w:val="0"/>
              </w:numPr>
              <w:tabs>
                <w:tab w:val="clear" w:pos="720"/>
                <w:tab w:val="left" w:pos="426"/>
              </w:tabs>
              <w:rPr>
                <w:rFonts w:cs="Arial"/>
                <w:sz w:val="22"/>
                <w:szCs w:val="22"/>
              </w:rPr>
            </w:pPr>
            <w:r w:rsidRPr="00BE4C9D">
              <w:rPr>
                <w:rFonts w:cs="Arial"/>
                <w:sz w:val="22"/>
                <w:szCs w:val="22"/>
              </w:rPr>
              <w:t>b) Highlight the organisation’s relevant experience for this project, submitting examples of similar projects</w:t>
            </w:r>
            <w:r w:rsidR="00E8426B" w:rsidRPr="00BE4C9D">
              <w:rPr>
                <w:rFonts w:cs="Arial"/>
                <w:sz w:val="22"/>
                <w:szCs w:val="22"/>
              </w:rPr>
              <w:t xml:space="preserve"> and making clear the extent of industry expertise</w:t>
            </w:r>
            <w:r w:rsidRPr="00BE4C9D">
              <w:rPr>
                <w:rFonts w:cs="Arial"/>
                <w:sz w:val="22"/>
                <w:szCs w:val="22"/>
              </w:rPr>
              <w:t>.</w:t>
            </w:r>
          </w:p>
          <w:p w14:paraId="12266183" w14:textId="77777777" w:rsidR="00F52BE8" w:rsidRPr="00BE4C9D" w:rsidRDefault="00F52BE8" w:rsidP="00E8426B">
            <w:pPr>
              <w:pStyle w:val="ListNumber"/>
              <w:numPr>
                <w:ilvl w:val="0"/>
                <w:numId w:val="0"/>
              </w:numPr>
              <w:tabs>
                <w:tab w:val="clear" w:pos="720"/>
                <w:tab w:val="left" w:pos="426"/>
              </w:tabs>
              <w:rPr>
                <w:rFonts w:cs="Arial"/>
                <w:sz w:val="22"/>
                <w:szCs w:val="22"/>
              </w:rPr>
            </w:pPr>
          </w:p>
          <w:p w14:paraId="6577A060" w14:textId="7D4F892D" w:rsidR="00F52BE8" w:rsidRDefault="00F52BE8" w:rsidP="00E8426B">
            <w:pPr>
              <w:pStyle w:val="ListNumber"/>
              <w:numPr>
                <w:ilvl w:val="0"/>
                <w:numId w:val="0"/>
              </w:numPr>
              <w:rPr>
                <w:rFonts w:cs="Arial"/>
                <w:b/>
                <w:sz w:val="22"/>
                <w:szCs w:val="22"/>
              </w:rPr>
            </w:pPr>
            <w:r w:rsidRPr="00BE4C9D">
              <w:rPr>
                <w:rFonts w:cs="Arial"/>
                <w:b/>
                <w:sz w:val="22"/>
                <w:szCs w:val="22"/>
              </w:rPr>
              <w:t>Cost / Value for money (</w:t>
            </w:r>
            <w:r w:rsidR="005404E3" w:rsidRPr="00BE4C9D">
              <w:rPr>
                <w:rFonts w:cs="Arial"/>
                <w:b/>
                <w:sz w:val="22"/>
                <w:szCs w:val="22"/>
              </w:rPr>
              <w:t>30</w:t>
            </w:r>
            <w:r w:rsidRPr="00BE4C9D">
              <w:rPr>
                <w:rFonts w:cs="Arial"/>
                <w:b/>
                <w:sz w:val="22"/>
                <w:szCs w:val="22"/>
              </w:rPr>
              <w:t>%)</w:t>
            </w:r>
          </w:p>
          <w:p w14:paraId="39506F26" w14:textId="18AED096" w:rsidR="00F52BE8" w:rsidRPr="00BE4C9D" w:rsidRDefault="00F52BE8" w:rsidP="00E8426B">
            <w:pPr>
              <w:pStyle w:val="ListNumber"/>
              <w:numPr>
                <w:ilvl w:val="0"/>
                <w:numId w:val="0"/>
              </w:numPr>
              <w:rPr>
                <w:sz w:val="22"/>
                <w:szCs w:val="22"/>
              </w:rPr>
            </w:pPr>
            <w:r w:rsidRPr="00BE4C9D">
              <w:rPr>
                <w:rFonts w:cs="Arial"/>
                <w:sz w:val="22"/>
                <w:szCs w:val="22"/>
              </w:rPr>
              <w:t xml:space="preserve">A </w:t>
            </w:r>
            <w:r w:rsidRPr="00BE4C9D">
              <w:rPr>
                <w:rFonts w:cs="Arial"/>
                <w:b/>
                <w:sz w:val="22"/>
                <w:szCs w:val="22"/>
              </w:rPr>
              <w:t>fixed fee</w:t>
            </w:r>
            <w:r w:rsidRPr="00BE4C9D">
              <w:rPr>
                <w:rFonts w:cs="Arial"/>
                <w:sz w:val="22"/>
                <w:szCs w:val="22"/>
              </w:rPr>
              <w:t xml:space="preserve"> for delivery of the </w:t>
            </w:r>
            <w:r w:rsidR="00557E34">
              <w:rPr>
                <w:rFonts w:cs="Arial"/>
                <w:sz w:val="22"/>
                <w:szCs w:val="22"/>
              </w:rPr>
              <w:t>workstreams</w:t>
            </w:r>
            <w:r w:rsidRPr="00BE4C9D">
              <w:rPr>
                <w:rFonts w:cs="Arial"/>
                <w:sz w:val="22"/>
                <w:szCs w:val="22"/>
              </w:rPr>
              <w:t xml:space="preserve"> (inclusive of all expenses), including a </w:t>
            </w:r>
            <w:r w:rsidRPr="00BE4C9D">
              <w:rPr>
                <w:rFonts w:cs="Arial"/>
                <w:sz w:val="22"/>
                <w:szCs w:val="22"/>
                <w:u w:val="single"/>
              </w:rPr>
              <w:t>full price breakdown for each stage</w:t>
            </w:r>
            <w:r w:rsidRPr="00BE4C9D">
              <w:rPr>
                <w:rFonts w:cs="Arial"/>
                <w:sz w:val="22"/>
                <w:szCs w:val="22"/>
              </w:rPr>
              <w:t xml:space="preserve"> and details of the </w:t>
            </w:r>
            <w:r w:rsidRPr="00BE4C9D">
              <w:rPr>
                <w:rFonts w:cs="Arial"/>
                <w:sz w:val="22"/>
                <w:szCs w:val="22"/>
                <w:u w:val="single"/>
              </w:rPr>
              <w:t>day rates</w:t>
            </w:r>
            <w:r w:rsidRPr="00BE4C9D">
              <w:rPr>
                <w:rFonts w:cs="Arial"/>
                <w:sz w:val="22"/>
                <w:szCs w:val="22"/>
              </w:rPr>
              <w:t xml:space="preserve"> </w:t>
            </w:r>
            <w:r w:rsidRPr="00BE4C9D">
              <w:rPr>
                <w:sz w:val="22"/>
                <w:szCs w:val="22"/>
              </w:rPr>
              <w:t xml:space="preserve">that will apply for the </w:t>
            </w:r>
            <w:r w:rsidR="00557E34">
              <w:rPr>
                <w:sz w:val="22"/>
                <w:szCs w:val="22"/>
              </w:rPr>
              <w:t>support phase</w:t>
            </w:r>
            <w:r w:rsidRPr="00BE4C9D">
              <w:rPr>
                <w:sz w:val="22"/>
                <w:szCs w:val="22"/>
              </w:rPr>
              <w:t xml:space="preserve">. </w:t>
            </w:r>
            <w:r w:rsidR="00557E34">
              <w:rPr>
                <w:sz w:val="22"/>
                <w:szCs w:val="22"/>
              </w:rPr>
              <w:t>The day rates shall not be scored.</w:t>
            </w:r>
          </w:p>
          <w:p w14:paraId="5DC4CA56" w14:textId="77777777" w:rsidR="00F52BE8" w:rsidRPr="00BE4C9D" w:rsidRDefault="00F52BE8" w:rsidP="00E8426B">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BE4C9D" w14:paraId="15B62DA7" w14:textId="77777777" w:rsidTr="003E2732">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BE4C9D" w:rsidRDefault="00F52BE8" w:rsidP="00E8426B">
                  <w:pPr>
                    <w:autoSpaceDE w:val="0"/>
                    <w:autoSpaceDN w:val="0"/>
                    <w:adjustRightInd w:val="0"/>
                    <w:rPr>
                      <w:rFonts w:cs="Arial"/>
                      <w:color w:val="000000"/>
                      <w:sz w:val="22"/>
                      <w:szCs w:val="22"/>
                    </w:rPr>
                  </w:pPr>
                  <w:r w:rsidRPr="00BE4C9D">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BE4C9D" w:rsidRDefault="00F52BE8" w:rsidP="00E8426B">
                  <w:pPr>
                    <w:autoSpaceDE w:val="0"/>
                    <w:autoSpaceDN w:val="0"/>
                    <w:adjustRightInd w:val="0"/>
                    <w:rPr>
                      <w:rFonts w:cs="Arial"/>
                      <w:color w:val="000000"/>
                      <w:sz w:val="22"/>
                      <w:szCs w:val="22"/>
                    </w:rPr>
                  </w:pPr>
                  <w:r w:rsidRPr="00BE4C9D">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BE4C9D" w:rsidRDefault="00F52BE8" w:rsidP="00E8426B">
                  <w:pPr>
                    <w:autoSpaceDE w:val="0"/>
                    <w:autoSpaceDN w:val="0"/>
                    <w:adjustRightInd w:val="0"/>
                    <w:rPr>
                      <w:rFonts w:cs="Arial"/>
                      <w:color w:val="000000"/>
                      <w:sz w:val="22"/>
                      <w:szCs w:val="22"/>
                    </w:rPr>
                  </w:pPr>
                  <w:r w:rsidRPr="00BE4C9D">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BE4C9D" w:rsidRDefault="00F52BE8" w:rsidP="00E8426B">
                  <w:pPr>
                    <w:autoSpaceDE w:val="0"/>
                    <w:autoSpaceDN w:val="0"/>
                    <w:adjustRightInd w:val="0"/>
                    <w:rPr>
                      <w:rFonts w:cs="Arial"/>
                      <w:color w:val="000000"/>
                      <w:sz w:val="22"/>
                      <w:szCs w:val="22"/>
                    </w:rPr>
                  </w:pPr>
                  <w:r w:rsidRPr="00BE4C9D">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BE4C9D" w:rsidRDefault="00F52BE8" w:rsidP="00E8426B">
                  <w:pPr>
                    <w:autoSpaceDE w:val="0"/>
                    <w:autoSpaceDN w:val="0"/>
                    <w:adjustRightInd w:val="0"/>
                    <w:rPr>
                      <w:rFonts w:cs="Arial"/>
                      <w:color w:val="000000"/>
                      <w:sz w:val="22"/>
                      <w:szCs w:val="22"/>
                    </w:rPr>
                  </w:pPr>
                  <w:r w:rsidRPr="00BE4C9D">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BE4C9D" w:rsidRDefault="00F52BE8" w:rsidP="00E8426B">
                  <w:pPr>
                    <w:autoSpaceDE w:val="0"/>
                    <w:autoSpaceDN w:val="0"/>
                    <w:adjustRightInd w:val="0"/>
                    <w:rPr>
                      <w:rFonts w:cs="Arial"/>
                      <w:color w:val="000000"/>
                      <w:sz w:val="22"/>
                      <w:szCs w:val="22"/>
                    </w:rPr>
                  </w:pPr>
                  <w:r w:rsidRPr="00BE4C9D">
                    <w:rPr>
                      <w:rFonts w:cs="Arial"/>
                      <w:color w:val="000000"/>
                      <w:sz w:val="22"/>
                      <w:szCs w:val="22"/>
                    </w:rPr>
                    <w:t>Total cost (ex VAT)</w:t>
                  </w:r>
                </w:p>
              </w:tc>
            </w:tr>
            <w:tr w:rsidR="00F52BE8" w:rsidRPr="00BE4C9D" w14:paraId="184FA3A7" w14:textId="77777777" w:rsidTr="003E2732">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BE4C9D" w:rsidRDefault="00F52BE8" w:rsidP="00E8426B">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BE4C9D" w:rsidRDefault="00F52BE8" w:rsidP="00E8426B">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BE4C9D" w:rsidRDefault="00F52BE8" w:rsidP="00E8426B">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BE4C9D" w:rsidRDefault="00F52BE8" w:rsidP="00E8426B">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BE4C9D" w:rsidRDefault="00F52BE8" w:rsidP="00E8426B">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BE4C9D" w:rsidRDefault="00F52BE8" w:rsidP="00E8426B">
                  <w:pPr>
                    <w:autoSpaceDE w:val="0"/>
                    <w:autoSpaceDN w:val="0"/>
                    <w:adjustRightInd w:val="0"/>
                    <w:rPr>
                      <w:rFonts w:cs="Arial"/>
                      <w:color w:val="000000"/>
                      <w:sz w:val="22"/>
                      <w:szCs w:val="22"/>
                    </w:rPr>
                  </w:pPr>
                </w:p>
              </w:tc>
            </w:tr>
            <w:tr w:rsidR="00F52BE8" w:rsidRPr="00BE4C9D" w14:paraId="4D2D20A2" w14:textId="77777777" w:rsidTr="003E2732">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BE4C9D" w:rsidRDefault="00F52BE8" w:rsidP="00E8426B">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BE4C9D" w:rsidRDefault="00F52BE8" w:rsidP="00E8426B">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BE4C9D" w:rsidRDefault="00F52BE8" w:rsidP="00E8426B">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BE4C9D" w:rsidRDefault="00F52BE8" w:rsidP="00E8426B">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BE4C9D" w:rsidRDefault="00F52BE8" w:rsidP="00E8426B">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BE4C9D" w:rsidRDefault="00F52BE8" w:rsidP="00E8426B">
                  <w:pPr>
                    <w:autoSpaceDE w:val="0"/>
                    <w:autoSpaceDN w:val="0"/>
                    <w:adjustRightInd w:val="0"/>
                    <w:rPr>
                      <w:rFonts w:cs="Arial"/>
                      <w:color w:val="000000"/>
                      <w:sz w:val="22"/>
                      <w:szCs w:val="22"/>
                    </w:rPr>
                  </w:pPr>
                </w:p>
              </w:tc>
            </w:tr>
            <w:tr w:rsidR="00F52BE8" w:rsidRPr="00BE4C9D" w14:paraId="7845BC10" w14:textId="77777777" w:rsidTr="003E2732">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BE4C9D" w:rsidRDefault="00F52BE8" w:rsidP="00E8426B">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BE4C9D" w:rsidRDefault="00F52BE8" w:rsidP="00E8426B">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BE4C9D" w:rsidRDefault="00F52BE8" w:rsidP="00E8426B">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BE4C9D" w:rsidRDefault="00F52BE8" w:rsidP="00E8426B">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BE4C9D" w:rsidRDefault="00F52BE8" w:rsidP="00E8426B">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BE4C9D" w:rsidRDefault="00F52BE8" w:rsidP="00E8426B">
                  <w:pPr>
                    <w:autoSpaceDE w:val="0"/>
                    <w:autoSpaceDN w:val="0"/>
                    <w:adjustRightInd w:val="0"/>
                    <w:rPr>
                      <w:rFonts w:cs="Arial"/>
                      <w:color w:val="000000"/>
                      <w:sz w:val="22"/>
                      <w:szCs w:val="22"/>
                    </w:rPr>
                  </w:pPr>
                </w:p>
              </w:tc>
            </w:tr>
          </w:tbl>
          <w:p w14:paraId="264CA9B3" w14:textId="77777777" w:rsidR="00F52BE8" w:rsidRPr="00BE4C9D" w:rsidRDefault="00F52BE8" w:rsidP="00E8426B">
            <w:pPr>
              <w:rPr>
                <w:sz w:val="22"/>
                <w:szCs w:val="22"/>
              </w:rPr>
            </w:pPr>
          </w:p>
          <w:p w14:paraId="6617037A" w14:textId="77777777" w:rsidR="00F52BE8" w:rsidRPr="00BE4C9D" w:rsidRDefault="00F52BE8" w:rsidP="00E8426B">
            <w:pPr>
              <w:rPr>
                <w:sz w:val="22"/>
                <w:szCs w:val="22"/>
              </w:rPr>
            </w:pPr>
            <w:r w:rsidRPr="00BE4C9D">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6808"/>
            </w:tblGrid>
            <w:tr w:rsidR="00F52BE8" w:rsidRPr="00BE4C9D" w14:paraId="0353DE02" w14:textId="77777777" w:rsidTr="003E2732">
              <w:trPr>
                <w:trHeight w:val="223"/>
              </w:trPr>
              <w:tc>
                <w:tcPr>
                  <w:tcW w:w="851" w:type="dxa"/>
                  <w:tcBorders>
                    <w:bottom w:val="single" w:sz="4" w:space="0" w:color="auto"/>
                  </w:tcBorders>
                  <w:shd w:val="clear" w:color="auto" w:fill="auto"/>
                  <w:vAlign w:val="center"/>
                </w:tcPr>
                <w:p w14:paraId="1BED5C27" w14:textId="77777777" w:rsidR="00F52BE8" w:rsidRPr="00BE4C9D" w:rsidRDefault="00F52BE8" w:rsidP="00E8426B">
                  <w:pPr>
                    <w:rPr>
                      <w:b/>
                      <w:sz w:val="22"/>
                      <w:szCs w:val="22"/>
                    </w:rPr>
                  </w:pPr>
                  <w:r w:rsidRPr="00BE4C9D">
                    <w:rPr>
                      <w:b/>
                      <w:sz w:val="22"/>
                      <w:szCs w:val="22"/>
                    </w:rPr>
                    <w:t>Grade</w:t>
                  </w:r>
                </w:p>
              </w:tc>
              <w:tc>
                <w:tcPr>
                  <w:tcW w:w="6840" w:type="dxa"/>
                  <w:shd w:val="clear" w:color="auto" w:fill="auto"/>
                  <w:vAlign w:val="bottom"/>
                </w:tcPr>
                <w:p w14:paraId="7BF50F2B" w14:textId="77777777" w:rsidR="00F52BE8" w:rsidRPr="00BE4C9D" w:rsidRDefault="00F52BE8" w:rsidP="00E8426B">
                  <w:pPr>
                    <w:rPr>
                      <w:b/>
                      <w:sz w:val="22"/>
                      <w:szCs w:val="22"/>
                    </w:rPr>
                  </w:pPr>
                  <w:r w:rsidRPr="00BE4C9D">
                    <w:rPr>
                      <w:b/>
                      <w:sz w:val="22"/>
                      <w:szCs w:val="22"/>
                    </w:rPr>
                    <w:t>Requirement</w:t>
                  </w:r>
                </w:p>
              </w:tc>
            </w:tr>
            <w:tr w:rsidR="00F52BE8" w:rsidRPr="00BE4C9D" w14:paraId="435E2046" w14:textId="77777777" w:rsidTr="00E6515F">
              <w:trPr>
                <w:trHeight w:hRule="exact" w:val="996"/>
              </w:trPr>
              <w:tc>
                <w:tcPr>
                  <w:tcW w:w="851" w:type="dxa"/>
                  <w:tcBorders>
                    <w:bottom w:val="single" w:sz="4" w:space="0" w:color="auto"/>
                  </w:tcBorders>
                  <w:shd w:val="clear" w:color="auto" w:fill="auto"/>
                </w:tcPr>
                <w:p w14:paraId="4378B018" w14:textId="77777777" w:rsidR="00F52BE8" w:rsidRPr="00BE4C9D" w:rsidRDefault="00F52BE8" w:rsidP="00E8426B">
                  <w:pPr>
                    <w:rPr>
                      <w:sz w:val="22"/>
                      <w:szCs w:val="22"/>
                    </w:rPr>
                  </w:pPr>
                  <w:r w:rsidRPr="00BE4C9D">
                    <w:rPr>
                      <w:sz w:val="22"/>
                      <w:szCs w:val="22"/>
                    </w:rPr>
                    <w:t>Junior consultant</w:t>
                  </w:r>
                </w:p>
              </w:tc>
              <w:tc>
                <w:tcPr>
                  <w:tcW w:w="0" w:type="auto"/>
                  <w:tcBorders>
                    <w:bottom w:val="single" w:sz="4" w:space="0" w:color="auto"/>
                  </w:tcBorders>
                  <w:shd w:val="clear" w:color="auto" w:fill="auto"/>
                </w:tcPr>
                <w:p w14:paraId="0808597F" w14:textId="77777777" w:rsidR="00F52BE8" w:rsidRPr="00BE4C9D" w:rsidRDefault="00F52BE8" w:rsidP="00E8426B">
                  <w:pPr>
                    <w:rPr>
                      <w:sz w:val="22"/>
                      <w:szCs w:val="22"/>
                    </w:rPr>
                  </w:pPr>
                  <w:r w:rsidRPr="00BE4C9D">
                    <w:rPr>
                      <w:sz w:val="22"/>
                      <w:szCs w:val="22"/>
                    </w:rPr>
                    <w:t>Demonstrable experience in a wide range of projects in their specialist field. Evidence of client facing experience and support services to wider consultancy projects.</w:t>
                  </w:r>
                </w:p>
              </w:tc>
            </w:tr>
            <w:tr w:rsidR="00F52BE8" w:rsidRPr="00BE4C9D" w14:paraId="62B2B10B" w14:textId="77777777" w:rsidTr="00E6515F">
              <w:trPr>
                <w:trHeight w:hRule="exact" w:val="1137"/>
              </w:trPr>
              <w:tc>
                <w:tcPr>
                  <w:tcW w:w="851" w:type="dxa"/>
                  <w:shd w:val="clear" w:color="auto" w:fill="auto"/>
                </w:tcPr>
                <w:p w14:paraId="0D08EDAE" w14:textId="77777777" w:rsidR="00F52BE8" w:rsidRPr="00BE4C9D" w:rsidRDefault="00F52BE8" w:rsidP="00E8426B">
                  <w:pPr>
                    <w:rPr>
                      <w:sz w:val="22"/>
                      <w:szCs w:val="22"/>
                    </w:rPr>
                  </w:pPr>
                  <w:r w:rsidRPr="00BE4C9D">
                    <w:rPr>
                      <w:sz w:val="22"/>
                      <w:szCs w:val="22"/>
                    </w:rPr>
                    <w:t>Consultant</w:t>
                  </w:r>
                </w:p>
              </w:tc>
              <w:tc>
                <w:tcPr>
                  <w:tcW w:w="0" w:type="auto"/>
                  <w:shd w:val="clear" w:color="auto" w:fill="auto"/>
                </w:tcPr>
                <w:p w14:paraId="2A92F44B" w14:textId="77777777" w:rsidR="00F52BE8" w:rsidRPr="00BE4C9D" w:rsidRDefault="00F52BE8" w:rsidP="00E8426B">
                  <w:pPr>
                    <w:rPr>
                      <w:sz w:val="22"/>
                      <w:szCs w:val="22"/>
                    </w:rPr>
                  </w:pPr>
                  <w:r w:rsidRPr="00BE4C9D">
                    <w:rPr>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BE4C9D" w14:paraId="670417EF" w14:textId="77777777" w:rsidTr="00E6515F">
              <w:trPr>
                <w:trHeight w:hRule="exact" w:val="1425"/>
              </w:trPr>
              <w:tc>
                <w:tcPr>
                  <w:tcW w:w="851" w:type="dxa"/>
                  <w:shd w:val="clear" w:color="auto" w:fill="auto"/>
                </w:tcPr>
                <w:p w14:paraId="7C3EDDFE" w14:textId="77777777" w:rsidR="00F52BE8" w:rsidRPr="00BE4C9D" w:rsidRDefault="00F52BE8" w:rsidP="00E8426B">
                  <w:pPr>
                    <w:rPr>
                      <w:sz w:val="22"/>
                      <w:szCs w:val="22"/>
                    </w:rPr>
                  </w:pPr>
                  <w:r w:rsidRPr="00BE4C9D">
                    <w:rPr>
                      <w:sz w:val="22"/>
                      <w:szCs w:val="22"/>
                    </w:rPr>
                    <w:t>Senior Consultant</w:t>
                  </w:r>
                </w:p>
              </w:tc>
              <w:tc>
                <w:tcPr>
                  <w:tcW w:w="0" w:type="auto"/>
                  <w:shd w:val="clear" w:color="auto" w:fill="auto"/>
                </w:tcPr>
                <w:p w14:paraId="12D741CD" w14:textId="77777777" w:rsidR="00F52BE8" w:rsidRPr="00BE4C9D" w:rsidRDefault="00F52BE8" w:rsidP="00E8426B">
                  <w:pPr>
                    <w:rPr>
                      <w:sz w:val="22"/>
                      <w:szCs w:val="22"/>
                    </w:rPr>
                  </w:pPr>
                  <w:r w:rsidRPr="00BE4C9D">
                    <w:rPr>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BE4C9D" w14:paraId="5826E8E6" w14:textId="77777777" w:rsidTr="00E6515F">
              <w:trPr>
                <w:trHeight w:hRule="exact" w:val="1417"/>
              </w:trPr>
              <w:tc>
                <w:tcPr>
                  <w:tcW w:w="851" w:type="dxa"/>
                  <w:shd w:val="clear" w:color="auto" w:fill="auto"/>
                </w:tcPr>
                <w:p w14:paraId="23170A16" w14:textId="77777777" w:rsidR="00F52BE8" w:rsidRPr="00BE4C9D" w:rsidRDefault="00F52BE8" w:rsidP="00E8426B">
                  <w:pPr>
                    <w:rPr>
                      <w:sz w:val="22"/>
                      <w:szCs w:val="22"/>
                    </w:rPr>
                  </w:pPr>
                  <w:r w:rsidRPr="00BE4C9D">
                    <w:rPr>
                      <w:sz w:val="22"/>
                      <w:szCs w:val="22"/>
                    </w:rPr>
                    <w:t>Principal Consultant</w:t>
                  </w:r>
                </w:p>
              </w:tc>
              <w:tc>
                <w:tcPr>
                  <w:tcW w:w="0" w:type="auto"/>
                  <w:shd w:val="clear" w:color="auto" w:fill="auto"/>
                </w:tcPr>
                <w:p w14:paraId="45EAB4CD" w14:textId="77777777" w:rsidR="00F52BE8" w:rsidRPr="00BE4C9D" w:rsidRDefault="00F52BE8" w:rsidP="00E8426B">
                  <w:pPr>
                    <w:rPr>
                      <w:sz w:val="22"/>
                      <w:szCs w:val="22"/>
                    </w:rPr>
                  </w:pPr>
                  <w:r w:rsidRPr="00BE4C9D">
                    <w:rPr>
                      <w:sz w:val="22"/>
                      <w:szCs w:val="22"/>
                    </w:rPr>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BE4C9D">
                    <w:rPr>
                      <w:sz w:val="22"/>
                      <w:szCs w:val="22"/>
                    </w:rPr>
                    <w:t>PRINCE2</w:t>
                  </w:r>
                  <w:proofErr w:type="spellEnd"/>
                  <w:r w:rsidRPr="00BE4C9D">
                    <w:rPr>
                      <w:sz w:val="22"/>
                      <w:szCs w:val="22"/>
                    </w:rPr>
                    <w:t xml:space="preserve"> or equivalent method.</w:t>
                  </w:r>
                </w:p>
              </w:tc>
            </w:tr>
            <w:tr w:rsidR="00F52BE8" w:rsidRPr="00BE4C9D" w14:paraId="74F276DD" w14:textId="77777777" w:rsidTr="00E6515F">
              <w:trPr>
                <w:trHeight w:hRule="exact" w:val="1555"/>
              </w:trPr>
              <w:tc>
                <w:tcPr>
                  <w:tcW w:w="851" w:type="dxa"/>
                  <w:shd w:val="clear" w:color="auto" w:fill="auto"/>
                </w:tcPr>
                <w:p w14:paraId="67C1A3E2" w14:textId="77777777" w:rsidR="00F52BE8" w:rsidRPr="00BE4C9D" w:rsidRDefault="00F52BE8" w:rsidP="00E8426B">
                  <w:pPr>
                    <w:rPr>
                      <w:sz w:val="22"/>
                      <w:szCs w:val="22"/>
                    </w:rPr>
                  </w:pPr>
                  <w:r w:rsidRPr="00BE4C9D">
                    <w:rPr>
                      <w:sz w:val="22"/>
                      <w:szCs w:val="22"/>
                    </w:rPr>
                    <w:t>Managing Consultant</w:t>
                  </w:r>
                </w:p>
              </w:tc>
              <w:tc>
                <w:tcPr>
                  <w:tcW w:w="0" w:type="auto"/>
                  <w:shd w:val="clear" w:color="auto" w:fill="auto"/>
                </w:tcPr>
                <w:p w14:paraId="0AB8F743" w14:textId="77777777" w:rsidR="00F52BE8" w:rsidRPr="00BE4C9D" w:rsidRDefault="00F52BE8" w:rsidP="00E8426B">
                  <w:pPr>
                    <w:rPr>
                      <w:sz w:val="22"/>
                      <w:szCs w:val="22"/>
                    </w:rPr>
                  </w:pPr>
                  <w:r w:rsidRPr="00BE4C9D">
                    <w:rPr>
                      <w:sz w:val="22"/>
                      <w:szCs w:val="22"/>
                    </w:rPr>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BE4C9D">
                    <w:rPr>
                      <w:sz w:val="22"/>
                      <w:szCs w:val="22"/>
                    </w:rPr>
                    <w:t>PRINCE2</w:t>
                  </w:r>
                  <w:proofErr w:type="spellEnd"/>
                  <w:r w:rsidRPr="00BE4C9D">
                    <w:rPr>
                      <w:sz w:val="22"/>
                      <w:szCs w:val="22"/>
                    </w:rPr>
                    <w:t xml:space="preserve"> or equivalent methods.</w:t>
                  </w:r>
                </w:p>
              </w:tc>
            </w:tr>
            <w:tr w:rsidR="00F52BE8" w:rsidRPr="00BE4C9D" w14:paraId="172F28BC" w14:textId="77777777" w:rsidTr="00E6515F">
              <w:trPr>
                <w:trHeight w:hRule="exact" w:val="1698"/>
              </w:trPr>
              <w:tc>
                <w:tcPr>
                  <w:tcW w:w="851" w:type="dxa"/>
                  <w:shd w:val="clear" w:color="auto" w:fill="auto"/>
                </w:tcPr>
                <w:p w14:paraId="14C6FEF7" w14:textId="77777777" w:rsidR="00F52BE8" w:rsidRPr="00BE4C9D" w:rsidRDefault="00F52BE8" w:rsidP="00E8426B">
                  <w:pPr>
                    <w:rPr>
                      <w:sz w:val="22"/>
                      <w:szCs w:val="22"/>
                    </w:rPr>
                  </w:pPr>
                  <w:r w:rsidRPr="00BE4C9D">
                    <w:rPr>
                      <w:sz w:val="22"/>
                      <w:szCs w:val="22"/>
                    </w:rPr>
                    <w:lastRenderedPageBreak/>
                    <w:t>Director / Partner</w:t>
                  </w:r>
                </w:p>
                <w:p w14:paraId="312FF4D1" w14:textId="77777777" w:rsidR="00F52BE8" w:rsidRPr="00BE4C9D" w:rsidRDefault="00F52BE8" w:rsidP="00E8426B">
                  <w:pPr>
                    <w:rPr>
                      <w:sz w:val="22"/>
                      <w:szCs w:val="22"/>
                    </w:rPr>
                  </w:pPr>
                </w:p>
              </w:tc>
              <w:tc>
                <w:tcPr>
                  <w:tcW w:w="0" w:type="auto"/>
                  <w:shd w:val="clear" w:color="auto" w:fill="auto"/>
                </w:tcPr>
                <w:p w14:paraId="17CFBA6A" w14:textId="77777777" w:rsidR="00F52BE8" w:rsidRPr="00BE4C9D" w:rsidRDefault="00F52BE8" w:rsidP="00E8426B">
                  <w:pPr>
                    <w:rPr>
                      <w:sz w:val="22"/>
                      <w:szCs w:val="22"/>
                    </w:rPr>
                  </w:pPr>
                  <w:r w:rsidRPr="00BE4C9D">
                    <w:rPr>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9B8680C" w14:textId="77777777" w:rsidR="000B5073" w:rsidRDefault="000B5073" w:rsidP="00E8426B">
            <w:pPr>
              <w:rPr>
                <w:rFonts w:cs="Arial"/>
                <w:b/>
                <w:sz w:val="22"/>
                <w:szCs w:val="22"/>
              </w:rPr>
            </w:pPr>
          </w:p>
          <w:p w14:paraId="3A36D44C" w14:textId="62559EC2" w:rsidR="001C3C1B" w:rsidRPr="00ED1D11" w:rsidRDefault="001C3C1B" w:rsidP="00E8426B">
            <w:pPr>
              <w:rPr>
                <w:rFonts w:cs="Arial"/>
                <w:bCs/>
                <w:sz w:val="22"/>
                <w:szCs w:val="22"/>
                <w:u w:val="single"/>
              </w:rPr>
            </w:pPr>
            <w:r w:rsidRPr="00ED1D11">
              <w:rPr>
                <w:rFonts w:cs="Arial"/>
                <w:bCs/>
                <w:sz w:val="22"/>
                <w:szCs w:val="22"/>
                <w:u w:val="single"/>
              </w:rPr>
              <w:t>Combined offer</w:t>
            </w:r>
          </w:p>
          <w:p w14:paraId="6BDBB98F" w14:textId="4AAE8648" w:rsidR="001C3C1B" w:rsidRDefault="00ED1D11" w:rsidP="00E8426B">
            <w:pPr>
              <w:rPr>
                <w:rFonts w:cs="Arial"/>
                <w:b/>
                <w:sz w:val="22"/>
                <w:szCs w:val="22"/>
                <w:u w:val="single"/>
              </w:rPr>
            </w:pPr>
            <w:r>
              <w:rPr>
                <w:rFonts w:cs="Arial"/>
                <w:sz w:val="22"/>
                <w:szCs w:val="22"/>
              </w:rPr>
              <w:t>As i</w:t>
            </w:r>
            <w:r w:rsidR="00672A0C">
              <w:rPr>
                <w:rFonts w:cs="Arial"/>
                <w:sz w:val="22"/>
                <w:szCs w:val="22"/>
              </w:rPr>
              <w:t>ndicated</w:t>
            </w:r>
            <w:r>
              <w:rPr>
                <w:rFonts w:cs="Arial"/>
                <w:sz w:val="22"/>
                <w:szCs w:val="22"/>
              </w:rPr>
              <w:t xml:space="preserve"> in Section 3.1, w</w:t>
            </w:r>
            <w:r w:rsidR="001C3C1B" w:rsidRPr="001C3C1B">
              <w:rPr>
                <w:rFonts w:cs="Arial"/>
                <w:sz w:val="22"/>
                <w:szCs w:val="22"/>
              </w:rPr>
              <w:t>here bidders are submitting a proposal</w:t>
            </w:r>
            <w:r w:rsidR="00263408">
              <w:rPr>
                <w:rFonts w:cs="Arial"/>
                <w:sz w:val="22"/>
                <w:szCs w:val="22"/>
              </w:rPr>
              <w:t xml:space="preserve"> for</w:t>
            </w:r>
            <w:r w:rsidR="001C3C1B" w:rsidRPr="001C3C1B">
              <w:rPr>
                <w:rFonts w:cs="Arial"/>
                <w:sz w:val="22"/>
                <w:szCs w:val="22"/>
              </w:rPr>
              <w:t xml:space="preserve"> both workstreams</w:t>
            </w:r>
            <w:r w:rsidR="00263408">
              <w:rPr>
                <w:rFonts w:cs="Arial"/>
                <w:sz w:val="22"/>
                <w:szCs w:val="22"/>
              </w:rPr>
              <w:t>,</w:t>
            </w:r>
            <w:r w:rsidR="001C3C1B" w:rsidRPr="001C3C1B">
              <w:rPr>
                <w:rFonts w:cs="Arial"/>
                <w:sz w:val="22"/>
                <w:szCs w:val="22"/>
              </w:rPr>
              <w:t xml:space="preserve"> they may additionally offer a combined bid indicating where the combined offer differs from the individual workstream offers (e.g. reduced resource, reduced price etc.).</w:t>
            </w:r>
            <w:r w:rsidR="000B5073">
              <w:rPr>
                <w:rFonts w:cs="Arial"/>
                <w:sz w:val="22"/>
                <w:szCs w:val="22"/>
              </w:rPr>
              <w:t xml:space="preserve"> </w:t>
            </w:r>
            <w:r w:rsidR="001C3C1B" w:rsidRPr="001C3C1B">
              <w:rPr>
                <w:rFonts w:cs="Arial"/>
                <w:sz w:val="22"/>
                <w:szCs w:val="22"/>
              </w:rPr>
              <w:t>The combined offers will be scored as per the above and then compared to the top two scoring individual offers to determine the MEAT.</w:t>
            </w:r>
          </w:p>
          <w:p w14:paraId="6A2420A3" w14:textId="647D4C5B" w:rsidR="00F52BE8" w:rsidRPr="00557E34" w:rsidRDefault="00F52BE8" w:rsidP="00E8426B">
            <w:pPr>
              <w:rPr>
                <w:rFonts w:cs="Arial"/>
                <w:bCs/>
                <w:sz w:val="22"/>
                <w:szCs w:val="22"/>
              </w:rPr>
            </w:pPr>
            <w:r w:rsidRPr="00BE4C9D">
              <w:rPr>
                <w:rFonts w:cs="Arial"/>
                <w:b/>
                <w:sz w:val="22"/>
                <w:szCs w:val="22"/>
                <w:u w:val="single"/>
              </w:rPr>
              <w:t>Marking Scheme</w:t>
            </w:r>
          </w:p>
          <w:p w14:paraId="35E73A17" w14:textId="67DBC163" w:rsidR="00557E34" w:rsidRPr="00557E34" w:rsidRDefault="00557E34" w:rsidP="00E8426B">
            <w:pPr>
              <w:rPr>
                <w:rFonts w:cs="Arial"/>
                <w:bCs/>
                <w:sz w:val="22"/>
                <w:szCs w:val="22"/>
              </w:rPr>
            </w:pPr>
            <w:r w:rsidRPr="00557E34">
              <w:rPr>
                <w:rFonts w:cs="Arial"/>
                <w:bCs/>
                <w:sz w:val="22"/>
                <w:szCs w:val="22"/>
              </w:rPr>
              <w:t>For Methodology, Delivery and Experience the following shall apply:</w:t>
            </w:r>
          </w:p>
          <w:tbl>
            <w:tblPr>
              <w:tblW w:w="4820" w:type="dxa"/>
              <w:tblInd w:w="1064" w:type="dxa"/>
              <w:tblLook w:val="0000" w:firstRow="0" w:lastRow="0" w:firstColumn="0" w:lastColumn="0" w:noHBand="0" w:noVBand="0"/>
            </w:tblPr>
            <w:tblGrid>
              <w:gridCol w:w="1400"/>
              <w:gridCol w:w="3420"/>
            </w:tblGrid>
            <w:tr w:rsidR="00F52BE8" w:rsidRPr="00BE4C9D" w14:paraId="72A7A65D" w14:textId="77777777" w:rsidTr="003E2732">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BE4C9D" w:rsidRDefault="00F52BE8" w:rsidP="00E8426B">
                  <w:pPr>
                    <w:spacing w:after="0"/>
                    <w:rPr>
                      <w:rFonts w:cs="Arial"/>
                      <w:sz w:val="22"/>
                      <w:szCs w:val="22"/>
                      <w:lang w:eastAsia="en-GB"/>
                    </w:rPr>
                  </w:pPr>
                  <w:r w:rsidRPr="00BE4C9D">
                    <w:rPr>
                      <w:rFonts w:cs="Arial"/>
                      <w:sz w:val="22"/>
                      <w:szCs w:val="22"/>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BE4C9D" w:rsidRDefault="00F52BE8" w:rsidP="00E8426B">
                  <w:pPr>
                    <w:spacing w:after="0"/>
                    <w:rPr>
                      <w:rFonts w:cs="Arial"/>
                      <w:sz w:val="22"/>
                      <w:szCs w:val="22"/>
                      <w:lang w:eastAsia="en-GB"/>
                    </w:rPr>
                  </w:pPr>
                  <w:r w:rsidRPr="00BE4C9D">
                    <w:rPr>
                      <w:rFonts w:cs="Arial"/>
                      <w:sz w:val="22"/>
                      <w:szCs w:val="22"/>
                      <w:lang w:eastAsia="en-GB"/>
                    </w:rPr>
                    <w:t>Unanswered or totally inadequate response to the requirement. Complete failure to grasp/reflect the core issues</w:t>
                  </w:r>
                </w:p>
              </w:tc>
            </w:tr>
            <w:tr w:rsidR="00F52BE8" w:rsidRPr="00BE4C9D" w14:paraId="2AAF63C2" w14:textId="77777777" w:rsidTr="003E2732">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BE4C9D" w:rsidRDefault="00F52BE8" w:rsidP="00E8426B">
                  <w:pPr>
                    <w:spacing w:after="0"/>
                    <w:rPr>
                      <w:rFonts w:cs="Arial"/>
                      <w:sz w:val="22"/>
                      <w:szCs w:val="22"/>
                      <w:lang w:eastAsia="en-GB"/>
                    </w:rPr>
                  </w:pPr>
                  <w:r w:rsidRPr="00BE4C9D">
                    <w:rPr>
                      <w:rFonts w:cs="Arial"/>
                      <w:sz w:val="22"/>
                      <w:szCs w:val="22"/>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BE4C9D" w:rsidRDefault="00F52BE8" w:rsidP="00E8426B">
                  <w:pPr>
                    <w:spacing w:after="0"/>
                    <w:rPr>
                      <w:rFonts w:cs="Arial"/>
                      <w:sz w:val="22"/>
                      <w:szCs w:val="22"/>
                      <w:lang w:eastAsia="en-GB"/>
                    </w:rPr>
                  </w:pPr>
                  <w:r w:rsidRPr="00BE4C9D">
                    <w:rPr>
                      <w:rFonts w:cs="Arial"/>
                      <w:sz w:val="22"/>
                      <w:szCs w:val="22"/>
                      <w:lang w:eastAsia="en-GB"/>
                    </w:rPr>
                    <w:t>Minimal or poor response to meeting the requirement. Limited understanding, misses some aspects</w:t>
                  </w:r>
                </w:p>
              </w:tc>
            </w:tr>
            <w:tr w:rsidR="00F52BE8" w:rsidRPr="00BE4C9D" w14:paraId="43441350" w14:textId="77777777" w:rsidTr="003E2732">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BE4C9D" w:rsidRDefault="00F52BE8" w:rsidP="00E8426B">
                  <w:pPr>
                    <w:spacing w:after="0"/>
                    <w:rPr>
                      <w:rFonts w:cs="Arial"/>
                      <w:sz w:val="22"/>
                      <w:szCs w:val="22"/>
                      <w:lang w:eastAsia="en-GB"/>
                    </w:rPr>
                  </w:pPr>
                  <w:r w:rsidRPr="00BE4C9D">
                    <w:rPr>
                      <w:rFonts w:cs="Arial"/>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BE4C9D" w:rsidRDefault="00F52BE8" w:rsidP="00E8426B">
                  <w:pPr>
                    <w:spacing w:after="0"/>
                    <w:rPr>
                      <w:rFonts w:cs="Arial"/>
                      <w:sz w:val="22"/>
                      <w:szCs w:val="22"/>
                      <w:lang w:eastAsia="en-GB"/>
                    </w:rPr>
                  </w:pPr>
                  <w:r w:rsidRPr="00BE4C9D">
                    <w:rPr>
                      <w:rFonts w:cs="Arial"/>
                      <w:sz w:val="22"/>
                      <w:szCs w:val="22"/>
                      <w:lang w:eastAsia="en-GB"/>
                    </w:rPr>
                    <w:t>Good understanding and interpretation of requirements, providing clear evidence of how the criterion has been met</w:t>
                  </w:r>
                </w:p>
              </w:tc>
            </w:tr>
            <w:tr w:rsidR="00F52BE8" w:rsidRPr="00BE4C9D" w14:paraId="3CF3176D" w14:textId="77777777" w:rsidTr="003E2732">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BE4C9D" w:rsidRDefault="00F52BE8" w:rsidP="00E8426B">
                  <w:pPr>
                    <w:spacing w:after="0"/>
                    <w:rPr>
                      <w:rFonts w:cs="Arial"/>
                      <w:sz w:val="22"/>
                      <w:szCs w:val="22"/>
                      <w:lang w:eastAsia="en-GB"/>
                    </w:rPr>
                  </w:pPr>
                  <w:r w:rsidRPr="00BE4C9D">
                    <w:rPr>
                      <w:rFonts w:cs="Arial"/>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BE4C9D" w:rsidRDefault="00F52BE8" w:rsidP="00E8426B">
                  <w:pPr>
                    <w:spacing w:after="0"/>
                    <w:rPr>
                      <w:rFonts w:cs="Arial"/>
                      <w:sz w:val="22"/>
                      <w:szCs w:val="22"/>
                      <w:lang w:eastAsia="en-GB"/>
                    </w:rPr>
                  </w:pPr>
                  <w:r w:rsidRPr="00BE4C9D">
                    <w:rPr>
                      <w:rFonts w:cs="Arial"/>
                      <w:sz w:val="22"/>
                      <w:szCs w:val="22"/>
                      <w:lang w:eastAsia="en-GB"/>
                    </w:rPr>
                    <w:t>Excellent response fully addressing the requirement and providing significant additional evidence of how the criterion has been met and how value would be added</w:t>
                  </w:r>
                </w:p>
              </w:tc>
            </w:tr>
          </w:tbl>
          <w:p w14:paraId="782FB471" w14:textId="77777777" w:rsidR="001C3C1B" w:rsidRPr="00BE4C9D" w:rsidRDefault="001C3C1B" w:rsidP="00E8426B">
            <w:pPr>
              <w:rPr>
                <w:rFonts w:cs="Arial"/>
                <w:sz w:val="22"/>
                <w:szCs w:val="22"/>
              </w:rPr>
            </w:pPr>
          </w:p>
          <w:p w14:paraId="44B04967" w14:textId="10535064" w:rsidR="00557E34" w:rsidRPr="000B5073" w:rsidRDefault="00557E34" w:rsidP="00557E34">
            <w:pPr>
              <w:rPr>
                <w:rFonts w:cs="Arial"/>
                <w:sz w:val="22"/>
                <w:szCs w:val="22"/>
                <w:shd w:val="clear" w:color="auto" w:fill="FFFFFF"/>
              </w:rPr>
            </w:pPr>
            <w:r w:rsidRPr="000B5073">
              <w:rPr>
                <w:rFonts w:cs="Arial"/>
                <w:sz w:val="22"/>
                <w:szCs w:val="22"/>
                <w:shd w:val="clear" w:color="auto" w:fill="FFFFFF"/>
              </w:rPr>
              <w:t>For the Cost/Value for Money evaluation</w:t>
            </w:r>
            <w:r w:rsidR="000B5073">
              <w:rPr>
                <w:rFonts w:cs="Arial"/>
                <w:sz w:val="22"/>
                <w:szCs w:val="22"/>
                <w:shd w:val="clear" w:color="auto" w:fill="FFFFFF"/>
              </w:rPr>
              <w:t>,</w:t>
            </w:r>
            <w:r w:rsidRPr="000B5073">
              <w:rPr>
                <w:rFonts w:cs="Arial"/>
                <w:sz w:val="22"/>
                <w:szCs w:val="22"/>
                <w:shd w:val="clear" w:color="auto" w:fill="FFFFFF"/>
              </w:rPr>
              <w:t xml:space="preserve"> the following shall apply:</w:t>
            </w:r>
          </w:p>
          <w:p w14:paraId="32B82931" w14:textId="7C78FCC1" w:rsidR="00557E34" w:rsidRPr="000B5073" w:rsidRDefault="00557E34" w:rsidP="00557E34">
            <w:pPr>
              <w:rPr>
                <w:rFonts w:cs="Arial"/>
                <w:sz w:val="22"/>
                <w:szCs w:val="22"/>
                <w:shd w:val="clear" w:color="auto" w:fill="FFFFFF"/>
              </w:rPr>
            </w:pPr>
            <w:r w:rsidRPr="000B5073">
              <w:rPr>
                <w:rFonts w:cs="Arial"/>
                <w:sz w:val="22"/>
                <w:szCs w:val="22"/>
                <w:shd w:val="clear" w:color="auto" w:fill="FFFFFF"/>
              </w:rPr>
              <w:t>For each workstream the lowest fixed fee will be awarded the maximum price score of 100. All other bidders will get a price score relative to the lowest fee tendered. The calculation we will use to calculate your score is as follows:</w:t>
            </w:r>
          </w:p>
          <w:p w14:paraId="5E11149D" w14:textId="77777777" w:rsidR="00557E34" w:rsidRPr="000B5073" w:rsidRDefault="00557E34" w:rsidP="00557E34">
            <w:pPr>
              <w:spacing w:after="0"/>
              <w:rPr>
                <w:rFonts w:cs="Arial"/>
                <w:sz w:val="22"/>
                <w:szCs w:val="22"/>
                <w:shd w:val="clear" w:color="auto" w:fill="FFFFFF"/>
              </w:rPr>
            </w:pPr>
            <w:r w:rsidRPr="000B5073">
              <w:rPr>
                <w:rFonts w:cs="Arial"/>
                <w:sz w:val="22"/>
                <w:szCs w:val="22"/>
                <w:shd w:val="clear" w:color="auto" w:fill="FFFFFF"/>
              </w:rPr>
              <w:t xml:space="preserve">Price Score  =                    </w:t>
            </w:r>
            <w:r w:rsidRPr="000B5073">
              <w:rPr>
                <w:rFonts w:cs="Arial"/>
                <w:sz w:val="22"/>
                <w:szCs w:val="22"/>
                <w:u w:val="single"/>
                <w:shd w:val="clear" w:color="auto" w:fill="FFFFFF"/>
              </w:rPr>
              <w:t>Lowest Total Fee</w:t>
            </w:r>
            <w:r w:rsidRPr="000B5073">
              <w:rPr>
                <w:rFonts w:cs="Arial"/>
                <w:sz w:val="22"/>
                <w:szCs w:val="22"/>
                <w:shd w:val="clear" w:color="auto" w:fill="FFFFFF"/>
              </w:rPr>
              <w:t xml:space="preserve">       x 100</w:t>
            </w:r>
          </w:p>
          <w:p w14:paraId="5050C6BE" w14:textId="77777777" w:rsidR="00557E34" w:rsidRPr="000B5073" w:rsidRDefault="00557E34" w:rsidP="00557E34">
            <w:pPr>
              <w:rPr>
                <w:rFonts w:cs="Arial"/>
                <w:sz w:val="22"/>
                <w:szCs w:val="22"/>
                <w:shd w:val="clear" w:color="auto" w:fill="FFFFFF"/>
              </w:rPr>
            </w:pPr>
            <w:r w:rsidRPr="000B5073">
              <w:rPr>
                <w:rFonts w:cs="Arial"/>
                <w:sz w:val="22"/>
                <w:szCs w:val="22"/>
                <w:shd w:val="clear" w:color="auto" w:fill="FFFFFF"/>
              </w:rPr>
              <w:t xml:space="preserve">                                           Bidder’s Total Fee</w:t>
            </w:r>
          </w:p>
          <w:p w14:paraId="450B420D" w14:textId="673FBF47" w:rsidR="00F52BE8" w:rsidRPr="000B5073" w:rsidRDefault="00557E34" w:rsidP="00E8426B">
            <w:pPr>
              <w:rPr>
                <w:rFonts w:cs="Arial"/>
                <w:sz w:val="22"/>
                <w:szCs w:val="22"/>
                <w:shd w:val="clear" w:color="auto" w:fill="FFFFFF"/>
              </w:rPr>
            </w:pPr>
            <w:r w:rsidRPr="000B5073">
              <w:rPr>
                <w:rFonts w:cs="Arial"/>
                <w:sz w:val="22"/>
                <w:szCs w:val="22"/>
                <w:shd w:val="clear" w:color="auto" w:fill="FFFFFF"/>
              </w:rPr>
              <w:t>Your score will then be multiplied by the weighting we have applied to this aspect of the price evaluation to provide a weighted score for the fee.</w:t>
            </w:r>
          </w:p>
        </w:tc>
      </w:tr>
    </w:tbl>
    <w:p w14:paraId="63B7A6DD" w14:textId="77777777" w:rsidR="00F52BE8" w:rsidRDefault="00F52BE8" w:rsidP="00F52BE8">
      <w:pPr>
        <w:rPr>
          <w:rFonts w:cs="Arial"/>
          <w:b/>
          <w:sz w:val="32"/>
          <w:szCs w:val="32"/>
          <w:u w:val="single"/>
        </w:rPr>
        <w:sectPr w:rsidR="00F52BE8" w:rsidSect="003E2732">
          <w:headerReference w:type="even" r:id="rId14"/>
          <w:headerReference w:type="default" r:id="rId15"/>
          <w:footerReference w:type="even" r:id="rId16"/>
          <w:footerReference w:type="default" r:id="rId17"/>
          <w:headerReference w:type="first" r:id="rId18"/>
          <w:footerReference w:type="first" r:id="rId19"/>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522"/>
      </w:tblGrid>
      <w:tr w:rsidR="00F52BE8" w:rsidRPr="0036077E" w14:paraId="31E72B94" w14:textId="77777777" w:rsidTr="00F03BB2">
        <w:tc>
          <w:tcPr>
            <w:tcW w:w="4780" w:type="dxa"/>
            <w:shd w:val="clear" w:color="auto" w:fill="auto"/>
          </w:tcPr>
          <w:p w14:paraId="0A1B4873" w14:textId="77777777" w:rsidR="00F52BE8" w:rsidRPr="0036077E" w:rsidRDefault="00F52BE8" w:rsidP="003E2732">
            <w:pPr>
              <w:pStyle w:val="ListNumber"/>
              <w:numPr>
                <w:ilvl w:val="0"/>
                <w:numId w:val="0"/>
              </w:numPr>
              <w:spacing w:before="0" w:after="0"/>
              <w:rPr>
                <w:rFonts w:cs="Arial"/>
                <w:b/>
              </w:rPr>
            </w:pPr>
            <w:r w:rsidRPr="0036077E">
              <w:rPr>
                <w:rFonts w:cs="Arial"/>
                <w:b/>
              </w:rPr>
              <w:t>Element</w:t>
            </w:r>
          </w:p>
        </w:tc>
        <w:tc>
          <w:tcPr>
            <w:tcW w:w="3522" w:type="dxa"/>
            <w:shd w:val="clear" w:color="auto" w:fill="auto"/>
          </w:tcPr>
          <w:p w14:paraId="53B71681" w14:textId="77777777" w:rsidR="00F52BE8" w:rsidRPr="0036077E" w:rsidRDefault="00F52BE8" w:rsidP="003E2732">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F03BB2">
        <w:tc>
          <w:tcPr>
            <w:tcW w:w="4780" w:type="dxa"/>
            <w:shd w:val="clear" w:color="auto" w:fill="auto"/>
          </w:tcPr>
          <w:p w14:paraId="0C7FA901" w14:textId="77777777" w:rsidR="00F52BE8" w:rsidRPr="0036077E" w:rsidRDefault="00F52BE8" w:rsidP="003E2732">
            <w:pPr>
              <w:pStyle w:val="ListNumber"/>
              <w:numPr>
                <w:ilvl w:val="0"/>
                <w:numId w:val="0"/>
              </w:numPr>
              <w:spacing w:before="0" w:after="0"/>
              <w:rPr>
                <w:rFonts w:cs="Arial"/>
              </w:rPr>
            </w:pPr>
            <w:r w:rsidRPr="0036077E">
              <w:rPr>
                <w:rFonts w:cs="Arial"/>
              </w:rPr>
              <w:t>Invitation to tender issued</w:t>
            </w:r>
          </w:p>
        </w:tc>
        <w:tc>
          <w:tcPr>
            <w:tcW w:w="3522" w:type="dxa"/>
            <w:shd w:val="clear" w:color="auto" w:fill="auto"/>
          </w:tcPr>
          <w:p w14:paraId="188355D8" w14:textId="7D3DDC20" w:rsidR="00F03BB2" w:rsidRPr="0036077E" w:rsidRDefault="0033245B" w:rsidP="003E2732">
            <w:pPr>
              <w:pStyle w:val="ListNumber"/>
              <w:numPr>
                <w:ilvl w:val="0"/>
                <w:numId w:val="0"/>
              </w:numPr>
              <w:spacing w:before="0" w:after="0"/>
              <w:rPr>
                <w:rFonts w:cs="Arial"/>
              </w:rPr>
            </w:pPr>
            <w:r>
              <w:rPr>
                <w:rFonts w:cs="Arial"/>
              </w:rPr>
              <w:t>09</w:t>
            </w:r>
            <w:r w:rsidR="00F03BB2">
              <w:rPr>
                <w:rFonts w:cs="Arial"/>
              </w:rPr>
              <w:t>/08/2021</w:t>
            </w:r>
          </w:p>
        </w:tc>
      </w:tr>
      <w:tr w:rsidR="00F52BE8" w:rsidRPr="0036077E" w14:paraId="53056EF8" w14:textId="77777777" w:rsidTr="00F03BB2">
        <w:tc>
          <w:tcPr>
            <w:tcW w:w="4780" w:type="dxa"/>
            <w:shd w:val="clear" w:color="auto" w:fill="auto"/>
          </w:tcPr>
          <w:p w14:paraId="4E1F9B1E" w14:textId="77777777" w:rsidR="00F52BE8" w:rsidRPr="0036077E" w:rsidRDefault="00F52BE8" w:rsidP="003E2732">
            <w:pPr>
              <w:pStyle w:val="ListNumber"/>
              <w:numPr>
                <w:ilvl w:val="0"/>
                <w:numId w:val="0"/>
              </w:numPr>
              <w:spacing w:before="0" w:after="0"/>
              <w:rPr>
                <w:rFonts w:cs="Arial"/>
              </w:rPr>
            </w:pPr>
            <w:r w:rsidRPr="0036077E">
              <w:rPr>
                <w:rFonts w:cs="Arial"/>
              </w:rPr>
              <w:t>Deadline for the submission of clarification questions</w:t>
            </w:r>
          </w:p>
        </w:tc>
        <w:tc>
          <w:tcPr>
            <w:tcW w:w="3522" w:type="dxa"/>
            <w:shd w:val="clear" w:color="auto" w:fill="auto"/>
          </w:tcPr>
          <w:p w14:paraId="2D8E9C0D" w14:textId="00C1E1F3" w:rsidR="00F52BE8" w:rsidRPr="0036077E" w:rsidRDefault="00996D4E" w:rsidP="00F03BB2">
            <w:pPr>
              <w:pStyle w:val="ListNumber"/>
              <w:numPr>
                <w:ilvl w:val="0"/>
                <w:numId w:val="0"/>
              </w:numPr>
              <w:spacing w:before="0" w:after="0"/>
              <w:rPr>
                <w:rFonts w:cs="Arial"/>
              </w:rPr>
            </w:pPr>
            <w:r>
              <w:rPr>
                <w:rFonts w:cs="Arial"/>
              </w:rPr>
              <w:t>3</w:t>
            </w:r>
            <w:r w:rsidR="00584EE2">
              <w:rPr>
                <w:rFonts w:cs="Arial"/>
              </w:rPr>
              <w:t>0</w:t>
            </w:r>
            <w:r w:rsidR="00F03BB2">
              <w:rPr>
                <w:rFonts w:cs="Arial"/>
              </w:rPr>
              <w:t>/08/2021</w:t>
            </w:r>
            <w:r w:rsidR="00746CF7">
              <w:rPr>
                <w:rFonts w:cs="Arial"/>
              </w:rPr>
              <w:t xml:space="preserve"> </w:t>
            </w:r>
            <w:proofErr w:type="spellStart"/>
            <w:r w:rsidR="00746CF7">
              <w:rPr>
                <w:rFonts w:cs="Arial"/>
              </w:rPr>
              <w:t>12pm</w:t>
            </w:r>
            <w:proofErr w:type="spellEnd"/>
          </w:p>
        </w:tc>
      </w:tr>
      <w:tr w:rsidR="00F52BE8" w:rsidRPr="0036077E" w14:paraId="3400FC76" w14:textId="77777777" w:rsidTr="00F03BB2">
        <w:tc>
          <w:tcPr>
            <w:tcW w:w="4780" w:type="dxa"/>
            <w:shd w:val="clear" w:color="auto" w:fill="auto"/>
          </w:tcPr>
          <w:p w14:paraId="127F0E8B" w14:textId="77777777" w:rsidR="00F52BE8" w:rsidRPr="0036077E" w:rsidRDefault="00F52BE8" w:rsidP="003E2732">
            <w:pPr>
              <w:pStyle w:val="ListNumber"/>
              <w:numPr>
                <w:ilvl w:val="0"/>
                <w:numId w:val="0"/>
              </w:numPr>
              <w:spacing w:before="0" w:after="0"/>
              <w:rPr>
                <w:rFonts w:cs="Arial"/>
              </w:rPr>
            </w:pPr>
            <w:r w:rsidRPr="0036077E">
              <w:rPr>
                <w:rFonts w:cs="Arial"/>
              </w:rPr>
              <w:t>Deadline for submission of proposals</w:t>
            </w:r>
          </w:p>
        </w:tc>
        <w:tc>
          <w:tcPr>
            <w:tcW w:w="3522" w:type="dxa"/>
            <w:shd w:val="clear" w:color="auto" w:fill="auto"/>
          </w:tcPr>
          <w:p w14:paraId="2F5D93EF" w14:textId="3E770047" w:rsidR="00F52BE8" w:rsidRPr="0036077E" w:rsidRDefault="008B7341" w:rsidP="008B7341">
            <w:pPr>
              <w:pStyle w:val="ListNumber"/>
              <w:numPr>
                <w:ilvl w:val="0"/>
                <w:numId w:val="0"/>
              </w:numPr>
              <w:spacing w:before="0" w:after="0"/>
              <w:rPr>
                <w:rFonts w:cs="Arial"/>
              </w:rPr>
            </w:pPr>
            <w:r>
              <w:rPr>
                <w:rFonts w:cs="Arial"/>
              </w:rPr>
              <w:t>0</w:t>
            </w:r>
            <w:r w:rsidR="00816CCC">
              <w:rPr>
                <w:rFonts w:cs="Arial"/>
              </w:rPr>
              <w:t>7</w:t>
            </w:r>
            <w:r w:rsidR="00F03BB2">
              <w:rPr>
                <w:rFonts w:cs="Arial"/>
              </w:rPr>
              <w:t>/0</w:t>
            </w:r>
            <w:r>
              <w:rPr>
                <w:rFonts w:cs="Arial"/>
              </w:rPr>
              <w:t>9</w:t>
            </w:r>
            <w:r w:rsidR="00F03BB2">
              <w:rPr>
                <w:rFonts w:cs="Arial"/>
              </w:rPr>
              <w:t>/2021</w:t>
            </w:r>
            <w:r w:rsidR="00746CF7">
              <w:rPr>
                <w:rFonts w:cs="Arial"/>
              </w:rPr>
              <w:t xml:space="preserve"> </w:t>
            </w:r>
            <w:proofErr w:type="spellStart"/>
            <w:r w:rsidR="00746CF7">
              <w:rPr>
                <w:rFonts w:cs="Arial"/>
              </w:rPr>
              <w:t>12pm</w:t>
            </w:r>
            <w:proofErr w:type="spellEnd"/>
            <w:r w:rsidR="00746CF7">
              <w:rPr>
                <w:rFonts w:cs="Arial"/>
              </w:rPr>
              <w:t xml:space="preserve"> </w:t>
            </w:r>
          </w:p>
        </w:tc>
      </w:tr>
      <w:tr w:rsidR="00F52BE8" w:rsidRPr="0036077E" w14:paraId="4980ADEC" w14:textId="77777777" w:rsidTr="00F03BB2">
        <w:tc>
          <w:tcPr>
            <w:tcW w:w="4780" w:type="dxa"/>
            <w:shd w:val="clear" w:color="auto" w:fill="auto"/>
          </w:tcPr>
          <w:p w14:paraId="0725ED44" w14:textId="77777777" w:rsidR="00F52BE8" w:rsidRPr="0036077E" w:rsidRDefault="00F52BE8" w:rsidP="003E2732">
            <w:pPr>
              <w:pStyle w:val="ListNumber"/>
              <w:numPr>
                <w:ilvl w:val="0"/>
                <w:numId w:val="0"/>
              </w:numPr>
              <w:spacing w:before="0" w:after="0"/>
              <w:rPr>
                <w:rFonts w:cs="Arial"/>
              </w:rPr>
            </w:pPr>
            <w:r w:rsidRPr="0036077E">
              <w:rPr>
                <w:rFonts w:cs="Arial"/>
              </w:rPr>
              <w:t>Award contract</w:t>
            </w:r>
          </w:p>
        </w:tc>
        <w:tc>
          <w:tcPr>
            <w:tcW w:w="3522" w:type="dxa"/>
            <w:shd w:val="clear" w:color="auto" w:fill="auto"/>
          </w:tcPr>
          <w:p w14:paraId="550C074B" w14:textId="5A1D0C67" w:rsidR="00F52BE8" w:rsidRPr="0036077E" w:rsidRDefault="00F03BB2" w:rsidP="003E2732">
            <w:pPr>
              <w:pStyle w:val="ListNumber"/>
              <w:numPr>
                <w:ilvl w:val="0"/>
                <w:numId w:val="0"/>
              </w:numPr>
              <w:spacing w:before="0" w:after="0"/>
              <w:rPr>
                <w:rFonts w:cs="Arial"/>
              </w:rPr>
            </w:pPr>
            <w:r>
              <w:rPr>
                <w:rFonts w:cs="Arial"/>
              </w:rPr>
              <w:t>17/09/2021</w:t>
            </w:r>
          </w:p>
        </w:tc>
      </w:tr>
      <w:tr w:rsidR="00F52BE8" w:rsidRPr="0036077E" w14:paraId="6D8D1611" w14:textId="77777777" w:rsidTr="00F03BB2">
        <w:tc>
          <w:tcPr>
            <w:tcW w:w="4780" w:type="dxa"/>
            <w:shd w:val="clear" w:color="auto" w:fill="auto"/>
          </w:tcPr>
          <w:p w14:paraId="689D233A" w14:textId="77777777" w:rsidR="00F52BE8" w:rsidRPr="0036077E" w:rsidRDefault="00F52BE8" w:rsidP="003E2732">
            <w:pPr>
              <w:pStyle w:val="ListNumber"/>
              <w:numPr>
                <w:ilvl w:val="0"/>
                <w:numId w:val="0"/>
              </w:numPr>
              <w:spacing w:before="0" w:after="0"/>
              <w:rPr>
                <w:rFonts w:cs="Arial"/>
              </w:rPr>
            </w:pPr>
            <w:r w:rsidRPr="0036077E">
              <w:rPr>
                <w:rFonts w:cs="Arial"/>
              </w:rPr>
              <w:t>Project Inception Meeting</w:t>
            </w:r>
          </w:p>
        </w:tc>
        <w:tc>
          <w:tcPr>
            <w:tcW w:w="3522" w:type="dxa"/>
            <w:shd w:val="clear" w:color="auto" w:fill="auto"/>
          </w:tcPr>
          <w:p w14:paraId="6F5D68DF" w14:textId="7BFB8A1C" w:rsidR="00F03BB2" w:rsidRPr="0036077E" w:rsidRDefault="00F03BB2" w:rsidP="003E2732">
            <w:pPr>
              <w:pStyle w:val="ListNumber"/>
              <w:numPr>
                <w:ilvl w:val="0"/>
                <w:numId w:val="0"/>
              </w:numPr>
              <w:spacing w:before="0" w:after="0"/>
              <w:rPr>
                <w:rFonts w:cs="Arial"/>
              </w:rPr>
            </w:pPr>
            <w:r>
              <w:rPr>
                <w:rFonts w:cs="Arial"/>
              </w:rPr>
              <w:t>w/c 20/09/2021</w:t>
            </w:r>
          </w:p>
        </w:tc>
      </w:tr>
    </w:tbl>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7CE8CD5E" w14:textId="6C97643C" w:rsidR="00E8426B" w:rsidRDefault="00E8426B" w:rsidP="00F52BE8">
      <w:pPr>
        <w:jc w:val="both"/>
        <w:rPr>
          <w:rFonts w:cs="Arial"/>
          <w:b/>
        </w:rPr>
      </w:pPr>
    </w:p>
    <w:p w14:paraId="06ED444B" w14:textId="77777777" w:rsidR="001659A5" w:rsidRDefault="001659A5" w:rsidP="00F52BE8">
      <w:pPr>
        <w:jc w:val="both"/>
        <w:rPr>
          <w:rFonts w:cs="Arial"/>
          <w:b/>
        </w:rPr>
      </w:pPr>
    </w:p>
    <w:p w14:paraId="5A4049FD" w14:textId="5DFAE324" w:rsidR="00F52BE8" w:rsidRPr="0075067D" w:rsidRDefault="00F52BE8" w:rsidP="00F52BE8">
      <w:pPr>
        <w:jc w:val="both"/>
        <w:rPr>
          <w:rFonts w:cs="Arial"/>
        </w:rPr>
      </w:pPr>
      <w:r>
        <w:rPr>
          <w:rFonts w:cs="Arial"/>
          <w:b/>
        </w:rPr>
        <w:lastRenderedPageBreak/>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 xml:space="preserve">Any contract arising from this procurement will be based upon </w:t>
      </w:r>
      <w:proofErr w:type="spellStart"/>
      <w:r w:rsidRPr="00720321">
        <w:t>ORR’s</w:t>
      </w:r>
      <w:proofErr w:type="spellEnd"/>
      <w:r w:rsidRPr="00720321">
        <w:t xml:space="preserve">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E2732">
        <w:tc>
          <w:tcPr>
            <w:tcW w:w="2132" w:type="dxa"/>
            <w:shd w:val="clear" w:color="auto" w:fill="auto"/>
          </w:tcPr>
          <w:p w14:paraId="077E5E5A" w14:textId="77777777" w:rsidR="00F52BE8" w:rsidRPr="0036077E" w:rsidRDefault="00F52BE8" w:rsidP="003E2732">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E2732">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E2732">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E2732">
            <w:pPr>
              <w:pStyle w:val="ListNumber"/>
              <w:numPr>
                <w:ilvl w:val="0"/>
                <w:numId w:val="0"/>
              </w:numPr>
              <w:rPr>
                <w:b/>
                <w:i/>
                <w:sz w:val="22"/>
                <w:szCs w:val="22"/>
              </w:rPr>
            </w:pPr>
            <w:r w:rsidRPr="0036077E">
              <w:rPr>
                <w:b/>
                <w:i/>
                <w:sz w:val="22"/>
                <w:szCs w:val="22"/>
              </w:rPr>
              <w:t>Rational for amendment</w:t>
            </w:r>
          </w:p>
        </w:tc>
      </w:tr>
      <w:tr w:rsidR="00F52BE8" w14:paraId="227E1E3C" w14:textId="77777777" w:rsidTr="003E2732">
        <w:tc>
          <w:tcPr>
            <w:tcW w:w="2132" w:type="dxa"/>
            <w:shd w:val="clear" w:color="auto" w:fill="auto"/>
          </w:tcPr>
          <w:p w14:paraId="66D4C252" w14:textId="77777777" w:rsidR="00F52BE8" w:rsidRDefault="00F52BE8" w:rsidP="003E2732">
            <w:pPr>
              <w:pStyle w:val="ListNumber"/>
              <w:numPr>
                <w:ilvl w:val="0"/>
                <w:numId w:val="0"/>
              </w:numPr>
            </w:pPr>
          </w:p>
        </w:tc>
        <w:tc>
          <w:tcPr>
            <w:tcW w:w="2132" w:type="dxa"/>
            <w:shd w:val="clear" w:color="auto" w:fill="auto"/>
          </w:tcPr>
          <w:p w14:paraId="0B2FA008" w14:textId="77777777" w:rsidR="00F52BE8" w:rsidRDefault="00F52BE8" w:rsidP="003E2732">
            <w:pPr>
              <w:pStyle w:val="ListNumber"/>
              <w:numPr>
                <w:ilvl w:val="0"/>
                <w:numId w:val="0"/>
              </w:numPr>
            </w:pPr>
          </w:p>
        </w:tc>
        <w:tc>
          <w:tcPr>
            <w:tcW w:w="2132" w:type="dxa"/>
            <w:shd w:val="clear" w:color="auto" w:fill="auto"/>
          </w:tcPr>
          <w:p w14:paraId="3D1AF706" w14:textId="77777777" w:rsidR="00F52BE8" w:rsidRDefault="00F52BE8" w:rsidP="003E2732">
            <w:pPr>
              <w:pStyle w:val="ListNumber"/>
              <w:numPr>
                <w:ilvl w:val="0"/>
                <w:numId w:val="0"/>
              </w:numPr>
            </w:pPr>
          </w:p>
        </w:tc>
        <w:tc>
          <w:tcPr>
            <w:tcW w:w="2132" w:type="dxa"/>
            <w:shd w:val="clear" w:color="auto" w:fill="auto"/>
          </w:tcPr>
          <w:p w14:paraId="4E8369C9" w14:textId="77777777" w:rsidR="00F52BE8" w:rsidRDefault="00F52BE8" w:rsidP="003E2732">
            <w:pPr>
              <w:pStyle w:val="ListNumber"/>
              <w:numPr>
                <w:ilvl w:val="0"/>
                <w:numId w:val="0"/>
              </w:numPr>
            </w:pPr>
          </w:p>
        </w:tc>
      </w:tr>
      <w:tr w:rsidR="00F52BE8" w14:paraId="7B927835" w14:textId="77777777" w:rsidTr="003E2732">
        <w:tc>
          <w:tcPr>
            <w:tcW w:w="2132" w:type="dxa"/>
            <w:shd w:val="clear" w:color="auto" w:fill="auto"/>
          </w:tcPr>
          <w:p w14:paraId="5B5AB1F2" w14:textId="77777777" w:rsidR="00F52BE8" w:rsidRDefault="00F52BE8" w:rsidP="003E2732">
            <w:pPr>
              <w:pStyle w:val="ListNumber"/>
              <w:numPr>
                <w:ilvl w:val="0"/>
                <w:numId w:val="0"/>
              </w:numPr>
            </w:pPr>
          </w:p>
        </w:tc>
        <w:tc>
          <w:tcPr>
            <w:tcW w:w="2132" w:type="dxa"/>
            <w:shd w:val="clear" w:color="auto" w:fill="auto"/>
          </w:tcPr>
          <w:p w14:paraId="41697C10" w14:textId="77777777" w:rsidR="00F52BE8" w:rsidRDefault="00F52BE8" w:rsidP="003E2732">
            <w:pPr>
              <w:pStyle w:val="ListNumber"/>
              <w:numPr>
                <w:ilvl w:val="0"/>
                <w:numId w:val="0"/>
              </w:numPr>
            </w:pPr>
          </w:p>
        </w:tc>
        <w:tc>
          <w:tcPr>
            <w:tcW w:w="2132" w:type="dxa"/>
            <w:shd w:val="clear" w:color="auto" w:fill="auto"/>
          </w:tcPr>
          <w:p w14:paraId="06C941EA" w14:textId="77777777" w:rsidR="00F52BE8" w:rsidRDefault="00F52BE8" w:rsidP="003E2732">
            <w:pPr>
              <w:pStyle w:val="ListNumber"/>
              <w:numPr>
                <w:ilvl w:val="0"/>
                <w:numId w:val="0"/>
              </w:numPr>
            </w:pPr>
          </w:p>
        </w:tc>
        <w:tc>
          <w:tcPr>
            <w:tcW w:w="2132" w:type="dxa"/>
            <w:shd w:val="clear" w:color="auto" w:fill="auto"/>
          </w:tcPr>
          <w:p w14:paraId="71F26826" w14:textId="77777777" w:rsidR="00F52BE8" w:rsidRDefault="00F52BE8" w:rsidP="003E2732">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EA3AF0">
      <w:pPr>
        <w:pStyle w:val="Default"/>
        <w:numPr>
          <w:ilvl w:val="0"/>
          <w:numId w:val="7"/>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EA3AF0">
      <w:pPr>
        <w:pStyle w:val="Default"/>
        <w:numPr>
          <w:ilvl w:val="0"/>
          <w:numId w:val="7"/>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EA3AF0">
      <w:pPr>
        <w:pStyle w:val="Default"/>
        <w:numPr>
          <w:ilvl w:val="0"/>
          <w:numId w:val="7"/>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EA3AF0">
      <w:pPr>
        <w:pStyle w:val="Default"/>
        <w:numPr>
          <w:ilvl w:val="0"/>
          <w:numId w:val="7"/>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proofErr w:type="spellStart"/>
      <w:r>
        <w:t>ORR’s</w:t>
      </w:r>
      <w:proofErr w:type="spellEnd"/>
      <w:r>
        <w:t xml:space="preserve">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EA3AF0">
      <w:pPr>
        <w:pStyle w:val="ListNumber"/>
        <w:numPr>
          <w:ilvl w:val="0"/>
          <w:numId w:val="11"/>
        </w:numPr>
      </w:pPr>
      <w:r>
        <w:t>contract price and any incentivisation mechanisms</w:t>
      </w:r>
    </w:p>
    <w:p w14:paraId="7B491146" w14:textId="77777777" w:rsidR="00F52BE8" w:rsidRDefault="00F52BE8" w:rsidP="00EA3AF0">
      <w:pPr>
        <w:pStyle w:val="ListNumber"/>
        <w:numPr>
          <w:ilvl w:val="0"/>
          <w:numId w:val="11"/>
        </w:numPr>
      </w:pPr>
      <w:r>
        <w:t>performance metrics and management of them</w:t>
      </w:r>
    </w:p>
    <w:p w14:paraId="3D28A0AB" w14:textId="77777777" w:rsidR="00F52BE8" w:rsidRDefault="00F52BE8" w:rsidP="00EA3AF0">
      <w:pPr>
        <w:pStyle w:val="ListNumber"/>
        <w:numPr>
          <w:ilvl w:val="0"/>
          <w:numId w:val="11"/>
        </w:numPr>
      </w:pPr>
      <w:r>
        <w:t>plans for management of underperformance and its financial impact</w:t>
      </w:r>
    </w:p>
    <w:p w14:paraId="5AA88BDF" w14:textId="77777777" w:rsidR="00F52BE8" w:rsidRDefault="00F52BE8" w:rsidP="00EA3AF0">
      <w:pPr>
        <w:pStyle w:val="ListNumber"/>
        <w:numPr>
          <w:ilvl w:val="0"/>
          <w:numId w:val="11"/>
        </w:numPr>
      </w:pPr>
      <w:r>
        <w:t>governance arrangements including through supply chains where significant contract value rests with subcontractors</w:t>
      </w:r>
    </w:p>
    <w:p w14:paraId="0F0ADC5B" w14:textId="77777777" w:rsidR="00F52BE8" w:rsidRDefault="00F52BE8" w:rsidP="00EA3AF0">
      <w:pPr>
        <w:pStyle w:val="ListNumber"/>
        <w:numPr>
          <w:ilvl w:val="0"/>
          <w:numId w:val="11"/>
        </w:numPr>
      </w:pPr>
      <w:r>
        <w:t>resource plans</w:t>
      </w:r>
    </w:p>
    <w:p w14:paraId="2EB44994" w14:textId="77777777" w:rsidR="00F52BE8" w:rsidRDefault="00F52BE8" w:rsidP="00EA3AF0">
      <w:pPr>
        <w:pStyle w:val="ListNumber"/>
        <w:numPr>
          <w:ilvl w:val="0"/>
          <w:numId w:val="11"/>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E2732">
        <w:tc>
          <w:tcPr>
            <w:tcW w:w="1368" w:type="dxa"/>
            <w:shd w:val="clear" w:color="auto" w:fill="auto"/>
          </w:tcPr>
          <w:p w14:paraId="12C4BB0C" w14:textId="77777777" w:rsidR="00F52BE8" w:rsidRDefault="00F52BE8" w:rsidP="003E2732">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E2732">
            <w:pPr>
              <w:pStyle w:val="ListNumber"/>
              <w:numPr>
                <w:ilvl w:val="0"/>
                <w:numId w:val="0"/>
              </w:numPr>
            </w:pPr>
            <w:r>
              <w:t>Description</w:t>
            </w:r>
          </w:p>
        </w:tc>
        <w:tc>
          <w:tcPr>
            <w:tcW w:w="3560" w:type="dxa"/>
            <w:shd w:val="clear" w:color="auto" w:fill="auto"/>
          </w:tcPr>
          <w:p w14:paraId="1483686B" w14:textId="77777777" w:rsidR="00F52BE8" w:rsidRDefault="00F52BE8" w:rsidP="003E2732">
            <w:pPr>
              <w:pStyle w:val="ListNumber"/>
              <w:numPr>
                <w:ilvl w:val="0"/>
                <w:numId w:val="0"/>
              </w:numPr>
            </w:pPr>
            <w:r>
              <w:t>Applicable exemption under FOIA 2000</w:t>
            </w:r>
          </w:p>
        </w:tc>
      </w:tr>
      <w:tr w:rsidR="00F52BE8" w14:paraId="04BD892D" w14:textId="77777777" w:rsidTr="003E2732">
        <w:tc>
          <w:tcPr>
            <w:tcW w:w="1368" w:type="dxa"/>
            <w:shd w:val="clear" w:color="auto" w:fill="auto"/>
          </w:tcPr>
          <w:p w14:paraId="71FC3E42" w14:textId="77777777" w:rsidR="00F52BE8" w:rsidRDefault="00F52BE8" w:rsidP="003E2732">
            <w:pPr>
              <w:pStyle w:val="ListNumber"/>
              <w:numPr>
                <w:ilvl w:val="0"/>
                <w:numId w:val="0"/>
              </w:numPr>
            </w:pPr>
          </w:p>
        </w:tc>
        <w:tc>
          <w:tcPr>
            <w:tcW w:w="3600" w:type="dxa"/>
            <w:shd w:val="clear" w:color="auto" w:fill="auto"/>
          </w:tcPr>
          <w:p w14:paraId="74ED4E9A" w14:textId="77777777" w:rsidR="00F52BE8" w:rsidRDefault="00F52BE8" w:rsidP="003E2732">
            <w:pPr>
              <w:pStyle w:val="ListNumber"/>
              <w:numPr>
                <w:ilvl w:val="0"/>
                <w:numId w:val="0"/>
              </w:numPr>
            </w:pPr>
          </w:p>
        </w:tc>
        <w:tc>
          <w:tcPr>
            <w:tcW w:w="3560" w:type="dxa"/>
            <w:shd w:val="clear" w:color="auto" w:fill="auto"/>
          </w:tcPr>
          <w:p w14:paraId="4EED680D" w14:textId="77777777" w:rsidR="00F52BE8" w:rsidRDefault="00F52BE8" w:rsidP="003E2732">
            <w:pPr>
              <w:pStyle w:val="ListNumber"/>
              <w:numPr>
                <w:ilvl w:val="0"/>
                <w:numId w:val="0"/>
              </w:numPr>
            </w:pPr>
          </w:p>
        </w:tc>
      </w:tr>
      <w:tr w:rsidR="00F52BE8" w14:paraId="3063880C" w14:textId="77777777" w:rsidTr="003E2732">
        <w:tc>
          <w:tcPr>
            <w:tcW w:w="1368" w:type="dxa"/>
            <w:shd w:val="clear" w:color="auto" w:fill="auto"/>
          </w:tcPr>
          <w:p w14:paraId="76443DA4" w14:textId="77777777" w:rsidR="00F52BE8" w:rsidRDefault="00F52BE8" w:rsidP="003E2732">
            <w:pPr>
              <w:pStyle w:val="ListNumber"/>
              <w:numPr>
                <w:ilvl w:val="0"/>
                <w:numId w:val="0"/>
              </w:numPr>
            </w:pPr>
          </w:p>
        </w:tc>
        <w:tc>
          <w:tcPr>
            <w:tcW w:w="3600" w:type="dxa"/>
            <w:shd w:val="clear" w:color="auto" w:fill="auto"/>
          </w:tcPr>
          <w:p w14:paraId="32FDA28F" w14:textId="77777777" w:rsidR="00F52BE8" w:rsidRDefault="00F52BE8" w:rsidP="003E2732">
            <w:pPr>
              <w:pStyle w:val="ListNumber"/>
              <w:numPr>
                <w:ilvl w:val="0"/>
                <w:numId w:val="0"/>
              </w:numPr>
            </w:pPr>
          </w:p>
        </w:tc>
        <w:tc>
          <w:tcPr>
            <w:tcW w:w="3560" w:type="dxa"/>
            <w:shd w:val="clear" w:color="auto" w:fill="auto"/>
          </w:tcPr>
          <w:p w14:paraId="475203AB" w14:textId="77777777" w:rsidR="00F52BE8" w:rsidRDefault="00F52BE8" w:rsidP="003E2732">
            <w:pPr>
              <w:pStyle w:val="ListNumber"/>
              <w:numPr>
                <w:ilvl w:val="0"/>
                <w:numId w:val="0"/>
              </w:numPr>
            </w:pPr>
          </w:p>
        </w:tc>
      </w:tr>
      <w:tr w:rsidR="00F52BE8" w14:paraId="45F2445D" w14:textId="77777777" w:rsidTr="003E2732">
        <w:tc>
          <w:tcPr>
            <w:tcW w:w="1368" w:type="dxa"/>
            <w:shd w:val="clear" w:color="auto" w:fill="auto"/>
          </w:tcPr>
          <w:p w14:paraId="7566EE6D" w14:textId="77777777" w:rsidR="00F52BE8" w:rsidRDefault="00F52BE8" w:rsidP="003E2732">
            <w:pPr>
              <w:pStyle w:val="ListNumber"/>
              <w:numPr>
                <w:ilvl w:val="0"/>
                <w:numId w:val="0"/>
              </w:numPr>
            </w:pPr>
          </w:p>
        </w:tc>
        <w:tc>
          <w:tcPr>
            <w:tcW w:w="3600" w:type="dxa"/>
            <w:shd w:val="clear" w:color="auto" w:fill="auto"/>
          </w:tcPr>
          <w:p w14:paraId="08D5C309" w14:textId="77777777" w:rsidR="00F52BE8" w:rsidRDefault="00F52BE8" w:rsidP="003E2732">
            <w:pPr>
              <w:pStyle w:val="ListNumber"/>
              <w:numPr>
                <w:ilvl w:val="0"/>
                <w:numId w:val="0"/>
              </w:numPr>
            </w:pPr>
          </w:p>
        </w:tc>
        <w:tc>
          <w:tcPr>
            <w:tcW w:w="3560" w:type="dxa"/>
            <w:shd w:val="clear" w:color="auto" w:fill="auto"/>
          </w:tcPr>
          <w:p w14:paraId="0BA7F86E" w14:textId="77777777" w:rsidR="00F52BE8" w:rsidRDefault="00F52BE8" w:rsidP="003E2732">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13E8CD1F" w:rsidR="003E2732" w:rsidRDefault="003E2732"/>
    <w:p w14:paraId="6511ED76" w14:textId="7BCFA17A" w:rsidR="00ED706E" w:rsidRDefault="00ED706E"/>
    <w:p w14:paraId="6772CED0" w14:textId="3A74E764" w:rsidR="00ED706E" w:rsidRDefault="00ED706E"/>
    <w:p w14:paraId="31DDBB66" w14:textId="226B0A41" w:rsidR="00ED706E" w:rsidRDefault="00ED706E"/>
    <w:p w14:paraId="7F751D0D" w14:textId="4AE879D4" w:rsidR="00ED706E" w:rsidRDefault="00ED706E"/>
    <w:p w14:paraId="53968877" w14:textId="50FE1DE3" w:rsidR="00ED706E" w:rsidRDefault="00ED706E"/>
    <w:p w14:paraId="3FCD7371" w14:textId="47D2980F" w:rsidR="00ED706E" w:rsidRDefault="00ED706E"/>
    <w:p w14:paraId="75204167" w14:textId="7179F0F8" w:rsidR="00ED706E" w:rsidRDefault="00ED706E"/>
    <w:p w14:paraId="6E1E514D" w14:textId="1C21F6E1" w:rsidR="00ED706E" w:rsidRDefault="00ED706E"/>
    <w:p w14:paraId="5E08CB9C" w14:textId="12781084" w:rsidR="00ED706E" w:rsidRDefault="00ED706E"/>
    <w:p w14:paraId="231E6090" w14:textId="5F6B2829" w:rsidR="00ED706E" w:rsidRDefault="00ED706E"/>
    <w:p w14:paraId="2CF0A169" w14:textId="266CFDEE" w:rsidR="00ED706E" w:rsidRDefault="00ED706E"/>
    <w:p w14:paraId="3E56638F" w14:textId="13364576" w:rsidR="00ED706E" w:rsidRDefault="00ED706E"/>
    <w:p w14:paraId="0C4A74AC" w14:textId="77777777" w:rsidR="008B7341" w:rsidRDefault="008B7341" w:rsidP="00ED706E">
      <w:pPr>
        <w:pStyle w:val="ListNumber2"/>
        <w:numPr>
          <w:ilvl w:val="0"/>
          <w:numId w:val="0"/>
        </w:numPr>
      </w:pPr>
    </w:p>
    <w:p w14:paraId="218F698F" w14:textId="77777777" w:rsidR="008B7341" w:rsidRDefault="008B7341" w:rsidP="00ED706E">
      <w:pPr>
        <w:pStyle w:val="ListNumber2"/>
        <w:numPr>
          <w:ilvl w:val="0"/>
          <w:numId w:val="0"/>
        </w:numPr>
        <w:rPr>
          <w:rFonts w:cs="Arial"/>
          <w:b/>
          <w:sz w:val="28"/>
          <w:szCs w:val="28"/>
        </w:rPr>
        <w:sectPr w:rsidR="008B7341">
          <w:pgSz w:w="11906" w:h="16838"/>
          <w:pgMar w:top="1440" w:right="1797" w:bottom="1440" w:left="1797" w:header="709" w:footer="709" w:gutter="0"/>
          <w:cols w:space="708"/>
          <w:docGrid w:linePitch="360"/>
        </w:sectPr>
      </w:pPr>
    </w:p>
    <w:p w14:paraId="1BD17CCC" w14:textId="3AC221D0" w:rsidR="00CE7AF8" w:rsidRDefault="00ED706E" w:rsidP="00ED706E">
      <w:pPr>
        <w:pStyle w:val="ListNumber2"/>
        <w:numPr>
          <w:ilvl w:val="0"/>
          <w:numId w:val="0"/>
        </w:numPr>
        <w:rPr>
          <w:rFonts w:cs="Arial"/>
          <w:b/>
          <w:sz w:val="28"/>
          <w:szCs w:val="28"/>
        </w:rPr>
      </w:pPr>
      <w:r>
        <w:rPr>
          <w:rFonts w:cs="Arial"/>
          <w:b/>
          <w:sz w:val="28"/>
          <w:szCs w:val="28"/>
        </w:rPr>
        <w:lastRenderedPageBreak/>
        <w:t xml:space="preserve">Annex 1: </w:t>
      </w:r>
      <w:r w:rsidR="008B7341">
        <w:rPr>
          <w:rFonts w:cs="Arial"/>
          <w:b/>
          <w:sz w:val="28"/>
          <w:szCs w:val="28"/>
        </w:rPr>
        <w:t xml:space="preserve">Summary of relevant documents on </w:t>
      </w:r>
      <w:proofErr w:type="spellStart"/>
      <w:r w:rsidR="008B7341">
        <w:rPr>
          <w:rFonts w:cs="Arial"/>
          <w:b/>
          <w:sz w:val="28"/>
          <w:szCs w:val="28"/>
        </w:rPr>
        <w:t>PR18</w:t>
      </w:r>
      <w:proofErr w:type="spellEnd"/>
      <w:r w:rsidR="008B7341">
        <w:rPr>
          <w:rFonts w:cs="Arial"/>
          <w:b/>
          <w:sz w:val="28"/>
          <w:szCs w:val="28"/>
        </w:rPr>
        <w:t xml:space="preserve"> </w:t>
      </w:r>
      <w:proofErr w:type="spellStart"/>
      <w:r w:rsidR="008B7341">
        <w:rPr>
          <w:rFonts w:cs="Arial"/>
          <w:b/>
          <w:sz w:val="28"/>
          <w:szCs w:val="28"/>
        </w:rPr>
        <w:t>MCB</w:t>
      </w:r>
      <w:proofErr w:type="spellEnd"/>
      <w:r w:rsidR="008B7341">
        <w:rPr>
          <w:rFonts w:cs="Arial"/>
          <w:b/>
          <w:sz w:val="28"/>
          <w:szCs w:val="28"/>
        </w:rPr>
        <w:t xml:space="preserve"> analysis</w:t>
      </w:r>
    </w:p>
    <w:tbl>
      <w:tblPr>
        <w:tblStyle w:val="TableGrid"/>
        <w:tblW w:w="14459" w:type="dxa"/>
        <w:tblInd w:w="-289" w:type="dxa"/>
        <w:tblLayout w:type="fixed"/>
        <w:tblLook w:val="04A0" w:firstRow="1" w:lastRow="0" w:firstColumn="1" w:lastColumn="0" w:noHBand="0" w:noVBand="1"/>
      </w:tblPr>
      <w:tblGrid>
        <w:gridCol w:w="6380"/>
        <w:gridCol w:w="1701"/>
        <w:gridCol w:w="6378"/>
      </w:tblGrid>
      <w:tr w:rsidR="0040776B" w14:paraId="2B14F34B" w14:textId="24F974C3" w:rsidTr="0040776B">
        <w:tc>
          <w:tcPr>
            <w:tcW w:w="6380" w:type="dxa"/>
            <w:shd w:val="clear" w:color="auto" w:fill="D9D9D9" w:themeFill="background1" w:themeFillShade="D9"/>
          </w:tcPr>
          <w:p w14:paraId="433A141E" w14:textId="0F18CEB6" w:rsidR="0040776B" w:rsidRPr="00CE7AF8" w:rsidRDefault="0040776B" w:rsidP="00ED706E">
            <w:pPr>
              <w:pStyle w:val="ListNumber2"/>
              <w:numPr>
                <w:ilvl w:val="0"/>
                <w:numId w:val="0"/>
              </w:numPr>
              <w:rPr>
                <w:rFonts w:cs="Arial"/>
                <w:b/>
                <w:sz w:val="20"/>
              </w:rPr>
            </w:pPr>
            <w:r w:rsidRPr="00CE7AF8">
              <w:rPr>
                <w:rFonts w:cs="Arial"/>
                <w:b/>
                <w:sz w:val="20"/>
              </w:rPr>
              <w:t>Document</w:t>
            </w:r>
          </w:p>
        </w:tc>
        <w:tc>
          <w:tcPr>
            <w:tcW w:w="1701" w:type="dxa"/>
            <w:shd w:val="clear" w:color="auto" w:fill="D9D9D9" w:themeFill="background1" w:themeFillShade="D9"/>
          </w:tcPr>
          <w:p w14:paraId="67E9BBA1" w14:textId="2975C4E1" w:rsidR="0040776B" w:rsidRPr="00CE7AF8" w:rsidRDefault="0040776B" w:rsidP="00ED706E">
            <w:pPr>
              <w:pStyle w:val="ListNumber2"/>
              <w:numPr>
                <w:ilvl w:val="0"/>
                <w:numId w:val="0"/>
              </w:numPr>
              <w:rPr>
                <w:rFonts w:cs="Arial"/>
                <w:b/>
                <w:sz w:val="20"/>
              </w:rPr>
            </w:pPr>
            <w:r>
              <w:rPr>
                <w:rFonts w:cs="Arial"/>
                <w:b/>
                <w:sz w:val="20"/>
              </w:rPr>
              <w:t xml:space="preserve">Date </w:t>
            </w:r>
          </w:p>
        </w:tc>
        <w:tc>
          <w:tcPr>
            <w:tcW w:w="6378" w:type="dxa"/>
            <w:shd w:val="clear" w:color="auto" w:fill="D9D9D9" w:themeFill="background1" w:themeFillShade="D9"/>
          </w:tcPr>
          <w:p w14:paraId="11012E71" w14:textId="6C22BDEA" w:rsidR="0040776B" w:rsidRDefault="0040776B" w:rsidP="00ED706E">
            <w:pPr>
              <w:pStyle w:val="ListNumber2"/>
              <w:numPr>
                <w:ilvl w:val="0"/>
                <w:numId w:val="0"/>
              </w:numPr>
              <w:rPr>
                <w:rFonts w:cs="Arial"/>
                <w:b/>
                <w:sz w:val="20"/>
              </w:rPr>
            </w:pPr>
            <w:r>
              <w:rPr>
                <w:rFonts w:cs="Arial"/>
                <w:b/>
                <w:sz w:val="20"/>
              </w:rPr>
              <w:t xml:space="preserve">Description </w:t>
            </w:r>
          </w:p>
        </w:tc>
      </w:tr>
      <w:tr w:rsidR="0040776B" w14:paraId="7EC3CF49" w14:textId="755F511B" w:rsidTr="0040776B">
        <w:tc>
          <w:tcPr>
            <w:tcW w:w="6380" w:type="dxa"/>
          </w:tcPr>
          <w:p w14:paraId="3421534D" w14:textId="5E2DAA5A" w:rsidR="0040776B" w:rsidRPr="00CE7AF8" w:rsidRDefault="0040776B" w:rsidP="0040776B">
            <w:pPr>
              <w:pStyle w:val="ListNumber2"/>
              <w:numPr>
                <w:ilvl w:val="0"/>
                <w:numId w:val="0"/>
              </w:numPr>
              <w:rPr>
                <w:sz w:val="20"/>
              </w:rPr>
            </w:pPr>
            <w:proofErr w:type="spellStart"/>
            <w:r w:rsidRPr="00CE7AF8">
              <w:rPr>
                <w:sz w:val="20"/>
              </w:rPr>
              <w:t>PR18</w:t>
            </w:r>
            <w:proofErr w:type="spellEnd"/>
            <w:r w:rsidRPr="00CE7AF8">
              <w:rPr>
                <w:sz w:val="20"/>
              </w:rPr>
              <w:t xml:space="preserve"> </w:t>
            </w:r>
            <w:hyperlink r:id="rId20" w:history="1">
              <w:r w:rsidRPr="00CE7AF8">
                <w:rPr>
                  <w:rStyle w:val="Hyperlink"/>
                  <w:sz w:val="20"/>
                </w:rPr>
                <w:t>final determination</w:t>
              </w:r>
            </w:hyperlink>
          </w:p>
          <w:p w14:paraId="5DC64FFF" w14:textId="5457E82A" w:rsidR="0040776B" w:rsidRPr="00CE7AF8" w:rsidRDefault="0040776B" w:rsidP="0040776B">
            <w:pPr>
              <w:pStyle w:val="ListNumber2"/>
              <w:numPr>
                <w:ilvl w:val="0"/>
                <w:numId w:val="0"/>
              </w:numPr>
              <w:rPr>
                <w:sz w:val="20"/>
              </w:rPr>
            </w:pPr>
            <w:r w:rsidRPr="00CE7AF8">
              <w:rPr>
                <w:sz w:val="20"/>
              </w:rPr>
              <w:t>Supplementary document – Charges and incentives: Infrastr</w:t>
            </w:r>
            <w:r>
              <w:rPr>
                <w:sz w:val="20"/>
              </w:rPr>
              <w:t>ucture cost charges conclusions</w:t>
            </w:r>
          </w:p>
        </w:tc>
        <w:tc>
          <w:tcPr>
            <w:tcW w:w="1701" w:type="dxa"/>
          </w:tcPr>
          <w:p w14:paraId="21CF0F51" w14:textId="713BC5AD" w:rsidR="0040776B" w:rsidRPr="00CE7AF8" w:rsidRDefault="0040776B" w:rsidP="0040776B">
            <w:pPr>
              <w:pStyle w:val="ListNumber2"/>
              <w:numPr>
                <w:ilvl w:val="0"/>
                <w:numId w:val="0"/>
              </w:numPr>
              <w:rPr>
                <w:sz w:val="20"/>
              </w:rPr>
            </w:pPr>
            <w:r>
              <w:rPr>
                <w:sz w:val="20"/>
              </w:rPr>
              <w:t>October 2018</w:t>
            </w:r>
          </w:p>
        </w:tc>
        <w:tc>
          <w:tcPr>
            <w:tcW w:w="6378" w:type="dxa"/>
          </w:tcPr>
          <w:p w14:paraId="64B77184" w14:textId="23456958" w:rsidR="0040776B" w:rsidRDefault="0040776B" w:rsidP="0040776B">
            <w:pPr>
              <w:pStyle w:val="ListNumber2"/>
              <w:numPr>
                <w:ilvl w:val="0"/>
                <w:numId w:val="0"/>
              </w:numPr>
              <w:rPr>
                <w:sz w:val="20"/>
              </w:rPr>
            </w:pPr>
            <w:r w:rsidRPr="00CE7AF8">
              <w:rPr>
                <w:sz w:val="20"/>
              </w:rPr>
              <w:t xml:space="preserve">Summarises our decisions on settings ICCs for freight services and </w:t>
            </w:r>
            <w:r w:rsidR="00263408">
              <w:rPr>
                <w:sz w:val="20"/>
              </w:rPr>
              <w:t>open access</w:t>
            </w:r>
            <w:r w:rsidRPr="00CE7AF8">
              <w:rPr>
                <w:sz w:val="20"/>
              </w:rPr>
              <w:t xml:space="preserve"> operators for </w:t>
            </w:r>
            <w:proofErr w:type="spellStart"/>
            <w:r w:rsidRPr="00CE7AF8">
              <w:rPr>
                <w:sz w:val="20"/>
              </w:rPr>
              <w:t>CP6</w:t>
            </w:r>
            <w:proofErr w:type="spellEnd"/>
            <w:r>
              <w:rPr>
                <w:sz w:val="20"/>
              </w:rPr>
              <w:t xml:space="preserve">, based on analysis undertaken by CEPA and </w:t>
            </w:r>
            <w:proofErr w:type="spellStart"/>
            <w:r>
              <w:rPr>
                <w:sz w:val="20"/>
              </w:rPr>
              <w:t>Systra</w:t>
            </w:r>
            <w:proofErr w:type="spellEnd"/>
            <w:r w:rsidRPr="00CE7AF8">
              <w:rPr>
                <w:sz w:val="20"/>
              </w:rPr>
              <w:t xml:space="preserve"> </w:t>
            </w:r>
          </w:p>
        </w:tc>
      </w:tr>
      <w:tr w:rsidR="0040776B" w14:paraId="4352C219" w14:textId="77777777" w:rsidTr="0040776B">
        <w:tc>
          <w:tcPr>
            <w:tcW w:w="14459" w:type="dxa"/>
            <w:gridSpan w:val="3"/>
            <w:shd w:val="clear" w:color="auto" w:fill="F2F2F2" w:themeFill="background1" w:themeFillShade="F2"/>
          </w:tcPr>
          <w:p w14:paraId="0FAB8D27" w14:textId="515DE82E" w:rsidR="0040776B" w:rsidRPr="0040776B" w:rsidRDefault="0040776B" w:rsidP="0040776B">
            <w:pPr>
              <w:pStyle w:val="ListNumber2"/>
              <w:numPr>
                <w:ilvl w:val="0"/>
                <w:numId w:val="0"/>
              </w:numPr>
              <w:rPr>
                <w:b/>
                <w:sz w:val="20"/>
              </w:rPr>
            </w:pPr>
            <w:r w:rsidRPr="0040776B">
              <w:rPr>
                <w:b/>
                <w:sz w:val="20"/>
              </w:rPr>
              <w:t xml:space="preserve">Freight </w:t>
            </w:r>
            <w:r>
              <w:rPr>
                <w:b/>
                <w:sz w:val="20"/>
              </w:rPr>
              <w:t xml:space="preserve">analysis </w:t>
            </w:r>
          </w:p>
        </w:tc>
      </w:tr>
      <w:tr w:rsidR="0040776B" w14:paraId="7277CC72" w14:textId="6C8AC6C4" w:rsidTr="0040776B">
        <w:tc>
          <w:tcPr>
            <w:tcW w:w="6380" w:type="dxa"/>
          </w:tcPr>
          <w:p w14:paraId="479AB923" w14:textId="0090D744" w:rsidR="0040776B" w:rsidRPr="00CE7AF8" w:rsidRDefault="0040776B" w:rsidP="0040776B">
            <w:pPr>
              <w:pStyle w:val="ListNumber2"/>
              <w:numPr>
                <w:ilvl w:val="0"/>
                <w:numId w:val="0"/>
              </w:numPr>
              <w:rPr>
                <w:rFonts w:cs="Arial"/>
                <w:sz w:val="20"/>
              </w:rPr>
            </w:pPr>
            <w:proofErr w:type="spellStart"/>
            <w:r w:rsidRPr="00CE7AF8">
              <w:rPr>
                <w:rFonts w:cs="Arial"/>
                <w:sz w:val="20"/>
              </w:rPr>
              <w:t>PR18</w:t>
            </w:r>
            <w:proofErr w:type="spellEnd"/>
            <w:r w:rsidRPr="00CE7AF8">
              <w:rPr>
                <w:rFonts w:cs="Arial"/>
                <w:sz w:val="20"/>
              </w:rPr>
              <w:t xml:space="preserve"> </w:t>
            </w:r>
            <w:hyperlink r:id="rId21" w:history="1">
              <w:r w:rsidRPr="00CE7AF8">
                <w:rPr>
                  <w:rStyle w:val="Hyperlink"/>
                  <w:sz w:val="20"/>
                </w:rPr>
                <w:t>structure of charges review</w:t>
              </w:r>
            </w:hyperlink>
          </w:p>
          <w:p w14:paraId="38F414F6" w14:textId="5177F9EB" w:rsidR="0040776B" w:rsidRPr="00CE7AF8" w:rsidRDefault="0040776B" w:rsidP="0040776B">
            <w:pPr>
              <w:pStyle w:val="ListNumber2"/>
              <w:numPr>
                <w:ilvl w:val="0"/>
                <w:numId w:val="0"/>
              </w:numPr>
              <w:rPr>
                <w:rFonts w:cs="Arial"/>
                <w:sz w:val="20"/>
              </w:rPr>
            </w:pPr>
            <w:r w:rsidRPr="00CE7AF8">
              <w:rPr>
                <w:rFonts w:cs="Arial"/>
                <w:sz w:val="20"/>
              </w:rPr>
              <w:t>Market can bear analysis: Freight services</w:t>
            </w:r>
            <w:r>
              <w:rPr>
                <w:rFonts w:cs="Arial"/>
                <w:sz w:val="20"/>
              </w:rPr>
              <w:t xml:space="preserve">. </w:t>
            </w:r>
            <w:r w:rsidRPr="00CE7AF8">
              <w:rPr>
                <w:rFonts w:cs="Arial"/>
                <w:sz w:val="20"/>
              </w:rPr>
              <w:t>Report for ORR</w:t>
            </w:r>
          </w:p>
        </w:tc>
        <w:tc>
          <w:tcPr>
            <w:tcW w:w="1701" w:type="dxa"/>
          </w:tcPr>
          <w:p w14:paraId="288F0729" w14:textId="3D5554AB" w:rsidR="0040776B" w:rsidRPr="00CE7AF8" w:rsidRDefault="0040776B" w:rsidP="0040776B">
            <w:pPr>
              <w:pStyle w:val="ListNumber2"/>
              <w:numPr>
                <w:ilvl w:val="0"/>
                <w:numId w:val="0"/>
              </w:numPr>
              <w:rPr>
                <w:rFonts w:cs="Arial"/>
                <w:sz w:val="20"/>
              </w:rPr>
            </w:pPr>
            <w:r>
              <w:rPr>
                <w:rFonts w:cs="Arial"/>
                <w:sz w:val="20"/>
              </w:rPr>
              <w:t>September 2017</w:t>
            </w:r>
          </w:p>
        </w:tc>
        <w:tc>
          <w:tcPr>
            <w:tcW w:w="6378" w:type="dxa"/>
          </w:tcPr>
          <w:p w14:paraId="22F84A09" w14:textId="68068C6D" w:rsidR="0040776B" w:rsidRDefault="0040776B" w:rsidP="0040776B">
            <w:pPr>
              <w:pStyle w:val="ListNumber2"/>
              <w:numPr>
                <w:ilvl w:val="0"/>
                <w:numId w:val="0"/>
              </w:numPr>
              <w:rPr>
                <w:rFonts w:cs="Arial"/>
                <w:sz w:val="20"/>
              </w:rPr>
            </w:pPr>
            <w:r w:rsidRPr="00CE7AF8">
              <w:rPr>
                <w:rFonts w:cs="Arial"/>
                <w:sz w:val="20"/>
              </w:rPr>
              <w:t xml:space="preserve">Final report on the </w:t>
            </w:r>
            <w:proofErr w:type="spellStart"/>
            <w:r w:rsidRPr="00CE7AF8">
              <w:rPr>
                <w:rFonts w:cs="Arial"/>
                <w:sz w:val="20"/>
              </w:rPr>
              <w:t>MCB</w:t>
            </w:r>
            <w:proofErr w:type="spellEnd"/>
            <w:r w:rsidRPr="00CE7AF8">
              <w:rPr>
                <w:rFonts w:cs="Arial"/>
                <w:sz w:val="20"/>
              </w:rPr>
              <w:t xml:space="preserve"> analysis undertaken by CEPA for freight services</w:t>
            </w:r>
          </w:p>
        </w:tc>
      </w:tr>
      <w:tr w:rsidR="0040776B" w14:paraId="26B01EE0" w14:textId="2A3D066D" w:rsidTr="0040776B">
        <w:tc>
          <w:tcPr>
            <w:tcW w:w="6380" w:type="dxa"/>
          </w:tcPr>
          <w:p w14:paraId="0C23F3CD" w14:textId="77777777" w:rsidR="0040776B" w:rsidRDefault="0040776B" w:rsidP="0040776B">
            <w:pPr>
              <w:pStyle w:val="ListNumber2"/>
              <w:numPr>
                <w:ilvl w:val="0"/>
                <w:numId w:val="0"/>
              </w:numPr>
              <w:tabs>
                <w:tab w:val="left" w:pos="3435"/>
              </w:tabs>
              <w:rPr>
                <w:rFonts w:cs="Arial"/>
                <w:sz w:val="20"/>
              </w:rPr>
            </w:pPr>
            <w:r w:rsidRPr="00CE7AF8">
              <w:rPr>
                <w:rFonts w:cs="Arial"/>
                <w:sz w:val="20"/>
              </w:rPr>
              <w:t>The potential impact of increases in track access charges on the transport by rail of biomass</w:t>
            </w:r>
          </w:p>
          <w:p w14:paraId="115F8322" w14:textId="63891A2C" w:rsidR="0040776B" w:rsidRPr="00CE7AF8" w:rsidRDefault="00996D4E" w:rsidP="0040776B">
            <w:pPr>
              <w:pStyle w:val="ListNumber2"/>
              <w:numPr>
                <w:ilvl w:val="0"/>
                <w:numId w:val="0"/>
              </w:numPr>
              <w:tabs>
                <w:tab w:val="left" w:pos="3435"/>
              </w:tabs>
              <w:rPr>
                <w:rFonts w:cs="Arial"/>
                <w:sz w:val="20"/>
              </w:rPr>
            </w:pPr>
            <w:hyperlink r:id="rId22" w:history="1">
              <w:r w:rsidR="0040776B">
                <w:rPr>
                  <w:rStyle w:val="Hyperlink"/>
                  <w:rFonts w:cs="Arial"/>
                  <w:sz w:val="20"/>
                </w:rPr>
                <w:t>Report</w:t>
              </w:r>
            </w:hyperlink>
            <w:r w:rsidR="0040776B">
              <w:rPr>
                <w:rFonts w:cs="Arial"/>
                <w:sz w:val="20"/>
              </w:rPr>
              <w:t xml:space="preserve"> by </w:t>
            </w:r>
            <w:proofErr w:type="spellStart"/>
            <w:r w:rsidR="0040776B">
              <w:rPr>
                <w:rFonts w:cs="Arial"/>
                <w:sz w:val="20"/>
              </w:rPr>
              <w:t>MDST</w:t>
            </w:r>
            <w:proofErr w:type="spellEnd"/>
            <w:r w:rsidR="0040776B">
              <w:rPr>
                <w:rFonts w:cs="Arial"/>
                <w:sz w:val="20"/>
              </w:rPr>
              <w:t xml:space="preserve"> </w:t>
            </w:r>
          </w:p>
        </w:tc>
        <w:tc>
          <w:tcPr>
            <w:tcW w:w="1701" w:type="dxa"/>
          </w:tcPr>
          <w:p w14:paraId="69272667" w14:textId="2A4EB29C" w:rsidR="0040776B" w:rsidRDefault="0040776B" w:rsidP="0040776B">
            <w:pPr>
              <w:pStyle w:val="ListNumber2"/>
              <w:numPr>
                <w:ilvl w:val="0"/>
                <w:numId w:val="0"/>
              </w:numPr>
              <w:rPr>
                <w:rFonts w:cs="Arial"/>
                <w:sz w:val="20"/>
              </w:rPr>
            </w:pPr>
            <w:r>
              <w:rPr>
                <w:rFonts w:cs="Arial"/>
                <w:sz w:val="20"/>
              </w:rPr>
              <w:t xml:space="preserve">April 2018 </w:t>
            </w:r>
          </w:p>
        </w:tc>
        <w:tc>
          <w:tcPr>
            <w:tcW w:w="6378" w:type="dxa"/>
          </w:tcPr>
          <w:p w14:paraId="022C3E32" w14:textId="4325F9AC" w:rsidR="0040776B" w:rsidRDefault="0040776B" w:rsidP="0040776B">
            <w:pPr>
              <w:pStyle w:val="ListNumber2"/>
              <w:numPr>
                <w:ilvl w:val="0"/>
                <w:numId w:val="0"/>
              </w:numPr>
              <w:rPr>
                <w:rFonts w:cs="Arial"/>
                <w:sz w:val="20"/>
              </w:rPr>
            </w:pPr>
            <w:r>
              <w:rPr>
                <w:rFonts w:cs="Arial"/>
                <w:sz w:val="20"/>
              </w:rPr>
              <w:t xml:space="preserve">Further analysis by </w:t>
            </w:r>
            <w:proofErr w:type="spellStart"/>
            <w:r>
              <w:rPr>
                <w:rFonts w:cs="Arial"/>
                <w:sz w:val="20"/>
              </w:rPr>
              <w:t>MDST</w:t>
            </w:r>
            <w:proofErr w:type="spellEnd"/>
            <w:r>
              <w:rPr>
                <w:rFonts w:cs="Arial"/>
                <w:sz w:val="20"/>
              </w:rPr>
              <w:t xml:space="preserve"> on the specific impact of extending </w:t>
            </w:r>
            <w:r w:rsidR="007D7EBE">
              <w:rPr>
                <w:rFonts w:cs="Arial"/>
                <w:sz w:val="20"/>
              </w:rPr>
              <w:t>ICCs</w:t>
            </w:r>
            <w:r>
              <w:rPr>
                <w:rFonts w:cs="Arial"/>
                <w:sz w:val="20"/>
              </w:rPr>
              <w:t xml:space="preserve"> to freight services carrying </w:t>
            </w:r>
            <w:proofErr w:type="spellStart"/>
            <w:r>
              <w:rPr>
                <w:rFonts w:cs="Arial"/>
                <w:sz w:val="20"/>
              </w:rPr>
              <w:t>ESI</w:t>
            </w:r>
            <w:proofErr w:type="spellEnd"/>
            <w:r>
              <w:rPr>
                <w:rFonts w:cs="Arial"/>
                <w:sz w:val="20"/>
              </w:rPr>
              <w:t xml:space="preserve"> biomass </w:t>
            </w:r>
          </w:p>
        </w:tc>
      </w:tr>
      <w:tr w:rsidR="0040776B" w14:paraId="484FD950" w14:textId="765AB949" w:rsidTr="0040776B">
        <w:tc>
          <w:tcPr>
            <w:tcW w:w="6380" w:type="dxa"/>
          </w:tcPr>
          <w:p w14:paraId="7FE1952D" w14:textId="77777777" w:rsidR="0040776B" w:rsidRDefault="0040776B" w:rsidP="0040776B">
            <w:pPr>
              <w:pStyle w:val="ListNumber2"/>
              <w:numPr>
                <w:ilvl w:val="0"/>
                <w:numId w:val="0"/>
              </w:numPr>
              <w:rPr>
                <w:rFonts w:cs="Arial"/>
                <w:sz w:val="20"/>
              </w:rPr>
            </w:pPr>
            <w:r>
              <w:rPr>
                <w:rFonts w:cs="Arial"/>
                <w:sz w:val="20"/>
              </w:rPr>
              <w:t>The i</w:t>
            </w:r>
            <w:r w:rsidRPr="00CE7AF8">
              <w:rPr>
                <w:rFonts w:cs="Arial"/>
                <w:sz w:val="20"/>
              </w:rPr>
              <w:t>mpact of track access charge in</w:t>
            </w:r>
            <w:r>
              <w:rPr>
                <w:rFonts w:cs="Arial"/>
                <w:sz w:val="20"/>
              </w:rPr>
              <w:t>creases on rail freight traffic</w:t>
            </w:r>
          </w:p>
          <w:p w14:paraId="5D7D57CD" w14:textId="6D8C27E4" w:rsidR="0040776B" w:rsidRPr="00CE7AF8" w:rsidRDefault="00996D4E" w:rsidP="0040776B">
            <w:pPr>
              <w:pStyle w:val="ListNumber2"/>
              <w:numPr>
                <w:ilvl w:val="0"/>
                <w:numId w:val="0"/>
              </w:numPr>
              <w:rPr>
                <w:rFonts w:cs="Arial"/>
                <w:sz w:val="20"/>
              </w:rPr>
            </w:pPr>
            <w:hyperlink r:id="rId23" w:history="1">
              <w:r w:rsidR="0040776B">
                <w:rPr>
                  <w:rStyle w:val="Hyperlink"/>
                  <w:sz w:val="20"/>
                </w:rPr>
                <w:t>Report</w:t>
              </w:r>
            </w:hyperlink>
            <w:r w:rsidR="0040776B">
              <w:rPr>
                <w:rFonts w:cs="Arial"/>
                <w:sz w:val="20"/>
              </w:rPr>
              <w:t xml:space="preserve"> by </w:t>
            </w:r>
            <w:proofErr w:type="spellStart"/>
            <w:r w:rsidR="0040776B">
              <w:rPr>
                <w:rFonts w:cs="Arial"/>
                <w:sz w:val="20"/>
              </w:rPr>
              <w:t>MDST</w:t>
            </w:r>
            <w:proofErr w:type="spellEnd"/>
          </w:p>
        </w:tc>
        <w:tc>
          <w:tcPr>
            <w:tcW w:w="1701" w:type="dxa"/>
          </w:tcPr>
          <w:p w14:paraId="7A6AF4B6" w14:textId="4244BD7A" w:rsidR="0040776B" w:rsidRDefault="0040776B" w:rsidP="0040776B">
            <w:pPr>
              <w:pStyle w:val="ListNumber2"/>
              <w:numPr>
                <w:ilvl w:val="0"/>
                <w:numId w:val="0"/>
              </w:numPr>
              <w:rPr>
                <w:rFonts w:cs="Arial"/>
                <w:sz w:val="20"/>
              </w:rPr>
            </w:pPr>
            <w:r>
              <w:rPr>
                <w:rFonts w:cs="Arial"/>
                <w:sz w:val="20"/>
              </w:rPr>
              <w:t>November 2006</w:t>
            </w:r>
          </w:p>
        </w:tc>
        <w:tc>
          <w:tcPr>
            <w:tcW w:w="6378" w:type="dxa"/>
          </w:tcPr>
          <w:p w14:paraId="11831D69" w14:textId="44E6032C" w:rsidR="0040776B" w:rsidRDefault="0040776B" w:rsidP="0040776B">
            <w:pPr>
              <w:pStyle w:val="ListNumber2"/>
              <w:numPr>
                <w:ilvl w:val="0"/>
                <w:numId w:val="0"/>
              </w:numPr>
              <w:rPr>
                <w:rFonts w:cs="Arial"/>
                <w:sz w:val="20"/>
              </w:rPr>
            </w:pPr>
            <w:r>
              <w:rPr>
                <w:rFonts w:cs="Arial"/>
                <w:sz w:val="20"/>
              </w:rPr>
              <w:t xml:space="preserve">Sets out </w:t>
            </w:r>
            <w:proofErr w:type="spellStart"/>
            <w:r w:rsidRPr="00CE7AF8">
              <w:rPr>
                <w:rFonts w:cs="Arial"/>
                <w:sz w:val="20"/>
              </w:rPr>
              <w:t>M</w:t>
            </w:r>
            <w:r>
              <w:rPr>
                <w:rFonts w:cs="Arial"/>
                <w:sz w:val="20"/>
              </w:rPr>
              <w:t>DST’s</w:t>
            </w:r>
            <w:proofErr w:type="spellEnd"/>
            <w:r>
              <w:rPr>
                <w:rFonts w:cs="Arial"/>
                <w:sz w:val="20"/>
              </w:rPr>
              <w:t xml:space="preserve"> original estimates for demand elasticities for freight commodities. This work was used to inform our </w:t>
            </w:r>
            <w:proofErr w:type="spellStart"/>
            <w:r>
              <w:rPr>
                <w:rFonts w:cs="Arial"/>
                <w:sz w:val="20"/>
              </w:rPr>
              <w:t>PR18</w:t>
            </w:r>
            <w:proofErr w:type="spellEnd"/>
            <w:r>
              <w:rPr>
                <w:rFonts w:cs="Arial"/>
                <w:sz w:val="20"/>
              </w:rPr>
              <w:t xml:space="preserve"> </w:t>
            </w:r>
            <w:proofErr w:type="spellStart"/>
            <w:r>
              <w:rPr>
                <w:rFonts w:cs="Arial"/>
                <w:sz w:val="20"/>
              </w:rPr>
              <w:t>MCB</w:t>
            </w:r>
            <w:proofErr w:type="spellEnd"/>
            <w:r>
              <w:rPr>
                <w:rFonts w:cs="Arial"/>
                <w:sz w:val="20"/>
              </w:rPr>
              <w:t xml:space="preserve"> analysis.</w:t>
            </w:r>
          </w:p>
        </w:tc>
      </w:tr>
      <w:tr w:rsidR="0040776B" w14:paraId="0FF9F682" w14:textId="77777777" w:rsidTr="0040776B">
        <w:tc>
          <w:tcPr>
            <w:tcW w:w="14459" w:type="dxa"/>
            <w:gridSpan w:val="3"/>
            <w:shd w:val="clear" w:color="auto" w:fill="F2F2F2" w:themeFill="background1" w:themeFillShade="F2"/>
          </w:tcPr>
          <w:p w14:paraId="67FDD5A5" w14:textId="164C6046" w:rsidR="0040776B" w:rsidRDefault="00263408" w:rsidP="0040776B">
            <w:pPr>
              <w:pStyle w:val="ListNumber2"/>
              <w:numPr>
                <w:ilvl w:val="0"/>
                <w:numId w:val="0"/>
              </w:numPr>
              <w:rPr>
                <w:rFonts w:cs="Arial"/>
                <w:sz w:val="20"/>
              </w:rPr>
            </w:pPr>
            <w:r>
              <w:rPr>
                <w:rFonts w:cs="Arial"/>
                <w:b/>
                <w:sz w:val="20"/>
              </w:rPr>
              <w:t>Open access</w:t>
            </w:r>
            <w:r w:rsidR="0040776B" w:rsidRPr="0040776B">
              <w:rPr>
                <w:rFonts w:cs="Arial"/>
                <w:b/>
                <w:sz w:val="20"/>
              </w:rPr>
              <w:t xml:space="preserve"> analysis</w:t>
            </w:r>
          </w:p>
        </w:tc>
      </w:tr>
      <w:tr w:rsidR="0040776B" w14:paraId="585C68E1" w14:textId="6E0C014F" w:rsidTr="0040776B">
        <w:tc>
          <w:tcPr>
            <w:tcW w:w="6380" w:type="dxa"/>
          </w:tcPr>
          <w:p w14:paraId="4D0AA6B6" w14:textId="5532EF27" w:rsidR="0040776B" w:rsidRPr="00CE7AF8" w:rsidRDefault="0040776B" w:rsidP="0040776B">
            <w:pPr>
              <w:pStyle w:val="Heading1"/>
              <w:shd w:val="clear" w:color="auto" w:fill="FFFFFF"/>
              <w:spacing w:before="161" w:after="161"/>
              <w:outlineLvl w:val="0"/>
              <w:rPr>
                <w:rFonts w:ascii="Arial" w:eastAsia="Times New Roman" w:hAnsi="Arial" w:cs="Arial"/>
                <w:color w:val="auto"/>
                <w:sz w:val="20"/>
                <w:szCs w:val="20"/>
              </w:rPr>
            </w:pPr>
            <w:proofErr w:type="spellStart"/>
            <w:r w:rsidRPr="00CE7AF8">
              <w:rPr>
                <w:rFonts w:ascii="Arial" w:eastAsia="Times New Roman" w:hAnsi="Arial" w:cs="Arial"/>
                <w:color w:val="auto"/>
                <w:sz w:val="20"/>
                <w:szCs w:val="20"/>
              </w:rPr>
              <w:t>PR18</w:t>
            </w:r>
            <w:proofErr w:type="spellEnd"/>
            <w:r w:rsidRPr="00CE7AF8">
              <w:rPr>
                <w:rFonts w:ascii="Arial" w:eastAsia="Times New Roman" w:hAnsi="Arial" w:cs="Arial"/>
                <w:color w:val="auto"/>
                <w:sz w:val="20"/>
                <w:szCs w:val="20"/>
              </w:rPr>
              <w:t xml:space="preserve"> </w:t>
            </w:r>
            <w:hyperlink r:id="rId24" w:history="1">
              <w:r w:rsidRPr="00CE7AF8">
                <w:rPr>
                  <w:rStyle w:val="Hyperlink"/>
                  <w:rFonts w:ascii="Arial" w:eastAsia="Times New Roman" w:hAnsi="Arial" w:cs="Times New Roman"/>
                  <w:sz w:val="20"/>
                  <w:szCs w:val="20"/>
                </w:rPr>
                <w:t>structure of charges review</w:t>
              </w:r>
            </w:hyperlink>
          </w:p>
          <w:p w14:paraId="4D5CD5CA" w14:textId="67E6B1A0" w:rsidR="0040776B" w:rsidRPr="00CE7AF8" w:rsidRDefault="0040776B" w:rsidP="0040776B">
            <w:pPr>
              <w:pStyle w:val="Heading1"/>
              <w:shd w:val="clear" w:color="auto" w:fill="FFFFFF"/>
              <w:spacing w:before="161" w:after="161"/>
              <w:outlineLvl w:val="0"/>
              <w:rPr>
                <w:rFonts w:cs="Arial"/>
                <w:sz w:val="20"/>
                <w:szCs w:val="20"/>
              </w:rPr>
            </w:pPr>
            <w:r w:rsidRPr="00CE7AF8">
              <w:rPr>
                <w:rFonts w:ascii="Arial" w:eastAsia="Times New Roman" w:hAnsi="Arial" w:cs="Arial"/>
                <w:color w:val="auto"/>
                <w:sz w:val="20"/>
                <w:szCs w:val="20"/>
              </w:rPr>
              <w:t>Market can bear analysis: Passenger services</w:t>
            </w:r>
            <w:r>
              <w:rPr>
                <w:rFonts w:ascii="Arial" w:eastAsia="Times New Roman" w:hAnsi="Arial" w:cs="Arial"/>
                <w:color w:val="auto"/>
                <w:sz w:val="20"/>
                <w:szCs w:val="20"/>
              </w:rPr>
              <w:t xml:space="preserve">. </w:t>
            </w:r>
            <w:r w:rsidRPr="00CE7AF8">
              <w:rPr>
                <w:rFonts w:ascii="Arial" w:eastAsia="Times New Roman" w:hAnsi="Arial" w:cs="Arial"/>
                <w:color w:val="auto"/>
                <w:sz w:val="20"/>
                <w:szCs w:val="20"/>
              </w:rPr>
              <w:t>Report for ORR</w:t>
            </w:r>
          </w:p>
        </w:tc>
        <w:tc>
          <w:tcPr>
            <w:tcW w:w="1701" w:type="dxa"/>
          </w:tcPr>
          <w:p w14:paraId="1F78B2A9" w14:textId="4A587B03" w:rsidR="0040776B" w:rsidRPr="00CE7AF8" w:rsidRDefault="0040776B" w:rsidP="0040776B">
            <w:pPr>
              <w:pStyle w:val="ListNumber2"/>
              <w:numPr>
                <w:ilvl w:val="0"/>
                <w:numId w:val="0"/>
              </w:numPr>
              <w:rPr>
                <w:rFonts w:cs="Arial"/>
                <w:sz w:val="20"/>
              </w:rPr>
            </w:pPr>
            <w:r>
              <w:rPr>
                <w:rFonts w:cs="Arial"/>
                <w:sz w:val="20"/>
              </w:rPr>
              <w:t xml:space="preserve">November 2017 </w:t>
            </w:r>
          </w:p>
        </w:tc>
        <w:tc>
          <w:tcPr>
            <w:tcW w:w="6378" w:type="dxa"/>
          </w:tcPr>
          <w:p w14:paraId="5D9B2E6E" w14:textId="47148800" w:rsidR="0040776B" w:rsidRDefault="0040776B" w:rsidP="0040776B">
            <w:pPr>
              <w:pStyle w:val="ListNumber2"/>
              <w:numPr>
                <w:ilvl w:val="0"/>
                <w:numId w:val="0"/>
              </w:numPr>
              <w:rPr>
                <w:rFonts w:cs="Arial"/>
                <w:sz w:val="20"/>
              </w:rPr>
            </w:pPr>
            <w:r w:rsidRPr="00CE7AF8">
              <w:rPr>
                <w:rFonts w:cs="Arial"/>
                <w:sz w:val="20"/>
              </w:rPr>
              <w:t xml:space="preserve">Revised final report on the </w:t>
            </w:r>
            <w:proofErr w:type="spellStart"/>
            <w:r w:rsidRPr="00CE7AF8">
              <w:rPr>
                <w:rFonts w:cs="Arial"/>
                <w:sz w:val="20"/>
              </w:rPr>
              <w:t>MCB</w:t>
            </w:r>
            <w:proofErr w:type="spellEnd"/>
            <w:r w:rsidRPr="00CE7AF8">
              <w:rPr>
                <w:rFonts w:cs="Arial"/>
                <w:sz w:val="20"/>
              </w:rPr>
              <w:t xml:space="preserve"> analysis undertaken by CEPA (in association with </w:t>
            </w:r>
            <w:proofErr w:type="spellStart"/>
            <w:r w:rsidRPr="00CE7AF8">
              <w:rPr>
                <w:rFonts w:cs="Arial"/>
                <w:sz w:val="20"/>
              </w:rPr>
              <w:t>Systra</w:t>
            </w:r>
            <w:proofErr w:type="spellEnd"/>
            <w:r w:rsidRPr="00CE7AF8">
              <w:rPr>
                <w:rFonts w:cs="Arial"/>
                <w:sz w:val="20"/>
              </w:rPr>
              <w:t>) for passenger services</w:t>
            </w:r>
          </w:p>
        </w:tc>
      </w:tr>
      <w:tr w:rsidR="0040776B" w14:paraId="4A2F841A" w14:textId="2551202F" w:rsidTr="0040776B">
        <w:tc>
          <w:tcPr>
            <w:tcW w:w="6380" w:type="dxa"/>
          </w:tcPr>
          <w:p w14:paraId="42B8A93E" w14:textId="3CD9DED7" w:rsidR="0040776B" w:rsidRPr="00F421D4" w:rsidRDefault="0040776B" w:rsidP="0040776B">
            <w:pPr>
              <w:pStyle w:val="Heading1"/>
              <w:shd w:val="clear" w:color="auto" w:fill="FFFFFF"/>
              <w:spacing w:before="161" w:after="161"/>
              <w:outlineLvl w:val="0"/>
              <w:rPr>
                <w:rFonts w:ascii="Arial" w:eastAsia="Times New Roman" w:hAnsi="Arial" w:cs="Arial"/>
                <w:color w:val="auto"/>
                <w:sz w:val="20"/>
                <w:szCs w:val="20"/>
              </w:rPr>
            </w:pPr>
            <w:proofErr w:type="spellStart"/>
            <w:r w:rsidRPr="00F421D4">
              <w:rPr>
                <w:rFonts w:ascii="Arial" w:eastAsia="Times New Roman" w:hAnsi="Arial" w:cs="Arial"/>
                <w:color w:val="auto"/>
                <w:sz w:val="20"/>
                <w:szCs w:val="20"/>
              </w:rPr>
              <w:t>PR18</w:t>
            </w:r>
            <w:proofErr w:type="spellEnd"/>
            <w:r w:rsidRPr="00F421D4">
              <w:rPr>
                <w:rFonts w:ascii="Arial" w:eastAsia="Times New Roman" w:hAnsi="Arial" w:cs="Arial"/>
                <w:color w:val="auto"/>
                <w:sz w:val="20"/>
                <w:szCs w:val="20"/>
              </w:rPr>
              <w:t xml:space="preserve"> open access infrastructure cost charge implementation</w:t>
            </w:r>
          </w:p>
          <w:p w14:paraId="024BDBB5" w14:textId="5E5D6C68" w:rsidR="0040776B" w:rsidRPr="00F421D4" w:rsidRDefault="0040776B" w:rsidP="0040776B">
            <w:pPr>
              <w:rPr>
                <w:sz w:val="20"/>
              </w:rPr>
            </w:pPr>
            <w:r w:rsidRPr="00F421D4">
              <w:rPr>
                <w:sz w:val="20"/>
              </w:rPr>
              <w:t xml:space="preserve">ORR </w:t>
            </w:r>
            <w:hyperlink r:id="rId25" w:history="1">
              <w:r w:rsidRPr="00F421D4">
                <w:rPr>
                  <w:rStyle w:val="Hyperlink"/>
                  <w:sz w:val="20"/>
                </w:rPr>
                <w:t>conclusions document</w:t>
              </w:r>
            </w:hyperlink>
            <w:r w:rsidRPr="00F421D4">
              <w:rPr>
                <w:sz w:val="20"/>
              </w:rPr>
              <w:t xml:space="preserve"> </w:t>
            </w:r>
          </w:p>
        </w:tc>
        <w:tc>
          <w:tcPr>
            <w:tcW w:w="1701" w:type="dxa"/>
          </w:tcPr>
          <w:p w14:paraId="3FB382C8" w14:textId="2FFF66AF" w:rsidR="0040776B" w:rsidRDefault="0040776B" w:rsidP="0040776B">
            <w:pPr>
              <w:pStyle w:val="ListNumber2"/>
              <w:numPr>
                <w:ilvl w:val="0"/>
                <w:numId w:val="0"/>
              </w:numPr>
              <w:rPr>
                <w:rFonts w:cs="Arial"/>
                <w:sz w:val="20"/>
              </w:rPr>
            </w:pPr>
            <w:r>
              <w:rPr>
                <w:rFonts w:cs="Arial"/>
                <w:sz w:val="20"/>
              </w:rPr>
              <w:t xml:space="preserve">March 2019 </w:t>
            </w:r>
          </w:p>
        </w:tc>
        <w:tc>
          <w:tcPr>
            <w:tcW w:w="6378" w:type="dxa"/>
          </w:tcPr>
          <w:p w14:paraId="344C65F8" w14:textId="5B5C1B7B" w:rsidR="0040776B" w:rsidRDefault="0040776B" w:rsidP="0040776B">
            <w:pPr>
              <w:pStyle w:val="ListNumber2"/>
              <w:numPr>
                <w:ilvl w:val="0"/>
                <w:numId w:val="0"/>
              </w:numPr>
              <w:rPr>
                <w:rFonts w:cs="Arial"/>
                <w:sz w:val="20"/>
              </w:rPr>
            </w:pPr>
            <w:r>
              <w:rPr>
                <w:rFonts w:cs="Arial"/>
                <w:sz w:val="20"/>
              </w:rPr>
              <w:t xml:space="preserve">Summarises our conclusions on specific implementation issues for the ICC for new interurban </w:t>
            </w:r>
            <w:r w:rsidR="001659A5">
              <w:rPr>
                <w:rFonts w:cs="Arial"/>
                <w:sz w:val="20"/>
              </w:rPr>
              <w:t xml:space="preserve">open access </w:t>
            </w:r>
            <w:r>
              <w:rPr>
                <w:rFonts w:cs="Arial"/>
                <w:sz w:val="20"/>
              </w:rPr>
              <w:t xml:space="preserve">services for </w:t>
            </w:r>
            <w:proofErr w:type="spellStart"/>
            <w:r>
              <w:rPr>
                <w:rFonts w:cs="Arial"/>
                <w:sz w:val="20"/>
              </w:rPr>
              <w:t>CP6</w:t>
            </w:r>
            <w:proofErr w:type="spellEnd"/>
            <w:r>
              <w:rPr>
                <w:rFonts w:cs="Arial"/>
                <w:sz w:val="20"/>
              </w:rPr>
              <w:t xml:space="preserve"> </w:t>
            </w:r>
          </w:p>
        </w:tc>
      </w:tr>
    </w:tbl>
    <w:p w14:paraId="1D307F9A" w14:textId="77777777" w:rsidR="008B7341" w:rsidRDefault="008B7341" w:rsidP="008B7341">
      <w:pPr>
        <w:pStyle w:val="ListNumber2"/>
        <w:numPr>
          <w:ilvl w:val="0"/>
          <w:numId w:val="0"/>
        </w:numPr>
        <w:rPr>
          <w:rFonts w:cs="Arial"/>
          <w:b/>
          <w:sz w:val="22"/>
          <w:szCs w:val="28"/>
        </w:rPr>
        <w:sectPr w:rsidR="008B7341" w:rsidSect="008B7341">
          <w:pgSz w:w="16838" w:h="11906" w:orient="landscape"/>
          <w:pgMar w:top="1797" w:right="1440" w:bottom="1797" w:left="1440" w:header="709" w:footer="709" w:gutter="0"/>
          <w:cols w:space="708"/>
          <w:docGrid w:linePitch="360"/>
        </w:sectPr>
      </w:pPr>
    </w:p>
    <w:p w14:paraId="4BC30802" w14:textId="77777777" w:rsidR="00746CF7" w:rsidRPr="00746CF7" w:rsidRDefault="00746CF7" w:rsidP="00746CF7">
      <w:pPr>
        <w:tabs>
          <w:tab w:val="left" w:pos="2960"/>
        </w:tabs>
      </w:pPr>
    </w:p>
    <w:sectPr w:rsidR="00746CF7" w:rsidRPr="00746CF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7349" w14:textId="77777777" w:rsidR="000D4031" w:rsidRDefault="000D4031">
      <w:pPr>
        <w:spacing w:after="0"/>
      </w:pPr>
      <w:r>
        <w:separator/>
      </w:r>
    </w:p>
  </w:endnote>
  <w:endnote w:type="continuationSeparator" w:id="0">
    <w:p w14:paraId="3FBDD42E" w14:textId="77777777" w:rsidR="000D4031" w:rsidRDefault="000D4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0D4031" w:rsidRDefault="000D4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49D4493A" w:rsidR="000D4031" w:rsidRPr="00673759" w:rsidRDefault="000D4031" w:rsidP="003E2732">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0D4031" w:rsidRDefault="000D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42A2" w14:textId="77777777" w:rsidR="000D4031" w:rsidRDefault="000D4031">
      <w:pPr>
        <w:spacing w:after="0"/>
      </w:pPr>
      <w:r>
        <w:separator/>
      </w:r>
    </w:p>
  </w:footnote>
  <w:footnote w:type="continuationSeparator" w:id="0">
    <w:p w14:paraId="4CE7F06C" w14:textId="77777777" w:rsidR="000D4031" w:rsidRDefault="000D4031">
      <w:pPr>
        <w:spacing w:after="0"/>
      </w:pPr>
      <w:r>
        <w:continuationSeparator/>
      </w:r>
    </w:p>
  </w:footnote>
  <w:footnote w:id="1">
    <w:p w14:paraId="1A82BB3C" w14:textId="593A8D63" w:rsidR="000D4031" w:rsidRDefault="000D4031">
      <w:pPr>
        <w:pStyle w:val="FootnoteText"/>
      </w:pPr>
      <w:r>
        <w:rPr>
          <w:rStyle w:val="FootnoteReference"/>
        </w:rPr>
        <w:footnoteRef/>
      </w:r>
      <w:r>
        <w:t xml:space="preserve"> We formally launched </w:t>
      </w:r>
      <w:proofErr w:type="spellStart"/>
      <w:r>
        <w:t>PR23</w:t>
      </w:r>
      <w:proofErr w:type="spellEnd"/>
      <w:r>
        <w:t xml:space="preserve"> in June 2021, through an open letter to industry published </w:t>
      </w:r>
      <w:hyperlink r:id="rId1" w:history="1">
        <w:r>
          <w:rPr>
            <w:rStyle w:val="Hyperlink"/>
          </w:rPr>
          <w:t>here</w:t>
        </w:r>
      </w:hyperlink>
      <w:r>
        <w:t xml:space="preserve">. </w:t>
      </w:r>
    </w:p>
  </w:footnote>
  <w:footnote w:id="2">
    <w:p w14:paraId="28334303" w14:textId="77777777" w:rsidR="00E93674" w:rsidRDefault="00E93674" w:rsidP="00E93674">
      <w:pPr>
        <w:pStyle w:val="FootnoteText"/>
      </w:pPr>
      <w:r>
        <w:rPr>
          <w:rStyle w:val="FootnoteReference"/>
        </w:rPr>
        <w:footnoteRef/>
      </w:r>
      <w:r>
        <w:t xml:space="preserve"> Other types of income also contribute to Network Rail’s fixed cost recovery – notably the network grant that it receives from its funders.</w:t>
      </w:r>
    </w:p>
  </w:footnote>
  <w:footnote w:id="3">
    <w:p w14:paraId="77D11839" w14:textId="5CA25F07" w:rsidR="000D4031" w:rsidRDefault="000D4031">
      <w:pPr>
        <w:pStyle w:val="FootnoteText"/>
      </w:pPr>
      <w:r>
        <w:rPr>
          <w:rStyle w:val="FootnoteReference"/>
        </w:rPr>
        <w:footnoteRef/>
      </w:r>
      <w:r>
        <w:t xml:space="preserve"> Following the Covid-19 pandemic, these operators’ franchise agreements have been suspended and replace with concession</w:t>
      </w:r>
      <w:r w:rsidR="00C14B82">
        <w:t>-style agreemen</w:t>
      </w:r>
      <w:r>
        <w:t>ts.</w:t>
      </w:r>
    </w:p>
  </w:footnote>
  <w:footnote w:id="4">
    <w:p w14:paraId="6DE82FAA" w14:textId="1D93969D" w:rsidR="00672A0C" w:rsidRDefault="00672A0C">
      <w:pPr>
        <w:pStyle w:val="FootnoteText"/>
      </w:pPr>
      <w:r>
        <w:rPr>
          <w:rStyle w:val="FootnoteReference"/>
        </w:rPr>
        <w:footnoteRef/>
      </w:r>
      <w:r>
        <w:t xml:space="preserve"> For billing purposes, this is known as the Freight-Specific charge, or </w:t>
      </w:r>
      <w:proofErr w:type="spellStart"/>
      <w:r>
        <w:t>FSC</w:t>
      </w:r>
      <w:proofErr w:type="spellEnd"/>
      <w:r>
        <w:t>.</w:t>
      </w:r>
    </w:p>
  </w:footnote>
  <w:footnote w:id="5">
    <w:p w14:paraId="5DA44A23" w14:textId="0575B749" w:rsidR="000D4031" w:rsidRDefault="000D4031">
      <w:pPr>
        <w:pStyle w:val="FootnoteText"/>
      </w:pPr>
      <w:r>
        <w:rPr>
          <w:rStyle w:val="FootnoteReference"/>
        </w:rPr>
        <w:footnoteRef/>
      </w:r>
      <w:r>
        <w:t xml:space="preserve"> See paragraph 2(1) and 2(3) of Schedule 3.</w:t>
      </w:r>
    </w:p>
  </w:footnote>
  <w:footnote w:id="6">
    <w:p w14:paraId="75584C79" w14:textId="68F622AC" w:rsidR="000D4031" w:rsidRDefault="000D4031">
      <w:pPr>
        <w:pStyle w:val="FootnoteText"/>
      </w:pPr>
      <w:r>
        <w:rPr>
          <w:rStyle w:val="FootnoteReference"/>
        </w:rPr>
        <w:footnoteRef/>
      </w:r>
      <w:r>
        <w:t xml:space="preserve"> Paragraph 2(7) </w:t>
      </w:r>
      <w:r w:rsidR="00E93674">
        <w:t xml:space="preserve">of Schedule 3 </w:t>
      </w:r>
      <w:r>
        <w:t xml:space="preserve">requires us at a minimum to consider the relevance of a mark-up for: freight services; passenger services within the framework of a public service contract (i.e. franchised passenger operators); and other passenger services (i.e. </w:t>
      </w:r>
      <w:r w:rsidR="00263408">
        <w:t>open access</w:t>
      </w:r>
      <w:r>
        <w:t>).</w:t>
      </w:r>
    </w:p>
  </w:footnote>
  <w:footnote w:id="7">
    <w:p w14:paraId="5A7CEECA" w14:textId="2E64C6BD" w:rsidR="000D4031" w:rsidRPr="000D4031" w:rsidRDefault="000D4031">
      <w:pPr>
        <w:pStyle w:val="FootnoteText"/>
      </w:pPr>
      <w:r>
        <w:rPr>
          <w:rStyle w:val="FootnoteReference"/>
        </w:rPr>
        <w:footnoteRef/>
      </w:r>
      <w:r>
        <w:t xml:space="preserve"> This analysis was undertaken by CEPA. A report summarising this analysis and conclusions is </w:t>
      </w:r>
      <w:r w:rsidRPr="000D4031">
        <w:t>available</w:t>
      </w:r>
      <w:r>
        <w:t xml:space="preserve"> </w:t>
      </w:r>
      <w:hyperlink r:id="rId2" w:history="1">
        <w:r w:rsidRPr="000D4031">
          <w:rPr>
            <w:rStyle w:val="Hyperlink"/>
            <w:rFonts w:cs="Arial"/>
          </w:rPr>
          <w:t>here</w:t>
        </w:r>
      </w:hyperlink>
      <w:r w:rsidRPr="000D4031">
        <w:t xml:space="preserve"> </w:t>
      </w:r>
      <w:r>
        <w:rPr>
          <w:rFonts w:cs="Arial"/>
        </w:rPr>
        <w:t xml:space="preserve">(see Annex 1 for a full summary of relevant </w:t>
      </w:r>
      <w:r w:rsidR="00537E98">
        <w:rPr>
          <w:rFonts w:cs="Arial"/>
        </w:rPr>
        <w:t xml:space="preserve">previous </w:t>
      </w:r>
      <w:r>
        <w:rPr>
          <w:rFonts w:cs="Arial"/>
        </w:rPr>
        <w:t>work).</w:t>
      </w:r>
    </w:p>
  </w:footnote>
  <w:footnote w:id="8">
    <w:p w14:paraId="2DD54E8E" w14:textId="0495E7A6" w:rsidR="000D4031" w:rsidRDefault="000D4031">
      <w:pPr>
        <w:pStyle w:val="FootnoteText"/>
      </w:pPr>
      <w:r>
        <w:rPr>
          <w:rStyle w:val="FootnoteReference"/>
        </w:rPr>
        <w:footnoteRef/>
      </w:r>
      <w:r>
        <w:t xml:space="preserve"> </w:t>
      </w:r>
      <w:r w:rsidR="00263408">
        <w:t>Open access</w:t>
      </w:r>
      <w:r>
        <w:t xml:space="preserve"> operators did pay the capacity charge, in addition to charges which recover short-run variable costs. We removed the capacity charge in </w:t>
      </w:r>
      <w:proofErr w:type="spellStart"/>
      <w:r>
        <w:t>PR18</w:t>
      </w:r>
      <w:proofErr w:type="spellEnd"/>
      <w:r>
        <w:t xml:space="preserve">. </w:t>
      </w:r>
    </w:p>
  </w:footnote>
  <w:footnote w:id="9">
    <w:p w14:paraId="5E07FB3A" w14:textId="0C717C65" w:rsidR="000D4031" w:rsidRDefault="000D4031">
      <w:pPr>
        <w:pStyle w:val="FootnoteText"/>
      </w:pPr>
      <w:r>
        <w:rPr>
          <w:rStyle w:val="FootnoteReference"/>
        </w:rPr>
        <w:footnoteRef/>
      </w:r>
      <w:r>
        <w:t xml:space="preserve"> </w:t>
      </w:r>
      <w:r>
        <w:rPr>
          <w:rFonts w:cs="Arial"/>
        </w:rPr>
        <w:t xml:space="preserve">This was undertaken </w:t>
      </w:r>
      <w:r w:rsidRPr="000D4031">
        <w:rPr>
          <w:rFonts w:cs="Arial"/>
        </w:rPr>
        <w:t xml:space="preserve">by CEPA / </w:t>
      </w:r>
      <w:proofErr w:type="spellStart"/>
      <w:r w:rsidRPr="000D4031">
        <w:rPr>
          <w:rFonts w:cs="Arial"/>
        </w:rPr>
        <w:t>Systra</w:t>
      </w:r>
      <w:proofErr w:type="spellEnd"/>
      <w:r>
        <w:rPr>
          <w:rFonts w:cs="Arial"/>
        </w:rPr>
        <w:t>. A report of this analysis</w:t>
      </w:r>
      <w:r w:rsidRPr="000D4031">
        <w:rPr>
          <w:rFonts w:cs="Arial"/>
        </w:rPr>
        <w:t xml:space="preserve"> is available </w:t>
      </w:r>
      <w:hyperlink r:id="rId3" w:history="1">
        <w:r w:rsidRPr="000D4031">
          <w:rPr>
            <w:rStyle w:val="Hyperlink"/>
            <w:rFonts w:cs="Arial"/>
            <w:shd w:val="clear" w:color="auto" w:fill="FFFFFF"/>
          </w:rPr>
          <w:t>here</w:t>
        </w:r>
      </w:hyperlink>
      <w:r>
        <w:rPr>
          <w:rStyle w:val="Hyperlink"/>
          <w:rFonts w:cs="Arial"/>
          <w:shd w:val="clear" w:color="auto" w:fill="FFFFFF"/>
        </w:rPr>
        <w:t>.</w:t>
      </w:r>
    </w:p>
  </w:footnote>
  <w:footnote w:id="10">
    <w:p w14:paraId="2700514F" w14:textId="6AB83DD7" w:rsidR="000D4031" w:rsidRDefault="000D4031">
      <w:pPr>
        <w:pStyle w:val="FootnoteText"/>
      </w:pPr>
      <w:r>
        <w:rPr>
          <w:rStyle w:val="FootnoteReference"/>
        </w:rPr>
        <w:footnoteRef/>
      </w:r>
      <w:r>
        <w:t xml:space="preserve"> Cost data was only available at train operator level, rather than by different type of service. It was therefore </w:t>
      </w:r>
      <w:r w:rsidRPr="002F5969">
        <w:t>necessary to estimate costs at a service level</w:t>
      </w:r>
      <w:r>
        <w:t xml:space="preserve"> </w:t>
      </w:r>
      <w:r w:rsidRPr="002F5969">
        <w:t>(to capture the fact that costs may differ between different types of services)</w:t>
      </w:r>
      <w:r>
        <w:t>.</w:t>
      </w:r>
      <w:r w:rsidR="00FB0657">
        <w:t xml:space="preserve"> The consultants developed a simple linear cost function to do this.</w:t>
      </w:r>
    </w:p>
  </w:footnote>
  <w:footnote w:id="11">
    <w:p w14:paraId="3A853F7C" w14:textId="276DBDFA" w:rsidR="000D4031" w:rsidRDefault="000D4031">
      <w:pPr>
        <w:pStyle w:val="FootnoteText"/>
      </w:pPr>
      <w:r>
        <w:rPr>
          <w:rStyle w:val="FootnoteReference"/>
        </w:rPr>
        <w:footnoteRef/>
      </w:r>
      <w:r>
        <w:t xml:space="preserve"> We defined a service as </w:t>
      </w:r>
      <w:r w:rsidRPr="00C66780">
        <w:t>falling within the interurban market segment if: (</w:t>
      </w:r>
      <w:proofErr w:type="spellStart"/>
      <w:r w:rsidRPr="00C66780">
        <w:t>i</w:t>
      </w:r>
      <w:proofErr w:type="spellEnd"/>
      <w:r w:rsidRPr="00C66780">
        <w:t>) at least one of the stations served has average annual entries / exits above 15 million passengers per year, or the station served is within two miles of a station meeting that demand threshold; (ii) at least one other station served has average annual entries</w:t>
      </w:r>
      <w:r w:rsidR="00FB0657">
        <w:t xml:space="preserve"> </w:t>
      </w:r>
      <w:r w:rsidRPr="00C66780">
        <w:t>/</w:t>
      </w:r>
      <w:r w:rsidR="00FB0657">
        <w:t xml:space="preserve"> </w:t>
      </w:r>
      <w:r w:rsidRPr="00C66780">
        <w:t>exits above 10 million passengers per year or it is within two miles of a station meeting that demand threshold; and (iii) two of the stations served meeting these thresholds are at least 40 miles apart.</w:t>
      </w:r>
    </w:p>
  </w:footnote>
  <w:footnote w:id="12">
    <w:p w14:paraId="614DA6E7" w14:textId="340BA80C" w:rsidR="000D4031" w:rsidRDefault="000D4031">
      <w:pPr>
        <w:pStyle w:val="FootnoteText"/>
      </w:pPr>
      <w:r>
        <w:rPr>
          <w:rStyle w:val="FootnoteReference"/>
        </w:rPr>
        <w:footnoteRef/>
      </w:r>
      <w:r>
        <w:t xml:space="preserve"> </w:t>
      </w:r>
      <w:r w:rsidRPr="00671A5C">
        <w:t>Coal ha</w:t>
      </w:r>
      <w:r>
        <w:t>s</w:t>
      </w:r>
      <w:r w:rsidRPr="00671A5C">
        <w:t xml:space="preserve"> seen a </w:t>
      </w:r>
      <w:r w:rsidR="007823EB">
        <w:t>44.1</w:t>
      </w:r>
      <w:r w:rsidRPr="00671A5C">
        <w:t xml:space="preserve">% reduction in freight moved </w:t>
      </w:r>
      <w:r w:rsidR="007823EB">
        <w:t xml:space="preserve">in 2020-21, </w:t>
      </w:r>
      <w:r w:rsidRPr="00671A5C">
        <w:t xml:space="preserve">compared with the </w:t>
      </w:r>
      <w:r w:rsidR="007823EB">
        <w:t>previous year</w:t>
      </w:r>
      <w:r w:rsidRPr="00671A5C">
        <w:t>.</w:t>
      </w:r>
      <w:r>
        <w:t xml:space="preserve"> See </w:t>
      </w:r>
      <w:proofErr w:type="spellStart"/>
      <w:r>
        <w:t>ORR’s</w:t>
      </w:r>
      <w:proofErr w:type="spellEnd"/>
      <w:r>
        <w:t xml:space="preserve"> </w:t>
      </w:r>
      <w:r w:rsidRPr="00671A5C">
        <w:t xml:space="preserve">Freight Rail Usage and Performance 2020-21 Quarter </w:t>
      </w:r>
      <w:r w:rsidR="007823EB">
        <w:t>4</w:t>
      </w:r>
      <w:r w:rsidRPr="00671A5C">
        <w:t xml:space="preserve"> statistical release,</w:t>
      </w:r>
      <w:r w:rsidR="007823EB">
        <w:t xml:space="preserve"> </w:t>
      </w:r>
      <w:hyperlink r:id="rId4" w:anchor=":~:text=Freight%20rail%20usage%20and%20performance%20during%202020-21%20was,fell%20to%20their%20lowest%20level%20since%20the%20mid-90s." w:history="1">
        <w:r w:rsidR="007823EB">
          <w:rPr>
            <w:rStyle w:val="Hyperlink"/>
          </w:rPr>
          <w:t>Freight Rail Usage and Performance 2020-21 Quarter 4 (</w:t>
        </w:r>
        <w:proofErr w:type="spellStart"/>
        <w:r w:rsidR="007823EB">
          <w:rPr>
            <w:rStyle w:val="Hyperlink"/>
          </w:rPr>
          <w:t>orr.gov.uk</w:t>
        </w:r>
        <w:proofErr w:type="spellEnd"/>
        <w:r w:rsidR="007823EB">
          <w:rPr>
            <w:rStyle w:val="Hyperlink"/>
          </w:rPr>
          <w:t>)</w:t>
        </w:r>
      </w:hyperlink>
      <w:r>
        <w:t xml:space="preserve">. </w:t>
      </w:r>
    </w:p>
  </w:footnote>
  <w:footnote w:id="13">
    <w:p w14:paraId="3B11098C" w14:textId="1B742953" w:rsidR="000D4031" w:rsidRDefault="000D4031" w:rsidP="00972E2E">
      <w:pPr>
        <w:pStyle w:val="FootnoteText"/>
      </w:pPr>
      <w:r>
        <w:rPr>
          <w:rStyle w:val="FootnoteReference"/>
        </w:rPr>
        <w:footnoteRef/>
      </w:r>
      <w:r>
        <w:t xml:space="preserve"> Source: </w:t>
      </w:r>
      <w:proofErr w:type="spellStart"/>
      <w:r>
        <w:t>MDST</w:t>
      </w:r>
      <w:proofErr w:type="spellEnd"/>
      <w:r>
        <w:t xml:space="preserve"> (Nov 2006):</w:t>
      </w:r>
      <w:r w:rsidRPr="00972E2E">
        <w:t xml:space="preserve"> </w:t>
      </w:r>
      <w:r>
        <w:t xml:space="preserve">‘Impact of track access charge increases on rail freight traffic’, linked </w:t>
      </w:r>
      <w:hyperlink r:id="rId5" w:history="1">
        <w:r w:rsidRPr="00972E2E">
          <w:rPr>
            <w:rStyle w:val="Hyperlink"/>
          </w:rPr>
          <w:t>here</w:t>
        </w:r>
      </w:hyperlink>
      <w:r>
        <w:t xml:space="preserve">. The analysis also drew on a literature review by Clark (2005) on demand elasticities for different types of freight transport in the USA and Canada. </w:t>
      </w:r>
    </w:p>
  </w:footnote>
  <w:footnote w:id="14">
    <w:p w14:paraId="2104219E" w14:textId="2C748E64" w:rsidR="000D4031" w:rsidRDefault="000D4031">
      <w:pPr>
        <w:pStyle w:val="FootnoteText"/>
      </w:pPr>
      <w:r>
        <w:rPr>
          <w:rStyle w:val="FootnoteReference"/>
        </w:rPr>
        <w:footnoteRef/>
      </w:r>
      <w:r>
        <w:t xml:space="preserve"> We note that pairs (b), (d) and (f) are more relevant to stage 1 of the freight analysis.</w:t>
      </w:r>
    </w:p>
  </w:footnote>
  <w:footnote w:id="15">
    <w:p w14:paraId="741A54FF" w14:textId="0B6F956A" w:rsidR="00BA226A" w:rsidRDefault="00BA226A" w:rsidP="00BA226A">
      <w:pPr>
        <w:pStyle w:val="FootnoteText"/>
      </w:pPr>
      <w:r>
        <w:rPr>
          <w:rStyle w:val="FootnoteReference"/>
        </w:rPr>
        <w:footnoteRef/>
      </w:r>
      <w:r>
        <w:t xml:space="preserve"> We understand that Network Rail’s billing system cannot disaggregate below service code level (for passenger operators). Service codes contain a mix of peak and off-peak services. As such, this is likely to remain a relevant constraint for market segmentation by time of day / day of week. We note that a weighted-average approach is currently used to charge the existing ICC for services when only </w:t>
      </w:r>
      <w:r w:rsidRPr="007D24A4">
        <w:t xml:space="preserve">part of </w:t>
      </w:r>
      <w:r>
        <w:t>the</w:t>
      </w:r>
      <w:r w:rsidRPr="007D24A4">
        <w:t xml:space="preserve"> service is in</w:t>
      </w:r>
      <w:r>
        <w:t xml:space="preserve"> the interurban market segment,</w:t>
      </w:r>
      <w:r w:rsidRPr="007D24A4">
        <w:t xml:space="preserve"> and the other part of the service lies outside the intermarket segment</w:t>
      </w:r>
      <w:r>
        <w:t xml:space="preserve">.  </w:t>
      </w:r>
    </w:p>
  </w:footnote>
  <w:footnote w:id="16">
    <w:p w14:paraId="61F102EB" w14:textId="74AB5D61" w:rsidR="00C92BDD" w:rsidRDefault="00C92BDD">
      <w:pPr>
        <w:pStyle w:val="FootnoteText"/>
      </w:pPr>
      <w:r>
        <w:rPr>
          <w:rStyle w:val="FootnoteReference"/>
        </w:rPr>
        <w:footnoteRef/>
      </w:r>
      <w:r>
        <w:t xml:space="preserve"> We </w:t>
      </w:r>
      <w:r w:rsidR="00AD7DBB">
        <w:t xml:space="preserve">note that we </w:t>
      </w:r>
      <w:r>
        <w:t xml:space="preserve">have </w:t>
      </w:r>
      <w:r w:rsidR="00AD7DBB">
        <w:t xml:space="preserve">separately </w:t>
      </w:r>
      <w:r>
        <w:t xml:space="preserve">issued an ITT for </w:t>
      </w:r>
      <w:r w:rsidR="00E67F6C">
        <w:t xml:space="preserve">some work to support our open-access monitoring, which will also consider </w:t>
      </w:r>
      <w:r w:rsidR="00455D68">
        <w:t xml:space="preserve">trends in open-access </w:t>
      </w:r>
      <w:r w:rsidR="00E67F6C">
        <w:t xml:space="preserve">revenues. However, the nature of this analysis is more limited in scope. </w:t>
      </w:r>
    </w:p>
  </w:footnote>
  <w:footnote w:id="17">
    <w:p w14:paraId="16F2817C" w14:textId="3BD7ED2D" w:rsidR="00552FEB" w:rsidRPr="00552FEB" w:rsidRDefault="00552FEB">
      <w:pPr>
        <w:pStyle w:val="FootnoteText"/>
      </w:pPr>
      <w:r>
        <w:rPr>
          <w:rStyle w:val="FootnoteReference"/>
        </w:rPr>
        <w:footnoteRef/>
      </w:r>
      <w:r>
        <w:t xml:space="preserve"> See </w:t>
      </w:r>
      <w:r w:rsidR="00C34545">
        <w:t xml:space="preserve">for instance </w:t>
      </w:r>
      <w:r>
        <w:t xml:space="preserve">tables 7226 and 7233 in our Rail Industry Finance </w:t>
      </w:r>
      <w:hyperlink r:id="rId6" w:history="1">
        <w:r>
          <w:rPr>
            <w:rStyle w:val="Hyperlink"/>
          </w:rPr>
          <w:t>statistical release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0D4031" w:rsidRDefault="000D4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0D4031" w:rsidRDefault="000D4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0D4031" w:rsidRDefault="000D4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63AE098"/>
    <w:lvl w:ilvl="0">
      <w:start w:val="1"/>
      <w:numFmt w:val="decimal"/>
      <w:lvlText w:val="%1."/>
      <w:lvlJc w:val="left"/>
      <w:pPr>
        <w:tabs>
          <w:tab w:val="num" w:pos="643"/>
        </w:tabs>
        <w:ind w:left="643" w:hanging="360"/>
      </w:pPr>
    </w:lvl>
  </w:abstractNum>
  <w:abstractNum w:abstractNumId="1" w15:restartNumberingAfterBreak="0">
    <w:nsid w:val="0136282D"/>
    <w:multiLevelType w:val="hybridMultilevel"/>
    <w:tmpl w:val="FD6CC7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10BB1"/>
    <w:multiLevelType w:val="hybridMultilevel"/>
    <w:tmpl w:val="51E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A4B96"/>
    <w:multiLevelType w:val="hybridMultilevel"/>
    <w:tmpl w:val="E37836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F2360C"/>
    <w:multiLevelType w:val="hybridMultilevel"/>
    <w:tmpl w:val="6BECC6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14B78"/>
    <w:multiLevelType w:val="hybridMultilevel"/>
    <w:tmpl w:val="E9CA6E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F08E7"/>
    <w:multiLevelType w:val="hybridMultilevel"/>
    <w:tmpl w:val="AACE1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437D7E"/>
    <w:multiLevelType w:val="hybridMultilevel"/>
    <w:tmpl w:val="29F0385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36D5E"/>
    <w:multiLevelType w:val="hybridMultilevel"/>
    <w:tmpl w:val="1354C0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159D2"/>
    <w:multiLevelType w:val="hybridMultilevel"/>
    <w:tmpl w:val="6262D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C176C1"/>
    <w:multiLevelType w:val="hybridMultilevel"/>
    <w:tmpl w:val="30128AA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5"/>
  </w:num>
  <w:num w:numId="4">
    <w:abstractNumId w:val="5"/>
  </w:num>
  <w:num w:numId="5">
    <w:abstractNumId w:val="8"/>
  </w:num>
  <w:num w:numId="6">
    <w:abstractNumId w:val="6"/>
  </w:num>
  <w:num w:numId="7">
    <w:abstractNumId w:val="13"/>
  </w:num>
  <w:num w:numId="8">
    <w:abstractNumId w:val="20"/>
  </w:num>
  <w:num w:numId="9">
    <w:abstractNumId w:val="12"/>
  </w:num>
  <w:num w:numId="10">
    <w:abstractNumId w:val="9"/>
  </w:num>
  <w:num w:numId="11">
    <w:abstractNumId w:val="19"/>
  </w:num>
  <w:num w:numId="12">
    <w:abstractNumId w:val="17"/>
  </w:num>
  <w:num w:numId="13">
    <w:abstractNumId w:val="21"/>
  </w:num>
  <w:num w:numId="14">
    <w:abstractNumId w:val="2"/>
  </w:num>
  <w:num w:numId="15">
    <w:abstractNumId w:val="11"/>
  </w:num>
  <w:num w:numId="16">
    <w:abstractNumId w:val="14"/>
  </w:num>
  <w:num w:numId="17">
    <w:abstractNumId w:val="4"/>
  </w:num>
  <w:num w:numId="18">
    <w:abstractNumId w:val="10"/>
  </w:num>
  <w:num w:numId="19">
    <w:abstractNumId w:val="1"/>
  </w:num>
  <w:num w:numId="20">
    <w:abstractNumId w:val="16"/>
  </w:num>
  <w:num w:numId="21">
    <w:abstractNumId w:val="3"/>
  </w:num>
  <w:num w:numId="2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441D"/>
    <w:rsid w:val="00024E3D"/>
    <w:rsid w:val="00037613"/>
    <w:rsid w:val="000420B0"/>
    <w:rsid w:val="000427EE"/>
    <w:rsid w:val="00051743"/>
    <w:rsid w:val="00051E88"/>
    <w:rsid w:val="000617C2"/>
    <w:rsid w:val="00067C65"/>
    <w:rsid w:val="0008390F"/>
    <w:rsid w:val="00092ADD"/>
    <w:rsid w:val="00093B67"/>
    <w:rsid w:val="000941FF"/>
    <w:rsid w:val="000A5F39"/>
    <w:rsid w:val="000B2D64"/>
    <w:rsid w:val="000B4086"/>
    <w:rsid w:val="000B5073"/>
    <w:rsid w:val="000C69FC"/>
    <w:rsid w:val="000D04AA"/>
    <w:rsid w:val="000D0BDB"/>
    <w:rsid w:val="000D4031"/>
    <w:rsid w:val="000E3C88"/>
    <w:rsid w:val="000F3330"/>
    <w:rsid w:val="001119CD"/>
    <w:rsid w:val="00112AD5"/>
    <w:rsid w:val="00115682"/>
    <w:rsid w:val="00122562"/>
    <w:rsid w:val="00157922"/>
    <w:rsid w:val="001659A5"/>
    <w:rsid w:val="00174D34"/>
    <w:rsid w:val="001845B5"/>
    <w:rsid w:val="0018464F"/>
    <w:rsid w:val="001A4CE6"/>
    <w:rsid w:val="001A5D12"/>
    <w:rsid w:val="001B20EC"/>
    <w:rsid w:val="001B290C"/>
    <w:rsid w:val="001C1A38"/>
    <w:rsid w:val="001C3C1B"/>
    <w:rsid w:val="001D65A8"/>
    <w:rsid w:val="001D76AA"/>
    <w:rsid w:val="001E2516"/>
    <w:rsid w:val="001E2C53"/>
    <w:rsid w:val="001F3D6F"/>
    <w:rsid w:val="001F5AB1"/>
    <w:rsid w:val="001F5D6B"/>
    <w:rsid w:val="002049F4"/>
    <w:rsid w:val="002074D9"/>
    <w:rsid w:val="00233F1B"/>
    <w:rsid w:val="00243C6B"/>
    <w:rsid w:val="00261D83"/>
    <w:rsid w:val="00263408"/>
    <w:rsid w:val="00264DBA"/>
    <w:rsid w:val="0026778D"/>
    <w:rsid w:val="00271D57"/>
    <w:rsid w:val="00275F9E"/>
    <w:rsid w:val="00283BDE"/>
    <w:rsid w:val="002864C4"/>
    <w:rsid w:val="002916BB"/>
    <w:rsid w:val="002938B4"/>
    <w:rsid w:val="00296408"/>
    <w:rsid w:val="00296648"/>
    <w:rsid w:val="002B41D7"/>
    <w:rsid w:val="002B5AD2"/>
    <w:rsid w:val="002C108A"/>
    <w:rsid w:val="002F5969"/>
    <w:rsid w:val="0030765A"/>
    <w:rsid w:val="00314F73"/>
    <w:rsid w:val="00331E73"/>
    <w:rsid w:val="0033245B"/>
    <w:rsid w:val="00334AF1"/>
    <w:rsid w:val="00334E08"/>
    <w:rsid w:val="003776CE"/>
    <w:rsid w:val="00384A5B"/>
    <w:rsid w:val="003927CA"/>
    <w:rsid w:val="003B3ECA"/>
    <w:rsid w:val="003D5F57"/>
    <w:rsid w:val="003E05CA"/>
    <w:rsid w:val="003E1059"/>
    <w:rsid w:val="003E2732"/>
    <w:rsid w:val="003E4B06"/>
    <w:rsid w:val="003F065C"/>
    <w:rsid w:val="00407117"/>
    <w:rsid w:val="0040776B"/>
    <w:rsid w:val="0041445E"/>
    <w:rsid w:val="004252E4"/>
    <w:rsid w:val="004325E7"/>
    <w:rsid w:val="00432A5E"/>
    <w:rsid w:val="00444CA0"/>
    <w:rsid w:val="004513DD"/>
    <w:rsid w:val="00453956"/>
    <w:rsid w:val="00455D68"/>
    <w:rsid w:val="004604E9"/>
    <w:rsid w:val="00460D92"/>
    <w:rsid w:val="00475A92"/>
    <w:rsid w:val="004902F0"/>
    <w:rsid w:val="004905B0"/>
    <w:rsid w:val="004B157C"/>
    <w:rsid w:val="004C011F"/>
    <w:rsid w:val="004C228D"/>
    <w:rsid w:val="004C34BA"/>
    <w:rsid w:val="004C5793"/>
    <w:rsid w:val="004D4E66"/>
    <w:rsid w:val="004D70E7"/>
    <w:rsid w:val="004E4BEF"/>
    <w:rsid w:val="00512C13"/>
    <w:rsid w:val="005146EF"/>
    <w:rsid w:val="00524C19"/>
    <w:rsid w:val="00531B3A"/>
    <w:rsid w:val="00536FF3"/>
    <w:rsid w:val="00537E98"/>
    <w:rsid w:val="005404E3"/>
    <w:rsid w:val="005515F2"/>
    <w:rsid w:val="00552FEB"/>
    <w:rsid w:val="00557E34"/>
    <w:rsid w:val="00565051"/>
    <w:rsid w:val="00574E94"/>
    <w:rsid w:val="00575934"/>
    <w:rsid w:val="00582D51"/>
    <w:rsid w:val="00584EE2"/>
    <w:rsid w:val="00591ADB"/>
    <w:rsid w:val="005937CD"/>
    <w:rsid w:val="005E39BD"/>
    <w:rsid w:val="005F0096"/>
    <w:rsid w:val="005F6B2F"/>
    <w:rsid w:val="00623656"/>
    <w:rsid w:val="00631C6F"/>
    <w:rsid w:val="00637F8B"/>
    <w:rsid w:val="00642340"/>
    <w:rsid w:val="006511C2"/>
    <w:rsid w:val="00654BCA"/>
    <w:rsid w:val="00671A5C"/>
    <w:rsid w:val="00672A0C"/>
    <w:rsid w:val="00690C1B"/>
    <w:rsid w:val="006A1224"/>
    <w:rsid w:val="006A16CB"/>
    <w:rsid w:val="006A4DED"/>
    <w:rsid w:val="006A581D"/>
    <w:rsid w:val="006D3043"/>
    <w:rsid w:val="006F00D8"/>
    <w:rsid w:val="00745823"/>
    <w:rsid w:val="00746CF7"/>
    <w:rsid w:val="00757BCB"/>
    <w:rsid w:val="00761CD5"/>
    <w:rsid w:val="0076303B"/>
    <w:rsid w:val="007646FB"/>
    <w:rsid w:val="007823EB"/>
    <w:rsid w:val="00783369"/>
    <w:rsid w:val="007929CC"/>
    <w:rsid w:val="00792E01"/>
    <w:rsid w:val="007A44D1"/>
    <w:rsid w:val="007B331D"/>
    <w:rsid w:val="007C7098"/>
    <w:rsid w:val="007D0946"/>
    <w:rsid w:val="007D24A4"/>
    <w:rsid w:val="007D7EBE"/>
    <w:rsid w:val="007E7BBF"/>
    <w:rsid w:val="007F6BF1"/>
    <w:rsid w:val="007F74EC"/>
    <w:rsid w:val="00802EF8"/>
    <w:rsid w:val="008106BC"/>
    <w:rsid w:val="00815348"/>
    <w:rsid w:val="0081587D"/>
    <w:rsid w:val="00816CCC"/>
    <w:rsid w:val="00823849"/>
    <w:rsid w:val="008267B8"/>
    <w:rsid w:val="00826B40"/>
    <w:rsid w:val="00846CDC"/>
    <w:rsid w:val="00847992"/>
    <w:rsid w:val="00856151"/>
    <w:rsid w:val="008774DA"/>
    <w:rsid w:val="00882C9B"/>
    <w:rsid w:val="00883B44"/>
    <w:rsid w:val="008A6A59"/>
    <w:rsid w:val="008A76A9"/>
    <w:rsid w:val="008B7341"/>
    <w:rsid w:val="008D022C"/>
    <w:rsid w:val="008E0BF5"/>
    <w:rsid w:val="008E7901"/>
    <w:rsid w:val="008F608F"/>
    <w:rsid w:val="00907369"/>
    <w:rsid w:val="00907461"/>
    <w:rsid w:val="00921B28"/>
    <w:rsid w:val="009307F2"/>
    <w:rsid w:val="0095515E"/>
    <w:rsid w:val="0096525D"/>
    <w:rsid w:val="009706BF"/>
    <w:rsid w:val="00972E2E"/>
    <w:rsid w:val="009839E6"/>
    <w:rsid w:val="00985540"/>
    <w:rsid w:val="009878A7"/>
    <w:rsid w:val="00996D4E"/>
    <w:rsid w:val="00997C38"/>
    <w:rsid w:val="009A7A17"/>
    <w:rsid w:val="009D5033"/>
    <w:rsid w:val="009E7BDB"/>
    <w:rsid w:val="009F390A"/>
    <w:rsid w:val="009F5A74"/>
    <w:rsid w:val="00A0283B"/>
    <w:rsid w:val="00A05648"/>
    <w:rsid w:val="00A31A26"/>
    <w:rsid w:val="00A371F9"/>
    <w:rsid w:val="00A675E1"/>
    <w:rsid w:val="00A67D04"/>
    <w:rsid w:val="00A67E9D"/>
    <w:rsid w:val="00A75842"/>
    <w:rsid w:val="00A7635E"/>
    <w:rsid w:val="00A769FC"/>
    <w:rsid w:val="00A90076"/>
    <w:rsid w:val="00A94CAC"/>
    <w:rsid w:val="00AA5049"/>
    <w:rsid w:val="00AB5766"/>
    <w:rsid w:val="00AD52CE"/>
    <w:rsid w:val="00AD5774"/>
    <w:rsid w:val="00AD5960"/>
    <w:rsid w:val="00AD7DBB"/>
    <w:rsid w:val="00AE1F5B"/>
    <w:rsid w:val="00B154C3"/>
    <w:rsid w:val="00B25F53"/>
    <w:rsid w:val="00B87F28"/>
    <w:rsid w:val="00B92E84"/>
    <w:rsid w:val="00B95240"/>
    <w:rsid w:val="00BA226A"/>
    <w:rsid w:val="00BC35F0"/>
    <w:rsid w:val="00BC5926"/>
    <w:rsid w:val="00BE4C9D"/>
    <w:rsid w:val="00BE6D93"/>
    <w:rsid w:val="00C11D62"/>
    <w:rsid w:val="00C14B82"/>
    <w:rsid w:val="00C17EE8"/>
    <w:rsid w:val="00C20FC7"/>
    <w:rsid w:val="00C25098"/>
    <w:rsid w:val="00C34545"/>
    <w:rsid w:val="00C4072C"/>
    <w:rsid w:val="00C54AFA"/>
    <w:rsid w:val="00C64A59"/>
    <w:rsid w:val="00C66780"/>
    <w:rsid w:val="00C72615"/>
    <w:rsid w:val="00C771A4"/>
    <w:rsid w:val="00C8036C"/>
    <w:rsid w:val="00C82D59"/>
    <w:rsid w:val="00C85338"/>
    <w:rsid w:val="00C87DEF"/>
    <w:rsid w:val="00C92BDD"/>
    <w:rsid w:val="00C95557"/>
    <w:rsid w:val="00C95E5F"/>
    <w:rsid w:val="00CA57C0"/>
    <w:rsid w:val="00CC0AB6"/>
    <w:rsid w:val="00CC5DC3"/>
    <w:rsid w:val="00CE1588"/>
    <w:rsid w:val="00CE7AF8"/>
    <w:rsid w:val="00D14A90"/>
    <w:rsid w:val="00D20010"/>
    <w:rsid w:val="00D22138"/>
    <w:rsid w:val="00D22CBB"/>
    <w:rsid w:val="00D52407"/>
    <w:rsid w:val="00D55305"/>
    <w:rsid w:val="00D66D02"/>
    <w:rsid w:val="00D72DAA"/>
    <w:rsid w:val="00D74997"/>
    <w:rsid w:val="00D83339"/>
    <w:rsid w:val="00D85EA4"/>
    <w:rsid w:val="00D91202"/>
    <w:rsid w:val="00D96197"/>
    <w:rsid w:val="00DA7EEB"/>
    <w:rsid w:val="00DC6201"/>
    <w:rsid w:val="00DD5AA2"/>
    <w:rsid w:val="00DE4D89"/>
    <w:rsid w:val="00DF1D1C"/>
    <w:rsid w:val="00E07F8A"/>
    <w:rsid w:val="00E11857"/>
    <w:rsid w:val="00E16F73"/>
    <w:rsid w:val="00E255DD"/>
    <w:rsid w:val="00E374C3"/>
    <w:rsid w:val="00E42982"/>
    <w:rsid w:val="00E6515F"/>
    <w:rsid w:val="00E67F6C"/>
    <w:rsid w:val="00E76FD3"/>
    <w:rsid w:val="00E8426B"/>
    <w:rsid w:val="00E93674"/>
    <w:rsid w:val="00E96223"/>
    <w:rsid w:val="00EA3AF0"/>
    <w:rsid w:val="00EB6B1B"/>
    <w:rsid w:val="00EC0F74"/>
    <w:rsid w:val="00EC4554"/>
    <w:rsid w:val="00ED1D11"/>
    <w:rsid w:val="00ED706E"/>
    <w:rsid w:val="00EE5B43"/>
    <w:rsid w:val="00EF19B3"/>
    <w:rsid w:val="00F01F43"/>
    <w:rsid w:val="00F02CDE"/>
    <w:rsid w:val="00F03BB2"/>
    <w:rsid w:val="00F04107"/>
    <w:rsid w:val="00F25C06"/>
    <w:rsid w:val="00F26B55"/>
    <w:rsid w:val="00F420F7"/>
    <w:rsid w:val="00F421D4"/>
    <w:rsid w:val="00F42D10"/>
    <w:rsid w:val="00F52BE8"/>
    <w:rsid w:val="00F668C6"/>
    <w:rsid w:val="00F70035"/>
    <w:rsid w:val="00F769AA"/>
    <w:rsid w:val="00F81E26"/>
    <w:rsid w:val="00FB0657"/>
    <w:rsid w:val="00FC655B"/>
    <w:rsid w:val="00FC7FBB"/>
    <w:rsid w:val="00FE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BAFABE41-AE83-4EF0-902F-40F8166C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D833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1"/>
      </w:numPr>
      <w:suppressAutoHyphens/>
      <w:spacing w:before="120" w:after="120"/>
    </w:pPr>
  </w:style>
  <w:style w:type="paragraph" w:styleId="ListNumber3">
    <w:name w:val="List Number 3"/>
    <w:basedOn w:val="Normal"/>
    <w:rsid w:val="00F52BE8"/>
    <w:pPr>
      <w:numPr>
        <w:ilvl w:val="2"/>
        <w:numId w:val="1"/>
      </w:numPr>
      <w:suppressAutoHyphens/>
      <w:spacing w:before="120" w:after="120"/>
    </w:pPr>
    <w:rPr>
      <w:bCs/>
    </w:rPr>
  </w:style>
  <w:style w:type="paragraph" w:styleId="ListNumber">
    <w:name w:val="List Number"/>
    <w:rsid w:val="00F52BE8"/>
    <w:pPr>
      <w:numPr>
        <w:numId w:val="1"/>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character" w:styleId="CommentReference">
    <w:name w:val="annotation reference"/>
    <w:basedOn w:val="DefaultParagraphFont"/>
    <w:uiPriority w:val="99"/>
    <w:semiHidden/>
    <w:unhideWhenUsed/>
    <w:rsid w:val="001F5D6B"/>
    <w:rPr>
      <w:sz w:val="16"/>
      <w:szCs w:val="16"/>
    </w:rPr>
  </w:style>
  <w:style w:type="paragraph" w:styleId="CommentText">
    <w:name w:val="annotation text"/>
    <w:basedOn w:val="Normal"/>
    <w:link w:val="CommentTextChar"/>
    <w:uiPriority w:val="99"/>
    <w:unhideWhenUsed/>
    <w:rsid w:val="001F5D6B"/>
    <w:rPr>
      <w:sz w:val="20"/>
    </w:rPr>
  </w:style>
  <w:style w:type="character" w:customStyle="1" w:styleId="CommentTextChar">
    <w:name w:val="Comment Text Char"/>
    <w:basedOn w:val="DefaultParagraphFont"/>
    <w:link w:val="CommentText"/>
    <w:uiPriority w:val="99"/>
    <w:rsid w:val="001F5D6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F5D6B"/>
    <w:rPr>
      <w:b/>
      <w:bCs/>
    </w:rPr>
  </w:style>
  <w:style w:type="character" w:customStyle="1" w:styleId="CommentSubjectChar">
    <w:name w:val="Comment Subject Char"/>
    <w:basedOn w:val="CommentTextChar"/>
    <w:link w:val="CommentSubject"/>
    <w:uiPriority w:val="99"/>
    <w:semiHidden/>
    <w:rsid w:val="001F5D6B"/>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1F5D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D6B"/>
    <w:rPr>
      <w:rFonts w:ascii="Segoe UI" w:eastAsia="Times New Roman" w:hAnsi="Segoe UI" w:cs="Segoe UI"/>
      <w:sz w:val="18"/>
      <w:szCs w:val="18"/>
      <w:lang w:val="en-GB"/>
    </w:rPr>
  </w:style>
  <w:style w:type="paragraph" w:styleId="FootnoteText">
    <w:name w:val="footnote text"/>
    <w:basedOn w:val="Normal"/>
    <w:link w:val="FootnoteTextChar"/>
    <w:uiPriority w:val="99"/>
    <w:semiHidden/>
    <w:unhideWhenUsed/>
    <w:rsid w:val="00E16F73"/>
    <w:pPr>
      <w:spacing w:after="0"/>
    </w:pPr>
    <w:rPr>
      <w:sz w:val="20"/>
    </w:rPr>
  </w:style>
  <w:style w:type="character" w:customStyle="1" w:styleId="FootnoteTextChar">
    <w:name w:val="Footnote Text Char"/>
    <w:basedOn w:val="DefaultParagraphFont"/>
    <w:link w:val="FootnoteText"/>
    <w:uiPriority w:val="99"/>
    <w:semiHidden/>
    <w:rsid w:val="00E16F73"/>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E16F73"/>
    <w:rPr>
      <w:vertAlign w:val="superscript"/>
    </w:rPr>
  </w:style>
  <w:style w:type="table" w:styleId="TableGrid">
    <w:name w:val="Table Grid"/>
    <w:basedOn w:val="TableNormal"/>
    <w:uiPriority w:val="39"/>
    <w:rsid w:val="00877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3339"/>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4060">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12206368">
      <w:bodyDiv w:val="1"/>
      <w:marLeft w:val="0"/>
      <w:marRight w:val="0"/>
      <w:marTop w:val="0"/>
      <w:marBottom w:val="0"/>
      <w:divBdr>
        <w:top w:val="none" w:sz="0" w:space="0" w:color="auto"/>
        <w:left w:val="none" w:sz="0" w:space="0" w:color="auto"/>
        <w:bottom w:val="none" w:sz="0" w:space="0" w:color="auto"/>
        <w:right w:val="none" w:sz="0" w:space="0" w:color="auto"/>
      </w:divBdr>
    </w:div>
    <w:div w:id="1313606167">
      <w:bodyDiv w:val="1"/>
      <w:marLeft w:val="0"/>
      <w:marRight w:val="0"/>
      <w:marTop w:val="0"/>
      <w:marBottom w:val="0"/>
      <w:divBdr>
        <w:top w:val="none" w:sz="0" w:space="0" w:color="auto"/>
        <w:left w:val="none" w:sz="0" w:space="0" w:color="auto"/>
        <w:bottom w:val="none" w:sz="0" w:space="0" w:color="auto"/>
        <w:right w:val="none" w:sz="0" w:space="0" w:color="auto"/>
      </w:divBdr>
    </w:div>
    <w:div w:id="1593271280">
      <w:bodyDiv w:val="1"/>
      <w:marLeft w:val="0"/>
      <w:marRight w:val="0"/>
      <w:marTop w:val="0"/>
      <w:marBottom w:val="0"/>
      <w:divBdr>
        <w:top w:val="none" w:sz="0" w:space="0" w:color="auto"/>
        <w:left w:val="none" w:sz="0" w:space="0" w:color="auto"/>
        <w:bottom w:val="none" w:sz="0" w:space="0" w:color="auto"/>
        <w:right w:val="none" w:sz="0" w:space="0" w:color="auto"/>
      </w:divBdr>
    </w:div>
    <w:div w:id="159987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rr.gov.uk/media/17233"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orr.gov.uk/sites/default/files/om/cepa-mcb-freight-report-final-redacted.pdf" TargetMode="External"/><Relationship Id="rId7" Type="http://schemas.openxmlformats.org/officeDocument/2006/relationships/endnotes" Target="endnotes.xml"/><Relationship Id="rId12" Type="http://schemas.openxmlformats.org/officeDocument/2006/relationships/hyperlink" Target="https://www.orr.gov.uk/media/17233" TargetMode="External"/><Relationship Id="rId17" Type="http://schemas.openxmlformats.org/officeDocument/2006/relationships/footer" Target="footer2.xml"/><Relationship Id="rId25" Type="http://schemas.openxmlformats.org/officeDocument/2006/relationships/hyperlink" Target="https://www.orr.gov.uk/sites/default/files/om/pr18-consultation-on-open-access-infrastructure-cost-charges-implementation-conclusions.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orr.gov.uk/sites/default/files/om/pr18-final-determination-infrastructure-cost-charges-consultation-con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r.gov.uk/sites/default/files/om/pr18-consultation-on-open-access-infrastructure-cost-charges-implementation-conclusions.pdf" TargetMode="External"/><Relationship Id="rId24" Type="http://schemas.openxmlformats.org/officeDocument/2006/relationships/hyperlink" Target="https://www.orr.gov.uk/media/14210"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orr.gov.uk/sites/default/files/om/mds-freight-nov06.pdf" TargetMode="External"/><Relationship Id="rId10" Type="http://schemas.openxmlformats.org/officeDocument/2006/relationships/hyperlink" Target="https://www.orr.gov.uk/sites/default/files/2021-07/pr23-access-charges-review-initial-consultation-july-2021.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1.xml"/><Relationship Id="rId22" Type="http://schemas.openxmlformats.org/officeDocument/2006/relationships/hyperlink" Target="https://www.orr.gov.uk/media/1722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rr.gov.uk/media/14210" TargetMode="External"/><Relationship Id="rId2" Type="http://schemas.openxmlformats.org/officeDocument/2006/relationships/hyperlink" Target="https://www.orr.gov.uk/sites/default/files/om/cepa-mcb-freight-report-final-redacted.pdf" TargetMode="External"/><Relationship Id="rId1" Type="http://schemas.openxmlformats.org/officeDocument/2006/relationships/hyperlink" Target="https://www.orr.gov.uk/sites/default/files/2021-06/2021-06-17-pr23-launch-letter.pdf" TargetMode="External"/><Relationship Id="rId6" Type="http://schemas.openxmlformats.org/officeDocument/2006/relationships/hyperlink" Target="https://dataportal.orr.gov.uk/statistics/finance/rail-industry-finance" TargetMode="External"/><Relationship Id="rId5" Type="http://schemas.openxmlformats.org/officeDocument/2006/relationships/hyperlink" Target="https://www.orr.gov.uk/sites/default/files/om/mds-freight-nov06.pdf" TargetMode="External"/><Relationship Id="rId4" Type="http://schemas.openxmlformats.org/officeDocument/2006/relationships/hyperlink" Target="https://dataportal.orr.gov.uk/media/1945/freight-rail-usage-and-performance-2020-21-q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4003D-8C46-4801-BB70-82E77A28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7863</Words>
  <Characters>44825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52583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4</cp:revision>
  <cp:lastPrinted>2021-08-06T09:16:00Z</cp:lastPrinted>
  <dcterms:created xsi:type="dcterms:W3CDTF">2021-08-06T09:59:00Z</dcterms:created>
  <dcterms:modified xsi:type="dcterms:W3CDTF">2021-08-09T11:33:00Z</dcterms:modified>
</cp:coreProperties>
</file>