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5F285831"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OF:</w:t>
      </w:r>
      <w:r w:rsidR="0058542A" w:rsidRPr="0058542A">
        <w:t xml:space="preserve"> RSSB2632 - T1134 Understanding drivers that impact travel choice</w:t>
      </w:r>
    </w:p>
    <w:p w14:paraId="367CB7EE" w14:textId="73683531" w:rsidR="00E52B87" w:rsidRPr="00E52B87" w:rsidRDefault="00E52B87" w:rsidP="00E52B87">
      <w:pPr>
        <w:pStyle w:val="CoverTitle"/>
      </w:pPr>
    </w:p>
    <w:p w14:paraId="69A8EB25" w14:textId="29F8BFE9" w:rsidR="00E52B87" w:rsidRPr="00E52B87" w:rsidRDefault="00E52B87" w:rsidP="00E52B87">
      <w:pPr>
        <w:pStyle w:val="CoverSubTitle"/>
      </w:pPr>
      <w:r w:rsidRPr="00E52B87">
        <w:t xml:space="preserve">Deadline: </w:t>
      </w:r>
      <w:r w:rsidR="005356EB">
        <w:t xml:space="preserve">Friday </w:t>
      </w:r>
      <w:r w:rsidR="00D11515">
        <w:t>20</w:t>
      </w:r>
      <w:r w:rsidR="006D1C93" w:rsidRPr="006D1C93">
        <w:rPr>
          <w:vertAlign w:val="superscript"/>
        </w:rPr>
        <w:t>th</w:t>
      </w:r>
      <w:r w:rsidR="006D1C93">
        <w:t xml:space="preserve"> </w:t>
      </w:r>
      <w:r w:rsidR="00801CC8">
        <w:t>October</w:t>
      </w:r>
      <w:r w:rsidR="006D1C93">
        <w:t xml:space="preserve"> </w:t>
      </w:r>
      <w:r w:rsidR="002A7571">
        <w:t>201</w:t>
      </w:r>
      <w:r w:rsidR="00833C7A">
        <w:t>7</w:t>
      </w:r>
      <w:r w:rsidRPr="00E52B87">
        <w:t xml:space="preserve"> </w:t>
      </w:r>
    </w:p>
    <w:p w14:paraId="1051D870" w14:textId="1BA8891E" w:rsidR="00E52B87" w:rsidRPr="00E52B87" w:rsidRDefault="00E52B87" w:rsidP="00E52B87">
      <w:pPr>
        <w:pStyle w:val="CoverSubTitle"/>
      </w:pPr>
      <w:r w:rsidRPr="00E52B87">
        <w:t xml:space="preserve">ITT Reference: </w:t>
      </w:r>
      <w:r w:rsidR="0095659E">
        <w:t xml:space="preserve"> </w:t>
      </w:r>
      <w:r w:rsidR="00836554" w:rsidRPr="0058542A">
        <w:t>RSSB2632 - T1134 Understanding drivers that impact travel choice</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55" w:type="pct"/>
        <w:tblLayout w:type="fixed"/>
        <w:tblCellMar>
          <w:left w:w="0" w:type="dxa"/>
          <w:right w:w="0" w:type="dxa"/>
        </w:tblCellMar>
        <w:tblLook w:val="04A0" w:firstRow="1" w:lastRow="0" w:firstColumn="1" w:lastColumn="0" w:noHBand="0" w:noVBand="1"/>
      </w:tblPr>
      <w:tblGrid>
        <w:gridCol w:w="3534"/>
        <w:gridCol w:w="4677"/>
      </w:tblGrid>
      <w:tr w:rsidR="00D11515" w14:paraId="21D2036A" w14:textId="77777777" w:rsidTr="00D11515">
        <w:trPr>
          <w:trHeight w:val="504"/>
        </w:trPr>
        <w:tc>
          <w:tcPr>
            <w:tcW w:w="2152"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2AFC44D" w14:textId="77777777" w:rsidR="00D11515" w:rsidRDefault="00D11515">
            <w:pPr>
              <w:spacing w:before="120" w:after="120"/>
              <w:rPr>
                <w:rFonts w:ascii="Calibri" w:hAnsi="Calibri" w:cs="Calibri"/>
                <w:b/>
                <w:bCs/>
                <w:sz w:val="24"/>
                <w:szCs w:val="24"/>
                <w:lang w:eastAsia="en-GB"/>
              </w:rPr>
            </w:pPr>
          </w:p>
        </w:tc>
        <w:tc>
          <w:tcPr>
            <w:tcW w:w="284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3C6EF2B" w14:textId="22DE0186" w:rsidR="00D11515" w:rsidRDefault="00D11515">
            <w:pPr>
              <w:spacing w:before="120" w:after="120"/>
              <w:jc w:val="center"/>
              <w:rPr>
                <w:b/>
                <w:bCs/>
                <w:sz w:val="24"/>
                <w:szCs w:val="24"/>
                <w:lang w:eastAsia="en-GB"/>
              </w:rPr>
            </w:pPr>
          </w:p>
        </w:tc>
      </w:tr>
      <w:tr w:rsidR="00D11515" w14:paraId="0810F2D4" w14:textId="77777777" w:rsidTr="00D11515">
        <w:trPr>
          <w:trHeight w:val="504"/>
        </w:trPr>
        <w:tc>
          <w:tcPr>
            <w:tcW w:w="215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0D9B53B" w14:textId="77777777" w:rsidR="00D11515" w:rsidRDefault="00D11515">
            <w:pPr>
              <w:spacing w:before="120" w:after="120"/>
              <w:jc w:val="both"/>
              <w:rPr>
                <w:sz w:val="24"/>
                <w:szCs w:val="24"/>
                <w:lang w:eastAsia="en-GB"/>
              </w:rPr>
            </w:pPr>
            <w:r>
              <w:rPr>
                <w:sz w:val="24"/>
                <w:szCs w:val="24"/>
                <w:lang w:eastAsia="en-GB"/>
              </w:rPr>
              <w:t>ITT issued</w:t>
            </w:r>
          </w:p>
        </w:tc>
        <w:tc>
          <w:tcPr>
            <w:tcW w:w="2848" w:type="pct"/>
            <w:tcBorders>
              <w:top w:val="nil"/>
              <w:left w:val="nil"/>
              <w:bottom w:val="single" w:sz="8" w:space="0" w:color="808080"/>
              <w:right w:val="single" w:sz="8" w:space="0" w:color="808080"/>
            </w:tcBorders>
            <w:tcMar>
              <w:top w:w="0" w:type="dxa"/>
              <w:left w:w="108" w:type="dxa"/>
              <w:bottom w:w="0" w:type="dxa"/>
              <w:right w:w="108" w:type="dxa"/>
            </w:tcMar>
            <w:hideMark/>
          </w:tcPr>
          <w:p w14:paraId="23B8EAB5" w14:textId="77777777" w:rsidR="00D11515" w:rsidRPr="003C6208" w:rsidRDefault="00D11515">
            <w:pPr>
              <w:spacing w:before="120" w:after="120"/>
              <w:rPr>
                <w:rFonts w:cs="Arial"/>
                <w:sz w:val="24"/>
                <w:szCs w:val="24"/>
                <w:lang w:eastAsia="en-GB"/>
              </w:rPr>
            </w:pPr>
            <w:r w:rsidRPr="003C6208">
              <w:rPr>
                <w:rFonts w:cs="Arial"/>
                <w:sz w:val="24"/>
                <w:szCs w:val="24"/>
                <w:lang w:eastAsia="en-GB"/>
              </w:rPr>
              <w:t>19 September</w:t>
            </w:r>
          </w:p>
        </w:tc>
      </w:tr>
      <w:tr w:rsidR="00D11515" w14:paraId="02E96FB3" w14:textId="77777777" w:rsidTr="00D11515">
        <w:trPr>
          <w:trHeight w:val="516"/>
        </w:trPr>
        <w:tc>
          <w:tcPr>
            <w:tcW w:w="215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D407706" w14:textId="77777777" w:rsidR="00D11515" w:rsidRDefault="00D11515">
            <w:pPr>
              <w:spacing w:before="120" w:after="120"/>
              <w:jc w:val="both"/>
              <w:rPr>
                <w:sz w:val="24"/>
                <w:szCs w:val="24"/>
                <w:lang w:eastAsia="en-GB"/>
              </w:rPr>
            </w:pPr>
            <w:r>
              <w:rPr>
                <w:sz w:val="24"/>
                <w:szCs w:val="24"/>
                <w:lang w:eastAsia="en-GB"/>
              </w:rPr>
              <w:t xml:space="preserve">Supplier clarification questions deadline </w:t>
            </w:r>
          </w:p>
        </w:tc>
        <w:tc>
          <w:tcPr>
            <w:tcW w:w="2848" w:type="pct"/>
            <w:tcBorders>
              <w:top w:val="nil"/>
              <w:left w:val="nil"/>
              <w:bottom w:val="single" w:sz="8" w:space="0" w:color="808080"/>
              <w:right w:val="single" w:sz="8" w:space="0" w:color="808080"/>
            </w:tcBorders>
            <w:tcMar>
              <w:top w:w="0" w:type="dxa"/>
              <w:left w:w="108" w:type="dxa"/>
              <w:bottom w:w="0" w:type="dxa"/>
              <w:right w:w="108" w:type="dxa"/>
            </w:tcMar>
            <w:hideMark/>
          </w:tcPr>
          <w:p w14:paraId="3F783DD8" w14:textId="23D8473D" w:rsidR="00D11515" w:rsidRPr="003C6208" w:rsidRDefault="00D11515">
            <w:pPr>
              <w:spacing w:before="120" w:after="120"/>
              <w:rPr>
                <w:rFonts w:cs="Arial"/>
                <w:sz w:val="24"/>
                <w:szCs w:val="24"/>
                <w:lang w:eastAsia="en-GB"/>
              </w:rPr>
            </w:pPr>
            <w:r w:rsidRPr="003C6208">
              <w:rPr>
                <w:rFonts w:cs="Arial"/>
                <w:sz w:val="24"/>
                <w:szCs w:val="24"/>
                <w:lang w:eastAsia="en-GB"/>
              </w:rPr>
              <w:t>13</w:t>
            </w:r>
            <w:r w:rsidRPr="003C6208">
              <w:rPr>
                <w:rFonts w:cs="Arial"/>
                <w:sz w:val="24"/>
                <w:szCs w:val="24"/>
                <w:vertAlign w:val="superscript"/>
                <w:lang w:eastAsia="en-GB"/>
              </w:rPr>
              <w:t>th</w:t>
            </w:r>
            <w:r w:rsidRPr="003C6208">
              <w:rPr>
                <w:rFonts w:cs="Arial"/>
                <w:sz w:val="24"/>
                <w:szCs w:val="24"/>
                <w:lang w:eastAsia="en-GB"/>
              </w:rPr>
              <w:t xml:space="preserve"> October</w:t>
            </w:r>
          </w:p>
        </w:tc>
      </w:tr>
      <w:tr w:rsidR="00D11515" w14:paraId="1C778857" w14:textId="77777777" w:rsidTr="00D11515">
        <w:trPr>
          <w:trHeight w:val="280"/>
        </w:trPr>
        <w:tc>
          <w:tcPr>
            <w:tcW w:w="215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06ECC8A" w14:textId="77777777" w:rsidR="00D11515" w:rsidRDefault="00D11515">
            <w:pPr>
              <w:spacing w:before="120" w:after="120"/>
              <w:jc w:val="both"/>
              <w:rPr>
                <w:b/>
                <w:bCs/>
                <w:color w:val="FF0000"/>
                <w:sz w:val="24"/>
                <w:szCs w:val="24"/>
                <w:lang w:eastAsia="en-GB"/>
              </w:rPr>
            </w:pPr>
            <w:r>
              <w:rPr>
                <w:b/>
                <w:bCs/>
                <w:color w:val="FF0000"/>
                <w:sz w:val="24"/>
                <w:szCs w:val="24"/>
                <w:lang w:eastAsia="en-GB"/>
              </w:rPr>
              <w:t>Deadline for Submitting Tenders</w:t>
            </w:r>
          </w:p>
        </w:tc>
        <w:tc>
          <w:tcPr>
            <w:tcW w:w="2848" w:type="pct"/>
            <w:tcBorders>
              <w:top w:val="nil"/>
              <w:left w:val="nil"/>
              <w:bottom w:val="single" w:sz="8" w:space="0" w:color="808080"/>
              <w:right w:val="single" w:sz="8" w:space="0" w:color="808080"/>
            </w:tcBorders>
            <w:tcMar>
              <w:top w:w="0" w:type="dxa"/>
              <w:left w:w="108" w:type="dxa"/>
              <w:bottom w:w="0" w:type="dxa"/>
              <w:right w:w="108" w:type="dxa"/>
            </w:tcMar>
            <w:hideMark/>
          </w:tcPr>
          <w:p w14:paraId="1A1B1814" w14:textId="77777777" w:rsidR="00D11515" w:rsidRPr="003C6208" w:rsidRDefault="00D11515">
            <w:pPr>
              <w:spacing w:before="120" w:after="120"/>
              <w:rPr>
                <w:rFonts w:cs="Arial"/>
                <w:b/>
                <w:bCs/>
                <w:color w:val="FF0000"/>
                <w:sz w:val="24"/>
                <w:szCs w:val="24"/>
                <w:lang w:eastAsia="en-GB"/>
              </w:rPr>
            </w:pPr>
            <w:r w:rsidRPr="003C6208">
              <w:rPr>
                <w:rFonts w:cs="Arial"/>
                <w:b/>
                <w:bCs/>
                <w:color w:val="FF0000"/>
                <w:sz w:val="24"/>
                <w:szCs w:val="24"/>
                <w:lang w:eastAsia="en-GB"/>
              </w:rPr>
              <w:t>20</w:t>
            </w:r>
            <w:r w:rsidRPr="003C6208">
              <w:rPr>
                <w:rFonts w:cs="Arial"/>
                <w:b/>
                <w:bCs/>
                <w:color w:val="FF0000"/>
                <w:sz w:val="24"/>
                <w:szCs w:val="24"/>
                <w:vertAlign w:val="superscript"/>
                <w:lang w:eastAsia="en-GB"/>
              </w:rPr>
              <w:t>th</w:t>
            </w:r>
            <w:r w:rsidRPr="003C6208">
              <w:rPr>
                <w:rFonts w:cs="Arial"/>
                <w:b/>
                <w:bCs/>
                <w:color w:val="FF0000"/>
                <w:sz w:val="24"/>
                <w:szCs w:val="24"/>
                <w:lang w:eastAsia="en-GB"/>
              </w:rPr>
              <w:t xml:space="preserve"> October</w:t>
            </w:r>
          </w:p>
        </w:tc>
      </w:tr>
      <w:tr w:rsidR="00E65178" w14:paraId="2AB13492" w14:textId="77777777" w:rsidTr="00D11515">
        <w:trPr>
          <w:trHeight w:val="624"/>
        </w:trPr>
        <w:tc>
          <w:tcPr>
            <w:tcW w:w="215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0B6399D" w14:textId="1245FC43" w:rsidR="00E65178" w:rsidRDefault="00E65178" w:rsidP="00E65178">
            <w:pPr>
              <w:spacing w:before="120" w:after="120"/>
              <w:jc w:val="both"/>
              <w:rPr>
                <w:sz w:val="24"/>
                <w:szCs w:val="24"/>
                <w:lang w:eastAsia="en-GB"/>
              </w:rPr>
            </w:pPr>
            <w:r>
              <w:rPr>
                <w:sz w:val="24"/>
                <w:szCs w:val="24"/>
                <w:lang w:eastAsia="en-GB"/>
              </w:rPr>
              <w:t>Post Tender</w:t>
            </w:r>
            <w:r>
              <w:rPr>
                <w:sz w:val="24"/>
                <w:szCs w:val="24"/>
                <w:lang w:eastAsia="en-GB"/>
              </w:rPr>
              <w:t xml:space="preserve"> Evaluation and</w:t>
            </w:r>
            <w:r>
              <w:rPr>
                <w:sz w:val="24"/>
                <w:szCs w:val="24"/>
                <w:lang w:eastAsia="en-GB"/>
              </w:rPr>
              <w:t xml:space="preserve"> Clarification </w:t>
            </w:r>
          </w:p>
        </w:tc>
        <w:tc>
          <w:tcPr>
            <w:tcW w:w="2848" w:type="pct"/>
            <w:tcBorders>
              <w:top w:val="nil"/>
              <w:left w:val="nil"/>
              <w:bottom w:val="single" w:sz="8" w:space="0" w:color="808080"/>
              <w:right w:val="single" w:sz="8" w:space="0" w:color="808080"/>
            </w:tcBorders>
            <w:tcMar>
              <w:top w:w="0" w:type="dxa"/>
              <w:left w:w="108" w:type="dxa"/>
              <w:bottom w:w="0" w:type="dxa"/>
              <w:right w:w="108" w:type="dxa"/>
            </w:tcMar>
            <w:hideMark/>
          </w:tcPr>
          <w:p w14:paraId="29408168" w14:textId="36708964" w:rsidR="00E65178" w:rsidRPr="003C6208" w:rsidRDefault="003C6208" w:rsidP="00E65178">
            <w:pPr>
              <w:spacing w:before="120" w:after="120"/>
              <w:rPr>
                <w:rFonts w:cs="Arial"/>
                <w:sz w:val="24"/>
                <w:szCs w:val="24"/>
                <w:lang w:eastAsia="en-GB"/>
              </w:rPr>
            </w:pPr>
            <w:r w:rsidRPr="003C6208">
              <w:rPr>
                <w:rFonts w:cs="Arial"/>
                <w:sz w:val="24"/>
                <w:szCs w:val="24"/>
              </w:rPr>
              <w:t>W/C 6</w:t>
            </w:r>
            <w:r w:rsidRPr="003C6208">
              <w:rPr>
                <w:rFonts w:cs="Arial"/>
                <w:sz w:val="24"/>
                <w:szCs w:val="24"/>
                <w:vertAlign w:val="superscript"/>
              </w:rPr>
              <w:t>th</w:t>
            </w:r>
            <w:r w:rsidRPr="003C6208">
              <w:rPr>
                <w:rFonts w:cs="Arial"/>
                <w:sz w:val="24"/>
                <w:szCs w:val="24"/>
              </w:rPr>
              <w:t xml:space="preserve"> November</w:t>
            </w:r>
          </w:p>
        </w:tc>
      </w:tr>
      <w:tr w:rsidR="00E65178" w14:paraId="4C99C80F" w14:textId="77777777" w:rsidTr="00D11515">
        <w:trPr>
          <w:trHeight w:val="504"/>
        </w:trPr>
        <w:tc>
          <w:tcPr>
            <w:tcW w:w="215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B3A8AF2" w14:textId="77777777" w:rsidR="00E65178" w:rsidRDefault="00E65178" w:rsidP="00E65178">
            <w:pPr>
              <w:spacing w:before="120" w:after="120"/>
              <w:jc w:val="both"/>
              <w:rPr>
                <w:sz w:val="24"/>
                <w:szCs w:val="24"/>
                <w:lang w:eastAsia="en-GB"/>
              </w:rPr>
            </w:pPr>
            <w:r>
              <w:rPr>
                <w:sz w:val="24"/>
                <w:szCs w:val="24"/>
                <w:lang w:eastAsia="en-GB"/>
              </w:rPr>
              <w:t>Estimated notification of award decision</w:t>
            </w:r>
          </w:p>
        </w:tc>
        <w:tc>
          <w:tcPr>
            <w:tcW w:w="2848" w:type="pct"/>
            <w:tcBorders>
              <w:top w:val="nil"/>
              <w:left w:val="nil"/>
              <w:bottom w:val="single" w:sz="8" w:space="0" w:color="808080"/>
              <w:right w:val="single" w:sz="8" w:space="0" w:color="808080"/>
            </w:tcBorders>
            <w:tcMar>
              <w:top w:w="0" w:type="dxa"/>
              <w:left w:w="108" w:type="dxa"/>
              <w:bottom w:w="0" w:type="dxa"/>
              <w:right w:w="108" w:type="dxa"/>
            </w:tcMar>
            <w:hideMark/>
          </w:tcPr>
          <w:p w14:paraId="27DC619F" w14:textId="75E8D55C" w:rsidR="00E65178" w:rsidRPr="003C6208" w:rsidRDefault="00E65178" w:rsidP="00E65178">
            <w:pPr>
              <w:spacing w:before="120" w:after="120"/>
              <w:rPr>
                <w:rFonts w:cs="Arial"/>
                <w:sz w:val="24"/>
                <w:szCs w:val="24"/>
                <w:lang w:eastAsia="en-GB"/>
              </w:rPr>
            </w:pPr>
            <w:r w:rsidRPr="003C6208">
              <w:rPr>
                <w:rFonts w:cs="Arial"/>
                <w:sz w:val="24"/>
                <w:szCs w:val="24"/>
              </w:rPr>
              <w:t>w/c 13 November 2017</w:t>
            </w:r>
          </w:p>
        </w:tc>
      </w:tr>
      <w:tr w:rsidR="00E65178" w14:paraId="37FCF751" w14:textId="77777777" w:rsidTr="00D11515">
        <w:trPr>
          <w:trHeight w:val="504"/>
        </w:trPr>
        <w:tc>
          <w:tcPr>
            <w:tcW w:w="215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29CC33D" w14:textId="77777777" w:rsidR="00E65178" w:rsidRDefault="00E65178" w:rsidP="00E65178">
            <w:pPr>
              <w:spacing w:before="120" w:after="120"/>
              <w:jc w:val="both"/>
              <w:rPr>
                <w:sz w:val="24"/>
                <w:szCs w:val="24"/>
                <w:lang w:eastAsia="en-GB"/>
              </w:rPr>
            </w:pPr>
            <w:r>
              <w:rPr>
                <w:sz w:val="24"/>
                <w:szCs w:val="24"/>
                <w:lang w:eastAsia="en-GB"/>
              </w:rPr>
              <w:t>Target contract commencement date</w:t>
            </w:r>
          </w:p>
        </w:tc>
        <w:tc>
          <w:tcPr>
            <w:tcW w:w="2848" w:type="pct"/>
            <w:tcBorders>
              <w:top w:val="nil"/>
              <w:left w:val="nil"/>
              <w:bottom w:val="single" w:sz="8" w:space="0" w:color="808080"/>
              <w:right w:val="single" w:sz="8" w:space="0" w:color="808080"/>
            </w:tcBorders>
            <w:tcMar>
              <w:top w:w="0" w:type="dxa"/>
              <w:left w:w="108" w:type="dxa"/>
              <w:bottom w:w="0" w:type="dxa"/>
              <w:right w:w="108" w:type="dxa"/>
            </w:tcMar>
            <w:hideMark/>
          </w:tcPr>
          <w:p w14:paraId="38F8B322" w14:textId="4F958704" w:rsidR="00E65178" w:rsidRPr="003C6208" w:rsidRDefault="00E65178" w:rsidP="00E65178">
            <w:pPr>
              <w:spacing w:before="120" w:after="120"/>
              <w:rPr>
                <w:rFonts w:cs="Arial"/>
                <w:sz w:val="24"/>
                <w:szCs w:val="24"/>
                <w:lang w:eastAsia="en-GB"/>
              </w:rPr>
            </w:pPr>
            <w:r w:rsidRPr="003C6208">
              <w:rPr>
                <w:rFonts w:cs="Arial"/>
                <w:sz w:val="24"/>
                <w:szCs w:val="24"/>
              </w:rPr>
              <w:t>w/c 20 November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144D30D" w14:textId="33488C7F" w:rsidR="006D1C93" w:rsidRDefault="000140D4" w:rsidP="00801CC8">
      <w:pPr>
        <w:pStyle w:val="Heading1"/>
        <w:numPr>
          <w:ilvl w:val="0"/>
          <w:numId w:val="0"/>
        </w:numPr>
      </w:pPr>
      <w:r>
        <w:lastRenderedPageBreak/>
        <w:t xml:space="preserve">7.0 TENDER EVALUATION </w:t>
      </w:r>
      <w:r w:rsidRPr="00E52B87">
        <w:t>(</w:t>
      </w:r>
      <w:r>
        <w:t>SELECTION CRITERIA)</w:t>
      </w:r>
    </w:p>
    <w:p w14:paraId="551117D6" w14:textId="3423362A" w:rsidR="009437FF" w:rsidRPr="00902E89" w:rsidRDefault="009437FF" w:rsidP="00902E89">
      <w:pPr>
        <w:spacing w:after="0" w:line="240" w:lineRule="auto"/>
        <w:rPr>
          <w:rFonts w:asciiTheme="minorHAnsi" w:eastAsia="Arial" w:hAnsiTheme="minorHAnsi"/>
        </w:rPr>
      </w:pP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1"/>
        <w:gridCol w:w="5461"/>
        <w:gridCol w:w="6924"/>
      </w:tblGrid>
      <w:tr w:rsidR="00E65178" w:rsidRPr="00A073A1" w14:paraId="5527EA64" w14:textId="77777777" w:rsidTr="001E7192">
        <w:trPr>
          <w:trHeight w:val="487"/>
          <w:tblHeader/>
        </w:trPr>
        <w:tc>
          <w:tcPr>
            <w:tcW w:w="8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A86CEF" w14:textId="77777777" w:rsidR="00E65178" w:rsidRPr="00A073A1" w:rsidRDefault="00E65178" w:rsidP="001E7192">
            <w:pPr>
              <w:spacing w:after="120" w:line="300" w:lineRule="exact"/>
              <w:rPr>
                <w:rFonts w:asciiTheme="minorHAnsi" w:hAnsiTheme="minorHAnsi" w:cs="Arial"/>
                <w:b/>
              </w:rPr>
            </w:pPr>
            <w:bookmarkStart w:id="10" w:name="_Hlk493496526"/>
            <w:r>
              <w:rPr>
                <w:rFonts w:asciiTheme="minorHAnsi" w:hAnsiTheme="minorHAnsi" w:cs="Arial"/>
                <w:b/>
              </w:rPr>
              <w:t>Heading</w:t>
            </w:r>
          </w:p>
        </w:tc>
        <w:tc>
          <w:tcPr>
            <w:tcW w:w="18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67DA4E" w14:textId="77777777" w:rsidR="00E65178" w:rsidRPr="00A073A1" w:rsidRDefault="00E65178" w:rsidP="001E7192">
            <w:pPr>
              <w:spacing w:after="120" w:line="300" w:lineRule="exact"/>
              <w:rPr>
                <w:rFonts w:asciiTheme="minorHAnsi" w:hAnsiTheme="minorHAnsi" w:cs="Arial"/>
                <w:b/>
              </w:rPr>
            </w:pPr>
            <w:r>
              <w:rPr>
                <w:rFonts w:asciiTheme="minorHAnsi" w:hAnsiTheme="minorHAnsi" w:cs="Arial"/>
                <w:b/>
              </w:rPr>
              <w:t>Specific question(s)</w:t>
            </w:r>
          </w:p>
        </w:tc>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2E8EC5" w14:textId="77777777" w:rsidR="00E65178" w:rsidRPr="00A073A1" w:rsidRDefault="00E65178" w:rsidP="001E7192">
            <w:pPr>
              <w:spacing w:after="120" w:line="300" w:lineRule="exact"/>
              <w:rPr>
                <w:rFonts w:asciiTheme="minorHAnsi" w:hAnsiTheme="minorHAnsi" w:cs="Arial"/>
                <w:b/>
              </w:rPr>
            </w:pPr>
            <w:r w:rsidRPr="00A073A1">
              <w:rPr>
                <w:rFonts w:asciiTheme="minorHAnsi" w:hAnsiTheme="minorHAnsi" w:cs="Arial"/>
                <w:b/>
              </w:rPr>
              <w:t>Evaluation Criteria</w:t>
            </w:r>
          </w:p>
        </w:tc>
      </w:tr>
      <w:tr w:rsidR="00E65178" w:rsidRPr="00A073A1" w14:paraId="0A16FA5D" w14:textId="77777777" w:rsidTr="001E7192">
        <w:trPr>
          <w:trHeight w:val="724"/>
          <w:tblHeader/>
        </w:trPr>
        <w:tc>
          <w:tcPr>
            <w:tcW w:w="8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57DB76" w14:textId="77777777" w:rsidR="00E65178" w:rsidRPr="00A073A1" w:rsidRDefault="00E65178" w:rsidP="001E7192">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 xml:space="preserve">supplier(s) in the use of data to assess trends and segment markets    </w:t>
            </w:r>
          </w:p>
        </w:tc>
        <w:tc>
          <w:tcPr>
            <w:tcW w:w="18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8B359B" w14:textId="77777777" w:rsidR="00E65178" w:rsidRPr="00A073A1" w:rsidRDefault="00E65178" w:rsidP="001E7192">
            <w:pPr>
              <w:spacing w:after="120" w:line="300" w:lineRule="exact"/>
              <w:rPr>
                <w:rFonts w:asciiTheme="minorHAnsi" w:hAnsiTheme="minorHAnsi" w:cs="Arial"/>
              </w:rPr>
            </w:pPr>
            <w:r>
              <w:rPr>
                <w:rFonts w:asciiTheme="minorHAnsi" w:hAnsiTheme="minorHAnsi" w:cs="Arial"/>
              </w:rPr>
              <w:t xml:space="preserve">Please provide a short description </w:t>
            </w:r>
            <w:r w:rsidRPr="00117B14">
              <w:rPr>
                <w:rFonts w:asciiTheme="minorHAnsi" w:hAnsiTheme="minorHAnsi" w:cs="Arial"/>
              </w:rPr>
              <w:t>(in no more than two pages)</w:t>
            </w:r>
            <w:r>
              <w:rPr>
                <w:rFonts w:asciiTheme="minorHAnsi" w:hAnsiTheme="minorHAnsi" w:cs="Arial"/>
              </w:rPr>
              <w:t xml:space="preserve"> of at least two</w:t>
            </w:r>
            <w:r w:rsidRPr="00A073A1">
              <w:rPr>
                <w:rFonts w:asciiTheme="minorHAnsi" w:hAnsiTheme="minorHAnsi" w:cs="Arial"/>
              </w:rPr>
              <w:t xml:space="preserve"> projects</w:t>
            </w:r>
            <w:r>
              <w:rPr>
                <w:rFonts w:asciiTheme="minorHAnsi" w:hAnsiTheme="minorHAnsi" w:cs="Arial"/>
              </w:rPr>
              <w:t xml:space="preserve"> involving the use of data, including market research data, to assess trends and segment markets. </w:t>
            </w:r>
            <w:r w:rsidRPr="002D3EF4">
              <w:rPr>
                <w:rFonts w:asciiTheme="minorHAnsi" w:hAnsiTheme="minorHAnsi" w:cs="Arial"/>
              </w:rPr>
              <w:t>P</w:t>
            </w:r>
            <w:r>
              <w:rPr>
                <w:rFonts w:asciiTheme="minorHAnsi" w:hAnsiTheme="minorHAnsi" w:cs="Arial"/>
              </w:rPr>
              <w:t>rovide a short explanation on why they are relevant to our needs.</w:t>
            </w:r>
          </w:p>
        </w:tc>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438F9" w14:textId="6628C4ED" w:rsidR="00E65178" w:rsidRPr="00003EEC" w:rsidRDefault="00E65178" w:rsidP="001E7192">
            <w:pPr>
              <w:spacing w:after="120" w:line="300" w:lineRule="exact"/>
              <w:rPr>
                <w:rFonts w:asciiTheme="minorHAnsi" w:hAnsiTheme="minorHAnsi" w:cs="Arial"/>
              </w:rPr>
            </w:pPr>
            <w:r w:rsidRPr="00003EEC">
              <w:rPr>
                <w:rFonts w:asciiTheme="minorHAnsi" w:hAnsiTheme="minorHAnsi" w:cs="Arial"/>
                <w:color w:val="00B050"/>
              </w:rPr>
              <w:t>Pass</w:t>
            </w:r>
            <w:r w:rsidRPr="00003EEC">
              <w:rPr>
                <w:rFonts w:asciiTheme="minorHAnsi" w:hAnsiTheme="minorHAnsi" w:cs="Arial"/>
              </w:rPr>
              <w:t>: The tenderer provides</w:t>
            </w:r>
            <w:r w:rsidR="008F3590">
              <w:rPr>
                <w:rFonts w:asciiTheme="minorHAnsi" w:hAnsiTheme="minorHAnsi" w:cs="Arial"/>
              </w:rPr>
              <w:t xml:space="preserve"> a short description of at least two projects involving the use of data, including market research data, to access trends and segment markets as well as providing</w:t>
            </w:r>
            <w:r w:rsidRPr="00003EEC">
              <w:rPr>
                <w:rFonts w:asciiTheme="minorHAnsi" w:hAnsiTheme="minorHAnsi" w:cs="Arial"/>
              </w:rPr>
              <w:t xml:space="preserve"> RSSB with a strong degree of confidence in its</w:t>
            </w:r>
            <w:r w:rsidRPr="00EE122C">
              <w:rPr>
                <w:rFonts w:asciiTheme="minorHAnsi" w:hAnsiTheme="minorHAnsi" w:cs="Arial"/>
              </w:rPr>
              <w:t xml:space="preserve"> experience </w:t>
            </w:r>
            <w:r>
              <w:rPr>
                <w:rFonts w:asciiTheme="minorHAnsi" w:hAnsiTheme="minorHAnsi" w:cs="Arial"/>
              </w:rPr>
              <w:t xml:space="preserve">shown in at least 2 projects using data, including market research data, to assess trends and segment markets    </w:t>
            </w:r>
          </w:p>
          <w:p w14:paraId="0C5A951C" w14:textId="77777777" w:rsidR="00E65178" w:rsidRPr="00A073A1" w:rsidRDefault="00E65178" w:rsidP="001E7192">
            <w:pPr>
              <w:spacing w:after="120" w:line="300" w:lineRule="exact"/>
              <w:rPr>
                <w:rFonts w:asciiTheme="minorHAnsi" w:hAnsiTheme="minorHAnsi" w:cs="Arial"/>
              </w:rPr>
            </w:pPr>
            <w:r w:rsidRPr="00EE122C">
              <w:rPr>
                <w:rFonts w:asciiTheme="minorHAnsi" w:hAnsiTheme="minorHAnsi" w:cs="Arial"/>
                <w:color w:val="FF0000"/>
              </w:rPr>
              <w:t>Fail</w:t>
            </w:r>
            <w:r w:rsidRPr="00EE122C">
              <w:rPr>
                <w:rFonts w:asciiTheme="minorHAnsi" w:hAnsiTheme="minorHAnsi" w:cs="Arial"/>
              </w:rPr>
              <w:t xml:space="preserve">: The tenderer either fails to provide evidence of at least two examples or fails to provide RSSB with sufficient confidence in its experience of delivering </w:t>
            </w:r>
            <w:r>
              <w:rPr>
                <w:rFonts w:asciiTheme="minorHAnsi" w:hAnsiTheme="minorHAnsi" w:cs="Arial"/>
              </w:rPr>
              <w:t xml:space="preserve">projects involving use data, including  market research data, to assess trends and segment markets.    </w:t>
            </w:r>
          </w:p>
        </w:tc>
      </w:tr>
      <w:tr w:rsidR="00E65178" w:rsidRPr="00A073A1" w14:paraId="66E02807" w14:textId="77777777" w:rsidTr="001E7192">
        <w:trPr>
          <w:trHeight w:val="724"/>
          <w:tblHeader/>
        </w:trPr>
        <w:tc>
          <w:tcPr>
            <w:tcW w:w="8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8F7530" w14:textId="77777777" w:rsidR="00E65178" w:rsidRPr="00A073A1" w:rsidRDefault="00E65178" w:rsidP="001E7192">
            <w:pPr>
              <w:spacing w:after="120" w:line="300" w:lineRule="exact"/>
              <w:rPr>
                <w:rFonts w:asciiTheme="minorHAnsi" w:hAnsiTheme="minorHAnsi" w:cs="Arial"/>
              </w:rPr>
            </w:pPr>
            <w:bookmarkStart w:id="11" w:name="_Hlk493496568"/>
            <w:bookmarkStart w:id="12" w:name="_Hlk493496787"/>
            <w:bookmarkStart w:id="13" w:name="_Hlk493496578"/>
            <w:r w:rsidRPr="00A073A1">
              <w:rPr>
                <w:rFonts w:asciiTheme="minorHAnsi" w:hAnsiTheme="minorHAnsi" w:cs="Arial"/>
              </w:rPr>
              <w:t xml:space="preserve">S2 Experience of the </w:t>
            </w:r>
            <w:r>
              <w:rPr>
                <w:rFonts w:asciiTheme="minorHAnsi" w:hAnsiTheme="minorHAnsi" w:cs="Arial"/>
              </w:rPr>
              <w:t>supplier(s)</w:t>
            </w:r>
            <w:r w:rsidRPr="00A073A1">
              <w:rPr>
                <w:rFonts w:asciiTheme="minorHAnsi" w:hAnsiTheme="minorHAnsi" w:cs="Arial"/>
              </w:rPr>
              <w:t xml:space="preserve"> </w:t>
            </w:r>
            <w:bookmarkEnd w:id="11"/>
            <w:r>
              <w:rPr>
                <w:rFonts w:asciiTheme="minorHAnsi" w:hAnsiTheme="minorHAnsi" w:cs="Arial"/>
              </w:rPr>
              <w:t>in future forecasting or scenario planning</w:t>
            </w:r>
            <w:bookmarkEnd w:id="12"/>
          </w:p>
        </w:tc>
        <w:tc>
          <w:tcPr>
            <w:tcW w:w="18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8F7D24" w14:textId="77777777" w:rsidR="00E65178" w:rsidRPr="00A073A1" w:rsidRDefault="00E65178" w:rsidP="001E7192">
            <w:pPr>
              <w:spacing w:after="120" w:line="300" w:lineRule="exact"/>
              <w:rPr>
                <w:rFonts w:asciiTheme="minorHAnsi" w:hAnsiTheme="minorHAnsi" w:cs="Arial"/>
              </w:rPr>
            </w:pPr>
            <w:r>
              <w:rPr>
                <w:rFonts w:asciiTheme="minorHAnsi" w:hAnsiTheme="minorHAnsi" w:cs="Arial"/>
              </w:rPr>
              <w:t xml:space="preserve">Please provide a short </w:t>
            </w:r>
            <w:r w:rsidRPr="002D3EF4">
              <w:rPr>
                <w:rFonts w:asciiTheme="minorHAnsi" w:hAnsiTheme="minorHAnsi" w:cs="Arial"/>
              </w:rPr>
              <w:t xml:space="preserve">description </w:t>
            </w:r>
            <w:r w:rsidRPr="00C83837">
              <w:rPr>
                <w:rFonts w:asciiTheme="minorHAnsi" w:hAnsiTheme="minorHAnsi" w:cs="Arial"/>
              </w:rPr>
              <w:t xml:space="preserve">(in no more than two pages) </w:t>
            </w:r>
            <w:r w:rsidRPr="002D3EF4">
              <w:rPr>
                <w:rFonts w:asciiTheme="minorHAnsi" w:hAnsiTheme="minorHAnsi" w:cs="Arial"/>
              </w:rPr>
              <w:t xml:space="preserve">of </w:t>
            </w:r>
            <w:r>
              <w:rPr>
                <w:rFonts w:asciiTheme="minorHAnsi" w:hAnsiTheme="minorHAnsi" w:cs="Arial"/>
              </w:rPr>
              <w:t>development of a set of scenarios to assess outcomes over the medium to longer term (up to 20 years). Provide a short explanation on why they are relevant to our needs.</w:t>
            </w:r>
          </w:p>
        </w:tc>
        <w:tc>
          <w:tcPr>
            <w:tcW w:w="22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C0AB97" w14:textId="14CD98D4" w:rsidR="00E65178" w:rsidRPr="007817D4" w:rsidRDefault="00E65178" w:rsidP="001E7192">
            <w:pPr>
              <w:spacing w:after="120" w:line="300" w:lineRule="exact"/>
              <w:rPr>
                <w:rFonts w:asciiTheme="minorHAnsi" w:hAnsiTheme="minorHAnsi" w:cs="Arial"/>
                <w:lang w:bidi="he-IL"/>
              </w:rPr>
            </w:pPr>
            <w:bookmarkStart w:id="14" w:name="_Hlk493496587"/>
            <w:r w:rsidRPr="007817D4">
              <w:rPr>
                <w:rFonts w:asciiTheme="minorHAnsi" w:hAnsiTheme="minorHAnsi" w:cs="Arial"/>
                <w:color w:val="00B050"/>
                <w:lang w:bidi="he-IL"/>
              </w:rPr>
              <w:t xml:space="preserve">Pass: </w:t>
            </w:r>
            <w:r w:rsidRPr="007817D4">
              <w:rPr>
                <w:rFonts w:asciiTheme="minorHAnsi" w:hAnsiTheme="minorHAnsi" w:cs="Arial"/>
                <w:lang w:bidi="he-IL"/>
              </w:rPr>
              <w:t>The tenderer</w:t>
            </w:r>
            <w:r w:rsidR="008F3590">
              <w:rPr>
                <w:rFonts w:asciiTheme="minorHAnsi" w:hAnsiTheme="minorHAnsi" w:cs="Arial"/>
                <w:lang w:bidi="he-IL"/>
              </w:rPr>
              <w:t xml:space="preserve"> provides a short description of a short description t of a set of scenarios to assess outcomes over the medium to longer term and </w:t>
            </w:r>
            <w:r w:rsidRPr="007817D4">
              <w:rPr>
                <w:rFonts w:asciiTheme="minorHAnsi" w:hAnsiTheme="minorHAnsi" w:cs="Arial"/>
                <w:lang w:bidi="he-IL"/>
              </w:rPr>
              <w:t xml:space="preserve"> provides RSSB with </w:t>
            </w:r>
            <w:r>
              <w:rPr>
                <w:rFonts w:asciiTheme="minorHAnsi" w:hAnsiTheme="minorHAnsi" w:cs="Arial"/>
                <w:lang w:bidi="he-IL"/>
              </w:rPr>
              <w:t>a strong degree of confidence of</w:t>
            </w:r>
            <w:r w:rsidRPr="007817D4">
              <w:rPr>
                <w:rFonts w:asciiTheme="minorHAnsi" w:hAnsiTheme="minorHAnsi" w:cs="Arial"/>
                <w:lang w:bidi="he-IL"/>
              </w:rPr>
              <w:t xml:space="preserve"> its experie</w:t>
            </w:r>
            <w:r>
              <w:rPr>
                <w:rFonts w:asciiTheme="minorHAnsi" w:hAnsiTheme="minorHAnsi" w:cs="Arial"/>
                <w:lang w:bidi="he-IL"/>
              </w:rPr>
              <w:t xml:space="preserve">nce in </w:t>
            </w:r>
            <w:r>
              <w:rPr>
                <w:rFonts w:asciiTheme="minorHAnsi" w:hAnsiTheme="minorHAnsi" w:cs="Arial"/>
              </w:rPr>
              <w:t>developing a set of scenarios to assess outcomes over the medium to longer term (up to 20 years).</w:t>
            </w:r>
            <w:r w:rsidR="008F3590">
              <w:rPr>
                <w:rFonts w:asciiTheme="minorHAnsi" w:hAnsiTheme="minorHAnsi" w:cs="Arial"/>
              </w:rPr>
              <w:t xml:space="preserve"> The tenderer also, additionally, explains as to why this is relevant to RSSB’s needs.</w:t>
            </w:r>
          </w:p>
          <w:p w14:paraId="19838DB5" w14:textId="0CE48D5C" w:rsidR="00E65178" w:rsidRPr="00011288" w:rsidRDefault="00E65178" w:rsidP="001E7192">
            <w:pPr>
              <w:spacing w:after="120" w:line="300" w:lineRule="exact"/>
              <w:rPr>
                <w:rFonts w:asciiTheme="minorHAnsi" w:hAnsiTheme="minorHAnsi" w:cs="Arial"/>
                <w:lang w:bidi="he-IL"/>
              </w:rPr>
            </w:pPr>
            <w:r w:rsidRPr="004160C4">
              <w:rPr>
                <w:rFonts w:asciiTheme="minorHAnsi" w:hAnsiTheme="minorHAnsi" w:cs="Arial"/>
                <w:color w:val="FF0000"/>
                <w:lang w:bidi="he-IL"/>
              </w:rPr>
              <w:t xml:space="preserve">Fail: </w:t>
            </w:r>
            <w:r w:rsidRPr="004160C4">
              <w:rPr>
                <w:rFonts w:asciiTheme="minorHAnsi" w:hAnsiTheme="minorHAnsi" w:cs="Arial"/>
                <w:lang w:bidi="he-IL"/>
              </w:rPr>
              <w:t xml:space="preserve">The tenderer </w:t>
            </w:r>
            <w:r>
              <w:rPr>
                <w:rFonts w:asciiTheme="minorHAnsi" w:hAnsiTheme="minorHAnsi" w:cs="Arial"/>
                <w:lang w:bidi="he-IL"/>
              </w:rPr>
              <w:t>fails to provide RSSB with sufficient confidence in</w:t>
            </w:r>
            <w:r w:rsidRPr="004160C4">
              <w:rPr>
                <w:rFonts w:asciiTheme="minorHAnsi" w:hAnsiTheme="minorHAnsi" w:cs="Arial"/>
                <w:lang w:bidi="he-IL"/>
              </w:rPr>
              <w:t xml:space="preserve"> its experience </w:t>
            </w:r>
            <w:r>
              <w:rPr>
                <w:rFonts w:asciiTheme="minorHAnsi" w:hAnsiTheme="minorHAnsi" w:cs="Arial"/>
                <w:lang w:bidi="he-IL"/>
              </w:rPr>
              <w:t xml:space="preserve">of </w:t>
            </w:r>
            <w:r>
              <w:rPr>
                <w:rFonts w:asciiTheme="minorHAnsi" w:hAnsiTheme="minorHAnsi" w:cs="Arial"/>
              </w:rPr>
              <w:t>developing a set of scenarios to assess outcomes over the medium to longer term (up to 20 years)</w:t>
            </w:r>
            <w:bookmarkEnd w:id="14"/>
            <w:r w:rsidR="008F3590">
              <w:rPr>
                <w:rFonts w:asciiTheme="minorHAnsi" w:hAnsiTheme="minorHAnsi" w:cs="Arial"/>
              </w:rPr>
              <w:t xml:space="preserve"> or does not provided a short description</w:t>
            </w:r>
            <w:bookmarkStart w:id="15" w:name="_GoBack"/>
            <w:bookmarkEnd w:id="15"/>
            <w:r w:rsidR="008F3590">
              <w:rPr>
                <w:rFonts w:asciiTheme="minorHAnsi" w:hAnsiTheme="minorHAnsi" w:cs="Arial"/>
              </w:rPr>
              <w:t xml:space="preserve"> of development of a set of scenarios to assess outcomes over the medium to longer term.</w:t>
            </w:r>
          </w:p>
        </w:tc>
      </w:tr>
      <w:bookmarkEnd w:id="10"/>
      <w:bookmarkEnd w:id="13"/>
    </w:tbl>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4C1F74A3"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11515">
        <w:rPr>
          <w:rFonts w:asciiTheme="minorHAnsi" w:hAnsiTheme="minorHAnsi"/>
          <w:bCs/>
          <w:kern w:val="28"/>
          <w:lang w:eastAsia="en-GB"/>
        </w:rPr>
        <w:t>Quality 75%: Price 25</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6DBB66D1" w14:textId="5F7F02E2" w:rsidR="00801CC8" w:rsidRDefault="00801CC8" w:rsidP="00E52B87">
      <w:pPr>
        <w:pStyle w:val="Body"/>
        <w:rPr>
          <w:rFonts w:asciiTheme="minorHAnsi" w:hAnsiTheme="minorHAnsi"/>
          <w:b/>
        </w:rPr>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48"/>
        <w:gridCol w:w="3147"/>
        <w:gridCol w:w="3034"/>
        <w:gridCol w:w="984"/>
      </w:tblGrid>
      <w:tr w:rsidR="00D11515" w:rsidRPr="00D962E3" w14:paraId="625DDD60"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B28E17" w14:textId="77777777" w:rsidR="00D11515" w:rsidRPr="00D962E3" w:rsidRDefault="00D11515" w:rsidP="001E7192">
            <w:pPr>
              <w:spacing w:after="120" w:line="300" w:lineRule="exact"/>
              <w:rPr>
                <w:rFonts w:asciiTheme="minorHAnsi" w:hAnsiTheme="minorHAnsi" w:cs="Arial"/>
                <w:b/>
              </w:rPr>
            </w:pPr>
            <w:r w:rsidRPr="00D962E3">
              <w:rPr>
                <w:rFonts w:asciiTheme="minorHAnsi" w:hAnsiTheme="minorHAnsi" w:cs="Arial"/>
                <w:b/>
              </w:rPr>
              <w:t>Heading</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01AC95" w14:textId="77777777" w:rsidR="00D11515" w:rsidRPr="00D962E3" w:rsidRDefault="00D11515" w:rsidP="001E7192">
            <w:pPr>
              <w:spacing w:after="120" w:line="300" w:lineRule="exact"/>
              <w:rPr>
                <w:rFonts w:asciiTheme="minorHAnsi" w:hAnsiTheme="minorHAnsi" w:cs="Arial"/>
                <w:b/>
              </w:rPr>
            </w:pPr>
            <w:r w:rsidRPr="00D962E3">
              <w:rPr>
                <w:rFonts w:asciiTheme="minorHAnsi" w:hAnsiTheme="minorHAnsi" w:cs="Arial"/>
                <w:b/>
              </w:rPr>
              <w:t>Specific question(s)</w:t>
            </w: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46B65D" w14:textId="77777777" w:rsidR="00D11515" w:rsidRPr="00D962E3" w:rsidRDefault="00D11515" w:rsidP="001E7192">
            <w:pPr>
              <w:spacing w:after="120" w:line="300" w:lineRule="exact"/>
              <w:rPr>
                <w:rFonts w:asciiTheme="minorHAnsi" w:hAnsiTheme="minorHAnsi" w:cs="Arial"/>
                <w:b/>
              </w:rPr>
            </w:pPr>
            <w:r w:rsidRPr="00D962E3">
              <w:rPr>
                <w:rFonts w:asciiTheme="minorHAnsi" w:hAnsiTheme="minorHAnsi" w:cs="Arial"/>
                <w:b/>
              </w:rPr>
              <w:t>Evaluation Criteria</w:t>
            </w: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CF1B79" w14:textId="77777777" w:rsidR="00D11515" w:rsidRPr="00D962E3" w:rsidRDefault="00D11515" w:rsidP="001E7192">
            <w:pPr>
              <w:spacing w:after="120" w:line="300" w:lineRule="exact"/>
              <w:rPr>
                <w:rFonts w:asciiTheme="minorHAnsi" w:hAnsiTheme="minorHAnsi" w:cs="Arial"/>
                <w:b/>
              </w:rPr>
            </w:pPr>
            <w:r w:rsidRPr="00D962E3">
              <w:rPr>
                <w:rFonts w:asciiTheme="minorHAnsi" w:hAnsiTheme="minorHAnsi" w:cs="Arial"/>
                <w:b/>
              </w:rPr>
              <w:t xml:space="preserve">Weight </w:t>
            </w:r>
          </w:p>
        </w:tc>
      </w:tr>
      <w:tr w:rsidR="00D11515" w:rsidRPr="00D962E3" w14:paraId="14D754BD"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02A5B5"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WA.1 Supplier’s technical competence in delivery of assessments of trends in markets including market segmentation</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BF7ED"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The tenderer should provide evidence of their resource’s (including any sub-contractors) technical competence in delivering assessment of market trends and market segmentation within an organisation/sector/project.</w:t>
            </w: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8343DE" w14:textId="77777777" w:rsidR="00D11515" w:rsidRPr="00D962E3" w:rsidRDefault="00D11515" w:rsidP="001E7192">
            <w:pPr>
              <w:spacing w:after="120" w:line="300" w:lineRule="exact"/>
              <w:rPr>
                <w:rFonts w:asciiTheme="minorHAnsi" w:hAnsiTheme="minorHAnsi" w:cs="Arial"/>
              </w:rPr>
            </w:pPr>
            <w:r w:rsidRPr="00D962E3">
              <w:rPr>
                <w:rFonts w:asciiTheme="minorHAnsi" w:hAnsiTheme="minorHAnsi" w:cs="Arial"/>
              </w:rPr>
              <w:t>The tenderer provides clear evidence (in no more than two pages) of their resource’s technical competence to deliver assessment of market trends and market segmentation.</w:t>
            </w: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CF96C1"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15%</w:t>
            </w:r>
          </w:p>
        </w:tc>
      </w:tr>
      <w:tr w:rsidR="00D11515" w:rsidRPr="00D962E3" w14:paraId="741873D6"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DA9C6C" w14:textId="77777777" w:rsidR="00D11515" w:rsidRPr="00D962E3" w:rsidRDefault="00D11515" w:rsidP="001E7192">
            <w:pPr>
              <w:spacing w:after="120" w:line="300" w:lineRule="exact"/>
              <w:rPr>
                <w:rFonts w:asciiTheme="minorHAnsi" w:hAnsiTheme="minorHAnsi" w:cs="Arial"/>
              </w:rPr>
            </w:pPr>
            <w:r w:rsidRPr="00D962E3">
              <w:rPr>
                <w:rFonts w:asciiTheme="minorHAnsi" w:hAnsiTheme="minorHAnsi" w:cs="Arial"/>
                <w:lang w:eastAsia="en-GB"/>
              </w:rPr>
              <w:t>WA.2 Method Statement -ability to meet deliverables</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AF92D6"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Tenderers should provide a method statement detailing how it is proposed to fulfil RSSB requirements as described in the specification (‘work package objectives’, ‘scope’, and ‘deliverables’).</w:t>
            </w:r>
          </w:p>
          <w:p w14:paraId="2EA0C6AD"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In particular they should explain how they would meet the critical success factors for this piece of research.</w:t>
            </w:r>
          </w:p>
          <w:p w14:paraId="68F2B7C2" w14:textId="77777777" w:rsidR="00D11515" w:rsidRPr="00D962E3" w:rsidRDefault="00D11515" w:rsidP="001E7192">
            <w:pPr>
              <w:spacing w:after="120" w:line="300" w:lineRule="exact"/>
              <w:rPr>
                <w:rFonts w:asciiTheme="minorHAnsi" w:hAnsiTheme="minorHAnsi" w:cs="Arial"/>
                <w:lang w:bidi="he-IL"/>
              </w:rPr>
            </w:pP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80704F" w14:textId="77777777" w:rsidR="00D11515" w:rsidRPr="00D962E3" w:rsidRDefault="00D11515" w:rsidP="001E7192">
            <w:pPr>
              <w:spacing w:after="120" w:line="300" w:lineRule="exact"/>
              <w:rPr>
                <w:rFonts w:asciiTheme="minorHAnsi" w:hAnsiTheme="minorHAnsi" w:cs="Arial"/>
              </w:rPr>
            </w:pPr>
            <w:r w:rsidRPr="00D962E3">
              <w:rPr>
                <w:rFonts w:asciiTheme="minorHAnsi" w:hAnsiTheme="minorHAnsi" w:cs="Arial"/>
              </w:rPr>
              <w:t>The tenderer’s response (in no more than five pages):</w:t>
            </w:r>
          </w:p>
          <w:p w14:paraId="54615094" w14:textId="77777777" w:rsidR="00D11515" w:rsidRPr="00D962E3" w:rsidRDefault="00D11515" w:rsidP="00D11515">
            <w:pPr>
              <w:pStyle w:val="ListParagraph"/>
              <w:numPr>
                <w:ilvl w:val="0"/>
                <w:numId w:val="42"/>
              </w:numPr>
              <w:spacing w:after="120" w:line="300" w:lineRule="exact"/>
              <w:ind w:left="720"/>
              <w:rPr>
                <w:rFonts w:asciiTheme="minorHAnsi" w:hAnsiTheme="minorHAnsi"/>
                <w:sz w:val="22"/>
                <w:szCs w:val="22"/>
              </w:rPr>
            </w:pPr>
            <w:r w:rsidRPr="00D962E3">
              <w:rPr>
                <w:rFonts w:asciiTheme="minorHAnsi" w:hAnsiTheme="minorHAnsi"/>
                <w:sz w:val="22"/>
                <w:szCs w:val="22"/>
              </w:rPr>
              <w:t>Explains how the tenderer will apply their expertise to meet the specification, including how the study would be conducted;</w:t>
            </w:r>
          </w:p>
          <w:p w14:paraId="345D1B5A" w14:textId="77777777" w:rsidR="00D11515" w:rsidRPr="00D962E3" w:rsidRDefault="00D11515" w:rsidP="00D11515">
            <w:pPr>
              <w:pStyle w:val="ListParagraph"/>
              <w:numPr>
                <w:ilvl w:val="0"/>
                <w:numId w:val="42"/>
              </w:numPr>
              <w:spacing w:after="120" w:line="300" w:lineRule="exact"/>
              <w:ind w:left="720"/>
              <w:rPr>
                <w:rFonts w:asciiTheme="minorHAnsi" w:hAnsiTheme="minorHAnsi"/>
                <w:sz w:val="22"/>
                <w:szCs w:val="22"/>
              </w:rPr>
            </w:pPr>
            <w:r w:rsidRPr="00D962E3">
              <w:rPr>
                <w:rFonts w:asciiTheme="minorHAnsi" w:hAnsiTheme="minorHAnsi"/>
                <w:sz w:val="22"/>
                <w:szCs w:val="22"/>
              </w:rPr>
              <w:t>Demonstrates their understanding of the objectives and provides a coherent and systematic approach to meet these objectives.</w:t>
            </w:r>
          </w:p>
          <w:p w14:paraId="72EF2083" w14:textId="77777777" w:rsidR="00D11515" w:rsidRPr="00D962E3" w:rsidRDefault="00D11515" w:rsidP="001E7192">
            <w:pPr>
              <w:spacing w:after="120" w:line="300" w:lineRule="exact"/>
              <w:ind w:left="720"/>
              <w:rPr>
                <w:rFonts w:asciiTheme="minorHAnsi" w:hAnsiTheme="minorHAnsi" w:cs="Arial"/>
              </w:rPr>
            </w:pPr>
            <w:r w:rsidRPr="00D962E3">
              <w:rPr>
                <w:rFonts w:asciiTheme="minorHAnsi" w:hAnsiTheme="minorHAnsi" w:cs="Arial"/>
              </w:rPr>
              <w:t>Has identified suitable ways to address the project’s critical success factors;</w:t>
            </w: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BF331B" w14:textId="77777777" w:rsidR="00D11515" w:rsidRPr="00D962E3" w:rsidRDefault="00D11515" w:rsidP="001E7192">
            <w:pPr>
              <w:spacing w:after="120" w:line="300" w:lineRule="exact"/>
              <w:rPr>
                <w:rFonts w:asciiTheme="minorHAnsi" w:hAnsiTheme="minorHAnsi" w:cs="Arial"/>
              </w:rPr>
            </w:pPr>
            <w:r>
              <w:rPr>
                <w:rFonts w:asciiTheme="minorHAnsi" w:hAnsiTheme="minorHAnsi" w:cs="Arial"/>
              </w:rPr>
              <w:t>20%</w:t>
            </w:r>
          </w:p>
        </w:tc>
      </w:tr>
      <w:tr w:rsidR="00D11515" w:rsidRPr="00D962E3" w14:paraId="0292B492"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20E18F" w14:textId="77777777" w:rsidR="00D11515" w:rsidRPr="00D962E3" w:rsidRDefault="00D11515" w:rsidP="001E7192">
            <w:pPr>
              <w:spacing w:after="120" w:line="300" w:lineRule="exact"/>
              <w:rPr>
                <w:rFonts w:asciiTheme="minorHAnsi" w:hAnsiTheme="minorHAnsi" w:cs="Arial"/>
              </w:rPr>
            </w:pPr>
            <w:r w:rsidRPr="00D962E3">
              <w:rPr>
                <w:rFonts w:asciiTheme="minorHAnsi" w:hAnsiTheme="minorHAnsi" w:cs="Arial"/>
                <w:lang w:eastAsia="en-GB"/>
              </w:rPr>
              <w:t>WA.3 Project management: resource, quality, time</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A1EDD" w14:textId="77777777" w:rsidR="00D11515" w:rsidRPr="00D962E3" w:rsidRDefault="00D11515" w:rsidP="001E7192">
            <w:pPr>
              <w:tabs>
                <w:tab w:val="left" w:pos="113"/>
              </w:tabs>
              <w:spacing w:after="40" w:line="280" w:lineRule="exact"/>
              <w:rPr>
                <w:rFonts w:asciiTheme="minorHAnsi" w:hAnsiTheme="minorHAnsi" w:cs="Arial"/>
                <w:lang w:eastAsia="en-GB"/>
              </w:rPr>
            </w:pPr>
            <w:r w:rsidRPr="00D962E3">
              <w:rPr>
                <w:rFonts w:asciiTheme="minorHAnsi" w:hAnsiTheme="minorHAnsi" w:cs="Arial"/>
                <w:lang w:eastAsia="en-GB"/>
              </w:rPr>
              <w:t>Tenderers should outline (in no more than ten pages) the processes and resources it proposes to use in order to fulfil RSSB requirements.</w:t>
            </w:r>
          </w:p>
          <w:p w14:paraId="40FEDE0D"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Tenderers should:</w:t>
            </w:r>
          </w:p>
          <w:p w14:paraId="0C99636E" w14:textId="77777777" w:rsidR="00D11515" w:rsidRPr="00D962E3" w:rsidRDefault="00D11515" w:rsidP="00D11515">
            <w:pPr>
              <w:numPr>
                <w:ilvl w:val="0"/>
                <w:numId w:val="43"/>
              </w:numPr>
              <w:spacing w:after="120" w:line="300" w:lineRule="exact"/>
              <w:contextualSpacing/>
              <w:rPr>
                <w:rFonts w:asciiTheme="minorHAnsi" w:hAnsiTheme="minorHAnsi" w:cs="Arial"/>
                <w:lang w:eastAsia="en-GB"/>
              </w:rPr>
            </w:pPr>
            <w:r w:rsidRPr="00D962E3">
              <w:rPr>
                <w:rFonts w:asciiTheme="minorHAnsi" w:hAnsiTheme="minorHAnsi" w:cs="Arial"/>
                <w:lang w:eastAsia="en-GB"/>
              </w:rPr>
              <w:t>Clearly identify each team member’s role;</w:t>
            </w:r>
          </w:p>
          <w:p w14:paraId="73882A1B" w14:textId="77777777" w:rsidR="00D11515" w:rsidRPr="00D962E3" w:rsidRDefault="00D11515" w:rsidP="00D11515">
            <w:pPr>
              <w:numPr>
                <w:ilvl w:val="0"/>
                <w:numId w:val="43"/>
              </w:numPr>
              <w:spacing w:after="120" w:line="300" w:lineRule="exact"/>
              <w:contextualSpacing/>
              <w:rPr>
                <w:rFonts w:asciiTheme="minorHAnsi" w:hAnsiTheme="minorHAnsi" w:cs="Arial"/>
                <w:lang w:eastAsia="en-GB"/>
              </w:rPr>
            </w:pPr>
            <w:r w:rsidRPr="00D962E3">
              <w:rPr>
                <w:rFonts w:asciiTheme="minorHAnsi" w:hAnsiTheme="minorHAnsi" w:cs="Arial"/>
                <w:lang w:eastAsia="en-GB"/>
              </w:rPr>
              <w:lastRenderedPageBreak/>
              <w:t>Provide adequate allocation of appropriate resources against deliverables;</w:t>
            </w:r>
          </w:p>
          <w:p w14:paraId="49C44206" w14:textId="77777777" w:rsidR="00D11515" w:rsidRPr="00D962E3" w:rsidRDefault="00D11515" w:rsidP="00D11515">
            <w:pPr>
              <w:numPr>
                <w:ilvl w:val="0"/>
                <w:numId w:val="43"/>
              </w:numPr>
              <w:spacing w:after="120" w:line="300" w:lineRule="exact"/>
              <w:contextualSpacing/>
              <w:rPr>
                <w:rFonts w:asciiTheme="minorHAnsi" w:hAnsiTheme="minorHAnsi" w:cs="Arial"/>
                <w:lang w:eastAsia="en-GB"/>
              </w:rPr>
            </w:pPr>
            <w:r w:rsidRPr="00D962E3">
              <w:rPr>
                <w:rFonts w:asciiTheme="minorHAnsi" w:hAnsiTheme="minorHAnsi" w:cs="Arial"/>
                <w:lang w:eastAsia="en-GB"/>
              </w:rPr>
              <w:t>Demonstrate how they would work with RSSB and communicate and engage with relevant industry stakeholders to ensure that the quality and content of the deliverables are fit for purpose;</w:t>
            </w:r>
          </w:p>
          <w:p w14:paraId="0925AF88" w14:textId="77777777" w:rsidR="00D11515" w:rsidRPr="00D962E3" w:rsidRDefault="00D11515" w:rsidP="00D11515">
            <w:pPr>
              <w:pStyle w:val="ListParagraph"/>
              <w:numPr>
                <w:ilvl w:val="0"/>
                <w:numId w:val="43"/>
              </w:numPr>
              <w:spacing w:after="120" w:line="300" w:lineRule="exact"/>
              <w:rPr>
                <w:rFonts w:asciiTheme="minorHAnsi" w:hAnsiTheme="minorHAnsi"/>
                <w:sz w:val="22"/>
                <w:szCs w:val="22"/>
              </w:rPr>
            </w:pPr>
            <w:r w:rsidRPr="00D962E3">
              <w:rPr>
                <w:rFonts w:asciiTheme="minorHAnsi" w:hAnsiTheme="minorHAnsi"/>
                <w:sz w:val="22"/>
                <w:szCs w:val="22"/>
              </w:rPr>
              <w:t>Explain how they would meet the critical success factors for this piece of research;</w:t>
            </w:r>
          </w:p>
          <w:p w14:paraId="05CBB599" w14:textId="77777777" w:rsidR="00D11515" w:rsidRPr="00D962E3" w:rsidRDefault="00D11515" w:rsidP="001E7192">
            <w:pPr>
              <w:spacing w:after="120" w:line="300" w:lineRule="exact"/>
              <w:ind w:left="720"/>
              <w:contextualSpacing/>
              <w:rPr>
                <w:rFonts w:asciiTheme="minorHAnsi" w:hAnsiTheme="minorHAnsi" w:cs="Arial"/>
                <w:lang w:eastAsia="en-GB"/>
              </w:rPr>
            </w:pP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2631B" w14:textId="77777777" w:rsidR="00D11515" w:rsidRPr="00D962E3" w:rsidRDefault="00D11515" w:rsidP="001E7192">
            <w:pPr>
              <w:spacing w:after="120" w:line="300" w:lineRule="exact"/>
              <w:rPr>
                <w:rFonts w:asciiTheme="minorHAnsi" w:hAnsiTheme="minorHAnsi" w:cs="Arial"/>
                <w:lang w:bidi="he-IL"/>
              </w:rPr>
            </w:pPr>
            <w:r w:rsidRPr="00D962E3">
              <w:rPr>
                <w:rFonts w:asciiTheme="minorHAnsi" w:hAnsiTheme="minorHAnsi" w:cs="Arial"/>
                <w:lang w:bidi="he-IL"/>
              </w:rPr>
              <w:lastRenderedPageBreak/>
              <w:t xml:space="preserve">The tenderer’s response shows (in no more than ten pages) </w:t>
            </w:r>
          </w:p>
          <w:p w14:paraId="3DA0E950" w14:textId="77777777" w:rsidR="00D11515" w:rsidRPr="00D962E3" w:rsidRDefault="00D11515" w:rsidP="001E7192">
            <w:pPr>
              <w:spacing w:after="120" w:line="300" w:lineRule="exact"/>
              <w:rPr>
                <w:rFonts w:asciiTheme="minorHAnsi" w:hAnsiTheme="minorHAnsi" w:cs="Arial"/>
                <w:lang w:bidi="he-IL"/>
              </w:rPr>
            </w:pPr>
            <w:r w:rsidRPr="00D962E3">
              <w:rPr>
                <w:rFonts w:asciiTheme="minorHAnsi" w:hAnsiTheme="minorHAnsi" w:cs="Arial"/>
                <w:lang w:bidi="he-IL"/>
              </w:rPr>
              <w:t>that it:</w:t>
            </w:r>
          </w:p>
          <w:p w14:paraId="6123681E" w14:textId="77777777" w:rsidR="00D11515" w:rsidRPr="00D962E3" w:rsidRDefault="00D11515" w:rsidP="00D11515">
            <w:pPr>
              <w:pStyle w:val="ListParagraph"/>
              <w:numPr>
                <w:ilvl w:val="0"/>
                <w:numId w:val="44"/>
              </w:numPr>
              <w:spacing w:after="120" w:line="300" w:lineRule="exact"/>
              <w:rPr>
                <w:rFonts w:asciiTheme="minorHAnsi" w:hAnsiTheme="minorHAnsi"/>
                <w:sz w:val="22"/>
                <w:szCs w:val="22"/>
              </w:rPr>
            </w:pPr>
            <w:r w:rsidRPr="00D962E3">
              <w:rPr>
                <w:rFonts w:asciiTheme="minorHAnsi" w:hAnsiTheme="minorHAnsi"/>
                <w:sz w:val="22"/>
                <w:szCs w:val="22"/>
              </w:rPr>
              <w:t>Has identified relevant individuals to deliver the work;</w:t>
            </w:r>
          </w:p>
          <w:p w14:paraId="265E40BC" w14:textId="77777777" w:rsidR="00D11515" w:rsidRPr="00D962E3" w:rsidRDefault="00D11515" w:rsidP="00D11515">
            <w:pPr>
              <w:pStyle w:val="ListParagraph"/>
              <w:numPr>
                <w:ilvl w:val="0"/>
                <w:numId w:val="44"/>
              </w:numPr>
              <w:spacing w:after="120" w:line="300" w:lineRule="exact"/>
              <w:rPr>
                <w:rFonts w:asciiTheme="minorHAnsi" w:hAnsiTheme="minorHAnsi"/>
                <w:sz w:val="22"/>
                <w:szCs w:val="22"/>
              </w:rPr>
            </w:pPr>
            <w:r w:rsidRPr="00D962E3">
              <w:rPr>
                <w:rFonts w:asciiTheme="minorHAnsi" w:hAnsiTheme="minorHAnsi"/>
                <w:sz w:val="22"/>
                <w:szCs w:val="22"/>
              </w:rPr>
              <w:t xml:space="preserve">Has provided a credible plan for </w:t>
            </w:r>
            <w:r w:rsidRPr="00D962E3">
              <w:rPr>
                <w:rFonts w:asciiTheme="minorHAnsi" w:hAnsiTheme="minorHAnsi"/>
                <w:sz w:val="22"/>
                <w:szCs w:val="22"/>
              </w:rPr>
              <w:lastRenderedPageBreak/>
              <w:t>delivering successful outcomes to time, quality and cost;</w:t>
            </w:r>
          </w:p>
          <w:p w14:paraId="08E62D1D" w14:textId="77777777" w:rsidR="00D11515" w:rsidRPr="00D962E3" w:rsidRDefault="00D11515" w:rsidP="00D11515">
            <w:pPr>
              <w:pStyle w:val="ListParagraph"/>
              <w:numPr>
                <w:ilvl w:val="0"/>
                <w:numId w:val="44"/>
              </w:numPr>
              <w:spacing w:after="120" w:line="300" w:lineRule="exact"/>
              <w:rPr>
                <w:rFonts w:asciiTheme="minorHAnsi" w:hAnsiTheme="minorHAnsi"/>
                <w:sz w:val="22"/>
                <w:szCs w:val="22"/>
              </w:rPr>
            </w:pPr>
            <w:r w:rsidRPr="00D962E3">
              <w:rPr>
                <w:rFonts w:asciiTheme="minorHAnsi" w:hAnsiTheme="minorHAnsi"/>
                <w:sz w:val="22"/>
                <w:szCs w:val="22"/>
              </w:rPr>
              <w:t>Has identified appropriate ways to engage with RSSB and relevant stakeholders;</w:t>
            </w:r>
          </w:p>
          <w:p w14:paraId="015D6996" w14:textId="77777777" w:rsidR="00D11515" w:rsidRPr="00D962E3" w:rsidRDefault="00D11515" w:rsidP="00D11515">
            <w:pPr>
              <w:numPr>
                <w:ilvl w:val="0"/>
                <w:numId w:val="44"/>
              </w:numPr>
              <w:spacing w:after="120" w:line="300" w:lineRule="exact"/>
              <w:rPr>
                <w:rFonts w:asciiTheme="minorHAnsi" w:hAnsiTheme="minorHAnsi" w:cs="Arial"/>
              </w:rPr>
            </w:pPr>
            <w:r w:rsidRPr="00D962E3">
              <w:rPr>
                <w:rFonts w:asciiTheme="minorHAnsi" w:hAnsiTheme="minorHAnsi" w:cs="Arial"/>
              </w:rPr>
              <w:t>Has identified suitable ways to address the project’s critical success factors;</w:t>
            </w:r>
          </w:p>
          <w:p w14:paraId="77A84DDF" w14:textId="77777777" w:rsidR="00D11515" w:rsidRPr="00D962E3" w:rsidRDefault="00D11515" w:rsidP="001E7192">
            <w:pPr>
              <w:pStyle w:val="ListParagraph"/>
              <w:spacing w:after="120" w:line="300" w:lineRule="exact"/>
              <w:rPr>
                <w:rFonts w:asciiTheme="minorHAnsi" w:hAnsiTheme="minorHAnsi"/>
                <w:sz w:val="22"/>
                <w:szCs w:val="22"/>
              </w:rPr>
            </w:pP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C04E90" w14:textId="77777777" w:rsidR="00D11515" w:rsidRPr="00D962E3" w:rsidRDefault="00D11515" w:rsidP="001E7192">
            <w:pPr>
              <w:spacing w:after="120" w:line="300" w:lineRule="exact"/>
              <w:rPr>
                <w:rFonts w:asciiTheme="minorHAnsi" w:hAnsiTheme="minorHAnsi" w:cs="Arial"/>
              </w:rPr>
            </w:pPr>
            <w:r>
              <w:rPr>
                <w:rFonts w:asciiTheme="minorHAnsi" w:hAnsiTheme="minorHAnsi" w:cs="Arial"/>
              </w:rPr>
              <w:lastRenderedPageBreak/>
              <w:t>20%</w:t>
            </w:r>
          </w:p>
        </w:tc>
      </w:tr>
      <w:tr w:rsidR="00D11515" w:rsidRPr="00D962E3" w14:paraId="35F00974"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5F8BD" w14:textId="77777777" w:rsidR="00D11515" w:rsidRPr="00D962E3" w:rsidRDefault="00D11515" w:rsidP="001E7192">
            <w:pPr>
              <w:rPr>
                <w:rFonts w:asciiTheme="minorHAnsi" w:hAnsiTheme="minorHAnsi"/>
                <w:color w:val="000000"/>
              </w:rPr>
            </w:pPr>
            <w:r w:rsidRPr="00D962E3">
              <w:rPr>
                <w:rFonts w:asciiTheme="minorHAnsi" w:hAnsiTheme="minorHAnsi"/>
                <w:bCs/>
                <w:color w:val="000000"/>
              </w:rPr>
              <w:t>A.4</w:t>
            </w:r>
            <w:r w:rsidRPr="00D962E3">
              <w:rPr>
                <w:rFonts w:asciiTheme="minorHAnsi" w:hAnsiTheme="minorHAnsi"/>
                <w:color w:val="000000"/>
              </w:rPr>
              <w:t xml:space="preserve"> Risks and Challenges</w:t>
            </w:r>
          </w:p>
          <w:p w14:paraId="38C4513D" w14:textId="77777777" w:rsidR="00D11515" w:rsidRPr="00D962E3" w:rsidRDefault="00D11515" w:rsidP="001E7192">
            <w:pPr>
              <w:spacing w:after="120" w:line="300" w:lineRule="exact"/>
              <w:rPr>
                <w:rFonts w:asciiTheme="minorHAnsi" w:hAnsiTheme="minorHAnsi" w:cs="Arial"/>
                <w:lang w:eastAsia="en-GB"/>
              </w:rPr>
            </w:pP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6D7530" w14:textId="77777777" w:rsidR="00D11515" w:rsidRPr="00D962E3" w:rsidRDefault="00D11515" w:rsidP="001E7192">
            <w:pPr>
              <w:rPr>
                <w:rFonts w:asciiTheme="minorHAnsi" w:hAnsiTheme="minorHAnsi"/>
                <w:color w:val="000000"/>
              </w:rPr>
            </w:pPr>
            <w:r w:rsidRPr="00D962E3">
              <w:rPr>
                <w:rFonts w:asciiTheme="minorHAnsi" w:hAnsiTheme="minorHAnsi"/>
                <w:color w:val="000000"/>
              </w:rPr>
              <w:t>What risks and challenges do you foresee in this project? What mitigating actions will you take in relations to these risks?</w:t>
            </w:r>
          </w:p>
          <w:p w14:paraId="28359F16" w14:textId="77777777" w:rsidR="00D11515" w:rsidRPr="00D962E3" w:rsidRDefault="00D11515" w:rsidP="001E7192">
            <w:pPr>
              <w:rPr>
                <w:rFonts w:asciiTheme="minorHAnsi" w:hAnsiTheme="minorHAnsi"/>
                <w:color w:val="000000"/>
              </w:rPr>
            </w:pPr>
          </w:p>
          <w:p w14:paraId="2C24D101" w14:textId="77777777" w:rsidR="00D11515" w:rsidRPr="00D962E3" w:rsidRDefault="00D11515" w:rsidP="001E7192">
            <w:pPr>
              <w:spacing w:after="120" w:line="300" w:lineRule="exact"/>
              <w:contextualSpacing/>
              <w:rPr>
                <w:rFonts w:asciiTheme="minorHAnsi" w:hAnsiTheme="minorHAnsi"/>
                <w:color w:val="000000"/>
              </w:rPr>
            </w:pPr>
            <w:r w:rsidRPr="00D962E3">
              <w:rPr>
                <w:rFonts w:asciiTheme="minorHAnsi" w:hAnsiTheme="minorHAnsi"/>
                <w:color w:val="000000"/>
              </w:rPr>
              <w:t>Tenderers should provide, in no more than three pages, the risks and challenges that the tenderer foresees for this project as well as the mitigating actions:</w:t>
            </w:r>
          </w:p>
          <w:p w14:paraId="1B72EE2E" w14:textId="77777777" w:rsidR="00D11515" w:rsidRPr="00D962E3" w:rsidRDefault="00D11515" w:rsidP="001E7192">
            <w:pPr>
              <w:spacing w:after="120" w:line="300" w:lineRule="exact"/>
              <w:contextualSpacing/>
              <w:rPr>
                <w:rFonts w:asciiTheme="minorHAnsi" w:hAnsiTheme="minorHAnsi"/>
                <w:color w:val="000000"/>
              </w:rPr>
            </w:pPr>
          </w:p>
          <w:p w14:paraId="232813E2"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provides a detailed and succinct Risk Register.</w:t>
            </w:r>
          </w:p>
          <w:p w14:paraId="538F8F48" w14:textId="77777777" w:rsidR="00D11515" w:rsidRPr="00D962E3" w:rsidRDefault="00D11515" w:rsidP="001E7192">
            <w:pPr>
              <w:pStyle w:val="ListParagraph"/>
              <w:rPr>
                <w:rFonts w:asciiTheme="minorHAnsi" w:eastAsiaTheme="minorHAnsi" w:hAnsiTheme="minorHAnsi"/>
                <w:color w:val="000000"/>
                <w:sz w:val="22"/>
                <w:szCs w:val="22"/>
              </w:rPr>
            </w:pPr>
          </w:p>
          <w:p w14:paraId="45789040"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identifies appropriate risks for this project.</w:t>
            </w:r>
          </w:p>
          <w:p w14:paraId="3D42D1F3" w14:textId="77777777" w:rsidR="00D11515" w:rsidRPr="00D962E3" w:rsidRDefault="00D11515" w:rsidP="001E7192">
            <w:pPr>
              <w:rPr>
                <w:rFonts w:asciiTheme="minorHAnsi" w:hAnsiTheme="minorHAnsi"/>
                <w:color w:val="000000"/>
              </w:rPr>
            </w:pPr>
          </w:p>
          <w:p w14:paraId="477D23EE"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identifies appropriate challenges for this project.</w:t>
            </w:r>
          </w:p>
          <w:p w14:paraId="26D83455" w14:textId="77777777" w:rsidR="00D11515" w:rsidRPr="00D962E3" w:rsidRDefault="00D11515" w:rsidP="001E7192">
            <w:pPr>
              <w:rPr>
                <w:rFonts w:asciiTheme="minorHAnsi" w:hAnsiTheme="minorHAnsi"/>
                <w:color w:val="000000"/>
              </w:rPr>
            </w:pPr>
          </w:p>
          <w:p w14:paraId="4F5C76AC"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 xml:space="preserve">The tenderer provides an in-depth statement of what mitigating </w:t>
            </w:r>
            <w:r w:rsidRPr="00D962E3">
              <w:rPr>
                <w:rFonts w:asciiTheme="minorHAnsi" w:eastAsia="Times New Roman" w:hAnsiTheme="minorHAnsi"/>
                <w:color w:val="000000"/>
              </w:rPr>
              <w:lastRenderedPageBreak/>
              <w:t>actions will be taken by the tenderer in relation and with specific regard to each risk.</w:t>
            </w:r>
          </w:p>
          <w:p w14:paraId="29417D80" w14:textId="77777777" w:rsidR="00D11515" w:rsidRPr="00D962E3" w:rsidRDefault="00D11515" w:rsidP="001E7192">
            <w:pPr>
              <w:rPr>
                <w:rFonts w:asciiTheme="minorHAnsi" w:hAnsiTheme="minorHAnsi"/>
                <w:color w:val="000000"/>
              </w:rPr>
            </w:pPr>
          </w:p>
          <w:p w14:paraId="5078693F" w14:textId="77777777" w:rsidR="00D11515" w:rsidRPr="00D962E3" w:rsidRDefault="00D11515" w:rsidP="00D11515">
            <w:pPr>
              <w:numPr>
                <w:ilvl w:val="0"/>
                <w:numId w:val="49"/>
              </w:numPr>
              <w:spacing w:after="24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demonstrates how they will overcome the challenges that have been identified for this project.</w:t>
            </w:r>
          </w:p>
          <w:p w14:paraId="366A763F" w14:textId="77777777" w:rsidR="00D11515" w:rsidRPr="00D962E3" w:rsidRDefault="00D11515" w:rsidP="001E7192">
            <w:pPr>
              <w:spacing w:after="120" w:line="300" w:lineRule="exact"/>
              <w:contextualSpacing/>
              <w:rPr>
                <w:rFonts w:asciiTheme="minorHAnsi" w:hAnsiTheme="minorHAnsi" w:cs="Arial"/>
                <w:lang w:eastAsia="en-GB"/>
              </w:rPr>
            </w:pP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4718FE"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lastRenderedPageBreak/>
              <w:t>The tenderer provides a detailed and succinct Risk Register.</w:t>
            </w:r>
          </w:p>
          <w:p w14:paraId="1B969467" w14:textId="77777777" w:rsidR="00D11515" w:rsidRPr="00D962E3" w:rsidRDefault="00D11515" w:rsidP="001E7192">
            <w:pPr>
              <w:pStyle w:val="ListParagraph"/>
              <w:rPr>
                <w:rFonts w:asciiTheme="minorHAnsi" w:eastAsiaTheme="minorHAnsi" w:hAnsiTheme="minorHAnsi"/>
                <w:color w:val="000000"/>
                <w:sz w:val="22"/>
                <w:szCs w:val="22"/>
              </w:rPr>
            </w:pPr>
          </w:p>
          <w:p w14:paraId="7AC7FBDF" w14:textId="77777777" w:rsidR="00D11515" w:rsidRPr="00D962E3" w:rsidRDefault="00D11515" w:rsidP="00D11515">
            <w:pPr>
              <w:numPr>
                <w:ilvl w:val="0"/>
                <w:numId w:val="49"/>
              </w:numPr>
              <w:spacing w:after="0" w:line="240" w:lineRule="auto"/>
              <w:contextualSpacing/>
              <w:rPr>
                <w:rFonts w:asciiTheme="minorHAnsi" w:hAnsiTheme="minorHAnsi"/>
                <w:color w:val="000000"/>
              </w:rPr>
            </w:pPr>
            <w:r w:rsidRPr="00D962E3">
              <w:rPr>
                <w:rFonts w:asciiTheme="minorHAnsi" w:eastAsia="Times New Roman" w:hAnsiTheme="minorHAnsi"/>
                <w:color w:val="000000"/>
              </w:rPr>
              <w:t>The tenderer identifies appropriate risks for this project.</w:t>
            </w:r>
          </w:p>
          <w:p w14:paraId="65168CA6" w14:textId="77777777" w:rsidR="00D11515" w:rsidRPr="00D962E3" w:rsidRDefault="00D11515" w:rsidP="001E7192">
            <w:pPr>
              <w:spacing w:after="0" w:line="240" w:lineRule="auto"/>
              <w:contextualSpacing/>
              <w:rPr>
                <w:rFonts w:asciiTheme="minorHAnsi" w:eastAsia="Times New Roman" w:hAnsiTheme="minorHAnsi"/>
                <w:color w:val="000000"/>
              </w:rPr>
            </w:pPr>
          </w:p>
          <w:p w14:paraId="2D1EB936"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identifies appropriate challenges for this project.</w:t>
            </w:r>
          </w:p>
          <w:p w14:paraId="0EB41E98" w14:textId="77777777" w:rsidR="00D11515" w:rsidRPr="00D962E3" w:rsidRDefault="00D11515" w:rsidP="001E7192">
            <w:pPr>
              <w:rPr>
                <w:rFonts w:asciiTheme="minorHAnsi" w:hAnsiTheme="minorHAnsi"/>
                <w:color w:val="000000"/>
              </w:rPr>
            </w:pPr>
          </w:p>
          <w:p w14:paraId="2F0655C2"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provides an in-depth statement of what mitigating actions will be taken by the tenderer in relation and with specific regard to each risk.</w:t>
            </w:r>
          </w:p>
          <w:p w14:paraId="2114B138" w14:textId="77777777" w:rsidR="00D11515" w:rsidRPr="00D962E3" w:rsidRDefault="00D11515" w:rsidP="001E7192">
            <w:pPr>
              <w:rPr>
                <w:rFonts w:asciiTheme="minorHAnsi" w:hAnsiTheme="minorHAnsi"/>
                <w:color w:val="000000"/>
              </w:rPr>
            </w:pPr>
          </w:p>
          <w:p w14:paraId="31DF7E99" w14:textId="77777777" w:rsidR="00D11515" w:rsidRPr="00D962E3" w:rsidRDefault="00D11515" w:rsidP="00D11515">
            <w:pPr>
              <w:numPr>
                <w:ilvl w:val="0"/>
                <w:numId w:val="49"/>
              </w:numPr>
              <w:spacing w:after="24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demonstrates how they will overcome the challenges that have been identified for this project.</w:t>
            </w:r>
          </w:p>
          <w:p w14:paraId="66087179" w14:textId="77777777" w:rsidR="00D11515" w:rsidRPr="00D962E3" w:rsidRDefault="00D11515" w:rsidP="001E7192">
            <w:pPr>
              <w:pStyle w:val="ListParagraph"/>
              <w:spacing w:after="120" w:line="300" w:lineRule="exact"/>
              <w:rPr>
                <w:rFonts w:asciiTheme="minorHAnsi" w:hAnsiTheme="minorHAnsi"/>
                <w:sz w:val="22"/>
                <w:szCs w:val="22"/>
              </w:rPr>
            </w:pP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F60A24" w14:textId="77777777" w:rsidR="00D11515" w:rsidRPr="00D962E3" w:rsidRDefault="00D11515" w:rsidP="001E7192">
            <w:pPr>
              <w:spacing w:after="120" w:line="300" w:lineRule="exact"/>
              <w:rPr>
                <w:rFonts w:asciiTheme="minorHAnsi" w:hAnsiTheme="minorHAnsi" w:cs="Arial"/>
              </w:rPr>
            </w:pPr>
            <w:r>
              <w:rPr>
                <w:rFonts w:asciiTheme="minorHAnsi" w:hAnsiTheme="minorHAnsi" w:cs="Arial"/>
              </w:rPr>
              <w:lastRenderedPageBreak/>
              <w:t>10%</w:t>
            </w:r>
          </w:p>
        </w:tc>
      </w:tr>
      <w:tr w:rsidR="00D11515" w:rsidRPr="00D962E3" w14:paraId="2DC932CD"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A78314"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bCs/>
                <w:color w:val="000000"/>
              </w:rPr>
              <w:t>WA5. Communication</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C6B3C" w14:textId="77777777" w:rsidR="00D11515" w:rsidRPr="00D962E3" w:rsidRDefault="00D11515" w:rsidP="001E7192">
            <w:pPr>
              <w:spacing w:after="120" w:line="300" w:lineRule="exact"/>
              <w:contextualSpacing/>
              <w:rPr>
                <w:rFonts w:asciiTheme="minorHAnsi" w:hAnsiTheme="minorHAnsi" w:cs="Arial"/>
                <w:lang w:eastAsia="en-GB"/>
              </w:rPr>
            </w:pPr>
            <w:r w:rsidRPr="00D962E3">
              <w:rPr>
                <w:rFonts w:asciiTheme="minorHAnsi" w:hAnsiTheme="minorHAnsi"/>
                <w:color w:val="000000"/>
              </w:rPr>
              <w:t>How will you ensure effective communication with both yourself &amp; RSSB? Additionally, how do you propose to communicate with key stakeholders</w:t>
            </w: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AB5E3"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provides a well thought out and appropriate communication plan for communication between the tenderer and RSSB.</w:t>
            </w:r>
          </w:p>
          <w:p w14:paraId="49709E2E" w14:textId="77777777" w:rsidR="00D11515" w:rsidRPr="00D962E3" w:rsidRDefault="00D11515" w:rsidP="001E7192">
            <w:pPr>
              <w:pStyle w:val="ListParagraph"/>
              <w:rPr>
                <w:rFonts w:asciiTheme="minorHAnsi" w:eastAsiaTheme="minorHAnsi" w:hAnsiTheme="minorHAnsi"/>
                <w:color w:val="000000"/>
                <w:sz w:val="22"/>
                <w:szCs w:val="22"/>
              </w:rPr>
            </w:pPr>
          </w:p>
          <w:p w14:paraId="007126F4"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communication plan is effective in it’s ability.</w:t>
            </w:r>
          </w:p>
          <w:p w14:paraId="0FF002C2" w14:textId="77777777" w:rsidR="00D11515" w:rsidRPr="00D962E3" w:rsidRDefault="00D11515" w:rsidP="001E7192">
            <w:pPr>
              <w:rPr>
                <w:rFonts w:asciiTheme="minorHAnsi" w:hAnsiTheme="minorHAnsi"/>
                <w:color w:val="000000"/>
              </w:rPr>
            </w:pPr>
          </w:p>
          <w:p w14:paraId="05A69516" w14:textId="77777777" w:rsidR="00D11515" w:rsidRPr="00D962E3" w:rsidRDefault="00D11515" w:rsidP="00D11515">
            <w:pPr>
              <w:numPr>
                <w:ilvl w:val="0"/>
                <w:numId w:val="49"/>
              </w:numPr>
              <w:spacing w:after="0" w:line="240" w:lineRule="auto"/>
              <w:contextualSpacing/>
              <w:rPr>
                <w:rFonts w:asciiTheme="minorHAnsi" w:eastAsia="Times New Roman" w:hAnsiTheme="minorHAnsi"/>
                <w:color w:val="000000"/>
              </w:rPr>
            </w:pPr>
            <w:r w:rsidRPr="00D962E3">
              <w:rPr>
                <w:rFonts w:asciiTheme="minorHAnsi" w:eastAsia="Times New Roman" w:hAnsiTheme="minorHAnsi"/>
                <w:color w:val="000000"/>
              </w:rPr>
              <w:t>The tenderer provides a robust statement for communicating with key stakeholders.</w:t>
            </w:r>
          </w:p>
          <w:p w14:paraId="62B22C58" w14:textId="77777777" w:rsidR="00D11515" w:rsidRPr="00D962E3" w:rsidRDefault="00D11515" w:rsidP="001E7192">
            <w:pPr>
              <w:pStyle w:val="ListParagraph"/>
              <w:spacing w:after="120" w:line="300" w:lineRule="exact"/>
              <w:rPr>
                <w:rFonts w:asciiTheme="minorHAnsi" w:hAnsiTheme="minorHAnsi"/>
                <w:sz w:val="22"/>
                <w:szCs w:val="22"/>
              </w:rPr>
            </w:pP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C08C4" w14:textId="77777777" w:rsidR="00D11515" w:rsidRPr="00D962E3" w:rsidRDefault="00D11515" w:rsidP="001E7192">
            <w:pPr>
              <w:spacing w:after="120" w:line="300" w:lineRule="exact"/>
              <w:rPr>
                <w:rFonts w:asciiTheme="minorHAnsi" w:hAnsiTheme="minorHAnsi" w:cs="Arial"/>
              </w:rPr>
            </w:pPr>
            <w:r>
              <w:rPr>
                <w:rFonts w:asciiTheme="minorHAnsi" w:hAnsiTheme="minorHAnsi" w:cs="Arial"/>
              </w:rPr>
              <w:t>5%</w:t>
            </w:r>
          </w:p>
        </w:tc>
      </w:tr>
      <w:tr w:rsidR="00D11515" w:rsidRPr="00D962E3" w14:paraId="42D9F991"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AEB605" w14:textId="77777777" w:rsidR="00D11515" w:rsidRPr="00D962E3" w:rsidRDefault="00D11515" w:rsidP="001E7192">
            <w:pPr>
              <w:spacing w:after="120" w:line="300" w:lineRule="exact"/>
              <w:rPr>
                <w:rFonts w:asciiTheme="minorHAnsi" w:hAnsiTheme="minorHAnsi"/>
                <w:bCs/>
                <w:color w:val="000000"/>
              </w:rPr>
            </w:pPr>
            <w:r w:rsidRPr="00D962E3">
              <w:rPr>
                <w:rFonts w:asciiTheme="minorHAnsi" w:hAnsiTheme="minorHAnsi" w:cs="Arial"/>
                <w:lang w:eastAsia="en-GB"/>
              </w:rPr>
              <w:t>WA.6 Deliverables</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89A599" w14:textId="77777777" w:rsidR="00D11515" w:rsidRPr="00D962E3" w:rsidRDefault="00D11515" w:rsidP="001E7192">
            <w:pPr>
              <w:spacing w:after="120"/>
              <w:rPr>
                <w:rFonts w:asciiTheme="minorHAnsi" w:hAnsiTheme="minorHAnsi" w:cs="Arial"/>
                <w:lang w:eastAsia="en-GB"/>
              </w:rPr>
            </w:pPr>
            <w:r w:rsidRPr="00D962E3">
              <w:rPr>
                <w:rFonts w:asciiTheme="minorHAnsi" w:hAnsiTheme="minorHAnsi" w:cs="Arial"/>
                <w:lang w:eastAsia="en-GB"/>
              </w:rPr>
              <w:t>The Tenderer must provide detail (in no more than two pages) on the project deliverables and their successful delivery, to include:</w:t>
            </w:r>
          </w:p>
          <w:p w14:paraId="2AA2B8DF" w14:textId="77777777" w:rsidR="00D11515" w:rsidRPr="00D962E3" w:rsidRDefault="00D11515" w:rsidP="00D11515">
            <w:pPr>
              <w:numPr>
                <w:ilvl w:val="0"/>
                <w:numId w:val="45"/>
              </w:numPr>
              <w:spacing w:after="120" w:line="300" w:lineRule="exact"/>
              <w:contextualSpacing/>
              <w:rPr>
                <w:rFonts w:asciiTheme="minorHAnsi" w:hAnsiTheme="minorHAnsi" w:cs="Arial"/>
                <w:lang w:eastAsia="en-GB"/>
              </w:rPr>
            </w:pPr>
            <w:r w:rsidRPr="00D962E3">
              <w:rPr>
                <w:rFonts w:asciiTheme="minorHAnsi" w:hAnsiTheme="minorHAnsi" w:cs="Arial"/>
                <w:lang w:eastAsia="en-GB"/>
              </w:rPr>
              <w:t>Clear understanding of and process plan for each deliverable</w:t>
            </w:r>
          </w:p>
          <w:p w14:paraId="3F9B1821" w14:textId="77777777" w:rsidR="00D11515" w:rsidRPr="00D962E3" w:rsidRDefault="00D11515" w:rsidP="001E7192">
            <w:pPr>
              <w:pStyle w:val="ListParagraph"/>
              <w:spacing w:line="300" w:lineRule="exact"/>
              <w:rPr>
                <w:rFonts w:asciiTheme="minorHAnsi" w:hAnsiTheme="minorHAnsi"/>
                <w:sz w:val="22"/>
                <w:szCs w:val="22"/>
              </w:rPr>
            </w:pPr>
          </w:p>
          <w:p w14:paraId="3BF99104" w14:textId="77777777" w:rsidR="00D11515" w:rsidRPr="00D962E3" w:rsidRDefault="00D11515" w:rsidP="001E7192">
            <w:pPr>
              <w:spacing w:after="120" w:line="300" w:lineRule="exact"/>
              <w:contextualSpacing/>
              <w:rPr>
                <w:rFonts w:asciiTheme="minorHAnsi" w:hAnsiTheme="minorHAnsi"/>
                <w:color w:val="000000"/>
              </w:rPr>
            </w:pPr>
            <w:r w:rsidRPr="00D962E3">
              <w:rPr>
                <w:rFonts w:asciiTheme="minorHAnsi" w:hAnsiTheme="minorHAnsi" w:cs="Arial"/>
                <w:lang w:eastAsia="en-GB"/>
              </w:rPr>
              <w:t>Process for review of deliverables and drafts</w:t>
            </w: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D16EC"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The Tenderer’s response shows (in no more than 2 pages), that it:</w:t>
            </w:r>
          </w:p>
          <w:p w14:paraId="72A55F15" w14:textId="77777777" w:rsidR="00D11515" w:rsidRPr="00D962E3" w:rsidRDefault="00D11515" w:rsidP="00D11515">
            <w:pPr>
              <w:numPr>
                <w:ilvl w:val="0"/>
                <w:numId w:val="47"/>
              </w:numPr>
              <w:spacing w:after="120" w:line="300" w:lineRule="exact"/>
              <w:rPr>
                <w:rFonts w:asciiTheme="minorHAnsi" w:hAnsiTheme="minorHAnsi" w:cs="Arial"/>
                <w:lang w:eastAsia="en-GB"/>
              </w:rPr>
            </w:pPr>
            <w:r w:rsidRPr="00D962E3">
              <w:rPr>
                <w:rFonts w:asciiTheme="minorHAnsi" w:hAnsiTheme="minorHAnsi" w:cs="Arial"/>
                <w:lang w:eastAsia="en-GB"/>
              </w:rPr>
              <w:t>Has a clear plan for delivery of key deliverables, with process plan, milestones and target due dates.</w:t>
            </w:r>
          </w:p>
          <w:p w14:paraId="4D3D9281" w14:textId="77777777" w:rsidR="00D11515" w:rsidRPr="00D962E3" w:rsidRDefault="00D11515" w:rsidP="001E7192">
            <w:pPr>
              <w:contextualSpacing/>
              <w:rPr>
                <w:rFonts w:asciiTheme="minorHAnsi" w:hAnsiTheme="minorHAnsi"/>
                <w:color w:val="000000"/>
              </w:rPr>
            </w:pPr>
            <w:r w:rsidRPr="00D962E3">
              <w:rPr>
                <w:rFonts w:asciiTheme="minorHAnsi" w:hAnsiTheme="minorHAnsi" w:cs="Arial"/>
                <w:lang w:eastAsia="en-GB"/>
              </w:rPr>
              <w:t>Has identified a robust review process that allows for iterations</w:t>
            </w: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2A2BAA" w14:textId="77777777" w:rsidR="00D11515" w:rsidRPr="00D962E3" w:rsidRDefault="00D11515" w:rsidP="001E7192">
            <w:pPr>
              <w:spacing w:after="120" w:line="300" w:lineRule="exact"/>
              <w:rPr>
                <w:rFonts w:asciiTheme="minorHAnsi" w:hAnsiTheme="minorHAnsi" w:cs="Arial"/>
              </w:rPr>
            </w:pPr>
            <w:r>
              <w:rPr>
                <w:rFonts w:asciiTheme="minorHAnsi" w:hAnsiTheme="minorHAnsi" w:cs="Arial"/>
              </w:rPr>
              <w:t>5%</w:t>
            </w:r>
          </w:p>
        </w:tc>
      </w:tr>
      <w:tr w:rsidR="00D11515" w:rsidRPr="00D962E3" w14:paraId="3F14C60D" w14:textId="77777777" w:rsidTr="001E7192">
        <w:trPr>
          <w:trHeight w:val="724"/>
        </w:trPr>
        <w:tc>
          <w:tcPr>
            <w:tcW w:w="10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7FD3A"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 xml:space="preserve">WA.7 </w:t>
            </w:r>
          </w:p>
          <w:p w14:paraId="47CA73D6"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t>Cost of project</w:t>
            </w:r>
          </w:p>
        </w:tc>
        <w:tc>
          <w:tcPr>
            <w:tcW w:w="17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AA372" w14:textId="77777777" w:rsidR="00D11515" w:rsidRPr="00D962E3" w:rsidRDefault="00D11515" w:rsidP="001E7192">
            <w:pPr>
              <w:tabs>
                <w:tab w:val="left" w:pos="113"/>
              </w:tabs>
              <w:spacing w:after="40" w:line="280" w:lineRule="exact"/>
              <w:rPr>
                <w:rFonts w:asciiTheme="minorHAnsi" w:hAnsiTheme="minorHAnsi" w:cs="Arial"/>
                <w:lang w:eastAsia="en-GB"/>
              </w:rPr>
            </w:pPr>
            <w:r w:rsidRPr="00D962E3">
              <w:rPr>
                <w:rFonts w:asciiTheme="minorHAnsi" w:hAnsiTheme="minorHAnsi" w:cs="Arial"/>
                <w:lang w:eastAsia="en-GB"/>
              </w:rPr>
              <w:t>The tenderer should:</w:t>
            </w:r>
          </w:p>
          <w:p w14:paraId="44ED29ED" w14:textId="77777777" w:rsidR="00D11515" w:rsidRPr="00D962E3" w:rsidRDefault="00D11515" w:rsidP="00D11515">
            <w:pPr>
              <w:numPr>
                <w:ilvl w:val="0"/>
                <w:numId w:val="46"/>
              </w:numPr>
              <w:spacing w:after="120" w:line="300" w:lineRule="exact"/>
              <w:contextualSpacing/>
              <w:rPr>
                <w:rFonts w:asciiTheme="minorHAnsi" w:hAnsiTheme="minorHAnsi" w:cs="Arial"/>
                <w:lang w:eastAsia="en-GB"/>
              </w:rPr>
            </w:pPr>
            <w:r w:rsidRPr="00D962E3">
              <w:rPr>
                <w:rFonts w:asciiTheme="minorHAnsi" w:hAnsiTheme="minorHAnsi" w:cs="Arial"/>
                <w:lang w:eastAsia="en-GB"/>
              </w:rPr>
              <w:t xml:space="preserve">Provide a fixed cost for the project and the associated cost break down. If this is above the budgeted amount </w:t>
            </w:r>
            <w:r w:rsidRPr="00D962E3">
              <w:rPr>
                <w:rFonts w:asciiTheme="minorHAnsi" w:hAnsiTheme="minorHAnsi" w:cs="Arial"/>
                <w:lang w:eastAsia="en-GB"/>
              </w:rPr>
              <w:lastRenderedPageBreak/>
              <w:t>of £150k then a detailed explanation is required of why the supplier doesn’t feel that the budget is adequate.</w:t>
            </w:r>
          </w:p>
          <w:p w14:paraId="596E36F2" w14:textId="77777777" w:rsidR="00D11515" w:rsidRPr="00D962E3" w:rsidRDefault="00D11515" w:rsidP="001E7192">
            <w:pPr>
              <w:spacing w:after="120" w:line="300" w:lineRule="exact"/>
              <w:ind w:left="360"/>
              <w:contextualSpacing/>
              <w:rPr>
                <w:rFonts w:asciiTheme="minorHAnsi" w:hAnsiTheme="minorHAnsi" w:cs="Arial"/>
                <w:lang w:eastAsia="en-GB"/>
              </w:rPr>
            </w:pPr>
          </w:p>
        </w:tc>
        <w:tc>
          <w:tcPr>
            <w:tcW w:w="16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ED78C" w14:textId="77777777" w:rsidR="00D11515" w:rsidRPr="00D962E3" w:rsidRDefault="00D11515" w:rsidP="00D11515">
            <w:pPr>
              <w:pStyle w:val="ListParagraph"/>
              <w:numPr>
                <w:ilvl w:val="0"/>
                <w:numId w:val="48"/>
              </w:numPr>
              <w:spacing w:after="120" w:line="300" w:lineRule="exact"/>
              <w:ind w:left="720"/>
              <w:rPr>
                <w:rFonts w:asciiTheme="minorHAnsi" w:hAnsiTheme="minorHAnsi"/>
                <w:sz w:val="22"/>
                <w:szCs w:val="22"/>
              </w:rPr>
            </w:pPr>
            <w:r w:rsidRPr="00D962E3">
              <w:rPr>
                <w:rFonts w:asciiTheme="minorHAnsi" w:hAnsiTheme="minorHAnsi"/>
                <w:sz w:val="22"/>
                <w:szCs w:val="22"/>
              </w:rPr>
              <w:lastRenderedPageBreak/>
              <w:t>The tender with the lowest total cost will receive 100% of the available weighted score (25%).</w:t>
            </w:r>
          </w:p>
          <w:p w14:paraId="29E01CCF" w14:textId="77777777" w:rsidR="00D11515" w:rsidRPr="00D962E3" w:rsidRDefault="00D11515" w:rsidP="00D11515">
            <w:pPr>
              <w:pStyle w:val="ListParagraph"/>
              <w:numPr>
                <w:ilvl w:val="0"/>
                <w:numId w:val="48"/>
              </w:numPr>
              <w:spacing w:after="120" w:line="300" w:lineRule="exact"/>
              <w:ind w:left="720"/>
              <w:rPr>
                <w:rFonts w:asciiTheme="minorHAnsi" w:hAnsiTheme="minorHAnsi"/>
                <w:sz w:val="22"/>
                <w:szCs w:val="22"/>
              </w:rPr>
            </w:pPr>
            <w:r w:rsidRPr="00D962E3">
              <w:rPr>
                <w:rFonts w:asciiTheme="minorHAnsi" w:hAnsiTheme="minorHAnsi"/>
                <w:sz w:val="22"/>
                <w:szCs w:val="22"/>
              </w:rPr>
              <w:lastRenderedPageBreak/>
              <w:t>Other tenderer’s tenders will receive a pro-rated relative to the lowest cost according to the following formula:</w:t>
            </w:r>
          </w:p>
          <w:p w14:paraId="15BDE9EC" w14:textId="77777777" w:rsidR="00D11515" w:rsidRPr="00D962E3" w:rsidRDefault="00D11515" w:rsidP="001E7192">
            <w:pPr>
              <w:spacing w:after="120" w:line="300" w:lineRule="exact"/>
              <w:rPr>
                <w:rFonts w:asciiTheme="minorHAnsi" w:hAnsiTheme="minorHAnsi" w:cs="Arial"/>
              </w:rPr>
            </w:pPr>
            <w:r w:rsidRPr="00D962E3">
              <w:rPr>
                <w:rFonts w:asciiTheme="minorHAnsi" w:hAnsiTheme="minorHAnsi" w:cs="Arial"/>
              </w:rPr>
              <w:t>Score of other tender = lowest tender total cost / other tender total cost x 100%.</w:t>
            </w:r>
          </w:p>
        </w:tc>
        <w:tc>
          <w:tcPr>
            <w:tcW w:w="5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3C978" w14:textId="77777777" w:rsidR="00D11515" w:rsidRPr="00D962E3" w:rsidRDefault="00D11515" w:rsidP="001E7192">
            <w:pPr>
              <w:spacing w:after="120" w:line="300" w:lineRule="exact"/>
              <w:rPr>
                <w:rFonts w:asciiTheme="minorHAnsi" w:hAnsiTheme="minorHAnsi" w:cs="Arial"/>
                <w:lang w:eastAsia="en-GB"/>
              </w:rPr>
            </w:pPr>
            <w:r w:rsidRPr="00D962E3">
              <w:rPr>
                <w:rFonts w:asciiTheme="minorHAnsi" w:hAnsiTheme="minorHAnsi" w:cs="Arial"/>
                <w:lang w:eastAsia="en-GB"/>
              </w:rPr>
              <w:lastRenderedPageBreak/>
              <w:t>25%</w:t>
            </w:r>
          </w:p>
        </w:tc>
      </w:tr>
    </w:tbl>
    <w:p w14:paraId="269E9216" w14:textId="77777777" w:rsidR="00801CC8" w:rsidRDefault="00801CC8" w:rsidP="00E52B87">
      <w:pPr>
        <w:pStyle w:val="Body"/>
        <w:rPr>
          <w:rFonts w:asciiTheme="minorHAnsi" w:hAnsiTheme="minorHAnsi"/>
          <w:b/>
        </w:rPr>
        <w:sectPr w:rsidR="00801CC8"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457E7713" w14:textId="4C00A221" w:rsidR="000140D4" w:rsidRDefault="000140D4" w:rsidP="00E52B87">
      <w:pPr>
        <w:pStyle w:val="NoSpacing"/>
        <w:rPr>
          <w:rFonts w:asciiTheme="minorHAnsi" w:hAnsiTheme="minorHAnsi" w:cs="Arial"/>
        </w:rPr>
      </w:pPr>
    </w:p>
    <w:p w14:paraId="634AA78A" w14:textId="77777777" w:rsidR="00E65178" w:rsidRDefault="00E65178" w:rsidP="00E65178">
      <w:pPr>
        <w:pStyle w:val="CoverTitle"/>
      </w:pPr>
      <w:r>
        <w:t xml:space="preserve">Specification for research project </w:t>
      </w:r>
    </w:p>
    <w:p w14:paraId="420A5690" w14:textId="77777777" w:rsidR="00E65178" w:rsidRDefault="00E65178" w:rsidP="00E65178">
      <w:pPr>
        <w:pStyle w:val="CoverTitle"/>
      </w:pPr>
      <w:r>
        <w:t>Understanding the key drivers that impact travel choice</w:t>
      </w:r>
    </w:p>
    <w:p w14:paraId="21A7AEB4" w14:textId="77777777" w:rsidR="00E65178" w:rsidRDefault="00E65178" w:rsidP="00E65178">
      <w:pPr>
        <w:pStyle w:val="CoverTitle"/>
      </w:pPr>
      <w:r>
        <w:t>T1134</w:t>
      </w:r>
    </w:p>
    <w:p w14:paraId="38E5E172" w14:textId="77777777" w:rsidR="00E65178" w:rsidRDefault="00E65178" w:rsidP="00E65178">
      <w:pPr>
        <w:pStyle w:val="CoverTitle"/>
      </w:pPr>
    </w:p>
    <w:p w14:paraId="660692C7" w14:textId="77777777" w:rsidR="00E65178" w:rsidRDefault="00E65178" w:rsidP="00E65178">
      <w:pPr>
        <w:pStyle w:val="CoverTitle"/>
      </w:pPr>
    </w:p>
    <w:p w14:paraId="2539B742" w14:textId="77777777" w:rsidR="00E65178" w:rsidRDefault="00E65178" w:rsidP="00E65178">
      <w:pPr>
        <w:pStyle w:val="CoverTitle"/>
      </w:pPr>
    </w:p>
    <w:p w14:paraId="32382616" w14:textId="77777777" w:rsidR="00E65178" w:rsidRDefault="00E65178" w:rsidP="00E65178">
      <w:pPr>
        <w:pStyle w:val="CoverTitle"/>
      </w:pPr>
    </w:p>
    <w:p w14:paraId="2F19DBEE" w14:textId="77777777" w:rsidR="00E65178" w:rsidRDefault="00E65178" w:rsidP="00E65178">
      <w:pPr>
        <w:pStyle w:val="CoverTitle"/>
      </w:pPr>
    </w:p>
    <w:tbl>
      <w:tblPr>
        <w:tblStyle w:val="TableGrid"/>
        <w:tblW w:w="0" w:type="auto"/>
        <w:tblLook w:val="04A0" w:firstRow="1" w:lastRow="0" w:firstColumn="1" w:lastColumn="0" w:noHBand="0" w:noVBand="1"/>
      </w:tblPr>
      <w:tblGrid>
        <w:gridCol w:w="4673"/>
        <w:gridCol w:w="3253"/>
      </w:tblGrid>
      <w:tr w:rsidR="00E65178" w14:paraId="60A47613" w14:textId="77777777" w:rsidTr="001E7192">
        <w:tc>
          <w:tcPr>
            <w:tcW w:w="4673" w:type="dxa"/>
          </w:tcPr>
          <w:p w14:paraId="0E170D4F" w14:textId="77777777" w:rsidR="00E65178" w:rsidRDefault="00E65178" w:rsidP="001E7192">
            <w:r>
              <w:t>Procurement ID number</w:t>
            </w:r>
          </w:p>
        </w:tc>
        <w:tc>
          <w:tcPr>
            <w:tcW w:w="3253" w:type="dxa"/>
          </w:tcPr>
          <w:p w14:paraId="25664CFE" w14:textId="77777777" w:rsidR="00E65178" w:rsidRDefault="00E65178" w:rsidP="001E7192"/>
        </w:tc>
      </w:tr>
      <w:tr w:rsidR="00E65178" w14:paraId="664676C6" w14:textId="77777777" w:rsidTr="001E7192">
        <w:tc>
          <w:tcPr>
            <w:tcW w:w="4673" w:type="dxa"/>
          </w:tcPr>
          <w:p w14:paraId="2052B3E3" w14:textId="77777777" w:rsidR="00E65178" w:rsidRDefault="00E65178" w:rsidP="001E7192">
            <w:r>
              <w:t>Procurement Manager</w:t>
            </w:r>
          </w:p>
        </w:tc>
        <w:tc>
          <w:tcPr>
            <w:tcW w:w="3253" w:type="dxa"/>
          </w:tcPr>
          <w:p w14:paraId="1FCBBE0B" w14:textId="77777777" w:rsidR="00E65178" w:rsidRDefault="00E65178" w:rsidP="001E7192">
            <w:r>
              <w:t>Matthew Riley</w:t>
            </w:r>
          </w:p>
        </w:tc>
      </w:tr>
      <w:tr w:rsidR="00E65178" w:rsidDel="00206FB1" w14:paraId="2E941006" w14:textId="77777777" w:rsidTr="001E7192">
        <w:tc>
          <w:tcPr>
            <w:tcW w:w="4673" w:type="dxa"/>
          </w:tcPr>
          <w:p w14:paraId="38476E69" w14:textId="77777777" w:rsidR="00E65178" w:rsidDel="00206FB1" w:rsidRDefault="00E65178" w:rsidP="001E7192">
            <w:r>
              <w:t xml:space="preserve">Version </w:t>
            </w:r>
          </w:p>
        </w:tc>
        <w:tc>
          <w:tcPr>
            <w:tcW w:w="3253" w:type="dxa"/>
          </w:tcPr>
          <w:p w14:paraId="27637BE0" w14:textId="77777777" w:rsidR="00E65178" w:rsidDel="00206FB1" w:rsidRDefault="00E65178" w:rsidP="001E7192">
            <w:r>
              <w:t>1.1</w:t>
            </w:r>
          </w:p>
        </w:tc>
      </w:tr>
      <w:tr w:rsidR="00E65178" w:rsidDel="00206FB1" w14:paraId="62571B19" w14:textId="77777777" w:rsidTr="001E7192">
        <w:tc>
          <w:tcPr>
            <w:tcW w:w="4673" w:type="dxa"/>
          </w:tcPr>
          <w:p w14:paraId="0137933F" w14:textId="77777777" w:rsidR="00E65178" w:rsidRDefault="00E65178" w:rsidP="001E7192">
            <w:r>
              <w:t>Date</w:t>
            </w:r>
          </w:p>
        </w:tc>
        <w:tc>
          <w:tcPr>
            <w:tcW w:w="3253" w:type="dxa"/>
          </w:tcPr>
          <w:p w14:paraId="4C187BED" w14:textId="77777777" w:rsidR="00E65178" w:rsidDel="00206FB1" w:rsidRDefault="00E65178" w:rsidP="001E7192">
            <w:r>
              <w:t>August 2017</w:t>
            </w:r>
          </w:p>
        </w:tc>
      </w:tr>
    </w:tbl>
    <w:p w14:paraId="42B777E2" w14:textId="77777777" w:rsidR="00E65178" w:rsidRDefault="00E65178" w:rsidP="00E65178"/>
    <w:p w14:paraId="137EDEDD" w14:textId="77777777" w:rsidR="00E65178" w:rsidRDefault="00E65178" w:rsidP="00E65178">
      <w:r>
        <w:br w:type="page"/>
      </w:r>
    </w:p>
    <w:p w14:paraId="05387BE3" w14:textId="77777777" w:rsidR="00E65178" w:rsidRDefault="00E65178" w:rsidP="00E65178">
      <w:pPr>
        <w:pStyle w:val="Heading1"/>
      </w:pPr>
      <w:r>
        <w:lastRenderedPageBreak/>
        <w:t>Background</w:t>
      </w:r>
    </w:p>
    <w:p w14:paraId="62F55E66" w14:textId="77777777" w:rsidR="00E65178" w:rsidRPr="00CD46F8" w:rsidRDefault="00E65178" w:rsidP="00E65178">
      <w:pPr>
        <w:pStyle w:val="Heading2"/>
        <w:numPr>
          <w:ilvl w:val="0"/>
          <w:numId w:val="0"/>
        </w:numPr>
      </w:pPr>
      <w:r w:rsidRPr="00CD46F8">
        <w:t>Planning for the future in the rail sector</w:t>
      </w:r>
    </w:p>
    <w:p w14:paraId="7A334BF6" w14:textId="77777777" w:rsidR="00E65178" w:rsidRDefault="00E65178" w:rsidP="00E65178">
      <w:pPr>
        <w:pStyle w:val="Body"/>
      </w:pPr>
      <w:r>
        <w:t xml:space="preserve">It is essential for the rail industry to have a </w:t>
      </w:r>
      <w:r w:rsidRPr="00A244AF">
        <w:t xml:space="preserve">good understanding of future </w:t>
      </w:r>
      <w:r>
        <w:t xml:space="preserve">passenger </w:t>
      </w:r>
      <w:r w:rsidRPr="00A244AF">
        <w:t>demand</w:t>
      </w:r>
      <w:r>
        <w:t>. Currently approximately two thirds of the income to the railways comes from passenger ticket revenue, with the remaining third coming from government and other sources. This mix of funding means that understanding demand is important for both the government and train operating companies and has very real implications on the funding of the railway. In the shorter term, predictability in future demand allows franchise agreements between the Department for Transport (DfT) and train operating companies to be optimised, as ultimately any uncertainty in the system leads to increased contingency and reduced value for the customer. In the longer term, it can allow the government to plan investment decisions about the railways, and will have an impact on capacity requirements and decisions on improvement programmes.</w:t>
      </w:r>
      <w:r w:rsidRPr="00F43A7A">
        <w:t xml:space="preserve"> </w:t>
      </w:r>
      <w:r>
        <w:t>The DfT’s Passenger Services Board has endorsed the project and Rail Delivery Groups (RDG)’s Customer Experience Board has been engaged and recognises the benefits that enhanced understanding of future demand can bring. The RDG Customer Experience Board has endorsed the project and is supportive of the objectives.</w:t>
      </w:r>
    </w:p>
    <w:p w14:paraId="1CF62590" w14:textId="77777777" w:rsidR="00E65178" w:rsidRDefault="00E65178" w:rsidP="00E65178">
      <w:pPr>
        <w:pStyle w:val="Body"/>
      </w:pPr>
      <w:r>
        <w:t xml:space="preserve">The rail sector in Great Britain has a long and well-established tradition of forecasting the demand for rail services. The approach is based on evidence derived from econometric analysis of ticket sales data supported by bespoke market research. This evidence has evolved over time and is assembled in the industry’s Passenger Demand Forecasting Handbook (PDFH). Recently trends in demand have been observed which have not been fully explained by this type of modelling. For example, following a period of sustained growth in rail travel demand from new passengers, in </w:t>
      </w:r>
      <w:r w:rsidRPr="004B65E8">
        <w:t>2014-15</w:t>
      </w:r>
      <w:r>
        <w:t xml:space="preserve"> the trend reversed with reductions being observed that could not be explained fully by established modelling techniques. </w:t>
      </w:r>
    </w:p>
    <w:p w14:paraId="2A0BCF45" w14:textId="77777777" w:rsidR="00E65178" w:rsidRPr="00E311E9" w:rsidRDefault="00E65178" w:rsidP="00E65178">
      <w:pPr>
        <w:pStyle w:val="Body"/>
      </w:pPr>
      <w:r>
        <w:t>In 2016-17 revenue growth from passenger journeys made in Great Britain slowed to 2.5%, with £9.5 billion raised from all operators in 2016-17. This established the slowest year-on-year rate of growth in revenue since 2000-01.</w:t>
      </w:r>
      <w:r>
        <w:rPr>
          <w:rStyle w:val="FootnoteReference"/>
        </w:rPr>
        <w:footnoteReference w:id="1"/>
      </w:r>
      <w:r>
        <w:t xml:space="preserve"> </w:t>
      </w:r>
      <w:r w:rsidRPr="005C57C3">
        <w:t>This project will seek to tackle these challenges by developing a broader range of insights into travel and consumer behavio</w:t>
      </w:r>
      <w:r>
        <w:t>ur as it affects rail.</w:t>
      </w:r>
      <w:r w:rsidRPr="00802E4C">
        <w:rPr>
          <w:lang w:val="en-US"/>
        </w:rPr>
        <w:t xml:space="preserve"> </w:t>
      </w:r>
      <w:r>
        <w:rPr>
          <w:lang w:val="en-US"/>
        </w:rPr>
        <w:t>This is expected to support key outcomes to:</w:t>
      </w:r>
    </w:p>
    <w:p w14:paraId="221B4842" w14:textId="77777777" w:rsidR="00E65178" w:rsidRPr="00094C95" w:rsidRDefault="00E65178" w:rsidP="00E65178">
      <w:pPr>
        <w:pStyle w:val="Body"/>
        <w:numPr>
          <w:ilvl w:val="0"/>
          <w:numId w:val="58"/>
        </w:numPr>
        <w:spacing w:after="0"/>
        <w:rPr>
          <w:lang w:val="en-US"/>
        </w:rPr>
      </w:pPr>
      <w:r w:rsidRPr="00094C95">
        <w:rPr>
          <w:lang w:val="en-US"/>
        </w:rPr>
        <w:t xml:space="preserve">Understand broader impacts on rail demand including geographical influences by region, the potential disruptive effects of technology (both positive and negative) and with trends in other </w:t>
      </w:r>
      <w:r>
        <w:rPr>
          <w:lang w:val="en-US"/>
        </w:rPr>
        <w:t xml:space="preserve">transport </w:t>
      </w:r>
      <w:r w:rsidRPr="00094C95">
        <w:rPr>
          <w:lang w:val="en-US"/>
        </w:rPr>
        <w:t xml:space="preserve">modes </w:t>
      </w:r>
    </w:p>
    <w:p w14:paraId="0BAFDCAE" w14:textId="77777777" w:rsidR="00E65178" w:rsidRPr="00094C95" w:rsidRDefault="00E65178" w:rsidP="00E65178">
      <w:pPr>
        <w:pStyle w:val="Body"/>
        <w:numPr>
          <w:ilvl w:val="0"/>
          <w:numId w:val="58"/>
        </w:numPr>
        <w:spacing w:after="0"/>
        <w:rPr>
          <w:lang w:val="en-US"/>
        </w:rPr>
      </w:pPr>
      <w:r w:rsidRPr="00094C95">
        <w:rPr>
          <w:lang w:val="en-US"/>
        </w:rPr>
        <w:t xml:space="preserve">Develop a range of market and socio-economic scenarios for the next </w:t>
      </w:r>
      <w:r>
        <w:rPr>
          <w:lang w:val="en-US"/>
        </w:rPr>
        <w:t>15</w:t>
      </w:r>
      <w:r w:rsidRPr="00094C95">
        <w:rPr>
          <w:lang w:val="en-US"/>
        </w:rPr>
        <w:t>-</w:t>
      </w:r>
      <w:r>
        <w:rPr>
          <w:lang w:val="en-US"/>
        </w:rPr>
        <w:t xml:space="preserve">20 </w:t>
      </w:r>
      <w:r w:rsidRPr="00094C95">
        <w:rPr>
          <w:lang w:val="en-US"/>
        </w:rPr>
        <w:t>years, h</w:t>
      </w:r>
      <w:r>
        <w:rPr>
          <w:lang w:val="en-US"/>
        </w:rPr>
        <w:t xml:space="preserve">elping </w:t>
      </w:r>
      <w:r w:rsidRPr="00094C95">
        <w:rPr>
          <w:lang w:val="en-US"/>
        </w:rPr>
        <w:t>to anticipate revenue trends that may emerge particularly thos</w:t>
      </w:r>
      <w:r>
        <w:rPr>
          <w:lang w:val="en-US"/>
        </w:rPr>
        <w:t>e from a marketing perspective</w:t>
      </w:r>
    </w:p>
    <w:p w14:paraId="74B1A45F" w14:textId="77777777" w:rsidR="00E65178" w:rsidRDefault="00E65178" w:rsidP="00E65178">
      <w:pPr>
        <w:pStyle w:val="Body"/>
        <w:numPr>
          <w:ilvl w:val="0"/>
          <w:numId w:val="58"/>
        </w:numPr>
        <w:spacing w:after="0"/>
        <w:rPr>
          <w:lang w:val="en-US"/>
        </w:rPr>
      </w:pPr>
      <w:r w:rsidRPr="00094C95">
        <w:rPr>
          <w:lang w:val="en-US"/>
        </w:rPr>
        <w:t xml:space="preserve">Better understand influences on longer term revenue and demand outlook for </w:t>
      </w:r>
      <w:r>
        <w:rPr>
          <w:lang w:val="en-US"/>
        </w:rPr>
        <w:t>GB</w:t>
      </w:r>
      <w:r w:rsidRPr="00094C95">
        <w:rPr>
          <w:lang w:val="en-US"/>
        </w:rPr>
        <w:t xml:space="preserve"> rail, beyond the current control period (2019), as in an input to investment and franchise planning (particularly upside and downside risks</w:t>
      </w:r>
      <w:r>
        <w:rPr>
          <w:lang w:val="en-US"/>
        </w:rPr>
        <w:t xml:space="preserve">) </w:t>
      </w:r>
    </w:p>
    <w:p w14:paraId="5DFBD44F" w14:textId="77777777" w:rsidR="00E65178" w:rsidRDefault="00E65178" w:rsidP="00E65178">
      <w:pPr>
        <w:pStyle w:val="Body"/>
        <w:spacing w:after="0"/>
        <w:ind w:left="720"/>
        <w:rPr>
          <w:lang w:val="en-US"/>
        </w:rPr>
      </w:pPr>
    </w:p>
    <w:p w14:paraId="210CC806" w14:textId="77777777" w:rsidR="00E65178" w:rsidRPr="00371A2D" w:rsidRDefault="00E65178" w:rsidP="00E65178">
      <w:pPr>
        <w:pStyle w:val="Body"/>
        <w:spacing w:after="0"/>
        <w:rPr>
          <w:lang w:val="en-US"/>
        </w:rPr>
      </w:pPr>
      <w:r w:rsidRPr="00371A2D">
        <w:rPr>
          <w:lang w:val="en-US"/>
        </w:rPr>
        <w:t>An improved understanding of customers and what drives travel demand will allow train operating companies to better target services to customer needs helping to grow revenue and improve customer experience.</w:t>
      </w:r>
    </w:p>
    <w:p w14:paraId="0262422F" w14:textId="77777777" w:rsidR="00E65178" w:rsidRDefault="00E65178" w:rsidP="00E65178">
      <w:pPr>
        <w:pStyle w:val="Body"/>
        <w:spacing w:after="0"/>
        <w:ind w:left="720"/>
        <w:rPr>
          <w:lang w:val="en-US"/>
        </w:rPr>
      </w:pPr>
    </w:p>
    <w:p w14:paraId="0E91BACD" w14:textId="77777777" w:rsidR="00E65178" w:rsidRDefault="00E65178" w:rsidP="00E65178">
      <w:pPr>
        <w:pStyle w:val="Body"/>
      </w:pPr>
      <w:r>
        <w:rPr>
          <w:lang w:val="en-US"/>
        </w:rPr>
        <w:t>This project will draw on the scoping study commissioned by RSSB and delivered by KPMG</w:t>
      </w:r>
      <w:r>
        <w:rPr>
          <w:rStyle w:val="FootnoteReference"/>
          <w:lang w:val="en-US"/>
        </w:rPr>
        <w:footnoteReference w:id="2"/>
      </w:r>
      <w:r>
        <w:rPr>
          <w:lang w:val="en-US"/>
        </w:rPr>
        <w:t xml:space="preserve"> which </w:t>
      </w:r>
      <w:r>
        <w:t>reviewed a range of market trends and disruptors that have the potential to drive passenger rail demand over the short and longer term.  The report made recommendations for the next steps industry could take to develop an approach to understanding the key drivers that impact travel choice and has been used to structure this project.</w:t>
      </w:r>
    </w:p>
    <w:p w14:paraId="07B80705" w14:textId="77777777" w:rsidR="00E65178" w:rsidRPr="003A1A92" w:rsidRDefault="00E65178" w:rsidP="00E65178">
      <w:pPr>
        <w:pStyle w:val="Body"/>
        <w:rPr>
          <w:lang w:val="en-US"/>
        </w:rPr>
      </w:pPr>
      <w:r w:rsidRPr="003A1A92">
        <w:rPr>
          <w:lang w:val="en-US"/>
        </w:rPr>
        <w:t>If successful it is expected that this project will enable the rail industry to better understand and monitor the needs of its customers to support the development of new initiatives to increase demand for rail, increasing revenues and so making rail more sustainable.</w:t>
      </w:r>
    </w:p>
    <w:p w14:paraId="39F20C4E" w14:textId="77777777" w:rsidR="00E65178" w:rsidRDefault="00E65178" w:rsidP="00E65178">
      <w:pPr>
        <w:rPr>
          <w:rFonts w:ascii="Calibri" w:hAnsi="Calibri" w:cs="Arial"/>
          <w:color w:val="00968E"/>
          <w:sz w:val="32"/>
          <w:lang w:eastAsia="en-GB"/>
        </w:rPr>
      </w:pPr>
    </w:p>
    <w:p w14:paraId="15CEDCBD" w14:textId="77777777" w:rsidR="00E65178" w:rsidRDefault="00E65178" w:rsidP="00E65178">
      <w:pPr>
        <w:pStyle w:val="Heading2"/>
        <w:numPr>
          <w:ilvl w:val="0"/>
          <w:numId w:val="0"/>
        </w:numPr>
      </w:pPr>
      <w:r>
        <w:t>Work to date</w:t>
      </w:r>
    </w:p>
    <w:p w14:paraId="3BF6EE51" w14:textId="77777777" w:rsidR="00E65178" w:rsidRDefault="00E65178" w:rsidP="00E65178">
      <w:pPr>
        <w:pStyle w:val="BodyIndent1"/>
        <w:ind w:left="0"/>
        <w:jc w:val="both"/>
      </w:pPr>
      <w:r>
        <w:t xml:space="preserve">Given the complexity and interaction between trends and disruptors KPMG grouped them into 6 themes to reflect possible outcomes on transport needs and choices. The study identified three key themes relating to </w:t>
      </w:r>
      <w:r w:rsidRPr="00D55CC1">
        <w:rPr>
          <w:i/>
        </w:rPr>
        <w:t>transport needs</w:t>
      </w:r>
      <w:r>
        <w:t xml:space="preserve"> namely: </w:t>
      </w:r>
    </w:p>
    <w:p w14:paraId="0B2160FC" w14:textId="77777777" w:rsidR="00E65178" w:rsidRDefault="00E65178" w:rsidP="00E65178">
      <w:pPr>
        <w:pStyle w:val="BodyIndent1"/>
        <w:numPr>
          <w:ilvl w:val="0"/>
          <w:numId w:val="57"/>
        </w:numPr>
        <w:jc w:val="both"/>
      </w:pPr>
      <w:r>
        <w:t>Changes to the structure of the economy (e.g. flexible working, automation)</w:t>
      </w:r>
    </w:p>
    <w:p w14:paraId="1A9268EF" w14:textId="77777777" w:rsidR="00E65178" w:rsidRDefault="00E65178" w:rsidP="00E65178">
      <w:pPr>
        <w:pStyle w:val="BodyIndent1"/>
        <w:numPr>
          <w:ilvl w:val="0"/>
          <w:numId w:val="57"/>
        </w:numPr>
        <w:jc w:val="both"/>
      </w:pPr>
      <w:r>
        <w:t xml:space="preserve">Socio-demographic structure (e.g. aging population, urbanisation) and </w:t>
      </w:r>
    </w:p>
    <w:p w14:paraId="7DD053F0" w14:textId="77777777" w:rsidR="00E65178" w:rsidRDefault="00E65178" w:rsidP="00E65178">
      <w:pPr>
        <w:pStyle w:val="BodyIndent1"/>
        <w:numPr>
          <w:ilvl w:val="0"/>
          <w:numId w:val="57"/>
        </w:numPr>
        <w:jc w:val="both"/>
      </w:pPr>
      <w:r>
        <w:t>Alternatives and substitutes to travel (e.g. virtualisation, 3D printing)</w:t>
      </w:r>
    </w:p>
    <w:p w14:paraId="3C312A74" w14:textId="77777777" w:rsidR="00E65178" w:rsidRDefault="00E65178" w:rsidP="00E65178">
      <w:pPr>
        <w:pStyle w:val="BodyIndent1"/>
        <w:ind w:left="0"/>
        <w:jc w:val="both"/>
      </w:pPr>
      <w:r>
        <w:t xml:space="preserve">The study identified three themes relating to </w:t>
      </w:r>
      <w:r w:rsidRPr="00D55CC1">
        <w:rPr>
          <w:i/>
        </w:rPr>
        <w:t>transport choices</w:t>
      </w:r>
      <w:r>
        <w:t xml:space="preserve"> comprising: </w:t>
      </w:r>
    </w:p>
    <w:p w14:paraId="45367F2E" w14:textId="77777777" w:rsidR="00E65178" w:rsidRDefault="00E65178" w:rsidP="00E65178">
      <w:pPr>
        <w:pStyle w:val="BodyIndent1"/>
        <w:numPr>
          <w:ilvl w:val="0"/>
          <w:numId w:val="57"/>
        </w:numPr>
        <w:jc w:val="both"/>
      </w:pPr>
      <w:r>
        <w:t>Price, quality and availability of transport (e.g. autonomous vehicles, hyperloop)</w:t>
      </w:r>
    </w:p>
    <w:p w14:paraId="56B9D5C9" w14:textId="77777777" w:rsidR="00E65178" w:rsidRDefault="00E65178" w:rsidP="00E65178">
      <w:pPr>
        <w:pStyle w:val="BodyIndent1"/>
        <w:numPr>
          <w:ilvl w:val="0"/>
          <w:numId w:val="57"/>
        </w:numPr>
        <w:jc w:val="both"/>
      </w:pPr>
      <w:r>
        <w:t xml:space="preserve">Integration between modes (e.g. personalisation, mobility as a service) </w:t>
      </w:r>
    </w:p>
    <w:p w14:paraId="324B6433" w14:textId="77777777" w:rsidR="00E65178" w:rsidRDefault="00E65178" w:rsidP="00E65178">
      <w:pPr>
        <w:pStyle w:val="BodyIndent1"/>
        <w:numPr>
          <w:ilvl w:val="0"/>
          <w:numId w:val="57"/>
        </w:numPr>
        <w:jc w:val="both"/>
      </w:pPr>
      <w:r>
        <w:t>policy and regulation (e.g. demand management and charging, regulation)</w:t>
      </w:r>
    </w:p>
    <w:p w14:paraId="114FCCC0" w14:textId="77777777" w:rsidR="00E65178" w:rsidRPr="003C3B07" w:rsidRDefault="00E65178" w:rsidP="00E65178">
      <w:pPr>
        <w:pStyle w:val="BodyIndent1"/>
        <w:ind w:left="360"/>
      </w:pPr>
      <w:r w:rsidRPr="00DD424C">
        <w:t>The report made recommendations for the next steps industry could take to develop an approach to understanding the key drivers that impact travel choice and has been used to structure this project.</w:t>
      </w:r>
      <w:r>
        <w:t xml:space="preserve"> These included:</w:t>
      </w:r>
    </w:p>
    <w:p w14:paraId="3D6E9B85" w14:textId="77777777" w:rsidR="00E65178" w:rsidRDefault="00E65178" w:rsidP="00E65178">
      <w:pPr>
        <w:pStyle w:val="BodyIndent1"/>
        <w:numPr>
          <w:ilvl w:val="0"/>
          <w:numId w:val="57"/>
        </w:numPr>
      </w:pPr>
      <w:r>
        <w:t>A further exploration of the key themes identified, utilising existing data sources and analytical methods to quantitatively assess their range of expected impacts and associated timescales.</w:t>
      </w:r>
    </w:p>
    <w:p w14:paraId="575118E1" w14:textId="77777777" w:rsidR="00E65178" w:rsidRDefault="00E65178" w:rsidP="00E65178">
      <w:pPr>
        <w:pStyle w:val="BodyIndent1"/>
        <w:numPr>
          <w:ilvl w:val="0"/>
          <w:numId w:val="57"/>
        </w:numPr>
      </w:pPr>
      <w:r>
        <w:t>Develop a better understanding of the customer, by understanding travel choice at an individual level, and developing a newer and more flexible approach to market segmentation, based on needs and choices of customer groups.</w:t>
      </w:r>
    </w:p>
    <w:p w14:paraId="5D34483A" w14:textId="77777777" w:rsidR="00E65178" w:rsidRDefault="00E65178" w:rsidP="00E65178">
      <w:pPr>
        <w:rPr>
          <w:rFonts w:ascii="Calibri" w:hAnsi="Calibri" w:cs="Arial"/>
          <w:color w:val="00968E"/>
          <w:sz w:val="36"/>
          <w:lang w:eastAsia="en-GB"/>
        </w:rPr>
      </w:pPr>
    </w:p>
    <w:p w14:paraId="39C3C6C4" w14:textId="77777777" w:rsidR="00E65178" w:rsidRDefault="00E65178" w:rsidP="00E65178">
      <w:pPr>
        <w:pStyle w:val="Heading1"/>
      </w:pPr>
      <w:bookmarkStart w:id="16" w:name="_Hlk493255316"/>
      <w:r>
        <w:t>Work objectives and phasing</w:t>
      </w:r>
    </w:p>
    <w:p w14:paraId="26AD240C" w14:textId="77777777" w:rsidR="00E65178" w:rsidRDefault="00E65178" w:rsidP="00E65178">
      <w:pPr>
        <w:spacing w:line="276" w:lineRule="auto"/>
        <w:rPr>
          <w:rFonts w:asciiTheme="minorHAnsi" w:hAnsiTheme="minorHAnsi" w:cs="Arial"/>
        </w:rPr>
      </w:pPr>
      <w:r>
        <w:rPr>
          <w:rFonts w:asciiTheme="minorHAnsi" w:hAnsiTheme="minorHAnsi" w:cs="Arial"/>
        </w:rPr>
        <w:t xml:space="preserve">This aim of the project is to develop a broader range of insights into the travel behaviour that will affect rail demand in both the short term (up to 3 years) and medium to long term (up to 20 years). </w:t>
      </w:r>
    </w:p>
    <w:p w14:paraId="5B4CA7D7" w14:textId="77777777" w:rsidR="00E65178" w:rsidRDefault="00E65178" w:rsidP="00E65178">
      <w:pPr>
        <w:spacing w:line="276" w:lineRule="auto"/>
        <w:rPr>
          <w:rFonts w:asciiTheme="minorHAnsi" w:hAnsiTheme="minorHAnsi" w:cs="Arial"/>
        </w:rPr>
      </w:pPr>
    </w:p>
    <w:p w14:paraId="26CFC7E3" w14:textId="77777777" w:rsidR="00E65178" w:rsidRDefault="00E65178" w:rsidP="00E65178">
      <w:pPr>
        <w:pStyle w:val="Body"/>
      </w:pPr>
      <w:r>
        <w:t>This project is expected to:</w:t>
      </w:r>
    </w:p>
    <w:p w14:paraId="0C340EB5" w14:textId="77777777" w:rsidR="00E65178" w:rsidRDefault="00E65178" w:rsidP="00E65178">
      <w:pPr>
        <w:pStyle w:val="Body"/>
        <w:ind w:left="720" w:hanging="720"/>
      </w:pPr>
      <w:r>
        <w:t>-</w:t>
      </w:r>
      <w:r>
        <w:tab/>
        <w:t>Identify key drivers that impact consumer behaviours on travel generally and rail specifically including those non-PDFH drivers/impacts which we might expect to see playing an increasing role on travel behaviour and demand in the future</w:t>
      </w:r>
    </w:p>
    <w:p w14:paraId="4424F4EB" w14:textId="77777777" w:rsidR="00E65178" w:rsidRDefault="00E65178" w:rsidP="00E65178">
      <w:pPr>
        <w:pStyle w:val="Body"/>
        <w:ind w:left="720" w:hanging="720"/>
      </w:pPr>
      <w:r>
        <w:t>-</w:t>
      </w:r>
      <w:r>
        <w:tab/>
        <w:t>Propose an approach to rail market segmentation to enable decision makers to understand impacts from a passengers’ perspective</w:t>
      </w:r>
    </w:p>
    <w:p w14:paraId="58D4B9EE" w14:textId="77777777" w:rsidR="00E65178" w:rsidRDefault="00E65178" w:rsidP="00E65178">
      <w:pPr>
        <w:pStyle w:val="Body"/>
        <w:ind w:left="720" w:hanging="720"/>
      </w:pPr>
      <w:r>
        <w:t>-</w:t>
      </w:r>
      <w:r>
        <w:tab/>
        <w:t>Indicate possible monitoring mechanisms for leading indicators of rail demand beyond GDP and population:  better understanding of whether current trends are a ‘turning point’</w:t>
      </w:r>
    </w:p>
    <w:p w14:paraId="73EDC223" w14:textId="77777777" w:rsidR="00E65178" w:rsidRDefault="00E65178" w:rsidP="00E65178">
      <w:pPr>
        <w:pStyle w:val="Body"/>
        <w:ind w:left="720" w:hanging="720"/>
      </w:pPr>
      <w:r>
        <w:t>-</w:t>
      </w:r>
      <w:r>
        <w:tab/>
        <w:t>Recommend options for the targeting of communications and promotions to existing and potential new customers to support demand and passenger services.</w:t>
      </w:r>
    </w:p>
    <w:p w14:paraId="033DC163" w14:textId="77777777" w:rsidR="00E65178" w:rsidRDefault="00E65178" w:rsidP="00E65178">
      <w:pPr>
        <w:pStyle w:val="Body"/>
      </w:pPr>
      <w:bookmarkStart w:id="17" w:name="_Hlk493255332"/>
      <w:r>
        <w:t xml:space="preserve">This study is not expected to develop an alternative predictive model to PDFH but would be expected to take a fresh approach using data to inform an assessment of how trends impact on travel demand. </w:t>
      </w:r>
      <w:r w:rsidRPr="003A1A92">
        <w:t xml:space="preserve">Emphasise on outputs should be placed on understanding consumer behaviour and not in </w:t>
      </w:r>
      <w:r>
        <w:t>developing new economic models, although other modelling techniques may be relevant.</w:t>
      </w:r>
    </w:p>
    <w:bookmarkEnd w:id="16"/>
    <w:bookmarkEnd w:id="17"/>
    <w:p w14:paraId="7330B26D" w14:textId="77777777" w:rsidR="00E65178" w:rsidRDefault="00E65178" w:rsidP="00E65178">
      <w:pPr>
        <w:pStyle w:val="Body"/>
        <w:rPr>
          <w:rFonts w:asciiTheme="minorHAnsi" w:hAnsiTheme="minorHAnsi"/>
        </w:rPr>
      </w:pPr>
      <w:r>
        <w:t xml:space="preserve">For market segmentation, a forward-looking approach is favoured, looking not just at those users that currently use rail but also potential users of rail, </w:t>
      </w:r>
      <w:r>
        <w:rPr>
          <w:rFonts w:asciiTheme="minorHAnsi" w:hAnsiTheme="minorHAnsi"/>
        </w:rPr>
        <w:t>m</w:t>
      </w:r>
      <w:r w:rsidRPr="00F917AF">
        <w:rPr>
          <w:rFonts w:asciiTheme="minorHAnsi" w:hAnsiTheme="minorHAnsi"/>
        </w:rPr>
        <w:t>ap</w:t>
      </w:r>
      <w:r>
        <w:rPr>
          <w:rFonts w:asciiTheme="minorHAnsi" w:hAnsiTheme="minorHAnsi"/>
        </w:rPr>
        <w:t xml:space="preserve">ping the </w:t>
      </w:r>
      <w:r w:rsidRPr="00F917AF">
        <w:rPr>
          <w:rFonts w:asciiTheme="minorHAnsi" w:hAnsiTheme="minorHAnsi"/>
        </w:rPr>
        <w:t>different customer’s needs, and what choices are driving their behaviours</w:t>
      </w:r>
      <w:r>
        <w:rPr>
          <w:rFonts w:asciiTheme="minorHAnsi" w:hAnsiTheme="minorHAnsi"/>
        </w:rPr>
        <w:t>,</w:t>
      </w:r>
      <w:r w:rsidRPr="00F917AF">
        <w:rPr>
          <w:rFonts w:asciiTheme="minorHAnsi" w:hAnsiTheme="minorHAnsi"/>
        </w:rPr>
        <w:t xml:space="preserve"> </w:t>
      </w:r>
      <w:r>
        <w:rPr>
          <w:rFonts w:asciiTheme="minorHAnsi" w:hAnsiTheme="minorHAnsi"/>
        </w:rPr>
        <w:t>u</w:t>
      </w:r>
      <w:r w:rsidRPr="00924546">
        <w:rPr>
          <w:rFonts w:asciiTheme="minorHAnsi" w:hAnsiTheme="minorHAnsi"/>
        </w:rPr>
        <w:t>nderstand</w:t>
      </w:r>
      <w:r>
        <w:rPr>
          <w:rFonts w:asciiTheme="minorHAnsi" w:hAnsiTheme="minorHAnsi"/>
        </w:rPr>
        <w:t>ing</w:t>
      </w:r>
      <w:r w:rsidRPr="00924546">
        <w:rPr>
          <w:rFonts w:asciiTheme="minorHAnsi" w:hAnsiTheme="minorHAnsi"/>
        </w:rPr>
        <w:t xml:space="preserve"> the impact of the trends on customer’s needs to enable industry to develop and improve services to match the customer demand, and establish how to monitor the impact of these services on revenue.</w:t>
      </w:r>
      <w:r>
        <w:rPr>
          <w:rFonts w:asciiTheme="minorHAnsi" w:hAnsiTheme="minorHAnsi"/>
        </w:rPr>
        <w:t xml:space="preserve"> </w:t>
      </w:r>
    </w:p>
    <w:p w14:paraId="2E39FA09" w14:textId="77777777" w:rsidR="00E65178" w:rsidRDefault="00E65178" w:rsidP="00E65178">
      <w:pPr>
        <w:pStyle w:val="Body"/>
        <w:jc w:val="both"/>
        <w:rPr>
          <w:rFonts w:asciiTheme="minorHAnsi" w:hAnsiTheme="minorHAnsi"/>
        </w:rPr>
      </w:pPr>
      <w:r>
        <w:rPr>
          <w:rFonts w:asciiTheme="minorHAnsi" w:hAnsiTheme="minorHAnsi"/>
        </w:rPr>
        <w:t>Suppliers may propose their own phasing of the project. This should allow for presentations to up to three key client groups at an early stage of the project with a focus on the current trends that are impacting on rail demand. The final report and presentation will cover both the short term and medium to longer term impacts.</w:t>
      </w:r>
    </w:p>
    <w:p w14:paraId="0139EE2F" w14:textId="77777777" w:rsidR="00E65178" w:rsidRPr="00B90DA0" w:rsidRDefault="00E65178" w:rsidP="00E65178">
      <w:pPr>
        <w:pStyle w:val="Heading1"/>
      </w:pPr>
      <w:r>
        <w:t>Scope</w:t>
      </w:r>
    </w:p>
    <w:tbl>
      <w:tblPr>
        <w:tblStyle w:val="TableGrid"/>
        <w:tblW w:w="0" w:type="auto"/>
        <w:tblInd w:w="-5" w:type="dxa"/>
        <w:tblLook w:val="04A0" w:firstRow="1" w:lastRow="0" w:firstColumn="1" w:lastColumn="0" w:noHBand="0" w:noVBand="1"/>
      </w:tblPr>
      <w:tblGrid>
        <w:gridCol w:w="4082"/>
        <w:gridCol w:w="3849"/>
      </w:tblGrid>
      <w:tr w:rsidR="00E65178" w14:paraId="4529629A" w14:textId="77777777" w:rsidTr="001E7192">
        <w:tc>
          <w:tcPr>
            <w:tcW w:w="4082" w:type="dxa"/>
          </w:tcPr>
          <w:p w14:paraId="26733C6B" w14:textId="77777777" w:rsidR="00E65178" w:rsidRPr="007617B6" w:rsidRDefault="00E65178" w:rsidP="001E7192">
            <w:pPr>
              <w:pStyle w:val="BodyIndent1"/>
              <w:ind w:left="0"/>
              <w:rPr>
                <w:b/>
              </w:rPr>
            </w:pPr>
            <w:r w:rsidRPr="007617B6">
              <w:rPr>
                <w:b/>
              </w:rPr>
              <w:t xml:space="preserve">In scope </w:t>
            </w:r>
          </w:p>
        </w:tc>
        <w:tc>
          <w:tcPr>
            <w:tcW w:w="3849" w:type="dxa"/>
          </w:tcPr>
          <w:p w14:paraId="2DE1A951" w14:textId="77777777" w:rsidR="00E65178" w:rsidRPr="007617B6" w:rsidRDefault="00E65178" w:rsidP="001E7192">
            <w:pPr>
              <w:pStyle w:val="BodyIndent1"/>
              <w:ind w:left="0"/>
              <w:rPr>
                <w:b/>
              </w:rPr>
            </w:pPr>
            <w:r w:rsidRPr="007617B6">
              <w:rPr>
                <w:b/>
              </w:rPr>
              <w:t>Out of scope</w:t>
            </w:r>
          </w:p>
        </w:tc>
      </w:tr>
      <w:tr w:rsidR="00E65178" w14:paraId="187A091C" w14:textId="77777777" w:rsidTr="001E7192">
        <w:tc>
          <w:tcPr>
            <w:tcW w:w="4082" w:type="dxa"/>
          </w:tcPr>
          <w:p w14:paraId="5FB88BCB" w14:textId="77777777" w:rsidR="00E65178" w:rsidRDefault="00E65178" w:rsidP="00E65178">
            <w:pPr>
              <w:pStyle w:val="Body"/>
              <w:numPr>
                <w:ilvl w:val="0"/>
                <w:numId w:val="41"/>
              </w:numPr>
              <w:ind w:left="227" w:hanging="227"/>
            </w:pPr>
            <w:r>
              <w:t>Short term -  focusing on what is happening over next 3 years considering whether current trends will persist</w:t>
            </w:r>
          </w:p>
          <w:p w14:paraId="45D7C4CF" w14:textId="77777777" w:rsidR="00E65178" w:rsidRDefault="00E65178" w:rsidP="00E65178">
            <w:pPr>
              <w:pStyle w:val="Body"/>
              <w:numPr>
                <w:ilvl w:val="0"/>
                <w:numId w:val="41"/>
              </w:numPr>
              <w:ind w:left="227" w:hanging="227"/>
            </w:pPr>
            <w:r>
              <w:lastRenderedPageBreak/>
              <w:t xml:space="preserve">Medium to longer term (up to 20 years) - focusing on developing a set of likely scenarios for future rail demand </w:t>
            </w:r>
          </w:p>
          <w:p w14:paraId="01A61FC8" w14:textId="77777777" w:rsidR="00E65178" w:rsidRDefault="00E65178" w:rsidP="00E65178">
            <w:pPr>
              <w:pStyle w:val="Body"/>
              <w:numPr>
                <w:ilvl w:val="0"/>
                <w:numId w:val="41"/>
              </w:numPr>
              <w:ind w:left="227" w:hanging="227"/>
            </w:pPr>
            <w:r>
              <w:t>Use of current data sources and research to provide quantitative assessment of key trends expected to impact on travel and rail demand</w:t>
            </w:r>
          </w:p>
          <w:p w14:paraId="5D1DE251" w14:textId="77777777" w:rsidR="00E65178" w:rsidRDefault="00E65178" w:rsidP="00E65178">
            <w:pPr>
              <w:pStyle w:val="Body"/>
              <w:numPr>
                <w:ilvl w:val="0"/>
                <w:numId w:val="41"/>
              </w:numPr>
              <w:ind w:left="227" w:hanging="227"/>
            </w:pPr>
            <w:r>
              <w:t>Taking a marketing, futuristic approach to market segmentation looking at both current and potential rail users drawing on, but not necessarily limited to, existing data where possible</w:t>
            </w:r>
          </w:p>
          <w:p w14:paraId="5E803323" w14:textId="77777777" w:rsidR="00E65178" w:rsidRDefault="00E65178" w:rsidP="00E65178">
            <w:pPr>
              <w:pStyle w:val="Body"/>
              <w:numPr>
                <w:ilvl w:val="0"/>
                <w:numId w:val="41"/>
              </w:numPr>
              <w:ind w:left="227" w:hanging="227"/>
            </w:pPr>
            <w:r>
              <w:t>Engagement through RDG with train operating companies to take on board lessons learnt from rail company’s own market research</w:t>
            </w:r>
          </w:p>
          <w:p w14:paraId="7736B8BA" w14:textId="77777777" w:rsidR="00E65178" w:rsidRDefault="00E65178" w:rsidP="00E65178">
            <w:pPr>
              <w:pStyle w:val="Body"/>
              <w:numPr>
                <w:ilvl w:val="0"/>
                <w:numId w:val="41"/>
              </w:numPr>
              <w:ind w:left="227" w:hanging="227"/>
            </w:pPr>
            <w:r>
              <w:t>Liaison with DfT’s economic analysis team and investment and major projects teams to ensure that supplier understands how outputs of project can inform their work</w:t>
            </w:r>
          </w:p>
          <w:p w14:paraId="0959B0CF" w14:textId="77777777" w:rsidR="00E65178" w:rsidRDefault="00E65178" w:rsidP="00E65178">
            <w:pPr>
              <w:pStyle w:val="Body"/>
              <w:numPr>
                <w:ilvl w:val="0"/>
                <w:numId w:val="41"/>
              </w:numPr>
              <w:ind w:left="227" w:hanging="227"/>
            </w:pPr>
            <w:r>
              <w:t xml:space="preserve">Ongoing engagement with the project steering group </w:t>
            </w:r>
          </w:p>
          <w:p w14:paraId="50E0A4C7" w14:textId="77777777" w:rsidR="00E65178" w:rsidRPr="004E0FFB" w:rsidRDefault="00E65178" w:rsidP="00E65178">
            <w:pPr>
              <w:pStyle w:val="Body"/>
              <w:numPr>
                <w:ilvl w:val="0"/>
                <w:numId w:val="41"/>
              </w:numPr>
              <w:ind w:left="227" w:hanging="227"/>
            </w:pPr>
            <w:r>
              <w:t>Delivery of presentation of findings to three cross-industry groups</w:t>
            </w:r>
          </w:p>
        </w:tc>
        <w:tc>
          <w:tcPr>
            <w:tcW w:w="3849" w:type="dxa"/>
          </w:tcPr>
          <w:p w14:paraId="551E4D3E" w14:textId="77777777" w:rsidR="00E65178" w:rsidRDefault="00E65178" w:rsidP="00E65178">
            <w:pPr>
              <w:pStyle w:val="Body"/>
              <w:numPr>
                <w:ilvl w:val="0"/>
                <w:numId w:val="41"/>
              </w:numPr>
              <w:ind w:left="227" w:hanging="227"/>
            </w:pPr>
            <w:r>
              <w:lastRenderedPageBreak/>
              <w:t>Creation of an alternative prediction model</w:t>
            </w:r>
          </w:p>
          <w:p w14:paraId="06863365" w14:textId="77777777" w:rsidR="00E65178" w:rsidRDefault="00E65178" w:rsidP="00E65178">
            <w:pPr>
              <w:pStyle w:val="Body"/>
              <w:numPr>
                <w:ilvl w:val="0"/>
                <w:numId w:val="41"/>
              </w:numPr>
              <w:ind w:left="227" w:hanging="227"/>
            </w:pPr>
            <w:r>
              <w:lastRenderedPageBreak/>
              <w:t>Updates or extensions to the PDFH framework</w:t>
            </w:r>
          </w:p>
          <w:p w14:paraId="656E646F" w14:textId="77777777" w:rsidR="00E65178" w:rsidRDefault="00E65178" w:rsidP="00E65178">
            <w:pPr>
              <w:pStyle w:val="Body"/>
              <w:numPr>
                <w:ilvl w:val="0"/>
                <w:numId w:val="41"/>
              </w:numPr>
              <w:ind w:left="227" w:hanging="227"/>
            </w:pPr>
            <w:r>
              <w:t>Economic modelling of traditional factors on travel demand (e.g. fuel prices, GDP, or anything else already contained within the PDFH)</w:t>
            </w:r>
          </w:p>
          <w:p w14:paraId="570FDFBF" w14:textId="77777777" w:rsidR="00E65178" w:rsidRDefault="00E65178" w:rsidP="00E65178">
            <w:pPr>
              <w:pStyle w:val="Body"/>
              <w:numPr>
                <w:ilvl w:val="0"/>
                <w:numId w:val="41"/>
              </w:numPr>
              <w:ind w:left="227" w:hanging="227"/>
            </w:pPr>
            <w:r>
              <w:t xml:space="preserve">Traditional market segmentation approaches that segment customers based on ticket sales records by type of tickets (advance, off peak, anytime, season) and passenger valuation of time (business, commuter, leisure) </w:t>
            </w:r>
          </w:p>
          <w:p w14:paraId="17079208" w14:textId="77777777" w:rsidR="00E65178" w:rsidRDefault="00E65178" w:rsidP="001E7192">
            <w:pPr>
              <w:pStyle w:val="Body"/>
              <w:ind w:left="227"/>
            </w:pPr>
          </w:p>
        </w:tc>
      </w:tr>
    </w:tbl>
    <w:p w14:paraId="1CBC4699" w14:textId="77777777" w:rsidR="00E65178" w:rsidRDefault="00E65178" w:rsidP="00E65178">
      <w:pPr>
        <w:pStyle w:val="Heading1"/>
      </w:pPr>
      <w:bookmarkStart w:id="18" w:name="_Hlk493251588"/>
      <w:r>
        <w:lastRenderedPageBreak/>
        <w:t xml:space="preserve">Methodology </w:t>
      </w:r>
    </w:p>
    <w:p w14:paraId="7DED23BC" w14:textId="77777777" w:rsidR="00E65178" w:rsidRDefault="00E65178" w:rsidP="00E65178">
      <w:pPr>
        <w:pStyle w:val="Body"/>
      </w:pPr>
      <w:r w:rsidRPr="008369FD">
        <w:t xml:space="preserve">Suppliers are expected to explain the methodology that they are intending to use to successfully meet the project objectives, cover the scope of the work and focus on delivering the outputs of the project as outlined in section 5. </w:t>
      </w:r>
    </w:p>
    <w:p w14:paraId="0D80E06E" w14:textId="77777777" w:rsidR="00E65178" w:rsidRDefault="00E65178" w:rsidP="00E65178">
      <w:pPr>
        <w:pStyle w:val="Body"/>
      </w:pPr>
      <w:bookmarkStart w:id="19" w:name="_Hlk493254692"/>
      <w:r>
        <w:t>Additionally, with regards to data and techniques, no single method is preferred but RSSB is keen to see methods employed from other industries who may have expertise in the fields of marketing/insight/trend forecasting who may not normally be considered in the context of rail. Where appropriate, primary research should be considered, including the use of market research techniques.</w:t>
      </w:r>
    </w:p>
    <w:p w14:paraId="242E9CA0" w14:textId="77777777" w:rsidR="00E65178" w:rsidRDefault="00E65178" w:rsidP="00E65178">
      <w:pPr>
        <w:pStyle w:val="Body"/>
      </w:pPr>
      <w:r>
        <w:t xml:space="preserve">To achieve the desired objectives, collaboration amongst suppliers to submit joint proposals is strongly encouraged, with the of the priority of the project remaining a good and clear methodology which can yield convincing and evidence based results. </w:t>
      </w:r>
    </w:p>
    <w:bookmarkEnd w:id="19"/>
    <w:p w14:paraId="2B3B7699" w14:textId="77777777" w:rsidR="00E65178" w:rsidRDefault="00E65178" w:rsidP="00E65178">
      <w:pPr>
        <w:pStyle w:val="Body"/>
      </w:pPr>
      <w:r>
        <w:t xml:space="preserve">  </w:t>
      </w:r>
    </w:p>
    <w:bookmarkEnd w:id="18"/>
    <w:p w14:paraId="2341A892" w14:textId="77777777" w:rsidR="00E65178" w:rsidRDefault="00E65178" w:rsidP="00E65178">
      <w:pPr>
        <w:pStyle w:val="Heading1"/>
      </w:pPr>
      <w:r>
        <w:t>Deliverables</w:t>
      </w:r>
    </w:p>
    <w:p w14:paraId="28ECAC7A" w14:textId="77777777" w:rsidR="00E65178" w:rsidRDefault="00E65178" w:rsidP="00E65178">
      <w:pPr>
        <w:pStyle w:val="Body"/>
      </w:pPr>
      <w:r>
        <w:lastRenderedPageBreak/>
        <w:t>Set out below are a minimum set of deliverables required for this project. Suppliers may wish to suggest any additional deliverables that could be provided during the project which would allow emerging results to be shared with key stakeholders.</w:t>
      </w:r>
    </w:p>
    <w:tbl>
      <w:tblPr>
        <w:tblW w:w="10314" w:type="dxa"/>
        <w:tblLayout w:type="fixed"/>
        <w:tblLook w:val="00A0" w:firstRow="1" w:lastRow="0" w:firstColumn="1" w:lastColumn="0" w:noHBand="0" w:noVBand="0"/>
      </w:tblPr>
      <w:tblGrid>
        <w:gridCol w:w="250"/>
        <w:gridCol w:w="10064"/>
      </w:tblGrid>
      <w:tr w:rsidR="00E65178" w14:paraId="5B401F6A" w14:textId="77777777" w:rsidTr="001E7192">
        <w:tc>
          <w:tcPr>
            <w:tcW w:w="250" w:type="dxa"/>
          </w:tcPr>
          <w:p w14:paraId="1AA18A15" w14:textId="77777777" w:rsidR="00E65178" w:rsidRDefault="00E65178" w:rsidP="001E7192">
            <w:pPr>
              <w:pStyle w:val="TableText0"/>
            </w:pPr>
          </w:p>
        </w:tc>
        <w:tc>
          <w:tcPr>
            <w:tcW w:w="10064" w:type="dxa"/>
          </w:tcPr>
          <w:p w14:paraId="423AFF3A" w14:textId="77777777" w:rsidR="00E65178" w:rsidRDefault="00E65178"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65178" w14:paraId="26277648" w14:textId="77777777" w:rsidTr="001E7192">
              <w:trPr>
                <w:cantSplit/>
              </w:trPr>
              <w:tc>
                <w:tcPr>
                  <w:tcW w:w="5307" w:type="dxa"/>
                  <w:shd w:val="clear" w:color="auto" w:fill="99CC00"/>
                </w:tcPr>
                <w:p w14:paraId="6C5E255D" w14:textId="77777777" w:rsidR="00E65178" w:rsidRDefault="00E65178" w:rsidP="001E7192">
                  <w:pPr>
                    <w:pStyle w:val="BodyIndent1"/>
                    <w:rPr>
                      <w:b/>
                    </w:rPr>
                  </w:pPr>
                  <w:r>
                    <w:rPr>
                      <w:b/>
                    </w:rPr>
                    <w:t>Deliverable Name</w:t>
                  </w:r>
                </w:p>
              </w:tc>
              <w:tc>
                <w:tcPr>
                  <w:tcW w:w="2694" w:type="dxa"/>
                  <w:shd w:val="clear" w:color="auto" w:fill="99CC00"/>
                </w:tcPr>
                <w:p w14:paraId="72CC640F" w14:textId="77777777" w:rsidR="00E65178" w:rsidRDefault="00E65178" w:rsidP="001E7192">
                  <w:pPr>
                    <w:pStyle w:val="BodyIndent1"/>
                    <w:rPr>
                      <w:b/>
                    </w:rPr>
                  </w:pPr>
                  <w:r>
                    <w:rPr>
                      <w:b/>
                    </w:rPr>
                    <w:t>Type</w:t>
                  </w:r>
                </w:p>
              </w:tc>
            </w:tr>
            <w:tr w:rsidR="00E65178" w14:paraId="685E3044" w14:textId="77777777" w:rsidTr="001E7192">
              <w:trPr>
                <w:cantSplit/>
                <w:tblHeader/>
              </w:trPr>
              <w:tc>
                <w:tcPr>
                  <w:tcW w:w="5307" w:type="dxa"/>
                  <w:shd w:val="clear" w:color="auto" w:fill="FFFFFF"/>
                </w:tcPr>
                <w:p w14:paraId="52F1721C" w14:textId="77777777" w:rsidR="00E65178" w:rsidRDefault="00E65178" w:rsidP="001E7192">
                  <w:pPr>
                    <w:pStyle w:val="BodyIndent1"/>
                  </w:pPr>
                  <w:r>
                    <w:rPr>
                      <w:b/>
                    </w:rPr>
                    <w:t>1.  Interim presentation</w:t>
                  </w:r>
                </w:p>
              </w:tc>
              <w:tc>
                <w:tcPr>
                  <w:tcW w:w="2694" w:type="dxa"/>
                  <w:shd w:val="clear" w:color="auto" w:fill="FFFFFF"/>
                </w:tcPr>
                <w:p w14:paraId="13B380BB" w14:textId="77777777" w:rsidR="00E65178" w:rsidRDefault="00E65178" w:rsidP="001E7192">
                  <w:pPr>
                    <w:pStyle w:val="BodyIndent1"/>
                    <w:ind w:left="0"/>
                  </w:pPr>
                  <w:r>
                    <w:t>Presentation</w:t>
                  </w:r>
                </w:p>
              </w:tc>
            </w:tr>
            <w:tr w:rsidR="00E65178" w14:paraId="280B29EB" w14:textId="77777777" w:rsidTr="001E7192">
              <w:trPr>
                <w:cantSplit/>
                <w:tblHeader/>
              </w:trPr>
              <w:tc>
                <w:tcPr>
                  <w:tcW w:w="8001" w:type="dxa"/>
                  <w:gridSpan w:val="2"/>
                  <w:shd w:val="clear" w:color="auto" w:fill="FFFFFF"/>
                </w:tcPr>
                <w:p w14:paraId="006E9299" w14:textId="77777777" w:rsidR="00E65178" w:rsidRDefault="00E65178" w:rsidP="001E7192">
                  <w:pPr>
                    <w:pStyle w:val="BodyIndent1"/>
                  </w:pPr>
                  <w:r>
                    <w:t>At an early stage of the project, presentations are to be given to key client groups on the work carried out so far offering insight into the emerging trends currently affecting travel demand.</w:t>
                  </w:r>
                </w:p>
                <w:p w14:paraId="2CFAAEA8" w14:textId="77777777" w:rsidR="00E65178" w:rsidRPr="00EC1CC4" w:rsidRDefault="00E65178" w:rsidP="001E7192">
                  <w:pPr>
                    <w:pStyle w:val="BodyIndent1"/>
                    <w:ind w:left="0"/>
                  </w:pPr>
                </w:p>
              </w:tc>
            </w:tr>
            <w:tr w:rsidR="00E65178" w14:paraId="628DDED5" w14:textId="77777777" w:rsidTr="001E7192">
              <w:trPr>
                <w:cantSplit/>
                <w:tblHeader/>
              </w:trPr>
              <w:tc>
                <w:tcPr>
                  <w:tcW w:w="8001" w:type="dxa"/>
                  <w:gridSpan w:val="2"/>
                  <w:shd w:val="clear" w:color="auto" w:fill="FFFFFF"/>
                </w:tcPr>
                <w:p w14:paraId="4F53D4E7" w14:textId="77777777" w:rsidR="00E65178" w:rsidRPr="0023734F" w:rsidRDefault="00E65178" w:rsidP="001E7192">
                  <w:pPr>
                    <w:pStyle w:val="BodyIndent1"/>
                  </w:pPr>
                  <w:r>
                    <w:rPr>
                      <w:b/>
                    </w:rPr>
                    <w:t xml:space="preserve">Format: </w:t>
                  </w:r>
                  <w:r>
                    <w:t>The presentations should be completed in RSSB’s house format and made available in an editable format.</w:t>
                  </w:r>
                </w:p>
                <w:p w14:paraId="5E1B90C6" w14:textId="77777777" w:rsidR="00E65178" w:rsidRPr="00616492" w:rsidRDefault="00E65178" w:rsidP="001E7192">
                  <w:pPr>
                    <w:pStyle w:val="BodyIndent1"/>
                  </w:pPr>
                  <w:r>
                    <w:rPr>
                      <w:b/>
                    </w:rPr>
                    <w:t xml:space="preserve">Date: </w:t>
                  </w:r>
                  <w:r>
                    <w:t>To be suggested by the supplier</w:t>
                  </w:r>
                </w:p>
              </w:tc>
            </w:tr>
          </w:tbl>
          <w:p w14:paraId="77AA8896" w14:textId="77777777" w:rsidR="00E65178" w:rsidRDefault="00E65178" w:rsidP="001E7192">
            <w:pPr>
              <w:pStyle w:val="Body"/>
            </w:pPr>
          </w:p>
          <w:p w14:paraId="6446E251" w14:textId="77777777" w:rsidR="00E65178" w:rsidRDefault="00E65178" w:rsidP="001E7192">
            <w:pPr>
              <w:pStyle w:val="Body"/>
            </w:pPr>
          </w:p>
          <w:p w14:paraId="0E653923" w14:textId="77777777" w:rsidR="00E65178" w:rsidRDefault="00E65178" w:rsidP="001E7192">
            <w:pPr>
              <w:pStyle w:val="Body"/>
            </w:pPr>
          </w:p>
          <w:p w14:paraId="5C4DA2EB" w14:textId="77777777" w:rsidR="00E65178" w:rsidRDefault="00E65178" w:rsidP="001E7192">
            <w:pPr>
              <w:pStyle w:val="Body"/>
            </w:pPr>
          </w:p>
          <w:p w14:paraId="296FFBD9" w14:textId="77777777" w:rsidR="00E65178" w:rsidRDefault="00E65178"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7"/>
              <w:gridCol w:w="2304"/>
            </w:tblGrid>
            <w:tr w:rsidR="00E65178" w14:paraId="56CE90AB" w14:textId="77777777" w:rsidTr="001E7192">
              <w:trPr>
                <w:cantSplit/>
              </w:trPr>
              <w:tc>
                <w:tcPr>
                  <w:tcW w:w="5697" w:type="dxa"/>
                  <w:shd w:val="clear" w:color="auto" w:fill="99CC00"/>
                </w:tcPr>
                <w:p w14:paraId="481D6B94" w14:textId="77777777" w:rsidR="00E65178" w:rsidRDefault="00E65178" w:rsidP="001E7192">
                  <w:pPr>
                    <w:pStyle w:val="BodyIndent1"/>
                    <w:rPr>
                      <w:b/>
                    </w:rPr>
                  </w:pPr>
                  <w:r>
                    <w:rPr>
                      <w:b/>
                    </w:rPr>
                    <w:t>Deliverable Name</w:t>
                  </w:r>
                </w:p>
              </w:tc>
              <w:tc>
                <w:tcPr>
                  <w:tcW w:w="2304" w:type="dxa"/>
                  <w:shd w:val="clear" w:color="auto" w:fill="99CC00"/>
                </w:tcPr>
                <w:p w14:paraId="2BB4EC00" w14:textId="77777777" w:rsidR="00E65178" w:rsidRDefault="00E65178" w:rsidP="001E7192">
                  <w:pPr>
                    <w:pStyle w:val="BodyIndent1"/>
                    <w:rPr>
                      <w:b/>
                    </w:rPr>
                  </w:pPr>
                  <w:r>
                    <w:rPr>
                      <w:b/>
                    </w:rPr>
                    <w:t>Type</w:t>
                  </w:r>
                </w:p>
              </w:tc>
            </w:tr>
            <w:tr w:rsidR="00E65178" w14:paraId="1DE982D0" w14:textId="77777777" w:rsidTr="001E7192">
              <w:trPr>
                <w:cantSplit/>
                <w:tblHeader/>
              </w:trPr>
              <w:tc>
                <w:tcPr>
                  <w:tcW w:w="5697" w:type="dxa"/>
                  <w:shd w:val="clear" w:color="auto" w:fill="FFFFFF"/>
                </w:tcPr>
                <w:p w14:paraId="4D90D3B3" w14:textId="77777777" w:rsidR="00E65178" w:rsidRPr="0012210F" w:rsidRDefault="00E65178" w:rsidP="001E7192">
                  <w:pPr>
                    <w:pStyle w:val="BodyIndent1"/>
                    <w:rPr>
                      <w:b/>
                    </w:rPr>
                  </w:pPr>
                  <w:r>
                    <w:rPr>
                      <w:b/>
                    </w:rPr>
                    <w:t>2. Understanding the key drivers that impact travel choice – Final report</w:t>
                  </w:r>
                </w:p>
              </w:tc>
              <w:tc>
                <w:tcPr>
                  <w:tcW w:w="2304" w:type="dxa"/>
                  <w:shd w:val="clear" w:color="auto" w:fill="FFFFFF"/>
                </w:tcPr>
                <w:p w14:paraId="4816633A" w14:textId="77777777" w:rsidR="00E65178" w:rsidRDefault="00E65178" w:rsidP="001E7192">
                  <w:pPr>
                    <w:pStyle w:val="BodyIndent1"/>
                  </w:pPr>
                  <w:r>
                    <w:t>Report</w:t>
                  </w:r>
                </w:p>
              </w:tc>
            </w:tr>
            <w:tr w:rsidR="00E65178" w14:paraId="17E02D63" w14:textId="77777777" w:rsidTr="001E7192">
              <w:trPr>
                <w:cantSplit/>
                <w:trHeight w:val="2751"/>
                <w:tblHeader/>
              </w:trPr>
              <w:tc>
                <w:tcPr>
                  <w:tcW w:w="8001" w:type="dxa"/>
                  <w:gridSpan w:val="2"/>
                  <w:shd w:val="clear" w:color="auto" w:fill="FFFFFF"/>
                </w:tcPr>
                <w:p w14:paraId="224C17C4" w14:textId="77777777" w:rsidR="00E65178" w:rsidRDefault="00E65178" w:rsidP="001E7192">
                  <w:pPr>
                    <w:pStyle w:val="BodyIndent1"/>
                  </w:pPr>
                  <w:r w:rsidRPr="006857C0">
                    <w:rPr>
                      <w:b/>
                    </w:rPr>
                    <w:lastRenderedPageBreak/>
                    <w:t>Description</w:t>
                  </w:r>
                  <w:r>
                    <w:rPr>
                      <w:b/>
                    </w:rPr>
                    <w:t xml:space="preserve"> - </w:t>
                  </w:r>
                  <w:r w:rsidRPr="0012210F">
                    <w:t xml:space="preserve">A full report </w:t>
                  </w:r>
                  <w:r>
                    <w:t>setting out the approach adopted, work carried and final conclusions and recommendations.  The report should include:</w:t>
                  </w:r>
                </w:p>
                <w:p w14:paraId="5C388880" w14:textId="77777777" w:rsidR="00E65178" w:rsidRDefault="00E65178" w:rsidP="00E65178">
                  <w:pPr>
                    <w:pStyle w:val="Body"/>
                    <w:numPr>
                      <w:ilvl w:val="0"/>
                      <w:numId w:val="56"/>
                    </w:numPr>
                  </w:pPr>
                  <w:r>
                    <w:t xml:space="preserve">An easily accessible summary of the keys findings and recommendations </w:t>
                  </w:r>
                </w:p>
                <w:p w14:paraId="7FD98F95" w14:textId="77777777" w:rsidR="00E65178" w:rsidRDefault="00E65178" w:rsidP="00E65178">
                  <w:pPr>
                    <w:pStyle w:val="Body"/>
                    <w:numPr>
                      <w:ilvl w:val="0"/>
                      <w:numId w:val="56"/>
                    </w:numPr>
                  </w:pPr>
                  <w:r>
                    <w:t>A description of the methodology underpinning results</w:t>
                  </w:r>
                </w:p>
                <w:p w14:paraId="58663559" w14:textId="77777777" w:rsidR="00E65178" w:rsidRDefault="00E65178" w:rsidP="00E65178">
                  <w:pPr>
                    <w:pStyle w:val="Body"/>
                    <w:numPr>
                      <w:ilvl w:val="0"/>
                      <w:numId w:val="56"/>
                    </w:numPr>
                  </w:pPr>
                  <w:r>
                    <w:t>Key drivers that impact consumer behaviours on travel generally and rail specifically including those non-PDFH drivers/impacts which we might expect to see playing an increasing role on travel behaviour and demand in the future</w:t>
                  </w:r>
                </w:p>
                <w:p w14:paraId="641978A9" w14:textId="77777777" w:rsidR="00E65178" w:rsidRPr="005E1D80" w:rsidRDefault="00E65178" w:rsidP="00E65178">
                  <w:pPr>
                    <w:pStyle w:val="Body"/>
                    <w:numPr>
                      <w:ilvl w:val="0"/>
                      <w:numId w:val="56"/>
                    </w:numPr>
                  </w:pPr>
                  <w:r>
                    <w:t xml:space="preserve">An assessment of what non-PDFH drivers are impacting on current rail demand, and to what extent these effects could be considered a ‘turning point’ </w:t>
                  </w:r>
                </w:p>
                <w:p w14:paraId="4036E9B9" w14:textId="77777777" w:rsidR="00E65178" w:rsidRPr="005E1D80" w:rsidRDefault="00E65178" w:rsidP="00E65178">
                  <w:pPr>
                    <w:pStyle w:val="Body"/>
                    <w:numPr>
                      <w:ilvl w:val="0"/>
                      <w:numId w:val="56"/>
                    </w:numPr>
                  </w:pPr>
                  <w:r>
                    <w:t>Identification of</w:t>
                  </w:r>
                  <w:r w:rsidRPr="005E1D80">
                    <w:t xml:space="preserve"> the appropriate market segmentation</w:t>
                  </w:r>
                  <w:r>
                    <w:t>s</w:t>
                  </w:r>
                  <w:r w:rsidRPr="005E1D80">
                    <w:t xml:space="preserve"> to be used to fulfil the objectives of the project</w:t>
                  </w:r>
                </w:p>
                <w:p w14:paraId="15B1417D" w14:textId="77777777" w:rsidR="00E65178" w:rsidRDefault="00E65178" w:rsidP="00E65178">
                  <w:pPr>
                    <w:pStyle w:val="Body"/>
                    <w:numPr>
                      <w:ilvl w:val="0"/>
                      <w:numId w:val="56"/>
                    </w:numPr>
                  </w:pPr>
                  <w:r>
                    <w:t>Potential monitoring mechanisms for leading indicators of rail demand</w:t>
                  </w:r>
                </w:p>
                <w:p w14:paraId="4C2A25BC" w14:textId="77777777" w:rsidR="00E65178" w:rsidRDefault="00E65178" w:rsidP="00E65178">
                  <w:pPr>
                    <w:pStyle w:val="Body"/>
                    <w:numPr>
                      <w:ilvl w:val="0"/>
                      <w:numId w:val="56"/>
                    </w:numPr>
                  </w:pPr>
                  <w:r>
                    <w:t>Scenarios for the medium to long term (up to 20 years) showing impact of the trends identified on the proposed segmentation approach</w:t>
                  </w:r>
                </w:p>
                <w:p w14:paraId="07F68886" w14:textId="77777777" w:rsidR="00E65178" w:rsidRPr="004A63CA" w:rsidRDefault="00E65178" w:rsidP="00E65178">
                  <w:pPr>
                    <w:pStyle w:val="Body"/>
                    <w:numPr>
                      <w:ilvl w:val="0"/>
                      <w:numId w:val="56"/>
                    </w:numPr>
                  </w:pPr>
                  <w:r>
                    <w:t>Recommendations of how rail industry might be able to use the results to support the development of new initiatives to increase demand, and plan for the future in the rail sector</w:t>
                  </w:r>
                </w:p>
              </w:tc>
            </w:tr>
            <w:tr w:rsidR="00E65178" w14:paraId="357C96B4" w14:textId="77777777" w:rsidTr="001E7192">
              <w:trPr>
                <w:cantSplit/>
                <w:tblHeader/>
              </w:trPr>
              <w:tc>
                <w:tcPr>
                  <w:tcW w:w="8001" w:type="dxa"/>
                  <w:gridSpan w:val="2"/>
                  <w:shd w:val="clear" w:color="auto" w:fill="FFFFFF"/>
                </w:tcPr>
                <w:p w14:paraId="0E39E4FE" w14:textId="77777777" w:rsidR="00E65178" w:rsidRPr="0012210F" w:rsidRDefault="00E65178" w:rsidP="001E7192">
                  <w:pPr>
                    <w:pStyle w:val="BodyIndent1"/>
                  </w:pPr>
                  <w:r w:rsidRPr="004A63CA">
                    <w:rPr>
                      <w:b/>
                    </w:rPr>
                    <w:t>Format:</w:t>
                  </w:r>
                  <w:r>
                    <w:t xml:space="preserve"> The report should be completed in RSSB’s house format and made available in an editable format</w:t>
                  </w:r>
                </w:p>
                <w:p w14:paraId="5E129653" w14:textId="77777777" w:rsidR="00E65178" w:rsidRDefault="00E65178" w:rsidP="001E7192">
                  <w:pPr>
                    <w:pStyle w:val="Body"/>
                    <w:ind w:left="227"/>
                  </w:pPr>
                  <w:r w:rsidRPr="004A63CA">
                    <w:rPr>
                      <w:b/>
                    </w:rPr>
                    <w:t>Publication:</w:t>
                  </w:r>
                  <w:r>
                    <w:rPr>
                      <w:b/>
                    </w:rPr>
                    <w:t xml:space="preserve"> </w:t>
                  </w:r>
                  <w:r>
                    <w:t>The full report will be made publicly available to RSSB members via SPARK.</w:t>
                  </w:r>
                </w:p>
                <w:p w14:paraId="0A1DD4E2" w14:textId="77777777" w:rsidR="00E65178" w:rsidRPr="006E1926" w:rsidRDefault="00E65178" w:rsidP="001E7192">
                  <w:pPr>
                    <w:pStyle w:val="Body"/>
                    <w:ind w:left="227"/>
                  </w:pPr>
                  <w:r>
                    <w:rPr>
                      <w:b/>
                    </w:rPr>
                    <w:t xml:space="preserve">Date: </w:t>
                  </w:r>
                  <w:r>
                    <w:t>September</w:t>
                  </w:r>
                  <w:r w:rsidRPr="005B7797">
                    <w:t xml:space="preserve"> 2018</w:t>
                  </w:r>
                </w:p>
              </w:tc>
            </w:tr>
          </w:tbl>
          <w:p w14:paraId="07AE3E80" w14:textId="77777777" w:rsidR="00E65178" w:rsidRDefault="00E65178" w:rsidP="001E7192">
            <w:pPr>
              <w:pStyle w:val="Body"/>
            </w:pPr>
          </w:p>
          <w:p w14:paraId="42A07670" w14:textId="77777777" w:rsidR="00E65178" w:rsidRDefault="00E65178" w:rsidP="001E7192">
            <w:pPr>
              <w:pStyle w:val="Body"/>
            </w:pPr>
          </w:p>
          <w:p w14:paraId="20EC7A89" w14:textId="77777777" w:rsidR="00E65178" w:rsidRDefault="00E65178" w:rsidP="001E7192">
            <w:pPr>
              <w:pStyle w:val="Body"/>
            </w:pPr>
          </w:p>
          <w:p w14:paraId="2B259710" w14:textId="77777777" w:rsidR="00E65178" w:rsidRDefault="00E65178" w:rsidP="001E7192">
            <w:pPr>
              <w:pStyle w:val="Body"/>
            </w:pPr>
          </w:p>
          <w:p w14:paraId="5C210A9E" w14:textId="77777777" w:rsidR="00E65178" w:rsidRDefault="00E65178" w:rsidP="001E7192">
            <w:pPr>
              <w:pStyle w:val="Body"/>
            </w:pPr>
          </w:p>
          <w:p w14:paraId="7AA12603" w14:textId="77777777" w:rsidR="00E65178" w:rsidRDefault="00E65178" w:rsidP="001E7192">
            <w:pPr>
              <w:pStyle w:val="Body"/>
            </w:pPr>
          </w:p>
          <w:p w14:paraId="133C4065" w14:textId="77777777" w:rsidR="00E65178" w:rsidRDefault="00E65178"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65178" w14:paraId="64E0C185" w14:textId="77777777" w:rsidTr="001E7192">
              <w:trPr>
                <w:cantSplit/>
              </w:trPr>
              <w:tc>
                <w:tcPr>
                  <w:tcW w:w="5307" w:type="dxa"/>
                  <w:shd w:val="clear" w:color="auto" w:fill="99CC00"/>
                </w:tcPr>
                <w:p w14:paraId="097F2D8C" w14:textId="77777777" w:rsidR="00E65178" w:rsidRDefault="00E65178" w:rsidP="001E7192">
                  <w:pPr>
                    <w:pStyle w:val="BodyIndent1"/>
                    <w:rPr>
                      <w:b/>
                    </w:rPr>
                  </w:pPr>
                  <w:r>
                    <w:rPr>
                      <w:b/>
                    </w:rPr>
                    <w:t>Deliverable Name</w:t>
                  </w:r>
                </w:p>
              </w:tc>
              <w:tc>
                <w:tcPr>
                  <w:tcW w:w="2694" w:type="dxa"/>
                  <w:shd w:val="clear" w:color="auto" w:fill="99CC00"/>
                </w:tcPr>
                <w:p w14:paraId="6F0318F1" w14:textId="77777777" w:rsidR="00E65178" w:rsidRDefault="00E65178" w:rsidP="001E7192">
                  <w:pPr>
                    <w:pStyle w:val="BodyIndent1"/>
                    <w:rPr>
                      <w:b/>
                    </w:rPr>
                  </w:pPr>
                  <w:r>
                    <w:rPr>
                      <w:b/>
                    </w:rPr>
                    <w:t>Type</w:t>
                  </w:r>
                </w:p>
              </w:tc>
            </w:tr>
            <w:tr w:rsidR="00E65178" w14:paraId="236D0384" w14:textId="77777777" w:rsidTr="001E7192">
              <w:trPr>
                <w:cantSplit/>
                <w:tblHeader/>
              </w:trPr>
              <w:tc>
                <w:tcPr>
                  <w:tcW w:w="5307" w:type="dxa"/>
                  <w:shd w:val="clear" w:color="auto" w:fill="FFFFFF"/>
                </w:tcPr>
                <w:p w14:paraId="1D6D01C8" w14:textId="77777777" w:rsidR="00E65178" w:rsidRDefault="00E65178" w:rsidP="001E7192">
                  <w:pPr>
                    <w:pStyle w:val="BodyIndent1"/>
                  </w:pPr>
                  <w:r>
                    <w:rPr>
                      <w:b/>
                    </w:rPr>
                    <w:t>3. Research in Brief - Understanding the key drivers that impact travel choice</w:t>
                  </w:r>
                  <w:r w:rsidRPr="0012210F">
                    <w:rPr>
                      <w:b/>
                    </w:rPr>
                    <w:t xml:space="preserve"> </w:t>
                  </w:r>
                </w:p>
              </w:tc>
              <w:tc>
                <w:tcPr>
                  <w:tcW w:w="2694" w:type="dxa"/>
                  <w:shd w:val="clear" w:color="auto" w:fill="FFFFFF"/>
                </w:tcPr>
                <w:p w14:paraId="79EA0FCC" w14:textId="77777777" w:rsidR="00E65178" w:rsidRDefault="00E65178" w:rsidP="001E7192">
                  <w:pPr>
                    <w:pStyle w:val="BodyIndent1"/>
                    <w:ind w:left="0"/>
                  </w:pPr>
                  <w:r>
                    <w:t>Research in Brief</w:t>
                  </w:r>
                </w:p>
              </w:tc>
            </w:tr>
            <w:tr w:rsidR="00E65178" w14:paraId="7383BB2F" w14:textId="77777777" w:rsidTr="001E7192">
              <w:trPr>
                <w:cantSplit/>
                <w:tblHeader/>
              </w:trPr>
              <w:tc>
                <w:tcPr>
                  <w:tcW w:w="8001" w:type="dxa"/>
                  <w:gridSpan w:val="2"/>
                  <w:shd w:val="clear" w:color="auto" w:fill="FFFFFF"/>
                </w:tcPr>
                <w:p w14:paraId="282CA2EA" w14:textId="77777777" w:rsidR="00E65178" w:rsidRPr="001D6D93" w:rsidRDefault="00E65178" w:rsidP="001E7192">
                  <w:pPr>
                    <w:pStyle w:val="TableTextBold0"/>
                    <w:keepNext/>
                    <w:keepLines/>
                    <w:widowControl w:val="0"/>
                    <w:ind w:left="-10"/>
                    <w:rPr>
                      <w:rFonts w:asciiTheme="minorHAnsi" w:eastAsia="Times New Roman" w:hAnsiTheme="minorHAnsi"/>
                      <w:b w:val="0"/>
                      <w:sz w:val="22"/>
                      <w:szCs w:val="22"/>
                    </w:rPr>
                  </w:pPr>
                  <w:r w:rsidRPr="001D6D93">
                    <w:rPr>
                      <w:rFonts w:asciiTheme="minorHAnsi" w:eastAsia="Times New Roman" w:hAnsiTheme="minorHAnsi"/>
                      <w:b w:val="0"/>
                      <w:sz w:val="22"/>
                      <w:szCs w:val="22"/>
                    </w:rPr>
                    <w:t>The research brief is a four</w:t>
                  </w:r>
                  <w:r>
                    <w:rPr>
                      <w:rFonts w:asciiTheme="minorHAnsi" w:eastAsia="Times New Roman" w:hAnsiTheme="minorHAnsi"/>
                      <w:b w:val="0"/>
                      <w:sz w:val="22"/>
                      <w:szCs w:val="22"/>
                    </w:rPr>
                    <w:t>-</w:t>
                  </w:r>
                  <w:r w:rsidRPr="001D6D93">
                    <w:rPr>
                      <w:rFonts w:asciiTheme="minorHAnsi" w:eastAsia="Times New Roman" w:hAnsiTheme="minorHAnsi"/>
                      <w:b w:val="0"/>
                      <w:sz w:val="22"/>
                      <w:szCs w:val="22"/>
                    </w:rPr>
                    <w:t xml:space="preserve">page document summarising the research, its findings, and the potential impact and benefits that could generated. </w:t>
                  </w:r>
                </w:p>
                <w:p w14:paraId="5372BB2E" w14:textId="77777777" w:rsidR="00E65178" w:rsidRPr="00EC1CC4" w:rsidRDefault="00E65178" w:rsidP="001E7192">
                  <w:pPr>
                    <w:pStyle w:val="BodyIndent1"/>
                  </w:pPr>
                </w:p>
              </w:tc>
            </w:tr>
            <w:tr w:rsidR="00E65178" w14:paraId="5021D6F8" w14:textId="77777777" w:rsidTr="001E7192">
              <w:trPr>
                <w:cantSplit/>
                <w:tblHeader/>
              </w:trPr>
              <w:tc>
                <w:tcPr>
                  <w:tcW w:w="8001" w:type="dxa"/>
                  <w:gridSpan w:val="2"/>
                  <w:shd w:val="clear" w:color="auto" w:fill="FFFFFF"/>
                </w:tcPr>
                <w:p w14:paraId="1FB0F45C" w14:textId="77777777" w:rsidR="00E65178" w:rsidRPr="0023734F" w:rsidRDefault="00E65178" w:rsidP="001E7192">
                  <w:pPr>
                    <w:pStyle w:val="BodyIndent1"/>
                  </w:pPr>
                  <w:r>
                    <w:rPr>
                      <w:b/>
                    </w:rPr>
                    <w:lastRenderedPageBreak/>
                    <w:t xml:space="preserve">Format: </w:t>
                  </w:r>
                  <w:r>
                    <w:t>The report should be completed in RSSB’s house format and made available in an editable format</w:t>
                  </w:r>
                </w:p>
                <w:p w14:paraId="629B31AE" w14:textId="77777777" w:rsidR="00E65178" w:rsidRPr="001D1765" w:rsidRDefault="00E65178" w:rsidP="001E7192">
                  <w:pPr>
                    <w:pStyle w:val="Body"/>
                    <w:ind w:left="227"/>
                    <w:rPr>
                      <w:sz w:val="20"/>
                    </w:rPr>
                  </w:pPr>
                  <w:r>
                    <w:rPr>
                      <w:b/>
                    </w:rPr>
                    <w:t>Publication:</w:t>
                  </w:r>
                  <w:r>
                    <w:t xml:space="preserve"> </w:t>
                  </w:r>
                  <w:r w:rsidRPr="001D6D93">
                    <w:rPr>
                      <w:rFonts w:asciiTheme="minorHAnsi" w:hAnsiTheme="minorHAnsi"/>
                    </w:rPr>
                    <w:t>The Research Brief will be made available online via SPARK, accessible to the general public</w:t>
                  </w:r>
                </w:p>
                <w:p w14:paraId="76CDCC41" w14:textId="77777777" w:rsidR="00E65178" w:rsidRPr="00616492" w:rsidRDefault="00E65178" w:rsidP="001E7192">
                  <w:pPr>
                    <w:pStyle w:val="Body"/>
                    <w:ind w:left="227"/>
                  </w:pPr>
                  <w:r>
                    <w:rPr>
                      <w:b/>
                    </w:rPr>
                    <w:t xml:space="preserve">Date: </w:t>
                  </w:r>
                  <w:r>
                    <w:t>September 2018</w:t>
                  </w:r>
                </w:p>
              </w:tc>
            </w:tr>
          </w:tbl>
          <w:p w14:paraId="3D40BD96" w14:textId="77777777" w:rsidR="00E65178" w:rsidRDefault="00E65178"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65178" w14:paraId="6CA69195" w14:textId="77777777" w:rsidTr="001E7192">
              <w:trPr>
                <w:cantSplit/>
              </w:trPr>
              <w:tc>
                <w:tcPr>
                  <w:tcW w:w="5307" w:type="dxa"/>
                  <w:shd w:val="clear" w:color="auto" w:fill="99CC00"/>
                </w:tcPr>
                <w:p w14:paraId="77B606FE" w14:textId="77777777" w:rsidR="00E65178" w:rsidRDefault="00E65178" w:rsidP="001E7192">
                  <w:pPr>
                    <w:pStyle w:val="BodyIndent1"/>
                    <w:rPr>
                      <w:b/>
                    </w:rPr>
                  </w:pPr>
                  <w:r>
                    <w:rPr>
                      <w:b/>
                    </w:rPr>
                    <w:t>Deliverable Name</w:t>
                  </w:r>
                </w:p>
              </w:tc>
              <w:tc>
                <w:tcPr>
                  <w:tcW w:w="2694" w:type="dxa"/>
                  <w:shd w:val="clear" w:color="auto" w:fill="99CC00"/>
                </w:tcPr>
                <w:p w14:paraId="1D3746DF" w14:textId="77777777" w:rsidR="00E65178" w:rsidRDefault="00E65178" w:rsidP="001E7192">
                  <w:pPr>
                    <w:pStyle w:val="BodyIndent1"/>
                    <w:rPr>
                      <w:b/>
                    </w:rPr>
                  </w:pPr>
                  <w:r>
                    <w:rPr>
                      <w:b/>
                    </w:rPr>
                    <w:t>Type</w:t>
                  </w:r>
                </w:p>
              </w:tc>
            </w:tr>
            <w:tr w:rsidR="00E65178" w14:paraId="1A81AF93" w14:textId="77777777" w:rsidTr="001E7192">
              <w:trPr>
                <w:cantSplit/>
                <w:tblHeader/>
              </w:trPr>
              <w:tc>
                <w:tcPr>
                  <w:tcW w:w="5307" w:type="dxa"/>
                  <w:shd w:val="clear" w:color="auto" w:fill="FFFFFF"/>
                </w:tcPr>
                <w:p w14:paraId="4D2BE04A" w14:textId="77777777" w:rsidR="00E65178" w:rsidRDefault="00E65178" w:rsidP="001E7192">
                  <w:pPr>
                    <w:pStyle w:val="BodyIndent1"/>
                  </w:pPr>
                  <w:r>
                    <w:rPr>
                      <w:b/>
                    </w:rPr>
                    <w:t>4. Understanding the key drivers that impact travel choice</w:t>
                  </w:r>
                  <w:r w:rsidRPr="0012210F">
                    <w:rPr>
                      <w:b/>
                    </w:rPr>
                    <w:t xml:space="preserve"> </w:t>
                  </w:r>
                  <w:r>
                    <w:rPr>
                      <w:b/>
                    </w:rPr>
                    <w:t>- Final presentations</w:t>
                  </w:r>
                </w:p>
              </w:tc>
              <w:tc>
                <w:tcPr>
                  <w:tcW w:w="2694" w:type="dxa"/>
                  <w:shd w:val="clear" w:color="auto" w:fill="FFFFFF"/>
                </w:tcPr>
                <w:p w14:paraId="274844BC" w14:textId="77777777" w:rsidR="00E65178" w:rsidRDefault="00E65178" w:rsidP="001E7192">
                  <w:pPr>
                    <w:pStyle w:val="BodyIndent1"/>
                  </w:pPr>
                  <w:r>
                    <w:t xml:space="preserve">Presentation </w:t>
                  </w:r>
                </w:p>
              </w:tc>
            </w:tr>
            <w:tr w:rsidR="00E65178" w14:paraId="71F209B1" w14:textId="77777777" w:rsidTr="001E7192">
              <w:trPr>
                <w:cantSplit/>
                <w:tblHeader/>
              </w:trPr>
              <w:tc>
                <w:tcPr>
                  <w:tcW w:w="8001" w:type="dxa"/>
                  <w:gridSpan w:val="2"/>
                  <w:shd w:val="clear" w:color="auto" w:fill="FFFFFF"/>
                </w:tcPr>
                <w:p w14:paraId="7C39549E" w14:textId="77777777" w:rsidR="00E65178" w:rsidRDefault="00E65178" w:rsidP="001E7192">
                  <w:pPr>
                    <w:pStyle w:val="BodyIndent1"/>
                  </w:pPr>
                  <w:r>
                    <w:t>At the end of the project presentations are to be given to senior members of the rail industry on the work carried and setting out the final conclusions and recommendations</w:t>
                  </w:r>
                </w:p>
                <w:p w14:paraId="3E7036C5" w14:textId="77777777" w:rsidR="00E65178" w:rsidRDefault="00E65178" w:rsidP="001E7192">
                  <w:pPr>
                    <w:pStyle w:val="BodyIndent1"/>
                    <w:rPr>
                      <w:b/>
                    </w:rPr>
                  </w:pPr>
                </w:p>
              </w:tc>
            </w:tr>
            <w:tr w:rsidR="00E65178" w14:paraId="4072B4C6" w14:textId="77777777" w:rsidTr="001E7192">
              <w:trPr>
                <w:cantSplit/>
                <w:tblHeader/>
              </w:trPr>
              <w:tc>
                <w:tcPr>
                  <w:tcW w:w="8001" w:type="dxa"/>
                  <w:gridSpan w:val="2"/>
                  <w:shd w:val="clear" w:color="auto" w:fill="FFFFFF"/>
                </w:tcPr>
                <w:p w14:paraId="6D6ABB3E" w14:textId="77777777" w:rsidR="00E65178" w:rsidRPr="0023734F" w:rsidRDefault="00E65178" w:rsidP="001E7192">
                  <w:pPr>
                    <w:pStyle w:val="BodyIndent1"/>
                  </w:pPr>
                  <w:r>
                    <w:rPr>
                      <w:b/>
                    </w:rPr>
                    <w:t xml:space="preserve">Format: </w:t>
                  </w:r>
                  <w:r>
                    <w:t>The presentations should be completed in RSSB’s house format and made available in an editable format.</w:t>
                  </w:r>
                </w:p>
                <w:p w14:paraId="329E21C0" w14:textId="77777777" w:rsidR="00E65178" w:rsidRDefault="00E65178" w:rsidP="001E7192">
                  <w:pPr>
                    <w:pStyle w:val="Body"/>
                    <w:ind w:left="227"/>
                  </w:pPr>
                  <w:r w:rsidRPr="004A63CA">
                    <w:rPr>
                      <w:b/>
                    </w:rPr>
                    <w:t>Publication:</w:t>
                  </w:r>
                  <w:r>
                    <w:rPr>
                      <w:b/>
                    </w:rPr>
                    <w:t xml:space="preserve"> </w:t>
                  </w:r>
                  <w:r>
                    <w:t>The full presentation will be made publicly available to RSSB members via SPARK</w:t>
                  </w:r>
                </w:p>
                <w:p w14:paraId="77818FB3" w14:textId="77777777" w:rsidR="00E65178" w:rsidRPr="00EC1CC4" w:rsidRDefault="00E65178" w:rsidP="001E7192">
                  <w:pPr>
                    <w:pStyle w:val="BodyIndent1"/>
                  </w:pPr>
                  <w:r>
                    <w:rPr>
                      <w:b/>
                    </w:rPr>
                    <w:t xml:space="preserve">Date: </w:t>
                  </w:r>
                  <w:r w:rsidRPr="00EF3A76">
                    <w:t>August to</w:t>
                  </w:r>
                  <w:r>
                    <w:rPr>
                      <w:b/>
                    </w:rPr>
                    <w:t xml:space="preserve"> </w:t>
                  </w:r>
                  <w:r>
                    <w:t>September 2018</w:t>
                  </w:r>
                </w:p>
              </w:tc>
            </w:tr>
          </w:tbl>
          <w:p w14:paraId="0B8DD564" w14:textId="77777777" w:rsidR="00E65178" w:rsidRPr="0012210F" w:rsidRDefault="00E65178" w:rsidP="001E7192">
            <w:pPr>
              <w:pStyle w:val="Body"/>
            </w:pPr>
          </w:p>
        </w:tc>
      </w:tr>
    </w:tbl>
    <w:p w14:paraId="2D51D850" w14:textId="4414A4D6" w:rsidR="00E65178" w:rsidRDefault="00E65178" w:rsidP="00E65178">
      <w:pPr>
        <w:rPr>
          <w:rFonts w:ascii="Calibri" w:hAnsi="Calibri" w:cs="Arial"/>
          <w:color w:val="00968E"/>
          <w:sz w:val="36"/>
          <w:lang w:eastAsia="en-GB"/>
        </w:rPr>
      </w:pPr>
    </w:p>
    <w:p w14:paraId="37E4308E" w14:textId="77777777" w:rsidR="00E65178" w:rsidRDefault="00E65178" w:rsidP="00E65178">
      <w:pPr>
        <w:rPr>
          <w:rFonts w:ascii="Calibri" w:hAnsi="Calibri" w:cs="Arial"/>
          <w:color w:val="00968E"/>
          <w:sz w:val="36"/>
          <w:lang w:eastAsia="en-GB"/>
        </w:rPr>
      </w:pPr>
    </w:p>
    <w:p w14:paraId="482799F7" w14:textId="77777777" w:rsidR="00E65178" w:rsidRDefault="00E65178" w:rsidP="00E65178">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E65178" w14:paraId="03E4CBE8" w14:textId="77777777" w:rsidTr="001E7192">
        <w:tc>
          <w:tcPr>
            <w:tcW w:w="1816" w:type="dxa"/>
            <w:vAlign w:val="center"/>
          </w:tcPr>
          <w:p w14:paraId="324A8587" w14:textId="77777777" w:rsidR="00E65178" w:rsidRPr="00325F01" w:rsidRDefault="00E65178" w:rsidP="001E7192">
            <w:pPr>
              <w:pStyle w:val="Body"/>
              <w:rPr>
                <w:rFonts w:asciiTheme="minorHAnsi" w:hAnsiTheme="minorHAnsi"/>
              </w:rPr>
            </w:pPr>
          </w:p>
        </w:tc>
        <w:tc>
          <w:tcPr>
            <w:tcW w:w="3849" w:type="dxa"/>
            <w:vAlign w:val="center"/>
          </w:tcPr>
          <w:p w14:paraId="6FF15BFD" w14:textId="77777777" w:rsidR="00E65178" w:rsidRPr="00325F01" w:rsidRDefault="00E65178" w:rsidP="001E7192">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1962F1D9" w14:textId="77777777" w:rsidR="00E65178" w:rsidRPr="00325F01" w:rsidRDefault="00E65178" w:rsidP="001E7192">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E65178" w14:paraId="752EECAB" w14:textId="77777777" w:rsidTr="001E7192">
        <w:tc>
          <w:tcPr>
            <w:tcW w:w="1816" w:type="dxa"/>
            <w:vAlign w:val="center"/>
          </w:tcPr>
          <w:p w14:paraId="7B6F2DFD" w14:textId="77777777" w:rsidR="00E65178" w:rsidRPr="00420F8C" w:rsidRDefault="00E65178" w:rsidP="001E7192">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73443147" w14:textId="77777777" w:rsidR="00E65178" w:rsidRPr="00420F8C" w:rsidRDefault="00E65178" w:rsidP="001E7192">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1A236010" w14:textId="77777777" w:rsidR="00E65178" w:rsidRPr="00420F8C" w:rsidRDefault="00E65178" w:rsidP="001E7192">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5A29159C" w14:textId="77777777" w:rsidR="00E65178" w:rsidRPr="00325F01" w:rsidRDefault="00E65178" w:rsidP="001E7192">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E65178" w14:paraId="7BEE4B09" w14:textId="77777777" w:rsidTr="001E7192">
        <w:tc>
          <w:tcPr>
            <w:tcW w:w="1816" w:type="dxa"/>
            <w:vAlign w:val="center"/>
          </w:tcPr>
          <w:p w14:paraId="243A44A6" w14:textId="77777777" w:rsidR="00E65178" w:rsidRPr="00420F8C" w:rsidRDefault="00E65178" w:rsidP="001E7192">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6A6856C4" w14:textId="77777777" w:rsidR="00E65178" w:rsidRPr="00420F8C" w:rsidRDefault="00E65178" w:rsidP="001E7192">
            <w:pPr>
              <w:rPr>
                <w:rFonts w:asciiTheme="minorHAnsi" w:hAnsiTheme="minorHAnsi" w:cs="Arial"/>
                <w:lang w:eastAsia="en-GB"/>
              </w:rPr>
            </w:pPr>
            <w:r w:rsidRPr="00420F8C">
              <w:rPr>
                <w:rFonts w:asciiTheme="minorHAnsi" w:hAnsiTheme="minorHAnsi" w:cs="Arial"/>
                <w:color w:val="000000" w:themeColor="dark1"/>
                <w:kern w:val="28"/>
              </w:rPr>
              <w:t xml:space="preserve">The project supporters represent parts of industry complementary to the champion’s organisation. They offer expertise for effective project delivery and support the implementation of </w:t>
            </w:r>
            <w:r w:rsidRPr="00420F8C">
              <w:rPr>
                <w:rFonts w:asciiTheme="minorHAnsi" w:hAnsiTheme="minorHAnsi" w:cs="Arial"/>
                <w:color w:val="000000" w:themeColor="dark1"/>
                <w:kern w:val="28"/>
              </w:rPr>
              <w:lastRenderedPageBreak/>
              <w:t>findings led by the champion through networking, advice and other support.</w:t>
            </w:r>
          </w:p>
        </w:tc>
        <w:tc>
          <w:tcPr>
            <w:tcW w:w="2694" w:type="dxa"/>
          </w:tcPr>
          <w:p w14:paraId="3FD57B77" w14:textId="77777777" w:rsidR="00E65178" w:rsidRPr="00325F01" w:rsidRDefault="00E65178" w:rsidP="001E7192">
            <w:pPr>
              <w:rPr>
                <w:rFonts w:asciiTheme="minorHAnsi" w:hAnsiTheme="minorHAnsi" w:cs="Arial"/>
                <w:color w:val="000000" w:themeColor="dark1"/>
                <w:kern w:val="28"/>
              </w:rPr>
            </w:pPr>
            <w:r w:rsidRPr="00325F01">
              <w:rPr>
                <w:rFonts w:asciiTheme="minorHAnsi" w:hAnsiTheme="minorHAnsi" w:cs="Arial"/>
                <w:color w:val="000000" w:themeColor="dark1"/>
                <w:kern w:val="28"/>
              </w:rPr>
              <w:lastRenderedPageBreak/>
              <w:t xml:space="preserve">Formally accepts deliverables </w:t>
            </w:r>
          </w:p>
        </w:tc>
      </w:tr>
      <w:tr w:rsidR="00E65178" w14:paraId="412A4B53" w14:textId="77777777" w:rsidTr="001E7192">
        <w:tc>
          <w:tcPr>
            <w:tcW w:w="1816" w:type="dxa"/>
            <w:vAlign w:val="center"/>
          </w:tcPr>
          <w:p w14:paraId="7FC18B0E" w14:textId="77777777" w:rsidR="00E65178" w:rsidRPr="00420F8C" w:rsidRDefault="00E65178" w:rsidP="001E7192">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3F00A2C7" w14:textId="77777777" w:rsidR="00E65178" w:rsidRPr="00420F8C" w:rsidRDefault="00E65178" w:rsidP="001E7192">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16718E87" w14:textId="77777777" w:rsidR="00E65178" w:rsidRPr="00420F8C" w:rsidRDefault="00E65178" w:rsidP="001E7192">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1D75898B" w14:textId="77777777" w:rsidR="00E65178" w:rsidRPr="00420F8C" w:rsidRDefault="00E65178" w:rsidP="001E7192">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r w:rsidR="00E65178" w14:paraId="138053A9" w14:textId="77777777" w:rsidTr="001E7192">
        <w:tc>
          <w:tcPr>
            <w:tcW w:w="1816" w:type="dxa"/>
            <w:vAlign w:val="center"/>
          </w:tcPr>
          <w:p w14:paraId="0E9880FA" w14:textId="77777777" w:rsidR="00E65178" w:rsidRPr="006B076F" w:rsidRDefault="00E65178" w:rsidP="001E7192">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0B98B7C9" w14:textId="77777777" w:rsidR="00E65178" w:rsidRPr="006B076F" w:rsidRDefault="00E65178" w:rsidP="001E7192">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delivery manager is responsible for the detailed project management including project schedules, cost reporting and other relevant project management tasks. </w:t>
            </w:r>
          </w:p>
          <w:p w14:paraId="7CCF6000" w14:textId="77777777" w:rsidR="00E65178" w:rsidRPr="006B076F" w:rsidRDefault="00E65178" w:rsidP="001E7192">
            <w:pPr>
              <w:rPr>
                <w:rFonts w:asciiTheme="minorHAnsi" w:hAnsiTheme="minorHAnsi" w:cs="Arial"/>
                <w:color w:val="000000" w:themeColor="dark1"/>
                <w:kern w:val="28"/>
              </w:rPr>
            </w:pPr>
            <w:r w:rsidRPr="006B076F">
              <w:rPr>
                <w:rFonts w:asciiTheme="minorHAnsi" w:hAnsiTheme="minorHAnsi" w:cs="Arial"/>
                <w:color w:val="000000" w:themeColor="dark1"/>
                <w:kern w:val="28"/>
              </w:rPr>
              <w:t>The delivery manager leads the project in organising meetings and ensures timely and effective delivery towards project objectives.</w:t>
            </w:r>
          </w:p>
        </w:tc>
        <w:tc>
          <w:tcPr>
            <w:tcW w:w="2694" w:type="dxa"/>
          </w:tcPr>
          <w:p w14:paraId="3AA2D2DE" w14:textId="77777777" w:rsidR="00E65178" w:rsidRPr="006B076F" w:rsidRDefault="00E65178" w:rsidP="001E7192">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E65178" w14:paraId="5AE1D4CF" w14:textId="77777777" w:rsidTr="001E7192">
        <w:tc>
          <w:tcPr>
            <w:tcW w:w="1816" w:type="dxa"/>
            <w:vAlign w:val="center"/>
          </w:tcPr>
          <w:p w14:paraId="3D163909" w14:textId="77777777" w:rsidR="00E65178" w:rsidRPr="007715AE" w:rsidRDefault="00E65178" w:rsidP="001E7192">
            <w:pPr>
              <w:rPr>
                <w:rFonts w:asciiTheme="minorHAnsi" w:hAnsiTheme="minorHAnsi" w:cs="Arial"/>
                <w:lang w:eastAsia="en-GB"/>
              </w:rPr>
            </w:pPr>
            <w:r w:rsidRPr="007715AE">
              <w:rPr>
                <w:rFonts w:asciiTheme="minorHAnsi" w:hAnsiTheme="minorHAnsi" w:cs="Arial"/>
                <w:color w:val="000000" w:themeColor="dark1"/>
                <w:kern w:val="28"/>
              </w:rPr>
              <w:t>Technical expert</w:t>
            </w:r>
          </w:p>
        </w:tc>
        <w:tc>
          <w:tcPr>
            <w:tcW w:w="3849" w:type="dxa"/>
            <w:vAlign w:val="center"/>
          </w:tcPr>
          <w:p w14:paraId="1896E26B" w14:textId="77777777" w:rsidR="00E65178" w:rsidRPr="007715AE" w:rsidRDefault="00E65178" w:rsidP="001E7192">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technical aspects are reflected accurately. </w:t>
            </w:r>
          </w:p>
          <w:p w14:paraId="6F78D5AB" w14:textId="77777777" w:rsidR="00E65178" w:rsidRPr="007715AE" w:rsidRDefault="00E65178" w:rsidP="001E7192">
            <w:pPr>
              <w:rPr>
                <w:rFonts w:asciiTheme="minorHAnsi" w:hAnsiTheme="minorHAnsi" w:cs="Arial"/>
                <w:lang w:eastAsia="en-GB"/>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09AA072C" w14:textId="77777777" w:rsidR="00E65178" w:rsidRPr="007715AE" w:rsidRDefault="00E65178" w:rsidP="001E7192">
            <w:pPr>
              <w:rPr>
                <w:rFonts w:asciiTheme="minorHAnsi" w:hAnsiTheme="minorHAnsi" w:cs="Arial"/>
                <w:lang w:eastAsia="en-GB"/>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bl>
    <w:p w14:paraId="24AE0163" w14:textId="77777777" w:rsidR="00E65178" w:rsidRDefault="00E65178" w:rsidP="00E65178">
      <w:pPr>
        <w:rPr>
          <w:rFonts w:ascii="Calibri" w:hAnsi="Calibri" w:cs="Arial"/>
          <w:lang w:eastAsia="en-GB"/>
        </w:rPr>
      </w:pPr>
    </w:p>
    <w:p w14:paraId="4277F3EE" w14:textId="77777777" w:rsidR="00E65178" w:rsidRDefault="00E65178" w:rsidP="00E65178">
      <w:pPr>
        <w:rPr>
          <w:rFonts w:ascii="Calibri" w:hAnsi="Calibri" w:cs="Arial"/>
          <w:lang w:eastAsia="en-GB"/>
        </w:rPr>
      </w:pPr>
    </w:p>
    <w:p w14:paraId="0ED5B773" w14:textId="77777777" w:rsidR="00E65178" w:rsidRDefault="00E65178" w:rsidP="00E65178">
      <w:pPr>
        <w:rPr>
          <w:rFonts w:ascii="Calibri" w:hAnsi="Calibri" w:cs="Arial"/>
          <w:lang w:eastAsia="en-GB"/>
        </w:rPr>
      </w:pPr>
    </w:p>
    <w:p w14:paraId="37EB5CEB" w14:textId="77777777" w:rsidR="00E65178" w:rsidRDefault="00E65178" w:rsidP="00E65178">
      <w:pPr>
        <w:rPr>
          <w:rFonts w:ascii="Calibri" w:hAnsi="Calibri" w:cs="Arial"/>
          <w:lang w:eastAsia="en-GB"/>
        </w:rPr>
      </w:pPr>
    </w:p>
    <w:p w14:paraId="5B58684E" w14:textId="77777777" w:rsidR="00E65178" w:rsidRDefault="00E65178" w:rsidP="00E65178">
      <w:pPr>
        <w:pStyle w:val="Heading1"/>
      </w:pPr>
      <w:r>
        <w:t>Budget, timescales and dependencies</w:t>
      </w:r>
    </w:p>
    <w:p w14:paraId="69A6565E" w14:textId="77777777" w:rsidR="00E65178" w:rsidRDefault="00E65178" w:rsidP="00E65178">
      <w:pPr>
        <w:spacing w:after="120"/>
        <w:jc w:val="both"/>
        <w:rPr>
          <w:rFonts w:ascii="Calibri" w:hAnsi="Calibri" w:cs="Arial"/>
          <w:lang w:eastAsia="en-GB"/>
        </w:rPr>
      </w:pPr>
      <w:r>
        <w:rPr>
          <w:rFonts w:ascii="Calibri" w:hAnsi="Calibri" w:cs="Arial"/>
          <w:lang w:eastAsia="en-GB"/>
        </w:rPr>
        <w:t>The budget for this work is up to £150k.  However, bids above this value will be considered with a detailed explanation on why the supplier doesn’t feel that the budget is adequate. In particular, it has been highlighted that this project may require market research or the purchasing of commercial data to achieve its objectives. Suppliers are requested to provide a breakdown of costs including the costs of any data/market research that is required.</w:t>
      </w:r>
    </w:p>
    <w:p w14:paraId="2D4C52C7" w14:textId="77777777" w:rsidR="00E65178" w:rsidRPr="00DA431E" w:rsidRDefault="00E65178" w:rsidP="00E65178">
      <w:pPr>
        <w:spacing w:after="240"/>
        <w:rPr>
          <w:rFonts w:ascii="Calibri" w:hAnsi="Calibri" w:cs="Arial"/>
          <w:lang w:eastAsia="en-GB"/>
        </w:rPr>
      </w:pPr>
      <w:r w:rsidRPr="00DA431E">
        <w:rPr>
          <w:rFonts w:ascii="Calibri" w:hAnsi="Calibri" w:cs="Arial"/>
          <w:lang w:eastAsia="en-GB"/>
        </w:rPr>
        <w:t>This work will be procured under a single contract. We recognise that the bid may require a diverse skillset and so tenderers are advised, where appropriate and where the tenderer feels n</w:t>
      </w:r>
      <w:r>
        <w:rPr>
          <w:rFonts w:ascii="Calibri" w:hAnsi="Calibri" w:cs="Arial"/>
          <w:lang w:eastAsia="en-GB"/>
        </w:rPr>
        <w:t>ecessary to do so in a consortium</w:t>
      </w:r>
      <w:r w:rsidRPr="00DA431E">
        <w:rPr>
          <w:rFonts w:ascii="Calibri" w:hAnsi="Calibri" w:cs="Arial"/>
          <w:lang w:eastAsia="en-GB"/>
        </w:rPr>
        <w:t>. Tenderers should be accordingly advised that RSSB will only be contracting with a single legal entity and t</w:t>
      </w:r>
      <w:r>
        <w:rPr>
          <w:rFonts w:ascii="Calibri" w:hAnsi="Calibri" w:cs="Arial"/>
          <w:lang w:eastAsia="en-GB"/>
        </w:rPr>
        <w:t>hus if the bid is of a consortium arrangement</w:t>
      </w:r>
      <w:r w:rsidRPr="00DA431E">
        <w:rPr>
          <w:rFonts w:ascii="Calibri" w:hAnsi="Calibri" w:cs="Arial"/>
          <w:lang w:eastAsia="en-GB"/>
        </w:rPr>
        <w:t xml:space="preserve"> this takes the format of sub-contracting by t</w:t>
      </w:r>
      <w:r>
        <w:rPr>
          <w:rFonts w:ascii="Calibri" w:hAnsi="Calibri" w:cs="Arial"/>
          <w:lang w:eastAsia="en-GB"/>
        </w:rPr>
        <w:t>he lead/principal organisation.</w:t>
      </w:r>
    </w:p>
    <w:p w14:paraId="64107515" w14:textId="77777777" w:rsidR="00E65178" w:rsidRPr="00325F01" w:rsidRDefault="00E65178" w:rsidP="00E65178">
      <w:pPr>
        <w:spacing w:after="120"/>
        <w:jc w:val="both"/>
        <w:rPr>
          <w:rFonts w:ascii="Calibri" w:hAnsi="Calibri" w:cs="Arial"/>
          <w:lang w:eastAsia="en-GB"/>
        </w:rPr>
      </w:pPr>
      <w:r>
        <w:rPr>
          <w:rFonts w:ascii="Calibri" w:hAnsi="Calibri" w:cs="Arial"/>
          <w:lang w:eastAsia="en-GB"/>
        </w:rPr>
        <w:lastRenderedPageBreak/>
        <w:t xml:space="preserve">The work is expected to start in November 2017 and be completed by September 2018. These are indicative dates and RSSB is prepared to consider bids that cannot meet these expectations if they have a robust and realistic project plan, and an explanation of why the expected start and end date cannot be met.  </w:t>
      </w:r>
    </w:p>
    <w:p w14:paraId="666889D5" w14:textId="77777777" w:rsidR="00E65178" w:rsidRDefault="00E65178" w:rsidP="00E65178">
      <w:pPr>
        <w:pStyle w:val="Heading1"/>
      </w:pPr>
      <w:bookmarkStart w:id="20" w:name="_Hlk491929587"/>
      <w:r>
        <w:t>Critical success factors and risk management</w:t>
      </w:r>
    </w:p>
    <w:bookmarkEnd w:id="20"/>
    <w:p w14:paraId="537C9D19" w14:textId="77777777" w:rsidR="00E65178" w:rsidRDefault="00E65178" w:rsidP="00E65178">
      <w:pPr>
        <w:rPr>
          <w:rFonts w:ascii="Calibri" w:hAnsi="Calibri" w:cs="Arial"/>
          <w:lang w:eastAsia="en-GB"/>
        </w:rPr>
      </w:pPr>
      <w:r w:rsidRPr="00E8529F">
        <w:rPr>
          <w:rFonts w:ascii="Calibri" w:hAnsi="Calibri" w:cs="Arial"/>
          <w:lang w:eastAsia="en-GB"/>
        </w:rPr>
        <w:t>The likelihood and success</w:t>
      </w:r>
      <w:r>
        <w:rPr>
          <w:rFonts w:ascii="Calibri" w:hAnsi="Calibri" w:cs="Arial"/>
          <w:lang w:eastAsia="en-GB"/>
        </w:rPr>
        <w:t xml:space="preserve">ful completion of this project </w:t>
      </w:r>
      <w:r w:rsidRPr="00E8529F">
        <w:rPr>
          <w:rFonts w:ascii="Calibri" w:hAnsi="Calibri" w:cs="Arial"/>
          <w:lang w:eastAsia="en-GB"/>
        </w:rPr>
        <w:t xml:space="preserve">is dependent not only </w:t>
      </w:r>
      <w:r>
        <w:rPr>
          <w:rFonts w:ascii="Calibri" w:hAnsi="Calibri" w:cs="Arial"/>
          <w:lang w:eastAsia="en-GB"/>
        </w:rPr>
        <w:t>on successful completion of data gathering for assessment of trends but also market segmentation that can fully capture the characteristics of customers needed to assess the impact of these trends.</w:t>
      </w:r>
    </w:p>
    <w:p w14:paraId="6EA3B76C" w14:textId="77777777" w:rsidR="00E65178" w:rsidRDefault="00E65178" w:rsidP="00E65178">
      <w:pPr>
        <w:rPr>
          <w:rFonts w:ascii="Calibri" w:hAnsi="Calibri" w:cs="Arial"/>
          <w:lang w:eastAsia="en-GB"/>
        </w:rPr>
      </w:pPr>
    </w:p>
    <w:p w14:paraId="19C0A74B" w14:textId="77777777" w:rsidR="00E65178" w:rsidRDefault="00E65178" w:rsidP="00E65178">
      <w:pPr>
        <w:rPr>
          <w:rFonts w:ascii="Calibri" w:hAnsi="Calibri" w:cs="Arial"/>
          <w:lang w:eastAsia="en-GB"/>
        </w:rPr>
      </w:pPr>
      <w:r>
        <w:rPr>
          <w:rFonts w:ascii="Calibri" w:hAnsi="Calibri" w:cs="Arial"/>
          <w:lang w:eastAsia="en-GB"/>
        </w:rPr>
        <w:t>Suppliers should, in their response to the ITT, indicate how such risks should be managed.</w:t>
      </w: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2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3"/>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58542A">
        <w:rPr>
          <w:rFonts w:asciiTheme="minorHAnsi" w:hAnsiTheme="minorHAnsi" w:cs="Arial"/>
          <w:b/>
          <w:bCs/>
          <w:sz w:val="22"/>
          <w:szCs w:val="22"/>
        </w:rPr>
      </w:r>
      <w:r w:rsidR="0058542A">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58542A"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2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5115" w14:textId="77777777" w:rsidR="000A2276" w:rsidRDefault="000A2276" w:rsidP="0003785D">
      <w:r>
        <w:separator/>
      </w:r>
    </w:p>
  </w:endnote>
  <w:endnote w:type="continuationSeparator" w:id="0">
    <w:p w14:paraId="320EDA8A" w14:textId="77777777" w:rsidR="000A2276" w:rsidRDefault="000A227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FA20930" w:rsidR="0058542A" w:rsidRDefault="00585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3BEB">
      <w:rPr>
        <w:rStyle w:val="PageNumber"/>
        <w:noProof/>
      </w:rPr>
      <w:t>10</w:t>
    </w:r>
    <w:r>
      <w:rPr>
        <w:rStyle w:val="PageNumber"/>
      </w:rPr>
      <w:fldChar w:fldCharType="end"/>
    </w:r>
  </w:p>
  <w:p w14:paraId="2A2B9D60" w14:textId="77777777" w:rsidR="0058542A" w:rsidRDefault="0058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46A08571" w:rsidR="0058542A" w:rsidRPr="00F735CB" w:rsidRDefault="0058542A"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83BEB">
      <w:rPr>
        <w:caps/>
        <w:noProof/>
        <w:color w:val="5B9BD5" w:themeColor="accent1"/>
      </w:rPr>
      <w:t>11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58542A" w:rsidRDefault="0058542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58542A" w:rsidRDefault="005854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0945778C" w:rsidR="0058542A" w:rsidRDefault="0058542A" w:rsidP="00674166">
    <w:pPr>
      <w:pStyle w:val="FooterLeft"/>
    </w:pPr>
    <w:r>
      <w:fldChar w:fldCharType="begin"/>
    </w:r>
    <w:r>
      <w:instrText xml:space="preserve"> PAGE   \* MERGEFORMAT </w:instrText>
    </w:r>
    <w:r>
      <w:fldChar w:fldCharType="separate"/>
    </w:r>
    <w:r w:rsidR="008F3590">
      <w:rPr>
        <w:noProof/>
      </w:rPr>
      <w:t>34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7F7B8CF3" w:rsidR="0058542A" w:rsidRDefault="0058542A" w:rsidP="00674166">
    <w:pPr>
      <w:pStyle w:val="FooterRight"/>
    </w:pPr>
    <w:r>
      <w:fldChar w:fldCharType="begin"/>
    </w:r>
    <w:r>
      <w:instrText xml:space="preserve"> PAGE   \* MERGEFORMAT </w:instrText>
    </w:r>
    <w:r>
      <w:fldChar w:fldCharType="separate"/>
    </w:r>
    <w:r w:rsidR="008F3590">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BB3EA" w14:textId="77777777" w:rsidR="000A2276" w:rsidRDefault="000A2276" w:rsidP="0003785D">
      <w:r>
        <w:separator/>
      </w:r>
    </w:p>
  </w:footnote>
  <w:footnote w:type="continuationSeparator" w:id="0">
    <w:p w14:paraId="01412B02" w14:textId="77777777" w:rsidR="000A2276" w:rsidRDefault="000A2276" w:rsidP="0003785D">
      <w:r>
        <w:continuationSeparator/>
      </w:r>
    </w:p>
  </w:footnote>
  <w:footnote w:id="1">
    <w:p w14:paraId="0EDEA1DF" w14:textId="77777777" w:rsidR="00E65178" w:rsidRPr="004B65E8" w:rsidRDefault="00E65178" w:rsidP="00E65178">
      <w:pPr>
        <w:pStyle w:val="FootnoteText"/>
        <w:rPr>
          <w:rFonts w:asciiTheme="minorHAnsi" w:hAnsiTheme="minorHAnsi"/>
          <w:sz w:val="18"/>
          <w:szCs w:val="18"/>
        </w:rPr>
      </w:pPr>
      <w:r>
        <w:rPr>
          <w:rStyle w:val="FootnoteReference"/>
        </w:rPr>
        <w:footnoteRef/>
      </w:r>
      <w:r>
        <w:t xml:space="preserve"> </w:t>
      </w:r>
      <w:r w:rsidRPr="004B65E8">
        <w:rPr>
          <w:rFonts w:asciiTheme="minorHAnsi" w:hAnsiTheme="minorHAnsi"/>
          <w:sz w:val="18"/>
          <w:szCs w:val="18"/>
        </w:rPr>
        <w:t>Passenger Rail Usage 2016-17 Q4 Statistical Release Publication date: 25 May 2017, http://orr.gov.uk/__data/assets/pdf_file/0019/24832/passenger-rail-usage-2016-17-q4.pdf</w:t>
      </w:r>
    </w:p>
  </w:footnote>
  <w:footnote w:id="2">
    <w:p w14:paraId="0DF48F47" w14:textId="77777777" w:rsidR="00E65178" w:rsidRPr="00832CC5" w:rsidRDefault="00E65178" w:rsidP="00E65178">
      <w:pPr>
        <w:pStyle w:val="FootnoteText"/>
        <w:rPr>
          <w:rFonts w:asciiTheme="minorHAnsi" w:hAnsiTheme="minorHAnsi"/>
          <w:sz w:val="18"/>
          <w:szCs w:val="18"/>
        </w:rPr>
      </w:pPr>
      <w:r>
        <w:rPr>
          <w:rStyle w:val="FootnoteReference"/>
        </w:rPr>
        <w:footnoteRef/>
      </w:r>
      <w:r>
        <w:t xml:space="preserve"> </w:t>
      </w:r>
      <w:r w:rsidRPr="00832CC5">
        <w:rPr>
          <w:rFonts w:asciiTheme="minorHAnsi" w:hAnsiTheme="minorHAnsi"/>
          <w:sz w:val="18"/>
          <w:szCs w:val="18"/>
        </w:rPr>
        <w:t>Scoping Study on future trends in passenger rail demand – Final Report to RSSB- 17 July 2017</w:t>
      </w:r>
    </w:p>
    <w:p w14:paraId="7A295129" w14:textId="77777777" w:rsidR="00E65178" w:rsidRDefault="00E65178" w:rsidP="00E65178">
      <w:pPr>
        <w:pStyle w:val="FootnoteText"/>
      </w:pPr>
    </w:p>
  </w:footnote>
  <w:footnote w:id="3">
    <w:p w14:paraId="383B7734" w14:textId="77777777" w:rsidR="0058542A" w:rsidRPr="00B13B50" w:rsidRDefault="0058542A"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58542A" w:rsidRDefault="0058542A">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58542A" w:rsidRDefault="0058542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58542A" w:rsidRDefault="0058542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58542A" w:rsidRPr="0003785D" w:rsidRDefault="0058542A"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316B5"/>
    <w:multiLevelType w:val="hybridMultilevel"/>
    <w:tmpl w:val="BCF2123E"/>
    <w:lvl w:ilvl="0" w:tplc="755E2F54">
      <w:numFmt w:val="bullet"/>
      <w:lvlText w:val="-"/>
      <w:lvlJc w:val="left"/>
      <w:pPr>
        <w:ind w:left="1125" w:hanging="360"/>
      </w:pPr>
      <w:rPr>
        <w:rFonts w:ascii="Calibri" w:eastAsia="Times New Roman" w:hAnsi="Calibri" w:cs="Arial"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098848FE"/>
    <w:multiLevelType w:val="hybridMultilevel"/>
    <w:tmpl w:val="1434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D3D2225"/>
    <w:multiLevelType w:val="hybridMultilevel"/>
    <w:tmpl w:val="E0B0637C"/>
    <w:lvl w:ilvl="0" w:tplc="E77E67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A369B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E52703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5863B52"/>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7531E3"/>
    <w:multiLevelType w:val="hybridMultilevel"/>
    <w:tmpl w:val="32347B4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031AAD"/>
    <w:multiLevelType w:val="hybridMultilevel"/>
    <w:tmpl w:val="FA36B3A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37F43"/>
    <w:multiLevelType w:val="hybridMultilevel"/>
    <w:tmpl w:val="2116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B6B9E"/>
    <w:multiLevelType w:val="hybridMultilevel"/>
    <w:tmpl w:val="CC464FE6"/>
    <w:lvl w:ilvl="0" w:tplc="FDC4DC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9678E0"/>
    <w:multiLevelType w:val="hybridMultilevel"/>
    <w:tmpl w:val="240A06B4"/>
    <w:lvl w:ilvl="0" w:tplc="416EAB7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936A74"/>
    <w:multiLevelType w:val="hybridMultilevel"/>
    <w:tmpl w:val="7A70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2A05D9"/>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7" w15:restartNumberingAfterBreak="0">
    <w:nsid w:val="70A6534E"/>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5"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3"/>
  </w:num>
  <w:num w:numId="3">
    <w:abstractNumId w:val="17"/>
  </w:num>
  <w:num w:numId="4">
    <w:abstractNumId w:val="27"/>
  </w:num>
  <w:num w:numId="5">
    <w:abstractNumId w:val="48"/>
  </w:num>
  <w:num w:numId="6">
    <w:abstractNumId w:val="0"/>
  </w:num>
  <w:num w:numId="7">
    <w:abstractNumId w:val="52"/>
  </w:num>
  <w:num w:numId="8">
    <w:abstractNumId w:val="46"/>
  </w:num>
  <w:num w:numId="9">
    <w:abstractNumId w:val="1"/>
  </w:num>
  <w:num w:numId="10">
    <w:abstractNumId w:val="28"/>
  </w:num>
  <w:num w:numId="11">
    <w:abstractNumId w:val="54"/>
  </w:num>
  <w:num w:numId="12">
    <w:abstractNumId w:val="3"/>
  </w:num>
  <w:num w:numId="13">
    <w:abstractNumId w:val="53"/>
  </w:num>
  <w:num w:numId="14">
    <w:abstractNumId w:val="34"/>
  </w:num>
  <w:num w:numId="15">
    <w:abstractNumId w:val="30"/>
  </w:num>
  <w:num w:numId="16">
    <w:abstractNumId w:val="6"/>
  </w:num>
  <w:num w:numId="17">
    <w:abstractNumId w:val="9"/>
  </w:num>
  <w:num w:numId="18">
    <w:abstractNumId w:val="42"/>
  </w:num>
  <w:num w:numId="19">
    <w:abstractNumId w:val="12"/>
  </w:num>
  <w:num w:numId="20">
    <w:abstractNumId w:val="25"/>
  </w:num>
  <w:num w:numId="21">
    <w:abstractNumId w:val="26"/>
  </w:num>
  <w:num w:numId="22">
    <w:abstractNumId w:val="32"/>
  </w:num>
  <w:num w:numId="23">
    <w:abstractNumId w:val="4"/>
  </w:num>
  <w:num w:numId="24">
    <w:abstractNumId w:val="55"/>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51"/>
  </w:num>
  <w:num w:numId="34">
    <w:abstractNumId w:val="5"/>
  </w:num>
  <w:num w:numId="35">
    <w:abstractNumId w:val="40"/>
  </w:num>
  <w:num w:numId="36">
    <w:abstractNumId w:val="20"/>
  </w:num>
  <w:num w:numId="37">
    <w:abstractNumId w:val="10"/>
  </w:num>
  <w:num w:numId="38">
    <w:abstractNumId w:val="50"/>
  </w:num>
  <w:num w:numId="39">
    <w:abstractNumId w:val="19"/>
  </w:num>
  <w:num w:numId="40">
    <w:abstractNumId w:val="49"/>
  </w:num>
  <w:num w:numId="41">
    <w:abstractNumId w:val="33"/>
  </w:num>
  <w:num w:numId="42">
    <w:abstractNumId w:val="47"/>
  </w:num>
  <w:num w:numId="43">
    <w:abstractNumId w:val="24"/>
  </w:num>
  <w:num w:numId="44">
    <w:abstractNumId w:val="16"/>
  </w:num>
  <w:num w:numId="45">
    <w:abstractNumId w:val="21"/>
  </w:num>
  <w:num w:numId="46">
    <w:abstractNumId w:val="22"/>
  </w:num>
  <w:num w:numId="47">
    <w:abstractNumId w:val="13"/>
  </w:num>
  <w:num w:numId="48">
    <w:abstractNumId w:val="45"/>
  </w:num>
  <w:num w:numId="49">
    <w:abstractNumId w:val="15"/>
  </w:num>
  <w:num w:numId="50">
    <w:abstractNumId w:val="11"/>
  </w:num>
  <w:num w:numId="51">
    <w:abstractNumId w:val="37"/>
  </w:num>
  <w:num w:numId="52">
    <w:abstractNumId w:val="7"/>
  </w:num>
  <w:num w:numId="53">
    <w:abstractNumId w:val="31"/>
  </w:num>
  <w:num w:numId="54">
    <w:abstractNumId w:val="35"/>
  </w:num>
  <w:num w:numId="55">
    <w:abstractNumId w:val="44"/>
  </w:num>
  <w:num w:numId="56">
    <w:abstractNumId w:val="8"/>
  </w:num>
  <w:num w:numId="57">
    <w:abstractNumId w:val="36"/>
  </w:num>
  <w:num w:numId="58">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A2276"/>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51003"/>
    <w:rsid w:val="00383BEB"/>
    <w:rsid w:val="00396EDA"/>
    <w:rsid w:val="00397F46"/>
    <w:rsid w:val="003A7C7B"/>
    <w:rsid w:val="003C6208"/>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8542A"/>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01CC8"/>
    <w:rsid w:val="008234CC"/>
    <w:rsid w:val="00823AFA"/>
    <w:rsid w:val="00833C7A"/>
    <w:rsid w:val="00836554"/>
    <w:rsid w:val="00846110"/>
    <w:rsid w:val="00856404"/>
    <w:rsid w:val="00896506"/>
    <w:rsid w:val="008A1B60"/>
    <w:rsid w:val="008A76C3"/>
    <w:rsid w:val="008C0F62"/>
    <w:rsid w:val="008D63D1"/>
    <w:rsid w:val="008F04B0"/>
    <w:rsid w:val="008F359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515"/>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65178"/>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TableTextBold0">
    <w:name w:val="TableTextBold"/>
    <w:uiPriority w:val="99"/>
    <w:rsid w:val="00D11515"/>
    <w:pPr>
      <w:spacing w:before="40" w:after="40" w:line="260" w:lineRule="exact"/>
    </w:pPr>
    <w:rPr>
      <w:rFonts w:ascii="Arial" w:eastAsia="Arial" w:hAnsi="Arial" w:cs="Arial"/>
      <w:b/>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16806279">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96701D0C-6C7D-4C9C-B381-847A26D9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35</Pages>
  <Words>7858</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2017-09-19T11:53:00Z</dcterms:created>
  <dcterms:modified xsi:type="dcterms:W3CDTF">2017-09-19T11:53:00Z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