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58DC0" w14:textId="77777777" w:rsidR="00D2140D" w:rsidRPr="00D2140D" w:rsidRDefault="00D2140D" w:rsidP="00D2140D">
      <w:pPr>
        <w:jc w:val="right"/>
        <w:rPr>
          <w:rFonts w:ascii="Arial" w:hAnsi="Arial" w:cs="Arial"/>
          <w:b/>
          <w:sz w:val="24"/>
          <w:szCs w:val="24"/>
        </w:rPr>
      </w:pPr>
      <w:r w:rsidRPr="00D2140D">
        <w:rPr>
          <w:rFonts w:ascii="Arial" w:hAnsi="Arial" w:cs="Arial"/>
          <w:b/>
          <w:sz w:val="24"/>
          <w:szCs w:val="24"/>
        </w:rPr>
        <w:t xml:space="preserve">Department for Work and Pensions </w:t>
      </w:r>
    </w:p>
    <w:p w14:paraId="3A2E9E7C" w14:textId="77777777" w:rsidR="004A0D8A" w:rsidRDefault="004A0D8A" w:rsidP="004A0D8A">
      <w:pPr>
        <w:jc w:val="right"/>
        <w:rPr>
          <w:rFonts w:ascii="Arial" w:hAnsi="Arial" w:cs="Arial"/>
          <w:color w:val="000000"/>
          <w:sz w:val="24"/>
          <w:szCs w:val="24"/>
          <w:lang w:eastAsia="en-GB"/>
        </w:rPr>
      </w:pPr>
      <w:r>
        <w:rPr>
          <w:rFonts w:ascii="Arial" w:hAnsi="Arial" w:cs="Arial"/>
          <w:color w:val="000000"/>
          <w:sz w:val="24"/>
          <w:szCs w:val="24"/>
          <w:lang w:eastAsia="en-GB"/>
        </w:rPr>
        <w:t>Peel Park</w:t>
      </w:r>
    </w:p>
    <w:p w14:paraId="01C945A7" w14:textId="77777777" w:rsidR="004A0D8A" w:rsidRDefault="004A0D8A" w:rsidP="004A0D8A">
      <w:pPr>
        <w:jc w:val="right"/>
        <w:rPr>
          <w:rFonts w:ascii="Arial" w:hAnsi="Arial" w:cs="Arial"/>
          <w:color w:val="000000"/>
          <w:sz w:val="24"/>
          <w:szCs w:val="24"/>
          <w:lang w:eastAsia="en-GB"/>
        </w:rPr>
      </w:pPr>
      <w:r>
        <w:rPr>
          <w:rFonts w:ascii="Arial" w:hAnsi="Arial" w:cs="Arial"/>
          <w:color w:val="000000"/>
          <w:sz w:val="24"/>
          <w:szCs w:val="24"/>
          <w:lang w:eastAsia="en-GB"/>
        </w:rPr>
        <w:t>Brunel Way</w:t>
      </w:r>
    </w:p>
    <w:p w14:paraId="21AAD9E4" w14:textId="77777777" w:rsidR="004A0D8A" w:rsidRDefault="004A0D8A" w:rsidP="004A0D8A">
      <w:pPr>
        <w:jc w:val="right"/>
        <w:rPr>
          <w:rFonts w:ascii="Arial" w:hAnsi="Arial" w:cs="Arial"/>
          <w:color w:val="000000"/>
          <w:sz w:val="24"/>
          <w:szCs w:val="24"/>
          <w:lang w:eastAsia="en-GB"/>
        </w:rPr>
      </w:pPr>
      <w:r>
        <w:rPr>
          <w:rFonts w:ascii="Arial" w:hAnsi="Arial" w:cs="Arial"/>
          <w:color w:val="000000"/>
          <w:sz w:val="24"/>
          <w:szCs w:val="24"/>
          <w:lang w:eastAsia="en-GB"/>
        </w:rPr>
        <w:t>Blackpool</w:t>
      </w:r>
    </w:p>
    <w:p w14:paraId="2D35E23D" w14:textId="11C08494" w:rsidR="00546203" w:rsidRPr="004A0D8A" w:rsidRDefault="004A0D8A" w:rsidP="004A0D8A">
      <w:pPr>
        <w:jc w:val="right"/>
        <w:rPr>
          <w:rFonts w:ascii="Arial" w:hAnsi="Arial" w:cs="Arial"/>
          <w:color w:val="000000"/>
          <w:sz w:val="24"/>
          <w:szCs w:val="24"/>
          <w:lang w:eastAsia="en-GB"/>
        </w:rPr>
      </w:pPr>
      <w:r w:rsidRPr="004A0D8A">
        <w:rPr>
          <w:rFonts w:ascii="Arial" w:hAnsi="Arial" w:cs="Arial"/>
          <w:color w:val="000000"/>
          <w:sz w:val="24"/>
          <w:szCs w:val="24"/>
          <w:lang w:eastAsia="en-GB"/>
        </w:rPr>
        <w:t>FY4 5ES</w:t>
      </w:r>
    </w:p>
    <w:p w14:paraId="522BB295" w14:textId="77777777" w:rsidR="004A0D8A" w:rsidRDefault="004A0D8A" w:rsidP="00D2140D">
      <w:pPr>
        <w:jc w:val="right"/>
        <w:rPr>
          <w:rFonts w:ascii="Arial" w:hAnsi="Arial" w:cs="Arial"/>
          <w:color w:val="000000"/>
          <w:sz w:val="24"/>
          <w:szCs w:val="24"/>
          <w:lang w:eastAsia="en-GB"/>
        </w:rPr>
      </w:pPr>
    </w:p>
    <w:p w14:paraId="0734F77C" w14:textId="2E7B7655" w:rsidR="00546203" w:rsidRPr="00712B49" w:rsidRDefault="00546203" w:rsidP="00D2140D">
      <w:pPr>
        <w:jc w:val="right"/>
        <w:rPr>
          <w:rFonts w:ascii="Arial" w:hAnsi="Arial" w:cs="Arial"/>
          <w:b/>
          <w:sz w:val="24"/>
          <w:szCs w:val="24"/>
          <w:u w:val="single"/>
        </w:rPr>
      </w:pPr>
      <w:r w:rsidRPr="0091539F">
        <w:rPr>
          <w:rFonts w:ascii="Arial" w:hAnsi="Arial" w:cs="Arial"/>
          <w:sz w:val="24"/>
          <w:szCs w:val="24"/>
          <w:lang w:eastAsia="en-GB"/>
        </w:rPr>
        <w:t xml:space="preserve">Date: </w:t>
      </w:r>
      <w:r w:rsidR="00CE707C">
        <w:rPr>
          <w:rFonts w:ascii="Arial" w:hAnsi="Arial" w:cs="Arial"/>
          <w:sz w:val="24"/>
          <w:szCs w:val="24"/>
          <w:lang w:eastAsia="en-GB"/>
        </w:rPr>
        <w:t>15</w:t>
      </w:r>
      <w:r w:rsidR="0091539F" w:rsidRPr="0091539F">
        <w:rPr>
          <w:rFonts w:ascii="Arial" w:hAnsi="Arial" w:cs="Arial"/>
          <w:sz w:val="24"/>
          <w:szCs w:val="24"/>
          <w:lang w:eastAsia="en-GB"/>
        </w:rPr>
        <w:t>th</w:t>
      </w:r>
      <w:r w:rsidR="00A076F9" w:rsidRPr="0091539F">
        <w:rPr>
          <w:rFonts w:ascii="Arial" w:hAnsi="Arial" w:cs="Arial"/>
          <w:sz w:val="24"/>
          <w:szCs w:val="24"/>
          <w:lang w:eastAsia="en-GB"/>
        </w:rPr>
        <w:t xml:space="preserve"> March </w:t>
      </w:r>
      <w:r w:rsidR="00A076F9" w:rsidRPr="00A076F9">
        <w:rPr>
          <w:rFonts w:ascii="Arial" w:hAnsi="Arial" w:cs="Arial"/>
          <w:color w:val="000000"/>
          <w:sz w:val="24"/>
          <w:szCs w:val="24"/>
          <w:lang w:eastAsia="en-GB"/>
        </w:rPr>
        <w:t>2019</w:t>
      </w:r>
    </w:p>
    <w:p w14:paraId="160701CD" w14:textId="77777777" w:rsidR="00D2140D" w:rsidRDefault="00D2140D" w:rsidP="003E253E">
      <w:pPr>
        <w:rPr>
          <w:rFonts w:ascii="Arial" w:hAnsi="Arial" w:cs="Arial"/>
          <w:b/>
          <w:sz w:val="24"/>
          <w:szCs w:val="24"/>
          <w:u w:val="single"/>
        </w:rPr>
      </w:pPr>
    </w:p>
    <w:p w14:paraId="25DCE054" w14:textId="533EB7CC" w:rsidR="00BF6FE2" w:rsidRPr="00BF6FE2" w:rsidRDefault="004A0D8A" w:rsidP="00541903">
      <w:pPr>
        <w:jc w:val="center"/>
        <w:rPr>
          <w:rFonts w:ascii="Arial" w:hAnsi="Arial" w:cs="Arial"/>
          <w:b/>
          <w:sz w:val="24"/>
          <w:szCs w:val="24"/>
          <w:u w:val="single"/>
        </w:rPr>
      </w:pPr>
      <w:r>
        <w:rPr>
          <w:rFonts w:ascii="Arial" w:hAnsi="Arial" w:cs="Arial"/>
          <w:b/>
          <w:sz w:val="24"/>
          <w:szCs w:val="24"/>
          <w:u w:val="single"/>
        </w:rPr>
        <w:t xml:space="preserve">Early </w:t>
      </w:r>
      <w:r w:rsidR="00815732">
        <w:rPr>
          <w:rFonts w:ascii="Arial" w:hAnsi="Arial" w:cs="Arial"/>
          <w:b/>
          <w:sz w:val="24"/>
          <w:szCs w:val="24"/>
          <w:u w:val="single"/>
        </w:rPr>
        <w:t xml:space="preserve">Market </w:t>
      </w:r>
      <w:r>
        <w:rPr>
          <w:rFonts w:ascii="Arial" w:hAnsi="Arial" w:cs="Arial"/>
          <w:b/>
          <w:sz w:val="24"/>
          <w:szCs w:val="24"/>
          <w:u w:val="single"/>
        </w:rPr>
        <w:t xml:space="preserve">Engagement Notice.  DWP Dynamic Trust </w:t>
      </w:r>
      <w:r w:rsidR="004D1E67">
        <w:rPr>
          <w:rFonts w:ascii="Arial" w:hAnsi="Arial" w:cs="Arial"/>
          <w:b/>
          <w:sz w:val="24"/>
          <w:szCs w:val="24"/>
          <w:u w:val="single"/>
        </w:rPr>
        <w:t>Hub</w:t>
      </w:r>
      <w:r w:rsidR="00815732">
        <w:rPr>
          <w:rFonts w:ascii="Arial" w:hAnsi="Arial" w:cs="Arial"/>
          <w:b/>
          <w:sz w:val="24"/>
          <w:szCs w:val="24"/>
          <w:u w:val="single"/>
        </w:rPr>
        <w:t>.</w:t>
      </w:r>
    </w:p>
    <w:p w14:paraId="2596BB9A" w14:textId="77777777" w:rsidR="00ED4752" w:rsidRDefault="00ED4752" w:rsidP="006304E4">
      <w:pPr>
        <w:rPr>
          <w:rFonts w:ascii="Arial" w:hAnsi="Arial" w:cs="Arial"/>
          <w:sz w:val="24"/>
          <w:szCs w:val="24"/>
        </w:rPr>
      </w:pPr>
    </w:p>
    <w:p w14:paraId="69B18447" w14:textId="77777777" w:rsidR="004A0D8A" w:rsidRDefault="004A0D8A" w:rsidP="00131CB3">
      <w:pPr>
        <w:rPr>
          <w:rFonts w:ascii="Arial" w:hAnsi="Arial" w:cs="Arial"/>
          <w:sz w:val="24"/>
          <w:szCs w:val="24"/>
        </w:rPr>
      </w:pPr>
    </w:p>
    <w:p w14:paraId="22A7C88E" w14:textId="1AAFEA05" w:rsidR="00131CB3" w:rsidRDefault="00131CB3" w:rsidP="00131CB3">
      <w:pPr>
        <w:rPr>
          <w:rFonts w:ascii="Arial" w:hAnsi="Arial" w:cs="Arial"/>
          <w:sz w:val="24"/>
          <w:szCs w:val="24"/>
        </w:rPr>
      </w:pPr>
      <w:r w:rsidRPr="00131CB3">
        <w:rPr>
          <w:rFonts w:ascii="Arial" w:hAnsi="Arial" w:cs="Arial"/>
          <w:sz w:val="24"/>
          <w:szCs w:val="24"/>
        </w:rPr>
        <w:t xml:space="preserve">The Department for Work and Pensions (DWP) is responsible for welfare, pensions and child maintenance policy. </w:t>
      </w:r>
      <w:r>
        <w:rPr>
          <w:rFonts w:ascii="Arial" w:hAnsi="Arial" w:cs="Arial"/>
          <w:sz w:val="24"/>
          <w:szCs w:val="24"/>
        </w:rPr>
        <w:t xml:space="preserve"> </w:t>
      </w:r>
      <w:r w:rsidRPr="00131CB3">
        <w:rPr>
          <w:rFonts w:ascii="Arial" w:hAnsi="Arial" w:cs="Arial"/>
          <w:sz w:val="24"/>
          <w:szCs w:val="24"/>
        </w:rPr>
        <w:t>As the UK’s bigge</w:t>
      </w:r>
      <w:r>
        <w:rPr>
          <w:rFonts w:ascii="Arial" w:hAnsi="Arial" w:cs="Arial"/>
          <w:sz w:val="24"/>
          <w:szCs w:val="24"/>
        </w:rPr>
        <w:t>st public service department we administer</w:t>
      </w:r>
      <w:r w:rsidRPr="00131CB3">
        <w:rPr>
          <w:rFonts w:ascii="Arial" w:hAnsi="Arial" w:cs="Arial"/>
          <w:sz w:val="24"/>
          <w:szCs w:val="24"/>
        </w:rPr>
        <w:t xml:space="preserve"> the State Pension and a range of working age, disability and ill health benefits to around 20 mi</w:t>
      </w:r>
      <w:r>
        <w:rPr>
          <w:rFonts w:ascii="Arial" w:hAnsi="Arial" w:cs="Arial"/>
          <w:sz w:val="24"/>
          <w:szCs w:val="24"/>
        </w:rPr>
        <w:t>llion claimants and customers.</w:t>
      </w:r>
    </w:p>
    <w:p w14:paraId="19C5BF9D" w14:textId="77777777" w:rsidR="00131CB3" w:rsidRDefault="00131CB3" w:rsidP="00131CB3">
      <w:pPr>
        <w:rPr>
          <w:rFonts w:ascii="Arial" w:hAnsi="Arial" w:cs="Arial"/>
          <w:sz w:val="24"/>
          <w:szCs w:val="24"/>
        </w:rPr>
      </w:pPr>
    </w:p>
    <w:p w14:paraId="52549D36" w14:textId="77777777" w:rsidR="00131CB3" w:rsidRPr="00131CB3" w:rsidRDefault="00131CB3" w:rsidP="00131CB3">
      <w:pPr>
        <w:rPr>
          <w:rFonts w:ascii="Arial" w:hAnsi="Arial" w:cs="Arial"/>
          <w:sz w:val="24"/>
          <w:szCs w:val="24"/>
        </w:rPr>
      </w:pPr>
      <w:r w:rsidRPr="00131CB3">
        <w:rPr>
          <w:rFonts w:ascii="Arial" w:hAnsi="Arial" w:cs="Arial"/>
          <w:sz w:val="24"/>
          <w:szCs w:val="24"/>
        </w:rPr>
        <w:t>We are responsible for understanding and dealing with the causes of poverty rather than its symptoms, encouraging people to work and making work pay, encouraging disabled people and those with ill health to work and be independent, providing a decent income for people of pension age and promoting saving for retirement, providing value for money and reducing levels of fraud and error and reducing work-related death and serious injury in workplaces through the Health and Safety Executive.</w:t>
      </w:r>
    </w:p>
    <w:p w14:paraId="131FFCC8" w14:textId="77777777" w:rsidR="00131CB3" w:rsidRPr="00131CB3" w:rsidRDefault="00131CB3" w:rsidP="00131CB3">
      <w:pPr>
        <w:rPr>
          <w:rFonts w:ascii="Arial" w:hAnsi="Arial" w:cs="Arial"/>
          <w:sz w:val="24"/>
          <w:szCs w:val="24"/>
        </w:rPr>
      </w:pPr>
    </w:p>
    <w:p w14:paraId="4D31482B" w14:textId="77777777" w:rsidR="00131CB3" w:rsidRPr="00131CB3" w:rsidRDefault="00131CB3" w:rsidP="00131CB3">
      <w:pPr>
        <w:rPr>
          <w:rFonts w:ascii="Arial" w:hAnsi="Arial" w:cs="Arial"/>
          <w:sz w:val="24"/>
          <w:szCs w:val="24"/>
        </w:rPr>
      </w:pPr>
      <w:r w:rsidRPr="00131CB3">
        <w:rPr>
          <w:rFonts w:ascii="Arial" w:hAnsi="Arial" w:cs="Arial"/>
          <w:sz w:val="24"/>
          <w:szCs w:val="24"/>
        </w:rPr>
        <w:t>Our priorities are to:</w:t>
      </w:r>
    </w:p>
    <w:p w14:paraId="76AA6658" w14:textId="77777777" w:rsidR="00131CB3" w:rsidRPr="00131CB3" w:rsidRDefault="00131CB3" w:rsidP="00131CB3">
      <w:pPr>
        <w:rPr>
          <w:rFonts w:ascii="Arial" w:hAnsi="Arial" w:cs="Arial"/>
          <w:sz w:val="24"/>
          <w:szCs w:val="24"/>
        </w:rPr>
      </w:pPr>
    </w:p>
    <w:p w14:paraId="02253E2D" w14:textId="6F11AB2D" w:rsidR="00131CB3" w:rsidRPr="00131CB3" w:rsidRDefault="00131CB3" w:rsidP="00131CB3">
      <w:pPr>
        <w:pStyle w:val="ListParagraph"/>
        <w:numPr>
          <w:ilvl w:val="0"/>
          <w:numId w:val="5"/>
        </w:numPr>
        <w:rPr>
          <w:rFonts w:ascii="Arial" w:hAnsi="Arial" w:cs="Arial"/>
          <w:sz w:val="24"/>
          <w:szCs w:val="24"/>
        </w:rPr>
      </w:pPr>
      <w:r w:rsidRPr="00131CB3">
        <w:rPr>
          <w:rFonts w:ascii="Arial" w:hAnsi="Arial" w:cs="Arial"/>
          <w:sz w:val="24"/>
          <w:szCs w:val="24"/>
        </w:rPr>
        <w:t>run an effective welfare system that enables people to achieve financial independence by providing assistance and guidance into employment</w:t>
      </w:r>
      <w:r w:rsidR="00CE707C">
        <w:rPr>
          <w:rFonts w:ascii="Arial" w:hAnsi="Arial" w:cs="Arial"/>
          <w:sz w:val="24"/>
          <w:szCs w:val="24"/>
        </w:rPr>
        <w:t>;</w:t>
      </w:r>
    </w:p>
    <w:p w14:paraId="69CEEFBB" w14:textId="06C45BFA" w:rsidR="00131CB3" w:rsidRPr="00131CB3" w:rsidRDefault="00131CB3" w:rsidP="00131CB3">
      <w:pPr>
        <w:pStyle w:val="ListParagraph"/>
        <w:numPr>
          <w:ilvl w:val="0"/>
          <w:numId w:val="5"/>
        </w:numPr>
        <w:rPr>
          <w:rFonts w:ascii="Arial" w:hAnsi="Arial" w:cs="Arial"/>
          <w:sz w:val="24"/>
          <w:szCs w:val="24"/>
        </w:rPr>
      </w:pPr>
      <w:r w:rsidRPr="00131CB3">
        <w:rPr>
          <w:rFonts w:ascii="Arial" w:hAnsi="Arial" w:cs="Arial"/>
          <w:sz w:val="24"/>
          <w:szCs w:val="24"/>
        </w:rPr>
        <w:t>increase saving for, and security in, later life</w:t>
      </w:r>
      <w:r w:rsidR="00CE707C">
        <w:rPr>
          <w:rFonts w:ascii="Arial" w:hAnsi="Arial" w:cs="Arial"/>
          <w:sz w:val="24"/>
          <w:szCs w:val="24"/>
        </w:rPr>
        <w:t>;</w:t>
      </w:r>
    </w:p>
    <w:p w14:paraId="42CFB94B" w14:textId="0D41D21C" w:rsidR="00131CB3" w:rsidRPr="00131CB3" w:rsidRDefault="00131CB3" w:rsidP="00131CB3">
      <w:pPr>
        <w:pStyle w:val="ListParagraph"/>
        <w:numPr>
          <w:ilvl w:val="0"/>
          <w:numId w:val="5"/>
        </w:numPr>
        <w:rPr>
          <w:rFonts w:ascii="Arial" w:hAnsi="Arial" w:cs="Arial"/>
          <w:sz w:val="24"/>
          <w:szCs w:val="24"/>
        </w:rPr>
      </w:pPr>
      <w:r w:rsidRPr="00131CB3">
        <w:rPr>
          <w:rFonts w:ascii="Arial" w:hAnsi="Arial" w:cs="Arial"/>
          <w:sz w:val="24"/>
          <w:szCs w:val="24"/>
        </w:rPr>
        <w:t>create a fair and affordable welfare system which improves the life chances of children</w:t>
      </w:r>
      <w:r w:rsidR="00CE707C">
        <w:rPr>
          <w:rFonts w:ascii="Arial" w:hAnsi="Arial" w:cs="Arial"/>
          <w:sz w:val="24"/>
          <w:szCs w:val="24"/>
        </w:rPr>
        <w:t>;</w:t>
      </w:r>
    </w:p>
    <w:p w14:paraId="3604535B" w14:textId="58CE1074" w:rsidR="00131CB3" w:rsidRPr="00131CB3" w:rsidRDefault="00131CB3" w:rsidP="00131CB3">
      <w:pPr>
        <w:pStyle w:val="ListParagraph"/>
        <w:numPr>
          <w:ilvl w:val="0"/>
          <w:numId w:val="5"/>
        </w:numPr>
        <w:rPr>
          <w:rFonts w:ascii="Arial" w:hAnsi="Arial" w:cs="Arial"/>
          <w:sz w:val="24"/>
          <w:szCs w:val="24"/>
        </w:rPr>
      </w:pPr>
      <w:r w:rsidRPr="00131CB3">
        <w:rPr>
          <w:rFonts w:ascii="Arial" w:hAnsi="Arial" w:cs="Arial"/>
          <w:sz w:val="24"/>
          <w:szCs w:val="24"/>
        </w:rPr>
        <w:t>deliver outstanding services to our customers and claimants</w:t>
      </w:r>
      <w:r w:rsidR="00CE707C">
        <w:rPr>
          <w:rFonts w:ascii="Arial" w:hAnsi="Arial" w:cs="Arial"/>
          <w:sz w:val="24"/>
          <w:szCs w:val="24"/>
        </w:rPr>
        <w:t>;</w:t>
      </w:r>
    </w:p>
    <w:p w14:paraId="5EFE8D1E" w14:textId="72D7285A" w:rsidR="00131CB3" w:rsidRPr="00131CB3" w:rsidRDefault="00131CB3" w:rsidP="00131CB3">
      <w:pPr>
        <w:pStyle w:val="ListParagraph"/>
        <w:numPr>
          <w:ilvl w:val="0"/>
          <w:numId w:val="5"/>
        </w:numPr>
        <w:rPr>
          <w:rFonts w:ascii="Arial" w:hAnsi="Arial" w:cs="Arial"/>
          <w:sz w:val="24"/>
          <w:szCs w:val="24"/>
        </w:rPr>
      </w:pPr>
      <w:r w:rsidRPr="00131CB3">
        <w:rPr>
          <w:rFonts w:ascii="Arial" w:hAnsi="Arial" w:cs="Arial"/>
          <w:sz w:val="24"/>
          <w:szCs w:val="24"/>
        </w:rPr>
        <w:t>deliver efficiently: transform the way we deliver our services to reduce costs and increase efficiency</w:t>
      </w:r>
      <w:r w:rsidR="00CE707C">
        <w:rPr>
          <w:rFonts w:ascii="Arial" w:hAnsi="Arial" w:cs="Arial"/>
          <w:sz w:val="24"/>
          <w:szCs w:val="24"/>
        </w:rPr>
        <w:t>.</w:t>
      </w:r>
    </w:p>
    <w:p w14:paraId="6678A78A" w14:textId="77777777" w:rsidR="00ED4752" w:rsidRDefault="00ED4752" w:rsidP="006304E4">
      <w:pPr>
        <w:rPr>
          <w:rFonts w:ascii="Arial" w:hAnsi="Arial" w:cs="Arial"/>
          <w:sz w:val="24"/>
          <w:szCs w:val="24"/>
        </w:rPr>
      </w:pPr>
    </w:p>
    <w:p w14:paraId="3DC04BB3" w14:textId="77777777" w:rsidR="00C451C4" w:rsidRDefault="00541903" w:rsidP="006304E4">
      <w:pPr>
        <w:rPr>
          <w:rFonts w:ascii="Arial" w:hAnsi="Arial" w:cs="Arial"/>
          <w:sz w:val="24"/>
          <w:szCs w:val="24"/>
        </w:rPr>
      </w:pPr>
      <w:r>
        <w:rPr>
          <w:rFonts w:ascii="Arial" w:hAnsi="Arial" w:cs="Arial"/>
          <w:sz w:val="24"/>
          <w:szCs w:val="24"/>
        </w:rPr>
        <w:t xml:space="preserve">DWP Digital Group </w:t>
      </w:r>
      <w:r w:rsidR="00131CB3" w:rsidRPr="00131CB3">
        <w:rPr>
          <w:rFonts w:ascii="Arial" w:hAnsi="Arial" w:cs="Arial"/>
          <w:sz w:val="24"/>
          <w:szCs w:val="24"/>
          <w:lang w:val="en"/>
        </w:rPr>
        <w:t>operate</w:t>
      </w:r>
      <w:r>
        <w:rPr>
          <w:rFonts w:ascii="Arial" w:hAnsi="Arial" w:cs="Arial"/>
          <w:sz w:val="24"/>
          <w:szCs w:val="24"/>
          <w:lang w:val="en"/>
        </w:rPr>
        <w:t>s</w:t>
      </w:r>
      <w:r w:rsidR="00131CB3" w:rsidRPr="00131CB3">
        <w:rPr>
          <w:rFonts w:ascii="Arial" w:hAnsi="Arial" w:cs="Arial"/>
          <w:sz w:val="24"/>
          <w:szCs w:val="24"/>
          <w:lang w:val="en"/>
        </w:rPr>
        <w:t xml:space="preserve"> on a scale unrivalled almost anywhere.</w:t>
      </w:r>
      <w:r>
        <w:rPr>
          <w:rFonts w:ascii="Arial" w:hAnsi="Arial" w:cs="Arial"/>
          <w:sz w:val="24"/>
          <w:szCs w:val="24"/>
        </w:rPr>
        <w:t xml:space="preserve">  </w:t>
      </w:r>
      <w:r w:rsidR="00C451C4" w:rsidRPr="00C451C4">
        <w:rPr>
          <w:rFonts w:ascii="Arial" w:hAnsi="Arial" w:cs="Arial"/>
          <w:sz w:val="24"/>
          <w:szCs w:val="24"/>
        </w:rPr>
        <w:t>Our services touch the lives of almost ev</w:t>
      </w:r>
      <w:r>
        <w:rPr>
          <w:rFonts w:ascii="Arial" w:hAnsi="Arial" w:cs="Arial"/>
          <w:sz w:val="24"/>
          <w:szCs w:val="24"/>
        </w:rPr>
        <w:t xml:space="preserve">eryone in the UK at some point.  </w:t>
      </w:r>
      <w:r w:rsidR="00C451C4" w:rsidRPr="00C451C4">
        <w:rPr>
          <w:rFonts w:ascii="Arial" w:hAnsi="Arial" w:cs="Arial"/>
          <w:sz w:val="24"/>
          <w:szCs w:val="24"/>
        </w:rPr>
        <w:t>Our IT systems manage 7.35 million benefit claims each year, paying £165 billion in benefits and pensions.</w:t>
      </w:r>
    </w:p>
    <w:p w14:paraId="1524E174" w14:textId="77777777" w:rsidR="00C451C4" w:rsidRDefault="00C451C4" w:rsidP="006304E4">
      <w:pPr>
        <w:rPr>
          <w:rFonts w:ascii="Arial" w:hAnsi="Arial" w:cs="Arial"/>
          <w:sz w:val="24"/>
          <w:szCs w:val="24"/>
        </w:rPr>
      </w:pPr>
    </w:p>
    <w:p w14:paraId="20A9AC32" w14:textId="089F0A0B" w:rsidR="004A0D8A" w:rsidRDefault="004D09E9" w:rsidP="004D09E9">
      <w:pPr>
        <w:rPr>
          <w:rFonts w:ascii="Arial" w:hAnsi="Arial" w:cs="Arial"/>
          <w:sz w:val="24"/>
          <w:szCs w:val="24"/>
        </w:rPr>
      </w:pPr>
      <w:r>
        <w:rPr>
          <w:rFonts w:ascii="Arial" w:hAnsi="Arial" w:cs="Arial"/>
          <w:sz w:val="24"/>
          <w:szCs w:val="24"/>
        </w:rPr>
        <w:t>I</w:t>
      </w:r>
      <w:r w:rsidRPr="004D09E9">
        <w:rPr>
          <w:rFonts w:ascii="Arial" w:hAnsi="Arial" w:cs="Arial"/>
          <w:sz w:val="24"/>
          <w:szCs w:val="24"/>
        </w:rPr>
        <w:t>n common</w:t>
      </w:r>
      <w:r>
        <w:rPr>
          <w:rFonts w:ascii="Arial" w:hAnsi="Arial" w:cs="Arial"/>
          <w:sz w:val="24"/>
          <w:szCs w:val="24"/>
        </w:rPr>
        <w:t xml:space="preserve"> with other areas of government we are actively seeking to improve our </w:t>
      </w:r>
      <w:r w:rsidRPr="004D09E9">
        <w:rPr>
          <w:rFonts w:ascii="Arial" w:hAnsi="Arial" w:cs="Arial"/>
          <w:sz w:val="24"/>
          <w:szCs w:val="24"/>
        </w:rPr>
        <w:t>dig</w:t>
      </w:r>
      <w:r>
        <w:rPr>
          <w:rFonts w:ascii="Arial" w:hAnsi="Arial" w:cs="Arial"/>
          <w:sz w:val="24"/>
          <w:szCs w:val="24"/>
        </w:rPr>
        <w:t xml:space="preserve">ital offerings to citizens and are </w:t>
      </w:r>
      <w:r w:rsidRPr="004D09E9">
        <w:rPr>
          <w:rFonts w:ascii="Arial" w:hAnsi="Arial" w:cs="Arial"/>
          <w:sz w:val="24"/>
          <w:szCs w:val="24"/>
        </w:rPr>
        <w:t>intending to build a common plat</w:t>
      </w:r>
      <w:r>
        <w:rPr>
          <w:rFonts w:ascii="Arial" w:hAnsi="Arial" w:cs="Arial"/>
          <w:sz w:val="24"/>
          <w:szCs w:val="24"/>
        </w:rPr>
        <w:t>form around Identity and Trust.  T</w:t>
      </w:r>
      <w:r w:rsidRPr="004D09E9">
        <w:rPr>
          <w:rFonts w:ascii="Arial" w:hAnsi="Arial" w:cs="Arial"/>
          <w:sz w:val="24"/>
          <w:szCs w:val="24"/>
        </w:rPr>
        <w:t>his platform will consist of a number of continuously evolving solutions that support the core capabilities that</w:t>
      </w:r>
      <w:r>
        <w:rPr>
          <w:rFonts w:ascii="Arial" w:hAnsi="Arial" w:cs="Arial"/>
          <w:sz w:val="24"/>
          <w:szCs w:val="24"/>
        </w:rPr>
        <w:t xml:space="preserve"> the Department feels it needs.  This is not envisaged as </w:t>
      </w:r>
      <w:r w:rsidRPr="004D09E9">
        <w:rPr>
          <w:rFonts w:ascii="Arial" w:hAnsi="Arial" w:cs="Arial"/>
          <w:sz w:val="24"/>
          <w:szCs w:val="24"/>
        </w:rPr>
        <w:t>a single solution</w:t>
      </w:r>
      <w:r>
        <w:rPr>
          <w:rFonts w:ascii="Arial" w:hAnsi="Arial" w:cs="Arial"/>
          <w:sz w:val="24"/>
          <w:szCs w:val="24"/>
        </w:rPr>
        <w:t>,</w:t>
      </w:r>
      <w:r w:rsidRPr="004D09E9">
        <w:rPr>
          <w:rFonts w:ascii="Arial" w:hAnsi="Arial" w:cs="Arial"/>
          <w:sz w:val="24"/>
          <w:szCs w:val="24"/>
        </w:rPr>
        <w:t xml:space="preserve"> but rather a collection of interoperable services that are linked by common c</w:t>
      </w:r>
      <w:r w:rsidR="00BA0050">
        <w:rPr>
          <w:rFonts w:ascii="Arial" w:hAnsi="Arial" w:cs="Arial"/>
          <w:sz w:val="24"/>
          <w:szCs w:val="24"/>
        </w:rPr>
        <w:t>oncepts, standards and purpose.</w:t>
      </w:r>
    </w:p>
    <w:p w14:paraId="49D50022" w14:textId="0091447E" w:rsidR="004A0D8A" w:rsidRDefault="004A0D8A" w:rsidP="004D09E9">
      <w:pPr>
        <w:rPr>
          <w:rFonts w:ascii="Arial" w:hAnsi="Arial" w:cs="Arial"/>
          <w:sz w:val="24"/>
          <w:szCs w:val="24"/>
        </w:rPr>
      </w:pPr>
    </w:p>
    <w:p w14:paraId="47768ABE" w14:textId="61864185" w:rsidR="004D09E9" w:rsidRDefault="004D09E9" w:rsidP="004D09E9">
      <w:pPr>
        <w:rPr>
          <w:rFonts w:ascii="Arial" w:hAnsi="Arial" w:cs="Arial"/>
          <w:sz w:val="24"/>
          <w:szCs w:val="24"/>
        </w:rPr>
      </w:pPr>
      <w:r>
        <w:rPr>
          <w:rFonts w:ascii="Arial" w:hAnsi="Arial" w:cs="Arial"/>
          <w:sz w:val="24"/>
          <w:szCs w:val="24"/>
        </w:rPr>
        <w:t>T</w:t>
      </w:r>
      <w:r w:rsidRPr="004D09E9">
        <w:rPr>
          <w:rFonts w:ascii="Arial" w:hAnsi="Arial" w:cs="Arial"/>
          <w:sz w:val="24"/>
          <w:szCs w:val="24"/>
        </w:rPr>
        <w:t xml:space="preserve">his </w:t>
      </w:r>
      <w:r>
        <w:rPr>
          <w:rFonts w:ascii="Arial" w:hAnsi="Arial" w:cs="Arial"/>
          <w:sz w:val="24"/>
          <w:szCs w:val="24"/>
        </w:rPr>
        <w:t xml:space="preserve">will be known as </w:t>
      </w:r>
      <w:r w:rsidRPr="004D09E9">
        <w:rPr>
          <w:rFonts w:ascii="Arial" w:hAnsi="Arial" w:cs="Arial"/>
          <w:sz w:val="24"/>
          <w:szCs w:val="24"/>
        </w:rPr>
        <w:t>t</w:t>
      </w:r>
      <w:r w:rsidR="004D1E67">
        <w:rPr>
          <w:rFonts w:ascii="Arial" w:hAnsi="Arial" w:cs="Arial"/>
          <w:sz w:val="24"/>
          <w:szCs w:val="24"/>
        </w:rPr>
        <w:t>he Dynamic Trust Hub (DTH</w:t>
      </w:r>
      <w:r>
        <w:rPr>
          <w:rFonts w:ascii="Arial" w:hAnsi="Arial" w:cs="Arial"/>
          <w:sz w:val="24"/>
          <w:szCs w:val="24"/>
        </w:rPr>
        <w:t>) and i</w:t>
      </w:r>
      <w:r w:rsidRPr="004D09E9">
        <w:rPr>
          <w:rFonts w:ascii="Arial" w:hAnsi="Arial" w:cs="Arial"/>
          <w:sz w:val="24"/>
          <w:szCs w:val="24"/>
        </w:rPr>
        <w:t>t is anticipat</w:t>
      </w:r>
      <w:r w:rsidR="004D1E67">
        <w:rPr>
          <w:rFonts w:ascii="Arial" w:hAnsi="Arial" w:cs="Arial"/>
          <w:sz w:val="24"/>
          <w:szCs w:val="24"/>
        </w:rPr>
        <w:t>ed that the DTH</w:t>
      </w:r>
      <w:r>
        <w:rPr>
          <w:rFonts w:ascii="Arial" w:hAnsi="Arial" w:cs="Arial"/>
          <w:sz w:val="24"/>
          <w:szCs w:val="24"/>
        </w:rPr>
        <w:t xml:space="preserve"> will consist </w:t>
      </w:r>
      <w:r w:rsidRPr="004D09E9">
        <w:rPr>
          <w:rFonts w:ascii="Arial" w:hAnsi="Arial" w:cs="Arial"/>
          <w:sz w:val="24"/>
          <w:szCs w:val="24"/>
        </w:rPr>
        <w:t>of the following capabilities:</w:t>
      </w:r>
    </w:p>
    <w:p w14:paraId="5CDDC730" w14:textId="77777777" w:rsidR="00BA0050" w:rsidRDefault="00BA0050" w:rsidP="004D09E9">
      <w:pPr>
        <w:rPr>
          <w:rFonts w:ascii="Arial" w:hAnsi="Arial" w:cs="Arial"/>
          <w:sz w:val="24"/>
          <w:szCs w:val="24"/>
        </w:rPr>
      </w:pPr>
    </w:p>
    <w:p w14:paraId="3E960DE7" w14:textId="77777777" w:rsidR="004D09E9" w:rsidRPr="004D09E9" w:rsidRDefault="004D09E9" w:rsidP="004D09E9">
      <w:pPr>
        <w:rPr>
          <w:rFonts w:ascii="Arial" w:hAnsi="Arial" w:cs="Arial"/>
          <w:sz w:val="24"/>
          <w:szCs w:val="24"/>
        </w:rPr>
      </w:pPr>
    </w:p>
    <w:p w14:paraId="29B56D99" w14:textId="12F87299" w:rsidR="00500B96" w:rsidRPr="004D09E9" w:rsidRDefault="00BA0050" w:rsidP="004D09E9">
      <w:pPr>
        <w:numPr>
          <w:ilvl w:val="0"/>
          <w:numId w:val="6"/>
        </w:numPr>
        <w:rPr>
          <w:rFonts w:ascii="Arial" w:hAnsi="Arial" w:cs="Arial"/>
          <w:sz w:val="24"/>
          <w:szCs w:val="24"/>
        </w:rPr>
      </w:pPr>
      <w:r w:rsidRPr="004D09E9">
        <w:rPr>
          <w:rFonts w:ascii="Arial" w:hAnsi="Arial" w:cs="Arial"/>
          <w:sz w:val="24"/>
          <w:szCs w:val="24"/>
        </w:rPr>
        <w:t>Credentials and Authorisation</w:t>
      </w:r>
      <w:r w:rsidR="00CE707C">
        <w:rPr>
          <w:rFonts w:ascii="Arial" w:hAnsi="Arial" w:cs="Arial"/>
          <w:sz w:val="24"/>
          <w:szCs w:val="24"/>
        </w:rPr>
        <w:t>;</w:t>
      </w:r>
    </w:p>
    <w:p w14:paraId="303A4081" w14:textId="4F467530" w:rsidR="00500B96" w:rsidRPr="004D09E9" w:rsidRDefault="00BA0050" w:rsidP="004D09E9">
      <w:pPr>
        <w:numPr>
          <w:ilvl w:val="0"/>
          <w:numId w:val="6"/>
        </w:numPr>
        <w:rPr>
          <w:rFonts w:ascii="Arial" w:hAnsi="Arial" w:cs="Arial"/>
          <w:sz w:val="24"/>
          <w:szCs w:val="24"/>
        </w:rPr>
      </w:pPr>
      <w:r w:rsidRPr="004D09E9">
        <w:rPr>
          <w:rFonts w:ascii="Arial" w:hAnsi="Arial" w:cs="Arial"/>
          <w:sz w:val="24"/>
          <w:szCs w:val="24"/>
        </w:rPr>
        <w:t>Identity Verification</w:t>
      </w:r>
      <w:r w:rsidR="00CE707C">
        <w:rPr>
          <w:rFonts w:ascii="Arial" w:hAnsi="Arial" w:cs="Arial"/>
          <w:sz w:val="24"/>
          <w:szCs w:val="24"/>
        </w:rPr>
        <w:t>;</w:t>
      </w:r>
    </w:p>
    <w:p w14:paraId="45C95800" w14:textId="736AD567" w:rsidR="00500B96" w:rsidRPr="004D09E9" w:rsidRDefault="00BA0050" w:rsidP="004D09E9">
      <w:pPr>
        <w:numPr>
          <w:ilvl w:val="0"/>
          <w:numId w:val="6"/>
        </w:numPr>
        <w:rPr>
          <w:rFonts w:ascii="Arial" w:hAnsi="Arial" w:cs="Arial"/>
          <w:sz w:val="24"/>
          <w:szCs w:val="24"/>
        </w:rPr>
      </w:pPr>
      <w:r w:rsidRPr="004D09E9">
        <w:rPr>
          <w:rFonts w:ascii="Arial" w:hAnsi="Arial" w:cs="Arial"/>
          <w:sz w:val="24"/>
          <w:szCs w:val="24"/>
        </w:rPr>
        <w:t>Transaction Monitoring and Behavioural Risking</w:t>
      </w:r>
      <w:r w:rsidR="00CE707C">
        <w:rPr>
          <w:rFonts w:ascii="Arial" w:hAnsi="Arial" w:cs="Arial"/>
          <w:sz w:val="24"/>
          <w:szCs w:val="24"/>
        </w:rPr>
        <w:t>;</w:t>
      </w:r>
    </w:p>
    <w:p w14:paraId="5841C83F" w14:textId="09E970E1" w:rsidR="00500B96" w:rsidRPr="004D09E9" w:rsidRDefault="00A076F9" w:rsidP="004D09E9">
      <w:pPr>
        <w:numPr>
          <w:ilvl w:val="0"/>
          <w:numId w:val="6"/>
        </w:numPr>
        <w:rPr>
          <w:rFonts w:ascii="Arial" w:hAnsi="Arial" w:cs="Arial"/>
          <w:sz w:val="24"/>
          <w:szCs w:val="24"/>
        </w:rPr>
      </w:pPr>
      <w:r>
        <w:rPr>
          <w:rFonts w:ascii="Arial" w:hAnsi="Arial" w:cs="Arial"/>
          <w:sz w:val="24"/>
          <w:szCs w:val="24"/>
        </w:rPr>
        <w:t>Fra</w:t>
      </w:r>
      <w:r w:rsidR="00BA0050" w:rsidRPr="004D09E9">
        <w:rPr>
          <w:rFonts w:ascii="Arial" w:hAnsi="Arial" w:cs="Arial"/>
          <w:sz w:val="24"/>
          <w:szCs w:val="24"/>
        </w:rPr>
        <w:t>ud and Error Prevention</w:t>
      </w:r>
      <w:r w:rsidR="00CE707C">
        <w:rPr>
          <w:rFonts w:ascii="Arial" w:hAnsi="Arial" w:cs="Arial"/>
          <w:sz w:val="24"/>
          <w:szCs w:val="24"/>
        </w:rPr>
        <w:t>.</w:t>
      </w:r>
    </w:p>
    <w:p w14:paraId="5B1E78CE" w14:textId="77777777" w:rsidR="004D09E9" w:rsidRDefault="004D09E9" w:rsidP="00541903">
      <w:pPr>
        <w:rPr>
          <w:rFonts w:ascii="Arial" w:hAnsi="Arial" w:cs="Arial"/>
          <w:sz w:val="24"/>
          <w:szCs w:val="24"/>
        </w:rPr>
      </w:pPr>
    </w:p>
    <w:p w14:paraId="5343E0C7" w14:textId="6E6CE4C4" w:rsidR="00815732" w:rsidRPr="00815732" w:rsidRDefault="00815732" w:rsidP="00815732">
      <w:pPr>
        <w:rPr>
          <w:rFonts w:ascii="Arial" w:hAnsi="Arial" w:cs="Arial"/>
          <w:sz w:val="24"/>
          <w:szCs w:val="24"/>
        </w:rPr>
      </w:pPr>
      <w:r>
        <w:rPr>
          <w:rFonts w:ascii="Arial" w:hAnsi="Arial" w:cs="Arial"/>
          <w:sz w:val="24"/>
          <w:szCs w:val="24"/>
        </w:rPr>
        <w:t xml:space="preserve">To assist with understanding the capabilities that exist in the market in each of these areas DWP is intending to hold an early market engagement event which will assist with the </w:t>
      </w:r>
      <w:r w:rsidRPr="00815732">
        <w:rPr>
          <w:rFonts w:ascii="Arial" w:hAnsi="Arial" w:cs="Arial"/>
          <w:sz w:val="24"/>
          <w:szCs w:val="24"/>
        </w:rPr>
        <w:t>decision on the possible procurement of an agile and fit-for-purpose solution.</w:t>
      </w:r>
    </w:p>
    <w:p w14:paraId="6AAA131B" w14:textId="77777777" w:rsidR="00815732" w:rsidRDefault="00815732" w:rsidP="00815732">
      <w:pPr>
        <w:rPr>
          <w:rFonts w:ascii="Arial" w:hAnsi="Arial" w:cs="Arial"/>
          <w:sz w:val="24"/>
          <w:szCs w:val="24"/>
        </w:rPr>
      </w:pPr>
    </w:p>
    <w:p w14:paraId="6E130E9A" w14:textId="6403EA04" w:rsidR="00815732" w:rsidRPr="00815732" w:rsidRDefault="00815732" w:rsidP="00815732">
      <w:pPr>
        <w:rPr>
          <w:rFonts w:ascii="Arial" w:hAnsi="Arial" w:cs="Arial"/>
          <w:sz w:val="24"/>
          <w:szCs w:val="24"/>
        </w:rPr>
      </w:pPr>
      <w:r w:rsidRPr="00815732">
        <w:rPr>
          <w:rFonts w:ascii="Arial" w:hAnsi="Arial" w:cs="Arial"/>
          <w:sz w:val="24"/>
          <w:szCs w:val="24"/>
        </w:rPr>
        <w:t xml:space="preserve">At this stage, DWP has not identified a </w:t>
      </w:r>
      <w:r>
        <w:rPr>
          <w:rFonts w:ascii="Arial" w:hAnsi="Arial" w:cs="Arial"/>
          <w:sz w:val="24"/>
          <w:szCs w:val="24"/>
        </w:rPr>
        <w:t xml:space="preserve">sourcing route for this procurement activity.  </w:t>
      </w:r>
      <w:r w:rsidRPr="00815732">
        <w:rPr>
          <w:rFonts w:ascii="Arial" w:hAnsi="Arial" w:cs="Arial"/>
          <w:sz w:val="24"/>
          <w:szCs w:val="24"/>
        </w:rPr>
        <w:t xml:space="preserve">The intention is to use the information gathered during the </w:t>
      </w:r>
      <w:r>
        <w:rPr>
          <w:rFonts w:ascii="Arial" w:hAnsi="Arial" w:cs="Arial"/>
          <w:sz w:val="24"/>
          <w:szCs w:val="24"/>
        </w:rPr>
        <w:t xml:space="preserve">early </w:t>
      </w:r>
      <w:r w:rsidRPr="00815732">
        <w:rPr>
          <w:rFonts w:ascii="Arial" w:hAnsi="Arial" w:cs="Arial"/>
          <w:sz w:val="24"/>
          <w:szCs w:val="24"/>
        </w:rPr>
        <w:t xml:space="preserve">market engagement to </w:t>
      </w:r>
      <w:r>
        <w:rPr>
          <w:rFonts w:ascii="Arial" w:hAnsi="Arial" w:cs="Arial"/>
          <w:sz w:val="24"/>
          <w:szCs w:val="24"/>
        </w:rPr>
        <w:t xml:space="preserve">help </w:t>
      </w:r>
      <w:r w:rsidRPr="00815732">
        <w:rPr>
          <w:rFonts w:ascii="Arial" w:hAnsi="Arial" w:cs="Arial"/>
          <w:sz w:val="24"/>
          <w:szCs w:val="24"/>
        </w:rPr>
        <w:t xml:space="preserve">shape the proposed procurement process and specification for this project. </w:t>
      </w:r>
    </w:p>
    <w:p w14:paraId="6CCA9AD1" w14:textId="5819AD42" w:rsidR="00815732" w:rsidRDefault="00815732" w:rsidP="00815732">
      <w:pPr>
        <w:rPr>
          <w:rFonts w:ascii="Arial" w:hAnsi="Arial" w:cs="Arial"/>
          <w:b/>
          <w:bCs/>
          <w:sz w:val="24"/>
          <w:szCs w:val="24"/>
          <w:u w:val="single"/>
        </w:rPr>
      </w:pPr>
    </w:p>
    <w:p w14:paraId="0DCDD954" w14:textId="4AF9A5D7" w:rsidR="00815732" w:rsidRDefault="00815732" w:rsidP="00815732">
      <w:pPr>
        <w:rPr>
          <w:rFonts w:ascii="Arial" w:hAnsi="Arial" w:cs="Arial"/>
          <w:sz w:val="24"/>
          <w:szCs w:val="24"/>
        </w:rPr>
      </w:pPr>
      <w:r w:rsidRPr="00F808E0">
        <w:rPr>
          <w:rFonts w:ascii="Arial" w:hAnsi="Arial" w:cs="Arial"/>
          <w:sz w:val="24"/>
          <w:szCs w:val="24"/>
        </w:rPr>
        <w:t>We would therefore like to</w:t>
      </w:r>
      <w:r>
        <w:rPr>
          <w:rFonts w:ascii="Arial" w:hAnsi="Arial" w:cs="Arial"/>
          <w:sz w:val="24"/>
          <w:szCs w:val="24"/>
        </w:rPr>
        <w:t xml:space="preserve"> offer </w:t>
      </w:r>
      <w:r w:rsidR="00BA0050" w:rsidRPr="00BA0050">
        <w:rPr>
          <w:rFonts w:ascii="Arial" w:hAnsi="Arial" w:cs="Arial"/>
          <w:sz w:val="24"/>
          <w:szCs w:val="24"/>
        </w:rPr>
        <w:t xml:space="preserve">suitably experienced and capable organisations </w:t>
      </w:r>
      <w:r w:rsidRPr="00F808E0">
        <w:rPr>
          <w:rFonts w:ascii="Arial" w:hAnsi="Arial" w:cs="Arial"/>
          <w:sz w:val="24"/>
          <w:szCs w:val="24"/>
        </w:rPr>
        <w:t xml:space="preserve">the opportunity to </w:t>
      </w:r>
      <w:r>
        <w:rPr>
          <w:rFonts w:ascii="Arial" w:hAnsi="Arial" w:cs="Arial"/>
          <w:sz w:val="24"/>
          <w:szCs w:val="24"/>
        </w:rPr>
        <w:t>attend this event and we are particularly keen to encourage attendance by SME suppliers.</w:t>
      </w:r>
    </w:p>
    <w:p w14:paraId="2D1724EA" w14:textId="77777777" w:rsidR="00815732" w:rsidRDefault="00815732" w:rsidP="00815732">
      <w:pPr>
        <w:rPr>
          <w:rFonts w:ascii="Arial" w:hAnsi="Arial" w:cs="Arial"/>
          <w:sz w:val="24"/>
          <w:szCs w:val="24"/>
        </w:rPr>
      </w:pPr>
    </w:p>
    <w:p w14:paraId="6BEFF4BB" w14:textId="110EA654" w:rsidR="00815732" w:rsidRDefault="0091539F" w:rsidP="00815732">
      <w:pPr>
        <w:rPr>
          <w:rFonts w:ascii="Arial" w:hAnsi="Arial" w:cs="Arial"/>
          <w:sz w:val="24"/>
          <w:szCs w:val="24"/>
        </w:rPr>
      </w:pPr>
      <w:r>
        <w:rPr>
          <w:rFonts w:ascii="Arial" w:hAnsi="Arial" w:cs="Arial"/>
          <w:sz w:val="24"/>
          <w:szCs w:val="24"/>
        </w:rPr>
        <w:t>The event</w:t>
      </w:r>
      <w:r w:rsidR="00815732">
        <w:rPr>
          <w:rFonts w:ascii="Arial" w:hAnsi="Arial" w:cs="Arial"/>
          <w:sz w:val="24"/>
          <w:szCs w:val="24"/>
        </w:rPr>
        <w:t xml:space="preserve"> will consist of a</w:t>
      </w:r>
      <w:r w:rsidR="00A076F9">
        <w:rPr>
          <w:rFonts w:ascii="Arial" w:hAnsi="Arial" w:cs="Arial"/>
          <w:sz w:val="24"/>
          <w:szCs w:val="24"/>
        </w:rPr>
        <w:t xml:space="preserve"> series of closed </w:t>
      </w:r>
      <w:r w:rsidR="00FC2C19">
        <w:rPr>
          <w:rFonts w:ascii="Arial" w:hAnsi="Arial" w:cs="Arial"/>
          <w:sz w:val="24"/>
          <w:szCs w:val="24"/>
        </w:rPr>
        <w:t xml:space="preserve">1 hour </w:t>
      </w:r>
      <w:r w:rsidR="00A076F9">
        <w:rPr>
          <w:rFonts w:ascii="Arial" w:hAnsi="Arial" w:cs="Arial"/>
          <w:sz w:val="24"/>
          <w:szCs w:val="24"/>
        </w:rPr>
        <w:t xml:space="preserve">sessions with each supplier. </w:t>
      </w:r>
      <w:r w:rsidR="00A076F9" w:rsidRPr="00A076F9">
        <w:rPr>
          <w:rFonts w:ascii="Arial" w:hAnsi="Arial" w:cs="Arial"/>
          <w:sz w:val="24"/>
          <w:szCs w:val="24"/>
        </w:rPr>
        <w:t xml:space="preserve">DWP </w:t>
      </w:r>
      <w:r w:rsidR="004D1E67">
        <w:rPr>
          <w:rFonts w:ascii="Arial" w:hAnsi="Arial" w:cs="Arial"/>
          <w:sz w:val="24"/>
          <w:szCs w:val="24"/>
        </w:rPr>
        <w:t xml:space="preserve">Digital </w:t>
      </w:r>
      <w:r>
        <w:rPr>
          <w:rFonts w:ascii="Arial" w:hAnsi="Arial" w:cs="Arial"/>
          <w:sz w:val="24"/>
          <w:szCs w:val="24"/>
        </w:rPr>
        <w:t>will open each</w:t>
      </w:r>
      <w:r w:rsidR="00A076F9" w:rsidRPr="00A076F9">
        <w:rPr>
          <w:rFonts w:ascii="Arial" w:hAnsi="Arial" w:cs="Arial"/>
          <w:sz w:val="24"/>
          <w:szCs w:val="24"/>
        </w:rPr>
        <w:t xml:space="preserve"> session with a </w:t>
      </w:r>
      <w:r w:rsidR="00A076F9">
        <w:rPr>
          <w:rFonts w:ascii="Arial" w:hAnsi="Arial" w:cs="Arial"/>
          <w:sz w:val="24"/>
          <w:szCs w:val="24"/>
        </w:rPr>
        <w:t>brief</w:t>
      </w:r>
      <w:r w:rsidR="00A076F9" w:rsidRPr="00A076F9">
        <w:rPr>
          <w:rFonts w:ascii="Arial" w:hAnsi="Arial" w:cs="Arial"/>
          <w:sz w:val="24"/>
          <w:szCs w:val="24"/>
        </w:rPr>
        <w:t xml:space="preserve"> ov</w:t>
      </w:r>
      <w:r w:rsidR="00A076F9">
        <w:rPr>
          <w:rFonts w:ascii="Arial" w:hAnsi="Arial" w:cs="Arial"/>
          <w:sz w:val="24"/>
          <w:szCs w:val="24"/>
        </w:rPr>
        <w:t>erview</w:t>
      </w:r>
      <w:r w:rsidR="004D1E67" w:rsidRPr="004D1E67">
        <w:rPr>
          <w:rFonts w:ascii="Arial" w:hAnsi="Arial" w:cs="Arial"/>
          <w:sz w:val="24"/>
          <w:szCs w:val="24"/>
        </w:rPr>
        <w:t xml:space="preserve"> </w:t>
      </w:r>
      <w:r w:rsidR="004D1E67">
        <w:rPr>
          <w:rFonts w:ascii="Arial" w:hAnsi="Arial" w:cs="Arial"/>
          <w:sz w:val="24"/>
          <w:szCs w:val="24"/>
        </w:rPr>
        <w:t>of our vision for the DTH</w:t>
      </w:r>
      <w:r w:rsidR="00A076F9">
        <w:rPr>
          <w:rFonts w:ascii="Arial" w:hAnsi="Arial" w:cs="Arial"/>
          <w:sz w:val="24"/>
          <w:szCs w:val="24"/>
        </w:rPr>
        <w:t xml:space="preserve"> (max </w:t>
      </w:r>
      <w:r w:rsidR="00A076F9" w:rsidRPr="00A076F9">
        <w:rPr>
          <w:rFonts w:ascii="Arial" w:hAnsi="Arial" w:cs="Arial"/>
          <w:sz w:val="24"/>
          <w:szCs w:val="24"/>
        </w:rPr>
        <w:t>10 min</w:t>
      </w:r>
      <w:r w:rsidR="004D1E67">
        <w:rPr>
          <w:rFonts w:ascii="Arial" w:hAnsi="Arial" w:cs="Arial"/>
          <w:sz w:val="24"/>
          <w:szCs w:val="24"/>
        </w:rPr>
        <w:t>ute</w:t>
      </w:r>
      <w:r w:rsidR="00A076F9" w:rsidRPr="00A076F9">
        <w:rPr>
          <w:rFonts w:ascii="Arial" w:hAnsi="Arial" w:cs="Arial"/>
          <w:sz w:val="24"/>
          <w:szCs w:val="24"/>
        </w:rPr>
        <w:t>s</w:t>
      </w:r>
      <w:r w:rsidR="00A076F9">
        <w:rPr>
          <w:rFonts w:ascii="Arial" w:hAnsi="Arial" w:cs="Arial"/>
          <w:sz w:val="24"/>
          <w:szCs w:val="24"/>
        </w:rPr>
        <w:t xml:space="preserve">), each supplier will then </w:t>
      </w:r>
      <w:r w:rsidR="00A076F9" w:rsidRPr="00A076F9">
        <w:rPr>
          <w:rFonts w:ascii="Arial" w:hAnsi="Arial" w:cs="Arial"/>
          <w:sz w:val="24"/>
          <w:szCs w:val="24"/>
        </w:rPr>
        <w:t xml:space="preserve">be expected to deliver a presentation </w:t>
      </w:r>
      <w:r w:rsidR="004D1E67">
        <w:rPr>
          <w:rFonts w:ascii="Arial" w:hAnsi="Arial" w:cs="Arial"/>
          <w:sz w:val="24"/>
          <w:szCs w:val="24"/>
        </w:rPr>
        <w:t xml:space="preserve">(max </w:t>
      </w:r>
      <w:r w:rsidR="00A076F9" w:rsidRPr="00A076F9">
        <w:rPr>
          <w:rFonts w:ascii="Arial" w:hAnsi="Arial" w:cs="Arial"/>
          <w:sz w:val="24"/>
          <w:szCs w:val="24"/>
        </w:rPr>
        <w:t>30 min</w:t>
      </w:r>
      <w:r w:rsidR="004D1E67">
        <w:rPr>
          <w:rFonts w:ascii="Arial" w:hAnsi="Arial" w:cs="Arial"/>
          <w:sz w:val="24"/>
          <w:szCs w:val="24"/>
        </w:rPr>
        <w:t>ute</w:t>
      </w:r>
      <w:r w:rsidR="00A076F9" w:rsidRPr="00A076F9">
        <w:rPr>
          <w:rFonts w:ascii="Arial" w:hAnsi="Arial" w:cs="Arial"/>
          <w:sz w:val="24"/>
          <w:szCs w:val="24"/>
        </w:rPr>
        <w:t>s</w:t>
      </w:r>
      <w:r w:rsidR="004D1E67">
        <w:rPr>
          <w:rFonts w:ascii="Arial" w:hAnsi="Arial" w:cs="Arial"/>
          <w:sz w:val="24"/>
          <w:szCs w:val="24"/>
        </w:rPr>
        <w:t>)</w:t>
      </w:r>
      <w:r w:rsidR="00A076F9" w:rsidRPr="00A076F9">
        <w:rPr>
          <w:rFonts w:ascii="Arial" w:hAnsi="Arial" w:cs="Arial"/>
          <w:sz w:val="24"/>
          <w:szCs w:val="24"/>
        </w:rPr>
        <w:t xml:space="preserve"> </w:t>
      </w:r>
      <w:r w:rsidR="004D1E67">
        <w:rPr>
          <w:rFonts w:ascii="Arial" w:hAnsi="Arial" w:cs="Arial"/>
          <w:sz w:val="24"/>
          <w:szCs w:val="24"/>
        </w:rPr>
        <w:t>followed by</w:t>
      </w:r>
      <w:r w:rsidR="00A076F9" w:rsidRPr="00A076F9">
        <w:rPr>
          <w:rFonts w:ascii="Arial" w:hAnsi="Arial" w:cs="Arial"/>
          <w:sz w:val="24"/>
          <w:szCs w:val="24"/>
        </w:rPr>
        <w:t xml:space="preserve"> </w:t>
      </w:r>
      <w:r w:rsidR="004D1E67">
        <w:rPr>
          <w:rFonts w:ascii="Arial" w:hAnsi="Arial" w:cs="Arial"/>
          <w:sz w:val="24"/>
          <w:szCs w:val="24"/>
        </w:rPr>
        <w:t xml:space="preserve">20 minutes for </w:t>
      </w:r>
      <w:r w:rsidR="00A076F9" w:rsidRPr="00A076F9">
        <w:rPr>
          <w:rFonts w:ascii="Arial" w:hAnsi="Arial" w:cs="Arial"/>
          <w:sz w:val="24"/>
          <w:szCs w:val="24"/>
        </w:rPr>
        <w:t xml:space="preserve">questions from the </w:t>
      </w:r>
      <w:r>
        <w:rPr>
          <w:rFonts w:ascii="Arial" w:hAnsi="Arial" w:cs="Arial"/>
          <w:sz w:val="24"/>
          <w:szCs w:val="24"/>
        </w:rPr>
        <w:t>supplier to the Department</w:t>
      </w:r>
      <w:r w:rsidR="004D1E67">
        <w:rPr>
          <w:rFonts w:ascii="Arial" w:hAnsi="Arial" w:cs="Arial"/>
          <w:sz w:val="24"/>
          <w:szCs w:val="24"/>
        </w:rPr>
        <w:t xml:space="preserve">. </w:t>
      </w:r>
    </w:p>
    <w:p w14:paraId="1D1AAFF6" w14:textId="27896F36" w:rsidR="00815732" w:rsidRDefault="00815732" w:rsidP="00815732">
      <w:pPr>
        <w:rPr>
          <w:rFonts w:ascii="Arial" w:hAnsi="Arial" w:cs="Arial"/>
          <w:sz w:val="24"/>
          <w:szCs w:val="24"/>
        </w:rPr>
      </w:pPr>
    </w:p>
    <w:p w14:paraId="23DD1ED3" w14:textId="148533FD" w:rsidR="00815732" w:rsidRDefault="00BA0050" w:rsidP="00815732">
      <w:pPr>
        <w:rPr>
          <w:rFonts w:ascii="Arial" w:hAnsi="Arial" w:cs="Arial"/>
          <w:iCs/>
          <w:sz w:val="24"/>
          <w:szCs w:val="24"/>
        </w:rPr>
      </w:pPr>
      <w:r>
        <w:rPr>
          <w:rFonts w:ascii="Arial" w:hAnsi="Arial" w:cs="Arial"/>
          <w:sz w:val="24"/>
          <w:szCs w:val="24"/>
        </w:rPr>
        <w:t xml:space="preserve">The event will be held at </w:t>
      </w:r>
      <w:r w:rsidR="00A076F9" w:rsidRPr="00A076F9">
        <w:rPr>
          <w:rFonts w:ascii="Arial" w:hAnsi="Arial" w:cs="Arial"/>
          <w:sz w:val="24"/>
          <w:szCs w:val="24"/>
        </w:rPr>
        <w:t>Kings Court</w:t>
      </w:r>
      <w:r w:rsidR="00FC2C19">
        <w:rPr>
          <w:rFonts w:ascii="Arial" w:hAnsi="Arial" w:cs="Arial"/>
          <w:sz w:val="24"/>
          <w:szCs w:val="24"/>
        </w:rPr>
        <w:t>,</w:t>
      </w:r>
      <w:r w:rsidR="00A076F9" w:rsidRPr="00A076F9">
        <w:rPr>
          <w:rFonts w:ascii="Arial" w:hAnsi="Arial" w:cs="Arial"/>
          <w:sz w:val="24"/>
          <w:szCs w:val="24"/>
        </w:rPr>
        <w:t xml:space="preserve"> Hanover Way</w:t>
      </w:r>
      <w:r w:rsidR="00FC2C19">
        <w:rPr>
          <w:rFonts w:ascii="Arial" w:hAnsi="Arial" w:cs="Arial"/>
          <w:sz w:val="24"/>
          <w:szCs w:val="24"/>
        </w:rPr>
        <w:t>,</w:t>
      </w:r>
      <w:r w:rsidR="00A076F9" w:rsidRPr="00A076F9">
        <w:rPr>
          <w:rFonts w:ascii="Arial" w:hAnsi="Arial" w:cs="Arial"/>
          <w:sz w:val="24"/>
          <w:szCs w:val="24"/>
        </w:rPr>
        <w:t xml:space="preserve"> Sheffield</w:t>
      </w:r>
      <w:r w:rsidR="00FC2C19">
        <w:rPr>
          <w:rFonts w:ascii="Arial" w:hAnsi="Arial" w:cs="Arial"/>
          <w:sz w:val="24"/>
          <w:szCs w:val="24"/>
        </w:rPr>
        <w:t>,</w:t>
      </w:r>
      <w:r w:rsidR="00A076F9" w:rsidRPr="00A076F9">
        <w:rPr>
          <w:rFonts w:ascii="Arial" w:hAnsi="Arial" w:cs="Arial"/>
          <w:sz w:val="24"/>
          <w:szCs w:val="24"/>
        </w:rPr>
        <w:t xml:space="preserve"> S3 7UF</w:t>
      </w:r>
      <w:r w:rsidR="00A076F9">
        <w:rPr>
          <w:rFonts w:ascii="Arial" w:hAnsi="Arial" w:cs="Arial"/>
          <w:sz w:val="24"/>
          <w:szCs w:val="24"/>
        </w:rPr>
        <w:t xml:space="preserve"> </w:t>
      </w:r>
      <w:r>
        <w:rPr>
          <w:rFonts w:ascii="Arial" w:hAnsi="Arial" w:cs="Arial"/>
          <w:sz w:val="24"/>
          <w:szCs w:val="24"/>
        </w:rPr>
        <w:t xml:space="preserve">on </w:t>
      </w:r>
      <w:r w:rsidR="0091539F">
        <w:rPr>
          <w:rFonts w:ascii="Arial" w:hAnsi="Arial" w:cs="Arial"/>
          <w:sz w:val="24"/>
          <w:szCs w:val="24"/>
        </w:rPr>
        <w:t xml:space="preserve">Tuesday </w:t>
      </w:r>
      <w:r w:rsidR="00A076F9" w:rsidRPr="00A076F9">
        <w:rPr>
          <w:rFonts w:ascii="Arial" w:hAnsi="Arial" w:cs="Arial"/>
          <w:sz w:val="24"/>
          <w:szCs w:val="24"/>
        </w:rPr>
        <w:t xml:space="preserve">16th and </w:t>
      </w:r>
      <w:r w:rsidR="0091539F">
        <w:rPr>
          <w:rFonts w:ascii="Arial" w:hAnsi="Arial" w:cs="Arial"/>
          <w:sz w:val="24"/>
          <w:szCs w:val="24"/>
        </w:rPr>
        <w:t xml:space="preserve">Wednesday </w:t>
      </w:r>
      <w:r w:rsidR="00A076F9" w:rsidRPr="00A076F9">
        <w:rPr>
          <w:rFonts w:ascii="Arial" w:hAnsi="Arial" w:cs="Arial"/>
          <w:sz w:val="24"/>
          <w:szCs w:val="24"/>
        </w:rPr>
        <w:t>17th April 2019</w:t>
      </w:r>
      <w:r>
        <w:rPr>
          <w:rFonts w:ascii="Arial" w:hAnsi="Arial" w:cs="Arial"/>
          <w:sz w:val="24"/>
          <w:szCs w:val="24"/>
        </w:rPr>
        <w:t xml:space="preserve">.  </w:t>
      </w:r>
      <w:r w:rsidRPr="00A076F9">
        <w:rPr>
          <w:rFonts w:ascii="Arial" w:hAnsi="Arial" w:cs="Arial"/>
          <w:sz w:val="24"/>
          <w:szCs w:val="24"/>
        </w:rPr>
        <w:t>Please</w:t>
      </w:r>
      <w:r>
        <w:rPr>
          <w:rFonts w:ascii="Arial" w:hAnsi="Arial" w:cs="Arial"/>
          <w:iCs/>
          <w:sz w:val="24"/>
          <w:szCs w:val="24"/>
        </w:rPr>
        <w:t xml:space="preserve"> note that spaces will be </w:t>
      </w:r>
      <w:r w:rsidRPr="00BA0050">
        <w:rPr>
          <w:rFonts w:ascii="Arial" w:hAnsi="Arial" w:cs="Arial"/>
          <w:iCs/>
          <w:sz w:val="24"/>
          <w:szCs w:val="24"/>
        </w:rPr>
        <w:t>limited and, if necessary, will be allocated on a ‘first come, firs</w:t>
      </w:r>
      <w:r>
        <w:rPr>
          <w:rFonts w:ascii="Arial" w:hAnsi="Arial" w:cs="Arial"/>
          <w:iCs/>
          <w:sz w:val="24"/>
          <w:szCs w:val="24"/>
        </w:rPr>
        <w:t xml:space="preserve">t served’ basis.  </w:t>
      </w:r>
      <w:r w:rsidR="00815732" w:rsidRPr="00095004">
        <w:rPr>
          <w:rFonts w:ascii="Arial" w:hAnsi="Arial" w:cs="Arial"/>
          <w:iCs/>
          <w:sz w:val="24"/>
          <w:szCs w:val="24"/>
        </w:rPr>
        <w:t>R</w:t>
      </w:r>
      <w:r w:rsidR="00815732">
        <w:rPr>
          <w:rFonts w:ascii="Arial" w:hAnsi="Arial" w:cs="Arial"/>
          <w:iCs/>
          <w:sz w:val="24"/>
          <w:szCs w:val="24"/>
        </w:rPr>
        <w:t xml:space="preserve">epresentation will be limited to three </w:t>
      </w:r>
      <w:r w:rsidR="00815732" w:rsidRPr="00095004">
        <w:rPr>
          <w:rFonts w:ascii="Arial" w:hAnsi="Arial" w:cs="Arial"/>
          <w:iCs/>
          <w:sz w:val="24"/>
          <w:szCs w:val="24"/>
        </w:rPr>
        <w:t>attendees per supplier.</w:t>
      </w:r>
    </w:p>
    <w:p w14:paraId="5E6BDAB1" w14:textId="0B5B0877" w:rsidR="00FC2C19" w:rsidRDefault="00FC2C19" w:rsidP="00815732">
      <w:pPr>
        <w:rPr>
          <w:rFonts w:ascii="Arial" w:hAnsi="Arial" w:cs="Arial"/>
          <w:iCs/>
          <w:sz w:val="24"/>
          <w:szCs w:val="24"/>
        </w:rPr>
      </w:pPr>
    </w:p>
    <w:p w14:paraId="3E608397" w14:textId="7365D2ED" w:rsidR="00FC2C19" w:rsidRDefault="00FC2C19" w:rsidP="00815732">
      <w:pPr>
        <w:rPr>
          <w:rFonts w:ascii="Arial" w:hAnsi="Arial" w:cs="Arial"/>
          <w:iCs/>
          <w:sz w:val="24"/>
          <w:szCs w:val="24"/>
        </w:rPr>
      </w:pPr>
      <w:r>
        <w:rPr>
          <w:rFonts w:ascii="Arial" w:hAnsi="Arial" w:cs="Arial"/>
          <w:iCs/>
          <w:sz w:val="24"/>
          <w:szCs w:val="24"/>
        </w:rPr>
        <w:t xml:space="preserve">We will be hosting a call on </w:t>
      </w:r>
      <w:r w:rsidR="00F13F6E" w:rsidRPr="00F13F6E">
        <w:rPr>
          <w:rFonts w:ascii="Arial" w:hAnsi="Arial" w:cs="Arial"/>
          <w:iCs/>
          <w:sz w:val="24"/>
          <w:szCs w:val="24"/>
        </w:rPr>
        <w:t>Friday 22nd March</w:t>
      </w:r>
      <w:r w:rsidR="00F13F6E">
        <w:rPr>
          <w:rFonts w:ascii="Arial" w:hAnsi="Arial" w:cs="Arial"/>
          <w:iCs/>
          <w:sz w:val="24"/>
          <w:szCs w:val="24"/>
        </w:rPr>
        <w:t xml:space="preserve"> </w:t>
      </w:r>
      <w:r w:rsidRPr="00FC2C19">
        <w:rPr>
          <w:rFonts w:ascii="Arial" w:hAnsi="Arial" w:cs="Arial"/>
          <w:iCs/>
          <w:sz w:val="24"/>
          <w:szCs w:val="24"/>
        </w:rPr>
        <w:t xml:space="preserve">for </w:t>
      </w:r>
      <w:r>
        <w:rPr>
          <w:rFonts w:ascii="Arial" w:hAnsi="Arial" w:cs="Arial"/>
          <w:iCs/>
          <w:sz w:val="24"/>
          <w:szCs w:val="24"/>
        </w:rPr>
        <w:t xml:space="preserve">all interested </w:t>
      </w:r>
      <w:r w:rsidRPr="00FC2C19">
        <w:rPr>
          <w:rFonts w:ascii="Arial" w:hAnsi="Arial" w:cs="Arial"/>
          <w:iCs/>
          <w:sz w:val="24"/>
          <w:szCs w:val="24"/>
        </w:rPr>
        <w:t>suppliers to</w:t>
      </w:r>
      <w:r>
        <w:rPr>
          <w:rFonts w:ascii="Arial" w:hAnsi="Arial" w:cs="Arial"/>
          <w:iCs/>
          <w:sz w:val="24"/>
          <w:szCs w:val="24"/>
        </w:rPr>
        <w:t xml:space="preserve"> have the opportunity to</w:t>
      </w:r>
      <w:r w:rsidRPr="00FC2C19">
        <w:rPr>
          <w:rFonts w:ascii="Arial" w:hAnsi="Arial" w:cs="Arial"/>
          <w:iCs/>
          <w:sz w:val="24"/>
          <w:szCs w:val="24"/>
        </w:rPr>
        <w:t xml:space="preserve"> ask DWP</w:t>
      </w:r>
      <w:r>
        <w:rPr>
          <w:rFonts w:ascii="Arial" w:hAnsi="Arial" w:cs="Arial"/>
          <w:iCs/>
          <w:sz w:val="24"/>
          <w:szCs w:val="24"/>
        </w:rPr>
        <w:t xml:space="preserve"> questions and </w:t>
      </w:r>
      <w:r w:rsidR="00CE707C">
        <w:rPr>
          <w:rFonts w:ascii="Arial" w:hAnsi="Arial" w:cs="Arial"/>
          <w:iCs/>
          <w:sz w:val="24"/>
          <w:szCs w:val="24"/>
        </w:rPr>
        <w:t>seek clarification about this notice</w:t>
      </w:r>
      <w:r w:rsidR="00F13F6E">
        <w:rPr>
          <w:rFonts w:ascii="Arial" w:hAnsi="Arial" w:cs="Arial"/>
          <w:iCs/>
          <w:sz w:val="24"/>
          <w:szCs w:val="24"/>
        </w:rPr>
        <w:t xml:space="preserve"> before you respond to the advert</w:t>
      </w:r>
      <w:r>
        <w:rPr>
          <w:rFonts w:ascii="Arial" w:hAnsi="Arial" w:cs="Arial"/>
          <w:iCs/>
          <w:sz w:val="24"/>
          <w:szCs w:val="24"/>
        </w:rPr>
        <w:t xml:space="preserve">. </w:t>
      </w:r>
      <w:r w:rsidR="00F13F6E">
        <w:rPr>
          <w:rFonts w:ascii="Arial" w:hAnsi="Arial" w:cs="Arial"/>
          <w:iCs/>
          <w:sz w:val="24"/>
          <w:szCs w:val="24"/>
        </w:rPr>
        <w:t>You do not need to pre-register for this call.</w:t>
      </w:r>
    </w:p>
    <w:p w14:paraId="7A84468A" w14:textId="12961A3F" w:rsidR="00FC2C19" w:rsidRDefault="00FC2C19" w:rsidP="00815732">
      <w:pPr>
        <w:rPr>
          <w:rFonts w:ascii="Arial" w:hAnsi="Arial" w:cs="Arial"/>
          <w:iCs/>
          <w:sz w:val="24"/>
          <w:szCs w:val="24"/>
        </w:rPr>
      </w:pPr>
    </w:p>
    <w:p w14:paraId="2379ADBE" w14:textId="5B84B304" w:rsidR="00FC2C19" w:rsidRDefault="00FC2C19" w:rsidP="00815732">
      <w:pPr>
        <w:rPr>
          <w:rFonts w:ascii="Arial" w:hAnsi="Arial" w:cs="Arial"/>
          <w:iCs/>
          <w:sz w:val="24"/>
          <w:szCs w:val="24"/>
        </w:rPr>
      </w:pPr>
      <w:r>
        <w:rPr>
          <w:rFonts w:ascii="Arial" w:hAnsi="Arial" w:cs="Arial"/>
          <w:iCs/>
          <w:sz w:val="24"/>
          <w:szCs w:val="24"/>
        </w:rPr>
        <w:t>Call details as follows:</w:t>
      </w:r>
    </w:p>
    <w:p w14:paraId="0CD47773" w14:textId="77777777" w:rsidR="0091539F" w:rsidRDefault="0091539F" w:rsidP="00815732">
      <w:pPr>
        <w:rPr>
          <w:rFonts w:ascii="Arial" w:hAnsi="Arial" w:cs="Arial"/>
          <w:iCs/>
          <w:sz w:val="24"/>
          <w:szCs w:val="24"/>
        </w:rPr>
      </w:pPr>
    </w:p>
    <w:tbl>
      <w:tblPr>
        <w:tblW w:w="5000" w:type="pct"/>
        <w:tblBorders>
          <w:top w:val="single" w:sz="6" w:space="0" w:color="FFFFFF"/>
          <w:left w:val="single" w:sz="6" w:space="0" w:color="FFFFFF"/>
        </w:tblBorders>
        <w:tblCellMar>
          <w:left w:w="0" w:type="dxa"/>
          <w:right w:w="0" w:type="dxa"/>
        </w:tblCellMar>
        <w:tblLook w:val="04A0" w:firstRow="1" w:lastRow="0" w:firstColumn="1" w:lastColumn="0" w:noHBand="0" w:noVBand="1"/>
      </w:tblPr>
      <w:tblGrid>
        <w:gridCol w:w="2703"/>
        <w:gridCol w:w="6307"/>
      </w:tblGrid>
      <w:tr w:rsidR="0091539F" w14:paraId="4B582CF6" w14:textId="77777777" w:rsidTr="0091539F">
        <w:tc>
          <w:tcPr>
            <w:tcW w:w="0" w:type="auto"/>
            <w:tcBorders>
              <w:top w:val="single" w:sz="6" w:space="0" w:color="FFFFFF"/>
              <w:left w:val="single" w:sz="6" w:space="0" w:color="FFFFFF"/>
              <w:bottom w:val="single" w:sz="6" w:space="0" w:color="FFFFFF"/>
              <w:right w:val="single" w:sz="6" w:space="0" w:color="FFFFFF"/>
            </w:tcBorders>
            <w:shd w:val="clear" w:color="auto" w:fill="00BEB8"/>
            <w:tcMar>
              <w:top w:w="75" w:type="dxa"/>
              <w:left w:w="75" w:type="dxa"/>
              <w:bottom w:w="75" w:type="dxa"/>
              <w:right w:w="75" w:type="dxa"/>
            </w:tcMar>
            <w:vAlign w:val="center"/>
            <w:hideMark/>
          </w:tcPr>
          <w:p w14:paraId="775BBA4D" w14:textId="77777777" w:rsidR="0091539F" w:rsidRDefault="0091539F">
            <w:pPr>
              <w:spacing w:line="240" w:lineRule="atLeast"/>
              <w:rPr>
                <w:rFonts w:ascii="Times New Roman" w:eastAsia="Times New Roman" w:hAnsi="Times New Roman" w:cs="Times New Roman"/>
                <w:color w:val="FFFFFF"/>
                <w:sz w:val="20"/>
                <w:szCs w:val="20"/>
              </w:rPr>
            </w:pPr>
            <w:r>
              <w:rPr>
                <w:rFonts w:eastAsia="Times New Roman"/>
                <w:color w:val="FFFFFF"/>
                <w:sz w:val="20"/>
                <w:szCs w:val="20"/>
              </w:rPr>
              <w:t xml:space="preserve">Conference name </w:t>
            </w:r>
          </w:p>
        </w:tc>
        <w:tc>
          <w:tcPr>
            <w:tcW w:w="0" w:type="auto"/>
            <w:tcBorders>
              <w:top w:val="single" w:sz="6" w:space="0" w:color="FFFFFF"/>
              <w:left w:val="nil"/>
              <w:bottom w:val="single" w:sz="6" w:space="0" w:color="FFFFFF"/>
              <w:right w:val="single" w:sz="6" w:space="0" w:color="FFFFFF"/>
            </w:tcBorders>
            <w:shd w:val="clear" w:color="auto" w:fill="EAEDF2"/>
            <w:tcMar>
              <w:top w:w="75" w:type="dxa"/>
              <w:left w:w="75" w:type="dxa"/>
              <w:bottom w:w="75" w:type="dxa"/>
              <w:right w:w="75" w:type="dxa"/>
            </w:tcMar>
            <w:vAlign w:val="center"/>
            <w:hideMark/>
          </w:tcPr>
          <w:p w14:paraId="1507125D" w14:textId="77777777" w:rsidR="0091539F" w:rsidRDefault="0091539F">
            <w:pPr>
              <w:spacing w:line="240" w:lineRule="atLeast"/>
              <w:rPr>
                <w:rFonts w:eastAsia="Times New Roman"/>
                <w:color w:val="000000"/>
                <w:sz w:val="20"/>
                <w:szCs w:val="20"/>
              </w:rPr>
            </w:pPr>
            <w:r>
              <w:rPr>
                <w:rFonts w:eastAsia="Times New Roman"/>
                <w:color w:val="000000"/>
                <w:sz w:val="20"/>
                <w:szCs w:val="20"/>
              </w:rPr>
              <w:t xml:space="preserve">Dynamic Trust Hub Early Market Engagement </w:t>
            </w:r>
          </w:p>
        </w:tc>
      </w:tr>
      <w:tr w:rsidR="0091539F" w14:paraId="174A351A" w14:textId="77777777" w:rsidTr="0091539F">
        <w:tc>
          <w:tcPr>
            <w:tcW w:w="1500" w:type="pct"/>
            <w:tcBorders>
              <w:top w:val="nil"/>
              <w:left w:val="single" w:sz="6" w:space="0" w:color="FFFFFF"/>
              <w:bottom w:val="single" w:sz="6" w:space="0" w:color="FFFFFF"/>
              <w:right w:val="single" w:sz="6" w:space="0" w:color="FFFFFF"/>
            </w:tcBorders>
            <w:shd w:val="clear" w:color="auto" w:fill="00BEB8"/>
            <w:tcMar>
              <w:top w:w="75" w:type="dxa"/>
              <w:left w:w="75" w:type="dxa"/>
              <w:bottom w:w="75" w:type="dxa"/>
              <w:right w:w="75" w:type="dxa"/>
            </w:tcMar>
            <w:vAlign w:val="center"/>
            <w:hideMark/>
          </w:tcPr>
          <w:p w14:paraId="10C1B588" w14:textId="77777777" w:rsidR="0091539F" w:rsidRDefault="0091539F">
            <w:pPr>
              <w:spacing w:line="240" w:lineRule="atLeast"/>
              <w:rPr>
                <w:rFonts w:eastAsia="Times New Roman"/>
                <w:color w:val="FFFFFF"/>
                <w:sz w:val="20"/>
                <w:szCs w:val="20"/>
              </w:rPr>
            </w:pPr>
            <w:r>
              <w:rPr>
                <w:rFonts w:eastAsia="Times New Roman"/>
                <w:color w:val="FFFFFF"/>
                <w:sz w:val="20"/>
                <w:szCs w:val="20"/>
              </w:rPr>
              <w:t xml:space="preserve">Host name </w:t>
            </w:r>
          </w:p>
        </w:tc>
        <w:tc>
          <w:tcPr>
            <w:tcW w:w="3500" w:type="pct"/>
            <w:tcBorders>
              <w:top w:val="nil"/>
              <w:left w:val="nil"/>
              <w:bottom w:val="single" w:sz="6" w:space="0" w:color="FFFFFF"/>
              <w:right w:val="single" w:sz="6" w:space="0" w:color="FFFFFF"/>
            </w:tcBorders>
            <w:shd w:val="clear" w:color="auto" w:fill="EAEDF2"/>
            <w:tcMar>
              <w:top w:w="75" w:type="dxa"/>
              <w:left w:w="75" w:type="dxa"/>
              <w:bottom w:w="75" w:type="dxa"/>
              <w:right w:w="75" w:type="dxa"/>
            </w:tcMar>
            <w:vAlign w:val="center"/>
            <w:hideMark/>
          </w:tcPr>
          <w:p w14:paraId="725DE5EA" w14:textId="77777777" w:rsidR="0091539F" w:rsidRDefault="0091539F">
            <w:pPr>
              <w:spacing w:line="240" w:lineRule="atLeast"/>
              <w:rPr>
                <w:rFonts w:eastAsia="Times New Roman"/>
                <w:color w:val="000000"/>
                <w:sz w:val="20"/>
                <w:szCs w:val="20"/>
              </w:rPr>
            </w:pPr>
            <w:r>
              <w:rPr>
                <w:rFonts w:eastAsia="Times New Roman"/>
                <w:color w:val="000000"/>
                <w:sz w:val="20"/>
                <w:szCs w:val="20"/>
              </w:rPr>
              <w:t xml:space="preserve">James Randall </w:t>
            </w:r>
          </w:p>
        </w:tc>
      </w:tr>
      <w:tr w:rsidR="0091539F" w14:paraId="27B1E32C" w14:textId="77777777" w:rsidTr="0091539F">
        <w:tc>
          <w:tcPr>
            <w:tcW w:w="1500" w:type="pct"/>
            <w:tcBorders>
              <w:top w:val="nil"/>
              <w:left w:val="single" w:sz="6" w:space="0" w:color="FFFFFF"/>
              <w:bottom w:val="single" w:sz="6" w:space="0" w:color="FFFFFF"/>
              <w:right w:val="single" w:sz="6" w:space="0" w:color="FFFFFF"/>
            </w:tcBorders>
            <w:shd w:val="clear" w:color="auto" w:fill="00BEB8"/>
            <w:tcMar>
              <w:top w:w="75" w:type="dxa"/>
              <w:left w:w="75" w:type="dxa"/>
              <w:bottom w:w="75" w:type="dxa"/>
              <w:right w:w="75" w:type="dxa"/>
            </w:tcMar>
            <w:hideMark/>
          </w:tcPr>
          <w:p w14:paraId="14E3D9ED" w14:textId="77777777" w:rsidR="0091539F" w:rsidRDefault="0091539F">
            <w:pPr>
              <w:spacing w:line="240" w:lineRule="atLeast"/>
              <w:rPr>
                <w:rFonts w:eastAsia="Times New Roman"/>
                <w:color w:val="FFFFFF"/>
                <w:sz w:val="20"/>
                <w:szCs w:val="20"/>
              </w:rPr>
            </w:pPr>
            <w:r>
              <w:rPr>
                <w:rFonts w:eastAsia="Times New Roman"/>
                <w:color w:val="FFFFFF"/>
                <w:sz w:val="20"/>
                <w:szCs w:val="20"/>
              </w:rPr>
              <w:t xml:space="preserve">Additional speaker(s) </w:t>
            </w:r>
          </w:p>
        </w:tc>
        <w:tc>
          <w:tcPr>
            <w:tcW w:w="3500" w:type="pct"/>
            <w:tcBorders>
              <w:top w:val="nil"/>
              <w:left w:val="nil"/>
              <w:bottom w:val="single" w:sz="6" w:space="0" w:color="FFFFFF"/>
              <w:right w:val="single" w:sz="6" w:space="0" w:color="FFFFFF"/>
            </w:tcBorders>
            <w:shd w:val="clear" w:color="auto" w:fill="EAEDF2"/>
            <w:tcMar>
              <w:top w:w="75" w:type="dxa"/>
              <w:left w:w="75" w:type="dxa"/>
              <w:bottom w:w="75" w:type="dxa"/>
              <w:right w:w="75" w:type="dxa"/>
            </w:tcMar>
            <w:vAlign w:val="center"/>
            <w:hideMark/>
          </w:tcPr>
          <w:p w14:paraId="042C0469" w14:textId="77777777" w:rsidR="0091539F" w:rsidRDefault="0091539F">
            <w:pPr>
              <w:spacing w:line="240" w:lineRule="atLeast"/>
              <w:rPr>
                <w:rFonts w:eastAsia="Times New Roman"/>
                <w:color w:val="000000"/>
                <w:sz w:val="20"/>
                <w:szCs w:val="20"/>
              </w:rPr>
            </w:pPr>
            <w:r>
              <w:rPr>
                <w:rFonts w:eastAsia="Times New Roman"/>
                <w:color w:val="000000"/>
                <w:sz w:val="20"/>
                <w:szCs w:val="20"/>
              </w:rPr>
              <w:t xml:space="preserve">Mark Cranshaw, Cheryl Stevens, Mark Wilcox </w:t>
            </w:r>
          </w:p>
        </w:tc>
      </w:tr>
      <w:tr w:rsidR="0091539F" w14:paraId="12BE0491" w14:textId="77777777" w:rsidTr="0091539F">
        <w:tc>
          <w:tcPr>
            <w:tcW w:w="0" w:type="auto"/>
            <w:tcBorders>
              <w:top w:val="nil"/>
              <w:left w:val="single" w:sz="6" w:space="0" w:color="FFFFFF"/>
              <w:bottom w:val="single" w:sz="6" w:space="0" w:color="FFFFFF"/>
              <w:right w:val="single" w:sz="6" w:space="0" w:color="FFFFFF"/>
            </w:tcBorders>
            <w:shd w:val="clear" w:color="auto" w:fill="00BEB8"/>
            <w:tcMar>
              <w:top w:w="75" w:type="dxa"/>
              <w:left w:w="75" w:type="dxa"/>
              <w:bottom w:w="75" w:type="dxa"/>
              <w:right w:w="75" w:type="dxa"/>
            </w:tcMar>
            <w:vAlign w:val="center"/>
            <w:hideMark/>
          </w:tcPr>
          <w:p w14:paraId="6E64DD35" w14:textId="77777777" w:rsidR="0091539F" w:rsidRDefault="0091539F">
            <w:pPr>
              <w:spacing w:line="240" w:lineRule="atLeast"/>
              <w:rPr>
                <w:rFonts w:eastAsia="Times New Roman"/>
                <w:color w:val="FFFFFF"/>
                <w:sz w:val="20"/>
                <w:szCs w:val="20"/>
              </w:rPr>
            </w:pPr>
            <w:r>
              <w:rPr>
                <w:rFonts w:eastAsia="Times New Roman"/>
                <w:color w:val="FFFFFF"/>
                <w:sz w:val="20"/>
                <w:szCs w:val="20"/>
              </w:rPr>
              <w:t xml:space="preserve">Start date &amp; time </w:t>
            </w:r>
          </w:p>
        </w:tc>
        <w:tc>
          <w:tcPr>
            <w:tcW w:w="0" w:type="auto"/>
            <w:tcBorders>
              <w:top w:val="nil"/>
              <w:left w:val="nil"/>
              <w:bottom w:val="single" w:sz="6" w:space="0" w:color="FFFFFF"/>
              <w:right w:val="single" w:sz="6" w:space="0" w:color="FFFFFF"/>
            </w:tcBorders>
            <w:shd w:val="clear" w:color="auto" w:fill="EAEDF2"/>
            <w:tcMar>
              <w:top w:w="75" w:type="dxa"/>
              <w:left w:w="75" w:type="dxa"/>
              <w:bottom w:w="75" w:type="dxa"/>
              <w:right w:w="75" w:type="dxa"/>
            </w:tcMar>
            <w:vAlign w:val="center"/>
            <w:hideMark/>
          </w:tcPr>
          <w:p w14:paraId="2E872C5F" w14:textId="77777777" w:rsidR="0091539F" w:rsidRDefault="0091539F">
            <w:pPr>
              <w:spacing w:line="240" w:lineRule="atLeast"/>
              <w:rPr>
                <w:rFonts w:eastAsia="Times New Roman"/>
                <w:color w:val="000000"/>
                <w:sz w:val="20"/>
                <w:szCs w:val="20"/>
              </w:rPr>
            </w:pPr>
            <w:r>
              <w:rPr>
                <w:rFonts w:eastAsia="Times New Roman"/>
                <w:color w:val="000000"/>
                <w:sz w:val="20"/>
                <w:szCs w:val="20"/>
              </w:rPr>
              <w:t xml:space="preserve">22/03/2019 11:00 Dublin, Edinburgh, London, Lisbon </w:t>
            </w:r>
          </w:p>
        </w:tc>
      </w:tr>
      <w:tr w:rsidR="0091539F" w14:paraId="2B8E420D" w14:textId="77777777" w:rsidTr="0091539F">
        <w:tc>
          <w:tcPr>
            <w:tcW w:w="0" w:type="auto"/>
            <w:tcBorders>
              <w:top w:val="nil"/>
              <w:left w:val="single" w:sz="6" w:space="0" w:color="FFFFFF"/>
              <w:bottom w:val="single" w:sz="6" w:space="0" w:color="FFFFFF"/>
              <w:right w:val="single" w:sz="6" w:space="0" w:color="FFFFFF"/>
            </w:tcBorders>
            <w:shd w:val="clear" w:color="auto" w:fill="00BEB8"/>
            <w:tcMar>
              <w:top w:w="75" w:type="dxa"/>
              <w:left w:w="75" w:type="dxa"/>
              <w:bottom w:w="75" w:type="dxa"/>
              <w:right w:w="75" w:type="dxa"/>
            </w:tcMar>
            <w:vAlign w:val="center"/>
            <w:hideMark/>
          </w:tcPr>
          <w:p w14:paraId="1EC1F02A" w14:textId="77777777" w:rsidR="0091539F" w:rsidRDefault="0091539F">
            <w:pPr>
              <w:spacing w:line="240" w:lineRule="atLeast"/>
              <w:rPr>
                <w:rFonts w:eastAsia="Times New Roman"/>
                <w:color w:val="FFFFFF"/>
                <w:sz w:val="20"/>
                <w:szCs w:val="20"/>
              </w:rPr>
            </w:pPr>
            <w:r>
              <w:rPr>
                <w:rFonts w:eastAsia="Times New Roman"/>
                <w:color w:val="FFFFFF"/>
                <w:sz w:val="20"/>
                <w:szCs w:val="20"/>
              </w:rPr>
              <w:t>Duration (</w:t>
            </w:r>
            <w:proofErr w:type="spellStart"/>
            <w:r>
              <w:rPr>
                <w:rFonts w:eastAsia="Times New Roman"/>
                <w:color w:val="FFFFFF"/>
                <w:sz w:val="20"/>
                <w:szCs w:val="20"/>
              </w:rPr>
              <w:t>hh:mm</w:t>
            </w:r>
            <w:proofErr w:type="spellEnd"/>
            <w:r>
              <w:rPr>
                <w:rFonts w:eastAsia="Times New Roman"/>
                <w:color w:val="FFFFFF"/>
                <w:sz w:val="20"/>
                <w:szCs w:val="20"/>
              </w:rPr>
              <w:t xml:space="preserve">) </w:t>
            </w:r>
          </w:p>
        </w:tc>
        <w:tc>
          <w:tcPr>
            <w:tcW w:w="0" w:type="auto"/>
            <w:tcBorders>
              <w:top w:val="nil"/>
              <w:left w:val="nil"/>
              <w:bottom w:val="single" w:sz="6" w:space="0" w:color="FFFFFF"/>
              <w:right w:val="single" w:sz="6" w:space="0" w:color="FFFFFF"/>
            </w:tcBorders>
            <w:shd w:val="clear" w:color="auto" w:fill="EAEDF2"/>
            <w:tcMar>
              <w:top w:w="75" w:type="dxa"/>
              <w:left w:w="75" w:type="dxa"/>
              <w:bottom w:w="75" w:type="dxa"/>
              <w:right w:w="75" w:type="dxa"/>
            </w:tcMar>
            <w:vAlign w:val="center"/>
            <w:hideMark/>
          </w:tcPr>
          <w:p w14:paraId="11274BA9" w14:textId="77777777" w:rsidR="0091539F" w:rsidRDefault="0091539F">
            <w:pPr>
              <w:spacing w:line="240" w:lineRule="atLeast"/>
              <w:rPr>
                <w:rFonts w:eastAsia="Times New Roman"/>
                <w:color w:val="000000"/>
                <w:sz w:val="20"/>
                <w:szCs w:val="20"/>
              </w:rPr>
            </w:pPr>
            <w:r>
              <w:rPr>
                <w:rFonts w:eastAsia="Times New Roman"/>
                <w:color w:val="000000"/>
                <w:sz w:val="20"/>
                <w:szCs w:val="20"/>
              </w:rPr>
              <w:t xml:space="preserve">01:00 </w:t>
            </w:r>
          </w:p>
        </w:tc>
      </w:tr>
      <w:tr w:rsidR="0091539F" w14:paraId="4E7E15FB" w14:textId="77777777" w:rsidTr="0091539F">
        <w:tc>
          <w:tcPr>
            <w:tcW w:w="0" w:type="auto"/>
            <w:tcBorders>
              <w:top w:val="nil"/>
              <w:left w:val="single" w:sz="6" w:space="0" w:color="FFFFFF"/>
              <w:bottom w:val="single" w:sz="6" w:space="0" w:color="FFFFFF"/>
              <w:right w:val="single" w:sz="6" w:space="0" w:color="FFFFFF"/>
            </w:tcBorders>
            <w:shd w:val="clear" w:color="auto" w:fill="00BEB8"/>
            <w:tcMar>
              <w:top w:w="75" w:type="dxa"/>
              <w:left w:w="75" w:type="dxa"/>
              <w:bottom w:w="75" w:type="dxa"/>
              <w:right w:w="75" w:type="dxa"/>
            </w:tcMar>
            <w:hideMark/>
          </w:tcPr>
          <w:p w14:paraId="0B88B448" w14:textId="77777777" w:rsidR="0091539F" w:rsidRDefault="0091539F">
            <w:pPr>
              <w:spacing w:line="240" w:lineRule="atLeast"/>
              <w:rPr>
                <w:rFonts w:eastAsia="Times New Roman"/>
                <w:color w:val="FFFFFF"/>
                <w:sz w:val="20"/>
                <w:szCs w:val="20"/>
              </w:rPr>
            </w:pPr>
            <w:r>
              <w:rPr>
                <w:rFonts w:eastAsia="Times New Roman"/>
                <w:color w:val="FFFFFF"/>
                <w:sz w:val="20"/>
                <w:szCs w:val="20"/>
              </w:rPr>
              <w:t xml:space="preserve">Dial in number(s) </w:t>
            </w:r>
          </w:p>
        </w:tc>
        <w:tc>
          <w:tcPr>
            <w:tcW w:w="0" w:type="auto"/>
            <w:tcBorders>
              <w:top w:val="nil"/>
              <w:left w:val="nil"/>
              <w:bottom w:val="single" w:sz="6" w:space="0" w:color="FFFFFF"/>
              <w:right w:val="single" w:sz="6" w:space="0" w:color="FFFFFF"/>
            </w:tcBorders>
            <w:shd w:val="clear" w:color="auto" w:fill="EAEDF2"/>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6135"/>
              <w:gridCol w:w="22"/>
            </w:tblGrid>
            <w:tr w:rsidR="0091539F" w14:paraId="3923D69E" w14:textId="77777777">
              <w:tc>
                <w:tcPr>
                  <w:tcW w:w="0" w:type="auto"/>
                  <w:gridSpan w:val="2"/>
                  <w:shd w:val="clear" w:color="auto" w:fill="EAEDF2"/>
                  <w:vAlign w:val="center"/>
                  <w:hideMark/>
                </w:tcPr>
                <w:p w14:paraId="1678F38B" w14:textId="77777777" w:rsidR="0091539F" w:rsidRDefault="0091539F">
                  <w:pPr>
                    <w:spacing w:line="240" w:lineRule="atLeast"/>
                    <w:rPr>
                      <w:rFonts w:eastAsia="Times New Roman"/>
                      <w:color w:val="000000"/>
                      <w:sz w:val="20"/>
                      <w:szCs w:val="20"/>
                    </w:rPr>
                  </w:pPr>
                  <w:r>
                    <w:rPr>
                      <w:rFonts w:eastAsia="Times New Roman"/>
                      <w:b/>
                      <w:bCs/>
                      <w:color w:val="000000"/>
                      <w:sz w:val="20"/>
                      <w:szCs w:val="20"/>
                    </w:rPr>
                    <w:t>Standard International Access</w:t>
                  </w:r>
                </w:p>
              </w:tc>
            </w:tr>
            <w:tr w:rsidR="0091539F" w14:paraId="0135C326" w14:textId="77777777">
              <w:tc>
                <w:tcPr>
                  <w:tcW w:w="0" w:type="auto"/>
                  <w:shd w:val="clear" w:color="auto" w:fill="EAEDF2"/>
                  <w:tcMar>
                    <w:top w:w="0" w:type="dxa"/>
                    <w:left w:w="0" w:type="dxa"/>
                    <w:bottom w:w="75" w:type="dxa"/>
                    <w:right w:w="0" w:type="dxa"/>
                  </w:tcMar>
                  <w:vAlign w:val="center"/>
                  <w:hideMark/>
                </w:tcPr>
                <w:p w14:paraId="2EED2AF0" w14:textId="77777777" w:rsidR="0091539F" w:rsidRDefault="0091539F">
                  <w:pPr>
                    <w:spacing w:line="240" w:lineRule="atLeast"/>
                    <w:rPr>
                      <w:rFonts w:eastAsia="Times New Roman"/>
                      <w:color w:val="000000"/>
                      <w:sz w:val="20"/>
                      <w:szCs w:val="20"/>
                    </w:rPr>
                  </w:pPr>
                  <w:r>
                    <w:rPr>
                      <w:rFonts w:eastAsia="Times New Roman"/>
                      <w:color w:val="000000"/>
                      <w:sz w:val="20"/>
                      <w:szCs w:val="20"/>
                    </w:rPr>
                    <w:t>+44 (0) 20 3481 3254</w:t>
                  </w:r>
                </w:p>
              </w:tc>
              <w:tc>
                <w:tcPr>
                  <w:tcW w:w="0" w:type="auto"/>
                  <w:shd w:val="clear" w:color="auto" w:fill="EAEDF2"/>
                  <w:tcMar>
                    <w:top w:w="0" w:type="dxa"/>
                    <w:left w:w="0" w:type="dxa"/>
                    <w:bottom w:w="75" w:type="dxa"/>
                    <w:right w:w="0" w:type="dxa"/>
                  </w:tcMar>
                  <w:vAlign w:val="center"/>
                  <w:hideMark/>
                </w:tcPr>
                <w:p w14:paraId="5B951439" w14:textId="5C1380ED" w:rsidR="0091539F" w:rsidRDefault="0091539F">
                  <w:pPr>
                    <w:spacing w:line="240" w:lineRule="atLeast"/>
                    <w:rPr>
                      <w:rFonts w:eastAsia="Times New Roman"/>
                      <w:color w:val="000000"/>
                      <w:sz w:val="20"/>
                      <w:szCs w:val="20"/>
                    </w:rPr>
                  </w:pPr>
                </w:p>
              </w:tc>
            </w:tr>
          </w:tbl>
          <w:p w14:paraId="068C46A0" w14:textId="77777777" w:rsidR="0091539F" w:rsidRDefault="0091539F">
            <w:pPr>
              <w:rPr>
                <w:rFonts w:eastAsia="Times New Roman"/>
                <w:sz w:val="20"/>
                <w:szCs w:val="20"/>
              </w:rPr>
            </w:pPr>
          </w:p>
        </w:tc>
      </w:tr>
      <w:tr w:rsidR="0091539F" w14:paraId="7D1B93F5" w14:textId="77777777" w:rsidTr="0091539F">
        <w:tc>
          <w:tcPr>
            <w:tcW w:w="0" w:type="auto"/>
            <w:tcBorders>
              <w:top w:val="nil"/>
              <w:left w:val="single" w:sz="6" w:space="0" w:color="FFFFFF"/>
              <w:bottom w:val="single" w:sz="6" w:space="0" w:color="FFFFFF"/>
              <w:right w:val="single" w:sz="6" w:space="0" w:color="FFFFFF"/>
            </w:tcBorders>
            <w:shd w:val="clear" w:color="auto" w:fill="00BEB8"/>
            <w:tcMar>
              <w:top w:w="75" w:type="dxa"/>
              <w:left w:w="75" w:type="dxa"/>
              <w:bottom w:w="75" w:type="dxa"/>
              <w:right w:w="75" w:type="dxa"/>
            </w:tcMar>
            <w:vAlign w:val="center"/>
            <w:hideMark/>
          </w:tcPr>
          <w:p w14:paraId="561E29D0" w14:textId="77777777" w:rsidR="0091539F" w:rsidRDefault="0091539F">
            <w:pPr>
              <w:spacing w:line="240" w:lineRule="atLeast"/>
              <w:rPr>
                <w:rFonts w:eastAsia="Times New Roman"/>
                <w:color w:val="FFFFFF"/>
                <w:sz w:val="20"/>
                <w:szCs w:val="20"/>
              </w:rPr>
            </w:pPr>
            <w:r>
              <w:rPr>
                <w:rFonts w:eastAsia="Times New Roman"/>
                <w:color w:val="FFFFFF"/>
                <w:sz w:val="20"/>
                <w:szCs w:val="20"/>
              </w:rPr>
              <w:t xml:space="preserve">Participant PIN </w:t>
            </w:r>
          </w:p>
        </w:tc>
        <w:tc>
          <w:tcPr>
            <w:tcW w:w="0" w:type="auto"/>
            <w:tcBorders>
              <w:top w:val="nil"/>
              <w:left w:val="nil"/>
              <w:bottom w:val="single" w:sz="6" w:space="0" w:color="FFFFFF"/>
              <w:right w:val="single" w:sz="6" w:space="0" w:color="FFFFFF"/>
            </w:tcBorders>
            <w:shd w:val="clear" w:color="auto" w:fill="EAEDF2"/>
            <w:tcMar>
              <w:top w:w="75" w:type="dxa"/>
              <w:left w:w="75" w:type="dxa"/>
              <w:bottom w:w="75" w:type="dxa"/>
              <w:right w:w="75" w:type="dxa"/>
            </w:tcMar>
            <w:vAlign w:val="center"/>
            <w:hideMark/>
          </w:tcPr>
          <w:p w14:paraId="5E36F32B" w14:textId="77777777" w:rsidR="0091539F" w:rsidRDefault="0091539F">
            <w:pPr>
              <w:spacing w:line="240" w:lineRule="atLeast"/>
              <w:rPr>
                <w:rFonts w:eastAsia="Times New Roman"/>
                <w:color w:val="000000"/>
                <w:sz w:val="20"/>
                <w:szCs w:val="20"/>
              </w:rPr>
            </w:pPr>
            <w:r>
              <w:rPr>
                <w:rFonts w:eastAsia="Times New Roman"/>
                <w:color w:val="000000"/>
                <w:sz w:val="20"/>
                <w:szCs w:val="20"/>
              </w:rPr>
              <w:t xml:space="preserve">9544879# </w:t>
            </w:r>
          </w:p>
        </w:tc>
      </w:tr>
    </w:tbl>
    <w:p w14:paraId="7B91C0BF" w14:textId="77777777" w:rsidR="0091539F" w:rsidRDefault="0091539F" w:rsidP="00815732">
      <w:pPr>
        <w:rPr>
          <w:rFonts w:ascii="Arial" w:hAnsi="Arial" w:cs="Arial"/>
          <w:iCs/>
          <w:sz w:val="24"/>
          <w:szCs w:val="24"/>
        </w:rPr>
      </w:pPr>
    </w:p>
    <w:p w14:paraId="1961FF6B" w14:textId="71954BC8" w:rsidR="00FC2C19" w:rsidRDefault="00FC2C19" w:rsidP="00815732">
      <w:pPr>
        <w:rPr>
          <w:rFonts w:ascii="Arial" w:hAnsi="Arial" w:cs="Arial"/>
          <w:iCs/>
          <w:sz w:val="24"/>
          <w:szCs w:val="24"/>
        </w:rPr>
      </w:pPr>
    </w:p>
    <w:p w14:paraId="7A771451" w14:textId="77777777" w:rsidR="00F13F6E" w:rsidRDefault="00F13F6E" w:rsidP="00815732">
      <w:pPr>
        <w:rPr>
          <w:rFonts w:ascii="Arial" w:hAnsi="Arial" w:cs="Arial"/>
          <w:iCs/>
          <w:color w:val="FF0000"/>
          <w:sz w:val="24"/>
          <w:szCs w:val="24"/>
        </w:rPr>
      </w:pPr>
    </w:p>
    <w:p w14:paraId="7A06ECE8" w14:textId="77777777" w:rsidR="00F13F6E" w:rsidRDefault="00F13F6E" w:rsidP="00815732">
      <w:pPr>
        <w:rPr>
          <w:rFonts w:ascii="Arial" w:hAnsi="Arial" w:cs="Arial"/>
          <w:color w:val="2E75B5"/>
          <w:sz w:val="24"/>
          <w:szCs w:val="24"/>
          <w:lang w:eastAsia="en-GB"/>
        </w:rPr>
      </w:pPr>
    </w:p>
    <w:p w14:paraId="5BA672CB" w14:textId="1F24066F" w:rsidR="00815732" w:rsidRPr="00336CD8" w:rsidRDefault="00815732" w:rsidP="00815732">
      <w:pPr>
        <w:rPr>
          <w:rFonts w:ascii="Arial" w:hAnsi="Arial" w:cs="Arial"/>
          <w:sz w:val="24"/>
          <w:szCs w:val="24"/>
          <w:lang w:eastAsia="en-GB"/>
        </w:rPr>
      </w:pPr>
      <w:r>
        <w:rPr>
          <w:rFonts w:ascii="Arial" w:hAnsi="Arial" w:cs="Arial"/>
          <w:iCs/>
          <w:sz w:val="24"/>
          <w:szCs w:val="24"/>
        </w:rPr>
        <w:t xml:space="preserve">If you would </w:t>
      </w:r>
      <w:r w:rsidRPr="00954FAB">
        <w:rPr>
          <w:rFonts w:ascii="Arial" w:hAnsi="Arial" w:cs="Arial"/>
          <w:iCs/>
          <w:sz w:val="24"/>
          <w:szCs w:val="24"/>
        </w:rPr>
        <w:t xml:space="preserve">like </w:t>
      </w:r>
      <w:r w:rsidRPr="00F808E0">
        <w:rPr>
          <w:rFonts w:ascii="Arial" w:hAnsi="Arial" w:cs="Arial"/>
          <w:iCs/>
          <w:sz w:val="24"/>
          <w:szCs w:val="24"/>
        </w:rPr>
        <w:t xml:space="preserve">to </w:t>
      </w:r>
      <w:r>
        <w:rPr>
          <w:rFonts w:ascii="Arial" w:hAnsi="Arial" w:cs="Arial"/>
          <w:iCs/>
          <w:sz w:val="24"/>
          <w:szCs w:val="24"/>
        </w:rPr>
        <w:t xml:space="preserve">attend </w:t>
      </w:r>
      <w:r w:rsidR="00F13F6E">
        <w:rPr>
          <w:rFonts w:ascii="Arial" w:hAnsi="Arial" w:cs="Arial"/>
          <w:iCs/>
          <w:sz w:val="24"/>
          <w:szCs w:val="24"/>
        </w:rPr>
        <w:t>the early market engagement event on 16</w:t>
      </w:r>
      <w:r w:rsidR="00F13F6E" w:rsidRPr="00F13F6E">
        <w:rPr>
          <w:rFonts w:ascii="Arial" w:hAnsi="Arial" w:cs="Arial"/>
          <w:iCs/>
          <w:sz w:val="24"/>
          <w:szCs w:val="24"/>
          <w:vertAlign w:val="superscript"/>
        </w:rPr>
        <w:t>th</w:t>
      </w:r>
      <w:r w:rsidR="00F13F6E">
        <w:rPr>
          <w:rFonts w:ascii="Arial" w:hAnsi="Arial" w:cs="Arial"/>
          <w:iCs/>
          <w:sz w:val="24"/>
          <w:szCs w:val="24"/>
        </w:rPr>
        <w:t xml:space="preserve"> or 17</w:t>
      </w:r>
      <w:r w:rsidR="00F13F6E" w:rsidRPr="00F13F6E">
        <w:rPr>
          <w:rFonts w:ascii="Arial" w:hAnsi="Arial" w:cs="Arial"/>
          <w:iCs/>
          <w:sz w:val="24"/>
          <w:szCs w:val="24"/>
          <w:vertAlign w:val="superscript"/>
        </w:rPr>
        <w:t>th</w:t>
      </w:r>
      <w:r w:rsidR="00F13F6E">
        <w:rPr>
          <w:rFonts w:ascii="Arial" w:hAnsi="Arial" w:cs="Arial"/>
          <w:iCs/>
          <w:sz w:val="24"/>
          <w:szCs w:val="24"/>
        </w:rPr>
        <w:t xml:space="preserve"> April, </w:t>
      </w:r>
      <w:r w:rsidRPr="00F808E0">
        <w:rPr>
          <w:rFonts w:ascii="Arial" w:hAnsi="Arial" w:cs="Arial"/>
          <w:iCs/>
          <w:sz w:val="24"/>
          <w:szCs w:val="24"/>
        </w:rPr>
        <w:t xml:space="preserve">please </w:t>
      </w:r>
      <w:r w:rsidRPr="00954FAB">
        <w:rPr>
          <w:rFonts w:ascii="Arial" w:hAnsi="Arial" w:cs="Arial"/>
          <w:iCs/>
          <w:sz w:val="24"/>
          <w:szCs w:val="24"/>
        </w:rPr>
        <w:t>respond to the email address below by</w:t>
      </w:r>
      <w:r w:rsidRPr="00F808E0">
        <w:rPr>
          <w:rFonts w:ascii="Arial" w:hAnsi="Arial" w:cs="Arial"/>
          <w:iCs/>
          <w:sz w:val="24"/>
          <w:szCs w:val="24"/>
        </w:rPr>
        <w:t xml:space="preserve"> </w:t>
      </w:r>
      <w:r>
        <w:rPr>
          <w:rFonts w:ascii="Arial" w:hAnsi="Arial" w:cs="Arial"/>
          <w:iCs/>
          <w:sz w:val="24"/>
          <w:szCs w:val="24"/>
        </w:rPr>
        <w:t xml:space="preserve">close of business </w:t>
      </w:r>
      <w:r w:rsidR="0091539F">
        <w:rPr>
          <w:rFonts w:ascii="Arial" w:hAnsi="Arial" w:cs="Arial"/>
          <w:iCs/>
          <w:sz w:val="24"/>
          <w:szCs w:val="24"/>
        </w:rPr>
        <w:t xml:space="preserve">(5pm) </w:t>
      </w:r>
      <w:r>
        <w:rPr>
          <w:rFonts w:ascii="Arial" w:hAnsi="Arial" w:cs="Arial"/>
          <w:iCs/>
          <w:sz w:val="24"/>
          <w:szCs w:val="24"/>
        </w:rPr>
        <w:t xml:space="preserve">on </w:t>
      </w:r>
      <w:r w:rsidR="0091539F">
        <w:rPr>
          <w:rFonts w:ascii="Arial" w:hAnsi="Arial" w:cs="Arial"/>
          <w:iCs/>
          <w:sz w:val="24"/>
          <w:szCs w:val="24"/>
        </w:rPr>
        <w:t xml:space="preserve">Friday </w:t>
      </w:r>
      <w:r w:rsidR="00F13F6E" w:rsidRPr="00F13F6E">
        <w:rPr>
          <w:rFonts w:ascii="Arial" w:hAnsi="Arial" w:cs="Arial"/>
          <w:iCs/>
          <w:sz w:val="24"/>
          <w:szCs w:val="24"/>
        </w:rPr>
        <w:t>29</w:t>
      </w:r>
      <w:r w:rsidR="00F13F6E" w:rsidRPr="00F13F6E">
        <w:rPr>
          <w:rFonts w:ascii="Arial" w:hAnsi="Arial" w:cs="Arial"/>
          <w:iCs/>
          <w:sz w:val="24"/>
          <w:szCs w:val="24"/>
          <w:vertAlign w:val="superscript"/>
        </w:rPr>
        <w:t>th</w:t>
      </w:r>
      <w:r w:rsidR="0091539F">
        <w:rPr>
          <w:rFonts w:ascii="Arial" w:hAnsi="Arial" w:cs="Arial"/>
          <w:iCs/>
          <w:sz w:val="24"/>
          <w:szCs w:val="24"/>
        </w:rPr>
        <w:t xml:space="preserve"> March</w:t>
      </w:r>
      <w:r w:rsidR="00F13F6E" w:rsidRPr="00F13F6E">
        <w:rPr>
          <w:rFonts w:ascii="Arial" w:hAnsi="Arial" w:cs="Arial"/>
          <w:iCs/>
          <w:sz w:val="24"/>
          <w:szCs w:val="24"/>
        </w:rPr>
        <w:t xml:space="preserve"> 2019 </w:t>
      </w:r>
      <w:r>
        <w:rPr>
          <w:rFonts w:ascii="Arial" w:hAnsi="Arial" w:cs="Arial"/>
          <w:iCs/>
          <w:sz w:val="24"/>
          <w:szCs w:val="24"/>
        </w:rPr>
        <w:t>registering your interest.  Please include a Word document providing a s</w:t>
      </w:r>
      <w:r w:rsidR="00BA0050">
        <w:rPr>
          <w:rFonts w:ascii="Arial" w:hAnsi="Arial" w:cs="Arial"/>
          <w:iCs/>
          <w:sz w:val="24"/>
          <w:szCs w:val="24"/>
        </w:rPr>
        <w:t xml:space="preserve">ummary of your organisation </w:t>
      </w:r>
      <w:r>
        <w:rPr>
          <w:rFonts w:ascii="Arial" w:hAnsi="Arial" w:cs="Arial"/>
          <w:iCs/>
          <w:sz w:val="24"/>
          <w:szCs w:val="24"/>
        </w:rPr>
        <w:t>and why you think you should be selected to attend the event.</w:t>
      </w:r>
    </w:p>
    <w:p w14:paraId="1B8EB163" w14:textId="77777777" w:rsidR="00815732" w:rsidRDefault="00815732" w:rsidP="00815732">
      <w:pPr>
        <w:textAlignment w:val="center"/>
        <w:rPr>
          <w:rFonts w:ascii="Arial" w:hAnsi="Arial" w:cs="Arial"/>
          <w:iCs/>
          <w:sz w:val="24"/>
          <w:szCs w:val="24"/>
        </w:rPr>
      </w:pPr>
    </w:p>
    <w:p w14:paraId="4C37DC0F" w14:textId="77777777" w:rsidR="00815732" w:rsidRPr="00ED4752" w:rsidRDefault="00815732" w:rsidP="00815732">
      <w:pPr>
        <w:textAlignment w:val="center"/>
        <w:rPr>
          <w:rFonts w:ascii="Arial" w:hAnsi="Arial" w:cs="Arial"/>
          <w:i/>
          <w:iCs/>
          <w:sz w:val="24"/>
          <w:szCs w:val="24"/>
        </w:rPr>
      </w:pPr>
      <w:r>
        <w:rPr>
          <w:rFonts w:ascii="Arial" w:hAnsi="Arial" w:cs="Arial"/>
          <w:i/>
          <w:iCs/>
          <w:sz w:val="24"/>
          <w:szCs w:val="24"/>
        </w:rPr>
        <w:t xml:space="preserve">Email address - </w:t>
      </w:r>
      <w:r w:rsidRPr="00F6415F">
        <w:rPr>
          <w:rFonts w:ascii="Arial" w:hAnsi="Arial" w:cs="Arial"/>
          <w:i/>
          <w:iCs/>
          <w:sz w:val="24"/>
          <w:szCs w:val="24"/>
        </w:rPr>
        <w:t>CD.DDSPMAILBOX@DWP.GSI.GOV.UK</w:t>
      </w:r>
    </w:p>
    <w:p w14:paraId="16021507" w14:textId="77777777" w:rsidR="00815732" w:rsidRDefault="00815732" w:rsidP="00815732">
      <w:pPr>
        <w:rPr>
          <w:rFonts w:ascii="Arial" w:hAnsi="Arial" w:cs="Arial"/>
          <w:iCs/>
          <w:sz w:val="24"/>
          <w:szCs w:val="24"/>
        </w:rPr>
      </w:pPr>
    </w:p>
    <w:p w14:paraId="081A86A6" w14:textId="08DA979B" w:rsidR="00F13F6E" w:rsidRPr="00AF610D" w:rsidRDefault="00AF610D" w:rsidP="00815732">
      <w:pPr>
        <w:rPr>
          <w:rFonts w:ascii="Arial" w:hAnsi="Arial" w:cs="Arial"/>
          <w:b/>
          <w:iCs/>
          <w:sz w:val="24"/>
          <w:szCs w:val="24"/>
        </w:rPr>
      </w:pPr>
      <w:r w:rsidRPr="00AF610D">
        <w:rPr>
          <w:rFonts w:ascii="Arial" w:hAnsi="Arial" w:cs="Arial"/>
          <w:b/>
          <w:iCs/>
          <w:sz w:val="24"/>
          <w:szCs w:val="24"/>
        </w:rPr>
        <w:t>Additional Information</w:t>
      </w:r>
    </w:p>
    <w:p w14:paraId="44F6D333" w14:textId="4AB68576" w:rsidR="00AF610D" w:rsidRDefault="00AF610D" w:rsidP="00815732">
      <w:pPr>
        <w:rPr>
          <w:rFonts w:ascii="Arial" w:hAnsi="Arial" w:cs="Arial"/>
          <w:iCs/>
          <w:sz w:val="24"/>
          <w:szCs w:val="24"/>
        </w:rPr>
      </w:pPr>
    </w:p>
    <w:bookmarkStart w:id="0" w:name="_MON_1613989669"/>
    <w:bookmarkEnd w:id="0"/>
    <w:p w14:paraId="572AEB77" w14:textId="19D0E9AE" w:rsidR="00AF610D" w:rsidRDefault="00AF610D" w:rsidP="00815732">
      <w:pPr>
        <w:rPr>
          <w:rFonts w:ascii="Arial" w:hAnsi="Arial" w:cs="Arial"/>
          <w:iCs/>
          <w:sz w:val="24"/>
          <w:szCs w:val="24"/>
        </w:rPr>
      </w:pPr>
      <w:r>
        <w:rPr>
          <w:rFonts w:ascii="Arial" w:hAnsi="Arial" w:cs="Arial"/>
          <w:iCs/>
          <w:sz w:val="24"/>
          <w:szCs w:val="24"/>
        </w:rPr>
        <w:object w:dxaOrig="1487" w:dyaOrig="993" w14:anchorId="50A35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7" o:title=""/>
          </v:shape>
          <o:OLEObject Type="Embed" ProgID="Word.Document.12" ShapeID="_x0000_i1025" DrawAspect="Icon" ObjectID="_1614164574" r:id="rId8">
            <o:FieldCodes>\s</o:FieldCodes>
          </o:OLEObject>
        </w:object>
      </w:r>
      <w:bookmarkStart w:id="1" w:name="_GoBack"/>
      <w:bookmarkEnd w:id="1"/>
    </w:p>
    <w:p w14:paraId="7EA186A8" w14:textId="77777777" w:rsidR="00EC4C3A" w:rsidRDefault="00EC4C3A" w:rsidP="00815732">
      <w:pPr>
        <w:rPr>
          <w:rFonts w:ascii="Arial" w:hAnsi="Arial" w:cs="Arial"/>
          <w:iCs/>
          <w:sz w:val="24"/>
          <w:szCs w:val="24"/>
        </w:rPr>
      </w:pPr>
    </w:p>
    <w:p w14:paraId="43D711B4" w14:textId="77777777" w:rsidR="00F13F6E" w:rsidRDefault="00F13F6E" w:rsidP="00815732">
      <w:pPr>
        <w:rPr>
          <w:rFonts w:ascii="Arial" w:hAnsi="Arial" w:cs="Arial"/>
          <w:iCs/>
          <w:sz w:val="24"/>
          <w:szCs w:val="24"/>
        </w:rPr>
      </w:pPr>
    </w:p>
    <w:p w14:paraId="68ED5E65" w14:textId="5082C547" w:rsidR="00815732" w:rsidRPr="00954FAB" w:rsidRDefault="00815732" w:rsidP="00815732">
      <w:pPr>
        <w:rPr>
          <w:rFonts w:ascii="Arial" w:hAnsi="Arial" w:cs="Arial"/>
          <w:iCs/>
          <w:sz w:val="24"/>
          <w:szCs w:val="24"/>
        </w:rPr>
      </w:pPr>
      <w:r>
        <w:rPr>
          <w:rFonts w:ascii="Arial" w:hAnsi="Arial" w:cs="Arial"/>
          <w:iCs/>
          <w:sz w:val="24"/>
          <w:szCs w:val="24"/>
        </w:rPr>
        <w:t xml:space="preserve">Any supplier </w:t>
      </w:r>
      <w:r w:rsidRPr="00954FAB">
        <w:rPr>
          <w:rFonts w:ascii="Arial" w:hAnsi="Arial" w:cs="Arial"/>
          <w:iCs/>
          <w:sz w:val="24"/>
          <w:szCs w:val="24"/>
        </w:rPr>
        <w:t xml:space="preserve">that may be contacted directly or who responds to this notice, </w:t>
      </w:r>
      <w:r>
        <w:rPr>
          <w:rFonts w:ascii="Arial" w:hAnsi="Arial" w:cs="Arial"/>
          <w:iCs/>
          <w:sz w:val="24"/>
          <w:szCs w:val="24"/>
        </w:rPr>
        <w:t xml:space="preserve">may not necessarily be invited to the event and </w:t>
      </w:r>
      <w:r w:rsidRPr="00954FAB">
        <w:rPr>
          <w:rFonts w:ascii="Arial" w:hAnsi="Arial" w:cs="Arial"/>
          <w:iCs/>
          <w:sz w:val="24"/>
          <w:szCs w:val="24"/>
        </w:rPr>
        <w:t xml:space="preserve">does not have a privileged position in relation to any </w:t>
      </w:r>
      <w:r>
        <w:rPr>
          <w:rFonts w:ascii="Arial" w:hAnsi="Arial" w:cs="Arial"/>
          <w:iCs/>
          <w:sz w:val="24"/>
          <w:szCs w:val="24"/>
        </w:rPr>
        <w:t>future contract opportunity.  A</w:t>
      </w:r>
      <w:r w:rsidRPr="00954FAB">
        <w:rPr>
          <w:rFonts w:ascii="Arial" w:hAnsi="Arial" w:cs="Arial"/>
          <w:iCs/>
          <w:sz w:val="24"/>
          <w:szCs w:val="24"/>
        </w:rPr>
        <w:t xml:space="preserve">ny subsequent </w:t>
      </w:r>
      <w:r>
        <w:rPr>
          <w:rFonts w:ascii="Arial" w:hAnsi="Arial" w:cs="Arial"/>
          <w:iCs/>
          <w:sz w:val="24"/>
          <w:szCs w:val="24"/>
        </w:rPr>
        <w:t xml:space="preserve">procurements that DWP conducts </w:t>
      </w:r>
      <w:r w:rsidRPr="00954FAB">
        <w:rPr>
          <w:rFonts w:ascii="Arial" w:hAnsi="Arial" w:cs="Arial"/>
          <w:iCs/>
          <w:sz w:val="24"/>
          <w:szCs w:val="24"/>
        </w:rPr>
        <w:t>will be based on the fair and objective outcome of a procurement process.</w:t>
      </w:r>
    </w:p>
    <w:p w14:paraId="754B3303" w14:textId="77777777" w:rsidR="00815732" w:rsidRPr="00954FAB" w:rsidRDefault="00815732" w:rsidP="00815732">
      <w:pPr>
        <w:rPr>
          <w:rFonts w:ascii="Arial" w:hAnsi="Arial" w:cs="Arial"/>
          <w:sz w:val="24"/>
          <w:szCs w:val="24"/>
        </w:rPr>
      </w:pPr>
    </w:p>
    <w:p w14:paraId="60F0F0A0" w14:textId="77777777" w:rsidR="00815732" w:rsidRPr="00954FAB" w:rsidRDefault="00815732" w:rsidP="00815732">
      <w:pPr>
        <w:rPr>
          <w:rFonts w:ascii="Arial" w:hAnsi="Arial" w:cs="Arial"/>
          <w:sz w:val="24"/>
          <w:szCs w:val="24"/>
        </w:rPr>
      </w:pPr>
      <w:r w:rsidRPr="00954FAB">
        <w:rPr>
          <w:rFonts w:ascii="Arial" w:hAnsi="Arial" w:cs="Arial"/>
          <w:sz w:val="24"/>
          <w:szCs w:val="24"/>
        </w:rPr>
        <w:t xml:space="preserve">I look forward to your response. </w:t>
      </w:r>
    </w:p>
    <w:p w14:paraId="164C11C1" w14:textId="77777777" w:rsidR="00815732" w:rsidRPr="00954FAB" w:rsidRDefault="00815732" w:rsidP="00815732">
      <w:pPr>
        <w:rPr>
          <w:rFonts w:ascii="Arial" w:hAnsi="Arial" w:cs="Arial"/>
          <w:sz w:val="24"/>
          <w:szCs w:val="24"/>
        </w:rPr>
      </w:pPr>
    </w:p>
    <w:p w14:paraId="7F51D49A" w14:textId="77777777" w:rsidR="00815732" w:rsidRDefault="00815732" w:rsidP="00815732">
      <w:pPr>
        <w:rPr>
          <w:rFonts w:ascii="Arial" w:hAnsi="Arial" w:cs="Arial"/>
          <w:sz w:val="24"/>
          <w:szCs w:val="24"/>
        </w:rPr>
      </w:pPr>
      <w:r w:rsidRPr="00954FAB">
        <w:rPr>
          <w:rFonts w:ascii="Arial" w:hAnsi="Arial" w:cs="Arial"/>
          <w:sz w:val="24"/>
          <w:szCs w:val="24"/>
        </w:rPr>
        <w:t>Yours faithfully,</w:t>
      </w:r>
    </w:p>
    <w:p w14:paraId="015620B2" w14:textId="77777777" w:rsidR="00815732" w:rsidRPr="00954FAB" w:rsidRDefault="00815732" w:rsidP="00815732">
      <w:pPr>
        <w:rPr>
          <w:rFonts w:ascii="Arial" w:hAnsi="Arial" w:cs="Arial"/>
          <w:sz w:val="24"/>
          <w:szCs w:val="24"/>
        </w:rPr>
      </w:pPr>
    </w:p>
    <w:p w14:paraId="6030ECCF" w14:textId="77777777" w:rsidR="00815732" w:rsidRDefault="00815732" w:rsidP="00815732">
      <w:pPr>
        <w:rPr>
          <w:rFonts w:ascii="Arial" w:hAnsi="Arial" w:cs="Arial"/>
          <w:b/>
          <w:color w:val="FF0000"/>
          <w:sz w:val="24"/>
          <w:szCs w:val="24"/>
        </w:rPr>
      </w:pPr>
    </w:p>
    <w:p w14:paraId="4FF9981E" w14:textId="77777777" w:rsidR="00815732" w:rsidRDefault="00815732" w:rsidP="00815732">
      <w:pPr>
        <w:rPr>
          <w:rFonts w:ascii="Arial" w:hAnsi="Arial" w:cs="Arial"/>
          <w:b/>
          <w:color w:val="FF0000"/>
          <w:sz w:val="24"/>
          <w:szCs w:val="24"/>
        </w:rPr>
      </w:pPr>
    </w:p>
    <w:p w14:paraId="354D90D0" w14:textId="77777777" w:rsidR="00815732" w:rsidRPr="00352A55" w:rsidRDefault="00815732" w:rsidP="00815732">
      <w:pPr>
        <w:rPr>
          <w:rFonts w:ascii="Arial" w:hAnsi="Arial" w:cs="Arial"/>
          <w:sz w:val="24"/>
          <w:szCs w:val="24"/>
        </w:rPr>
      </w:pPr>
      <w:r>
        <w:rPr>
          <w:rFonts w:ascii="Arial" w:hAnsi="Arial" w:cs="Arial"/>
          <w:sz w:val="24"/>
          <w:szCs w:val="24"/>
        </w:rPr>
        <w:t>Mark Cranshaw</w:t>
      </w:r>
    </w:p>
    <w:p w14:paraId="1D947A3F" w14:textId="5D97647B" w:rsidR="00712B49" w:rsidRPr="00BA0050" w:rsidRDefault="00815732" w:rsidP="00954FAB">
      <w:pPr>
        <w:rPr>
          <w:rFonts w:ascii="Arial" w:hAnsi="Arial" w:cs="Arial"/>
          <w:b/>
          <w:sz w:val="24"/>
          <w:szCs w:val="24"/>
        </w:rPr>
      </w:pPr>
      <w:r w:rsidRPr="00352A55">
        <w:rPr>
          <w:rFonts w:ascii="Arial" w:hAnsi="Arial" w:cs="Arial"/>
          <w:b/>
          <w:sz w:val="24"/>
          <w:szCs w:val="24"/>
        </w:rPr>
        <w:t xml:space="preserve">DWP Commercial Lead, Digital </w:t>
      </w:r>
      <w:r>
        <w:rPr>
          <w:rFonts w:ascii="Arial" w:hAnsi="Arial" w:cs="Arial"/>
          <w:b/>
          <w:sz w:val="24"/>
          <w:szCs w:val="24"/>
        </w:rPr>
        <w:t xml:space="preserve">Delivery of Shared Platforms </w:t>
      </w:r>
      <w:r w:rsidRPr="00352A55">
        <w:rPr>
          <w:rFonts w:ascii="Arial" w:hAnsi="Arial" w:cs="Arial"/>
          <w:b/>
          <w:sz w:val="24"/>
          <w:szCs w:val="24"/>
        </w:rPr>
        <w:t>Category</w:t>
      </w:r>
    </w:p>
    <w:sectPr w:rsidR="00712B49" w:rsidRPr="00BA0050" w:rsidSect="00BF6FE2">
      <w:headerReference w:type="default" r:id="rId9"/>
      <w:foot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453A8" w14:textId="77777777" w:rsidR="00CE6AC9" w:rsidRDefault="00CE6AC9" w:rsidP="00BF6FE2">
      <w:r>
        <w:separator/>
      </w:r>
    </w:p>
  </w:endnote>
  <w:endnote w:type="continuationSeparator" w:id="0">
    <w:p w14:paraId="475EAC63" w14:textId="77777777" w:rsidR="00CE6AC9" w:rsidRDefault="00CE6AC9" w:rsidP="00BF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374052"/>
      <w:docPartObj>
        <w:docPartGallery w:val="Page Numbers (Bottom of Page)"/>
        <w:docPartUnique/>
      </w:docPartObj>
    </w:sdtPr>
    <w:sdtEndPr/>
    <w:sdtContent>
      <w:p w14:paraId="76C519D5" w14:textId="39B14348" w:rsidR="00D2140D" w:rsidRDefault="00D2140D">
        <w:pPr>
          <w:pStyle w:val="Footer"/>
          <w:jc w:val="center"/>
        </w:pPr>
        <w:r>
          <w:t>[</w:t>
        </w:r>
        <w:r>
          <w:fldChar w:fldCharType="begin"/>
        </w:r>
        <w:r>
          <w:instrText xml:space="preserve"> PAGE   \* MERGEFORMAT </w:instrText>
        </w:r>
        <w:r>
          <w:fldChar w:fldCharType="separate"/>
        </w:r>
        <w:r w:rsidR="00CE707C">
          <w:rPr>
            <w:noProof/>
          </w:rPr>
          <w:t>2</w:t>
        </w:r>
        <w:r>
          <w:rPr>
            <w:noProof/>
          </w:rPr>
          <w:fldChar w:fldCharType="end"/>
        </w:r>
        <w:r>
          <w:t>]</w:t>
        </w:r>
      </w:p>
    </w:sdtContent>
  </w:sdt>
  <w:p w14:paraId="027D0754" w14:textId="77777777" w:rsidR="00D2140D" w:rsidRDefault="00D214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EFC37" w14:textId="77777777" w:rsidR="00CE6AC9" w:rsidRDefault="00CE6AC9" w:rsidP="00BF6FE2">
      <w:r>
        <w:separator/>
      </w:r>
    </w:p>
  </w:footnote>
  <w:footnote w:type="continuationSeparator" w:id="0">
    <w:p w14:paraId="447D3CC0" w14:textId="77777777" w:rsidR="00CE6AC9" w:rsidRDefault="00CE6AC9" w:rsidP="00BF6F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CA6E" w14:textId="77777777" w:rsidR="00D2140D" w:rsidRDefault="00D2140D">
    <w:pPr>
      <w:pStyle w:val="Header"/>
    </w:pPr>
    <w:r w:rsidRPr="00D2140D">
      <w:rPr>
        <w:noProof/>
        <w:lang w:eastAsia="en-GB"/>
      </w:rPr>
      <w:drawing>
        <wp:inline distT="0" distB="0" distL="0" distR="0" wp14:anchorId="18FC59A8" wp14:editId="24083B0E">
          <wp:extent cx="951669" cy="691035"/>
          <wp:effectExtent l="0" t="0" r="1270" b="0"/>
          <wp:docPr id="9219" name="Picture 3"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 name="Picture 3" descr="Pictur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35" cy="721581"/>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4BDE"/>
    <w:multiLevelType w:val="hybridMultilevel"/>
    <w:tmpl w:val="68C83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8D3E78"/>
    <w:multiLevelType w:val="hybridMultilevel"/>
    <w:tmpl w:val="9A4AB3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7E50DB7"/>
    <w:multiLevelType w:val="hybridMultilevel"/>
    <w:tmpl w:val="111847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722EA9"/>
    <w:multiLevelType w:val="hybridMultilevel"/>
    <w:tmpl w:val="853CEE3E"/>
    <w:lvl w:ilvl="0" w:tplc="88C8DA32">
      <w:start w:val="1"/>
      <w:numFmt w:val="bullet"/>
      <w:lvlText w:val="•"/>
      <w:lvlJc w:val="left"/>
      <w:pPr>
        <w:tabs>
          <w:tab w:val="num" w:pos="720"/>
        </w:tabs>
        <w:ind w:left="720" w:hanging="360"/>
      </w:pPr>
      <w:rPr>
        <w:rFonts w:ascii="Arial" w:hAnsi="Arial" w:hint="default"/>
      </w:rPr>
    </w:lvl>
    <w:lvl w:ilvl="1" w:tplc="40763B64" w:tentative="1">
      <w:start w:val="1"/>
      <w:numFmt w:val="bullet"/>
      <w:lvlText w:val="•"/>
      <w:lvlJc w:val="left"/>
      <w:pPr>
        <w:tabs>
          <w:tab w:val="num" w:pos="1440"/>
        </w:tabs>
        <w:ind w:left="1440" w:hanging="360"/>
      </w:pPr>
      <w:rPr>
        <w:rFonts w:ascii="Arial" w:hAnsi="Arial" w:hint="default"/>
      </w:rPr>
    </w:lvl>
    <w:lvl w:ilvl="2" w:tplc="D0D86CA8" w:tentative="1">
      <w:start w:val="1"/>
      <w:numFmt w:val="bullet"/>
      <w:lvlText w:val="•"/>
      <w:lvlJc w:val="left"/>
      <w:pPr>
        <w:tabs>
          <w:tab w:val="num" w:pos="2160"/>
        </w:tabs>
        <w:ind w:left="2160" w:hanging="360"/>
      </w:pPr>
      <w:rPr>
        <w:rFonts w:ascii="Arial" w:hAnsi="Arial" w:hint="default"/>
      </w:rPr>
    </w:lvl>
    <w:lvl w:ilvl="3" w:tplc="C95ED020" w:tentative="1">
      <w:start w:val="1"/>
      <w:numFmt w:val="bullet"/>
      <w:lvlText w:val="•"/>
      <w:lvlJc w:val="left"/>
      <w:pPr>
        <w:tabs>
          <w:tab w:val="num" w:pos="2880"/>
        </w:tabs>
        <w:ind w:left="2880" w:hanging="360"/>
      </w:pPr>
      <w:rPr>
        <w:rFonts w:ascii="Arial" w:hAnsi="Arial" w:hint="default"/>
      </w:rPr>
    </w:lvl>
    <w:lvl w:ilvl="4" w:tplc="FD5A1100" w:tentative="1">
      <w:start w:val="1"/>
      <w:numFmt w:val="bullet"/>
      <w:lvlText w:val="•"/>
      <w:lvlJc w:val="left"/>
      <w:pPr>
        <w:tabs>
          <w:tab w:val="num" w:pos="3600"/>
        </w:tabs>
        <w:ind w:left="3600" w:hanging="360"/>
      </w:pPr>
      <w:rPr>
        <w:rFonts w:ascii="Arial" w:hAnsi="Arial" w:hint="default"/>
      </w:rPr>
    </w:lvl>
    <w:lvl w:ilvl="5" w:tplc="9FB0AED6" w:tentative="1">
      <w:start w:val="1"/>
      <w:numFmt w:val="bullet"/>
      <w:lvlText w:val="•"/>
      <w:lvlJc w:val="left"/>
      <w:pPr>
        <w:tabs>
          <w:tab w:val="num" w:pos="4320"/>
        </w:tabs>
        <w:ind w:left="4320" w:hanging="360"/>
      </w:pPr>
      <w:rPr>
        <w:rFonts w:ascii="Arial" w:hAnsi="Arial" w:hint="default"/>
      </w:rPr>
    </w:lvl>
    <w:lvl w:ilvl="6" w:tplc="E490283C" w:tentative="1">
      <w:start w:val="1"/>
      <w:numFmt w:val="bullet"/>
      <w:lvlText w:val="•"/>
      <w:lvlJc w:val="left"/>
      <w:pPr>
        <w:tabs>
          <w:tab w:val="num" w:pos="5040"/>
        </w:tabs>
        <w:ind w:left="5040" w:hanging="360"/>
      </w:pPr>
      <w:rPr>
        <w:rFonts w:ascii="Arial" w:hAnsi="Arial" w:hint="default"/>
      </w:rPr>
    </w:lvl>
    <w:lvl w:ilvl="7" w:tplc="EBEC5C4C" w:tentative="1">
      <w:start w:val="1"/>
      <w:numFmt w:val="bullet"/>
      <w:lvlText w:val="•"/>
      <w:lvlJc w:val="left"/>
      <w:pPr>
        <w:tabs>
          <w:tab w:val="num" w:pos="5760"/>
        </w:tabs>
        <w:ind w:left="5760" w:hanging="360"/>
      </w:pPr>
      <w:rPr>
        <w:rFonts w:ascii="Arial" w:hAnsi="Arial" w:hint="default"/>
      </w:rPr>
    </w:lvl>
    <w:lvl w:ilvl="8" w:tplc="2FB0FC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E5D6A21"/>
    <w:multiLevelType w:val="hybridMultilevel"/>
    <w:tmpl w:val="703A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2A6690"/>
    <w:multiLevelType w:val="multilevel"/>
    <w:tmpl w:val="D9FC4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3E"/>
    <w:rsid w:val="000373EC"/>
    <w:rsid w:val="00095004"/>
    <w:rsid w:val="000C5869"/>
    <w:rsid w:val="00116375"/>
    <w:rsid w:val="00131CB3"/>
    <w:rsid w:val="0028361A"/>
    <w:rsid w:val="002B79EC"/>
    <w:rsid w:val="00336CD8"/>
    <w:rsid w:val="00347F64"/>
    <w:rsid w:val="00351A59"/>
    <w:rsid w:val="00352A55"/>
    <w:rsid w:val="00392FBD"/>
    <w:rsid w:val="003E253E"/>
    <w:rsid w:val="00413F47"/>
    <w:rsid w:val="00437367"/>
    <w:rsid w:val="00482FCC"/>
    <w:rsid w:val="004A0D8A"/>
    <w:rsid w:val="004D09E9"/>
    <w:rsid w:val="004D1E67"/>
    <w:rsid w:val="00500B96"/>
    <w:rsid w:val="00541903"/>
    <w:rsid w:val="00546203"/>
    <w:rsid w:val="005637D1"/>
    <w:rsid w:val="00587EEA"/>
    <w:rsid w:val="00594760"/>
    <w:rsid w:val="00595056"/>
    <w:rsid w:val="005F10C3"/>
    <w:rsid w:val="005F2312"/>
    <w:rsid w:val="00602257"/>
    <w:rsid w:val="006304E4"/>
    <w:rsid w:val="006306FD"/>
    <w:rsid w:val="006756E8"/>
    <w:rsid w:val="006827D6"/>
    <w:rsid w:val="00686F10"/>
    <w:rsid w:val="006A5B49"/>
    <w:rsid w:val="006D779F"/>
    <w:rsid w:val="00712B49"/>
    <w:rsid w:val="00716741"/>
    <w:rsid w:val="007F728C"/>
    <w:rsid w:val="00815732"/>
    <w:rsid w:val="00830A63"/>
    <w:rsid w:val="008B29AE"/>
    <w:rsid w:val="008F1B9E"/>
    <w:rsid w:val="00914009"/>
    <w:rsid w:val="0091539F"/>
    <w:rsid w:val="00954FAB"/>
    <w:rsid w:val="009C6838"/>
    <w:rsid w:val="00A076F9"/>
    <w:rsid w:val="00A20E08"/>
    <w:rsid w:val="00A341FA"/>
    <w:rsid w:val="00A634C7"/>
    <w:rsid w:val="00A64F66"/>
    <w:rsid w:val="00AE185D"/>
    <w:rsid w:val="00AF610D"/>
    <w:rsid w:val="00B52EB7"/>
    <w:rsid w:val="00B76B92"/>
    <w:rsid w:val="00BA0050"/>
    <w:rsid w:val="00BF08B9"/>
    <w:rsid w:val="00BF6FE2"/>
    <w:rsid w:val="00C240B7"/>
    <w:rsid w:val="00C451C4"/>
    <w:rsid w:val="00C52EDC"/>
    <w:rsid w:val="00CE6AC9"/>
    <w:rsid w:val="00CE707C"/>
    <w:rsid w:val="00D2140D"/>
    <w:rsid w:val="00D80406"/>
    <w:rsid w:val="00D93001"/>
    <w:rsid w:val="00DE4AC8"/>
    <w:rsid w:val="00E119FE"/>
    <w:rsid w:val="00E7499D"/>
    <w:rsid w:val="00EC21D4"/>
    <w:rsid w:val="00EC4C3A"/>
    <w:rsid w:val="00ED4752"/>
    <w:rsid w:val="00F133E1"/>
    <w:rsid w:val="00F13F6E"/>
    <w:rsid w:val="00F326D5"/>
    <w:rsid w:val="00F6415F"/>
    <w:rsid w:val="00F700E2"/>
    <w:rsid w:val="00F808E0"/>
    <w:rsid w:val="00F96F3C"/>
    <w:rsid w:val="00FC2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2025DB"/>
  <w15:chartTrackingRefBased/>
  <w15:docId w15:val="{F69E9E0B-5AB4-4C04-B700-CA13EAD3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53E"/>
    <w:rPr>
      <w:color w:val="0563C1"/>
      <w:u w:val="single"/>
    </w:rPr>
  </w:style>
  <w:style w:type="paragraph" w:styleId="NormalWeb">
    <w:name w:val="Normal (Web)"/>
    <w:basedOn w:val="Normal"/>
    <w:uiPriority w:val="99"/>
    <w:unhideWhenUsed/>
    <w:rsid w:val="003E253E"/>
    <w:pPr>
      <w:spacing w:before="100" w:beforeAutospacing="1" w:after="100" w:afterAutospacing="1"/>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B29AE"/>
    <w:rPr>
      <w:color w:val="954F72" w:themeColor="followedHyperlink"/>
      <w:u w:val="single"/>
    </w:rPr>
  </w:style>
  <w:style w:type="paragraph" w:styleId="Header">
    <w:name w:val="header"/>
    <w:basedOn w:val="Normal"/>
    <w:link w:val="HeaderChar"/>
    <w:uiPriority w:val="99"/>
    <w:unhideWhenUsed/>
    <w:rsid w:val="00BF6FE2"/>
    <w:pPr>
      <w:tabs>
        <w:tab w:val="center" w:pos="4513"/>
        <w:tab w:val="right" w:pos="9026"/>
      </w:tabs>
    </w:pPr>
  </w:style>
  <w:style w:type="character" w:customStyle="1" w:styleId="HeaderChar">
    <w:name w:val="Header Char"/>
    <w:basedOn w:val="DefaultParagraphFont"/>
    <w:link w:val="Header"/>
    <w:uiPriority w:val="99"/>
    <w:rsid w:val="00BF6FE2"/>
    <w:rPr>
      <w:rFonts w:ascii="Calibri" w:hAnsi="Calibri" w:cs="Calibri"/>
    </w:rPr>
  </w:style>
  <w:style w:type="paragraph" w:styleId="Footer">
    <w:name w:val="footer"/>
    <w:basedOn w:val="Normal"/>
    <w:link w:val="FooterChar"/>
    <w:uiPriority w:val="99"/>
    <w:unhideWhenUsed/>
    <w:rsid w:val="00BF6FE2"/>
    <w:pPr>
      <w:tabs>
        <w:tab w:val="center" w:pos="4513"/>
        <w:tab w:val="right" w:pos="9026"/>
      </w:tabs>
    </w:pPr>
  </w:style>
  <w:style w:type="character" w:customStyle="1" w:styleId="FooterChar">
    <w:name w:val="Footer Char"/>
    <w:basedOn w:val="DefaultParagraphFont"/>
    <w:link w:val="Footer"/>
    <w:uiPriority w:val="99"/>
    <w:rsid w:val="00BF6FE2"/>
    <w:rPr>
      <w:rFonts w:ascii="Calibri" w:hAnsi="Calibri" w:cs="Calibri"/>
    </w:rPr>
  </w:style>
  <w:style w:type="paragraph" w:styleId="ListParagraph">
    <w:name w:val="List Paragraph"/>
    <w:basedOn w:val="Normal"/>
    <w:uiPriority w:val="34"/>
    <w:qFormat/>
    <w:rsid w:val="00B76B92"/>
    <w:pPr>
      <w:ind w:left="720"/>
      <w:contextualSpacing/>
    </w:pPr>
  </w:style>
  <w:style w:type="character" w:styleId="CommentReference">
    <w:name w:val="annotation reference"/>
    <w:basedOn w:val="DefaultParagraphFont"/>
    <w:uiPriority w:val="99"/>
    <w:semiHidden/>
    <w:unhideWhenUsed/>
    <w:rsid w:val="00F96F3C"/>
    <w:rPr>
      <w:sz w:val="16"/>
      <w:szCs w:val="16"/>
    </w:rPr>
  </w:style>
  <w:style w:type="paragraph" w:styleId="CommentText">
    <w:name w:val="annotation text"/>
    <w:basedOn w:val="Normal"/>
    <w:link w:val="CommentTextChar"/>
    <w:uiPriority w:val="99"/>
    <w:semiHidden/>
    <w:unhideWhenUsed/>
    <w:rsid w:val="00F96F3C"/>
    <w:rPr>
      <w:sz w:val="20"/>
      <w:szCs w:val="20"/>
    </w:rPr>
  </w:style>
  <w:style w:type="character" w:customStyle="1" w:styleId="CommentTextChar">
    <w:name w:val="Comment Text Char"/>
    <w:basedOn w:val="DefaultParagraphFont"/>
    <w:link w:val="CommentText"/>
    <w:uiPriority w:val="99"/>
    <w:semiHidden/>
    <w:rsid w:val="00F96F3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6F3C"/>
    <w:rPr>
      <w:b/>
      <w:bCs/>
    </w:rPr>
  </w:style>
  <w:style w:type="character" w:customStyle="1" w:styleId="CommentSubjectChar">
    <w:name w:val="Comment Subject Char"/>
    <w:basedOn w:val="CommentTextChar"/>
    <w:link w:val="CommentSubject"/>
    <w:uiPriority w:val="99"/>
    <w:semiHidden/>
    <w:rsid w:val="00F96F3C"/>
    <w:rPr>
      <w:rFonts w:ascii="Calibri" w:hAnsi="Calibri" w:cs="Calibri"/>
      <w:b/>
      <w:bCs/>
      <w:sz w:val="20"/>
      <w:szCs w:val="20"/>
    </w:rPr>
  </w:style>
  <w:style w:type="paragraph" w:styleId="BalloonText">
    <w:name w:val="Balloon Text"/>
    <w:basedOn w:val="Normal"/>
    <w:link w:val="BalloonTextChar"/>
    <w:uiPriority w:val="99"/>
    <w:semiHidden/>
    <w:unhideWhenUsed/>
    <w:rsid w:val="00F96F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2944">
      <w:bodyDiv w:val="1"/>
      <w:marLeft w:val="0"/>
      <w:marRight w:val="0"/>
      <w:marTop w:val="0"/>
      <w:marBottom w:val="0"/>
      <w:divBdr>
        <w:top w:val="none" w:sz="0" w:space="0" w:color="auto"/>
        <w:left w:val="none" w:sz="0" w:space="0" w:color="auto"/>
        <w:bottom w:val="none" w:sz="0" w:space="0" w:color="auto"/>
        <w:right w:val="none" w:sz="0" w:space="0" w:color="auto"/>
      </w:divBdr>
    </w:div>
    <w:div w:id="370613642">
      <w:bodyDiv w:val="1"/>
      <w:marLeft w:val="0"/>
      <w:marRight w:val="0"/>
      <w:marTop w:val="0"/>
      <w:marBottom w:val="0"/>
      <w:divBdr>
        <w:top w:val="none" w:sz="0" w:space="0" w:color="auto"/>
        <w:left w:val="none" w:sz="0" w:space="0" w:color="auto"/>
        <w:bottom w:val="none" w:sz="0" w:space="0" w:color="auto"/>
        <w:right w:val="none" w:sz="0" w:space="0" w:color="auto"/>
      </w:divBdr>
      <w:divsChild>
        <w:div w:id="411239818">
          <w:marLeft w:val="144"/>
          <w:marRight w:val="0"/>
          <w:marTop w:val="0"/>
          <w:marBottom w:val="63"/>
          <w:divBdr>
            <w:top w:val="none" w:sz="0" w:space="0" w:color="auto"/>
            <w:left w:val="none" w:sz="0" w:space="0" w:color="auto"/>
            <w:bottom w:val="none" w:sz="0" w:space="0" w:color="auto"/>
            <w:right w:val="none" w:sz="0" w:space="0" w:color="auto"/>
          </w:divBdr>
        </w:div>
        <w:div w:id="370149983">
          <w:marLeft w:val="144"/>
          <w:marRight w:val="0"/>
          <w:marTop w:val="0"/>
          <w:marBottom w:val="63"/>
          <w:divBdr>
            <w:top w:val="none" w:sz="0" w:space="0" w:color="auto"/>
            <w:left w:val="none" w:sz="0" w:space="0" w:color="auto"/>
            <w:bottom w:val="none" w:sz="0" w:space="0" w:color="auto"/>
            <w:right w:val="none" w:sz="0" w:space="0" w:color="auto"/>
          </w:divBdr>
        </w:div>
        <w:div w:id="520902290">
          <w:marLeft w:val="144"/>
          <w:marRight w:val="0"/>
          <w:marTop w:val="0"/>
          <w:marBottom w:val="63"/>
          <w:divBdr>
            <w:top w:val="none" w:sz="0" w:space="0" w:color="auto"/>
            <w:left w:val="none" w:sz="0" w:space="0" w:color="auto"/>
            <w:bottom w:val="none" w:sz="0" w:space="0" w:color="auto"/>
            <w:right w:val="none" w:sz="0" w:space="0" w:color="auto"/>
          </w:divBdr>
        </w:div>
        <w:div w:id="935096508">
          <w:marLeft w:val="144"/>
          <w:marRight w:val="0"/>
          <w:marTop w:val="0"/>
          <w:marBottom w:val="63"/>
          <w:divBdr>
            <w:top w:val="none" w:sz="0" w:space="0" w:color="auto"/>
            <w:left w:val="none" w:sz="0" w:space="0" w:color="auto"/>
            <w:bottom w:val="none" w:sz="0" w:space="0" w:color="auto"/>
            <w:right w:val="none" w:sz="0" w:space="0" w:color="auto"/>
          </w:divBdr>
        </w:div>
      </w:divsChild>
    </w:div>
    <w:div w:id="801268656">
      <w:bodyDiv w:val="1"/>
      <w:marLeft w:val="0"/>
      <w:marRight w:val="0"/>
      <w:marTop w:val="0"/>
      <w:marBottom w:val="0"/>
      <w:divBdr>
        <w:top w:val="none" w:sz="0" w:space="0" w:color="auto"/>
        <w:left w:val="none" w:sz="0" w:space="0" w:color="auto"/>
        <w:bottom w:val="none" w:sz="0" w:space="0" w:color="auto"/>
        <w:right w:val="none" w:sz="0" w:space="0" w:color="auto"/>
      </w:divBdr>
    </w:div>
    <w:div w:id="1227841022">
      <w:bodyDiv w:val="1"/>
      <w:marLeft w:val="0"/>
      <w:marRight w:val="0"/>
      <w:marTop w:val="0"/>
      <w:marBottom w:val="0"/>
      <w:divBdr>
        <w:top w:val="none" w:sz="0" w:space="0" w:color="auto"/>
        <w:left w:val="none" w:sz="0" w:space="0" w:color="auto"/>
        <w:bottom w:val="none" w:sz="0" w:space="0" w:color="auto"/>
        <w:right w:val="none" w:sz="0" w:space="0" w:color="auto"/>
      </w:divBdr>
    </w:div>
    <w:div w:id="1342661426">
      <w:bodyDiv w:val="1"/>
      <w:marLeft w:val="0"/>
      <w:marRight w:val="0"/>
      <w:marTop w:val="0"/>
      <w:marBottom w:val="0"/>
      <w:divBdr>
        <w:top w:val="none" w:sz="0" w:space="0" w:color="auto"/>
        <w:left w:val="none" w:sz="0" w:space="0" w:color="auto"/>
        <w:bottom w:val="none" w:sz="0" w:space="0" w:color="auto"/>
        <w:right w:val="none" w:sz="0" w:space="0" w:color="auto"/>
      </w:divBdr>
      <w:divsChild>
        <w:div w:id="95684660">
          <w:marLeft w:val="0"/>
          <w:marRight w:val="0"/>
          <w:marTop w:val="0"/>
          <w:marBottom w:val="0"/>
          <w:divBdr>
            <w:top w:val="none" w:sz="0" w:space="0" w:color="auto"/>
            <w:left w:val="none" w:sz="0" w:space="0" w:color="auto"/>
            <w:bottom w:val="none" w:sz="0" w:space="0" w:color="auto"/>
            <w:right w:val="none" w:sz="0" w:space="0" w:color="auto"/>
          </w:divBdr>
          <w:divsChild>
            <w:div w:id="314186681">
              <w:marLeft w:val="0"/>
              <w:marRight w:val="0"/>
              <w:marTop w:val="0"/>
              <w:marBottom w:val="0"/>
              <w:divBdr>
                <w:top w:val="none" w:sz="0" w:space="0" w:color="auto"/>
                <w:left w:val="none" w:sz="0" w:space="0" w:color="auto"/>
                <w:bottom w:val="none" w:sz="0" w:space="0" w:color="auto"/>
                <w:right w:val="none" w:sz="0" w:space="0" w:color="auto"/>
              </w:divBdr>
              <w:divsChild>
                <w:div w:id="1360427594">
                  <w:marLeft w:val="0"/>
                  <w:marRight w:val="0"/>
                  <w:marTop w:val="0"/>
                  <w:marBottom w:val="0"/>
                  <w:divBdr>
                    <w:top w:val="none" w:sz="0" w:space="0" w:color="auto"/>
                    <w:left w:val="none" w:sz="0" w:space="0" w:color="auto"/>
                    <w:bottom w:val="none" w:sz="0" w:space="0" w:color="auto"/>
                    <w:right w:val="none" w:sz="0" w:space="0" w:color="auto"/>
                  </w:divBdr>
                  <w:divsChild>
                    <w:div w:id="90586715">
                      <w:marLeft w:val="0"/>
                      <w:marRight w:val="0"/>
                      <w:marTop w:val="0"/>
                      <w:marBottom w:val="0"/>
                      <w:divBdr>
                        <w:top w:val="none" w:sz="0" w:space="0" w:color="auto"/>
                        <w:left w:val="none" w:sz="0" w:space="0" w:color="auto"/>
                        <w:bottom w:val="none" w:sz="0" w:space="0" w:color="auto"/>
                        <w:right w:val="none" w:sz="0" w:space="0" w:color="auto"/>
                      </w:divBdr>
                      <w:divsChild>
                        <w:div w:id="2015451713">
                          <w:marLeft w:val="150"/>
                          <w:marRight w:val="150"/>
                          <w:marTop w:val="0"/>
                          <w:marBottom w:val="0"/>
                          <w:divBdr>
                            <w:top w:val="none" w:sz="0" w:space="0" w:color="auto"/>
                            <w:left w:val="none" w:sz="0" w:space="0" w:color="auto"/>
                            <w:bottom w:val="none" w:sz="0" w:space="0" w:color="auto"/>
                            <w:right w:val="none" w:sz="0" w:space="0" w:color="auto"/>
                          </w:divBdr>
                          <w:divsChild>
                            <w:div w:id="615989305">
                              <w:marLeft w:val="0"/>
                              <w:marRight w:val="0"/>
                              <w:marTop w:val="0"/>
                              <w:marBottom w:val="0"/>
                              <w:divBdr>
                                <w:top w:val="none" w:sz="0" w:space="0" w:color="auto"/>
                                <w:left w:val="none" w:sz="0" w:space="0" w:color="auto"/>
                                <w:bottom w:val="none" w:sz="0" w:space="0" w:color="auto"/>
                                <w:right w:val="none" w:sz="0" w:space="0" w:color="auto"/>
                              </w:divBdr>
                              <w:divsChild>
                                <w:div w:id="1451047931">
                                  <w:marLeft w:val="0"/>
                                  <w:marRight w:val="0"/>
                                  <w:marTop w:val="0"/>
                                  <w:marBottom w:val="0"/>
                                  <w:divBdr>
                                    <w:top w:val="none" w:sz="0" w:space="0" w:color="auto"/>
                                    <w:left w:val="none" w:sz="0" w:space="0" w:color="auto"/>
                                    <w:bottom w:val="none" w:sz="0" w:space="0" w:color="auto"/>
                                    <w:right w:val="none" w:sz="0" w:space="0" w:color="auto"/>
                                  </w:divBdr>
                                  <w:divsChild>
                                    <w:div w:id="1872646405">
                                      <w:marLeft w:val="0"/>
                                      <w:marRight w:val="0"/>
                                      <w:marTop w:val="0"/>
                                      <w:marBottom w:val="0"/>
                                      <w:divBdr>
                                        <w:top w:val="none" w:sz="0" w:space="0" w:color="auto"/>
                                        <w:left w:val="none" w:sz="0" w:space="0" w:color="auto"/>
                                        <w:bottom w:val="none" w:sz="0" w:space="0" w:color="auto"/>
                                        <w:right w:val="none" w:sz="0" w:space="0" w:color="auto"/>
                                      </w:divBdr>
                                      <w:divsChild>
                                        <w:div w:id="1169759580">
                                          <w:marLeft w:val="0"/>
                                          <w:marRight w:val="0"/>
                                          <w:marTop w:val="0"/>
                                          <w:marBottom w:val="0"/>
                                          <w:divBdr>
                                            <w:top w:val="none" w:sz="0" w:space="0" w:color="auto"/>
                                            <w:left w:val="none" w:sz="0" w:space="0" w:color="auto"/>
                                            <w:bottom w:val="none" w:sz="0" w:space="0" w:color="auto"/>
                                            <w:right w:val="none" w:sz="0" w:space="0" w:color="auto"/>
                                          </w:divBdr>
                                          <w:divsChild>
                                            <w:div w:id="436799110">
                                              <w:marLeft w:val="0"/>
                                              <w:marRight w:val="0"/>
                                              <w:marTop w:val="0"/>
                                              <w:marBottom w:val="0"/>
                                              <w:divBdr>
                                                <w:top w:val="none" w:sz="0" w:space="0" w:color="auto"/>
                                                <w:left w:val="none" w:sz="0" w:space="0" w:color="auto"/>
                                                <w:bottom w:val="none" w:sz="0" w:space="0" w:color="auto"/>
                                                <w:right w:val="none" w:sz="0" w:space="0" w:color="auto"/>
                                              </w:divBdr>
                                              <w:divsChild>
                                                <w:div w:id="422336962">
                                                  <w:marLeft w:val="0"/>
                                                  <w:marRight w:val="0"/>
                                                  <w:marTop w:val="0"/>
                                                  <w:marBottom w:val="240"/>
                                                  <w:divBdr>
                                                    <w:top w:val="none" w:sz="0" w:space="0" w:color="auto"/>
                                                    <w:left w:val="none" w:sz="0" w:space="0" w:color="auto"/>
                                                    <w:bottom w:val="none" w:sz="0" w:space="0" w:color="auto"/>
                                                    <w:right w:val="none" w:sz="0" w:space="0" w:color="auto"/>
                                                  </w:divBdr>
                                                  <w:divsChild>
                                                    <w:div w:id="1680501067">
                                                      <w:marLeft w:val="0"/>
                                                      <w:marRight w:val="0"/>
                                                      <w:marTop w:val="0"/>
                                                      <w:marBottom w:val="0"/>
                                                      <w:divBdr>
                                                        <w:top w:val="none" w:sz="0" w:space="0" w:color="auto"/>
                                                        <w:left w:val="none" w:sz="0" w:space="0" w:color="auto"/>
                                                        <w:bottom w:val="none" w:sz="0" w:space="0" w:color="auto"/>
                                                        <w:right w:val="none" w:sz="0" w:space="0" w:color="auto"/>
                                                      </w:divBdr>
                                                      <w:divsChild>
                                                        <w:div w:id="2139951438">
                                                          <w:marLeft w:val="0"/>
                                                          <w:marRight w:val="300"/>
                                                          <w:marTop w:val="0"/>
                                                          <w:marBottom w:val="0"/>
                                                          <w:divBdr>
                                                            <w:top w:val="none" w:sz="0" w:space="0" w:color="auto"/>
                                                            <w:left w:val="none" w:sz="0" w:space="0" w:color="auto"/>
                                                            <w:bottom w:val="none" w:sz="0" w:space="0" w:color="auto"/>
                                                            <w:right w:val="none" w:sz="0" w:space="0" w:color="auto"/>
                                                          </w:divBdr>
                                                          <w:divsChild>
                                                            <w:div w:id="1622296761">
                                                              <w:marLeft w:val="0"/>
                                                              <w:marRight w:val="0"/>
                                                              <w:marTop w:val="0"/>
                                                              <w:marBottom w:val="300"/>
                                                              <w:divBdr>
                                                                <w:top w:val="none" w:sz="0" w:space="0" w:color="auto"/>
                                                                <w:left w:val="none" w:sz="0" w:space="0" w:color="auto"/>
                                                                <w:bottom w:val="none" w:sz="0" w:space="0" w:color="auto"/>
                                                                <w:right w:val="none" w:sz="0" w:space="0" w:color="auto"/>
                                                              </w:divBdr>
                                                              <w:divsChild>
                                                                <w:div w:id="18198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6321607">
      <w:bodyDiv w:val="1"/>
      <w:marLeft w:val="0"/>
      <w:marRight w:val="0"/>
      <w:marTop w:val="0"/>
      <w:marBottom w:val="0"/>
      <w:divBdr>
        <w:top w:val="none" w:sz="0" w:space="0" w:color="auto"/>
        <w:left w:val="none" w:sz="0" w:space="0" w:color="auto"/>
        <w:bottom w:val="none" w:sz="0" w:space="0" w:color="auto"/>
        <w:right w:val="none" w:sz="0" w:space="0" w:color="auto"/>
      </w:divBdr>
    </w:div>
    <w:div w:id="1457094080">
      <w:bodyDiv w:val="1"/>
      <w:marLeft w:val="0"/>
      <w:marRight w:val="0"/>
      <w:marTop w:val="0"/>
      <w:marBottom w:val="0"/>
      <w:divBdr>
        <w:top w:val="none" w:sz="0" w:space="0" w:color="auto"/>
        <w:left w:val="none" w:sz="0" w:space="0" w:color="auto"/>
        <w:bottom w:val="none" w:sz="0" w:space="0" w:color="auto"/>
        <w:right w:val="none" w:sz="0" w:space="0" w:color="auto"/>
      </w:divBdr>
    </w:div>
    <w:div w:id="1813212675">
      <w:bodyDiv w:val="1"/>
      <w:marLeft w:val="0"/>
      <w:marRight w:val="0"/>
      <w:marTop w:val="0"/>
      <w:marBottom w:val="0"/>
      <w:divBdr>
        <w:top w:val="none" w:sz="0" w:space="0" w:color="auto"/>
        <w:left w:val="none" w:sz="0" w:space="0" w:color="auto"/>
        <w:bottom w:val="none" w:sz="0" w:space="0" w:color="auto"/>
        <w:right w:val="none" w:sz="0" w:space="0" w:color="auto"/>
      </w:divBdr>
    </w:div>
    <w:div w:id="19575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F013D670</Template>
  <TotalTime>34</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Liane DWP COMMERCIAL DIRECTORATE</dc:creator>
  <cp:keywords/>
  <dc:description/>
  <cp:lastModifiedBy>Redman Nicola DWP COMMERCIAL DIRECTORATE</cp:lastModifiedBy>
  <cp:revision>7</cp:revision>
  <dcterms:created xsi:type="dcterms:W3CDTF">2019-03-06T13:36:00Z</dcterms:created>
  <dcterms:modified xsi:type="dcterms:W3CDTF">2019-03-15T14:17:00Z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1830721206</vt:i4>
  </property>
  <property fmtid="{D5CDD505-2E9C-101B-9397-08002B2CF9AE}" pid="3" name="_NewReviewCycle">
    <vt:lpwstr/>
  </property>
  <property fmtid="{D5CDD505-2E9C-101B-9397-08002B2CF9AE}" pid="4" name="_EmailSubject">
    <vt:lpwstr>DTP Early Engagement Notice</vt:lpwstr>
  </property>
  <property fmtid="{D5CDD505-2E9C-101B-9397-08002B2CF9AE}" pid="5" name="_AuthorEmail">
    <vt:lpwstr>MARK.CRANSHAW@DWP.GSI.GOV.UK</vt:lpwstr>
  </property>
  <property fmtid="{D5CDD505-2E9C-101B-9397-08002B2CF9AE}" pid="6" name="_AuthorEmailDisplayName">
    <vt:lpwstr>Cranshaw Mark DWP COMMERCIAL DIRECTORATE</vt:lpwstr>
  </property>
  <property fmtid="{D5CDD505-2E9C-101B-9397-08002B2CF9AE}" pid="7" name="_ReviewingToolsShownOnce">
    <vt:lpwstr/>
  </property>
</Properties>
</file>