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00" w:lineRule="exact"/>
        <w:rPr>
          <w:sz w:val="20"/>
          <w:szCs w:val="20"/>
        </w:rPr>
      </w:pPr>
    </w:p>
    <w:p>
      <w:pPr>
        <w:pStyle w:val="Body"/>
        <w:spacing w:after="0" w:line="200" w:lineRule="exact"/>
        <w:rPr>
          <w:sz w:val="20"/>
          <w:szCs w:val="20"/>
        </w:rPr>
      </w:pPr>
    </w:p>
    <w:p>
      <w:pPr>
        <w:pStyle w:val="Body"/>
        <w:spacing w:before="2" w:after="0" w:line="260" w:lineRule="exact"/>
        <w:rPr>
          <w:sz w:val="26"/>
          <w:szCs w:val="26"/>
        </w:rPr>
      </w:pPr>
    </w:p>
    <w:p>
      <w:pPr>
        <w:pStyle w:val="Body"/>
        <w:spacing w:before="1" w:after="0" w:line="140" w:lineRule="exact"/>
        <w:rPr>
          <w:sz w:val="14"/>
          <w:szCs w:val="14"/>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r>
        <w:rPr>
          <w:sz w:val="20"/>
          <w:szCs w:val="20"/>
        </w:rPr>
        <w:drawing>
          <wp:inline distT="0" distB="0" distL="0" distR="0">
            <wp:extent cx="3951605" cy="2576195"/>
            <wp:effectExtent l="0" t="0" r="0" b="0"/>
            <wp:docPr id="1073741825"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5" name="Z:\Fleet Town Council\Masters\Logos\Fleet Town Council leaf Master logo(rgb).jpg" descr="Z:\Fleet Town Council\Masters\Logos\Fleet Town Council leaf Master logo(rgb).jpg"/>
                    <pic:cNvPicPr>
                      <a:picLocks noChangeAspect="1"/>
                    </pic:cNvPicPr>
                  </pic:nvPicPr>
                  <pic:blipFill>
                    <a:blip r:embed="rId4">
                      <a:extLst/>
                    </a:blip>
                    <a:stretch>
                      <a:fillRect/>
                    </a:stretch>
                  </pic:blipFill>
                  <pic:spPr>
                    <a:xfrm>
                      <a:off x="0" y="0"/>
                      <a:ext cx="3951605" cy="2576195"/>
                    </a:xfrm>
                    <a:prstGeom prst="rect">
                      <a:avLst/>
                    </a:prstGeom>
                    <a:ln w="12700" cap="flat">
                      <a:noFill/>
                      <a:miter lim="400000"/>
                    </a:ln>
                    <a:effectLst/>
                  </pic:spPr>
                </pic:pic>
              </a:graphicData>
            </a:graphic>
          </wp:inline>
        </w:drawing>
      </w: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rFonts w:ascii="Cambria" w:cs="Cambria" w:hAnsi="Cambria" w:eastAsia="Cambria"/>
          <w:sz w:val="20"/>
          <w:szCs w:val="20"/>
        </w:rPr>
      </w:pPr>
    </w:p>
    <w:p>
      <w:pPr>
        <w:pStyle w:val="Body"/>
        <w:spacing w:before="6" w:after="0" w:line="240" w:lineRule="auto"/>
        <w:ind w:left="720" w:firstLine="0"/>
        <w:jc w:val="center"/>
        <w:rPr>
          <w:rFonts w:ascii="Calibri" w:cs="Calibri" w:hAnsi="Calibri" w:eastAsia="Calibri"/>
          <w:b w:val="1"/>
          <w:bCs w:val="1"/>
          <w:color w:val="1a161a"/>
          <w:spacing w:val="105"/>
          <w:sz w:val="42"/>
          <w:szCs w:val="42"/>
          <w:u w:color="1a161a"/>
        </w:rPr>
      </w:pPr>
      <w:r>
        <w:rPr>
          <w:rFonts w:ascii="Calibri" w:cs="Calibri" w:hAnsi="Calibri" w:eastAsia="Calibri"/>
          <w:b w:val="1"/>
          <w:bCs w:val="1"/>
          <w:color w:val="1a161a"/>
          <w:sz w:val="42"/>
          <w:szCs w:val="42"/>
          <w:u w:color="1a161a"/>
          <w:rtl w:val="0"/>
          <w:lang w:val="de-DE"/>
        </w:rPr>
        <w:t>Tender</w:t>
      </w:r>
      <w:r>
        <w:rPr>
          <w:rFonts w:ascii="Calibri" w:cs="Calibri" w:hAnsi="Calibri" w:eastAsia="Calibri"/>
          <w:b w:val="1"/>
          <w:bCs w:val="1"/>
          <w:color w:val="1a161a"/>
          <w:spacing w:val="76"/>
          <w:sz w:val="42"/>
          <w:szCs w:val="42"/>
          <w:u w:color="1a161a"/>
          <w:rtl w:val="0"/>
        </w:rPr>
        <w:t xml:space="preserve"> </w:t>
      </w:r>
      <w:r>
        <w:rPr>
          <w:rFonts w:ascii="Calibri" w:cs="Calibri" w:hAnsi="Calibri" w:eastAsia="Calibri"/>
          <w:b w:val="1"/>
          <w:bCs w:val="1"/>
          <w:color w:val="1a161a"/>
          <w:sz w:val="42"/>
          <w:szCs w:val="42"/>
          <w:u w:color="1a161a"/>
          <w:rtl w:val="0"/>
          <w:lang w:val="de-DE"/>
        </w:rPr>
        <w:t>Brief</w:t>
      </w:r>
      <w:r>
        <w:rPr>
          <w:rFonts w:ascii="Calibri" w:cs="Calibri" w:hAnsi="Calibri" w:eastAsia="Calibri"/>
          <w:b w:val="1"/>
          <w:bCs w:val="1"/>
          <w:color w:val="1a161a"/>
          <w:spacing w:val="105"/>
          <w:sz w:val="42"/>
          <w:szCs w:val="42"/>
          <w:u w:color="1a161a"/>
          <w:rtl w:val="0"/>
        </w:rPr>
        <w:t xml:space="preserve"> </w:t>
      </w:r>
    </w:p>
    <w:p>
      <w:pPr>
        <w:pStyle w:val="Body"/>
        <w:spacing w:before="6" w:after="0" w:line="240" w:lineRule="auto"/>
        <w:ind w:left="720" w:firstLine="0"/>
        <w:jc w:val="center"/>
        <w:rPr>
          <w:color w:val="1a161a"/>
          <w:sz w:val="42"/>
          <w:szCs w:val="42"/>
          <w:u w:color="1a161a"/>
        </w:rPr>
      </w:pPr>
    </w:p>
    <w:p>
      <w:pPr>
        <w:pStyle w:val="Body"/>
        <w:spacing w:before="6" w:after="0" w:line="240" w:lineRule="auto"/>
        <w:ind w:left="720" w:firstLine="0"/>
        <w:jc w:val="center"/>
        <w:rPr>
          <w:color w:val="1a161a"/>
          <w:spacing w:val="25"/>
          <w:sz w:val="28"/>
          <w:szCs w:val="28"/>
          <w:u w:color="1a161a"/>
        </w:rPr>
      </w:pPr>
      <w:r>
        <w:rPr>
          <w:color w:val="1a161a"/>
          <w:sz w:val="28"/>
          <w:szCs w:val="28"/>
          <w:u w:color="1a161a"/>
          <w:rtl w:val="0"/>
          <w:lang w:val="en-US"/>
        </w:rPr>
        <w:t>for</w:t>
      </w:r>
    </w:p>
    <w:p>
      <w:pPr>
        <w:pStyle w:val="Body"/>
        <w:spacing w:before="6" w:after="0" w:line="240" w:lineRule="auto"/>
        <w:ind w:left="720" w:firstLine="0"/>
        <w:rPr>
          <w:color w:val="1a161a"/>
          <w:spacing w:val="25"/>
          <w:sz w:val="42"/>
          <w:szCs w:val="42"/>
          <w:u w:color="1a161a"/>
        </w:rPr>
      </w:pPr>
      <w:r>
        <w:rPr>
          <w:color w:val="1a161a"/>
          <w:spacing w:val="25"/>
          <w:sz w:val="42"/>
          <w:szCs w:val="42"/>
          <w:u w:color="1a161a"/>
        </w:rPr>
        <w:tab/>
      </w:r>
    </w:p>
    <w:p>
      <w:pPr>
        <w:pStyle w:val="Body"/>
        <w:spacing w:before="6" w:after="0" w:line="240" w:lineRule="auto"/>
        <w:ind w:left="720" w:firstLine="0"/>
        <w:jc w:val="center"/>
        <w:rPr>
          <w:rFonts w:ascii="Calibri" w:cs="Calibri" w:hAnsi="Calibri" w:eastAsia="Calibri"/>
          <w:b w:val="1"/>
          <w:bCs w:val="1"/>
          <w:sz w:val="42"/>
          <w:szCs w:val="42"/>
        </w:rPr>
      </w:pPr>
      <w:r>
        <w:rPr>
          <w:rFonts w:ascii="Calibri" w:cs="Calibri" w:hAnsi="Calibri" w:eastAsia="Calibri"/>
          <w:b w:val="1"/>
          <w:bCs w:val="1"/>
          <w:color w:val="1a161a"/>
          <w:sz w:val="42"/>
          <w:szCs w:val="42"/>
          <w:u w:color="1a161a"/>
          <w:rtl w:val="0"/>
          <w:lang w:val="en-US"/>
        </w:rPr>
        <w:t>The Harlington Condition Survey</w:t>
      </w:r>
    </w:p>
    <w:p>
      <w:pPr>
        <w:pStyle w:val="Body"/>
        <w:spacing w:before="4" w:after="0" w:line="110" w:lineRule="exact"/>
        <w:rPr>
          <w:sz w:val="11"/>
          <w:szCs w:val="11"/>
        </w:rPr>
      </w:pPr>
    </w:p>
    <w:p>
      <w:pPr>
        <w:pStyle w:val="Body"/>
        <w:spacing w:after="0" w:line="200" w:lineRule="exact"/>
        <w:rPr>
          <w:sz w:val="20"/>
          <w:szCs w:val="20"/>
        </w:rPr>
      </w:pPr>
    </w:p>
    <w:p>
      <w:pPr>
        <w:pStyle w:val="Body"/>
        <w:spacing w:before="10" w:after="0" w:line="110" w:lineRule="exact"/>
        <w:rPr>
          <w:sz w:val="11"/>
          <w:szCs w:val="11"/>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Heading 2"/>
        <w:ind w:firstLine="709"/>
        <w:jc w:val="center"/>
        <w:rPr>
          <w:rFonts w:ascii="Calibri" w:cs="Calibri" w:hAnsi="Calibri" w:eastAsia="Calibri"/>
          <w:sz w:val="28"/>
          <w:szCs w:val="28"/>
          <w:u w:val="single"/>
        </w:rPr>
      </w:pPr>
    </w:p>
    <w:p>
      <w:pPr>
        <w:pStyle w:val="Heading 2"/>
        <w:ind w:firstLine="709"/>
        <w:jc w:val="center"/>
        <w:rPr>
          <w:rFonts w:ascii="Calibri" w:cs="Calibri" w:hAnsi="Calibri" w:eastAsia="Calibri"/>
          <w:sz w:val="28"/>
          <w:szCs w:val="28"/>
          <w:u w:val="single"/>
        </w:rPr>
      </w:pPr>
      <w:r>
        <w:rPr>
          <w:rFonts w:ascii="Calibri" w:cs="Calibri" w:hAnsi="Calibri" w:eastAsia="Calibri"/>
          <w:sz w:val="28"/>
          <w:szCs w:val="28"/>
          <w:u w:val="single"/>
          <w:rtl w:val="0"/>
          <w:lang w:val="en-US"/>
        </w:rPr>
        <w:t>Tender Deadline 1200 noon on Tuesday 19 March 2019</w:t>
      </w: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spacing w:after="0" w:line="200" w:lineRule="exact"/>
        <w:rPr>
          <w:sz w:val="20"/>
          <w:szCs w:val="20"/>
        </w:rPr>
      </w:pP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lang w:val="en-US"/>
        </w:rPr>
        <w:t>INSTRUCTIONS TO TENDERERS</w:t>
      </w:r>
    </w:p>
    <w:p>
      <w:pPr>
        <w:pStyle w:val="Body"/>
        <w:rPr>
          <w:b w:val="1"/>
          <w:bCs w:val="1"/>
        </w:rPr>
      </w:pPr>
    </w:p>
    <w:p>
      <w:pPr>
        <w:pStyle w:val="Body"/>
        <w:rPr>
          <w:rFonts w:ascii="Calibri" w:cs="Calibri" w:hAnsi="Calibri" w:eastAsia="Calibri"/>
          <w:b w:val="1"/>
          <w:bCs w:val="1"/>
        </w:rPr>
      </w:pPr>
      <w:r>
        <w:rPr>
          <w:rFonts w:ascii="Calibri" w:cs="Calibri" w:hAnsi="Calibri" w:eastAsia="Calibri"/>
          <w:b w:val="1"/>
          <w:bCs w:val="1"/>
          <w:rtl w:val="0"/>
          <w:lang w:val="en-US"/>
        </w:rPr>
        <w:t>Submission of Tender</w:t>
      </w:r>
    </w:p>
    <w:p>
      <w:pPr>
        <w:pStyle w:val="Body"/>
      </w:pPr>
      <w:r>
        <w:rPr>
          <w:rtl w:val="0"/>
          <w:lang w:val="en-US"/>
        </w:rPr>
        <w:t>Six copies of the tender and accompanying documents as well as electronically by USB Memory Stick to be submitted by the Tender dead line.  Please place the following into a separate envelope for independent evaluation:</w:t>
      </w:r>
    </w:p>
    <w:p>
      <w:pPr>
        <w:pStyle w:val="List Paragraph"/>
        <w:numPr>
          <w:ilvl w:val="0"/>
          <w:numId w:val="2"/>
        </w:numPr>
        <w:rPr>
          <w:lang w:val="en-US"/>
        </w:rPr>
      </w:pPr>
      <w:r>
        <w:rPr>
          <w:rtl w:val="0"/>
          <w:lang w:val="en-US"/>
        </w:rPr>
        <w:t>Schedule 2 - Pricing Document (Bill of Quantities)</w:t>
      </w:r>
    </w:p>
    <w:p>
      <w:pPr>
        <w:pStyle w:val="List Paragraph"/>
        <w:numPr>
          <w:ilvl w:val="0"/>
          <w:numId w:val="2"/>
        </w:numPr>
        <w:rPr>
          <w:lang w:val="en-US"/>
        </w:rPr>
      </w:pPr>
      <w:r>
        <w:rPr>
          <w:rtl w:val="0"/>
          <w:lang w:val="en-US"/>
        </w:rPr>
        <w:t>Form of Tender (Pricing Schedule)</w:t>
      </w:r>
    </w:p>
    <w:p>
      <w:pPr>
        <w:pStyle w:val="List Paragraph"/>
        <w:numPr>
          <w:ilvl w:val="0"/>
          <w:numId w:val="2"/>
        </w:numPr>
        <w:rPr>
          <w:lang w:val="en-US"/>
        </w:rPr>
      </w:pPr>
      <w:r>
        <w:rPr>
          <w:rtl w:val="0"/>
          <w:lang w:val="en-US"/>
        </w:rPr>
        <w:t>Anti Collusion Certificate</w:t>
      </w:r>
    </w:p>
    <w:p>
      <w:pPr>
        <w:pStyle w:val="List Paragraph"/>
        <w:numPr>
          <w:ilvl w:val="0"/>
          <w:numId w:val="2"/>
        </w:numPr>
        <w:rPr>
          <w:lang w:val="en-US"/>
        </w:rPr>
      </w:pPr>
      <w:r>
        <w:rPr>
          <w:rtl w:val="0"/>
          <w:lang w:val="en-US"/>
        </w:rPr>
        <w:t>Public Liability Insurance Policy/current renewal notice</w:t>
      </w:r>
    </w:p>
    <w:p>
      <w:pPr>
        <w:pStyle w:val="List Paragraph"/>
        <w:numPr>
          <w:ilvl w:val="0"/>
          <w:numId w:val="2"/>
        </w:numPr>
        <w:rPr>
          <w:lang w:val="en-US"/>
        </w:rPr>
      </w:pPr>
      <w:r>
        <w:rPr>
          <w:rtl w:val="0"/>
          <w:lang w:val="en-US"/>
        </w:rPr>
        <w:t>Employers Liability Insurance Policy/current renewal notice</w:t>
      </w:r>
    </w:p>
    <w:p>
      <w:pPr>
        <w:pStyle w:val="List Paragraph"/>
        <w:numPr>
          <w:ilvl w:val="0"/>
          <w:numId w:val="2"/>
        </w:numPr>
        <w:rPr>
          <w:lang w:val="en-US"/>
        </w:rPr>
      </w:pPr>
      <w:r>
        <w:rPr>
          <w:rtl w:val="0"/>
          <w:lang w:val="en-US"/>
        </w:rPr>
        <w:t>Professional Indemnity Insurance Policy/current renewal notice</w:t>
      </w:r>
    </w:p>
    <w:p>
      <w:pPr>
        <w:pStyle w:val="List Paragraph"/>
        <w:numPr>
          <w:ilvl w:val="0"/>
          <w:numId w:val="2"/>
        </w:numPr>
        <w:rPr>
          <w:lang w:val="en-US"/>
        </w:rPr>
      </w:pPr>
      <w:r>
        <w:rPr>
          <w:rtl w:val="0"/>
          <w:lang w:val="en-US"/>
        </w:rPr>
        <w:t xml:space="preserve">Health &amp; Safety Policy </w:t>
      </w:r>
      <w:r>
        <w:rPr>
          <w:rtl w:val="0"/>
          <w:lang w:val="en-US"/>
        </w:rPr>
        <w:t xml:space="preserve">– </w:t>
      </w:r>
      <w:r>
        <w:rPr>
          <w:rtl w:val="0"/>
          <w:lang w:val="en-US"/>
        </w:rPr>
        <w:t>front cover and index only</w:t>
      </w:r>
    </w:p>
    <w:p>
      <w:pPr>
        <w:pStyle w:val="List Paragraph"/>
        <w:numPr>
          <w:ilvl w:val="0"/>
          <w:numId w:val="2"/>
        </w:numPr>
        <w:rPr>
          <w:lang w:val="en-US"/>
        </w:rPr>
      </w:pPr>
      <w:r>
        <w:rPr>
          <w:rtl w:val="0"/>
          <w:lang w:val="en-US"/>
        </w:rPr>
        <w:t>Equality Policy</w:t>
      </w:r>
    </w:p>
    <w:p>
      <w:pPr>
        <w:pStyle w:val="Body"/>
        <w:rPr>
          <w:rFonts w:ascii="Calibri" w:cs="Calibri" w:hAnsi="Calibri" w:eastAsia="Calibri"/>
          <w:b w:val="1"/>
          <w:bCs w:val="1"/>
        </w:rPr>
      </w:pPr>
      <w:r>
        <w:rPr>
          <w:rFonts w:ascii="Calibri" w:cs="Calibri" w:hAnsi="Calibri" w:eastAsia="Calibri"/>
          <w:b w:val="1"/>
          <w:bCs w:val="1"/>
          <w:rtl w:val="0"/>
          <w:lang w:val="en-US"/>
        </w:rPr>
        <w:t xml:space="preserve">Tender Deadline:  </w:t>
      </w:r>
    </w:p>
    <w:p>
      <w:pPr>
        <w:pStyle w:val="Body"/>
      </w:pPr>
      <w:r>
        <w:rPr>
          <w:rtl w:val="0"/>
          <w:lang w:val="en-US"/>
        </w:rPr>
        <w:t>The deadline for receipt of tenders, both hard and soft copies is 12.00 on Tuesday 19 March</w:t>
      </w:r>
      <w:r>
        <w:rPr>
          <w:color w:val="ff0000"/>
          <w:u w:color="ff0000"/>
          <w:rtl w:val="0"/>
        </w:rPr>
        <w:t xml:space="preserve"> </w:t>
      </w:r>
      <w:r>
        <w:rPr>
          <w:rtl w:val="0"/>
          <w:lang w:val="en-US"/>
        </w:rPr>
        <w:t>2019.  Tenderers shall ensure that their tender arrives on time.  No tender will be accepted if it is received after the stated arrival time under any circumstances</w:t>
      </w:r>
    </w:p>
    <w:p>
      <w:pPr>
        <w:pStyle w:val="Body"/>
        <w:rPr>
          <w:rFonts w:ascii="Calibri" w:cs="Calibri" w:hAnsi="Calibri" w:eastAsia="Calibri"/>
          <w:b w:val="1"/>
          <w:bCs w:val="1"/>
        </w:rPr>
      </w:pPr>
      <w:r>
        <w:rPr>
          <w:rFonts w:ascii="Calibri" w:cs="Calibri" w:hAnsi="Calibri" w:eastAsia="Calibri"/>
          <w:b w:val="1"/>
          <w:bCs w:val="1"/>
          <w:rtl w:val="0"/>
          <w:lang w:val="de-DE"/>
        </w:rPr>
        <w:t>Tenders</w:t>
      </w:r>
    </w:p>
    <w:p>
      <w:pPr>
        <w:pStyle w:val="Body"/>
      </w:pPr>
      <w:r>
        <w:rPr>
          <w:rtl w:val="0"/>
          <w:lang w:val="en-US"/>
        </w:rPr>
        <w:t>The Council does not bind itself to accept the lowest price or any tender.  The Tenderer</w:t>
      </w:r>
      <w:r>
        <w:rPr>
          <w:color w:val="ff0000"/>
          <w:u w:color="ff0000"/>
          <w:rtl w:val="0"/>
        </w:rPr>
        <w:t xml:space="preserve"> </w:t>
      </w:r>
      <w:r>
        <w:rPr>
          <w:rtl w:val="0"/>
          <w:lang w:val="en-US"/>
        </w:rPr>
        <w:t>shall not have any claim for expenses incurred in the preparation of a quote</w:t>
      </w:r>
    </w:p>
    <w:p>
      <w:pPr>
        <w:pStyle w:val="Body"/>
        <w:rPr>
          <w:rFonts w:ascii="Calibri" w:cs="Calibri" w:hAnsi="Calibri" w:eastAsia="Calibri"/>
          <w:b w:val="1"/>
          <w:bCs w:val="1"/>
        </w:rPr>
      </w:pPr>
      <w:r>
        <w:rPr>
          <w:rFonts w:ascii="Calibri" w:cs="Calibri" w:hAnsi="Calibri" w:eastAsia="Calibri"/>
          <w:b w:val="1"/>
          <w:bCs w:val="1"/>
          <w:rtl w:val="0"/>
          <w:lang w:val="en-US"/>
        </w:rPr>
        <w:t>Building Viewing and Bidders Morning</w:t>
      </w:r>
    </w:p>
    <w:p>
      <w:pPr>
        <w:pStyle w:val="Body"/>
      </w:pPr>
      <w:r>
        <w:rPr>
          <w:rtl w:val="0"/>
          <w:lang w:val="en-US"/>
        </w:rPr>
        <w:t>Tenderers are invited to attend a Building Viewing and Bidders</w:t>
      </w:r>
      <w:r>
        <w:rPr>
          <w:rtl w:val="0"/>
        </w:rPr>
        <w:t xml:space="preserve">’ </w:t>
      </w:r>
      <w:r>
        <w:rPr>
          <w:rtl w:val="0"/>
          <w:lang w:val="en-US"/>
        </w:rPr>
        <w:t>Morning on Monday 4</w:t>
      </w:r>
      <w:r>
        <w:rPr>
          <w:vertAlign w:val="superscript"/>
          <w:rtl w:val="0"/>
          <w:lang w:val="en-US"/>
        </w:rPr>
        <w:t>th</w:t>
      </w:r>
      <w:r>
        <w:rPr>
          <w:rtl w:val="0"/>
          <w:lang w:val="en-US"/>
        </w:rPr>
        <w:t xml:space="preserve"> March </w:t>
      </w:r>
      <w:r>
        <w:rPr>
          <w:color w:val="ff0000"/>
          <w:u w:color="ff0000"/>
          <w:rtl w:val="0"/>
        </w:rPr>
        <w:t xml:space="preserve"> </w:t>
      </w:r>
      <w:r>
        <w:rPr>
          <w:rtl w:val="0"/>
          <w:lang w:val="en-US"/>
        </w:rPr>
        <w:t>at 10am to be held at The Harlington, 236 Fleet Road, Fleet GU51 4BY.  This will enable Tenderers to familiarize themselves with the building and the opportunity to ask questions regarding the project.</w:t>
      </w:r>
    </w:p>
    <w:p>
      <w:pPr>
        <w:pStyle w:val="Body"/>
      </w:pPr>
      <w:r>
        <w:rPr>
          <w:rtl w:val="0"/>
          <w:lang w:val="en-US"/>
        </w:rPr>
        <w:t>Contractors tendering do so at their own cost and their tender shall remain open for acceptance for a period of 90 days after the due date for submission.</w:t>
      </w:r>
    </w:p>
    <w:p>
      <w:pPr>
        <w:pStyle w:val="Body"/>
        <w:rPr>
          <w:rFonts w:ascii="Calibri" w:cs="Calibri" w:hAnsi="Calibri" w:eastAsia="Calibri"/>
          <w:b w:val="1"/>
          <w:bCs w:val="1"/>
        </w:rPr>
      </w:pPr>
      <w:r>
        <w:rPr>
          <w:rFonts w:ascii="Calibri" w:cs="Calibri" w:hAnsi="Calibri" w:eastAsia="Calibri"/>
          <w:b w:val="1"/>
          <w:bCs w:val="1"/>
          <w:rtl w:val="0"/>
        </w:rPr>
        <w:t>General</w:t>
      </w:r>
    </w:p>
    <w:p>
      <w:pPr>
        <w:pStyle w:val="Body"/>
      </w:pPr>
      <w:r>
        <w:rPr>
          <w:rtl w:val="0"/>
          <w:lang w:val="en-US"/>
        </w:rPr>
        <w:t>The Contractor should note that after the submission of his/her tender he/she may be required to attend an interview at the Council</w:t>
      </w:r>
      <w:r>
        <w:rPr>
          <w:rtl w:val="0"/>
        </w:rPr>
        <w:t>’</w:t>
      </w:r>
      <w:r>
        <w:rPr>
          <w:rtl w:val="0"/>
          <w:lang w:val="en-US"/>
        </w:rPr>
        <w:t>s office to explain his/her tender proposals including the methods of investigation, the overall program and proposed management of the project.</w:t>
      </w:r>
    </w:p>
    <w:p>
      <w:pPr>
        <w:pStyle w:val="Body"/>
      </w:pPr>
      <w:r>
        <w:rPr>
          <w:rtl w:val="0"/>
          <w:lang w:val="en-US"/>
        </w:rPr>
        <w:t>The Tenderer will supply a fixed price Tender.</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Pr>
      <w:fldChar w:fldCharType="begin" w:fldLock="0"/>
    </w:r>
    <w:r>
      <w:rPr>
        <w:sz w:val="18"/>
        <w:szCs w:val="18"/>
      </w:rPr>
      <w:instrText xml:space="preserve"> FILENAME \* MERGEFORMAT</w:instrText>
    </w:r>
    <w:r>
      <w:rPr>
        <w:sz w:val="18"/>
        <w:szCs w:val="18"/>
      </w:rPr>
      <w:fldChar w:fldCharType="separate" w:fldLock="0"/>
    </w:r>
    <w:r>
      <w:rPr>
        <w:sz w:val="18"/>
        <w:szCs w:val="18"/>
        <w:rtl w:val="0"/>
        <w:lang w:val="en-US"/>
      </w:rPr>
      <w:t>Z:\Fleet Town Council\Procurement\2018-2019\Harlington Building Survey\v2 Tender 21.01.19\v2 Front Page and Instructions to Tenderer .docx</w:t>
    </w:r>
    <w:r>
      <w:rPr>
        <w:sz w:val="18"/>
        <w:szCs w:val="18"/>
      </w:rPr>
      <w:fldChar w:fldCharType="end" w:fldLock="0"/>
    </w:r>
    <w:r>
      <w:rPr>
        <w:sz w:val="18"/>
        <w:szCs w:val="18"/>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0"/>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2">
    <w:name w:val="Heading 2"/>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