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01F7" w14:textId="77777777" w:rsidR="00A85B19" w:rsidRPr="0041419B" w:rsidRDefault="00032803" w:rsidP="007279F4">
      <w:pPr>
        <w:pStyle w:val="CoverTitle"/>
        <w:rPr>
          <w:b/>
        </w:rPr>
      </w:pPr>
      <w:r w:rsidRPr="0041419B">
        <w:rPr>
          <w:b/>
        </w:rPr>
        <w:t>Specification for research project</w:t>
      </w:r>
    </w:p>
    <w:p w14:paraId="7A2760A1" w14:textId="63E94EB5" w:rsidR="005302A4" w:rsidRPr="0041419B" w:rsidRDefault="005047AB" w:rsidP="005302A4">
      <w:pPr>
        <w:pStyle w:val="CoverSubTitle"/>
      </w:pPr>
      <w:r>
        <w:t>T</w:t>
      </w:r>
      <w:r w:rsidR="00D41655">
        <w:t>1165</w:t>
      </w:r>
      <w:r>
        <w:t xml:space="preserve"> </w:t>
      </w:r>
      <w:r w:rsidR="005E1740">
        <w:t>–</w:t>
      </w:r>
      <w:r>
        <w:t xml:space="preserve"> </w:t>
      </w:r>
      <w:r w:rsidR="00DD1D1D">
        <w:t xml:space="preserve">Development </w:t>
      </w:r>
      <w:r w:rsidR="00EB1261">
        <w:t>of composite metrics for the</w:t>
      </w:r>
      <w:r w:rsidR="00DD1D1D">
        <w:t xml:space="preserve"> monitoring and prioritis</w:t>
      </w:r>
      <w:r w:rsidR="00EB1261">
        <w:t>ation of health &amp; wellbeing conditions</w:t>
      </w:r>
    </w:p>
    <w:p w14:paraId="1E84C1F7" w14:textId="6611DADF" w:rsidR="005E1740" w:rsidRDefault="005E1740" w:rsidP="00032803">
      <w:pPr>
        <w:pStyle w:val="CoverSubTitle"/>
      </w:pPr>
    </w:p>
    <w:p w14:paraId="56069B6A" w14:textId="56851BC1" w:rsidR="005E1740" w:rsidRDefault="005E1740" w:rsidP="00032803">
      <w:pPr>
        <w:pStyle w:val="CoverSubTitle"/>
      </w:pPr>
    </w:p>
    <w:p w14:paraId="4B86AAAE" w14:textId="084EC0D0" w:rsidR="005E1740" w:rsidRDefault="005E1740" w:rsidP="00032803">
      <w:pPr>
        <w:pStyle w:val="CoverSubTitle"/>
      </w:pPr>
    </w:p>
    <w:p w14:paraId="504798BE" w14:textId="65BB9F2B" w:rsidR="005E1740" w:rsidRDefault="005E1740" w:rsidP="00032803">
      <w:pPr>
        <w:pStyle w:val="CoverSubTitle"/>
      </w:pPr>
    </w:p>
    <w:p w14:paraId="69D60EE8" w14:textId="5406D5C3" w:rsidR="005E1740" w:rsidRDefault="005E1740" w:rsidP="00032803">
      <w:pPr>
        <w:pStyle w:val="CoverSubTitle"/>
      </w:pPr>
    </w:p>
    <w:p w14:paraId="158A53E9" w14:textId="77777777" w:rsidR="00142B68" w:rsidRPr="00C75BFF" w:rsidRDefault="00C75BFF" w:rsidP="009C66F7">
      <w:pPr>
        <w:pStyle w:val="Body"/>
        <w:rPr>
          <w:b/>
        </w:rPr>
      </w:pPr>
      <w:r>
        <w:rPr>
          <w:b/>
        </w:rPr>
        <w:t>For internal use only</w:t>
      </w:r>
    </w:p>
    <w:tbl>
      <w:tblPr>
        <w:tblStyle w:val="TableGrid"/>
        <w:tblW w:w="0" w:type="auto"/>
        <w:jc w:val="center"/>
        <w:tblLook w:val="04A0" w:firstRow="1" w:lastRow="0" w:firstColumn="1" w:lastColumn="0" w:noHBand="0" w:noVBand="1"/>
      </w:tblPr>
      <w:tblGrid>
        <w:gridCol w:w="2689"/>
        <w:gridCol w:w="4394"/>
      </w:tblGrid>
      <w:tr w:rsidR="00032803" w14:paraId="58C65249" w14:textId="77777777" w:rsidTr="00DD52F6">
        <w:trPr>
          <w:jc w:val="center"/>
        </w:trPr>
        <w:tc>
          <w:tcPr>
            <w:tcW w:w="2689" w:type="dxa"/>
          </w:tcPr>
          <w:p w14:paraId="76C1E137" w14:textId="77777777" w:rsidR="00032803" w:rsidRPr="00DD52F6" w:rsidRDefault="00032803" w:rsidP="00FE378D">
            <w:pPr>
              <w:pStyle w:val="Body"/>
              <w:rPr>
                <w:b/>
              </w:rPr>
            </w:pPr>
            <w:r w:rsidRPr="00DD52F6">
              <w:rPr>
                <w:b/>
              </w:rPr>
              <w:t>Procurement ID number</w:t>
            </w:r>
          </w:p>
        </w:tc>
        <w:tc>
          <w:tcPr>
            <w:tcW w:w="4394" w:type="dxa"/>
          </w:tcPr>
          <w:p w14:paraId="06E9F771" w14:textId="41925FFB" w:rsidR="00032803" w:rsidRDefault="00911970" w:rsidP="009C66F7">
            <w:pPr>
              <w:pStyle w:val="Body"/>
            </w:pPr>
            <w:r>
              <w:t>TBD</w:t>
            </w:r>
          </w:p>
        </w:tc>
      </w:tr>
      <w:tr w:rsidR="00032803" w14:paraId="06AC88D3" w14:textId="77777777" w:rsidTr="00DD52F6">
        <w:trPr>
          <w:jc w:val="center"/>
        </w:trPr>
        <w:tc>
          <w:tcPr>
            <w:tcW w:w="2689" w:type="dxa"/>
          </w:tcPr>
          <w:p w14:paraId="4B4FA91D" w14:textId="77777777" w:rsidR="00032803" w:rsidRPr="00DD52F6" w:rsidRDefault="00032803" w:rsidP="009C66F7">
            <w:pPr>
              <w:pStyle w:val="Body"/>
              <w:rPr>
                <w:b/>
              </w:rPr>
            </w:pPr>
            <w:r w:rsidRPr="00DD52F6">
              <w:rPr>
                <w:b/>
              </w:rPr>
              <w:t>Procurement Manager</w:t>
            </w:r>
          </w:p>
        </w:tc>
        <w:tc>
          <w:tcPr>
            <w:tcW w:w="4394" w:type="dxa"/>
          </w:tcPr>
          <w:p w14:paraId="4A179B45" w14:textId="19FE70ED" w:rsidR="00032803" w:rsidRPr="002430C8" w:rsidRDefault="00365598" w:rsidP="009C66F7">
            <w:pPr>
              <w:pStyle w:val="Body"/>
              <w:rPr>
                <w:highlight w:val="yellow"/>
              </w:rPr>
            </w:pPr>
            <w:r w:rsidRPr="00911970">
              <w:t>Gemma</w:t>
            </w:r>
            <w:r w:rsidR="00F40312" w:rsidRPr="00911970">
              <w:t xml:space="preserve"> </w:t>
            </w:r>
            <w:r w:rsidR="00911970" w:rsidRPr="00911970">
              <w:t>Pearson</w:t>
            </w:r>
          </w:p>
        </w:tc>
      </w:tr>
      <w:tr w:rsidR="00032803" w14:paraId="102A4344" w14:textId="77777777" w:rsidTr="00DD52F6">
        <w:trPr>
          <w:jc w:val="center"/>
        </w:trPr>
        <w:tc>
          <w:tcPr>
            <w:tcW w:w="2689" w:type="dxa"/>
          </w:tcPr>
          <w:p w14:paraId="2409C991" w14:textId="77777777" w:rsidR="00032803" w:rsidRPr="00DD52F6" w:rsidRDefault="001D775D" w:rsidP="009C66F7">
            <w:pPr>
              <w:pStyle w:val="Body"/>
              <w:rPr>
                <w:b/>
              </w:rPr>
            </w:pPr>
            <w:r w:rsidRPr="00DD52F6">
              <w:rPr>
                <w:b/>
              </w:rPr>
              <w:t xml:space="preserve">R&amp;D </w:t>
            </w:r>
            <w:r w:rsidR="00032803" w:rsidRPr="00DD52F6">
              <w:rPr>
                <w:b/>
              </w:rPr>
              <w:t>Analyst</w:t>
            </w:r>
          </w:p>
        </w:tc>
        <w:tc>
          <w:tcPr>
            <w:tcW w:w="4394" w:type="dxa"/>
          </w:tcPr>
          <w:p w14:paraId="26867B05" w14:textId="14960197" w:rsidR="00032803" w:rsidRDefault="005E1740" w:rsidP="009C66F7">
            <w:pPr>
              <w:pStyle w:val="Body"/>
            </w:pPr>
            <w:r>
              <w:t>Andrew</w:t>
            </w:r>
            <w:r w:rsidR="00622787">
              <w:t xml:space="preserve"> </w:t>
            </w:r>
            <w:r>
              <w:t>Pirie-Gleeson</w:t>
            </w:r>
          </w:p>
        </w:tc>
      </w:tr>
      <w:tr w:rsidR="00103FDD" w14:paraId="04C55849" w14:textId="77777777" w:rsidTr="00DD52F6">
        <w:trPr>
          <w:jc w:val="center"/>
        </w:trPr>
        <w:tc>
          <w:tcPr>
            <w:tcW w:w="2689" w:type="dxa"/>
          </w:tcPr>
          <w:p w14:paraId="40633004" w14:textId="77777777" w:rsidR="00103FDD" w:rsidRPr="00DD52F6" w:rsidRDefault="00103FDD" w:rsidP="009C66F7">
            <w:pPr>
              <w:pStyle w:val="Body"/>
              <w:rPr>
                <w:b/>
              </w:rPr>
            </w:pPr>
            <w:r>
              <w:rPr>
                <w:b/>
              </w:rPr>
              <w:t>Primary client group</w:t>
            </w:r>
          </w:p>
        </w:tc>
        <w:tc>
          <w:tcPr>
            <w:tcW w:w="4394" w:type="dxa"/>
          </w:tcPr>
          <w:p w14:paraId="3835D8A7" w14:textId="76776805" w:rsidR="00103FDD" w:rsidRPr="002430C8" w:rsidRDefault="00F40312" w:rsidP="009C66F7">
            <w:pPr>
              <w:pStyle w:val="Body"/>
              <w:rPr>
                <w:highlight w:val="yellow"/>
              </w:rPr>
            </w:pPr>
            <w:r w:rsidRPr="00911970">
              <w:t>Risk Management Capability Group</w:t>
            </w:r>
          </w:p>
        </w:tc>
      </w:tr>
      <w:tr w:rsidR="00032803" w14:paraId="1C6E9589" w14:textId="77777777" w:rsidTr="00DD52F6">
        <w:trPr>
          <w:jc w:val="center"/>
        </w:trPr>
        <w:tc>
          <w:tcPr>
            <w:tcW w:w="2689" w:type="dxa"/>
          </w:tcPr>
          <w:p w14:paraId="21D8A54A" w14:textId="77777777" w:rsidR="00032803" w:rsidRPr="00DD52F6" w:rsidRDefault="00032803" w:rsidP="009C66F7">
            <w:pPr>
              <w:pStyle w:val="Body"/>
              <w:rPr>
                <w:b/>
              </w:rPr>
            </w:pPr>
            <w:r w:rsidRPr="00DD52F6">
              <w:rPr>
                <w:b/>
              </w:rPr>
              <w:t>Version</w:t>
            </w:r>
          </w:p>
        </w:tc>
        <w:tc>
          <w:tcPr>
            <w:tcW w:w="4394" w:type="dxa"/>
          </w:tcPr>
          <w:p w14:paraId="0F49C747" w14:textId="6EB02F60" w:rsidR="00032803" w:rsidRDefault="002430C8" w:rsidP="009C66F7">
            <w:pPr>
              <w:pStyle w:val="Body"/>
            </w:pPr>
            <w:r>
              <w:t>1.0</w:t>
            </w:r>
          </w:p>
        </w:tc>
      </w:tr>
      <w:tr w:rsidR="00032803" w14:paraId="1D4E0C7B" w14:textId="77777777" w:rsidTr="00DD52F6">
        <w:trPr>
          <w:jc w:val="center"/>
        </w:trPr>
        <w:tc>
          <w:tcPr>
            <w:tcW w:w="2689" w:type="dxa"/>
          </w:tcPr>
          <w:p w14:paraId="596B58B9" w14:textId="77777777" w:rsidR="00032803" w:rsidRPr="00DD52F6" w:rsidRDefault="00032803" w:rsidP="009C66F7">
            <w:pPr>
              <w:pStyle w:val="Body"/>
              <w:rPr>
                <w:b/>
              </w:rPr>
            </w:pPr>
            <w:r w:rsidRPr="00DD52F6">
              <w:rPr>
                <w:b/>
              </w:rPr>
              <w:t>Date</w:t>
            </w:r>
          </w:p>
        </w:tc>
        <w:tc>
          <w:tcPr>
            <w:tcW w:w="4394" w:type="dxa"/>
          </w:tcPr>
          <w:p w14:paraId="063794A4" w14:textId="1A747622" w:rsidR="00032803" w:rsidRDefault="002430C8" w:rsidP="009C66F7">
            <w:pPr>
              <w:pStyle w:val="Body"/>
            </w:pPr>
            <w:r>
              <w:t>09 April 2019</w:t>
            </w:r>
          </w:p>
        </w:tc>
      </w:tr>
    </w:tbl>
    <w:p w14:paraId="5641874D" w14:textId="77777777" w:rsidR="0054035A" w:rsidRPr="002C7A2C" w:rsidRDefault="002C7A2C" w:rsidP="00167B34">
      <w:pPr>
        <w:pStyle w:val="Heading10"/>
        <w:keepNext/>
        <w:numPr>
          <w:ilvl w:val="0"/>
          <w:numId w:val="24"/>
        </w:numPr>
        <w:ind w:left="425" w:hanging="425"/>
        <w:outlineLvl w:val="9"/>
        <w:rPr>
          <w:rFonts w:ascii="Calibri" w:hAnsi="Calibri"/>
        </w:rPr>
      </w:pPr>
      <w:r>
        <w:rPr>
          <w:rFonts w:ascii="Calibri" w:hAnsi="Calibri"/>
        </w:rPr>
        <w:lastRenderedPageBreak/>
        <w:t>RSSB overview</w:t>
      </w:r>
    </w:p>
    <w:p w14:paraId="2AF06CCA" w14:textId="77777777" w:rsidR="0054035A" w:rsidRDefault="0054035A" w:rsidP="0054035A">
      <w:pPr>
        <w:pStyle w:val="Body"/>
      </w:pPr>
      <w:r w:rsidRPr="00F737D3">
        <w:t>RSSB</w:t>
      </w:r>
      <w:r>
        <w:t xml:space="preserve"> is a membership organisation that supports the </w:t>
      </w:r>
      <w:r w:rsidR="00843B88">
        <w:t xml:space="preserve">GB </w:t>
      </w:r>
      <w:r w:rsidR="00222D2F">
        <w:t>rail</w:t>
      </w:r>
      <w:r>
        <w:t xml:space="preserve"> industry by understanding risk, guiding standards and managing research. The rail industry in Britain is made up of many different organisations, but they all form a system and share a common purpose, to move people and freight safely and efficiently by rail. </w:t>
      </w:r>
      <w:r w:rsidRPr="00F737D3">
        <w:t>RSSB</w:t>
      </w:r>
      <w:r>
        <w:t xml:space="preserve"> brings all </w:t>
      </w:r>
      <w:r w:rsidR="007458AB">
        <w:t xml:space="preserve">stakeholders </w:t>
      </w:r>
      <w:r>
        <w:t xml:space="preserve">of this system together to make collective decisions, </w:t>
      </w:r>
      <w:r w:rsidR="007458AB">
        <w:t xml:space="preserve">develop </w:t>
      </w:r>
      <w:r>
        <w:t xml:space="preserve">products and services, drive out unnecessary cost, improve business performance and </w:t>
      </w:r>
      <w:r w:rsidR="007458AB">
        <w:t xml:space="preserve">implement </w:t>
      </w:r>
      <w:r>
        <w:t xml:space="preserve">long-term strategies. </w:t>
      </w:r>
    </w:p>
    <w:p w14:paraId="648A56B9" w14:textId="77777777" w:rsidR="0054035A" w:rsidRDefault="0054035A" w:rsidP="0054035A">
      <w:pPr>
        <w:pStyle w:val="Body"/>
      </w:pPr>
      <w:r w:rsidRPr="00F737D3">
        <w:t>RSSB’s</w:t>
      </w:r>
      <w:r>
        <w:t xml:space="preserve"> activities include</w:t>
      </w:r>
      <w:r w:rsidR="00A72A3C">
        <w:t>:</w:t>
      </w:r>
    </w:p>
    <w:p w14:paraId="2A2DF324" w14:textId="77777777" w:rsidR="0054035A" w:rsidRPr="00360B24" w:rsidRDefault="0054035A" w:rsidP="00167B34">
      <w:pPr>
        <w:pStyle w:val="Bullet1"/>
        <w:numPr>
          <w:ilvl w:val="0"/>
          <w:numId w:val="25"/>
        </w:numPr>
      </w:pPr>
      <w:r w:rsidRPr="00360B24">
        <w:rPr>
          <w:b/>
        </w:rPr>
        <w:t>Understanding risk</w:t>
      </w:r>
      <w:r w:rsidRPr="00360B24">
        <w:t xml:space="preserve"> – Using safety intelligence with the latest risk modelling to inform members and support safe decision making. </w:t>
      </w:r>
    </w:p>
    <w:p w14:paraId="3FD57030" w14:textId="77777777" w:rsidR="0054035A" w:rsidRPr="00360B24" w:rsidRDefault="0054035A" w:rsidP="00167B34">
      <w:pPr>
        <w:pStyle w:val="Bullet1"/>
        <w:numPr>
          <w:ilvl w:val="0"/>
          <w:numId w:val="25"/>
        </w:numPr>
      </w:pPr>
      <w:r w:rsidRPr="00360B24">
        <w:rPr>
          <w:b/>
        </w:rPr>
        <w:t>Guiding standards</w:t>
      </w:r>
      <w:r w:rsidRPr="00360B24">
        <w:t xml:space="preserve"> – Creating, reviewing and simplifying GB standards; managing the Rule Book and making it easier for the railway to deliver efficiently and safely. </w:t>
      </w:r>
    </w:p>
    <w:p w14:paraId="7A3DBF8B" w14:textId="77777777" w:rsidR="007458AB" w:rsidRPr="00360B24" w:rsidRDefault="007458AB" w:rsidP="00167B34">
      <w:pPr>
        <w:pStyle w:val="Bullet1"/>
        <w:numPr>
          <w:ilvl w:val="0"/>
          <w:numId w:val="25"/>
        </w:numPr>
      </w:pPr>
      <w:r w:rsidRPr="00360B24">
        <w:rPr>
          <w:b/>
        </w:rPr>
        <w:t>Collaborating to improve</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2DEA3D18" w14:textId="77777777" w:rsidR="0054035A" w:rsidRPr="00360B24" w:rsidRDefault="0054035A" w:rsidP="00167B34">
      <w:pPr>
        <w:pStyle w:val="Bullet1"/>
        <w:numPr>
          <w:ilvl w:val="0"/>
          <w:numId w:val="25"/>
        </w:numPr>
      </w:pPr>
      <w:r w:rsidRPr="00360B24">
        <w:rPr>
          <w:b/>
        </w:rPr>
        <w:t>Managing research, development and innovation</w:t>
      </w:r>
      <w:r w:rsidRPr="00360B24">
        <w:t xml:space="preserve"> – Undertaking, commissioning and managing research and innovation prog</w:t>
      </w:r>
      <w:r w:rsidR="00C32F1E">
        <w:t>rammes to address current and future needs and</w:t>
      </w:r>
      <w:r w:rsidRPr="00360B24">
        <w:t xml:space="preserve"> provide knowledge for decisio</w:t>
      </w:r>
      <w:r w:rsidR="00826AC3">
        <w:t>n making;</w:t>
      </w:r>
      <w:r w:rsidRPr="00360B24">
        <w:t xml:space="preserve"> </w:t>
      </w:r>
      <w:r w:rsidR="00826AC3">
        <w:t xml:space="preserve">supporting implementation </w:t>
      </w:r>
      <w:r w:rsidRPr="00360B24">
        <w:t xml:space="preserve">and promoting step changes to deliver </w:t>
      </w:r>
      <w:r w:rsidR="007458AB">
        <w:t>industry</w:t>
      </w:r>
      <w:r w:rsidRPr="00360B24">
        <w:t xml:space="preserve"> </w:t>
      </w:r>
      <w:r w:rsidR="007458AB">
        <w:t>s</w:t>
      </w:r>
      <w:r w:rsidR="007458AB" w:rsidRPr="00360B24">
        <w:t>trateg</w:t>
      </w:r>
      <w:r w:rsidR="007458AB">
        <w:t>ies</w:t>
      </w:r>
      <w:r w:rsidRPr="00360B24">
        <w:t xml:space="preserve">. </w:t>
      </w:r>
    </w:p>
    <w:p w14:paraId="0E369677" w14:textId="77777777" w:rsidR="00D02A81" w:rsidRDefault="00D02A81" w:rsidP="009168BC">
      <w:pPr>
        <w:pStyle w:val="Bullet1"/>
        <w:numPr>
          <w:ilvl w:val="0"/>
          <w:numId w:val="0"/>
        </w:numPr>
        <w:ind w:left="360"/>
      </w:pPr>
    </w:p>
    <w:p w14:paraId="5F37176A" w14:textId="77777777" w:rsidR="00D02A81" w:rsidRDefault="00D02A81" w:rsidP="009168BC">
      <w:pPr>
        <w:pStyle w:val="Bullet1"/>
        <w:numPr>
          <w:ilvl w:val="0"/>
          <w:numId w:val="0"/>
        </w:numPr>
        <w:ind w:left="360"/>
      </w:pPr>
    </w:p>
    <w:p w14:paraId="5F8A2296" w14:textId="77777777" w:rsidR="00005F35" w:rsidRDefault="00005F35" w:rsidP="00167B34">
      <w:pPr>
        <w:pStyle w:val="Heading10"/>
        <w:keepNext/>
        <w:numPr>
          <w:ilvl w:val="0"/>
          <w:numId w:val="24"/>
        </w:numPr>
        <w:ind w:left="426" w:hanging="426"/>
        <w:outlineLvl w:val="9"/>
        <w:rPr>
          <w:rFonts w:ascii="Calibri" w:hAnsi="Calibri"/>
        </w:rPr>
        <w:sectPr w:rsidR="00005F35" w:rsidSect="001D16D8">
          <w:headerReference w:type="default" r:id="rId11"/>
          <w:footerReference w:type="even" r:id="rId12"/>
          <w:footerReference w:type="default" r:id="rId13"/>
          <w:pgSz w:w="11906" w:h="16838"/>
          <w:pgMar w:top="1985" w:right="1985" w:bottom="1985" w:left="1985" w:header="567" w:footer="567" w:gutter="0"/>
          <w:cols w:space="708"/>
          <w:docGrid w:linePitch="360"/>
        </w:sectPr>
      </w:pPr>
    </w:p>
    <w:p w14:paraId="515DAF9B" w14:textId="77777777" w:rsidR="0054035A" w:rsidRDefault="005047AB" w:rsidP="00167B34">
      <w:pPr>
        <w:pStyle w:val="Heading10"/>
        <w:keepNext/>
        <w:numPr>
          <w:ilvl w:val="0"/>
          <w:numId w:val="24"/>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27106E7F" w14:textId="4EC1EDB6" w:rsidR="00F52003" w:rsidRDefault="002430C8" w:rsidP="00F52003">
      <w:pPr>
        <w:pStyle w:val="Body"/>
        <w:jc w:val="both"/>
      </w:pPr>
      <w:r>
        <w:t>The risk</w:t>
      </w:r>
      <w:r w:rsidR="00F52003">
        <w:t xml:space="preserve"> to health and safety</w:t>
      </w:r>
      <w:r>
        <w:t>,</w:t>
      </w:r>
      <w:r w:rsidR="00F52003">
        <w:t xml:space="preserve"> arising from workplace activity in Great Britain</w:t>
      </w:r>
      <w:r>
        <w:t>,</w:t>
      </w:r>
      <w:r w:rsidR="00F52003">
        <w:t xml:space="preserve"> </w:t>
      </w:r>
      <w:r>
        <w:t>is</w:t>
      </w:r>
      <w:r w:rsidR="00F52003">
        <w:t xml:space="preserve"> regulated through the framework of the Health and Safety at Work Act (HASAW</w:t>
      </w:r>
      <w:r w:rsidR="00206621">
        <w:t>A</w:t>
      </w:r>
      <w:r w:rsidR="00F52003">
        <w:t>) 1974.</w:t>
      </w:r>
    </w:p>
    <w:p w14:paraId="3C6BD5CE" w14:textId="4510645A" w:rsidR="00F52003" w:rsidRDefault="00F52003" w:rsidP="00F52003">
      <w:pPr>
        <w:pStyle w:val="Body"/>
        <w:jc w:val="both"/>
      </w:pPr>
      <w:r>
        <w:t>A fundamental principle underpinning the HASAW</w:t>
      </w:r>
      <w:r w:rsidR="00206621">
        <w:t>A</w:t>
      </w:r>
      <w:r>
        <w:t xml:space="preserve"> is that those who create risks from work activity are responsible for protecting workers and the public from the consequences. </w:t>
      </w:r>
    </w:p>
    <w:p w14:paraId="206CAD9B" w14:textId="00C9495F" w:rsidR="00F52003" w:rsidRDefault="00F52003" w:rsidP="00F52003">
      <w:pPr>
        <w:pStyle w:val="Body"/>
        <w:jc w:val="both"/>
      </w:pPr>
      <w:proofErr w:type="gramStart"/>
      <w:r>
        <w:t>In particular, HASAW</w:t>
      </w:r>
      <w:r w:rsidR="00206621">
        <w:t>A</w:t>
      </w:r>
      <w:proofErr w:type="gramEnd"/>
      <w:r>
        <w:t xml:space="preserve"> states that "</w:t>
      </w:r>
      <w:r w:rsidRPr="002430C8">
        <w:rPr>
          <w:i/>
        </w:rPr>
        <w:t>It shall be the duty of every employer to ensure, so far as is reasonably practicable, the health, safety and welfare at work of all his/her employees</w:t>
      </w:r>
      <w:r>
        <w:t>".  Employers face a similar requirement related to people not in their employment, but who may also be affected by it.</w:t>
      </w:r>
    </w:p>
    <w:p w14:paraId="74C137A3" w14:textId="2090219B" w:rsidR="004C1711" w:rsidRDefault="003A7DAA" w:rsidP="00215920">
      <w:pPr>
        <w:pStyle w:val="Body"/>
        <w:jc w:val="both"/>
      </w:pPr>
      <w:bookmarkStart w:id="0" w:name="_Hlk5722433"/>
      <w:r>
        <w:t xml:space="preserve">For </w:t>
      </w:r>
      <w:r w:rsidR="00F52003">
        <w:t xml:space="preserve">more than </w:t>
      </w:r>
      <w:r>
        <w:t xml:space="preserve">30 years </w:t>
      </w:r>
      <w:r w:rsidR="00E574D7">
        <w:t>the rail industry</w:t>
      </w:r>
      <w:r>
        <w:t xml:space="preserve"> </w:t>
      </w:r>
      <w:r w:rsidR="00D61D76">
        <w:t>has</w:t>
      </w:r>
      <w:r>
        <w:t xml:space="preserve"> </w:t>
      </w:r>
      <w:r w:rsidR="00F52003">
        <w:t xml:space="preserve">collectively assessed and co-operated in the management of the safety aspects of its </w:t>
      </w:r>
      <w:r w:rsidR="00D90C4F">
        <w:t>operations and</w:t>
      </w:r>
      <w:r w:rsidR="00F52003">
        <w:t xml:space="preserve"> has actively measured </w:t>
      </w:r>
      <w:r w:rsidR="00206621">
        <w:t xml:space="preserve">and </w:t>
      </w:r>
      <w:r w:rsidR="00F52003">
        <w:t>considered how to reduce the level of safety risk that has arisen in connection with rail operations.</w:t>
      </w:r>
    </w:p>
    <w:p w14:paraId="1B5B2BE5" w14:textId="4F44009B" w:rsidR="00D65E47" w:rsidRDefault="00BE5755" w:rsidP="00BE5755">
      <w:pPr>
        <w:pStyle w:val="Body"/>
        <w:jc w:val="both"/>
      </w:pPr>
      <w:r>
        <w:t xml:space="preserve">Extensive safety data is collected via the Safety Management Intelligence System (SMIS), which RSSB manages on the industry’s behalf.  The scope of SMIS covers injuries and other safety-related events that occur on or affecting </w:t>
      </w:r>
      <w:r w:rsidR="00D65E47">
        <w:t xml:space="preserve">the GB mainline railway, including </w:t>
      </w:r>
      <w:r>
        <w:t xml:space="preserve">Network Rail managed infrastructure, stations, </w:t>
      </w:r>
      <w:r w:rsidR="00D65E47">
        <w:t xml:space="preserve">and </w:t>
      </w:r>
      <w:r>
        <w:t>trains</w:t>
      </w:r>
      <w:r w:rsidR="00D65E47">
        <w:t>.</w:t>
      </w:r>
      <w:r>
        <w:t xml:space="preserve"> </w:t>
      </w:r>
    </w:p>
    <w:p w14:paraId="29955D6B" w14:textId="48DCF19E" w:rsidR="00D65E47" w:rsidRDefault="00D65E47" w:rsidP="00BE5755">
      <w:pPr>
        <w:pStyle w:val="Body"/>
        <w:jc w:val="both"/>
      </w:pPr>
      <w:r>
        <w:t xml:space="preserve">When monitoring trends in </w:t>
      </w:r>
      <w:proofErr w:type="gramStart"/>
      <w:r>
        <w:t>safety, or</w:t>
      </w:r>
      <w:proofErr w:type="gramEnd"/>
      <w:r>
        <w:t xml:space="preserve"> estimating the risk from different causes across the whole system risk profile, the industry uses the composite measure of fatalities and weighted injuries (FWI).  </w:t>
      </w:r>
      <w:r w:rsidR="00BE5755">
        <w:t xml:space="preserve">The injury categorisations </w:t>
      </w:r>
      <w:r>
        <w:t xml:space="preserve">currently </w:t>
      </w:r>
      <w:r w:rsidR="00BE5755">
        <w:t xml:space="preserve">used for FWI are based on the categories in the </w:t>
      </w:r>
      <w:r w:rsidR="00BE5755" w:rsidRPr="004C1711">
        <w:t>Reporting of Injuries, Diseases and Dangerous Occurrences</w:t>
      </w:r>
      <w:r w:rsidR="00BE5755">
        <w:t xml:space="preserve"> Regulations (RIDDOR)</w:t>
      </w:r>
      <w:r w:rsidR="002430C8">
        <w:rPr>
          <w:rStyle w:val="FootnoteReference"/>
        </w:rPr>
        <w:footnoteReference w:id="1"/>
      </w:r>
      <w:r w:rsidR="00BE5755">
        <w:t>. The agreed industry approach is to combine injuries of differing levels of seriousness into one composite measure based on ‘weighting’ a multiple of less serious events as being ‘equal’ to one fatality. The</w:t>
      </w:r>
      <w:r>
        <w:t xml:space="preserve"> current</w:t>
      </w:r>
      <w:r w:rsidR="00BE5755">
        <w:t xml:space="preserve"> weightings were derived following extensive research and consultation using public focus groups. </w:t>
      </w:r>
    </w:p>
    <w:p w14:paraId="730F1811" w14:textId="117568D9" w:rsidR="00BE5755" w:rsidRDefault="00D65E47" w:rsidP="00BE5755">
      <w:pPr>
        <w:pStyle w:val="Body"/>
        <w:jc w:val="both"/>
      </w:pPr>
      <w:r>
        <w:t>The FWI metric enables events that occur frequently but with low severity to be compared with events that occur infrequently but with more serious consequences.  This enables evidence-based decisions about investment and prioritisation in the overall management of safety.</w:t>
      </w:r>
    </w:p>
    <w:p w14:paraId="7603F349" w14:textId="0AA05B98" w:rsidR="00D65E47" w:rsidRDefault="008A075D" w:rsidP="00215920">
      <w:pPr>
        <w:pStyle w:val="Body"/>
        <w:jc w:val="both"/>
      </w:pPr>
      <w:r>
        <w:t>T</w:t>
      </w:r>
      <w:r w:rsidR="003A7DAA">
        <w:t xml:space="preserve">he industry </w:t>
      </w:r>
      <w:r w:rsidR="00D65E47">
        <w:t xml:space="preserve">management of health risk </w:t>
      </w:r>
      <w:r w:rsidR="00F40312">
        <w:t xml:space="preserve">is </w:t>
      </w:r>
      <w:r w:rsidR="00D65E47">
        <w:t xml:space="preserve">less </w:t>
      </w:r>
      <w:r w:rsidR="00F40312">
        <w:t>well-</w:t>
      </w:r>
      <w:r w:rsidR="00D65E47">
        <w:t xml:space="preserve">established than its management of safety risk, and it </w:t>
      </w:r>
      <w:r w:rsidR="003A7DAA">
        <w:t xml:space="preserve">is </w:t>
      </w:r>
      <w:r w:rsidR="00F52003">
        <w:t xml:space="preserve">seeking to </w:t>
      </w:r>
      <w:r w:rsidR="00D65E47">
        <w:t xml:space="preserve">strengthen its approach, by </w:t>
      </w:r>
      <w:r w:rsidR="00F52003">
        <w:t>mak</w:t>
      </w:r>
      <w:r w:rsidR="00D65E47">
        <w:t>ing</w:t>
      </w:r>
      <w:r w:rsidR="003A7DAA">
        <w:t xml:space="preserve"> improvements </w:t>
      </w:r>
      <w:r w:rsidR="00C81B4B">
        <w:t xml:space="preserve">in the way it </w:t>
      </w:r>
      <w:r w:rsidR="00C81B4B" w:rsidRPr="00C81B4B">
        <w:t>collectively assesse</w:t>
      </w:r>
      <w:r w:rsidR="00C81B4B">
        <w:t>s</w:t>
      </w:r>
      <w:r w:rsidR="00C81B4B" w:rsidRPr="00C81B4B">
        <w:t xml:space="preserve"> and co-operate</w:t>
      </w:r>
      <w:r w:rsidR="00C81B4B">
        <w:t>s</w:t>
      </w:r>
      <w:r w:rsidR="00C81B4B" w:rsidRPr="00C81B4B">
        <w:t xml:space="preserve"> in the management of the </w:t>
      </w:r>
      <w:r w:rsidR="00C81B4B">
        <w:t>health</w:t>
      </w:r>
      <w:r w:rsidR="00C81B4B" w:rsidRPr="00C81B4B">
        <w:t xml:space="preserve"> aspects of </w:t>
      </w:r>
      <w:r w:rsidR="00C81B4B" w:rsidRPr="00C81B4B">
        <w:lastRenderedPageBreak/>
        <w:t xml:space="preserve">its operations, and </w:t>
      </w:r>
      <w:r w:rsidR="00C81B4B">
        <w:t xml:space="preserve">in exploring what sort of </w:t>
      </w:r>
      <w:r w:rsidR="003A7DAA">
        <w:t>health and wellbeing data</w:t>
      </w:r>
      <w:r w:rsidR="00D90C4F">
        <w:t xml:space="preserve"> it should collect and </w:t>
      </w:r>
      <w:r w:rsidR="002430C8">
        <w:t xml:space="preserve">the </w:t>
      </w:r>
      <w:r w:rsidR="00D90C4F">
        <w:t>metrics</w:t>
      </w:r>
      <w:r>
        <w:t xml:space="preserve"> </w:t>
      </w:r>
      <w:r w:rsidR="00C81B4B">
        <w:t xml:space="preserve">it should </w:t>
      </w:r>
      <w:r w:rsidR="00D90C4F">
        <w:t>define</w:t>
      </w:r>
      <w:r w:rsidR="00C81B4B">
        <w:t xml:space="preserve"> to </w:t>
      </w:r>
      <w:r w:rsidR="006C4572">
        <w:t>achieve this</w:t>
      </w:r>
      <w:r w:rsidR="00C81B4B">
        <w:t xml:space="preserve">. </w:t>
      </w:r>
    </w:p>
    <w:bookmarkEnd w:id="0"/>
    <w:p w14:paraId="2779DE3D" w14:textId="634EBFFA" w:rsidR="007646E3" w:rsidRDefault="007646E3" w:rsidP="00215920">
      <w:pPr>
        <w:pStyle w:val="Body"/>
        <w:jc w:val="both"/>
      </w:pPr>
      <w:r>
        <w:t xml:space="preserve">A recent </w:t>
      </w:r>
      <w:r w:rsidR="002430C8">
        <w:t>RSSB R&amp;D project</w:t>
      </w:r>
      <w:r>
        <w:t xml:space="preserve"> focussed on identifying and agreeing the health data that the industry is currently focussed on collecting.  </w:t>
      </w:r>
    </w:p>
    <w:p w14:paraId="4156F28C" w14:textId="77777777" w:rsidR="007646E3" w:rsidRDefault="007646E3" w:rsidP="007646E3">
      <w:pPr>
        <w:pStyle w:val="Bullet1"/>
        <w:jc w:val="both"/>
      </w:pPr>
      <w:r>
        <w:t>T1094: Building health and wellbeing data user requirements for the rail industry</w:t>
      </w:r>
    </w:p>
    <w:p w14:paraId="76049845" w14:textId="77777777" w:rsidR="003C24DA" w:rsidRDefault="003C24DA" w:rsidP="00215920">
      <w:pPr>
        <w:pStyle w:val="Body"/>
        <w:jc w:val="both"/>
      </w:pPr>
    </w:p>
    <w:p w14:paraId="01650F10" w14:textId="5E4C6773" w:rsidR="007646E3" w:rsidRDefault="007646E3" w:rsidP="00215920">
      <w:pPr>
        <w:pStyle w:val="Body"/>
        <w:jc w:val="both"/>
      </w:pPr>
      <w:r>
        <w:t xml:space="preserve">However, while </w:t>
      </w:r>
      <w:r w:rsidR="00B4411D">
        <w:t xml:space="preserve">health &amp; wellbeing </w:t>
      </w:r>
      <w:r>
        <w:t>data requirements have been identified</w:t>
      </w:r>
      <w:r w:rsidR="00B4411D">
        <w:t xml:space="preserve"> in the above work</w:t>
      </w:r>
      <w:r>
        <w:t>, there has not yet been any real focus on how to bring together that data so that the different causes of ill health can be compared, and monitoring and prioritisation be carried out for health conditions.</w:t>
      </w:r>
    </w:p>
    <w:p w14:paraId="00C9AF71" w14:textId="3429A0C3" w:rsidR="007646E3" w:rsidRDefault="007646E3" w:rsidP="00215920">
      <w:pPr>
        <w:pStyle w:val="Body"/>
        <w:jc w:val="both"/>
      </w:pPr>
      <w:r>
        <w:t xml:space="preserve">It follows from this, that there is not yet any way of comparing the risks from safety with the risks from health, so that monitoring and prioritisation can take place across the safety, health and </w:t>
      </w:r>
      <w:r w:rsidR="00A60F81">
        <w:t>wellbeing</w:t>
      </w:r>
      <w:r>
        <w:t xml:space="preserve"> spectrum.</w:t>
      </w:r>
      <w:r w:rsidR="00B4411D">
        <w:t xml:space="preserve">  This is a key focus for the current project.</w:t>
      </w:r>
    </w:p>
    <w:p w14:paraId="3C092797" w14:textId="77777777" w:rsidR="003C24DA" w:rsidRDefault="003C24DA" w:rsidP="00215920">
      <w:pPr>
        <w:pStyle w:val="Body"/>
        <w:jc w:val="both"/>
      </w:pPr>
    </w:p>
    <w:p w14:paraId="6EFF1C53" w14:textId="70FE510A" w:rsidR="007646E3" w:rsidRDefault="007646E3" w:rsidP="00215920">
      <w:pPr>
        <w:pStyle w:val="Body"/>
        <w:jc w:val="both"/>
      </w:pPr>
      <w:r>
        <w:t>The following past projects have relevance to the current study:</w:t>
      </w:r>
    </w:p>
    <w:p w14:paraId="10200F83" w14:textId="70A6BB46" w:rsidR="00827909" w:rsidRDefault="00827909" w:rsidP="00827909">
      <w:pPr>
        <w:pStyle w:val="Bullet1"/>
      </w:pPr>
      <w:r>
        <w:t xml:space="preserve">T611: </w:t>
      </w:r>
      <w:r w:rsidRPr="00827909">
        <w:t>Managing the effects of applying targets to the GB rail industry</w:t>
      </w:r>
    </w:p>
    <w:p w14:paraId="4E2A0F3D" w14:textId="77777777" w:rsidR="003A7DAA" w:rsidRDefault="003A7DAA" w:rsidP="00215920">
      <w:pPr>
        <w:pStyle w:val="Bullet1"/>
        <w:jc w:val="both"/>
      </w:pPr>
      <w:r>
        <w:t>T852: The application of leading and lagging indicators to the rail industry (measuring safety performance)</w:t>
      </w:r>
    </w:p>
    <w:p w14:paraId="3E976F34" w14:textId="77777777" w:rsidR="003A7DAA" w:rsidRDefault="003A7DAA" w:rsidP="00215920">
      <w:pPr>
        <w:pStyle w:val="Bullet1"/>
        <w:jc w:val="both"/>
      </w:pPr>
      <w:r>
        <w:t>T953: Enhancing and promoting the use of safety performance indicators</w:t>
      </w:r>
    </w:p>
    <w:p w14:paraId="5291E1C6" w14:textId="77777777" w:rsidR="003A7DAA" w:rsidRDefault="003A7DAA" w:rsidP="00215920">
      <w:pPr>
        <w:pStyle w:val="Bullet1"/>
        <w:jc w:val="both"/>
      </w:pPr>
      <w:r>
        <w:t>T1023: Development of a behavioural safety good practice guide</w:t>
      </w:r>
    </w:p>
    <w:p w14:paraId="619DE78B" w14:textId="0B600A5F" w:rsidR="00D90C4F" w:rsidRPr="00D90C4F" w:rsidRDefault="00E7774C" w:rsidP="00D90C4F">
      <w:pPr>
        <w:pStyle w:val="Bullet1"/>
        <w:jc w:val="both"/>
        <w:rPr>
          <w:rFonts w:asciiTheme="majorHAnsi" w:hAnsiTheme="majorHAnsi"/>
          <w:color w:val="00968E"/>
        </w:rPr>
      </w:pPr>
      <w:r w:rsidRPr="002007C4">
        <w:t>T1127: Creating a social value measurement framework for rail</w:t>
      </w:r>
    </w:p>
    <w:p w14:paraId="2E04C524" w14:textId="6777EE7B" w:rsidR="007646E3" w:rsidRDefault="007646E3" w:rsidP="00D90C4F">
      <w:pPr>
        <w:pStyle w:val="Bullet1"/>
        <w:numPr>
          <w:ilvl w:val="0"/>
          <w:numId w:val="0"/>
        </w:numPr>
        <w:jc w:val="both"/>
      </w:pPr>
    </w:p>
    <w:p w14:paraId="7F04DCA4" w14:textId="2D806C62" w:rsidR="00F40312" w:rsidRDefault="00F40312" w:rsidP="00D90C4F">
      <w:pPr>
        <w:pStyle w:val="Bullet1"/>
        <w:numPr>
          <w:ilvl w:val="0"/>
          <w:numId w:val="0"/>
        </w:numPr>
        <w:jc w:val="both"/>
      </w:pPr>
      <w:proofErr w:type="gramStart"/>
      <w:r>
        <w:t>All of</w:t>
      </w:r>
      <w:proofErr w:type="gramEnd"/>
      <w:r>
        <w:t xml:space="preserve"> the above T projects are available through </w:t>
      </w:r>
      <w:hyperlink r:id="rId14" w:history="1">
        <w:r w:rsidRPr="00BF3788">
          <w:rPr>
            <w:rStyle w:val="Hyperlink"/>
          </w:rPr>
          <w:t>www.sparkrail.org</w:t>
        </w:r>
      </w:hyperlink>
      <w:r>
        <w:t>.</w:t>
      </w:r>
    </w:p>
    <w:p w14:paraId="24A6F886" w14:textId="77777777" w:rsidR="00F40312" w:rsidRDefault="00F40312" w:rsidP="00F40312">
      <w:pPr>
        <w:pStyle w:val="Body"/>
        <w:jc w:val="both"/>
      </w:pPr>
    </w:p>
    <w:p w14:paraId="2791185D" w14:textId="32CAAEF7" w:rsidR="00F40312" w:rsidRPr="00D90C4F" w:rsidRDefault="00F40312" w:rsidP="00F40312">
      <w:pPr>
        <w:pStyle w:val="Body"/>
        <w:jc w:val="both"/>
      </w:pPr>
      <w:r>
        <w:t xml:space="preserve">These are </w:t>
      </w:r>
      <w:proofErr w:type="gramStart"/>
      <w:r>
        <w:t>a number of</w:t>
      </w:r>
      <w:proofErr w:type="gramEnd"/>
      <w:r>
        <w:t xml:space="preserve"> other </w:t>
      </w:r>
      <w:r w:rsidRPr="00D90C4F">
        <w:t>RSSB health and wellbeing data projects</w:t>
      </w:r>
      <w:r>
        <w:t xml:space="preserve"> that are also relevant to the current project, which are currently planned or in progress, but are not yet at the delivery stage</w:t>
      </w:r>
      <w:r w:rsidRPr="00D90C4F">
        <w:t>:</w:t>
      </w:r>
    </w:p>
    <w:p w14:paraId="0460629C" w14:textId="77777777" w:rsidR="00F40312" w:rsidRPr="00D90C4F" w:rsidRDefault="00F40312" w:rsidP="00F40312">
      <w:pPr>
        <w:pStyle w:val="Bullet1"/>
        <w:jc w:val="both"/>
      </w:pPr>
      <w:r w:rsidRPr="00D90C4F">
        <w:t xml:space="preserve">Cross industry </w:t>
      </w:r>
      <w:r>
        <w:t>health &amp; wellbeing</w:t>
      </w:r>
      <w:r w:rsidRPr="00D90C4F">
        <w:t xml:space="preserve"> System development through bulk upload</w:t>
      </w:r>
    </w:p>
    <w:p w14:paraId="00B39E58" w14:textId="77777777" w:rsidR="00F40312" w:rsidRPr="00D90C4F" w:rsidRDefault="00F40312" w:rsidP="00F40312">
      <w:pPr>
        <w:pStyle w:val="Bullet1"/>
        <w:jc w:val="both"/>
      </w:pPr>
      <w:r w:rsidRPr="00D90C4F">
        <w:t>Ill Health Theme Within SMIS</w:t>
      </w:r>
    </w:p>
    <w:p w14:paraId="05CE34C5" w14:textId="77777777" w:rsidR="00F40312" w:rsidRPr="00D90C4F" w:rsidRDefault="00F40312" w:rsidP="00F40312">
      <w:pPr>
        <w:pStyle w:val="Bullet1"/>
        <w:jc w:val="both"/>
      </w:pPr>
      <w:r w:rsidRPr="00D90C4F">
        <w:t>Individual Health Survey</w:t>
      </w:r>
    </w:p>
    <w:p w14:paraId="52CB0FC8" w14:textId="77777777" w:rsidR="00F40312" w:rsidRDefault="00F40312" w:rsidP="00F40312">
      <w:pPr>
        <w:pStyle w:val="Bullet1"/>
        <w:jc w:val="both"/>
      </w:pPr>
      <w:r w:rsidRPr="00D90C4F">
        <w:t>PhD in Benchmarking and Performance</w:t>
      </w:r>
    </w:p>
    <w:p w14:paraId="5329430E" w14:textId="77777777" w:rsidR="00F40312" w:rsidRDefault="00F40312" w:rsidP="00F40312">
      <w:pPr>
        <w:pStyle w:val="Body"/>
        <w:jc w:val="both"/>
      </w:pPr>
    </w:p>
    <w:p w14:paraId="25577786" w14:textId="77777777" w:rsidR="00F40312" w:rsidRDefault="00F40312" w:rsidP="00D90C4F">
      <w:pPr>
        <w:pStyle w:val="Bullet1"/>
        <w:numPr>
          <w:ilvl w:val="0"/>
          <w:numId w:val="0"/>
        </w:numPr>
        <w:jc w:val="both"/>
      </w:pPr>
    </w:p>
    <w:p w14:paraId="55A5CAAD" w14:textId="1D7998EF" w:rsidR="00032803" w:rsidRPr="00E5676E" w:rsidRDefault="005047AB" w:rsidP="00557BBB">
      <w:pPr>
        <w:pStyle w:val="Heading10"/>
        <w:keepNext/>
        <w:numPr>
          <w:ilvl w:val="0"/>
          <w:numId w:val="24"/>
        </w:numPr>
        <w:ind w:left="567" w:hanging="567"/>
        <w:outlineLvl w:val="9"/>
        <w:rPr>
          <w:rFonts w:ascii="Calibri" w:hAnsi="Calibri"/>
        </w:rPr>
      </w:pPr>
      <w:r>
        <w:rPr>
          <w:rFonts w:ascii="Calibri" w:hAnsi="Calibri"/>
        </w:rPr>
        <w:lastRenderedPageBreak/>
        <w:t>O</w:t>
      </w:r>
      <w:r w:rsidR="00032803" w:rsidRPr="00E5676E">
        <w:rPr>
          <w:rFonts w:ascii="Calibri" w:hAnsi="Calibri"/>
        </w:rPr>
        <w:t>bjectives</w:t>
      </w:r>
    </w:p>
    <w:p w14:paraId="0CFA9FA3" w14:textId="3385DBFD" w:rsidR="00036F54" w:rsidRPr="00A60F81" w:rsidRDefault="00A60F81" w:rsidP="00993A2A">
      <w:pPr>
        <w:pStyle w:val="Body"/>
        <w:jc w:val="both"/>
      </w:pPr>
      <w:r w:rsidRPr="00A60F81">
        <w:t>As highlighted in the previous section, p</w:t>
      </w:r>
      <w:r w:rsidR="00036F54" w:rsidRPr="00A60F81">
        <w:t xml:space="preserve">rojects are underway to support the industry in collecting </w:t>
      </w:r>
      <w:r w:rsidRPr="00A60F81">
        <w:t>h</w:t>
      </w:r>
      <w:r w:rsidR="00036F54" w:rsidRPr="00A60F81">
        <w:t>ealth and wellbeing data at the cross-industry level</w:t>
      </w:r>
      <w:r w:rsidRPr="00A60F81">
        <w:t>, and w</w:t>
      </w:r>
      <w:r w:rsidR="00D671A4" w:rsidRPr="00A60F81">
        <w:t xml:space="preserve">ork to understand </w:t>
      </w:r>
      <w:r w:rsidRPr="00A60F81">
        <w:t xml:space="preserve">how these can be translated into </w:t>
      </w:r>
      <w:r w:rsidR="00D671A4" w:rsidRPr="00A60F81">
        <w:t xml:space="preserve">business </w:t>
      </w:r>
      <w:r w:rsidRPr="00A60F81">
        <w:t>key performance indicators (KPIs)</w:t>
      </w:r>
      <w:r w:rsidR="00D671A4" w:rsidRPr="00A60F81">
        <w:t xml:space="preserve"> is becoming </w:t>
      </w:r>
      <w:r w:rsidRPr="00A60F81">
        <w:t xml:space="preserve">more </w:t>
      </w:r>
      <w:r w:rsidR="00D671A4" w:rsidRPr="00A60F81">
        <w:t>well defined.</w:t>
      </w:r>
    </w:p>
    <w:p w14:paraId="5A8CD230" w14:textId="77777777" w:rsidR="00A60F81" w:rsidRDefault="00993A2A" w:rsidP="00993A2A">
      <w:pPr>
        <w:pStyle w:val="Body"/>
        <w:jc w:val="both"/>
      </w:pPr>
      <w:r w:rsidRPr="00A60F81">
        <w:t>Research into current and alternative health, safety and wellbeing performance metrics to understand their</w:t>
      </w:r>
      <w:r w:rsidR="00326F45" w:rsidRPr="00A60F81">
        <w:t xml:space="preserve"> comparative</w:t>
      </w:r>
      <w:r w:rsidRPr="00A60F81">
        <w:t xml:space="preserve"> merits and limitations would help industry improve how we report, use and </w:t>
      </w:r>
      <w:proofErr w:type="gramStart"/>
      <w:r w:rsidRPr="00A60F81">
        <w:t>take action</w:t>
      </w:r>
      <w:proofErr w:type="gramEnd"/>
      <w:r w:rsidRPr="00A60F81">
        <w:t xml:space="preserve"> to manage health, safety and wellbeing.  It would help to resolve pressing issues, such as the setting, comparison and use of </w:t>
      </w:r>
      <w:r w:rsidR="00FC13CC" w:rsidRPr="00A60F81">
        <w:t xml:space="preserve">health and </w:t>
      </w:r>
      <w:r w:rsidRPr="00A60F81">
        <w:t>safety improvement targets.</w:t>
      </w:r>
      <w:r>
        <w:t xml:space="preserve">  </w:t>
      </w:r>
    </w:p>
    <w:p w14:paraId="175BD8B3" w14:textId="087DBB73" w:rsidR="00993A2A" w:rsidRDefault="00A60F81" w:rsidP="00993A2A">
      <w:pPr>
        <w:pStyle w:val="Body"/>
        <w:jc w:val="both"/>
      </w:pPr>
      <w:r>
        <w:t>This activity will support the evaluation of e</w:t>
      </w:r>
      <w:r w:rsidRPr="00762687">
        <w:t xml:space="preserve">conomic </w:t>
      </w:r>
      <w:r>
        <w:t>p</w:t>
      </w:r>
      <w:r w:rsidRPr="00762687">
        <w:t xml:space="preserve">erformance </w:t>
      </w:r>
      <w:r>
        <w:t>of health and wellbeing through data as it comes in from industry and therefore provides an overall view of performance in relation to other health conditions and priorities within the industry.</w:t>
      </w:r>
    </w:p>
    <w:p w14:paraId="475E9EE4" w14:textId="77777777" w:rsidR="00326F45" w:rsidRDefault="00993A2A" w:rsidP="00993A2A">
      <w:pPr>
        <w:pStyle w:val="Body"/>
        <w:jc w:val="both"/>
      </w:pPr>
      <w:r>
        <w:t xml:space="preserve">It would also identify good practice and ensure that the new generation of monitoring and risk assessment tools that is currently being developed can support its application. </w:t>
      </w:r>
    </w:p>
    <w:p w14:paraId="42624CC8" w14:textId="6CD1C88E" w:rsidR="00215920" w:rsidRDefault="00993A2A" w:rsidP="00993A2A">
      <w:pPr>
        <w:pStyle w:val="Body"/>
        <w:jc w:val="both"/>
      </w:pPr>
      <w:r>
        <w:t>This research aims to assist this goa</w:t>
      </w:r>
      <w:r w:rsidR="00A60F81">
        <w:t>l, in support of the following overall purpose, by meeting the following specific objectives</w:t>
      </w:r>
      <w:r w:rsidR="00326F45">
        <w:t>:</w:t>
      </w:r>
    </w:p>
    <w:p w14:paraId="36DC4E37" w14:textId="2F104027" w:rsidR="00326F45" w:rsidRDefault="00A60F81" w:rsidP="00993A2A">
      <w:pPr>
        <w:pStyle w:val="Body"/>
        <w:jc w:val="both"/>
      </w:pPr>
      <w:r>
        <w:rPr>
          <w:b/>
        </w:rPr>
        <w:t>Overall p</w:t>
      </w:r>
      <w:r w:rsidR="00326F45" w:rsidRPr="00326F45">
        <w:rPr>
          <w:b/>
        </w:rPr>
        <w:t>urpose:</w:t>
      </w:r>
      <w:r w:rsidR="00326F45">
        <w:t xml:space="preserve"> </w:t>
      </w:r>
    </w:p>
    <w:p w14:paraId="42D203D8" w14:textId="7F28BCD6" w:rsidR="00044F9A" w:rsidRPr="0034505B" w:rsidRDefault="00044F9A" w:rsidP="00993A2A">
      <w:pPr>
        <w:pStyle w:val="Body"/>
        <w:jc w:val="both"/>
      </w:pPr>
      <w:bookmarkStart w:id="1" w:name="_Hlk5722948"/>
      <w:r w:rsidRPr="0034505B">
        <w:t xml:space="preserve">To develop a means of bringing together </w:t>
      </w:r>
      <w:r w:rsidR="00A60F81" w:rsidRPr="0034505B">
        <w:t>health and wellbeing</w:t>
      </w:r>
      <w:r w:rsidRPr="0034505B">
        <w:t xml:space="preserve"> data collected by the industry, into a set of composite metrics that can be used </w:t>
      </w:r>
      <w:r w:rsidR="00B664AF">
        <w:t xml:space="preserve">effectively </w:t>
      </w:r>
      <w:r w:rsidRPr="0034505B">
        <w:t xml:space="preserve">to monitor </w:t>
      </w:r>
      <w:r w:rsidR="00A60F81" w:rsidRPr="0034505B">
        <w:t>health and wellb</w:t>
      </w:r>
      <w:r w:rsidR="0034505B" w:rsidRPr="0034505B">
        <w:t>e</w:t>
      </w:r>
      <w:r w:rsidR="00A60F81" w:rsidRPr="0034505B">
        <w:t>ing</w:t>
      </w:r>
      <w:r w:rsidRPr="0034505B">
        <w:t xml:space="preserve"> </w:t>
      </w:r>
      <w:proofErr w:type="gramStart"/>
      <w:r w:rsidRPr="0034505B">
        <w:t>performance, and</w:t>
      </w:r>
      <w:proofErr w:type="gramEnd"/>
      <w:r w:rsidRPr="0034505B">
        <w:t xml:space="preserve"> prioritise investment decisions.</w:t>
      </w:r>
    </w:p>
    <w:p w14:paraId="24E76005" w14:textId="5BB4AD85" w:rsidR="00044F9A" w:rsidRDefault="00044F9A" w:rsidP="00993A2A">
      <w:pPr>
        <w:pStyle w:val="Body"/>
        <w:jc w:val="both"/>
      </w:pPr>
      <w:r w:rsidRPr="00C3527B">
        <w:t xml:space="preserve">To </w:t>
      </w:r>
      <w:r w:rsidR="005E6D8A" w:rsidRPr="00C3527B">
        <w:t>explore</w:t>
      </w:r>
      <w:r w:rsidR="00C3527B" w:rsidRPr="00C3527B">
        <w:t xml:space="preserve"> how best to use health and wellbeing</w:t>
      </w:r>
      <w:r w:rsidRPr="00C3527B">
        <w:t xml:space="preserve"> composite metrics in conjunction with existing (or new) </w:t>
      </w:r>
      <w:r w:rsidR="00C3527B" w:rsidRPr="00C3527B">
        <w:t>safety performance</w:t>
      </w:r>
      <w:r w:rsidRPr="00C3527B">
        <w:t xml:space="preserve"> metrics, </w:t>
      </w:r>
      <w:r w:rsidR="00C3527B" w:rsidRPr="00C3527B">
        <w:t>to enable</w:t>
      </w:r>
      <w:r w:rsidRPr="00C3527B">
        <w:t xml:space="preserve"> a</w:t>
      </w:r>
      <w:r w:rsidR="00B664AF">
        <w:t>n</w:t>
      </w:r>
      <w:r w:rsidRPr="00C3527B">
        <w:t xml:space="preserve"> </w:t>
      </w:r>
      <w:r w:rsidR="00B664AF">
        <w:t xml:space="preserve">effective </w:t>
      </w:r>
      <w:r w:rsidRPr="00C3527B">
        <w:t xml:space="preserve">way of monitoring and prioritising investment decisions across the safety, health and </w:t>
      </w:r>
      <w:r w:rsidR="00A60F81" w:rsidRPr="00C3527B">
        <w:t>wellbeing</w:t>
      </w:r>
      <w:r w:rsidRPr="00C3527B">
        <w:t xml:space="preserve"> spectrum.</w:t>
      </w:r>
    </w:p>
    <w:p w14:paraId="466D5174" w14:textId="393B1C04" w:rsidR="005408F6" w:rsidRDefault="005408F6" w:rsidP="005408F6">
      <w:pPr>
        <w:pStyle w:val="Body"/>
        <w:jc w:val="both"/>
      </w:pPr>
      <w:r>
        <w:t>To ensure and demonstrat</w:t>
      </w:r>
      <w:r w:rsidR="00206621">
        <w:t>e</w:t>
      </w:r>
      <w:r>
        <w:t xml:space="preserve"> that the health &amp; wellbeing risk is being collaboratively managed so far as is reasonably practicable.</w:t>
      </w:r>
    </w:p>
    <w:p w14:paraId="3BA5BA74" w14:textId="20BFA426" w:rsidR="00480B19" w:rsidRDefault="00480B19" w:rsidP="005408F6">
      <w:pPr>
        <w:pStyle w:val="Body"/>
        <w:jc w:val="both"/>
      </w:pPr>
      <w:r>
        <w:t>The context is illustrated in the diagram below:</w:t>
      </w:r>
    </w:p>
    <w:p w14:paraId="1B960FD0" w14:textId="0982C3AD" w:rsidR="00480B19" w:rsidRDefault="00480B19" w:rsidP="00480B19">
      <w:pPr>
        <w:jc w:val="center"/>
      </w:pPr>
      <w:r w:rsidRPr="00480B19">
        <w:rPr>
          <w:noProof/>
        </w:rPr>
        <w:drawing>
          <wp:inline distT="0" distB="0" distL="0" distR="0" wp14:anchorId="78998ABA" wp14:editId="5DADAF41">
            <wp:extent cx="3162300" cy="1835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87667" cy="1850275"/>
                    </a:xfrm>
                    <a:prstGeom prst="rect">
                      <a:avLst/>
                    </a:prstGeom>
                  </pic:spPr>
                </pic:pic>
              </a:graphicData>
            </a:graphic>
          </wp:inline>
        </w:drawing>
      </w:r>
    </w:p>
    <w:bookmarkEnd w:id="1"/>
    <w:p w14:paraId="0A3FA862" w14:textId="77777777" w:rsidR="005408F6" w:rsidRDefault="00C3527B" w:rsidP="005408F6">
      <w:pPr>
        <w:pStyle w:val="CommentText"/>
        <w:spacing w:after="120"/>
        <w:rPr>
          <w:b/>
          <w:lang w:val="en-GB"/>
        </w:rPr>
      </w:pPr>
      <w:r>
        <w:rPr>
          <w:b/>
          <w:lang w:val="en-GB"/>
        </w:rPr>
        <w:lastRenderedPageBreak/>
        <w:t>Specific o</w:t>
      </w:r>
      <w:r w:rsidR="00193A87" w:rsidRPr="00193A87">
        <w:rPr>
          <w:b/>
          <w:lang w:val="en-GB"/>
        </w:rPr>
        <w:t xml:space="preserve">bjectives: </w:t>
      </w:r>
    </w:p>
    <w:p w14:paraId="6ABFCD04" w14:textId="06065F80" w:rsidR="005408F6" w:rsidRDefault="00F46CE9" w:rsidP="00480B19">
      <w:pPr>
        <w:pStyle w:val="CommentText"/>
        <w:numPr>
          <w:ilvl w:val="0"/>
          <w:numId w:val="37"/>
        </w:numPr>
        <w:spacing w:after="120"/>
        <w:ind w:left="567" w:hanging="578"/>
        <w:rPr>
          <w:rFonts w:ascii="Calibri" w:eastAsia="Times New Roman" w:hAnsi="Calibri" w:cs="Arial"/>
          <w:sz w:val="22"/>
          <w:szCs w:val="22"/>
          <w:lang w:val="en-GB" w:eastAsia="en-GB"/>
        </w:rPr>
      </w:pPr>
      <w:r w:rsidRPr="005408F6">
        <w:rPr>
          <w:rFonts w:ascii="Calibri" w:eastAsia="Times New Roman" w:hAnsi="Calibri" w:cs="Arial"/>
          <w:sz w:val="22"/>
          <w:szCs w:val="22"/>
          <w:lang w:val="en-GB" w:eastAsia="en-GB"/>
        </w:rPr>
        <w:t xml:space="preserve">To review how well the set of data currently agreed for collection by </w:t>
      </w:r>
      <w:r w:rsidR="00C3527B" w:rsidRPr="005408F6">
        <w:rPr>
          <w:rFonts w:ascii="Calibri" w:eastAsia="Times New Roman" w:hAnsi="Calibri" w:cs="Arial"/>
          <w:sz w:val="22"/>
          <w:szCs w:val="22"/>
          <w:lang w:val="en-GB" w:eastAsia="en-GB"/>
        </w:rPr>
        <w:t xml:space="preserve">the rail </w:t>
      </w:r>
      <w:r w:rsidRPr="005408F6">
        <w:rPr>
          <w:rFonts w:ascii="Calibri" w:eastAsia="Times New Roman" w:hAnsi="Calibri" w:cs="Arial"/>
          <w:sz w:val="22"/>
          <w:szCs w:val="22"/>
          <w:lang w:val="en-GB" w:eastAsia="en-GB"/>
        </w:rPr>
        <w:t xml:space="preserve">industry cover </w:t>
      </w:r>
      <w:r w:rsidR="004C376B">
        <w:rPr>
          <w:rFonts w:ascii="Calibri" w:eastAsia="Times New Roman" w:hAnsi="Calibri" w:cs="Arial"/>
          <w:sz w:val="22"/>
          <w:szCs w:val="22"/>
          <w:lang w:val="en-GB" w:eastAsia="en-GB"/>
        </w:rPr>
        <w:t>a number (suggested 10)</w:t>
      </w:r>
      <w:r w:rsidRPr="005408F6">
        <w:rPr>
          <w:rFonts w:ascii="Calibri" w:eastAsia="Times New Roman" w:hAnsi="Calibri" w:cs="Arial"/>
          <w:sz w:val="22"/>
          <w:szCs w:val="22"/>
          <w:lang w:val="en-GB" w:eastAsia="en-GB"/>
        </w:rPr>
        <w:t xml:space="preserve"> key priority areas</w:t>
      </w:r>
      <w:r w:rsidR="00C3527B" w:rsidRPr="005408F6">
        <w:rPr>
          <w:rFonts w:ascii="Calibri" w:eastAsia="Times New Roman" w:hAnsi="Calibri" w:cs="Arial"/>
          <w:sz w:val="22"/>
          <w:szCs w:val="22"/>
          <w:lang w:val="en-GB" w:eastAsia="en-GB"/>
        </w:rPr>
        <w:t xml:space="preserve"> for health &amp; wellbeing</w:t>
      </w:r>
      <w:r w:rsidRPr="005408F6">
        <w:rPr>
          <w:rFonts w:ascii="Calibri" w:eastAsia="Times New Roman" w:hAnsi="Calibri" w:cs="Arial"/>
          <w:sz w:val="22"/>
          <w:szCs w:val="22"/>
          <w:lang w:val="en-GB" w:eastAsia="en-GB"/>
        </w:rPr>
        <w:t>.  To identify any gaps and make recommendations for data collection improvements in th</w:t>
      </w:r>
      <w:r w:rsidR="00C3527B" w:rsidRPr="005408F6">
        <w:rPr>
          <w:rFonts w:ascii="Calibri" w:eastAsia="Times New Roman" w:hAnsi="Calibri" w:cs="Arial"/>
          <w:sz w:val="22"/>
          <w:szCs w:val="22"/>
          <w:lang w:val="en-GB" w:eastAsia="en-GB"/>
        </w:rPr>
        <w:t>e</w:t>
      </w:r>
      <w:r w:rsidRPr="005408F6">
        <w:rPr>
          <w:rFonts w:ascii="Calibri" w:eastAsia="Times New Roman" w:hAnsi="Calibri" w:cs="Arial"/>
          <w:sz w:val="22"/>
          <w:szCs w:val="22"/>
          <w:lang w:val="en-GB" w:eastAsia="en-GB"/>
        </w:rPr>
        <w:t>se area</w:t>
      </w:r>
      <w:r w:rsidR="00C3527B" w:rsidRPr="005408F6">
        <w:rPr>
          <w:rFonts w:ascii="Calibri" w:eastAsia="Times New Roman" w:hAnsi="Calibri" w:cs="Arial"/>
          <w:sz w:val="22"/>
          <w:szCs w:val="22"/>
          <w:lang w:val="en-GB" w:eastAsia="en-GB"/>
        </w:rPr>
        <w:t>s, or more widely</w:t>
      </w:r>
      <w:r w:rsidRPr="005408F6">
        <w:rPr>
          <w:rFonts w:ascii="Calibri" w:eastAsia="Times New Roman" w:hAnsi="Calibri" w:cs="Arial"/>
          <w:sz w:val="22"/>
          <w:szCs w:val="22"/>
          <w:lang w:val="en-GB" w:eastAsia="en-GB"/>
        </w:rPr>
        <w:t>.</w:t>
      </w:r>
    </w:p>
    <w:p w14:paraId="64CC8392" w14:textId="48D443AA" w:rsidR="004C376B" w:rsidRPr="004C376B" w:rsidRDefault="004C376B" w:rsidP="00480B19">
      <w:pPr>
        <w:pStyle w:val="CommentText"/>
        <w:spacing w:after="120"/>
        <w:ind w:left="567"/>
        <w:rPr>
          <w:rFonts w:ascii="Calibri" w:eastAsia="Times New Roman" w:hAnsi="Calibri" w:cs="Arial"/>
          <w:i/>
          <w:sz w:val="22"/>
          <w:szCs w:val="22"/>
          <w:lang w:val="en-GB" w:eastAsia="en-GB"/>
        </w:rPr>
      </w:pPr>
      <w:r w:rsidRPr="004C376B">
        <w:rPr>
          <w:rFonts w:ascii="Calibri" w:eastAsia="Times New Roman" w:hAnsi="Calibri" w:cs="Arial"/>
          <w:i/>
          <w:sz w:val="22"/>
          <w:szCs w:val="22"/>
          <w:lang w:val="en-GB" w:eastAsia="en-GB"/>
        </w:rPr>
        <w:t xml:space="preserve">It is emphasised that the main purpose of the research is not to identify the top areas of </w:t>
      </w:r>
      <w:r>
        <w:rPr>
          <w:rFonts w:ascii="Calibri" w:eastAsia="Times New Roman" w:hAnsi="Calibri" w:cs="Arial"/>
          <w:i/>
          <w:sz w:val="22"/>
          <w:szCs w:val="22"/>
          <w:lang w:val="en-GB" w:eastAsia="en-GB"/>
        </w:rPr>
        <w:t>importance</w:t>
      </w:r>
      <w:r w:rsidRPr="004C376B">
        <w:rPr>
          <w:rFonts w:ascii="Calibri" w:eastAsia="Times New Roman" w:hAnsi="Calibri" w:cs="Arial"/>
          <w:i/>
          <w:sz w:val="22"/>
          <w:szCs w:val="22"/>
          <w:lang w:val="en-GB" w:eastAsia="en-GB"/>
        </w:rPr>
        <w:t xml:space="preserve"> to the rail industry, but to identify an approach that allows health conditions to be monitored and prioritised, and </w:t>
      </w:r>
      <w:r>
        <w:rPr>
          <w:rFonts w:ascii="Calibri" w:eastAsia="Times New Roman" w:hAnsi="Calibri" w:cs="Arial"/>
          <w:i/>
          <w:sz w:val="22"/>
          <w:szCs w:val="22"/>
          <w:lang w:val="en-GB" w:eastAsia="en-GB"/>
        </w:rPr>
        <w:t xml:space="preserve">ideally </w:t>
      </w:r>
      <w:r w:rsidRPr="004C376B">
        <w:rPr>
          <w:rFonts w:ascii="Calibri" w:eastAsia="Times New Roman" w:hAnsi="Calibri" w:cs="Arial"/>
          <w:i/>
          <w:sz w:val="22"/>
          <w:szCs w:val="22"/>
          <w:lang w:val="en-GB" w:eastAsia="en-GB"/>
        </w:rPr>
        <w:t xml:space="preserve">compared with safety risk.  However, the areas </w:t>
      </w:r>
      <w:r>
        <w:rPr>
          <w:rFonts w:ascii="Calibri" w:eastAsia="Times New Roman" w:hAnsi="Calibri" w:cs="Arial"/>
          <w:i/>
          <w:sz w:val="22"/>
          <w:szCs w:val="22"/>
          <w:lang w:val="en-GB" w:eastAsia="en-GB"/>
        </w:rPr>
        <w:t>proposed by the supplier</w:t>
      </w:r>
      <w:r w:rsidRPr="004C376B">
        <w:rPr>
          <w:rFonts w:ascii="Calibri" w:eastAsia="Times New Roman" w:hAnsi="Calibri" w:cs="Arial"/>
          <w:i/>
          <w:sz w:val="22"/>
          <w:szCs w:val="22"/>
          <w:lang w:val="en-GB" w:eastAsia="en-GB"/>
        </w:rPr>
        <w:t xml:space="preserve"> for </w:t>
      </w:r>
      <w:r>
        <w:rPr>
          <w:rFonts w:ascii="Calibri" w:eastAsia="Times New Roman" w:hAnsi="Calibri" w:cs="Arial"/>
          <w:i/>
          <w:sz w:val="22"/>
          <w:szCs w:val="22"/>
          <w:lang w:val="en-GB" w:eastAsia="en-GB"/>
        </w:rPr>
        <w:t>inclusion in the project</w:t>
      </w:r>
      <w:r w:rsidRPr="004C376B">
        <w:rPr>
          <w:rFonts w:ascii="Calibri" w:eastAsia="Times New Roman" w:hAnsi="Calibri" w:cs="Arial"/>
          <w:i/>
          <w:sz w:val="22"/>
          <w:szCs w:val="22"/>
          <w:lang w:val="en-GB" w:eastAsia="en-GB"/>
        </w:rPr>
        <w:t xml:space="preserve"> should be those that are of </w:t>
      </w:r>
      <w:r>
        <w:rPr>
          <w:rFonts w:ascii="Calibri" w:eastAsia="Times New Roman" w:hAnsi="Calibri" w:cs="Arial"/>
          <w:i/>
          <w:sz w:val="22"/>
          <w:szCs w:val="22"/>
          <w:lang w:val="en-GB" w:eastAsia="en-GB"/>
        </w:rPr>
        <w:t xml:space="preserve">known </w:t>
      </w:r>
      <w:r w:rsidRPr="004C376B">
        <w:rPr>
          <w:rFonts w:ascii="Calibri" w:eastAsia="Times New Roman" w:hAnsi="Calibri" w:cs="Arial"/>
          <w:i/>
          <w:sz w:val="22"/>
          <w:szCs w:val="22"/>
          <w:lang w:val="en-GB" w:eastAsia="en-GB"/>
        </w:rPr>
        <w:t>importance</w:t>
      </w:r>
      <w:r>
        <w:rPr>
          <w:rFonts w:ascii="Calibri" w:eastAsia="Times New Roman" w:hAnsi="Calibri" w:cs="Arial"/>
          <w:i/>
          <w:sz w:val="22"/>
          <w:szCs w:val="22"/>
          <w:lang w:val="en-GB" w:eastAsia="en-GB"/>
        </w:rPr>
        <w:t xml:space="preserve"> to the rail industry</w:t>
      </w:r>
      <w:r w:rsidRPr="004C376B">
        <w:rPr>
          <w:rFonts w:ascii="Calibri" w:eastAsia="Times New Roman" w:hAnsi="Calibri" w:cs="Arial"/>
          <w:i/>
          <w:sz w:val="22"/>
          <w:szCs w:val="22"/>
          <w:lang w:val="en-GB" w:eastAsia="en-GB"/>
        </w:rPr>
        <w:t>.</w:t>
      </w:r>
    </w:p>
    <w:p w14:paraId="51A689BD" w14:textId="77777777" w:rsidR="005408F6" w:rsidRPr="005408F6" w:rsidRDefault="00F46CE9" w:rsidP="00480B19">
      <w:pPr>
        <w:pStyle w:val="CommentText"/>
        <w:numPr>
          <w:ilvl w:val="0"/>
          <w:numId w:val="37"/>
        </w:numPr>
        <w:spacing w:after="120"/>
        <w:ind w:left="567" w:hanging="578"/>
        <w:rPr>
          <w:rFonts w:ascii="Calibri" w:eastAsia="Times New Roman" w:hAnsi="Calibri" w:cs="Arial"/>
          <w:sz w:val="22"/>
          <w:szCs w:val="22"/>
          <w:lang w:val="en-GB" w:eastAsia="en-GB"/>
        </w:rPr>
      </w:pPr>
      <w:r w:rsidRPr="005408F6">
        <w:rPr>
          <w:rFonts w:ascii="Calibri" w:eastAsia="Times New Roman" w:hAnsi="Calibri" w:cs="Arial"/>
          <w:sz w:val="22"/>
          <w:szCs w:val="22"/>
          <w:lang w:val="en-GB" w:eastAsia="en-GB"/>
        </w:rPr>
        <w:t xml:space="preserve">To review how well the set of data currently agreed for collection by </w:t>
      </w:r>
      <w:r w:rsidR="00C3527B" w:rsidRPr="005408F6">
        <w:rPr>
          <w:rFonts w:ascii="Calibri" w:eastAsia="Times New Roman" w:hAnsi="Calibri" w:cs="Arial"/>
          <w:sz w:val="22"/>
          <w:szCs w:val="22"/>
          <w:lang w:val="en-GB" w:eastAsia="en-GB"/>
        </w:rPr>
        <w:t xml:space="preserve">the rail </w:t>
      </w:r>
      <w:r w:rsidRPr="005408F6">
        <w:rPr>
          <w:rFonts w:ascii="Calibri" w:eastAsia="Times New Roman" w:hAnsi="Calibri" w:cs="Arial"/>
          <w:sz w:val="22"/>
          <w:szCs w:val="22"/>
          <w:lang w:val="en-GB" w:eastAsia="en-GB"/>
        </w:rPr>
        <w:t xml:space="preserve">industry cover </w:t>
      </w:r>
      <w:r w:rsidR="00C3527B" w:rsidRPr="005408F6">
        <w:rPr>
          <w:rFonts w:ascii="Calibri" w:eastAsia="Times New Roman" w:hAnsi="Calibri" w:cs="Arial"/>
          <w:sz w:val="22"/>
          <w:szCs w:val="22"/>
          <w:lang w:val="en-GB" w:eastAsia="en-GB"/>
        </w:rPr>
        <w:t>health &amp; wellbeing</w:t>
      </w:r>
      <w:r w:rsidRPr="005408F6">
        <w:rPr>
          <w:rFonts w:ascii="Calibri" w:eastAsia="Times New Roman" w:hAnsi="Calibri" w:cs="Arial"/>
          <w:sz w:val="22"/>
          <w:szCs w:val="22"/>
          <w:lang w:val="en-GB" w:eastAsia="en-GB"/>
        </w:rPr>
        <w:t xml:space="preserve"> management of different roles within the workforce.  To identify any gaps and make recommendations for data collection improvements</w:t>
      </w:r>
      <w:r w:rsidR="00C3527B" w:rsidRPr="005408F6">
        <w:rPr>
          <w:rFonts w:ascii="Calibri" w:eastAsia="Times New Roman" w:hAnsi="Calibri" w:cs="Arial"/>
          <w:sz w:val="22"/>
          <w:szCs w:val="22"/>
          <w:lang w:val="en-GB" w:eastAsia="en-GB"/>
        </w:rPr>
        <w:t xml:space="preserve"> across the workforce</w:t>
      </w:r>
      <w:r w:rsidRPr="005408F6">
        <w:rPr>
          <w:rFonts w:ascii="Calibri" w:eastAsia="Times New Roman" w:hAnsi="Calibri" w:cs="Arial"/>
          <w:sz w:val="22"/>
          <w:szCs w:val="22"/>
          <w:lang w:val="en-GB" w:eastAsia="en-GB"/>
        </w:rPr>
        <w:t>.</w:t>
      </w:r>
    </w:p>
    <w:p w14:paraId="5AA35742" w14:textId="0BF6FA66" w:rsidR="005408F6" w:rsidRPr="005408F6" w:rsidRDefault="00762687" w:rsidP="00480B19">
      <w:pPr>
        <w:pStyle w:val="CommentText"/>
        <w:numPr>
          <w:ilvl w:val="0"/>
          <w:numId w:val="37"/>
        </w:numPr>
        <w:spacing w:after="120"/>
        <w:ind w:left="567" w:hanging="578"/>
        <w:rPr>
          <w:rFonts w:ascii="Calibri" w:eastAsia="Times New Roman" w:hAnsi="Calibri" w:cs="Arial"/>
          <w:sz w:val="22"/>
          <w:szCs w:val="22"/>
          <w:lang w:val="en-GB" w:eastAsia="en-GB"/>
        </w:rPr>
      </w:pPr>
      <w:r w:rsidRPr="005408F6">
        <w:rPr>
          <w:rFonts w:ascii="Calibri" w:eastAsia="Times New Roman" w:hAnsi="Calibri" w:cs="Arial"/>
          <w:sz w:val="22"/>
          <w:szCs w:val="22"/>
          <w:lang w:val="en-GB" w:eastAsia="en-GB"/>
        </w:rPr>
        <w:t xml:space="preserve">To </w:t>
      </w:r>
      <w:r w:rsidR="00F46CE9" w:rsidRPr="005408F6">
        <w:rPr>
          <w:rFonts w:ascii="Calibri" w:eastAsia="Times New Roman" w:hAnsi="Calibri" w:cs="Arial"/>
          <w:sz w:val="22"/>
          <w:szCs w:val="22"/>
          <w:lang w:val="en-GB" w:eastAsia="en-GB"/>
        </w:rPr>
        <w:t xml:space="preserve">identify what </w:t>
      </w:r>
      <w:r w:rsidR="007A4D33">
        <w:rPr>
          <w:rFonts w:ascii="Calibri" w:eastAsia="Times New Roman" w:hAnsi="Calibri" w:cs="Arial"/>
          <w:sz w:val="22"/>
          <w:szCs w:val="22"/>
          <w:lang w:val="en-GB" w:eastAsia="en-GB"/>
        </w:rPr>
        <w:t xml:space="preserve">health &amp; wellbeing </w:t>
      </w:r>
      <w:r w:rsidR="00F46CE9" w:rsidRPr="005408F6">
        <w:rPr>
          <w:rFonts w:ascii="Calibri" w:eastAsia="Times New Roman" w:hAnsi="Calibri" w:cs="Arial"/>
          <w:sz w:val="22"/>
          <w:szCs w:val="22"/>
          <w:lang w:val="en-GB" w:eastAsia="en-GB"/>
        </w:rPr>
        <w:t xml:space="preserve">data is collected by </w:t>
      </w:r>
      <w:r w:rsidRPr="005408F6">
        <w:rPr>
          <w:rFonts w:ascii="Calibri" w:eastAsia="Times New Roman" w:hAnsi="Calibri" w:cs="Arial"/>
          <w:sz w:val="22"/>
          <w:szCs w:val="22"/>
          <w:lang w:val="en-GB" w:eastAsia="en-GB"/>
        </w:rPr>
        <w:t xml:space="preserve">other industries </w:t>
      </w:r>
      <w:r w:rsidR="00F46CE9" w:rsidRPr="005408F6">
        <w:rPr>
          <w:rFonts w:ascii="Calibri" w:eastAsia="Times New Roman" w:hAnsi="Calibri" w:cs="Arial"/>
          <w:sz w:val="22"/>
          <w:szCs w:val="22"/>
          <w:lang w:val="en-GB" w:eastAsia="en-GB"/>
        </w:rPr>
        <w:t xml:space="preserve">for the priority areas, and what </w:t>
      </w:r>
      <w:r w:rsidR="00101486" w:rsidRPr="005408F6">
        <w:rPr>
          <w:rFonts w:ascii="Calibri" w:eastAsia="Times New Roman" w:hAnsi="Calibri" w:cs="Arial"/>
          <w:sz w:val="22"/>
          <w:szCs w:val="22"/>
          <w:lang w:val="en-GB" w:eastAsia="en-GB"/>
        </w:rPr>
        <w:t xml:space="preserve">metrics and </w:t>
      </w:r>
      <w:r w:rsidR="00F46CE9" w:rsidRPr="005408F6">
        <w:rPr>
          <w:rFonts w:ascii="Calibri" w:eastAsia="Times New Roman" w:hAnsi="Calibri" w:cs="Arial"/>
          <w:sz w:val="22"/>
          <w:szCs w:val="22"/>
          <w:lang w:val="en-GB" w:eastAsia="en-GB"/>
        </w:rPr>
        <w:t xml:space="preserve">composite metrics </w:t>
      </w:r>
      <w:r w:rsidR="00101486" w:rsidRPr="005408F6">
        <w:rPr>
          <w:rFonts w:ascii="Calibri" w:eastAsia="Times New Roman" w:hAnsi="Calibri" w:cs="Arial"/>
          <w:sz w:val="22"/>
          <w:szCs w:val="22"/>
          <w:lang w:val="en-GB" w:eastAsia="en-GB"/>
        </w:rPr>
        <w:t xml:space="preserve">are being used to monitor and prioritise </w:t>
      </w:r>
      <w:r w:rsidR="007A4D33">
        <w:rPr>
          <w:rFonts w:ascii="Calibri" w:eastAsia="Times New Roman" w:hAnsi="Calibri" w:cs="Arial"/>
          <w:sz w:val="22"/>
          <w:szCs w:val="22"/>
          <w:lang w:val="en-GB" w:eastAsia="en-GB"/>
        </w:rPr>
        <w:t xml:space="preserve">safety, </w:t>
      </w:r>
      <w:r w:rsidR="00C3527B" w:rsidRPr="005408F6">
        <w:rPr>
          <w:rFonts w:ascii="Calibri" w:eastAsia="Times New Roman" w:hAnsi="Calibri" w:cs="Arial"/>
          <w:sz w:val="22"/>
          <w:szCs w:val="22"/>
          <w:lang w:val="en-GB" w:eastAsia="en-GB"/>
        </w:rPr>
        <w:t>health and wellbeing</w:t>
      </w:r>
      <w:r w:rsidR="00101486" w:rsidRPr="005408F6">
        <w:rPr>
          <w:rFonts w:ascii="Calibri" w:eastAsia="Times New Roman" w:hAnsi="Calibri" w:cs="Arial"/>
          <w:sz w:val="22"/>
          <w:szCs w:val="22"/>
          <w:lang w:val="en-GB" w:eastAsia="en-GB"/>
        </w:rPr>
        <w:t>.</w:t>
      </w:r>
    </w:p>
    <w:p w14:paraId="7F138348" w14:textId="05E336C8" w:rsidR="005408F6" w:rsidRPr="005408F6" w:rsidRDefault="00101486" w:rsidP="00480B19">
      <w:pPr>
        <w:pStyle w:val="CommentText"/>
        <w:numPr>
          <w:ilvl w:val="0"/>
          <w:numId w:val="37"/>
        </w:numPr>
        <w:spacing w:after="120"/>
        <w:ind w:left="567" w:hanging="578"/>
        <w:rPr>
          <w:rFonts w:ascii="Calibri" w:eastAsia="Times New Roman" w:hAnsi="Calibri" w:cs="Arial"/>
          <w:sz w:val="22"/>
          <w:szCs w:val="22"/>
          <w:lang w:val="en-GB" w:eastAsia="en-GB"/>
        </w:rPr>
      </w:pPr>
      <w:r w:rsidRPr="005408F6">
        <w:rPr>
          <w:rFonts w:ascii="Calibri" w:eastAsia="Times New Roman" w:hAnsi="Calibri" w:cs="Arial"/>
          <w:sz w:val="22"/>
          <w:szCs w:val="22"/>
          <w:lang w:val="en-GB" w:eastAsia="en-GB"/>
        </w:rPr>
        <w:t xml:space="preserve">To consider and make recommendations on how the set of </w:t>
      </w:r>
      <w:r w:rsidR="00C3527B" w:rsidRPr="005408F6">
        <w:rPr>
          <w:rFonts w:ascii="Calibri" w:eastAsia="Times New Roman" w:hAnsi="Calibri" w:cs="Arial"/>
          <w:sz w:val="22"/>
          <w:szCs w:val="22"/>
          <w:lang w:val="en-GB" w:eastAsia="en-GB"/>
        </w:rPr>
        <w:t xml:space="preserve">health &amp; wellbeing </w:t>
      </w:r>
      <w:r w:rsidRPr="005408F6">
        <w:rPr>
          <w:rFonts w:ascii="Calibri" w:eastAsia="Times New Roman" w:hAnsi="Calibri" w:cs="Arial"/>
          <w:sz w:val="22"/>
          <w:szCs w:val="22"/>
          <w:lang w:val="en-GB" w:eastAsia="en-GB"/>
        </w:rPr>
        <w:t xml:space="preserve">data currently </w:t>
      </w:r>
      <w:r w:rsidR="00C3527B" w:rsidRPr="005408F6">
        <w:rPr>
          <w:rFonts w:ascii="Calibri" w:eastAsia="Times New Roman" w:hAnsi="Calibri" w:cs="Arial"/>
          <w:sz w:val="22"/>
          <w:szCs w:val="22"/>
          <w:lang w:val="en-GB" w:eastAsia="en-GB"/>
        </w:rPr>
        <w:t xml:space="preserve">agreed for collection by the rail industry </w:t>
      </w:r>
      <w:r w:rsidRPr="005408F6">
        <w:rPr>
          <w:rFonts w:ascii="Calibri" w:eastAsia="Times New Roman" w:hAnsi="Calibri" w:cs="Arial"/>
          <w:sz w:val="22"/>
          <w:szCs w:val="22"/>
          <w:lang w:val="en-GB" w:eastAsia="en-GB"/>
        </w:rPr>
        <w:t xml:space="preserve">could be brought together in the form of composite metrics, to monitor and prioritise </w:t>
      </w:r>
      <w:r w:rsidR="00C3527B" w:rsidRPr="005408F6">
        <w:rPr>
          <w:rFonts w:ascii="Calibri" w:eastAsia="Times New Roman" w:hAnsi="Calibri" w:cs="Arial"/>
          <w:sz w:val="22"/>
          <w:szCs w:val="22"/>
          <w:lang w:val="en-GB" w:eastAsia="en-GB"/>
        </w:rPr>
        <w:t>the management of health &amp; wellbeing</w:t>
      </w:r>
      <w:r w:rsidRPr="005408F6">
        <w:rPr>
          <w:rFonts w:ascii="Calibri" w:eastAsia="Times New Roman" w:hAnsi="Calibri" w:cs="Arial"/>
          <w:sz w:val="22"/>
          <w:szCs w:val="22"/>
          <w:lang w:val="en-GB" w:eastAsia="en-GB"/>
        </w:rPr>
        <w:t xml:space="preserve"> in the rail industry.</w:t>
      </w:r>
      <w:r w:rsidR="00A717A3">
        <w:rPr>
          <w:rFonts w:ascii="Calibri" w:eastAsia="Times New Roman" w:hAnsi="Calibri" w:cs="Arial"/>
          <w:sz w:val="22"/>
          <w:szCs w:val="22"/>
          <w:lang w:val="en-GB" w:eastAsia="en-GB"/>
        </w:rPr>
        <w:t xml:space="preserve">  </w:t>
      </w:r>
      <w:r w:rsidR="00A717A3" w:rsidRPr="005408F6">
        <w:rPr>
          <w:rFonts w:ascii="Calibri" w:eastAsia="Times New Roman" w:hAnsi="Calibri" w:cs="Arial"/>
          <w:sz w:val="22"/>
          <w:szCs w:val="22"/>
          <w:lang w:val="en-GB" w:eastAsia="en-GB"/>
        </w:rPr>
        <w:t>To identify any gaps and make recommendations for data collection improvements</w:t>
      </w:r>
      <w:r w:rsidR="00A717A3">
        <w:rPr>
          <w:rFonts w:ascii="Calibri" w:eastAsia="Times New Roman" w:hAnsi="Calibri" w:cs="Arial"/>
          <w:sz w:val="22"/>
          <w:szCs w:val="22"/>
          <w:lang w:val="en-GB" w:eastAsia="en-GB"/>
        </w:rPr>
        <w:t xml:space="preserve"> to enable this.</w:t>
      </w:r>
    </w:p>
    <w:p w14:paraId="649325E0" w14:textId="16DEBCF5" w:rsidR="005408F6" w:rsidRPr="005408F6" w:rsidRDefault="00326F45" w:rsidP="00480B19">
      <w:pPr>
        <w:pStyle w:val="Body"/>
        <w:numPr>
          <w:ilvl w:val="0"/>
          <w:numId w:val="37"/>
        </w:numPr>
        <w:ind w:left="567" w:hanging="578"/>
        <w:jc w:val="both"/>
      </w:pPr>
      <w:r w:rsidRPr="005408F6">
        <w:t xml:space="preserve">To </w:t>
      </w:r>
      <w:r w:rsidR="00514DA8" w:rsidRPr="005408F6">
        <w:t xml:space="preserve">explore and make recommendations on </w:t>
      </w:r>
      <w:r w:rsidRPr="005408F6">
        <w:t>how</w:t>
      </w:r>
      <w:r w:rsidR="00EE576B" w:rsidRPr="005408F6">
        <w:t xml:space="preserve"> </w:t>
      </w:r>
      <w:r w:rsidRPr="005408F6">
        <w:t xml:space="preserve">data </w:t>
      </w:r>
      <w:r w:rsidR="00514DA8" w:rsidRPr="005408F6">
        <w:t xml:space="preserve">and/or composite metrics for </w:t>
      </w:r>
      <w:r w:rsidRPr="005408F6">
        <w:t xml:space="preserve">health </w:t>
      </w:r>
      <w:r w:rsidR="00514DA8" w:rsidRPr="005408F6">
        <w:t>&amp;</w:t>
      </w:r>
      <w:r w:rsidRPr="005408F6">
        <w:t xml:space="preserve"> wellbeing could be compared with data</w:t>
      </w:r>
      <w:r w:rsidR="00514DA8" w:rsidRPr="005408F6">
        <w:t xml:space="preserve"> and/or composite metrics</w:t>
      </w:r>
      <w:r w:rsidRPr="005408F6">
        <w:t xml:space="preserve"> </w:t>
      </w:r>
      <w:r w:rsidR="00514DA8" w:rsidRPr="005408F6">
        <w:t>for</w:t>
      </w:r>
      <w:r w:rsidRPr="005408F6">
        <w:t xml:space="preserve"> safety risk, for the purposes of </w:t>
      </w:r>
      <w:r w:rsidR="00514DA8" w:rsidRPr="005408F6">
        <w:t>monitoring</w:t>
      </w:r>
      <w:r w:rsidRPr="005408F6">
        <w:t xml:space="preserve"> and prioritising reduction and prevention activities</w:t>
      </w:r>
      <w:r w:rsidR="00514DA8" w:rsidRPr="005408F6">
        <w:t xml:space="preserve"> across the spectrum of safety, health &amp; wellbeing risk.</w:t>
      </w:r>
      <w:r w:rsidR="00A717A3">
        <w:t xml:space="preserve">  </w:t>
      </w:r>
      <w:r w:rsidR="00A717A3" w:rsidRPr="005408F6">
        <w:t>To identify any gaps and make recommendations for data collection improvements</w:t>
      </w:r>
      <w:r w:rsidR="00A717A3">
        <w:t xml:space="preserve"> to enable this.</w:t>
      </w:r>
    </w:p>
    <w:p w14:paraId="16E036CC" w14:textId="15BE609B" w:rsidR="005408F6" w:rsidRPr="005408F6" w:rsidRDefault="00193A87" w:rsidP="00480B19">
      <w:pPr>
        <w:pStyle w:val="Body"/>
        <w:numPr>
          <w:ilvl w:val="0"/>
          <w:numId w:val="37"/>
        </w:numPr>
        <w:ind w:left="567" w:hanging="578"/>
        <w:jc w:val="both"/>
      </w:pPr>
      <w:r w:rsidRPr="005408F6">
        <w:t xml:space="preserve">To investigate what the findings </w:t>
      </w:r>
      <w:r w:rsidR="007A4D33">
        <w:t xml:space="preserve">from the work carried out to meet the above objectives </w:t>
      </w:r>
      <w:r w:rsidRPr="005408F6">
        <w:t xml:space="preserve">mean for national </w:t>
      </w:r>
      <w:r w:rsidR="00C3527B" w:rsidRPr="005408F6">
        <w:t>and</w:t>
      </w:r>
      <w:r w:rsidRPr="005408F6">
        <w:t xml:space="preserve"> local level monitoring </w:t>
      </w:r>
      <w:r w:rsidR="007A4D33">
        <w:t>and analysis of health &amp; wellbeing data</w:t>
      </w:r>
      <w:r w:rsidRPr="005408F6">
        <w:t>.</w:t>
      </w:r>
    </w:p>
    <w:p w14:paraId="3029AA56" w14:textId="60AD0E6F" w:rsidR="005408F6" w:rsidRDefault="00101486" w:rsidP="00480B19">
      <w:pPr>
        <w:pStyle w:val="CommentText"/>
        <w:numPr>
          <w:ilvl w:val="0"/>
          <w:numId w:val="37"/>
        </w:numPr>
        <w:spacing w:after="120"/>
        <w:ind w:left="567" w:hanging="578"/>
        <w:rPr>
          <w:rFonts w:ascii="Calibri" w:eastAsia="Times New Roman" w:hAnsi="Calibri" w:cs="Arial"/>
          <w:sz w:val="22"/>
          <w:szCs w:val="22"/>
          <w:lang w:val="en-GB" w:eastAsia="en-GB"/>
        </w:rPr>
      </w:pPr>
      <w:r w:rsidRPr="005408F6">
        <w:rPr>
          <w:rFonts w:ascii="Calibri" w:eastAsia="Times New Roman" w:hAnsi="Calibri" w:cs="Arial"/>
          <w:sz w:val="22"/>
          <w:szCs w:val="22"/>
          <w:lang w:val="en-GB" w:eastAsia="en-GB"/>
        </w:rPr>
        <w:t>To identify how the findings of the project could be expanded and applied to other health conditions</w:t>
      </w:r>
      <w:r w:rsidR="00C3527B" w:rsidRPr="005408F6">
        <w:rPr>
          <w:rFonts w:ascii="Calibri" w:eastAsia="Times New Roman" w:hAnsi="Calibri" w:cs="Arial"/>
          <w:sz w:val="22"/>
          <w:szCs w:val="22"/>
          <w:lang w:val="en-GB" w:eastAsia="en-GB"/>
        </w:rPr>
        <w:t xml:space="preserve"> within the rail workforce not explicitly covered by the study</w:t>
      </w:r>
      <w:r w:rsidRPr="005408F6">
        <w:rPr>
          <w:rFonts w:ascii="Calibri" w:eastAsia="Times New Roman" w:hAnsi="Calibri" w:cs="Arial"/>
          <w:sz w:val="22"/>
          <w:szCs w:val="22"/>
          <w:lang w:val="en-GB" w:eastAsia="en-GB"/>
        </w:rPr>
        <w:t>.</w:t>
      </w:r>
    </w:p>
    <w:p w14:paraId="3F7C1E69" w14:textId="71AD9EFB" w:rsidR="00215920" w:rsidRDefault="005408F6" w:rsidP="00215920">
      <w:pPr>
        <w:pStyle w:val="Body"/>
        <w:jc w:val="both"/>
      </w:pPr>
      <w:r>
        <w:t>It is expected that t</w:t>
      </w:r>
      <w:r w:rsidR="00215920">
        <w:t xml:space="preserve">his research would </w:t>
      </w:r>
      <w:r>
        <w:t xml:space="preserve">be able to </w:t>
      </w:r>
      <w:r w:rsidR="00215920">
        <w:t xml:space="preserve">benefit all industry members as it is applicable to their employees.  The findings will be fed back to industry to take into consideration </w:t>
      </w:r>
      <w:r w:rsidR="006435BE">
        <w:t>as part</w:t>
      </w:r>
      <w:r w:rsidR="00215920">
        <w:t xml:space="preserve"> their </w:t>
      </w:r>
      <w:r w:rsidR="006435BE">
        <w:t xml:space="preserve">planning and goal setting activities during </w:t>
      </w:r>
      <w:r w:rsidR="00215920">
        <w:t>CP6</w:t>
      </w:r>
      <w:r w:rsidR="006435BE">
        <w:t xml:space="preserve"> and beyond</w:t>
      </w:r>
      <w:r w:rsidR="00215920">
        <w:t xml:space="preserve">.  </w:t>
      </w:r>
    </w:p>
    <w:p w14:paraId="447C3621" w14:textId="1B206140" w:rsidR="00993A2A" w:rsidRDefault="00993A2A" w:rsidP="006C4572">
      <w:pPr>
        <w:pStyle w:val="Body"/>
        <w:jc w:val="both"/>
      </w:pPr>
      <w:r>
        <w:t>The research falls within the scope of the Risk Management Capability Group’s (RMCG</w:t>
      </w:r>
      <w:proofErr w:type="gramStart"/>
      <w:r>
        <w:t>)</w:t>
      </w:r>
      <w:r w:rsidR="006A01A9">
        <w:t>, and</w:t>
      </w:r>
      <w:proofErr w:type="gramEnd"/>
      <w:r w:rsidR="006A01A9">
        <w:t xml:space="preserve"> is of relevance to the scope of the</w:t>
      </w:r>
      <w:r>
        <w:t xml:space="preserve"> Risk and Safety Intelligence Programme Advisory </w:t>
      </w:r>
      <w:r>
        <w:lastRenderedPageBreak/>
        <w:t>Group (RSI PAG)</w:t>
      </w:r>
      <w:r w:rsidRPr="006A01A9">
        <w:rPr>
          <w:vertAlign w:val="superscript"/>
        </w:rPr>
        <w:footnoteReference w:id="2"/>
      </w:r>
      <w:r>
        <w:t xml:space="preserve"> and Health and Wellbeing Policy Group’s (HWPG) Health and Wellbeing Roadmap</w:t>
      </w:r>
      <w:r w:rsidRPr="006A01A9">
        <w:rPr>
          <w:vertAlign w:val="superscript"/>
        </w:rPr>
        <w:footnoteReference w:id="3"/>
      </w:r>
      <w:r>
        <w:t>.  Key stakeholders in this research include: Network Rail</w:t>
      </w:r>
      <w:r w:rsidR="006A01A9">
        <w:t xml:space="preserve"> and their principal contractors</w:t>
      </w:r>
      <w:r w:rsidR="00FC13CC">
        <w:t>, passenger and freight train operating companies</w:t>
      </w:r>
      <w:r>
        <w:t xml:space="preserve">. </w:t>
      </w:r>
    </w:p>
    <w:p w14:paraId="56ECD148" w14:textId="74C94D03" w:rsidR="00032803" w:rsidRDefault="00036F54" w:rsidP="00036F54">
      <w:pPr>
        <w:pStyle w:val="Heading10"/>
        <w:keepNext/>
        <w:outlineLvl w:val="9"/>
        <w:rPr>
          <w:rFonts w:ascii="Calibri" w:hAnsi="Calibri"/>
        </w:rPr>
      </w:pPr>
      <w:r>
        <w:rPr>
          <w:rFonts w:ascii="Calibri" w:hAnsi="Calibri"/>
        </w:rPr>
        <w:lastRenderedPageBreak/>
        <w:t xml:space="preserve">4. </w:t>
      </w:r>
      <w:r w:rsidR="005047AB">
        <w:rPr>
          <w:rFonts w:ascii="Calibri" w:hAnsi="Calibri"/>
        </w:rPr>
        <w:t>S</w:t>
      </w:r>
      <w:r w:rsidR="00875261" w:rsidRPr="00D62DE4">
        <w:rPr>
          <w:rFonts w:ascii="Calibri" w:hAnsi="Calibri"/>
        </w:rPr>
        <w:t>cope</w:t>
      </w:r>
    </w:p>
    <w:p w14:paraId="56259C3C" w14:textId="1E25C113" w:rsidR="00D97D45" w:rsidRDefault="00D97D45" w:rsidP="00AF4BF3">
      <w:pPr>
        <w:pStyle w:val="Body"/>
      </w:pPr>
      <w:r>
        <w:t xml:space="preserve">This </w:t>
      </w:r>
      <w:r w:rsidR="002026D1">
        <w:t>section defines the task</w:t>
      </w:r>
      <w:r w:rsidR="00B26DE9">
        <w:t>s</w:t>
      </w:r>
      <w:r w:rsidR="002026D1">
        <w:t xml:space="preserve"> to be tendered against, and </w:t>
      </w:r>
      <w:r w:rsidR="004A4181">
        <w:t xml:space="preserve">the technical content </w:t>
      </w:r>
      <w:r w:rsidR="002026D1">
        <w:t xml:space="preserve">against which the submissions will be </w:t>
      </w:r>
      <w:r w:rsidR="004A4181">
        <w:t>assessed</w:t>
      </w:r>
      <w:r w:rsidR="002026D1">
        <w:t>.</w:t>
      </w:r>
    </w:p>
    <w:tbl>
      <w:tblPr>
        <w:tblStyle w:val="TableGrid"/>
        <w:tblW w:w="0" w:type="auto"/>
        <w:tblLook w:val="04A0" w:firstRow="1" w:lastRow="0" w:firstColumn="1" w:lastColumn="0" w:noHBand="0" w:noVBand="1"/>
      </w:tblPr>
      <w:tblGrid>
        <w:gridCol w:w="3963"/>
        <w:gridCol w:w="3963"/>
      </w:tblGrid>
      <w:tr w:rsidR="00911970" w14:paraId="2BA27B69" w14:textId="77777777" w:rsidTr="00911970">
        <w:tc>
          <w:tcPr>
            <w:tcW w:w="3963" w:type="dxa"/>
          </w:tcPr>
          <w:p w14:paraId="5D093F40" w14:textId="194636C4" w:rsidR="00911970" w:rsidRPr="00911970" w:rsidRDefault="00911970" w:rsidP="00911970">
            <w:pPr>
              <w:pStyle w:val="Heading30"/>
              <w:spacing w:before="0" w:after="0"/>
              <w:rPr>
                <w:sz w:val="28"/>
                <w:szCs w:val="28"/>
              </w:rPr>
            </w:pPr>
            <w:r w:rsidRPr="00176DDD">
              <w:rPr>
                <w:sz w:val="28"/>
                <w:szCs w:val="28"/>
              </w:rPr>
              <w:t>In scope</w:t>
            </w:r>
          </w:p>
        </w:tc>
        <w:tc>
          <w:tcPr>
            <w:tcW w:w="3963" w:type="dxa"/>
          </w:tcPr>
          <w:p w14:paraId="46CC6DF0" w14:textId="71BA89D5" w:rsidR="00911970" w:rsidRPr="00911970" w:rsidRDefault="00911970" w:rsidP="00911970">
            <w:pPr>
              <w:pStyle w:val="Heading30"/>
              <w:spacing w:before="0" w:after="0"/>
              <w:rPr>
                <w:sz w:val="28"/>
                <w:szCs w:val="28"/>
              </w:rPr>
            </w:pPr>
            <w:r w:rsidRPr="00176DDD">
              <w:rPr>
                <w:sz w:val="28"/>
                <w:szCs w:val="28"/>
              </w:rPr>
              <w:t>Out of scope</w:t>
            </w:r>
          </w:p>
        </w:tc>
      </w:tr>
      <w:tr w:rsidR="00911970" w14:paraId="481C74C7" w14:textId="77777777" w:rsidTr="00911970">
        <w:tc>
          <w:tcPr>
            <w:tcW w:w="3963" w:type="dxa"/>
          </w:tcPr>
          <w:p w14:paraId="2F44B7D5" w14:textId="179D92CB" w:rsidR="00911970" w:rsidRPr="00911970" w:rsidRDefault="00911970" w:rsidP="00277FD3">
            <w:pPr>
              <w:pStyle w:val="Body"/>
              <w:numPr>
                <w:ilvl w:val="0"/>
                <w:numId w:val="38"/>
              </w:numPr>
              <w:ind w:left="455"/>
            </w:pPr>
            <w:r w:rsidRPr="00911970">
              <w:t>Health &amp; wellbeing, as defined by RSSB, which is line with ORR’s definition for occupational health</w:t>
            </w:r>
            <w:r w:rsidR="00934C3D">
              <w:t>.</w:t>
            </w:r>
            <w:r w:rsidRPr="00911970">
              <w:t xml:space="preserve"> </w:t>
            </w:r>
          </w:p>
          <w:p w14:paraId="2720EB18" w14:textId="11B038A8" w:rsidR="00277FD3" w:rsidRDefault="00911970" w:rsidP="00277FD3">
            <w:pPr>
              <w:pStyle w:val="Body"/>
              <w:numPr>
                <w:ilvl w:val="0"/>
                <w:numId w:val="38"/>
              </w:numPr>
              <w:ind w:left="455"/>
            </w:pPr>
            <w:r w:rsidRPr="00277FD3">
              <w:t>The key priorities health &amp; wellbeing areas, as identified by the consultant in its proposal and agreed by RSSB.  It is expected that the priority areas proposed by the consultant will be based on established previous research</w:t>
            </w:r>
            <w:r w:rsidR="00277FD3">
              <w:t>.</w:t>
            </w:r>
          </w:p>
          <w:p w14:paraId="13654237" w14:textId="6A2602DE" w:rsidR="00911970" w:rsidRPr="00277FD3" w:rsidRDefault="00911970" w:rsidP="00277FD3">
            <w:pPr>
              <w:pStyle w:val="Body"/>
              <w:numPr>
                <w:ilvl w:val="0"/>
                <w:numId w:val="38"/>
              </w:numPr>
              <w:ind w:left="455"/>
            </w:pPr>
            <w:r w:rsidRPr="00277FD3">
              <w:t xml:space="preserve">Employees of all GB mainline rail </w:t>
            </w:r>
            <w:r w:rsidR="00277FD3" w:rsidRPr="00277FD3">
              <w:t>duty holders</w:t>
            </w:r>
            <w:r w:rsidRPr="00277FD3">
              <w:t>, including those subcontracted to carry out work on the mainline.</w:t>
            </w:r>
          </w:p>
        </w:tc>
        <w:tc>
          <w:tcPr>
            <w:tcW w:w="3963" w:type="dxa"/>
          </w:tcPr>
          <w:p w14:paraId="3918FFE9" w14:textId="158A9EF2" w:rsidR="00277FD3" w:rsidRDefault="00277FD3" w:rsidP="00911970">
            <w:pPr>
              <w:pStyle w:val="Body"/>
              <w:numPr>
                <w:ilvl w:val="0"/>
                <w:numId w:val="38"/>
              </w:numPr>
              <w:ind w:left="460"/>
            </w:pPr>
            <w:r>
              <w:t xml:space="preserve">Creation of new definitions of health or health and wellbeing </w:t>
            </w:r>
          </w:p>
          <w:p w14:paraId="2D2349A8" w14:textId="47E84735" w:rsidR="00934C3D" w:rsidRDefault="00934C3D" w:rsidP="00911970">
            <w:pPr>
              <w:pStyle w:val="Body"/>
              <w:numPr>
                <w:ilvl w:val="0"/>
                <w:numId w:val="38"/>
              </w:numPr>
              <w:ind w:left="460"/>
            </w:pPr>
            <w:r>
              <w:t xml:space="preserve">Fundamental or primary research into the impacts of </w:t>
            </w:r>
            <w:proofErr w:type="gramStart"/>
            <w:r>
              <w:t>particular health</w:t>
            </w:r>
            <w:proofErr w:type="gramEnd"/>
            <w:r>
              <w:t xml:space="preserve"> conditions or wellbeing issues.</w:t>
            </w:r>
          </w:p>
          <w:p w14:paraId="2C7C535B" w14:textId="1315246E" w:rsidR="00911970" w:rsidRDefault="00911970" w:rsidP="00911970">
            <w:pPr>
              <w:pStyle w:val="Body"/>
              <w:numPr>
                <w:ilvl w:val="0"/>
                <w:numId w:val="38"/>
              </w:numPr>
              <w:ind w:left="460"/>
            </w:pPr>
            <w:r>
              <w:t>Health &amp; wellbeing of passengers and public.</w:t>
            </w:r>
          </w:p>
          <w:p w14:paraId="2EA9EE01" w14:textId="77777777" w:rsidR="00911970" w:rsidRDefault="00911970" w:rsidP="00AF4BF3">
            <w:pPr>
              <w:pStyle w:val="Body"/>
            </w:pPr>
          </w:p>
        </w:tc>
      </w:tr>
    </w:tbl>
    <w:p w14:paraId="19938FC6" w14:textId="12AA95D3" w:rsidR="00B15CAC" w:rsidRPr="00B15CAC" w:rsidRDefault="00B15CAC" w:rsidP="00277FD3">
      <w:pPr>
        <w:pStyle w:val="Body"/>
      </w:pPr>
    </w:p>
    <w:p w14:paraId="79DEDD01" w14:textId="75D17BA0" w:rsidR="00B15CAC" w:rsidRDefault="00B15CAC" w:rsidP="00B15CAC">
      <w:pPr>
        <w:pStyle w:val="Body"/>
      </w:pPr>
    </w:p>
    <w:p w14:paraId="668C5975" w14:textId="77777777" w:rsidR="00684597" w:rsidRDefault="00684597" w:rsidP="00D97D45">
      <w:pPr>
        <w:rPr>
          <w:rFonts w:asciiTheme="minorHAnsi" w:hAnsiTheme="minorHAnsi"/>
          <w:sz w:val="22"/>
          <w:szCs w:val="22"/>
        </w:rPr>
      </w:pPr>
    </w:p>
    <w:p w14:paraId="676B1C4B" w14:textId="65DFF668" w:rsidR="005047AB" w:rsidRPr="0002231C" w:rsidRDefault="00036F54" w:rsidP="00036F54">
      <w:pPr>
        <w:pStyle w:val="Heading10"/>
        <w:keepNext/>
        <w:outlineLvl w:val="9"/>
        <w:rPr>
          <w:rFonts w:ascii="Calibri" w:hAnsi="Calibri"/>
        </w:rPr>
      </w:pPr>
      <w:r w:rsidRPr="00036F54">
        <w:rPr>
          <w:rFonts w:ascii="Calibri" w:hAnsi="Calibri"/>
        </w:rPr>
        <w:lastRenderedPageBreak/>
        <w:t>5.</w:t>
      </w:r>
      <w:r>
        <w:rPr>
          <w:rFonts w:ascii="Calibri" w:hAnsi="Calibri"/>
        </w:rPr>
        <w:t xml:space="preserve"> </w:t>
      </w:r>
      <w:r w:rsidR="005047AB">
        <w:rPr>
          <w:rFonts w:ascii="Calibri" w:hAnsi="Calibri"/>
        </w:rPr>
        <w:t>M</w:t>
      </w:r>
      <w:r w:rsidR="005047AB" w:rsidRPr="0002231C">
        <w:rPr>
          <w:rFonts w:ascii="Calibri" w:hAnsi="Calibri"/>
        </w:rPr>
        <w:t>ethodology</w:t>
      </w:r>
    </w:p>
    <w:p w14:paraId="6E463243" w14:textId="63CB9842" w:rsidR="00934C3D" w:rsidRDefault="005047AB" w:rsidP="006C2B58">
      <w:pPr>
        <w:spacing w:after="120"/>
        <w:jc w:val="both"/>
        <w:rPr>
          <w:rFonts w:ascii="Calibri" w:hAnsi="Calibri" w:cs="Arial"/>
          <w:sz w:val="22"/>
          <w:szCs w:val="22"/>
          <w:lang w:eastAsia="en-GB"/>
        </w:rPr>
      </w:pPr>
      <w:r w:rsidRPr="000D5E52">
        <w:rPr>
          <w:rFonts w:ascii="Calibri" w:hAnsi="Calibri" w:cs="Arial"/>
          <w:sz w:val="22"/>
          <w:szCs w:val="22"/>
          <w:lang w:eastAsia="en-GB"/>
        </w:rPr>
        <w:t xml:space="preserve">Suppliers are expected to </w:t>
      </w:r>
      <w:r w:rsidR="006C2B58">
        <w:rPr>
          <w:rFonts w:ascii="Calibri" w:hAnsi="Calibri" w:cs="Arial"/>
          <w:sz w:val="22"/>
          <w:szCs w:val="22"/>
          <w:lang w:eastAsia="en-GB"/>
        </w:rPr>
        <w:t>propose a methodology suited</w:t>
      </w:r>
      <w:r w:rsidR="004B2FEC">
        <w:rPr>
          <w:rFonts w:ascii="Calibri" w:hAnsi="Calibri" w:cs="Arial"/>
          <w:sz w:val="22"/>
          <w:szCs w:val="22"/>
          <w:lang w:eastAsia="en-GB"/>
        </w:rPr>
        <w:t xml:space="preserve"> </w:t>
      </w:r>
      <w:r w:rsidR="004B2FEC" w:rsidRPr="000D5E52">
        <w:rPr>
          <w:rFonts w:ascii="Calibri" w:hAnsi="Calibri" w:cs="Arial"/>
          <w:sz w:val="22"/>
          <w:szCs w:val="22"/>
          <w:lang w:eastAsia="en-GB"/>
        </w:rPr>
        <w:t>to successfully meet the specific objectives</w:t>
      </w:r>
      <w:r w:rsidR="004B2FEC">
        <w:rPr>
          <w:rFonts w:ascii="Calibri" w:hAnsi="Calibri" w:cs="Arial"/>
          <w:sz w:val="22"/>
          <w:szCs w:val="22"/>
          <w:lang w:eastAsia="en-GB"/>
        </w:rPr>
        <w:t>. Suppliers</w:t>
      </w:r>
      <w:r w:rsidR="004B2FEC" w:rsidRPr="000D5E52">
        <w:rPr>
          <w:rFonts w:ascii="Calibri" w:hAnsi="Calibri" w:cs="Arial"/>
          <w:sz w:val="22"/>
          <w:szCs w:val="22"/>
          <w:lang w:eastAsia="en-GB"/>
        </w:rPr>
        <w:t xml:space="preserve"> </w:t>
      </w:r>
      <w:r w:rsidR="004B2FEC">
        <w:rPr>
          <w:rFonts w:ascii="Calibri" w:hAnsi="Calibri" w:cs="Arial"/>
          <w:sz w:val="22"/>
          <w:szCs w:val="22"/>
          <w:lang w:eastAsia="en-GB"/>
        </w:rPr>
        <w:t xml:space="preserve">are also expected to </w:t>
      </w:r>
      <w:r w:rsidRPr="000D5E52">
        <w:rPr>
          <w:rFonts w:ascii="Calibri" w:hAnsi="Calibri" w:cs="Arial"/>
          <w:sz w:val="22"/>
          <w:szCs w:val="22"/>
          <w:lang w:eastAsia="en-GB"/>
        </w:rPr>
        <w:t xml:space="preserve">explain </w:t>
      </w:r>
      <w:r w:rsidR="004B2FEC">
        <w:rPr>
          <w:rFonts w:ascii="Calibri" w:hAnsi="Calibri" w:cs="Arial"/>
          <w:sz w:val="22"/>
          <w:szCs w:val="22"/>
          <w:lang w:eastAsia="en-GB"/>
        </w:rPr>
        <w:t xml:space="preserve">how </w:t>
      </w:r>
      <w:r w:rsidRPr="000D5E52">
        <w:rPr>
          <w:rFonts w:ascii="Calibri" w:hAnsi="Calibri" w:cs="Arial"/>
          <w:sz w:val="22"/>
          <w:szCs w:val="22"/>
          <w:lang w:eastAsia="en-GB"/>
        </w:rPr>
        <w:t xml:space="preserve">the methodology </w:t>
      </w:r>
      <w:r w:rsidR="004B2FEC">
        <w:rPr>
          <w:rFonts w:ascii="Calibri" w:hAnsi="Calibri" w:cs="Arial"/>
          <w:sz w:val="22"/>
          <w:szCs w:val="22"/>
          <w:lang w:eastAsia="en-GB"/>
        </w:rPr>
        <w:t>selected will meet these objectives, and any deviations from the scope</w:t>
      </w:r>
      <w:r w:rsidR="000D5E52" w:rsidRPr="000D5E52">
        <w:rPr>
          <w:rFonts w:ascii="Calibri" w:hAnsi="Calibri" w:cs="Arial"/>
          <w:sz w:val="22"/>
          <w:szCs w:val="22"/>
          <w:lang w:eastAsia="en-GB"/>
        </w:rPr>
        <w:t>.</w:t>
      </w:r>
      <w:r w:rsidR="00934C3D">
        <w:rPr>
          <w:rFonts w:ascii="Calibri" w:hAnsi="Calibri" w:cs="Arial"/>
          <w:sz w:val="22"/>
          <w:szCs w:val="22"/>
          <w:lang w:eastAsia="en-GB"/>
        </w:rPr>
        <w:t xml:space="preserve"> </w:t>
      </w:r>
    </w:p>
    <w:p w14:paraId="7B9EA80D" w14:textId="3D407E9D" w:rsidR="000D5E52" w:rsidRDefault="000D5E52" w:rsidP="006C2B58">
      <w:pPr>
        <w:spacing w:after="120"/>
        <w:jc w:val="both"/>
        <w:rPr>
          <w:rFonts w:ascii="Calibri" w:hAnsi="Calibri" w:cs="Arial"/>
          <w:sz w:val="22"/>
          <w:szCs w:val="22"/>
          <w:lang w:eastAsia="en-GB"/>
        </w:rPr>
      </w:pPr>
      <w:r w:rsidRPr="000D5E52">
        <w:rPr>
          <w:rFonts w:ascii="Calibri" w:hAnsi="Calibri" w:cs="Arial"/>
          <w:sz w:val="22"/>
          <w:szCs w:val="22"/>
          <w:lang w:eastAsia="en-GB"/>
        </w:rPr>
        <w:t>The methodology is expected</w:t>
      </w:r>
      <w:r>
        <w:rPr>
          <w:rFonts w:ascii="Calibri" w:hAnsi="Calibri" w:cs="Arial"/>
          <w:sz w:val="22"/>
          <w:szCs w:val="22"/>
          <w:lang w:eastAsia="en-GB"/>
        </w:rPr>
        <w:t xml:space="preserve"> to justify the proposed identification of the key priority health &amp; wellbeing areas.  While 10 is suggested, the supplier</w:t>
      </w:r>
      <w:r w:rsidR="004C376B">
        <w:rPr>
          <w:rFonts w:ascii="Calibri" w:hAnsi="Calibri" w:cs="Arial"/>
          <w:sz w:val="22"/>
          <w:szCs w:val="22"/>
          <w:lang w:eastAsia="en-GB"/>
        </w:rPr>
        <w:t xml:space="preserve"> may propose a specified, larger or smaller number.</w:t>
      </w:r>
    </w:p>
    <w:p w14:paraId="5F2F23CA" w14:textId="446CC6D7" w:rsidR="000D5E52" w:rsidRDefault="004C376B" w:rsidP="006C2B58">
      <w:pPr>
        <w:spacing w:after="120"/>
        <w:jc w:val="both"/>
        <w:rPr>
          <w:rFonts w:asciiTheme="minorHAnsi" w:hAnsiTheme="minorHAnsi"/>
          <w:sz w:val="22"/>
          <w:szCs w:val="22"/>
        </w:rPr>
      </w:pPr>
      <w:r w:rsidRPr="00167B34">
        <w:rPr>
          <w:rFonts w:ascii="Calibri" w:hAnsi="Calibri" w:cs="Arial"/>
          <w:sz w:val="22"/>
          <w:szCs w:val="22"/>
          <w:lang w:eastAsia="en-GB"/>
        </w:rPr>
        <w:t xml:space="preserve">It is expected that the health conditions proposed by the consultant will be compatible with </w:t>
      </w:r>
      <w:r w:rsidR="00167B34" w:rsidRPr="00167B34">
        <w:rPr>
          <w:rFonts w:asciiTheme="minorHAnsi" w:hAnsiTheme="minorHAnsi"/>
          <w:sz w:val="22"/>
          <w:szCs w:val="22"/>
        </w:rPr>
        <w:t>the</w:t>
      </w:r>
      <w:r w:rsidR="000D5E52" w:rsidRPr="00167B34">
        <w:rPr>
          <w:rFonts w:asciiTheme="minorHAnsi" w:hAnsiTheme="minorHAnsi"/>
          <w:sz w:val="22"/>
          <w:szCs w:val="22"/>
        </w:rPr>
        <w:t xml:space="preserve"> taxonomy of health and wellbeing conditions </w:t>
      </w:r>
      <w:r w:rsidR="00167B34" w:rsidRPr="00167B34">
        <w:rPr>
          <w:rFonts w:asciiTheme="minorHAnsi" w:hAnsiTheme="minorHAnsi"/>
          <w:sz w:val="22"/>
          <w:szCs w:val="22"/>
        </w:rPr>
        <w:t>specified under</w:t>
      </w:r>
      <w:r w:rsidR="000D5E52" w:rsidRPr="00167B34">
        <w:rPr>
          <w:rFonts w:asciiTheme="minorHAnsi" w:hAnsiTheme="minorHAnsi"/>
          <w:sz w:val="22"/>
          <w:szCs w:val="22"/>
        </w:rPr>
        <w:t xml:space="preserve"> ICD10/11</w:t>
      </w:r>
      <w:r w:rsidR="00167B34">
        <w:rPr>
          <w:rFonts w:asciiTheme="minorHAnsi" w:hAnsiTheme="minorHAnsi"/>
          <w:sz w:val="22"/>
          <w:szCs w:val="22"/>
        </w:rPr>
        <w:t>.</w:t>
      </w:r>
    </w:p>
    <w:p w14:paraId="1C14F515" w14:textId="4CCD638B" w:rsidR="00167B34" w:rsidRDefault="00167B34" w:rsidP="006C2B58">
      <w:pPr>
        <w:spacing w:after="120"/>
        <w:jc w:val="both"/>
        <w:rPr>
          <w:rFonts w:asciiTheme="minorHAnsi" w:hAnsiTheme="minorHAnsi"/>
          <w:sz w:val="22"/>
          <w:szCs w:val="22"/>
        </w:rPr>
      </w:pPr>
      <w:r>
        <w:rPr>
          <w:rFonts w:asciiTheme="minorHAnsi" w:hAnsiTheme="minorHAnsi"/>
          <w:sz w:val="22"/>
          <w:szCs w:val="22"/>
        </w:rPr>
        <w:t>It is expected that the proposal will identify the different workforce groups that will be considered in the project.</w:t>
      </w:r>
    </w:p>
    <w:p w14:paraId="4380EF65" w14:textId="7D7F13F6" w:rsidR="00167B34" w:rsidRDefault="00167B34" w:rsidP="006C2B58">
      <w:pPr>
        <w:spacing w:after="120"/>
        <w:jc w:val="both"/>
        <w:rPr>
          <w:rFonts w:asciiTheme="minorHAnsi" w:hAnsiTheme="minorHAnsi"/>
          <w:sz w:val="22"/>
          <w:szCs w:val="22"/>
        </w:rPr>
      </w:pPr>
      <w:r>
        <w:rPr>
          <w:rFonts w:asciiTheme="minorHAnsi" w:hAnsiTheme="minorHAnsi"/>
          <w:sz w:val="22"/>
          <w:szCs w:val="22"/>
        </w:rPr>
        <w:t>It is expected that the proposal will cover the consideration of how different levels of health consequence associated with the same health condition can be assessed, measured, and compared.</w:t>
      </w:r>
    </w:p>
    <w:p w14:paraId="4A9C0F4C" w14:textId="1CF0C5B1" w:rsidR="000D5E52" w:rsidRPr="00167B34" w:rsidRDefault="00167B34" w:rsidP="006C2B58">
      <w:pPr>
        <w:spacing w:after="120"/>
        <w:jc w:val="both"/>
        <w:rPr>
          <w:rFonts w:asciiTheme="minorHAnsi" w:hAnsiTheme="minorHAnsi"/>
          <w:sz w:val="22"/>
          <w:szCs w:val="22"/>
        </w:rPr>
      </w:pPr>
      <w:r>
        <w:rPr>
          <w:rFonts w:asciiTheme="minorHAnsi" w:hAnsiTheme="minorHAnsi"/>
          <w:sz w:val="22"/>
          <w:szCs w:val="22"/>
        </w:rPr>
        <w:t xml:space="preserve">It is expected that the proposal will cover the rationale for how prioritisation of health, wellbeing and safety conditions can be carried out, </w:t>
      </w:r>
      <w:proofErr w:type="gramStart"/>
      <w:r>
        <w:rPr>
          <w:rFonts w:asciiTheme="minorHAnsi" w:hAnsiTheme="minorHAnsi"/>
          <w:sz w:val="22"/>
          <w:szCs w:val="22"/>
        </w:rPr>
        <w:t>taking into account</w:t>
      </w:r>
      <w:proofErr w:type="gramEnd"/>
      <w:r>
        <w:rPr>
          <w:rFonts w:asciiTheme="minorHAnsi" w:hAnsiTheme="minorHAnsi"/>
          <w:sz w:val="22"/>
          <w:szCs w:val="22"/>
        </w:rPr>
        <w:t xml:space="preserve"> aspects of </w:t>
      </w:r>
      <w:r w:rsidR="000D5E52" w:rsidRPr="00167B34">
        <w:rPr>
          <w:rFonts w:asciiTheme="minorHAnsi" w:hAnsiTheme="minorHAnsi"/>
          <w:sz w:val="22"/>
          <w:szCs w:val="22"/>
        </w:rPr>
        <w:t>legal compliance, investment decisions and social responsibility</w:t>
      </w:r>
      <w:r>
        <w:rPr>
          <w:rFonts w:asciiTheme="minorHAnsi" w:hAnsiTheme="minorHAnsi"/>
          <w:sz w:val="22"/>
          <w:szCs w:val="22"/>
        </w:rPr>
        <w:t>.</w:t>
      </w:r>
    </w:p>
    <w:p w14:paraId="5299C41F" w14:textId="76FA2598" w:rsidR="00032803" w:rsidRPr="0002231C" w:rsidRDefault="00036F54" w:rsidP="00036F54">
      <w:pPr>
        <w:pStyle w:val="Heading10"/>
        <w:keepNext/>
        <w:outlineLvl w:val="9"/>
        <w:rPr>
          <w:rFonts w:ascii="Calibri" w:hAnsi="Calibri"/>
        </w:rPr>
      </w:pPr>
      <w:r>
        <w:rPr>
          <w:rFonts w:ascii="Calibri" w:hAnsi="Calibri"/>
        </w:rPr>
        <w:lastRenderedPageBreak/>
        <w:t xml:space="preserve">6. </w:t>
      </w:r>
      <w:r w:rsidR="005047AB">
        <w:rPr>
          <w:rFonts w:ascii="Calibri" w:hAnsi="Calibri"/>
        </w:rPr>
        <w:t>D</w:t>
      </w:r>
      <w:r w:rsidR="00875261" w:rsidRPr="0002231C">
        <w:rPr>
          <w:rFonts w:ascii="Calibri" w:hAnsi="Calibri"/>
        </w:rPr>
        <w:t>eliverables</w:t>
      </w:r>
    </w:p>
    <w:p w14:paraId="7005B4BF" w14:textId="00AA30AB" w:rsidR="006A15C4" w:rsidRDefault="006A15C4" w:rsidP="0035434B">
      <w:pPr>
        <w:rPr>
          <w:rFonts w:ascii="Calibri" w:hAnsi="Calibri" w:cs="Arial"/>
          <w:sz w:val="22"/>
          <w:szCs w:val="22"/>
          <w:lang w:eastAsia="en-GB"/>
        </w:rPr>
      </w:pPr>
      <w:r w:rsidRPr="0035434B">
        <w:rPr>
          <w:rFonts w:ascii="Calibri" w:hAnsi="Calibri" w:cs="Arial"/>
          <w:sz w:val="22"/>
          <w:szCs w:val="22"/>
          <w:lang w:eastAsia="en-GB"/>
        </w:rPr>
        <w:t xml:space="preserve">This project will </w:t>
      </w:r>
      <w:r w:rsidR="0035434B">
        <w:rPr>
          <w:rFonts w:ascii="Calibri" w:hAnsi="Calibri" w:cs="Arial"/>
          <w:sz w:val="22"/>
          <w:szCs w:val="22"/>
          <w:lang w:eastAsia="en-GB"/>
        </w:rPr>
        <w:t>provide</w:t>
      </w:r>
      <w:r w:rsidRPr="0035434B">
        <w:rPr>
          <w:rFonts w:ascii="Calibri" w:hAnsi="Calibri" w:cs="Arial"/>
          <w:sz w:val="22"/>
          <w:szCs w:val="22"/>
          <w:lang w:eastAsia="en-GB"/>
        </w:rPr>
        <w:t xml:space="preserve"> the following </w:t>
      </w:r>
      <w:r w:rsidR="009132C9">
        <w:rPr>
          <w:rFonts w:ascii="Calibri" w:hAnsi="Calibri" w:cs="Arial"/>
          <w:sz w:val="22"/>
          <w:szCs w:val="22"/>
          <w:lang w:eastAsia="en-GB"/>
        </w:rPr>
        <w:t xml:space="preserve">four </w:t>
      </w:r>
      <w:r w:rsidRPr="0035434B">
        <w:rPr>
          <w:rFonts w:ascii="Calibri" w:hAnsi="Calibri" w:cs="Arial"/>
          <w:sz w:val="22"/>
          <w:szCs w:val="22"/>
          <w:lang w:eastAsia="en-GB"/>
        </w:rPr>
        <w:t>deliverables:</w:t>
      </w:r>
    </w:p>
    <w:p w14:paraId="1E23AEC0" w14:textId="133C2E19" w:rsidR="00980F3E" w:rsidRDefault="00980F3E" w:rsidP="00980F3E"/>
    <w:tbl>
      <w:tblPr>
        <w:tblStyle w:val="TableGrid"/>
        <w:tblW w:w="8075" w:type="dxa"/>
        <w:tblLook w:val="04A0" w:firstRow="1" w:lastRow="0" w:firstColumn="1" w:lastColumn="0" w:noHBand="0" w:noVBand="1"/>
      </w:tblPr>
      <w:tblGrid>
        <w:gridCol w:w="1838"/>
        <w:gridCol w:w="6237"/>
      </w:tblGrid>
      <w:tr w:rsidR="00934C3D" w:rsidRPr="00684597" w14:paraId="6FA1FC07" w14:textId="77777777" w:rsidTr="00D70FE4">
        <w:trPr>
          <w:trHeight w:val="434"/>
        </w:trPr>
        <w:tc>
          <w:tcPr>
            <w:tcW w:w="1838" w:type="dxa"/>
            <w:shd w:val="clear" w:color="auto" w:fill="F2F2F2" w:themeFill="background1" w:themeFillShade="F2"/>
          </w:tcPr>
          <w:p w14:paraId="15BE9EDB" w14:textId="77777777" w:rsidR="00934C3D" w:rsidRPr="00934C3D" w:rsidRDefault="00934C3D" w:rsidP="00D70FE4">
            <w:pPr>
              <w:pStyle w:val="Body"/>
              <w:rPr>
                <w:b/>
              </w:rPr>
            </w:pPr>
            <w:r w:rsidRPr="00934C3D">
              <w:rPr>
                <w:b/>
              </w:rPr>
              <w:t>Deliverable Title</w:t>
            </w:r>
          </w:p>
        </w:tc>
        <w:tc>
          <w:tcPr>
            <w:tcW w:w="6237" w:type="dxa"/>
          </w:tcPr>
          <w:p w14:paraId="4CE105A2" w14:textId="77777777" w:rsidR="00934C3D" w:rsidRPr="00934C3D" w:rsidRDefault="00934C3D" w:rsidP="00D70FE4">
            <w:pPr>
              <w:pStyle w:val="Body"/>
            </w:pPr>
            <w:r w:rsidRPr="00934C3D">
              <w:t>T1165 Development of composite metrics for the monitoring and prioritisation of health &amp; wellbeing conditions</w:t>
            </w:r>
          </w:p>
        </w:tc>
      </w:tr>
      <w:tr w:rsidR="00934C3D" w:rsidRPr="00684597" w14:paraId="512F780A" w14:textId="77777777" w:rsidTr="00D70FE4">
        <w:trPr>
          <w:trHeight w:val="419"/>
        </w:trPr>
        <w:tc>
          <w:tcPr>
            <w:tcW w:w="1838" w:type="dxa"/>
            <w:shd w:val="clear" w:color="auto" w:fill="F2F2F2" w:themeFill="background1" w:themeFillShade="F2"/>
          </w:tcPr>
          <w:p w14:paraId="344E9320" w14:textId="77777777" w:rsidR="00934C3D" w:rsidRPr="00934C3D" w:rsidRDefault="00934C3D" w:rsidP="00D70FE4">
            <w:pPr>
              <w:pStyle w:val="Body"/>
              <w:rPr>
                <w:b/>
              </w:rPr>
            </w:pPr>
            <w:r w:rsidRPr="00934C3D">
              <w:rPr>
                <w:b/>
              </w:rPr>
              <w:t>Deliverable Type</w:t>
            </w:r>
          </w:p>
        </w:tc>
        <w:tc>
          <w:tcPr>
            <w:tcW w:w="6237" w:type="dxa"/>
          </w:tcPr>
          <w:p w14:paraId="456F12C2" w14:textId="38A33428" w:rsidR="00934C3D" w:rsidRPr="00934C3D" w:rsidRDefault="00934C3D" w:rsidP="00D70FE4">
            <w:pPr>
              <w:pStyle w:val="Body"/>
            </w:pPr>
            <w:r>
              <w:t>Presentation</w:t>
            </w:r>
          </w:p>
        </w:tc>
      </w:tr>
      <w:tr w:rsidR="00934C3D" w:rsidRPr="00684597" w14:paraId="23C1D751" w14:textId="77777777" w:rsidTr="00D70FE4">
        <w:trPr>
          <w:trHeight w:val="434"/>
        </w:trPr>
        <w:tc>
          <w:tcPr>
            <w:tcW w:w="1838" w:type="dxa"/>
            <w:shd w:val="clear" w:color="auto" w:fill="F2F2F2" w:themeFill="background1" w:themeFillShade="F2"/>
          </w:tcPr>
          <w:p w14:paraId="251CF020" w14:textId="77777777" w:rsidR="00934C3D" w:rsidRPr="00934C3D" w:rsidRDefault="00934C3D" w:rsidP="00D70FE4">
            <w:pPr>
              <w:pStyle w:val="Body"/>
              <w:rPr>
                <w:b/>
              </w:rPr>
            </w:pPr>
            <w:r w:rsidRPr="00934C3D">
              <w:rPr>
                <w:b/>
              </w:rPr>
              <w:t>Description</w:t>
            </w:r>
          </w:p>
        </w:tc>
        <w:tc>
          <w:tcPr>
            <w:tcW w:w="6237" w:type="dxa"/>
          </w:tcPr>
          <w:p w14:paraId="1D2807D9" w14:textId="7C36C7B5" w:rsidR="00934C3D" w:rsidRPr="00934C3D" w:rsidRDefault="00934C3D" w:rsidP="00934C3D">
            <w:pPr>
              <w:pStyle w:val="Body"/>
            </w:pPr>
            <w:r w:rsidRPr="00934C3D">
              <w:t xml:space="preserve">The </w:t>
            </w:r>
            <w:r>
              <w:t xml:space="preserve">supplier should make allowance for presenting the results of the findings for up to two key stakeholder groups. The presentation will provide a summary of the </w:t>
            </w:r>
            <w:r w:rsidRPr="00934C3D">
              <w:t>background, aim, methodology, assumptions, findings, conclusions and impacts of the project</w:t>
            </w:r>
            <w:r w:rsidR="009132C9">
              <w:t>.</w:t>
            </w:r>
          </w:p>
        </w:tc>
      </w:tr>
      <w:tr w:rsidR="00934C3D" w14:paraId="08406A49" w14:textId="77777777" w:rsidTr="00D70FE4">
        <w:trPr>
          <w:trHeight w:val="419"/>
        </w:trPr>
        <w:tc>
          <w:tcPr>
            <w:tcW w:w="1838" w:type="dxa"/>
            <w:shd w:val="clear" w:color="auto" w:fill="F2F2F2" w:themeFill="background1" w:themeFillShade="F2"/>
          </w:tcPr>
          <w:p w14:paraId="5E6DFCD7" w14:textId="77777777" w:rsidR="00934C3D" w:rsidRPr="00934C3D" w:rsidRDefault="00934C3D" w:rsidP="00D70FE4">
            <w:pPr>
              <w:pStyle w:val="Body"/>
              <w:rPr>
                <w:b/>
              </w:rPr>
            </w:pPr>
            <w:r w:rsidRPr="00934C3D">
              <w:rPr>
                <w:b/>
              </w:rPr>
              <w:t>Publication</w:t>
            </w:r>
          </w:p>
        </w:tc>
        <w:tc>
          <w:tcPr>
            <w:tcW w:w="6237" w:type="dxa"/>
          </w:tcPr>
          <w:p w14:paraId="3C89A9B5" w14:textId="369188B3" w:rsidR="00934C3D" w:rsidRPr="00934C3D" w:rsidRDefault="00934C3D" w:rsidP="00D70FE4">
            <w:pPr>
              <w:pStyle w:val="Body"/>
            </w:pPr>
            <w:r>
              <w:t xml:space="preserve">To be provided in an editable standard Microsoft format (.pptx). This will </w:t>
            </w:r>
            <w:r w:rsidRPr="00934C3D">
              <w:t xml:space="preserve">be made available as a PDF on SPARK (a free-to-access interactive web library) </w:t>
            </w:r>
            <w:r>
              <w:t>at RSSBs discretion.</w:t>
            </w:r>
          </w:p>
        </w:tc>
      </w:tr>
    </w:tbl>
    <w:p w14:paraId="21580E71" w14:textId="77777777" w:rsidR="009132C9" w:rsidRDefault="009132C9" w:rsidP="00980F3E"/>
    <w:tbl>
      <w:tblPr>
        <w:tblStyle w:val="TableGrid"/>
        <w:tblW w:w="8075" w:type="dxa"/>
        <w:tblLook w:val="04A0" w:firstRow="1" w:lastRow="0" w:firstColumn="1" w:lastColumn="0" w:noHBand="0" w:noVBand="1"/>
      </w:tblPr>
      <w:tblGrid>
        <w:gridCol w:w="1838"/>
        <w:gridCol w:w="6237"/>
      </w:tblGrid>
      <w:tr w:rsidR="00934C3D" w:rsidRPr="00684597" w14:paraId="7076C1F6" w14:textId="77777777" w:rsidTr="00D70FE4">
        <w:trPr>
          <w:trHeight w:val="434"/>
        </w:trPr>
        <w:tc>
          <w:tcPr>
            <w:tcW w:w="1838" w:type="dxa"/>
            <w:shd w:val="clear" w:color="auto" w:fill="F2F2F2" w:themeFill="background1" w:themeFillShade="F2"/>
          </w:tcPr>
          <w:p w14:paraId="0AF1C302" w14:textId="77777777" w:rsidR="00934C3D" w:rsidRPr="00934C3D" w:rsidRDefault="00934C3D" w:rsidP="00D70FE4">
            <w:pPr>
              <w:pStyle w:val="Body"/>
              <w:rPr>
                <w:b/>
              </w:rPr>
            </w:pPr>
            <w:r w:rsidRPr="00934C3D">
              <w:rPr>
                <w:b/>
              </w:rPr>
              <w:t>Deliverable Title</w:t>
            </w:r>
          </w:p>
        </w:tc>
        <w:tc>
          <w:tcPr>
            <w:tcW w:w="6237" w:type="dxa"/>
          </w:tcPr>
          <w:p w14:paraId="77D2E3B6" w14:textId="77777777" w:rsidR="00934C3D" w:rsidRPr="00934C3D" w:rsidRDefault="00934C3D" w:rsidP="00D70FE4">
            <w:pPr>
              <w:pStyle w:val="Body"/>
            </w:pPr>
            <w:r w:rsidRPr="00934C3D">
              <w:t>T1165 Development of composite metrics for the monitoring and prioritisation of health &amp; wellbeing conditions</w:t>
            </w:r>
          </w:p>
        </w:tc>
      </w:tr>
      <w:tr w:rsidR="00934C3D" w:rsidRPr="00684597" w14:paraId="69C1B488" w14:textId="77777777" w:rsidTr="00D70FE4">
        <w:trPr>
          <w:trHeight w:val="419"/>
        </w:trPr>
        <w:tc>
          <w:tcPr>
            <w:tcW w:w="1838" w:type="dxa"/>
            <w:shd w:val="clear" w:color="auto" w:fill="F2F2F2" w:themeFill="background1" w:themeFillShade="F2"/>
          </w:tcPr>
          <w:p w14:paraId="16FBFC85" w14:textId="77777777" w:rsidR="00934C3D" w:rsidRPr="00934C3D" w:rsidRDefault="00934C3D" w:rsidP="00D70FE4">
            <w:pPr>
              <w:pStyle w:val="Body"/>
              <w:rPr>
                <w:b/>
              </w:rPr>
            </w:pPr>
            <w:r w:rsidRPr="00934C3D">
              <w:rPr>
                <w:b/>
              </w:rPr>
              <w:t>Deliverable Type</w:t>
            </w:r>
          </w:p>
        </w:tc>
        <w:tc>
          <w:tcPr>
            <w:tcW w:w="6237" w:type="dxa"/>
          </w:tcPr>
          <w:p w14:paraId="5C13416C" w14:textId="4C97639D" w:rsidR="00934C3D" w:rsidRPr="00934C3D" w:rsidRDefault="00934C3D" w:rsidP="00D70FE4">
            <w:pPr>
              <w:pStyle w:val="Body"/>
            </w:pPr>
            <w:r>
              <w:t>Infographic</w:t>
            </w:r>
          </w:p>
        </w:tc>
      </w:tr>
      <w:tr w:rsidR="00934C3D" w:rsidRPr="00684597" w14:paraId="72E5C91A" w14:textId="77777777" w:rsidTr="00D70FE4">
        <w:trPr>
          <w:trHeight w:val="434"/>
        </w:trPr>
        <w:tc>
          <w:tcPr>
            <w:tcW w:w="1838" w:type="dxa"/>
            <w:shd w:val="clear" w:color="auto" w:fill="F2F2F2" w:themeFill="background1" w:themeFillShade="F2"/>
          </w:tcPr>
          <w:p w14:paraId="4737BF9D" w14:textId="77777777" w:rsidR="00934C3D" w:rsidRPr="00934C3D" w:rsidRDefault="00934C3D" w:rsidP="00D70FE4">
            <w:pPr>
              <w:pStyle w:val="Body"/>
              <w:rPr>
                <w:b/>
              </w:rPr>
            </w:pPr>
            <w:r w:rsidRPr="00934C3D">
              <w:rPr>
                <w:b/>
              </w:rPr>
              <w:t>Description</w:t>
            </w:r>
          </w:p>
        </w:tc>
        <w:tc>
          <w:tcPr>
            <w:tcW w:w="6237" w:type="dxa"/>
          </w:tcPr>
          <w:p w14:paraId="40BECDB1" w14:textId="2FC51557" w:rsidR="00934C3D" w:rsidRPr="00934C3D" w:rsidRDefault="00934C3D" w:rsidP="00D70FE4">
            <w:pPr>
              <w:pStyle w:val="Body"/>
            </w:pPr>
            <w:r w:rsidRPr="00934C3D">
              <w:t xml:space="preserve">The </w:t>
            </w:r>
            <w:r>
              <w:t>s</w:t>
            </w:r>
            <w:r w:rsidR="009132C9">
              <w:t>upplier should produce a one page editable format infographi</w:t>
            </w:r>
            <w:r w:rsidR="006C2B58">
              <w:t>c. The infographic should summarise the key findings and/or impacts of the research in an approachable and appealing manner.</w:t>
            </w:r>
          </w:p>
        </w:tc>
      </w:tr>
      <w:tr w:rsidR="00934C3D" w14:paraId="0D2F8DFD" w14:textId="77777777" w:rsidTr="00D70FE4">
        <w:trPr>
          <w:trHeight w:val="419"/>
        </w:trPr>
        <w:tc>
          <w:tcPr>
            <w:tcW w:w="1838" w:type="dxa"/>
            <w:shd w:val="clear" w:color="auto" w:fill="F2F2F2" w:themeFill="background1" w:themeFillShade="F2"/>
          </w:tcPr>
          <w:p w14:paraId="7460E76C" w14:textId="77777777" w:rsidR="00934C3D" w:rsidRPr="00934C3D" w:rsidRDefault="00934C3D" w:rsidP="00D70FE4">
            <w:pPr>
              <w:pStyle w:val="Body"/>
              <w:rPr>
                <w:b/>
              </w:rPr>
            </w:pPr>
            <w:r w:rsidRPr="00934C3D">
              <w:rPr>
                <w:b/>
              </w:rPr>
              <w:t>Publication</w:t>
            </w:r>
          </w:p>
        </w:tc>
        <w:tc>
          <w:tcPr>
            <w:tcW w:w="6237" w:type="dxa"/>
          </w:tcPr>
          <w:p w14:paraId="449B198A" w14:textId="4E3AC679" w:rsidR="00934C3D" w:rsidRPr="00934C3D" w:rsidRDefault="009132C9" w:rsidP="00D70FE4">
            <w:pPr>
              <w:pStyle w:val="Body"/>
            </w:pPr>
            <w:r w:rsidRPr="009132C9">
              <w:t xml:space="preserve">The </w:t>
            </w:r>
            <w:r>
              <w:t>infographic</w:t>
            </w:r>
            <w:r w:rsidRPr="009132C9">
              <w:t xml:space="preserve"> will be reviewed by the </w:t>
            </w:r>
            <w:r>
              <w:t>RSSB communications team and</w:t>
            </w:r>
            <w:r w:rsidRPr="009132C9">
              <w:t xml:space="preserve"> finalised by the supplier</w:t>
            </w:r>
          </w:p>
        </w:tc>
      </w:tr>
    </w:tbl>
    <w:p w14:paraId="5C46F051" w14:textId="7B954472" w:rsidR="009132C9" w:rsidRDefault="009132C9" w:rsidP="00980F3E"/>
    <w:p w14:paraId="286FB730" w14:textId="77777777" w:rsidR="009132C9" w:rsidRDefault="009132C9">
      <w:r>
        <w:br w:type="page"/>
      </w:r>
    </w:p>
    <w:tbl>
      <w:tblPr>
        <w:tblStyle w:val="TableGrid"/>
        <w:tblW w:w="8075" w:type="dxa"/>
        <w:tblLook w:val="04A0" w:firstRow="1" w:lastRow="0" w:firstColumn="1" w:lastColumn="0" w:noHBand="0" w:noVBand="1"/>
      </w:tblPr>
      <w:tblGrid>
        <w:gridCol w:w="1838"/>
        <w:gridCol w:w="6237"/>
      </w:tblGrid>
      <w:tr w:rsidR="00980F3E" w:rsidRPr="00684597" w14:paraId="677E5890" w14:textId="77777777" w:rsidTr="009B7B87">
        <w:trPr>
          <w:trHeight w:val="434"/>
        </w:trPr>
        <w:tc>
          <w:tcPr>
            <w:tcW w:w="1838" w:type="dxa"/>
            <w:shd w:val="clear" w:color="auto" w:fill="F2F2F2" w:themeFill="background1" w:themeFillShade="F2"/>
          </w:tcPr>
          <w:p w14:paraId="59F3C87A" w14:textId="77777777" w:rsidR="00980F3E" w:rsidRPr="00934C3D" w:rsidRDefault="00980F3E" w:rsidP="009B7B87">
            <w:pPr>
              <w:pStyle w:val="Body"/>
              <w:rPr>
                <w:b/>
              </w:rPr>
            </w:pPr>
            <w:r w:rsidRPr="00934C3D">
              <w:rPr>
                <w:b/>
              </w:rPr>
              <w:lastRenderedPageBreak/>
              <w:t>Deliverable Title</w:t>
            </w:r>
          </w:p>
        </w:tc>
        <w:tc>
          <w:tcPr>
            <w:tcW w:w="6237" w:type="dxa"/>
          </w:tcPr>
          <w:p w14:paraId="785ECA28" w14:textId="72D58714" w:rsidR="00980F3E" w:rsidRPr="00934C3D" w:rsidRDefault="00DD1D1D" w:rsidP="009B7B87">
            <w:pPr>
              <w:pStyle w:val="Body"/>
            </w:pPr>
            <w:r w:rsidRPr="00934C3D">
              <w:t>T1165</w:t>
            </w:r>
            <w:r w:rsidR="00EB1261" w:rsidRPr="00934C3D">
              <w:t xml:space="preserve"> Development of composite metrics for the monitoring and prioritisation of health &amp; wellbeing conditions</w:t>
            </w:r>
          </w:p>
        </w:tc>
      </w:tr>
      <w:tr w:rsidR="00980F3E" w:rsidRPr="00684597" w14:paraId="173AAD1B" w14:textId="77777777" w:rsidTr="009B7B87">
        <w:trPr>
          <w:trHeight w:val="419"/>
        </w:trPr>
        <w:tc>
          <w:tcPr>
            <w:tcW w:w="1838" w:type="dxa"/>
            <w:shd w:val="clear" w:color="auto" w:fill="F2F2F2" w:themeFill="background1" w:themeFillShade="F2"/>
          </w:tcPr>
          <w:p w14:paraId="75188C36" w14:textId="77777777" w:rsidR="00980F3E" w:rsidRPr="00934C3D" w:rsidRDefault="00980F3E" w:rsidP="009B7B87">
            <w:pPr>
              <w:pStyle w:val="Body"/>
              <w:rPr>
                <w:b/>
              </w:rPr>
            </w:pPr>
            <w:r w:rsidRPr="00934C3D">
              <w:rPr>
                <w:b/>
              </w:rPr>
              <w:t>Deliverable Type</w:t>
            </w:r>
          </w:p>
        </w:tc>
        <w:tc>
          <w:tcPr>
            <w:tcW w:w="6237" w:type="dxa"/>
          </w:tcPr>
          <w:p w14:paraId="49C7F624" w14:textId="77777777" w:rsidR="00980F3E" w:rsidRPr="00934C3D" w:rsidRDefault="00980F3E" w:rsidP="009B7B87">
            <w:pPr>
              <w:pStyle w:val="Body"/>
            </w:pPr>
            <w:r w:rsidRPr="00934C3D">
              <w:t>Report</w:t>
            </w:r>
          </w:p>
        </w:tc>
      </w:tr>
      <w:tr w:rsidR="00980F3E" w:rsidRPr="00684597" w14:paraId="36FE8FFD" w14:textId="77777777" w:rsidTr="009B7B87">
        <w:trPr>
          <w:trHeight w:val="434"/>
        </w:trPr>
        <w:tc>
          <w:tcPr>
            <w:tcW w:w="1838" w:type="dxa"/>
            <w:shd w:val="clear" w:color="auto" w:fill="F2F2F2" w:themeFill="background1" w:themeFillShade="F2"/>
          </w:tcPr>
          <w:p w14:paraId="410F991C" w14:textId="77777777" w:rsidR="00980F3E" w:rsidRPr="00934C3D" w:rsidRDefault="00980F3E" w:rsidP="009B7B87">
            <w:pPr>
              <w:pStyle w:val="Body"/>
              <w:rPr>
                <w:b/>
              </w:rPr>
            </w:pPr>
            <w:r w:rsidRPr="00934C3D">
              <w:rPr>
                <w:b/>
              </w:rPr>
              <w:t>Description</w:t>
            </w:r>
          </w:p>
        </w:tc>
        <w:tc>
          <w:tcPr>
            <w:tcW w:w="6237" w:type="dxa"/>
          </w:tcPr>
          <w:p w14:paraId="0AADB6AB" w14:textId="15ECEEB0" w:rsidR="00E71A9B" w:rsidRPr="00934C3D" w:rsidRDefault="00980F3E" w:rsidP="009B7B87">
            <w:pPr>
              <w:pStyle w:val="Body"/>
            </w:pPr>
            <w:r w:rsidRPr="00934C3D">
              <w:t>The research report will document the background, aim, methodology, assumptions, findings, conclusions and impacts of the project.</w:t>
            </w:r>
          </w:p>
          <w:p w14:paraId="0E7198C6" w14:textId="01F0B71E" w:rsidR="00980F3E" w:rsidRPr="00934C3D" w:rsidRDefault="00980F3E" w:rsidP="009B7B87">
            <w:pPr>
              <w:pStyle w:val="Body"/>
            </w:pPr>
            <w:r w:rsidRPr="00934C3D">
              <w:t xml:space="preserve">The report should not be overly lengthy but provide </w:t>
            </w:r>
            <w:proofErr w:type="gramStart"/>
            <w:r w:rsidRPr="00934C3D">
              <w:t>sufficient</w:t>
            </w:r>
            <w:proofErr w:type="gramEnd"/>
            <w:r w:rsidRPr="00934C3D">
              <w:t xml:space="preserve"> detail to repeat and verify the conclusions.  The document should identify ownership of any recommendations and next steps that are realistic and indicatively accepted.</w:t>
            </w:r>
          </w:p>
        </w:tc>
      </w:tr>
      <w:tr w:rsidR="00980F3E" w14:paraId="33A46C8F" w14:textId="77777777" w:rsidTr="009B7B87">
        <w:trPr>
          <w:trHeight w:val="419"/>
        </w:trPr>
        <w:tc>
          <w:tcPr>
            <w:tcW w:w="1838" w:type="dxa"/>
            <w:shd w:val="clear" w:color="auto" w:fill="F2F2F2" w:themeFill="background1" w:themeFillShade="F2"/>
          </w:tcPr>
          <w:p w14:paraId="5EE6AF41" w14:textId="77777777" w:rsidR="00980F3E" w:rsidRPr="00934C3D" w:rsidRDefault="00980F3E" w:rsidP="009B7B87">
            <w:pPr>
              <w:pStyle w:val="Body"/>
              <w:rPr>
                <w:b/>
              </w:rPr>
            </w:pPr>
            <w:r w:rsidRPr="00934C3D">
              <w:rPr>
                <w:b/>
              </w:rPr>
              <w:t>Publication</w:t>
            </w:r>
          </w:p>
        </w:tc>
        <w:tc>
          <w:tcPr>
            <w:tcW w:w="6237" w:type="dxa"/>
          </w:tcPr>
          <w:p w14:paraId="52DE425B" w14:textId="77777777" w:rsidR="00980F3E" w:rsidRPr="00934C3D" w:rsidRDefault="00980F3E" w:rsidP="009B7B87">
            <w:pPr>
              <w:pStyle w:val="Body"/>
            </w:pPr>
            <w:r w:rsidRPr="00934C3D">
              <w:t>The report will be reviewed by the project steering group and RSSB and will be subsequently finalised by the supplier.  The report will be produced in a RSSB Microsoft Word template and will be made available as a PDF on SPARK (a free-to-access interactive web library) to all SPARK users.</w:t>
            </w:r>
          </w:p>
        </w:tc>
      </w:tr>
    </w:tbl>
    <w:p w14:paraId="3A4052A5" w14:textId="4E9607F0" w:rsidR="00934C3D" w:rsidRDefault="00934C3D">
      <w:pPr>
        <w:rPr>
          <w:rFonts w:ascii="Calibri" w:hAnsi="Calibri" w:cs="Arial"/>
          <w:sz w:val="22"/>
          <w:szCs w:val="22"/>
          <w:lang w:eastAsia="en-GB"/>
        </w:rPr>
      </w:pPr>
    </w:p>
    <w:tbl>
      <w:tblPr>
        <w:tblStyle w:val="TableGrid"/>
        <w:tblW w:w="8075" w:type="dxa"/>
        <w:tblLook w:val="04A0" w:firstRow="1" w:lastRow="0" w:firstColumn="1" w:lastColumn="0" w:noHBand="0" w:noVBand="1"/>
      </w:tblPr>
      <w:tblGrid>
        <w:gridCol w:w="1838"/>
        <w:gridCol w:w="6237"/>
      </w:tblGrid>
      <w:tr w:rsidR="009132C9" w:rsidRPr="00934C3D" w14:paraId="27CAD1EA" w14:textId="77777777" w:rsidTr="00D70FE4">
        <w:trPr>
          <w:trHeight w:val="434"/>
        </w:trPr>
        <w:tc>
          <w:tcPr>
            <w:tcW w:w="1838" w:type="dxa"/>
            <w:shd w:val="clear" w:color="auto" w:fill="F2F2F2" w:themeFill="background1" w:themeFillShade="F2"/>
          </w:tcPr>
          <w:p w14:paraId="6AE5E8CA" w14:textId="77777777" w:rsidR="009132C9" w:rsidRPr="00934C3D" w:rsidRDefault="009132C9" w:rsidP="00D70FE4">
            <w:pPr>
              <w:pStyle w:val="Body"/>
              <w:rPr>
                <w:b/>
              </w:rPr>
            </w:pPr>
            <w:r w:rsidRPr="00934C3D">
              <w:rPr>
                <w:b/>
              </w:rPr>
              <w:t>Deliverable Title</w:t>
            </w:r>
          </w:p>
        </w:tc>
        <w:tc>
          <w:tcPr>
            <w:tcW w:w="6237" w:type="dxa"/>
          </w:tcPr>
          <w:p w14:paraId="1120863F" w14:textId="77777777" w:rsidR="009132C9" w:rsidRPr="00934C3D" w:rsidRDefault="009132C9" w:rsidP="00D70FE4">
            <w:pPr>
              <w:pStyle w:val="Body"/>
            </w:pPr>
            <w:r w:rsidRPr="00934C3D">
              <w:t>T1165 Development of composite metrics for the monitoring and prioritisation of health &amp; wellbeing conditions</w:t>
            </w:r>
          </w:p>
        </w:tc>
      </w:tr>
      <w:tr w:rsidR="009132C9" w:rsidRPr="00934C3D" w14:paraId="3C591E33" w14:textId="77777777" w:rsidTr="00D70FE4">
        <w:trPr>
          <w:trHeight w:val="419"/>
        </w:trPr>
        <w:tc>
          <w:tcPr>
            <w:tcW w:w="1838" w:type="dxa"/>
            <w:shd w:val="clear" w:color="auto" w:fill="F2F2F2" w:themeFill="background1" w:themeFillShade="F2"/>
          </w:tcPr>
          <w:p w14:paraId="2AE3CC3C" w14:textId="77777777" w:rsidR="009132C9" w:rsidRPr="00934C3D" w:rsidRDefault="009132C9" w:rsidP="00D70FE4">
            <w:pPr>
              <w:pStyle w:val="Body"/>
              <w:rPr>
                <w:b/>
              </w:rPr>
            </w:pPr>
            <w:r w:rsidRPr="00934C3D">
              <w:rPr>
                <w:b/>
              </w:rPr>
              <w:t>Deliverable Type</w:t>
            </w:r>
          </w:p>
        </w:tc>
        <w:tc>
          <w:tcPr>
            <w:tcW w:w="6237" w:type="dxa"/>
          </w:tcPr>
          <w:p w14:paraId="001EE58E" w14:textId="4124CAD0" w:rsidR="009132C9" w:rsidRPr="00934C3D" w:rsidRDefault="009132C9" w:rsidP="00D70FE4">
            <w:pPr>
              <w:pStyle w:val="Body"/>
            </w:pPr>
            <w:r w:rsidRPr="00934C3D">
              <w:t>Re</w:t>
            </w:r>
            <w:r>
              <w:t>search in Brief</w:t>
            </w:r>
          </w:p>
        </w:tc>
      </w:tr>
      <w:tr w:rsidR="009132C9" w:rsidRPr="00934C3D" w14:paraId="3A6F7F81" w14:textId="77777777" w:rsidTr="00D70FE4">
        <w:trPr>
          <w:trHeight w:val="434"/>
        </w:trPr>
        <w:tc>
          <w:tcPr>
            <w:tcW w:w="1838" w:type="dxa"/>
            <w:shd w:val="clear" w:color="auto" w:fill="F2F2F2" w:themeFill="background1" w:themeFillShade="F2"/>
          </w:tcPr>
          <w:p w14:paraId="41E86B69" w14:textId="77777777" w:rsidR="009132C9" w:rsidRPr="00934C3D" w:rsidRDefault="009132C9" w:rsidP="00D70FE4">
            <w:pPr>
              <w:pStyle w:val="Body"/>
              <w:rPr>
                <w:b/>
              </w:rPr>
            </w:pPr>
            <w:r w:rsidRPr="00934C3D">
              <w:rPr>
                <w:b/>
              </w:rPr>
              <w:t>Description</w:t>
            </w:r>
          </w:p>
        </w:tc>
        <w:tc>
          <w:tcPr>
            <w:tcW w:w="6237" w:type="dxa"/>
          </w:tcPr>
          <w:p w14:paraId="5F898992" w14:textId="37015E9B" w:rsidR="009132C9" w:rsidRPr="00934C3D" w:rsidRDefault="009132C9" w:rsidP="00D70FE4">
            <w:pPr>
              <w:pStyle w:val="Body"/>
            </w:pPr>
            <w:proofErr w:type="gramStart"/>
            <w:r>
              <w:t>A  four</w:t>
            </w:r>
            <w:proofErr w:type="gramEnd"/>
            <w:r>
              <w:t xml:space="preserve"> page document </w:t>
            </w:r>
            <w:r w:rsidRPr="00934C3D">
              <w:t>th</w:t>
            </w:r>
            <w:r>
              <w:t>at summarises the</w:t>
            </w:r>
            <w:r w:rsidRPr="00934C3D">
              <w:t xml:space="preserve"> </w:t>
            </w:r>
            <w:r>
              <w:t>background, scope and key findings, impacts and recommendations of</w:t>
            </w:r>
            <w:r w:rsidRPr="00934C3D">
              <w:t xml:space="preserve"> the project.</w:t>
            </w:r>
          </w:p>
        </w:tc>
      </w:tr>
      <w:tr w:rsidR="009132C9" w:rsidRPr="00934C3D" w14:paraId="7837F1FA" w14:textId="77777777" w:rsidTr="00D70FE4">
        <w:trPr>
          <w:trHeight w:val="419"/>
        </w:trPr>
        <w:tc>
          <w:tcPr>
            <w:tcW w:w="1838" w:type="dxa"/>
            <w:shd w:val="clear" w:color="auto" w:fill="F2F2F2" w:themeFill="background1" w:themeFillShade="F2"/>
          </w:tcPr>
          <w:p w14:paraId="627B4D0E" w14:textId="77777777" w:rsidR="009132C9" w:rsidRPr="00934C3D" w:rsidRDefault="009132C9" w:rsidP="00D70FE4">
            <w:pPr>
              <w:pStyle w:val="Body"/>
              <w:rPr>
                <w:b/>
              </w:rPr>
            </w:pPr>
            <w:r w:rsidRPr="00934C3D">
              <w:rPr>
                <w:b/>
              </w:rPr>
              <w:t>Publication</w:t>
            </w:r>
          </w:p>
        </w:tc>
        <w:tc>
          <w:tcPr>
            <w:tcW w:w="6237" w:type="dxa"/>
          </w:tcPr>
          <w:p w14:paraId="2F480015" w14:textId="367E6D13" w:rsidR="009132C9" w:rsidRPr="00934C3D" w:rsidRDefault="009132C9" w:rsidP="00D70FE4">
            <w:pPr>
              <w:pStyle w:val="Body"/>
            </w:pPr>
            <w:r w:rsidRPr="00934C3D">
              <w:t xml:space="preserve">The report will be reviewed by </w:t>
            </w:r>
            <w:r>
              <w:t>the project manager and will be subsequently completed by the supplier</w:t>
            </w:r>
            <w:r w:rsidRPr="00934C3D">
              <w:t>.  The report will be produced in a RSSB Microsoft Word template and will be made available as a PDF on SPARK (a free-to-access interactive web library) to all SPARK users.</w:t>
            </w:r>
          </w:p>
        </w:tc>
      </w:tr>
    </w:tbl>
    <w:p w14:paraId="6CBB5CD9" w14:textId="17F8A141" w:rsidR="009132C9" w:rsidRDefault="009132C9">
      <w:pPr>
        <w:rPr>
          <w:rFonts w:ascii="Calibri" w:hAnsi="Calibri" w:cs="Arial"/>
          <w:sz w:val="22"/>
          <w:szCs w:val="22"/>
          <w:lang w:eastAsia="en-GB"/>
        </w:rPr>
      </w:pPr>
    </w:p>
    <w:p w14:paraId="384F07B7" w14:textId="71BA3DBC" w:rsidR="006C2B58" w:rsidRDefault="006C2B58" w:rsidP="006C2B58">
      <w:pPr>
        <w:pStyle w:val="SectionTitle2"/>
      </w:pPr>
      <w:r>
        <w:t>Deliverables review process</w:t>
      </w:r>
    </w:p>
    <w:p w14:paraId="612DD4B3" w14:textId="439CD4BC" w:rsidR="006C2B58" w:rsidRPr="006C2B58" w:rsidRDefault="006C2B58" w:rsidP="006C2B58">
      <w:pPr>
        <w:pStyle w:val="Body"/>
        <w:jc w:val="both"/>
      </w:pPr>
      <w:r>
        <w:t>All draft deliverables will be submitted to the RSSB Project Manager. Following submission, the draft deliverables are reviewed in parallel by the RSSB Project Manager, RSSB Technical Lead and the project steering group (stakeholders are usually given two to three weeks to provide feedback). The Project Manager provides collated feedback to the supplier for the deliverables to be revised. Further revisions (as part of the contract) may be requested if previously identified issues have not been resolved. Following revision, the deliverables will be presented to the primary client group. The deliverables are then finalised and published by RSSB.</w:t>
      </w:r>
    </w:p>
    <w:p w14:paraId="7739A94F" w14:textId="66E46B98" w:rsidR="006C2B58" w:rsidRDefault="00315B74">
      <w:pPr>
        <w:rPr>
          <w:rFonts w:ascii="Calibri" w:hAnsi="Calibri" w:cs="Arial"/>
          <w:color w:val="00968E"/>
          <w:sz w:val="36"/>
          <w:szCs w:val="22"/>
          <w:lang w:eastAsia="en-GB"/>
        </w:rPr>
      </w:pPr>
      <w:r>
        <w:rPr>
          <w:rFonts w:ascii="Calibri" w:hAnsi="Calibri"/>
        </w:rPr>
        <w:br w:type="page"/>
      </w:r>
    </w:p>
    <w:p w14:paraId="79EE43A7" w14:textId="4FA4BD98" w:rsidR="00425161" w:rsidRDefault="00032803" w:rsidP="006C2B58">
      <w:pPr>
        <w:pStyle w:val="Heading10"/>
        <w:keepNext/>
        <w:numPr>
          <w:ilvl w:val="0"/>
          <w:numId w:val="40"/>
        </w:numPr>
        <w:outlineLvl w:val="9"/>
        <w:rPr>
          <w:rFonts w:ascii="Calibri" w:hAnsi="Calibri"/>
        </w:rPr>
      </w:pPr>
      <w:r w:rsidRPr="00C8304E">
        <w:rPr>
          <w:rFonts w:ascii="Calibri" w:hAnsi="Calibri"/>
        </w:rPr>
        <w:lastRenderedPageBreak/>
        <w:t>Stakeholder roles and responsibilities</w:t>
      </w:r>
    </w:p>
    <w:p w14:paraId="44A65361" w14:textId="77777777" w:rsidR="00585D12" w:rsidRPr="00585D12" w:rsidRDefault="00585D12" w:rsidP="00585D12">
      <w:pPr>
        <w:pStyle w:val="Body"/>
      </w:pPr>
      <w:r>
        <w:t xml:space="preserve">The key stakeholders and their responsibilities </w:t>
      </w:r>
      <w:r w:rsidR="009943F9">
        <w:t xml:space="preserve">are detailed in the table below. </w:t>
      </w:r>
    </w:p>
    <w:tbl>
      <w:tblPr>
        <w:tblStyle w:val="TableGrid"/>
        <w:tblW w:w="9634" w:type="dxa"/>
        <w:jc w:val="center"/>
        <w:tblLook w:val="04A0" w:firstRow="1" w:lastRow="0" w:firstColumn="1" w:lastColumn="0" w:noHBand="0" w:noVBand="1"/>
      </w:tblPr>
      <w:tblGrid>
        <w:gridCol w:w="1816"/>
        <w:gridCol w:w="4983"/>
        <w:gridCol w:w="2835"/>
      </w:tblGrid>
      <w:tr w:rsidR="00425161" w:rsidRPr="00425161" w14:paraId="12A2334E" w14:textId="77777777" w:rsidTr="005B0E60">
        <w:trPr>
          <w:jc w:val="center"/>
        </w:trPr>
        <w:tc>
          <w:tcPr>
            <w:tcW w:w="1816" w:type="dxa"/>
          </w:tcPr>
          <w:p w14:paraId="3BD997DD" w14:textId="77777777" w:rsidR="00425161" w:rsidRPr="002D2271" w:rsidRDefault="002D2271" w:rsidP="005B0E60">
            <w:pPr>
              <w:pStyle w:val="Body"/>
              <w:jc w:val="center"/>
              <w:rPr>
                <w:rFonts w:cs="Calibri"/>
                <w:b/>
              </w:rPr>
            </w:pPr>
            <w:r w:rsidRPr="002D2271">
              <w:rPr>
                <w:rFonts w:cs="Calibri"/>
                <w:b/>
              </w:rPr>
              <w:t>Stakeholder</w:t>
            </w:r>
            <w:r>
              <w:rPr>
                <w:rFonts w:cs="Calibri"/>
                <w:b/>
              </w:rPr>
              <w:t>(s)</w:t>
            </w:r>
          </w:p>
        </w:tc>
        <w:tc>
          <w:tcPr>
            <w:tcW w:w="4983" w:type="dxa"/>
          </w:tcPr>
          <w:p w14:paraId="25A3DB25" w14:textId="77777777" w:rsidR="00425161" w:rsidRPr="00425161" w:rsidRDefault="00425161" w:rsidP="005B0E60">
            <w:pPr>
              <w:jc w:val="center"/>
              <w:rPr>
                <w:rFonts w:ascii="Calibri" w:hAnsi="Calibri" w:cs="Calibri"/>
                <w:sz w:val="22"/>
                <w:szCs w:val="22"/>
                <w:lang w:eastAsia="en-GB"/>
              </w:rPr>
            </w:pPr>
            <w:r w:rsidRPr="00425161">
              <w:rPr>
                <w:rFonts w:ascii="Calibri" w:hAnsi="Calibri" w:cs="Calibri"/>
                <w:b/>
                <w:bCs/>
                <w:kern w:val="28"/>
                <w:sz w:val="22"/>
                <w:szCs w:val="22"/>
              </w:rPr>
              <w:t>General role in project</w:t>
            </w:r>
          </w:p>
        </w:tc>
        <w:tc>
          <w:tcPr>
            <w:tcW w:w="2835" w:type="dxa"/>
          </w:tcPr>
          <w:p w14:paraId="1A1AD676" w14:textId="77777777" w:rsidR="00425161" w:rsidRPr="00425161" w:rsidRDefault="00425161" w:rsidP="005B0E60">
            <w:pPr>
              <w:jc w:val="center"/>
              <w:rPr>
                <w:rFonts w:ascii="Calibri" w:hAnsi="Calibri" w:cs="Calibri"/>
                <w:sz w:val="22"/>
                <w:szCs w:val="22"/>
                <w:lang w:eastAsia="en-GB"/>
              </w:rPr>
            </w:pPr>
            <w:r w:rsidRPr="00425161">
              <w:rPr>
                <w:rFonts w:ascii="Calibri" w:hAnsi="Calibri" w:cs="Calibri"/>
                <w:b/>
                <w:bCs/>
                <w:kern w:val="28"/>
                <w:sz w:val="22"/>
                <w:szCs w:val="22"/>
              </w:rPr>
              <w:t>Specific role in acceptance of deliverables</w:t>
            </w:r>
          </w:p>
        </w:tc>
      </w:tr>
      <w:tr w:rsidR="00425161" w:rsidRPr="00425161" w14:paraId="6AA45974" w14:textId="77777777" w:rsidTr="002D2271">
        <w:trPr>
          <w:jc w:val="center"/>
        </w:trPr>
        <w:tc>
          <w:tcPr>
            <w:tcW w:w="1816" w:type="dxa"/>
            <w:vAlign w:val="center"/>
          </w:tcPr>
          <w:p w14:paraId="7396E0EB" w14:textId="77777777" w:rsidR="00425161" w:rsidRPr="00425161" w:rsidRDefault="00BE0E6B" w:rsidP="00875261">
            <w:pPr>
              <w:rPr>
                <w:rFonts w:ascii="Calibri" w:hAnsi="Calibri" w:cs="Calibri"/>
                <w:color w:val="000000" w:themeColor="dark1"/>
                <w:kern w:val="28"/>
                <w:sz w:val="22"/>
                <w:szCs w:val="22"/>
              </w:rPr>
            </w:pPr>
            <w:r>
              <w:rPr>
                <w:rFonts w:ascii="Calibri" w:hAnsi="Calibri" w:cs="Calibri"/>
                <w:color w:val="000000" w:themeColor="dark1"/>
                <w:kern w:val="28"/>
                <w:sz w:val="22"/>
                <w:szCs w:val="22"/>
              </w:rPr>
              <w:t>RSSB Delivery M</w:t>
            </w:r>
            <w:r w:rsidR="00425161" w:rsidRPr="00425161">
              <w:rPr>
                <w:rFonts w:ascii="Calibri" w:hAnsi="Calibri" w:cs="Calibri"/>
                <w:color w:val="000000" w:themeColor="dark1"/>
                <w:kern w:val="28"/>
                <w:sz w:val="22"/>
                <w:szCs w:val="22"/>
              </w:rPr>
              <w:t>anager</w:t>
            </w:r>
          </w:p>
        </w:tc>
        <w:tc>
          <w:tcPr>
            <w:tcW w:w="4983" w:type="dxa"/>
            <w:vAlign w:val="center"/>
          </w:tcPr>
          <w:p w14:paraId="7E3F904D" w14:textId="77777777" w:rsidR="00425161" w:rsidRPr="00425161" w:rsidRDefault="00425161" w:rsidP="00875261">
            <w:pPr>
              <w:pStyle w:val="NormalWeb"/>
              <w:spacing w:before="40" w:beforeAutospacing="0" w:after="40" w:afterAutospacing="0" w:line="260" w:lineRule="exact"/>
              <w:rPr>
                <w:rFonts w:ascii="Calibri" w:hAnsi="Calibri" w:cs="Calibri"/>
                <w:color w:val="000000" w:themeColor="dark1"/>
                <w:kern w:val="28"/>
                <w:lang w:eastAsia="en-US"/>
              </w:rPr>
            </w:pPr>
            <w:r w:rsidRPr="00425161">
              <w:rPr>
                <w:rFonts w:ascii="Calibri" w:hAnsi="Calibri" w:cs="Calibri"/>
                <w:color w:val="000000" w:themeColor="dark1"/>
                <w:kern w:val="28"/>
                <w:lang w:eastAsia="en-US"/>
              </w:rPr>
              <w:t>The RSSB</w:t>
            </w:r>
            <w:r w:rsidR="00BE0E6B">
              <w:rPr>
                <w:rFonts w:ascii="Calibri" w:hAnsi="Calibri" w:cs="Calibri"/>
                <w:color w:val="000000" w:themeColor="dark1"/>
                <w:kern w:val="28"/>
                <w:lang w:eastAsia="en-US"/>
              </w:rPr>
              <w:t xml:space="preserve"> Delivery M</w:t>
            </w:r>
            <w:r w:rsidRPr="00425161">
              <w:rPr>
                <w:rFonts w:ascii="Calibri" w:hAnsi="Calibri" w:cs="Calibri"/>
                <w:color w:val="000000" w:themeColor="dark1"/>
                <w:kern w:val="28"/>
                <w:lang w:eastAsia="en-US"/>
              </w:rPr>
              <w:t>anager is the first point of c</w:t>
            </w:r>
            <w:r w:rsidR="00BE0E6B">
              <w:rPr>
                <w:rFonts w:ascii="Calibri" w:hAnsi="Calibri" w:cs="Calibri"/>
                <w:color w:val="000000" w:themeColor="dark1"/>
                <w:kern w:val="28"/>
                <w:lang w:eastAsia="en-US"/>
              </w:rPr>
              <w:t xml:space="preserve">ontact during project delivery and is </w:t>
            </w:r>
            <w:r w:rsidRPr="00425161">
              <w:rPr>
                <w:rFonts w:ascii="Calibri" w:hAnsi="Calibri" w:cs="Calibri"/>
                <w:color w:val="000000" w:themeColor="dark1"/>
                <w:kern w:val="28"/>
                <w:lang w:eastAsia="en-US"/>
              </w:rPr>
              <w:t xml:space="preserve">responsible for the detailed project management including project schedules, cost reporting and other relevant project management tasks. </w:t>
            </w:r>
          </w:p>
          <w:p w14:paraId="678FE0C4" w14:textId="77777777" w:rsidR="00425161" w:rsidRPr="00425161" w:rsidRDefault="001145A1" w:rsidP="00875261">
            <w:pPr>
              <w:rPr>
                <w:rFonts w:ascii="Calibri" w:hAnsi="Calibri" w:cs="Calibri"/>
                <w:color w:val="000000" w:themeColor="dark1"/>
                <w:kern w:val="28"/>
                <w:sz w:val="22"/>
                <w:szCs w:val="22"/>
              </w:rPr>
            </w:pPr>
            <w:r>
              <w:rPr>
                <w:rFonts w:ascii="Calibri" w:hAnsi="Calibri" w:cs="Calibri"/>
                <w:color w:val="000000" w:themeColor="dark1"/>
                <w:kern w:val="28"/>
                <w:sz w:val="22"/>
                <w:szCs w:val="22"/>
              </w:rPr>
              <w:t>The Delivery M</w:t>
            </w:r>
            <w:r w:rsidR="00425161" w:rsidRPr="00425161">
              <w:rPr>
                <w:rFonts w:ascii="Calibri" w:hAnsi="Calibri" w:cs="Calibri"/>
                <w:color w:val="000000" w:themeColor="dark1"/>
                <w:kern w:val="28"/>
                <w:sz w:val="22"/>
                <w:szCs w:val="22"/>
              </w:rPr>
              <w:t>anager leads the project in organising meetings, etc and ensures timely and effective delivery towards project objectives.</w:t>
            </w:r>
          </w:p>
        </w:tc>
        <w:tc>
          <w:tcPr>
            <w:tcW w:w="2835" w:type="dxa"/>
          </w:tcPr>
          <w:p w14:paraId="15AEB6B7" w14:textId="77777777" w:rsidR="00425161" w:rsidRPr="00425161" w:rsidRDefault="00425161" w:rsidP="00875261">
            <w:pPr>
              <w:rPr>
                <w:rFonts w:ascii="Calibri" w:hAnsi="Calibri" w:cs="Calibri"/>
                <w:color w:val="000000" w:themeColor="dark1"/>
                <w:kern w:val="28"/>
                <w:sz w:val="22"/>
                <w:szCs w:val="22"/>
              </w:rPr>
            </w:pPr>
            <w:r w:rsidRPr="00425161">
              <w:rPr>
                <w:rFonts w:ascii="Calibri" w:hAnsi="Calibri" w:cs="Calibri"/>
                <w:color w:val="000000" w:themeColor="dark1"/>
                <w:kern w:val="28"/>
                <w:sz w:val="22"/>
                <w:szCs w:val="22"/>
              </w:rPr>
              <w:t>Facilitates technical review and acceptance processes, identifies and monitors corrective actions where needed, including facilitating decision making.</w:t>
            </w:r>
          </w:p>
        </w:tc>
      </w:tr>
      <w:tr w:rsidR="00425161" w:rsidRPr="00425161" w14:paraId="510C075B" w14:textId="77777777" w:rsidTr="002D2271">
        <w:trPr>
          <w:jc w:val="center"/>
        </w:trPr>
        <w:tc>
          <w:tcPr>
            <w:tcW w:w="1816" w:type="dxa"/>
            <w:vAlign w:val="center"/>
          </w:tcPr>
          <w:p w14:paraId="3E08A237" w14:textId="77777777" w:rsidR="00425161" w:rsidRPr="00425161" w:rsidRDefault="00BE0E6B" w:rsidP="00875261">
            <w:pPr>
              <w:rPr>
                <w:rFonts w:ascii="Calibri" w:hAnsi="Calibri" w:cs="Calibri"/>
                <w:sz w:val="22"/>
                <w:szCs w:val="22"/>
                <w:lang w:eastAsia="en-GB"/>
              </w:rPr>
            </w:pPr>
            <w:r>
              <w:rPr>
                <w:rFonts w:ascii="Calibri" w:hAnsi="Calibri" w:cs="Calibri"/>
                <w:color w:val="000000" w:themeColor="dark1"/>
                <w:kern w:val="28"/>
                <w:sz w:val="22"/>
                <w:szCs w:val="22"/>
              </w:rPr>
              <w:t xml:space="preserve">RSSB </w:t>
            </w:r>
            <w:r w:rsidR="00425161" w:rsidRPr="00425161">
              <w:rPr>
                <w:rFonts w:ascii="Calibri" w:hAnsi="Calibri" w:cs="Calibri"/>
                <w:color w:val="000000" w:themeColor="dark1"/>
                <w:kern w:val="28"/>
                <w:sz w:val="22"/>
                <w:szCs w:val="22"/>
              </w:rPr>
              <w:t xml:space="preserve">Technical </w:t>
            </w:r>
            <w:r>
              <w:rPr>
                <w:rFonts w:ascii="Calibri" w:hAnsi="Calibri" w:cs="Calibri"/>
                <w:color w:val="000000" w:themeColor="dark1"/>
                <w:kern w:val="28"/>
                <w:sz w:val="22"/>
                <w:szCs w:val="22"/>
              </w:rPr>
              <w:t>Lead</w:t>
            </w:r>
          </w:p>
        </w:tc>
        <w:tc>
          <w:tcPr>
            <w:tcW w:w="4983" w:type="dxa"/>
            <w:vAlign w:val="center"/>
          </w:tcPr>
          <w:p w14:paraId="6C43E11C" w14:textId="77777777" w:rsidR="00425161" w:rsidRPr="00425161" w:rsidRDefault="00425161" w:rsidP="00875261">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sidR="00EA6B4D">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031FD3CE" w14:textId="77777777" w:rsidR="00425161" w:rsidRPr="00425161" w:rsidRDefault="00425161" w:rsidP="00875261">
            <w:pPr>
              <w:rPr>
                <w:rFonts w:ascii="Calibri" w:hAnsi="Calibri" w:cs="Calibri"/>
                <w:sz w:val="22"/>
                <w:szCs w:val="22"/>
                <w:lang w:eastAsia="en-GB"/>
              </w:rPr>
            </w:pPr>
            <w:r w:rsidRPr="00425161">
              <w:rPr>
                <w:rFonts w:ascii="Calibri" w:hAnsi="Calibri" w:cs="Calibri"/>
                <w:color w:val="000000" w:themeColor="dark1"/>
                <w:kern w:val="28"/>
                <w:sz w:val="22"/>
                <w:szCs w:val="22"/>
              </w:rPr>
              <w:t>Technical aspects can refer to specific issues around railway signalling, track engineering, safety relevant operations or any other specialist field.</w:t>
            </w:r>
          </w:p>
        </w:tc>
        <w:tc>
          <w:tcPr>
            <w:tcW w:w="2835" w:type="dxa"/>
          </w:tcPr>
          <w:p w14:paraId="770D3736" w14:textId="77777777" w:rsidR="00425161" w:rsidRPr="00425161" w:rsidRDefault="00425161" w:rsidP="00875261">
            <w:pPr>
              <w:rPr>
                <w:rFonts w:ascii="Calibri" w:hAnsi="Calibri" w:cs="Calibri"/>
                <w:sz w:val="22"/>
                <w:szCs w:val="22"/>
                <w:lang w:eastAsia="en-GB"/>
              </w:rPr>
            </w:pPr>
            <w:r w:rsidRPr="00425161">
              <w:rPr>
                <w:rFonts w:ascii="Calibri" w:hAnsi="Calibri" w:cs="Calibri"/>
                <w:color w:val="000000" w:themeColor="dark1"/>
                <w:kern w:val="28"/>
                <w:sz w:val="22"/>
                <w:szCs w:val="22"/>
              </w:rPr>
              <w:t xml:space="preserve">Reviews emerging outputs from </w:t>
            </w:r>
            <w:r w:rsidR="00EA6B4D">
              <w:rPr>
                <w:rFonts w:ascii="Calibri" w:hAnsi="Calibri" w:cs="Calibri"/>
                <w:color w:val="000000" w:themeColor="dark1"/>
                <w:kern w:val="28"/>
                <w:sz w:val="22"/>
                <w:szCs w:val="22"/>
              </w:rPr>
              <w:t xml:space="preserve">a </w:t>
            </w:r>
            <w:r w:rsidRPr="00425161">
              <w:rPr>
                <w:rFonts w:ascii="Calibri" w:hAnsi="Calibri" w:cs="Calibri"/>
                <w:color w:val="000000" w:themeColor="dark1"/>
                <w:kern w:val="28"/>
                <w:sz w:val="22"/>
                <w:szCs w:val="22"/>
              </w:rPr>
              <w:t>technical perspective.</w:t>
            </w:r>
          </w:p>
        </w:tc>
      </w:tr>
      <w:tr w:rsidR="00425161" w:rsidRPr="00425161" w14:paraId="147CBA63" w14:textId="77777777" w:rsidTr="002D2271">
        <w:trPr>
          <w:jc w:val="center"/>
        </w:trPr>
        <w:tc>
          <w:tcPr>
            <w:tcW w:w="1816" w:type="dxa"/>
            <w:vAlign w:val="center"/>
          </w:tcPr>
          <w:p w14:paraId="55831ED3" w14:textId="77777777" w:rsidR="00425161" w:rsidRPr="00425161" w:rsidRDefault="002A6750" w:rsidP="00875261">
            <w:pPr>
              <w:rPr>
                <w:rFonts w:ascii="Calibri" w:hAnsi="Calibri" w:cs="Calibri"/>
                <w:sz w:val="22"/>
                <w:szCs w:val="22"/>
                <w:lang w:eastAsia="en-GB"/>
              </w:rPr>
            </w:pPr>
            <w:r>
              <w:rPr>
                <w:rFonts w:ascii="Calibri" w:hAnsi="Calibri" w:cs="Calibri"/>
                <w:color w:val="000000" w:themeColor="dark1"/>
                <w:kern w:val="28"/>
                <w:sz w:val="22"/>
                <w:szCs w:val="22"/>
              </w:rPr>
              <w:t xml:space="preserve">Industry sponsor </w:t>
            </w:r>
            <w:r w:rsidR="001B78A2" w:rsidRPr="00425161">
              <w:rPr>
                <w:rFonts w:ascii="Calibri" w:hAnsi="Calibri" w:cs="Calibri"/>
                <w:sz w:val="22"/>
                <w:szCs w:val="22"/>
                <w:lang w:eastAsia="en-GB"/>
              </w:rPr>
              <w:t xml:space="preserve"> </w:t>
            </w:r>
          </w:p>
        </w:tc>
        <w:tc>
          <w:tcPr>
            <w:tcW w:w="4983" w:type="dxa"/>
            <w:vAlign w:val="center"/>
          </w:tcPr>
          <w:p w14:paraId="22426CA8" w14:textId="77777777" w:rsidR="00425161" w:rsidRPr="00425161" w:rsidRDefault="00067A43" w:rsidP="00875261">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The i</w:t>
            </w:r>
            <w:r w:rsidR="00425161" w:rsidRPr="00425161">
              <w:rPr>
                <w:rFonts w:ascii="Calibri" w:hAnsi="Calibri" w:cs="Calibri"/>
                <w:color w:val="000000" w:themeColor="dark1"/>
                <w:kern w:val="28"/>
              </w:rPr>
              <w:t>nd</w:t>
            </w:r>
            <w:r w:rsidR="008D4416">
              <w:rPr>
                <w:rFonts w:ascii="Calibri" w:hAnsi="Calibri" w:cs="Calibri"/>
                <w:color w:val="000000" w:themeColor="dark1"/>
                <w:kern w:val="28"/>
              </w:rPr>
              <w:t xml:space="preserve">ustry </w:t>
            </w:r>
            <w:r w:rsidR="001B78A2">
              <w:rPr>
                <w:rFonts w:ascii="Calibri" w:hAnsi="Calibri" w:cs="Calibri"/>
                <w:color w:val="000000" w:themeColor="dark1"/>
                <w:kern w:val="28"/>
              </w:rPr>
              <w:t>sponsor</w:t>
            </w:r>
            <w:r w:rsidR="008D4416">
              <w:rPr>
                <w:rFonts w:ascii="Calibri" w:hAnsi="Calibri" w:cs="Calibri"/>
                <w:color w:val="000000" w:themeColor="dark1"/>
                <w:kern w:val="28"/>
              </w:rPr>
              <w:t xml:space="preserve"> act</w:t>
            </w:r>
            <w:r w:rsidR="00103FDD">
              <w:rPr>
                <w:rFonts w:ascii="Calibri" w:hAnsi="Calibri" w:cs="Calibri"/>
                <w:color w:val="000000" w:themeColor="dark1"/>
                <w:kern w:val="28"/>
              </w:rPr>
              <w:t>s</w:t>
            </w:r>
            <w:r w:rsidR="008D4416">
              <w:rPr>
                <w:rFonts w:ascii="Calibri" w:hAnsi="Calibri" w:cs="Calibri"/>
                <w:color w:val="000000" w:themeColor="dark1"/>
                <w:kern w:val="28"/>
              </w:rPr>
              <w:t xml:space="preserve"> as</w:t>
            </w:r>
            <w:r w:rsidR="00425161" w:rsidRPr="00425161">
              <w:rPr>
                <w:rFonts w:ascii="Calibri" w:hAnsi="Calibri" w:cs="Calibri"/>
                <w:color w:val="000000" w:themeColor="dark1"/>
                <w:kern w:val="28"/>
              </w:rPr>
              <w:t xml:space="preserve"> figurehead for the research, championing its importance and its outputs. </w:t>
            </w:r>
          </w:p>
          <w:p w14:paraId="694F2100" w14:textId="77777777" w:rsidR="00425161" w:rsidRPr="00425161" w:rsidRDefault="00103FDD" w:rsidP="00875261">
            <w:pPr>
              <w:rPr>
                <w:rFonts w:ascii="Calibri" w:hAnsi="Calibri" w:cs="Calibri"/>
                <w:sz w:val="22"/>
                <w:szCs w:val="22"/>
                <w:lang w:eastAsia="en-GB"/>
              </w:rPr>
            </w:pPr>
            <w:r>
              <w:rPr>
                <w:rFonts w:ascii="Calibri" w:hAnsi="Calibri" w:cs="Calibri"/>
                <w:color w:val="000000" w:themeColor="dark1"/>
                <w:kern w:val="28"/>
                <w:sz w:val="22"/>
                <w:szCs w:val="22"/>
              </w:rPr>
              <w:t>The industry sponsor forms part of the project steering group, however, t</w:t>
            </w:r>
            <w:r w:rsidR="00425161" w:rsidRPr="00425161">
              <w:rPr>
                <w:rFonts w:ascii="Calibri" w:hAnsi="Calibri" w:cs="Calibri"/>
                <w:color w:val="000000" w:themeColor="dark1"/>
                <w:kern w:val="28"/>
                <w:sz w:val="22"/>
                <w:szCs w:val="22"/>
              </w:rPr>
              <w:t xml:space="preserve">heir key role </w:t>
            </w:r>
            <w:r>
              <w:rPr>
                <w:rFonts w:ascii="Calibri" w:hAnsi="Calibri" w:cs="Calibri"/>
                <w:color w:val="000000" w:themeColor="dark1"/>
                <w:kern w:val="28"/>
                <w:sz w:val="22"/>
                <w:szCs w:val="22"/>
              </w:rPr>
              <w:t xml:space="preserve">as sponsor </w:t>
            </w:r>
            <w:r w:rsidR="00425161" w:rsidRPr="00425161">
              <w:rPr>
                <w:rFonts w:ascii="Calibri" w:hAnsi="Calibri" w:cs="Calibri"/>
                <w:color w:val="000000" w:themeColor="dark1"/>
                <w:kern w:val="28"/>
                <w:sz w:val="22"/>
                <w:szCs w:val="22"/>
              </w:rPr>
              <w:t xml:space="preserve">is to provide steer to the research as it progresses and </w:t>
            </w:r>
            <w:r w:rsidR="00267F2D">
              <w:rPr>
                <w:rFonts w:ascii="Calibri" w:hAnsi="Calibri" w:cs="Calibri"/>
                <w:color w:val="000000" w:themeColor="dark1"/>
                <w:kern w:val="28"/>
                <w:sz w:val="22"/>
                <w:szCs w:val="22"/>
              </w:rPr>
              <w:t xml:space="preserve">to </w:t>
            </w:r>
            <w:r w:rsidR="00425161" w:rsidRPr="00425161">
              <w:rPr>
                <w:rFonts w:ascii="Calibri" w:hAnsi="Calibri" w:cs="Calibri"/>
                <w:color w:val="000000" w:themeColor="dark1"/>
                <w:kern w:val="28"/>
                <w:sz w:val="22"/>
                <w:szCs w:val="22"/>
              </w:rPr>
              <w:t>exert pressure on industry to make use of its findings.</w:t>
            </w:r>
          </w:p>
        </w:tc>
        <w:tc>
          <w:tcPr>
            <w:tcW w:w="2835" w:type="dxa"/>
          </w:tcPr>
          <w:p w14:paraId="1BB1F124" w14:textId="77777777" w:rsidR="00425161" w:rsidRPr="00425161" w:rsidRDefault="00B30018" w:rsidP="00875261">
            <w:pPr>
              <w:rPr>
                <w:rFonts w:ascii="Calibri" w:hAnsi="Calibri" w:cs="Calibri"/>
                <w:color w:val="000000" w:themeColor="dark1"/>
                <w:kern w:val="28"/>
                <w:sz w:val="22"/>
                <w:szCs w:val="22"/>
              </w:rPr>
            </w:pPr>
            <w:r w:rsidRPr="00425161">
              <w:rPr>
                <w:rFonts w:ascii="Calibri" w:hAnsi="Calibri" w:cs="Calibri"/>
                <w:color w:val="000000" w:themeColor="dark1"/>
                <w:kern w:val="28"/>
                <w:sz w:val="22"/>
                <w:szCs w:val="22"/>
              </w:rPr>
              <w:t xml:space="preserve">Reviews emerging outputs from </w:t>
            </w:r>
            <w:r>
              <w:rPr>
                <w:rFonts w:ascii="Calibri" w:hAnsi="Calibri" w:cs="Calibri"/>
                <w:color w:val="000000" w:themeColor="dark1"/>
                <w:kern w:val="28"/>
                <w:sz w:val="22"/>
                <w:szCs w:val="22"/>
              </w:rPr>
              <w:t xml:space="preserve">a </w:t>
            </w:r>
            <w:r w:rsidRPr="00425161">
              <w:rPr>
                <w:rFonts w:ascii="Calibri" w:hAnsi="Calibri" w:cs="Calibri"/>
                <w:color w:val="000000" w:themeColor="dark1"/>
                <w:kern w:val="28"/>
                <w:sz w:val="22"/>
                <w:szCs w:val="22"/>
              </w:rPr>
              <w:t>technical perspective.</w:t>
            </w:r>
          </w:p>
        </w:tc>
      </w:tr>
      <w:tr w:rsidR="00425161" w:rsidRPr="00425161" w14:paraId="7C1D7A5B" w14:textId="77777777" w:rsidTr="002D2271">
        <w:trPr>
          <w:jc w:val="center"/>
        </w:trPr>
        <w:tc>
          <w:tcPr>
            <w:tcW w:w="1816" w:type="dxa"/>
            <w:vAlign w:val="center"/>
          </w:tcPr>
          <w:p w14:paraId="1007264F" w14:textId="77777777" w:rsidR="00425161" w:rsidRPr="00425161" w:rsidRDefault="00425161" w:rsidP="00875261">
            <w:pPr>
              <w:rPr>
                <w:rFonts w:ascii="Calibri" w:hAnsi="Calibri" w:cs="Calibri"/>
                <w:sz w:val="22"/>
                <w:szCs w:val="22"/>
                <w:lang w:eastAsia="en-GB"/>
              </w:rPr>
            </w:pPr>
            <w:r w:rsidRPr="00425161">
              <w:rPr>
                <w:rFonts w:ascii="Calibri" w:hAnsi="Calibri" w:cs="Calibri"/>
                <w:color w:val="000000" w:themeColor="dark1"/>
                <w:kern w:val="28"/>
                <w:sz w:val="22"/>
                <w:szCs w:val="22"/>
              </w:rPr>
              <w:t>Project steering group</w:t>
            </w:r>
          </w:p>
        </w:tc>
        <w:tc>
          <w:tcPr>
            <w:tcW w:w="4983" w:type="dxa"/>
            <w:vAlign w:val="center"/>
          </w:tcPr>
          <w:p w14:paraId="7D555CF8" w14:textId="77777777" w:rsidR="00425161" w:rsidRPr="00425161" w:rsidRDefault="00425161" w:rsidP="00C51932">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The project steering group ensures the project delivers to industry needs. As such, it helps formulate specifications, assesses tenders, reviews draft and final outputs and other relevant tasks.</w:t>
            </w:r>
          </w:p>
        </w:tc>
        <w:tc>
          <w:tcPr>
            <w:tcW w:w="2835" w:type="dxa"/>
          </w:tcPr>
          <w:p w14:paraId="4EDC7FBE" w14:textId="77777777" w:rsidR="00425161" w:rsidRPr="00425161" w:rsidRDefault="00B30018" w:rsidP="00875261">
            <w:pPr>
              <w:rPr>
                <w:rFonts w:ascii="Calibri" w:hAnsi="Calibri" w:cs="Calibri"/>
                <w:sz w:val="22"/>
                <w:szCs w:val="22"/>
                <w:lang w:eastAsia="en-GB"/>
              </w:rPr>
            </w:pPr>
            <w:r w:rsidRPr="00425161">
              <w:rPr>
                <w:rFonts w:ascii="Calibri" w:hAnsi="Calibri" w:cs="Calibri"/>
                <w:color w:val="000000" w:themeColor="dark1"/>
                <w:kern w:val="28"/>
                <w:sz w:val="22"/>
                <w:szCs w:val="22"/>
              </w:rPr>
              <w:t xml:space="preserve">Reviews emerging outputs from </w:t>
            </w:r>
            <w:r>
              <w:rPr>
                <w:rFonts w:ascii="Calibri" w:hAnsi="Calibri" w:cs="Calibri"/>
                <w:color w:val="000000" w:themeColor="dark1"/>
                <w:kern w:val="28"/>
                <w:sz w:val="22"/>
                <w:szCs w:val="22"/>
              </w:rPr>
              <w:t xml:space="preserve">a </w:t>
            </w:r>
            <w:r w:rsidRPr="00425161">
              <w:rPr>
                <w:rFonts w:ascii="Calibri" w:hAnsi="Calibri" w:cs="Calibri"/>
                <w:color w:val="000000" w:themeColor="dark1"/>
                <w:kern w:val="28"/>
                <w:sz w:val="22"/>
                <w:szCs w:val="22"/>
              </w:rPr>
              <w:t>technical perspective.</w:t>
            </w:r>
          </w:p>
        </w:tc>
      </w:tr>
      <w:tr w:rsidR="00D002F7" w:rsidRPr="00425161" w14:paraId="1EF6AD66" w14:textId="77777777" w:rsidTr="002D2271">
        <w:trPr>
          <w:jc w:val="center"/>
        </w:trPr>
        <w:tc>
          <w:tcPr>
            <w:tcW w:w="1816" w:type="dxa"/>
            <w:vAlign w:val="center"/>
          </w:tcPr>
          <w:p w14:paraId="11EBE933" w14:textId="77777777" w:rsidR="00D002F7" w:rsidRPr="00425161" w:rsidRDefault="00D002F7" w:rsidP="00875261">
            <w:pPr>
              <w:rPr>
                <w:rFonts w:ascii="Calibri" w:hAnsi="Calibri" w:cs="Calibri"/>
                <w:color w:val="000000" w:themeColor="dark1"/>
                <w:kern w:val="28"/>
                <w:sz w:val="22"/>
                <w:szCs w:val="22"/>
              </w:rPr>
            </w:pPr>
            <w:r>
              <w:rPr>
                <w:rFonts w:ascii="Calibri" w:hAnsi="Calibri" w:cs="Calibri"/>
                <w:color w:val="000000" w:themeColor="dark1"/>
                <w:kern w:val="28"/>
                <w:sz w:val="22"/>
                <w:szCs w:val="22"/>
              </w:rPr>
              <w:t xml:space="preserve">Primary client group </w:t>
            </w:r>
          </w:p>
        </w:tc>
        <w:tc>
          <w:tcPr>
            <w:tcW w:w="4983" w:type="dxa"/>
            <w:vAlign w:val="center"/>
          </w:tcPr>
          <w:p w14:paraId="225E11FC" w14:textId="77777777" w:rsidR="00ED501C" w:rsidRPr="00582678" w:rsidRDefault="00ED501C" w:rsidP="00875261">
            <w:pPr>
              <w:pStyle w:val="NormalWeb"/>
              <w:spacing w:before="40" w:beforeAutospacing="0" w:after="40" w:afterAutospacing="0" w:line="260" w:lineRule="exact"/>
              <w:rPr>
                <w:rFonts w:ascii="Calibri" w:hAnsi="Calibri" w:cs="Calibri"/>
                <w:color w:val="000000" w:themeColor="dark1"/>
                <w:kern w:val="28"/>
              </w:rPr>
            </w:pPr>
            <w:r w:rsidRPr="00582678">
              <w:rPr>
                <w:rFonts w:ascii="Calibri" w:hAnsi="Calibri" w:cs="Calibri"/>
                <w:color w:val="000000" w:themeColor="dark1"/>
                <w:kern w:val="28"/>
              </w:rPr>
              <w:t xml:space="preserve">The primary client group is </w:t>
            </w:r>
            <w:r w:rsidR="00F043C4" w:rsidRPr="00582678">
              <w:rPr>
                <w:rFonts w:ascii="Calibri" w:hAnsi="Calibri" w:cs="Calibri"/>
                <w:color w:val="000000" w:themeColor="dark1"/>
                <w:kern w:val="28"/>
              </w:rPr>
              <w:t xml:space="preserve">made </w:t>
            </w:r>
            <w:r w:rsidRPr="00582678">
              <w:rPr>
                <w:rFonts w:ascii="Calibri" w:hAnsi="Calibri" w:cs="Calibri"/>
                <w:color w:val="000000" w:themeColor="dark1"/>
                <w:kern w:val="28"/>
              </w:rPr>
              <w:t>up o</w:t>
            </w:r>
            <w:r w:rsidR="00F043C4" w:rsidRPr="00582678">
              <w:rPr>
                <w:rFonts w:ascii="Calibri" w:hAnsi="Calibri" w:cs="Calibri"/>
                <w:color w:val="000000" w:themeColor="dark1"/>
                <w:kern w:val="28"/>
              </w:rPr>
              <w:t>f RSSB members and other stakeholders across industry.</w:t>
            </w:r>
          </w:p>
          <w:p w14:paraId="0DE4BCD4" w14:textId="77777777" w:rsidR="00F043C4" w:rsidRPr="003112E3" w:rsidRDefault="00F043C4" w:rsidP="00875261">
            <w:pPr>
              <w:pStyle w:val="NormalWeb"/>
              <w:spacing w:before="40" w:beforeAutospacing="0" w:after="40" w:afterAutospacing="0" w:line="260" w:lineRule="exact"/>
              <w:rPr>
                <w:rFonts w:ascii="Calibri" w:hAnsi="Calibri" w:cs="Calibri"/>
                <w:color w:val="000000" w:themeColor="dark1"/>
                <w:kern w:val="28"/>
                <w:highlight w:val="yellow"/>
              </w:rPr>
            </w:pPr>
            <w:r w:rsidRPr="00582678">
              <w:rPr>
                <w:rFonts w:ascii="Calibri" w:hAnsi="Calibri" w:cs="Calibri"/>
                <w:color w:val="000000" w:themeColor="dark1"/>
                <w:kern w:val="28"/>
              </w:rPr>
              <w:t>The group is kept informed of the project’s progress each Period (</w:t>
            </w:r>
            <w:r w:rsidR="007C5EF0" w:rsidRPr="00582678">
              <w:rPr>
                <w:rFonts w:ascii="Calibri" w:hAnsi="Calibri" w:cs="Calibri"/>
                <w:color w:val="000000" w:themeColor="dark1"/>
                <w:kern w:val="28"/>
              </w:rPr>
              <w:t>4 weeks</w:t>
            </w:r>
            <w:r w:rsidRPr="00582678">
              <w:rPr>
                <w:rFonts w:ascii="Calibri" w:hAnsi="Calibri" w:cs="Calibri"/>
                <w:color w:val="000000" w:themeColor="dark1"/>
                <w:kern w:val="28"/>
              </w:rPr>
              <w:t>)</w:t>
            </w:r>
            <w:r w:rsidR="00582678">
              <w:rPr>
                <w:rFonts w:ascii="Calibri" w:hAnsi="Calibri" w:cs="Calibri"/>
                <w:color w:val="000000" w:themeColor="dark1"/>
                <w:kern w:val="28"/>
              </w:rPr>
              <w:t>. A presentation is made by the supplier to inform the client group of the project’s deliverables.</w:t>
            </w:r>
          </w:p>
        </w:tc>
        <w:tc>
          <w:tcPr>
            <w:tcW w:w="2835" w:type="dxa"/>
          </w:tcPr>
          <w:p w14:paraId="1B2CC10C" w14:textId="77777777" w:rsidR="00D002F7" w:rsidRPr="003112E3" w:rsidRDefault="00582678" w:rsidP="00875261">
            <w:pPr>
              <w:rPr>
                <w:rFonts w:ascii="Calibri" w:hAnsi="Calibri" w:cs="Calibri"/>
                <w:color w:val="000000" w:themeColor="dark1"/>
                <w:kern w:val="28"/>
                <w:sz w:val="22"/>
                <w:szCs w:val="22"/>
                <w:highlight w:val="yellow"/>
              </w:rPr>
            </w:pPr>
            <w:r w:rsidRPr="00582678">
              <w:rPr>
                <w:rFonts w:ascii="Calibri" w:hAnsi="Calibri" w:cs="Calibri"/>
                <w:color w:val="000000" w:themeColor="dark1"/>
                <w:kern w:val="28"/>
                <w:sz w:val="22"/>
                <w:szCs w:val="22"/>
              </w:rPr>
              <w:t>Informed of deliverables</w:t>
            </w:r>
            <w:r>
              <w:rPr>
                <w:rFonts w:ascii="Calibri" w:hAnsi="Calibri" w:cs="Calibri"/>
                <w:color w:val="000000" w:themeColor="dark1"/>
                <w:kern w:val="28"/>
                <w:sz w:val="22"/>
                <w:szCs w:val="22"/>
              </w:rPr>
              <w:t>.</w:t>
            </w:r>
          </w:p>
        </w:tc>
      </w:tr>
    </w:tbl>
    <w:p w14:paraId="7866D2D4" w14:textId="77777777" w:rsidR="002D2271" w:rsidRDefault="002D2271" w:rsidP="000F0286">
      <w:pPr>
        <w:pStyle w:val="Body"/>
        <w:sectPr w:rsidR="002D2271" w:rsidSect="001D16D8">
          <w:pgSz w:w="11906" w:h="16838"/>
          <w:pgMar w:top="1985" w:right="1985" w:bottom="1985" w:left="1985" w:header="567" w:footer="567" w:gutter="0"/>
          <w:cols w:space="708"/>
          <w:docGrid w:linePitch="360"/>
        </w:sectPr>
      </w:pPr>
    </w:p>
    <w:p w14:paraId="40C8B8BE" w14:textId="04CDD97E" w:rsidR="00694131" w:rsidRPr="00191D59" w:rsidRDefault="00E1140F" w:rsidP="00E1140F">
      <w:pPr>
        <w:pStyle w:val="Heading10"/>
        <w:keepNext/>
        <w:numPr>
          <w:ilvl w:val="0"/>
          <w:numId w:val="40"/>
        </w:numPr>
        <w:ind w:hanging="720"/>
        <w:outlineLvl w:val="9"/>
        <w:rPr>
          <w:rFonts w:ascii="Calibri" w:hAnsi="Calibri"/>
        </w:rPr>
      </w:pPr>
      <w:r>
        <w:rPr>
          <w:rFonts w:ascii="Calibri" w:hAnsi="Calibri"/>
        </w:rPr>
        <w:lastRenderedPageBreak/>
        <w:t>T</w:t>
      </w:r>
      <w:r w:rsidR="00032803" w:rsidRPr="004161CA">
        <w:rPr>
          <w:rFonts w:ascii="Calibri" w:hAnsi="Calibri"/>
        </w:rPr>
        <w:t>imescales and responsibilities</w:t>
      </w:r>
    </w:p>
    <w:p w14:paraId="5C06BBC2" w14:textId="558DC6C1" w:rsidR="00032803" w:rsidRPr="00694131" w:rsidRDefault="00CF599D" w:rsidP="006C2B58">
      <w:pPr>
        <w:jc w:val="both"/>
        <w:rPr>
          <w:rFonts w:ascii="Calibri" w:hAnsi="Calibri" w:cs="Arial"/>
          <w:sz w:val="22"/>
          <w:szCs w:val="22"/>
          <w:lang w:eastAsia="en-GB"/>
        </w:rPr>
      </w:pPr>
      <w:r>
        <w:rPr>
          <w:rFonts w:ascii="Calibri" w:hAnsi="Calibri" w:cs="Arial"/>
          <w:sz w:val="22"/>
          <w:szCs w:val="22"/>
          <w:lang w:eastAsia="en-GB"/>
        </w:rPr>
        <w:t xml:space="preserve">RSSB expects the work to start </w:t>
      </w:r>
      <w:r w:rsidR="00694131" w:rsidRPr="00694131">
        <w:rPr>
          <w:rFonts w:ascii="Calibri" w:hAnsi="Calibri" w:cs="Arial"/>
          <w:sz w:val="22"/>
          <w:szCs w:val="22"/>
          <w:lang w:eastAsia="en-GB"/>
        </w:rPr>
        <w:t xml:space="preserve">in </w:t>
      </w:r>
      <w:r w:rsidR="00E1140F">
        <w:rPr>
          <w:rFonts w:ascii="Calibri" w:hAnsi="Calibri" w:cs="Arial"/>
          <w:sz w:val="22"/>
          <w:szCs w:val="22"/>
          <w:lang w:eastAsia="en-GB"/>
        </w:rPr>
        <w:t xml:space="preserve">Mid July 2019 </w:t>
      </w:r>
      <w:r w:rsidR="0058708B">
        <w:rPr>
          <w:rFonts w:ascii="Calibri" w:hAnsi="Calibri" w:cs="Arial"/>
          <w:sz w:val="22"/>
          <w:szCs w:val="22"/>
          <w:lang w:eastAsia="en-GB"/>
        </w:rPr>
        <w:t xml:space="preserve">and </w:t>
      </w:r>
      <w:r>
        <w:rPr>
          <w:rFonts w:ascii="Calibri" w:hAnsi="Calibri" w:cs="Arial"/>
          <w:sz w:val="22"/>
          <w:szCs w:val="22"/>
          <w:lang w:eastAsia="en-GB"/>
        </w:rPr>
        <w:t xml:space="preserve">conclude </w:t>
      </w:r>
      <w:r w:rsidR="00E1140F">
        <w:rPr>
          <w:rFonts w:ascii="Calibri" w:hAnsi="Calibri" w:cs="Arial"/>
          <w:sz w:val="22"/>
          <w:szCs w:val="22"/>
          <w:lang w:eastAsia="en-GB"/>
        </w:rPr>
        <w:t>in 9 months</w:t>
      </w:r>
      <w:r w:rsidR="00694131" w:rsidRPr="006C2B58">
        <w:rPr>
          <w:rFonts w:ascii="Calibri" w:hAnsi="Calibri" w:cs="Arial"/>
          <w:sz w:val="22"/>
          <w:szCs w:val="22"/>
          <w:highlight w:val="yellow"/>
          <w:lang w:eastAsia="en-GB"/>
        </w:rPr>
        <w:t>.</w:t>
      </w:r>
      <w:r w:rsidR="00694131" w:rsidRPr="00694131">
        <w:rPr>
          <w:rFonts w:ascii="Calibri" w:hAnsi="Calibri" w:cs="Arial"/>
          <w:sz w:val="22"/>
          <w:szCs w:val="22"/>
          <w:lang w:eastAsia="en-GB"/>
        </w:rPr>
        <w:t xml:space="preserve"> </w:t>
      </w:r>
      <w:r>
        <w:rPr>
          <w:rFonts w:ascii="Calibri" w:hAnsi="Calibri" w:cs="Arial"/>
          <w:sz w:val="22"/>
          <w:szCs w:val="22"/>
          <w:lang w:eastAsia="en-GB"/>
        </w:rPr>
        <w:t>However, t</w:t>
      </w:r>
      <w:r w:rsidR="00694131" w:rsidRPr="00694131">
        <w:rPr>
          <w:rFonts w:ascii="Calibri" w:hAnsi="Calibri" w:cs="Arial"/>
          <w:sz w:val="22"/>
          <w:szCs w:val="22"/>
          <w:lang w:eastAsia="en-GB"/>
        </w:rPr>
        <w:t xml:space="preserve">hese are indicative dates and RSSB </w:t>
      </w:r>
      <w:r>
        <w:rPr>
          <w:rFonts w:ascii="Calibri" w:hAnsi="Calibri" w:cs="Arial"/>
          <w:sz w:val="22"/>
          <w:szCs w:val="22"/>
          <w:lang w:eastAsia="en-GB"/>
        </w:rPr>
        <w:t>will consider bids that cannot meet these expectations if the supplier includes a robust project plan and an explanation as to why they cannot meet the preferred start and end dates, while still meeting the project objectives.</w:t>
      </w:r>
    </w:p>
    <w:p w14:paraId="69E17DA4" w14:textId="49640BF9" w:rsidR="0057352C" w:rsidRPr="00610B0B" w:rsidRDefault="00CA7DFA" w:rsidP="00E1140F">
      <w:pPr>
        <w:pStyle w:val="Body"/>
        <w:rPr>
          <w:rFonts w:asciiTheme="minorHAnsi" w:hAnsiTheme="minorHAnsi"/>
          <w:sz w:val="20"/>
        </w:rPr>
      </w:pPr>
      <w:r>
        <w:t xml:space="preserve"> </w:t>
      </w:r>
      <w:bookmarkStart w:id="2" w:name="_GoBack"/>
      <w:bookmarkEnd w:id="2"/>
    </w:p>
    <w:p w14:paraId="0A9DDEF6" w14:textId="77777777" w:rsidR="008B6D09" w:rsidRPr="008B6D09" w:rsidRDefault="008B6D09" w:rsidP="008B6D09">
      <w:pPr>
        <w:pStyle w:val="Body"/>
      </w:pPr>
    </w:p>
    <w:sectPr w:rsidR="008B6D09" w:rsidRPr="008B6D09" w:rsidSect="001D16D8">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0DF5" w14:textId="77777777" w:rsidR="007B63DD" w:rsidRDefault="007B63DD" w:rsidP="0003785D">
      <w:r>
        <w:separator/>
      </w:r>
    </w:p>
  </w:endnote>
  <w:endnote w:type="continuationSeparator" w:id="0">
    <w:p w14:paraId="1E91D766" w14:textId="77777777" w:rsidR="007B63DD" w:rsidRDefault="007B63DD"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05C2" w14:textId="77777777" w:rsidR="00D65E47" w:rsidRDefault="00D65E47"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EFD6" w14:textId="0955D18C" w:rsidR="00D65E47" w:rsidRDefault="00D65E47"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For internal use</w:t>
    </w:r>
    <w:r>
      <w:rPr>
        <w:noProof/>
      </w:rPr>
      <w:tab/>
      <w:t>11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73E9C" w14:textId="77777777" w:rsidR="007B63DD" w:rsidRDefault="007B63DD" w:rsidP="0003785D">
      <w:r>
        <w:separator/>
      </w:r>
    </w:p>
  </w:footnote>
  <w:footnote w:type="continuationSeparator" w:id="0">
    <w:p w14:paraId="5F441DBD" w14:textId="77777777" w:rsidR="007B63DD" w:rsidRDefault="007B63DD" w:rsidP="0003785D">
      <w:r>
        <w:continuationSeparator/>
      </w:r>
    </w:p>
  </w:footnote>
  <w:footnote w:id="1">
    <w:p w14:paraId="5F2E1895" w14:textId="1FF14E8B" w:rsidR="002430C8" w:rsidRPr="002430C8" w:rsidRDefault="002430C8">
      <w:pPr>
        <w:pStyle w:val="FootnoteText"/>
        <w:rPr>
          <w:rFonts w:asciiTheme="minorHAnsi" w:hAnsiTheme="minorHAnsi" w:cstheme="minorHAnsi"/>
          <w:sz w:val="18"/>
        </w:rPr>
      </w:pPr>
      <w:r>
        <w:rPr>
          <w:rStyle w:val="FootnoteReference"/>
        </w:rPr>
        <w:footnoteRef/>
      </w:r>
      <w:r>
        <w:t xml:space="preserve"> </w:t>
      </w:r>
      <w:r w:rsidRPr="002430C8">
        <w:rPr>
          <w:rFonts w:asciiTheme="minorHAnsi" w:hAnsiTheme="minorHAnsi" w:cstheme="minorHAnsi"/>
          <w:sz w:val="18"/>
        </w:rPr>
        <w:t>RIDDOR comprises a set of health and safety regulations that mandate the reporting of, inter alia, work-related accidents. These regulations were first published in 1985 and have been amended and updated since then.  In 2012, there was an amendment to the RIDDOR 1995 criteria for RIDDOR-reportable workforce minor injuries from three days to seven days. In 2013, the term ‘major injury’ was dropped from RIDDOR; the regulation now uses the term ‘specified injuries’ to refer to a slightly different scope of injuries than those that were classed as major.</w:t>
      </w:r>
    </w:p>
  </w:footnote>
  <w:footnote w:id="2">
    <w:p w14:paraId="4F14052B" w14:textId="6805DDAA" w:rsidR="00D65E47" w:rsidRPr="00993A2A" w:rsidRDefault="00D65E47">
      <w:pPr>
        <w:pStyle w:val="FootnoteText"/>
        <w:rPr>
          <w:rFonts w:asciiTheme="minorHAnsi" w:hAnsiTheme="minorHAnsi"/>
        </w:rPr>
      </w:pPr>
      <w:r w:rsidRPr="00993A2A">
        <w:rPr>
          <w:rStyle w:val="FootnoteReference"/>
          <w:rFonts w:asciiTheme="minorHAnsi" w:hAnsiTheme="minorHAnsi"/>
        </w:rPr>
        <w:footnoteRef/>
      </w:r>
      <w:r w:rsidRPr="00993A2A">
        <w:rPr>
          <w:rFonts w:asciiTheme="minorHAnsi" w:hAnsiTheme="minorHAnsi"/>
        </w:rPr>
        <w:t xml:space="preserve"> </w:t>
      </w:r>
      <w:hyperlink r:id="rId1" w:history="1">
        <w:r w:rsidRPr="00993A2A">
          <w:rPr>
            <w:rStyle w:val="Hyperlink"/>
            <w:rFonts w:asciiTheme="minorHAnsi" w:hAnsiTheme="minorHAnsi"/>
          </w:rPr>
          <w:t>www.rssb.co.uk/groups-and-committees/rssb-board/safety/system-safety-risk-group/risk-management-capability-group/risk-safety-intelligence-programme-advisory-group</w:t>
        </w:r>
      </w:hyperlink>
    </w:p>
  </w:footnote>
  <w:footnote w:id="3">
    <w:p w14:paraId="2A40C519" w14:textId="66B0D1AC" w:rsidR="00D65E47" w:rsidRDefault="00D65E47">
      <w:pPr>
        <w:pStyle w:val="FootnoteText"/>
      </w:pPr>
      <w:r w:rsidRPr="00993A2A">
        <w:rPr>
          <w:rStyle w:val="FootnoteReference"/>
          <w:rFonts w:asciiTheme="minorHAnsi" w:hAnsiTheme="minorHAnsi"/>
        </w:rPr>
        <w:footnoteRef/>
      </w:r>
      <w:r w:rsidRPr="00993A2A">
        <w:rPr>
          <w:rFonts w:asciiTheme="minorHAnsi" w:hAnsiTheme="minorHAnsi"/>
        </w:rPr>
        <w:t xml:space="preserve"> </w:t>
      </w:r>
      <w:hyperlink r:id="rId2" w:history="1">
        <w:r w:rsidRPr="00403A04">
          <w:rPr>
            <w:rStyle w:val="Hyperlink"/>
            <w:rFonts w:asciiTheme="minorHAnsi" w:hAnsiTheme="minorHAnsi"/>
          </w:rPr>
          <w:t>www.rssb.co.uk/Pages/health-and-wellbeing.aspx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762E" w14:textId="74E8676C" w:rsidR="00D65E47" w:rsidRPr="0003785D" w:rsidRDefault="00E1140F" w:rsidP="0003785D">
    <w:pPr>
      <w:pStyle w:val="Image"/>
    </w:pPr>
    <w:sdt>
      <w:sdtPr>
        <w:id w:val="631833517"/>
        <w:docPartObj>
          <w:docPartGallery w:val="Watermarks"/>
          <w:docPartUnique/>
        </w:docPartObj>
      </w:sdtPr>
      <w:sdtEndPr/>
      <w:sdtContent>
        <w:r>
          <w:rPr>
            <w:noProof/>
          </w:rPr>
          <w:pict w14:anchorId="64F9F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65E47">
      <w:rPr>
        <w:noProof/>
        <w:lang w:eastAsia="en-GB"/>
      </w:rPr>
      <w:drawing>
        <wp:inline distT="0" distB="0" distL="0" distR="0" wp14:anchorId="3D98C39F" wp14:editId="28958820">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40155A8"/>
    <w:multiLevelType w:val="hybridMultilevel"/>
    <w:tmpl w:val="733AF4A4"/>
    <w:lvl w:ilvl="0" w:tplc="8B781D24">
      <w:start w:val="7"/>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D95EB0"/>
    <w:multiLevelType w:val="hybridMultilevel"/>
    <w:tmpl w:val="973C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82BA8112"/>
    <w:lvl w:ilvl="0" w:tplc="1B420D04">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6F44AB"/>
    <w:multiLevelType w:val="hybridMultilevel"/>
    <w:tmpl w:val="CBE0F64C"/>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6"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F1990"/>
    <w:multiLevelType w:val="hybridMultilevel"/>
    <w:tmpl w:val="BD16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6F0955"/>
    <w:multiLevelType w:val="hybridMultilevel"/>
    <w:tmpl w:val="729A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6" w15:restartNumberingAfterBreak="0">
    <w:nsid w:val="4483086E"/>
    <w:multiLevelType w:val="hybridMultilevel"/>
    <w:tmpl w:val="1774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72B06"/>
    <w:multiLevelType w:val="hybridMultilevel"/>
    <w:tmpl w:val="8E84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6" w15:restartNumberingAfterBreak="0">
    <w:nsid w:val="78442257"/>
    <w:multiLevelType w:val="hybridMultilevel"/>
    <w:tmpl w:val="F5CC35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39" w15:restartNumberingAfterBreak="0">
    <w:nsid w:val="7E880447"/>
    <w:multiLevelType w:val="hybridMultilevel"/>
    <w:tmpl w:val="738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3"/>
  </w:num>
  <w:num w:numId="4">
    <w:abstractNumId w:val="23"/>
  </w:num>
  <w:num w:numId="5">
    <w:abstractNumId w:val="34"/>
  </w:num>
  <w:num w:numId="6">
    <w:abstractNumId w:val="0"/>
  </w:num>
  <w:num w:numId="7">
    <w:abstractNumId w:val="35"/>
  </w:num>
  <w:num w:numId="8">
    <w:abstractNumId w:val="33"/>
  </w:num>
  <w:num w:numId="9">
    <w:abstractNumId w:val="1"/>
  </w:num>
  <w:num w:numId="10">
    <w:abstractNumId w:val="25"/>
  </w:num>
  <w:num w:numId="11">
    <w:abstractNumId w:val="38"/>
  </w:num>
  <w:num w:numId="12">
    <w:abstractNumId w:val="3"/>
  </w:num>
  <w:num w:numId="13">
    <w:abstractNumId w:val="37"/>
  </w:num>
  <w:num w:numId="14">
    <w:abstractNumId w:val="31"/>
  </w:num>
  <w:num w:numId="15">
    <w:abstractNumId w:val="28"/>
  </w:num>
  <w:num w:numId="16">
    <w:abstractNumId w:val="6"/>
  </w:num>
  <w:num w:numId="17">
    <w:abstractNumId w:val="32"/>
  </w:num>
  <w:num w:numId="18">
    <w:abstractNumId w:val="9"/>
  </w:num>
  <w:num w:numId="19">
    <w:abstractNumId w:val="19"/>
  </w:num>
  <w:num w:numId="20">
    <w:abstractNumId w:val="21"/>
  </w:num>
  <w:num w:numId="21">
    <w:abstractNumId w:val="30"/>
  </w:num>
  <w:num w:numId="22">
    <w:abstractNumId w:val="22"/>
  </w:num>
  <w:num w:numId="23">
    <w:abstractNumId w:val="15"/>
  </w:num>
  <w:num w:numId="24">
    <w:abstractNumId w:val="29"/>
  </w:num>
  <w:num w:numId="25">
    <w:abstractNumId w:val="12"/>
  </w:num>
  <w:num w:numId="26">
    <w:abstractNumId w:val="39"/>
  </w:num>
  <w:num w:numId="27">
    <w:abstractNumId w:val="8"/>
  </w:num>
  <w:num w:numId="28">
    <w:abstractNumId w:val="18"/>
  </w:num>
  <w:num w:numId="29">
    <w:abstractNumId w:val="11"/>
  </w:num>
  <w:num w:numId="30">
    <w:abstractNumId w:val="16"/>
  </w:num>
  <w:num w:numId="31">
    <w:abstractNumId w:val="7"/>
  </w:num>
  <w:num w:numId="32">
    <w:abstractNumId w:val="10"/>
  </w:num>
  <w:num w:numId="33">
    <w:abstractNumId w:val="5"/>
  </w:num>
  <w:num w:numId="34">
    <w:abstractNumId w:val="14"/>
  </w:num>
  <w:num w:numId="35">
    <w:abstractNumId w:val="26"/>
  </w:num>
  <w:num w:numId="36">
    <w:abstractNumId w:val="36"/>
  </w:num>
  <w:num w:numId="37">
    <w:abstractNumId w:val="27"/>
  </w:num>
  <w:num w:numId="38">
    <w:abstractNumId w:val="24"/>
  </w:num>
  <w:num w:numId="39">
    <w:abstractNumId w:val="20"/>
  </w:num>
  <w:num w:numId="4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5F35"/>
    <w:rsid w:val="0001271E"/>
    <w:rsid w:val="0002231C"/>
    <w:rsid w:val="00023C66"/>
    <w:rsid w:val="00023DDF"/>
    <w:rsid w:val="00027D88"/>
    <w:rsid w:val="00031959"/>
    <w:rsid w:val="00032803"/>
    <w:rsid w:val="00036305"/>
    <w:rsid w:val="00036F54"/>
    <w:rsid w:val="0003785D"/>
    <w:rsid w:val="00040064"/>
    <w:rsid w:val="00044F9A"/>
    <w:rsid w:val="00050D31"/>
    <w:rsid w:val="0005122A"/>
    <w:rsid w:val="000545C4"/>
    <w:rsid w:val="00055E7F"/>
    <w:rsid w:val="00062711"/>
    <w:rsid w:val="00064BD0"/>
    <w:rsid w:val="00067A43"/>
    <w:rsid w:val="00095757"/>
    <w:rsid w:val="00095A03"/>
    <w:rsid w:val="00096479"/>
    <w:rsid w:val="000A04BD"/>
    <w:rsid w:val="000A3709"/>
    <w:rsid w:val="000A4885"/>
    <w:rsid w:val="000A5057"/>
    <w:rsid w:val="000A7430"/>
    <w:rsid w:val="000B3445"/>
    <w:rsid w:val="000B397F"/>
    <w:rsid w:val="000B6F82"/>
    <w:rsid w:val="000D1938"/>
    <w:rsid w:val="000D3F24"/>
    <w:rsid w:val="000D5E52"/>
    <w:rsid w:val="000D7E0F"/>
    <w:rsid w:val="000E1B11"/>
    <w:rsid w:val="000E5223"/>
    <w:rsid w:val="000F0286"/>
    <w:rsid w:val="000F3413"/>
    <w:rsid w:val="000F4C25"/>
    <w:rsid w:val="001007D1"/>
    <w:rsid w:val="00100BAD"/>
    <w:rsid w:val="00101486"/>
    <w:rsid w:val="00103FDD"/>
    <w:rsid w:val="00105AA8"/>
    <w:rsid w:val="001145A1"/>
    <w:rsid w:val="00116A88"/>
    <w:rsid w:val="00134A7B"/>
    <w:rsid w:val="0014075C"/>
    <w:rsid w:val="00142B68"/>
    <w:rsid w:val="00143796"/>
    <w:rsid w:val="00152787"/>
    <w:rsid w:val="001640EB"/>
    <w:rsid w:val="00167865"/>
    <w:rsid w:val="00167B34"/>
    <w:rsid w:val="0017053B"/>
    <w:rsid w:val="0017283E"/>
    <w:rsid w:val="00176DDD"/>
    <w:rsid w:val="00177EC5"/>
    <w:rsid w:val="00180DB2"/>
    <w:rsid w:val="00184B6D"/>
    <w:rsid w:val="00191D59"/>
    <w:rsid w:val="00193A87"/>
    <w:rsid w:val="00194202"/>
    <w:rsid w:val="00197D47"/>
    <w:rsid w:val="001B0BDA"/>
    <w:rsid w:val="001B1224"/>
    <w:rsid w:val="001B367C"/>
    <w:rsid w:val="001B4560"/>
    <w:rsid w:val="001B78A2"/>
    <w:rsid w:val="001B7C1B"/>
    <w:rsid w:val="001C2122"/>
    <w:rsid w:val="001C4B6E"/>
    <w:rsid w:val="001D16D8"/>
    <w:rsid w:val="001D4B6F"/>
    <w:rsid w:val="001D775D"/>
    <w:rsid w:val="001E146A"/>
    <w:rsid w:val="001E1B9F"/>
    <w:rsid w:val="001E3419"/>
    <w:rsid w:val="001E38A6"/>
    <w:rsid w:val="001E55FB"/>
    <w:rsid w:val="001E604B"/>
    <w:rsid w:val="001E6E1E"/>
    <w:rsid w:val="001E7B04"/>
    <w:rsid w:val="001F22B3"/>
    <w:rsid w:val="001F2882"/>
    <w:rsid w:val="001F2A7C"/>
    <w:rsid w:val="001F6223"/>
    <w:rsid w:val="002007C4"/>
    <w:rsid w:val="002026D1"/>
    <w:rsid w:val="0020300A"/>
    <w:rsid w:val="00206621"/>
    <w:rsid w:val="00207354"/>
    <w:rsid w:val="002123E6"/>
    <w:rsid w:val="00215920"/>
    <w:rsid w:val="00222D2F"/>
    <w:rsid w:val="00222F75"/>
    <w:rsid w:val="002333DF"/>
    <w:rsid w:val="00233C10"/>
    <w:rsid w:val="002345D7"/>
    <w:rsid w:val="002402CB"/>
    <w:rsid w:val="002430C8"/>
    <w:rsid w:val="00246B2F"/>
    <w:rsid w:val="00247F4F"/>
    <w:rsid w:val="00256082"/>
    <w:rsid w:val="002569DA"/>
    <w:rsid w:val="002628DD"/>
    <w:rsid w:val="00267C6F"/>
    <w:rsid w:val="00267F2D"/>
    <w:rsid w:val="00271D1D"/>
    <w:rsid w:val="00277FD3"/>
    <w:rsid w:val="00290D4D"/>
    <w:rsid w:val="002A2A92"/>
    <w:rsid w:val="002A4FD2"/>
    <w:rsid w:val="002A6750"/>
    <w:rsid w:val="002A7F4D"/>
    <w:rsid w:val="002B28E4"/>
    <w:rsid w:val="002B545D"/>
    <w:rsid w:val="002B7A89"/>
    <w:rsid w:val="002C7A2C"/>
    <w:rsid w:val="002D2271"/>
    <w:rsid w:val="002D2E9C"/>
    <w:rsid w:val="002D2FA7"/>
    <w:rsid w:val="002D477C"/>
    <w:rsid w:val="002D5FF4"/>
    <w:rsid w:val="002E1E8B"/>
    <w:rsid w:val="002E2F7E"/>
    <w:rsid w:val="002E4EA6"/>
    <w:rsid w:val="002F1FAC"/>
    <w:rsid w:val="002F2093"/>
    <w:rsid w:val="00301677"/>
    <w:rsid w:val="00307AB8"/>
    <w:rsid w:val="00310043"/>
    <w:rsid w:val="00311017"/>
    <w:rsid w:val="003112E3"/>
    <w:rsid w:val="0031591E"/>
    <w:rsid w:val="00315B74"/>
    <w:rsid w:val="00321152"/>
    <w:rsid w:val="00323074"/>
    <w:rsid w:val="00326CC6"/>
    <w:rsid w:val="00326D86"/>
    <w:rsid w:val="00326F45"/>
    <w:rsid w:val="00330696"/>
    <w:rsid w:val="00330EA2"/>
    <w:rsid w:val="00332581"/>
    <w:rsid w:val="00333180"/>
    <w:rsid w:val="0033475C"/>
    <w:rsid w:val="00334ADB"/>
    <w:rsid w:val="00334BFE"/>
    <w:rsid w:val="00341334"/>
    <w:rsid w:val="0034505B"/>
    <w:rsid w:val="00346A9F"/>
    <w:rsid w:val="00353305"/>
    <w:rsid w:val="0035434B"/>
    <w:rsid w:val="0035436B"/>
    <w:rsid w:val="003577D4"/>
    <w:rsid w:val="00357DFC"/>
    <w:rsid w:val="00360B24"/>
    <w:rsid w:val="00365598"/>
    <w:rsid w:val="00370B83"/>
    <w:rsid w:val="0037505E"/>
    <w:rsid w:val="00380F5A"/>
    <w:rsid w:val="00385D51"/>
    <w:rsid w:val="00392D19"/>
    <w:rsid w:val="00395222"/>
    <w:rsid w:val="003966C4"/>
    <w:rsid w:val="00396BCF"/>
    <w:rsid w:val="00397AA2"/>
    <w:rsid w:val="003A3C81"/>
    <w:rsid w:val="003A63C9"/>
    <w:rsid w:val="003A7DAA"/>
    <w:rsid w:val="003B01F9"/>
    <w:rsid w:val="003B662E"/>
    <w:rsid w:val="003C24DA"/>
    <w:rsid w:val="003D4D85"/>
    <w:rsid w:val="003D70E8"/>
    <w:rsid w:val="003D77DC"/>
    <w:rsid w:val="003E20EF"/>
    <w:rsid w:val="003E26D7"/>
    <w:rsid w:val="003E425C"/>
    <w:rsid w:val="003E60E0"/>
    <w:rsid w:val="003E6342"/>
    <w:rsid w:val="003F1B1B"/>
    <w:rsid w:val="003F6FCA"/>
    <w:rsid w:val="00400488"/>
    <w:rsid w:val="00403FD0"/>
    <w:rsid w:val="004045D0"/>
    <w:rsid w:val="004137CF"/>
    <w:rsid w:val="0041419B"/>
    <w:rsid w:val="004161CA"/>
    <w:rsid w:val="004163CF"/>
    <w:rsid w:val="00417B7B"/>
    <w:rsid w:val="004213FB"/>
    <w:rsid w:val="004236BB"/>
    <w:rsid w:val="00425161"/>
    <w:rsid w:val="004264C0"/>
    <w:rsid w:val="00427D02"/>
    <w:rsid w:val="004306CA"/>
    <w:rsid w:val="004413B0"/>
    <w:rsid w:val="00443FAF"/>
    <w:rsid w:val="00446335"/>
    <w:rsid w:val="0045692B"/>
    <w:rsid w:val="004625AC"/>
    <w:rsid w:val="00463B4A"/>
    <w:rsid w:val="00463DCC"/>
    <w:rsid w:val="00463FFB"/>
    <w:rsid w:val="004664D7"/>
    <w:rsid w:val="004666E1"/>
    <w:rsid w:val="00467E36"/>
    <w:rsid w:val="00480B19"/>
    <w:rsid w:val="0048171A"/>
    <w:rsid w:val="0048358F"/>
    <w:rsid w:val="00483C4B"/>
    <w:rsid w:val="004A0C64"/>
    <w:rsid w:val="004A111C"/>
    <w:rsid w:val="004A3787"/>
    <w:rsid w:val="004A4181"/>
    <w:rsid w:val="004B2FEC"/>
    <w:rsid w:val="004B3BB8"/>
    <w:rsid w:val="004B5C20"/>
    <w:rsid w:val="004C1711"/>
    <w:rsid w:val="004C376B"/>
    <w:rsid w:val="004C59B1"/>
    <w:rsid w:val="004C5BAF"/>
    <w:rsid w:val="004D06B4"/>
    <w:rsid w:val="004D1829"/>
    <w:rsid w:val="004D2368"/>
    <w:rsid w:val="004D7273"/>
    <w:rsid w:val="004E5CB1"/>
    <w:rsid w:val="004E658A"/>
    <w:rsid w:val="004F0353"/>
    <w:rsid w:val="004F6564"/>
    <w:rsid w:val="005047AB"/>
    <w:rsid w:val="0050724D"/>
    <w:rsid w:val="0050796B"/>
    <w:rsid w:val="00514DA8"/>
    <w:rsid w:val="005170FA"/>
    <w:rsid w:val="005215B8"/>
    <w:rsid w:val="00523E0C"/>
    <w:rsid w:val="0052436A"/>
    <w:rsid w:val="005302A4"/>
    <w:rsid w:val="0053250B"/>
    <w:rsid w:val="00532FAF"/>
    <w:rsid w:val="00535C6B"/>
    <w:rsid w:val="0054035A"/>
    <w:rsid w:val="005408F6"/>
    <w:rsid w:val="00540FFC"/>
    <w:rsid w:val="00544785"/>
    <w:rsid w:val="00544FE5"/>
    <w:rsid w:val="00546361"/>
    <w:rsid w:val="00547F63"/>
    <w:rsid w:val="00553060"/>
    <w:rsid w:val="00557BBB"/>
    <w:rsid w:val="00560914"/>
    <w:rsid w:val="005636AE"/>
    <w:rsid w:val="00564A59"/>
    <w:rsid w:val="00565059"/>
    <w:rsid w:val="0057352C"/>
    <w:rsid w:val="00576B14"/>
    <w:rsid w:val="00582678"/>
    <w:rsid w:val="00582A2C"/>
    <w:rsid w:val="00583EDD"/>
    <w:rsid w:val="00585CFB"/>
    <w:rsid w:val="00585D12"/>
    <w:rsid w:val="00586A7A"/>
    <w:rsid w:val="0058708B"/>
    <w:rsid w:val="00587B6D"/>
    <w:rsid w:val="00587CCB"/>
    <w:rsid w:val="005920CD"/>
    <w:rsid w:val="00592C7C"/>
    <w:rsid w:val="005A0CC7"/>
    <w:rsid w:val="005A798E"/>
    <w:rsid w:val="005B0E60"/>
    <w:rsid w:val="005C1DDB"/>
    <w:rsid w:val="005C2665"/>
    <w:rsid w:val="005C67EF"/>
    <w:rsid w:val="005D644D"/>
    <w:rsid w:val="005E066F"/>
    <w:rsid w:val="005E0FA3"/>
    <w:rsid w:val="005E1740"/>
    <w:rsid w:val="005E4B66"/>
    <w:rsid w:val="005E6B5A"/>
    <w:rsid w:val="005E6D8A"/>
    <w:rsid w:val="005F1D65"/>
    <w:rsid w:val="005F4D9A"/>
    <w:rsid w:val="005F4E31"/>
    <w:rsid w:val="005F5FD4"/>
    <w:rsid w:val="005F6FBC"/>
    <w:rsid w:val="006007BE"/>
    <w:rsid w:val="006031A4"/>
    <w:rsid w:val="00610885"/>
    <w:rsid w:val="00610B0B"/>
    <w:rsid w:val="006207AB"/>
    <w:rsid w:val="00620FA0"/>
    <w:rsid w:val="0062110D"/>
    <w:rsid w:val="00622787"/>
    <w:rsid w:val="00622A78"/>
    <w:rsid w:val="006267BE"/>
    <w:rsid w:val="00635AE9"/>
    <w:rsid w:val="00640A11"/>
    <w:rsid w:val="006435BE"/>
    <w:rsid w:val="0064370B"/>
    <w:rsid w:val="006520E9"/>
    <w:rsid w:val="006611DD"/>
    <w:rsid w:val="006719F2"/>
    <w:rsid w:val="00674166"/>
    <w:rsid w:val="00677B4C"/>
    <w:rsid w:val="00684597"/>
    <w:rsid w:val="00684A04"/>
    <w:rsid w:val="0068523D"/>
    <w:rsid w:val="0068622C"/>
    <w:rsid w:val="00687527"/>
    <w:rsid w:val="00694131"/>
    <w:rsid w:val="00696D1C"/>
    <w:rsid w:val="006A01A9"/>
    <w:rsid w:val="006A15C4"/>
    <w:rsid w:val="006A2A93"/>
    <w:rsid w:val="006B0D09"/>
    <w:rsid w:val="006B7269"/>
    <w:rsid w:val="006C1BA3"/>
    <w:rsid w:val="006C2B58"/>
    <w:rsid w:val="006C2F7C"/>
    <w:rsid w:val="006C4572"/>
    <w:rsid w:val="006E2708"/>
    <w:rsid w:val="006E348E"/>
    <w:rsid w:val="006E59D3"/>
    <w:rsid w:val="006E69B3"/>
    <w:rsid w:val="006E7A48"/>
    <w:rsid w:val="006E7F8F"/>
    <w:rsid w:val="006F6AA0"/>
    <w:rsid w:val="0070097E"/>
    <w:rsid w:val="00704EA4"/>
    <w:rsid w:val="00706259"/>
    <w:rsid w:val="007070D1"/>
    <w:rsid w:val="007167B6"/>
    <w:rsid w:val="007279F4"/>
    <w:rsid w:val="007350A2"/>
    <w:rsid w:val="0074071F"/>
    <w:rsid w:val="00740722"/>
    <w:rsid w:val="007419E2"/>
    <w:rsid w:val="00742F2A"/>
    <w:rsid w:val="007458AB"/>
    <w:rsid w:val="00746C68"/>
    <w:rsid w:val="007501A1"/>
    <w:rsid w:val="00750268"/>
    <w:rsid w:val="007511AE"/>
    <w:rsid w:val="007536DC"/>
    <w:rsid w:val="0075464C"/>
    <w:rsid w:val="0075783D"/>
    <w:rsid w:val="00762687"/>
    <w:rsid w:val="007646E3"/>
    <w:rsid w:val="0077663C"/>
    <w:rsid w:val="0078129D"/>
    <w:rsid w:val="00784994"/>
    <w:rsid w:val="007866E2"/>
    <w:rsid w:val="0079733B"/>
    <w:rsid w:val="0079747F"/>
    <w:rsid w:val="007A4D33"/>
    <w:rsid w:val="007A5209"/>
    <w:rsid w:val="007A6DDC"/>
    <w:rsid w:val="007B096E"/>
    <w:rsid w:val="007B3E83"/>
    <w:rsid w:val="007B4813"/>
    <w:rsid w:val="007B54B4"/>
    <w:rsid w:val="007B6028"/>
    <w:rsid w:val="007B63DD"/>
    <w:rsid w:val="007B7955"/>
    <w:rsid w:val="007C5EF0"/>
    <w:rsid w:val="007C61C6"/>
    <w:rsid w:val="007C6D8B"/>
    <w:rsid w:val="007D000C"/>
    <w:rsid w:val="007D0976"/>
    <w:rsid w:val="007D21C3"/>
    <w:rsid w:val="007D6211"/>
    <w:rsid w:val="007D658E"/>
    <w:rsid w:val="007D7BC6"/>
    <w:rsid w:val="007E54C1"/>
    <w:rsid w:val="007E65B6"/>
    <w:rsid w:val="007F4A8B"/>
    <w:rsid w:val="0081084F"/>
    <w:rsid w:val="008148E7"/>
    <w:rsid w:val="00815061"/>
    <w:rsid w:val="00823507"/>
    <w:rsid w:val="00826AC3"/>
    <w:rsid w:val="00827909"/>
    <w:rsid w:val="008310C6"/>
    <w:rsid w:val="00832FB7"/>
    <w:rsid w:val="00837C49"/>
    <w:rsid w:val="00843B88"/>
    <w:rsid w:val="00845F71"/>
    <w:rsid w:val="00852708"/>
    <w:rsid w:val="00852A7E"/>
    <w:rsid w:val="00853AFA"/>
    <w:rsid w:val="0085447B"/>
    <w:rsid w:val="008553D5"/>
    <w:rsid w:val="00856404"/>
    <w:rsid w:val="008570C6"/>
    <w:rsid w:val="00874EEF"/>
    <w:rsid w:val="00875261"/>
    <w:rsid w:val="00886909"/>
    <w:rsid w:val="00893112"/>
    <w:rsid w:val="00896506"/>
    <w:rsid w:val="008A075D"/>
    <w:rsid w:val="008A09CC"/>
    <w:rsid w:val="008A1954"/>
    <w:rsid w:val="008A252F"/>
    <w:rsid w:val="008A46D0"/>
    <w:rsid w:val="008A5735"/>
    <w:rsid w:val="008A7B92"/>
    <w:rsid w:val="008A7DE9"/>
    <w:rsid w:val="008B027D"/>
    <w:rsid w:val="008B250E"/>
    <w:rsid w:val="008B3706"/>
    <w:rsid w:val="008B389E"/>
    <w:rsid w:val="008B475D"/>
    <w:rsid w:val="008B57D9"/>
    <w:rsid w:val="008B696F"/>
    <w:rsid w:val="008B6D09"/>
    <w:rsid w:val="008C0D85"/>
    <w:rsid w:val="008C0F62"/>
    <w:rsid w:val="008C0F69"/>
    <w:rsid w:val="008D4416"/>
    <w:rsid w:val="008E0B09"/>
    <w:rsid w:val="008E2122"/>
    <w:rsid w:val="008F04B0"/>
    <w:rsid w:val="00906A75"/>
    <w:rsid w:val="00907ABB"/>
    <w:rsid w:val="00911970"/>
    <w:rsid w:val="009132C9"/>
    <w:rsid w:val="0091375D"/>
    <w:rsid w:val="009168BC"/>
    <w:rsid w:val="00916E86"/>
    <w:rsid w:val="00923B5C"/>
    <w:rsid w:val="00926520"/>
    <w:rsid w:val="009272CA"/>
    <w:rsid w:val="00927AD4"/>
    <w:rsid w:val="00931E25"/>
    <w:rsid w:val="00933E15"/>
    <w:rsid w:val="00934C3D"/>
    <w:rsid w:val="00935862"/>
    <w:rsid w:val="009439EB"/>
    <w:rsid w:val="0095074C"/>
    <w:rsid w:val="00952118"/>
    <w:rsid w:val="00961B2A"/>
    <w:rsid w:val="009632BF"/>
    <w:rsid w:val="00965E00"/>
    <w:rsid w:val="00967B84"/>
    <w:rsid w:val="00971DFA"/>
    <w:rsid w:val="00977A0A"/>
    <w:rsid w:val="009805FC"/>
    <w:rsid w:val="00980E6B"/>
    <w:rsid w:val="00980F3E"/>
    <w:rsid w:val="00990DE7"/>
    <w:rsid w:val="00993A2A"/>
    <w:rsid w:val="00993A8A"/>
    <w:rsid w:val="009943F9"/>
    <w:rsid w:val="009963C6"/>
    <w:rsid w:val="009A0329"/>
    <w:rsid w:val="009A43CE"/>
    <w:rsid w:val="009B0375"/>
    <w:rsid w:val="009B607C"/>
    <w:rsid w:val="009B7B87"/>
    <w:rsid w:val="009C55B0"/>
    <w:rsid w:val="009C66F7"/>
    <w:rsid w:val="009C7BE1"/>
    <w:rsid w:val="009D27A8"/>
    <w:rsid w:val="009D444C"/>
    <w:rsid w:val="009E1F97"/>
    <w:rsid w:val="009E5BF2"/>
    <w:rsid w:val="009F1720"/>
    <w:rsid w:val="00A02185"/>
    <w:rsid w:val="00A0609D"/>
    <w:rsid w:val="00A0736A"/>
    <w:rsid w:val="00A12089"/>
    <w:rsid w:val="00A121C4"/>
    <w:rsid w:val="00A15044"/>
    <w:rsid w:val="00A20453"/>
    <w:rsid w:val="00A27B41"/>
    <w:rsid w:val="00A32E86"/>
    <w:rsid w:val="00A530DF"/>
    <w:rsid w:val="00A608DB"/>
    <w:rsid w:val="00A60F81"/>
    <w:rsid w:val="00A6310B"/>
    <w:rsid w:val="00A67F2B"/>
    <w:rsid w:val="00A71245"/>
    <w:rsid w:val="00A717A3"/>
    <w:rsid w:val="00A72A3C"/>
    <w:rsid w:val="00A76A3F"/>
    <w:rsid w:val="00A81B3B"/>
    <w:rsid w:val="00A83C62"/>
    <w:rsid w:val="00A84106"/>
    <w:rsid w:val="00A85B19"/>
    <w:rsid w:val="00A91D84"/>
    <w:rsid w:val="00A92A2B"/>
    <w:rsid w:val="00A931A4"/>
    <w:rsid w:val="00A966ED"/>
    <w:rsid w:val="00AA076F"/>
    <w:rsid w:val="00AA36B7"/>
    <w:rsid w:val="00AA40B1"/>
    <w:rsid w:val="00AB4B3A"/>
    <w:rsid w:val="00AC39A2"/>
    <w:rsid w:val="00AD08D0"/>
    <w:rsid w:val="00AD2CCA"/>
    <w:rsid w:val="00AE1F91"/>
    <w:rsid w:val="00AE4751"/>
    <w:rsid w:val="00AE7A1C"/>
    <w:rsid w:val="00AF06A6"/>
    <w:rsid w:val="00AF23D0"/>
    <w:rsid w:val="00AF4BF3"/>
    <w:rsid w:val="00AF4C21"/>
    <w:rsid w:val="00AF6E72"/>
    <w:rsid w:val="00B00C4B"/>
    <w:rsid w:val="00B0117B"/>
    <w:rsid w:val="00B15CAC"/>
    <w:rsid w:val="00B20F36"/>
    <w:rsid w:val="00B26DE9"/>
    <w:rsid w:val="00B278F8"/>
    <w:rsid w:val="00B30018"/>
    <w:rsid w:val="00B31F9B"/>
    <w:rsid w:val="00B32575"/>
    <w:rsid w:val="00B332E8"/>
    <w:rsid w:val="00B34E30"/>
    <w:rsid w:val="00B36F4E"/>
    <w:rsid w:val="00B4411D"/>
    <w:rsid w:val="00B46B35"/>
    <w:rsid w:val="00B508A9"/>
    <w:rsid w:val="00B53547"/>
    <w:rsid w:val="00B53BC6"/>
    <w:rsid w:val="00B55A28"/>
    <w:rsid w:val="00B61D29"/>
    <w:rsid w:val="00B664AF"/>
    <w:rsid w:val="00B678DE"/>
    <w:rsid w:val="00B74DAC"/>
    <w:rsid w:val="00B806C3"/>
    <w:rsid w:val="00B82724"/>
    <w:rsid w:val="00B84F90"/>
    <w:rsid w:val="00B866C9"/>
    <w:rsid w:val="00B86B8A"/>
    <w:rsid w:val="00B92609"/>
    <w:rsid w:val="00B928F8"/>
    <w:rsid w:val="00B9637C"/>
    <w:rsid w:val="00B97B90"/>
    <w:rsid w:val="00BA15D8"/>
    <w:rsid w:val="00BA2D0A"/>
    <w:rsid w:val="00BA32D4"/>
    <w:rsid w:val="00BA341D"/>
    <w:rsid w:val="00BA4D29"/>
    <w:rsid w:val="00BA5291"/>
    <w:rsid w:val="00BA6FB0"/>
    <w:rsid w:val="00BB09E5"/>
    <w:rsid w:val="00BB1800"/>
    <w:rsid w:val="00BB37E9"/>
    <w:rsid w:val="00BB53BE"/>
    <w:rsid w:val="00BB745C"/>
    <w:rsid w:val="00BC31A4"/>
    <w:rsid w:val="00BD0C83"/>
    <w:rsid w:val="00BE034B"/>
    <w:rsid w:val="00BE0E6B"/>
    <w:rsid w:val="00BE0E8A"/>
    <w:rsid w:val="00BE1D34"/>
    <w:rsid w:val="00BE1E36"/>
    <w:rsid w:val="00BE38C8"/>
    <w:rsid w:val="00BE5755"/>
    <w:rsid w:val="00BE7205"/>
    <w:rsid w:val="00BF100B"/>
    <w:rsid w:val="00BF1853"/>
    <w:rsid w:val="00BF6F7B"/>
    <w:rsid w:val="00C06857"/>
    <w:rsid w:val="00C07E52"/>
    <w:rsid w:val="00C15913"/>
    <w:rsid w:val="00C225C1"/>
    <w:rsid w:val="00C3027A"/>
    <w:rsid w:val="00C32F1E"/>
    <w:rsid w:val="00C341E0"/>
    <w:rsid w:val="00C34CF2"/>
    <w:rsid w:val="00C3527B"/>
    <w:rsid w:val="00C3751F"/>
    <w:rsid w:val="00C411AA"/>
    <w:rsid w:val="00C46670"/>
    <w:rsid w:val="00C51932"/>
    <w:rsid w:val="00C52001"/>
    <w:rsid w:val="00C5562F"/>
    <w:rsid w:val="00C62BAC"/>
    <w:rsid w:val="00C63020"/>
    <w:rsid w:val="00C63D1A"/>
    <w:rsid w:val="00C744F0"/>
    <w:rsid w:val="00C75BFF"/>
    <w:rsid w:val="00C816F7"/>
    <w:rsid w:val="00C81B4B"/>
    <w:rsid w:val="00C81DAE"/>
    <w:rsid w:val="00C8304E"/>
    <w:rsid w:val="00C847A1"/>
    <w:rsid w:val="00C95990"/>
    <w:rsid w:val="00CA3D7A"/>
    <w:rsid w:val="00CA4153"/>
    <w:rsid w:val="00CA5CDC"/>
    <w:rsid w:val="00CA73EA"/>
    <w:rsid w:val="00CA7DFA"/>
    <w:rsid w:val="00CB1050"/>
    <w:rsid w:val="00CB219F"/>
    <w:rsid w:val="00CB22EA"/>
    <w:rsid w:val="00CB60A5"/>
    <w:rsid w:val="00CB7D78"/>
    <w:rsid w:val="00CC0375"/>
    <w:rsid w:val="00CC197C"/>
    <w:rsid w:val="00CC2358"/>
    <w:rsid w:val="00CE1504"/>
    <w:rsid w:val="00CE27E0"/>
    <w:rsid w:val="00CE3709"/>
    <w:rsid w:val="00CE4C48"/>
    <w:rsid w:val="00CE6067"/>
    <w:rsid w:val="00CF0BC4"/>
    <w:rsid w:val="00CF599D"/>
    <w:rsid w:val="00CF7392"/>
    <w:rsid w:val="00CF769D"/>
    <w:rsid w:val="00CF7C8D"/>
    <w:rsid w:val="00D002F7"/>
    <w:rsid w:val="00D02A81"/>
    <w:rsid w:val="00D05C3C"/>
    <w:rsid w:val="00D11754"/>
    <w:rsid w:val="00D137B0"/>
    <w:rsid w:val="00D13CF7"/>
    <w:rsid w:val="00D21FB9"/>
    <w:rsid w:val="00D22DB7"/>
    <w:rsid w:val="00D24446"/>
    <w:rsid w:val="00D24A34"/>
    <w:rsid w:val="00D26B62"/>
    <w:rsid w:val="00D279FC"/>
    <w:rsid w:val="00D30A16"/>
    <w:rsid w:val="00D3130F"/>
    <w:rsid w:val="00D371CD"/>
    <w:rsid w:val="00D41655"/>
    <w:rsid w:val="00D47499"/>
    <w:rsid w:val="00D553F6"/>
    <w:rsid w:val="00D61D76"/>
    <w:rsid w:val="00D62DE4"/>
    <w:rsid w:val="00D65903"/>
    <w:rsid w:val="00D65E47"/>
    <w:rsid w:val="00D671A4"/>
    <w:rsid w:val="00D67EE0"/>
    <w:rsid w:val="00D72700"/>
    <w:rsid w:val="00D73B6A"/>
    <w:rsid w:val="00D80AFA"/>
    <w:rsid w:val="00D90C4F"/>
    <w:rsid w:val="00D939F1"/>
    <w:rsid w:val="00D93CAA"/>
    <w:rsid w:val="00D97D45"/>
    <w:rsid w:val="00DA60F7"/>
    <w:rsid w:val="00DB00A9"/>
    <w:rsid w:val="00DC19AA"/>
    <w:rsid w:val="00DD1ABC"/>
    <w:rsid w:val="00DD1D1D"/>
    <w:rsid w:val="00DD308D"/>
    <w:rsid w:val="00DD3C0B"/>
    <w:rsid w:val="00DD52F6"/>
    <w:rsid w:val="00DD63FB"/>
    <w:rsid w:val="00DD7F4D"/>
    <w:rsid w:val="00DE2011"/>
    <w:rsid w:val="00DF64A3"/>
    <w:rsid w:val="00E00C43"/>
    <w:rsid w:val="00E04231"/>
    <w:rsid w:val="00E07F6C"/>
    <w:rsid w:val="00E1140F"/>
    <w:rsid w:val="00E1299C"/>
    <w:rsid w:val="00E172D2"/>
    <w:rsid w:val="00E21277"/>
    <w:rsid w:val="00E32EB0"/>
    <w:rsid w:val="00E33193"/>
    <w:rsid w:val="00E33828"/>
    <w:rsid w:val="00E36E64"/>
    <w:rsid w:val="00E41E39"/>
    <w:rsid w:val="00E4251D"/>
    <w:rsid w:val="00E44366"/>
    <w:rsid w:val="00E45EEF"/>
    <w:rsid w:val="00E5598F"/>
    <w:rsid w:val="00E5676E"/>
    <w:rsid w:val="00E574D7"/>
    <w:rsid w:val="00E607C3"/>
    <w:rsid w:val="00E615FD"/>
    <w:rsid w:val="00E7198E"/>
    <w:rsid w:val="00E71A9B"/>
    <w:rsid w:val="00E758CA"/>
    <w:rsid w:val="00E7774C"/>
    <w:rsid w:val="00E9139C"/>
    <w:rsid w:val="00E918BF"/>
    <w:rsid w:val="00E920BE"/>
    <w:rsid w:val="00E94B95"/>
    <w:rsid w:val="00EA296D"/>
    <w:rsid w:val="00EA6B4D"/>
    <w:rsid w:val="00EB0A74"/>
    <w:rsid w:val="00EB1261"/>
    <w:rsid w:val="00EB22C5"/>
    <w:rsid w:val="00EC063D"/>
    <w:rsid w:val="00EC1CE3"/>
    <w:rsid w:val="00EC2C5A"/>
    <w:rsid w:val="00EC2DA1"/>
    <w:rsid w:val="00EC4A73"/>
    <w:rsid w:val="00EC5B64"/>
    <w:rsid w:val="00EC673A"/>
    <w:rsid w:val="00ED401D"/>
    <w:rsid w:val="00ED501C"/>
    <w:rsid w:val="00ED5AF3"/>
    <w:rsid w:val="00EE2D23"/>
    <w:rsid w:val="00EE5009"/>
    <w:rsid w:val="00EE576B"/>
    <w:rsid w:val="00EF3823"/>
    <w:rsid w:val="00F043C4"/>
    <w:rsid w:val="00F07A29"/>
    <w:rsid w:val="00F1750D"/>
    <w:rsid w:val="00F20624"/>
    <w:rsid w:val="00F215B2"/>
    <w:rsid w:val="00F2244D"/>
    <w:rsid w:val="00F233BA"/>
    <w:rsid w:val="00F26681"/>
    <w:rsid w:val="00F270FA"/>
    <w:rsid w:val="00F27B14"/>
    <w:rsid w:val="00F40312"/>
    <w:rsid w:val="00F451CD"/>
    <w:rsid w:val="00F46CE9"/>
    <w:rsid w:val="00F47E34"/>
    <w:rsid w:val="00F52003"/>
    <w:rsid w:val="00F56632"/>
    <w:rsid w:val="00F62B1B"/>
    <w:rsid w:val="00F82D8D"/>
    <w:rsid w:val="00F848E6"/>
    <w:rsid w:val="00F87C08"/>
    <w:rsid w:val="00F93229"/>
    <w:rsid w:val="00F9475B"/>
    <w:rsid w:val="00F970F5"/>
    <w:rsid w:val="00FB4AB7"/>
    <w:rsid w:val="00FB4F82"/>
    <w:rsid w:val="00FC13CC"/>
    <w:rsid w:val="00FC142D"/>
    <w:rsid w:val="00FC4C03"/>
    <w:rsid w:val="00FC5F1F"/>
    <w:rsid w:val="00FD3A39"/>
    <w:rsid w:val="00FD5A90"/>
    <w:rsid w:val="00FE378D"/>
    <w:rsid w:val="00FE4094"/>
    <w:rsid w:val="00FF3E3C"/>
    <w:rsid w:val="00FF3E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8E10C2E"/>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9168BC"/>
    <w:pPr>
      <w:numPr>
        <w:numId w:val="16"/>
      </w:numPr>
      <w:spacing w:after="80"/>
    </w:pPr>
  </w:style>
  <w:style w:type="paragraph" w:customStyle="1" w:styleId="Bullet2">
    <w:name w:val="Bullet2"/>
    <w:basedOn w:val="Bullet1"/>
    <w:qFormat/>
    <w:rsid w:val="009168BC"/>
  </w:style>
  <w:style w:type="paragraph" w:customStyle="1" w:styleId="Heading10">
    <w:name w:val="Heading1"/>
    <w:next w:val="Body"/>
    <w:qFormat/>
    <w:rsid w:val="00353305"/>
    <w:pPr>
      <w:pageBreakBefore/>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link w:val="ListParagraph"/>
    <w:uiPriority w:val="34"/>
    <w:locked/>
    <w:rsid w:val="00BF1853"/>
    <w:rPr>
      <w:rFonts w:ascii="Arial" w:hAnsi="Arial"/>
      <w:sz w:val="24"/>
      <w:szCs w:val="24"/>
      <w:lang w:eastAsia="en-US"/>
    </w:rPr>
  </w:style>
  <w:style w:type="character" w:styleId="Hyperlink">
    <w:name w:val="Hyperlink"/>
    <w:basedOn w:val="DefaultParagraphFont"/>
    <w:unhideWhenUsed/>
    <w:rsid w:val="00B866C9"/>
    <w:rPr>
      <w:color w:val="0563C1" w:themeColor="hyperlink"/>
      <w:u w:val="single"/>
    </w:rPr>
  </w:style>
  <w:style w:type="character" w:styleId="UnresolvedMention">
    <w:name w:val="Unresolved Mention"/>
    <w:basedOn w:val="DefaultParagraphFont"/>
    <w:uiPriority w:val="99"/>
    <w:semiHidden/>
    <w:unhideWhenUsed/>
    <w:rsid w:val="00B866C9"/>
    <w:rPr>
      <w:color w:val="605E5C"/>
      <w:shd w:val="clear" w:color="auto" w:fill="E1DFDD"/>
    </w:rPr>
  </w:style>
  <w:style w:type="paragraph" w:styleId="FootnoteText">
    <w:name w:val="footnote text"/>
    <w:basedOn w:val="Normal"/>
    <w:link w:val="FootnoteTextChar"/>
    <w:semiHidden/>
    <w:unhideWhenUsed/>
    <w:rsid w:val="00E574D7"/>
    <w:rPr>
      <w:sz w:val="20"/>
      <w:szCs w:val="20"/>
    </w:rPr>
  </w:style>
  <w:style w:type="character" w:customStyle="1" w:styleId="FootnoteTextChar">
    <w:name w:val="Footnote Text Char"/>
    <w:basedOn w:val="DefaultParagraphFont"/>
    <w:link w:val="FootnoteText"/>
    <w:semiHidden/>
    <w:rsid w:val="00E574D7"/>
    <w:rPr>
      <w:rFonts w:ascii="Arial" w:hAnsi="Arial"/>
      <w:lang w:eastAsia="en-US"/>
    </w:rPr>
  </w:style>
  <w:style w:type="character" w:styleId="FootnoteReference">
    <w:name w:val="footnote reference"/>
    <w:basedOn w:val="DefaultParagraphFont"/>
    <w:semiHidden/>
    <w:unhideWhenUsed/>
    <w:rsid w:val="00E574D7"/>
    <w:rPr>
      <w:vertAlign w:val="superscript"/>
    </w:rPr>
  </w:style>
  <w:style w:type="character" w:styleId="FollowedHyperlink">
    <w:name w:val="FollowedHyperlink"/>
    <w:basedOn w:val="DefaultParagraphFont"/>
    <w:semiHidden/>
    <w:unhideWhenUsed/>
    <w:rsid w:val="00993A2A"/>
    <w:rPr>
      <w:color w:val="954F72" w:themeColor="followedHyperlink"/>
      <w:u w:val="single"/>
    </w:rPr>
  </w:style>
  <w:style w:type="paragraph" w:styleId="Revision">
    <w:name w:val="Revision"/>
    <w:hidden/>
    <w:uiPriority w:val="99"/>
    <w:semiHidden/>
    <w:rsid w:val="00F82D8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arkrail.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ssb.co.uk/Pages/health-and-wellbeing.aspx" TargetMode="External"/><Relationship Id="rId1" Type="http://schemas.openxmlformats.org/officeDocument/2006/relationships/hyperlink" Target="http://www.rssb.co.uk/groups-and-committees/rssb-board/safety/system-safety-risk-group/risk-management-capability-group/risk-safety-intelligence-programme-advisory-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268A-96B1-4D79-9B30-F946F74ACF1D}">
  <ds:schemaRefs>
    <ds:schemaRef ds:uri="http://www.w3.org/XML/1998/namespace"/>
    <ds:schemaRef ds:uri="http://purl.org/dc/terms/"/>
    <ds:schemaRef ds:uri="4486A3F1-5225-4438-9DE8-7B687B4D3D5C"/>
    <ds:schemaRef ds:uri="http://schemas.microsoft.com/office/2006/documentManagement/types"/>
    <ds:schemaRef ds:uri="http://schemas.microsoft.com/office/2006/metadata/properties"/>
    <ds:schemaRef ds:uri="f5f58a65-2606-47be-a5f0-cc00fc74839b"/>
    <ds:schemaRef ds:uri="http://purl.org/dc/elements/1.1/"/>
    <ds:schemaRef ds:uri="http://schemas.microsoft.com/office/infopath/2007/PartnerControls"/>
    <ds:schemaRef ds:uri="http://schemas.openxmlformats.org/package/2006/metadata/core-properties"/>
    <ds:schemaRef ds:uri="http://schemas.microsoft.com/sharepoint/v4"/>
    <ds:schemaRef ds:uri="http://purl.org/dc/dcmitype/"/>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CFA1B411-2930-4877-B4D3-AAA689E5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RSSB-A4-document-2016.dotx</Template>
  <TotalTime>0</TotalTime>
  <Pages>13</Pages>
  <Words>2778</Words>
  <Characters>15836</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Richard Walker</dc:creator>
  <cp:lastModifiedBy>Gemma Pearson</cp:lastModifiedBy>
  <cp:revision>2</cp:revision>
  <cp:lastPrinted>2019-04-09T09:52:00Z</cp:lastPrinted>
  <dcterms:created xsi:type="dcterms:W3CDTF">2019-05-15T09:36:00Z</dcterms:created>
  <dcterms:modified xsi:type="dcterms:W3CDTF">2019-05-15T09:36:00Z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