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A8" w:rsidRPr="003E0D44" w:rsidRDefault="00F6591D" w:rsidP="00F6591D">
      <w:pPr>
        <w:jc w:val="center"/>
        <w:rPr>
          <w:rFonts w:ascii="Verdana" w:hAnsi="Verdana" w:cs="Arial"/>
          <w:b/>
          <w:sz w:val="22"/>
          <w:szCs w:val="22"/>
        </w:rPr>
      </w:pPr>
      <w:r w:rsidRPr="003E0D44">
        <w:rPr>
          <w:rFonts w:ascii="Verdana" w:hAnsi="Verdana" w:cs="Arial"/>
          <w:b/>
          <w:sz w:val="22"/>
          <w:szCs w:val="22"/>
        </w:rPr>
        <w:t>Memorandum of Information</w:t>
      </w:r>
    </w:p>
    <w:p w:rsidR="00F6591D" w:rsidRPr="003E0D44" w:rsidRDefault="00F6591D" w:rsidP="00F6591D">
      <w:pPr>
        <w:jc w:val="center"/>
        <w:rPr>
          <w:rFonts w:ascii="Verdana" w:hAnsi="Verdana" w:cs="Arial"/>
          <w:b/>
          <w:sz w:val="22"/>
          <w:szCs w:val="22"/>
        </w:rPr>
      </w:pPr>
      <w:r w:rsidRPr="003E0D44">
        <w:rPr>
          <w:rFonts w:ascii="Verdana" w:hAnsi="Verdana" w:cs="Arial"/>
          <w:b/>
          <w:sz w:val="22"/>
          <w:szCs w:val="22"/>
        </w:rPr>
        <w:t>For</w:t>
      </w:r>
    </w:p>
    <w:p w:rsidR="00F6591D" w:rsidRPr="003E0D44" w:rsidRDefault="003232CD" w:rsidP="00F6591D">
      <w:pPr>
        <w:jc w:val="center"/>
        <w:rPr>
          <w:rFonts w:ascii="Verdana" w:hAnsi="Verdana" w:cs="Arial"/>
          <w:b/>
          <w:sz w:val="22"/>
          <w:szCs w:val="22"/>
        </w:rPr>
      </w:pPr>
      <w:r>
        <w:rPr>
          <w:rFonts w:ascii="Verdana" w:hAnsi="Verdana" w:cs="Arial"/>
          <w:b/>
          <w:sz w:val="22"/>
          <w:szCs w:val="22"/>
        </w:rPr>
        <w:t xml:space="preserve">   </w:t>
      </w:r>
      <w:r w:rsidR="00F6591D" w:rsidRPr="003E0D44">
        <w:rPr>
          <w:rFonts w:ascii="Verdana" w:hAnsi="Verdana" w:cs="Arial"/>
          <w:b/>
          <w:sz w:val="22"/>
          <w:szCs w:val="22"/>
        </w:rPr>
        <w:t>Eastbourne Theatres Box Office Ticketing System Procurement</w:t>
      </w:r>
    </w:p>
    <w:p w:rsidR="004F4614" w:rsidRPr="003E0D44" w:rsidRDefault="001B043A" w:rsidP="004F4614">
      <w:pPr>
        <w:pStyle w:val="Heading2"/>
        <w:rPr>
          <w:rFonts w:ascii="Verdana" w:hAnsi="Verdana" w:cs="Arial"/>
          <w:color w:val="auto"/>
          <w:sz w:val="22"/>
          <w:szCs w:val="22"/>
        </w:rPr>
      </w:pPr>
      <w:r w:rsidRPr="003E0D44">
        <w:rPr>
          <w:rFonts w:ascii="Verdana" w:hAnsi="Verdana" w:cs="Arial"/>
          <w:color w:val="auto"/>
          <w:sz w:val="22"/>
          <w:szCs w:val="22"/>
        </w:rPr>
        <w:t xml:space="preserve">1 </w:t>
      </w:r>
      <w:r w:rsidRPr="003E0D44">
        <w:rPr>
          <w:rFonts w:ascii="Verdana" w:hAnsi="Verdana" w:cs="Arial"/>
          <w:color w:val="auto"/>
          <w:sz w:val="22"/>
          <w:szCs w:val="22"/>
        </w:rPr>
        <w:tab/>
      </w:r>
      <w:r w:rsidR="004F4614" w:rsidRPr="003E0D44">
        <w:rPr>
          <w:rFonts w:ascii="Verdana" w:hAnsi="Verdana" w:cs="Arial"/>
          <w:color w:val="auto"/>
          <w:sz w:val="22"/>
          <w:szCs w:val="22"/>
        </w:rPr>
        <w:t>Introduction</w:t>
      </w:r>
    </w:p>
    <w:p w:rsidR="0041770A" w:rsidRPr="003E0D44" w:rsidRDefault="00D83CA9" w:rsidP="004F4614">
      <w:pPr>
        <w:ind w:left="720"/>
        <w:rPr>
          <w:rFonts w:ascii="Verdana" w:hAnsi="Verdana" w:cs="Arial"/>
          <w:bCs/>
          <w:sz w:val="22"/>
          <w:szCs w:val="22"/>
        </w:rPr>
      </w:pPr>
      <w:r w:rsidRPr="00D83CA9">
        <w:rPr>
          <w:rFonts w:ascii="Verdana" w:hAnsi="Verdana" w:cs="Arial"/>
          <w:bCs/>
          <w:sz w:val="22"/>
          <w:szCs w:val="22"/>
        </w:rPr>
        <w:t>Eastbourne Borough Council (EBC) owns and operates 3 theatres in Eastbourne (“Eastbourne Theatres”). EBC is looking to introduce a user-friendly ticketing system for customers and theatre staff at Eastbourne Theatres.</w:t>
      </w:r>
      <w:bookmarkStart w:id="0" w:name="_GoBack"/>
      <w:bookmarkEnd w:id="0"/>
    </w:p>
    <w:p w:rsidR="0041770A" w:rsidRPr="003E0D44" w:rsidRDefault="0041770A" w:rsidP="001B043A">
      <w:pPr>
        <w:ind w:left="720" w:hanging="720"/>
        <w:rPr>
          <w:rFonts w:ascii="Verdana" w:hAnsi="Verdana" w:cs="Arial"/>
          <w:bCs/>
          <w:sz w:val="22"/>
          <w:szCs w:val="22"/>
        </w:rPr>
      </w:pPr>
    </w:p>
    <w:p w:rsidR="000442A8" w:rsidRPr="003E0D44" w:rsidRDefault="000442A8" w:rsidP="0041770A">
      <w:pPr>
        <w:ind w:left="720"/>
        <w:rPr>
          <w:rFonts w:ascii="Verdana" w:hAnsi="Verdana" w:cs="Arial"/>
          <w:bCs/>
          <w:sz w:val="22"/>
          <w:szCs w:val="22"/>
        </w:rPr>
      </w:pPr>
      <w:r w:rsidRPr="003E0D44">
        <w:rPr>
          <w:rFonts w:ascii="Verdana" w:hAnsi="Verdana" w:cs="Arial"/>
          <w:bCs/>
          <w:sz w:val="22"/>
          <w:szCs w:val="22"/>
        </w:rPr>
        <w:t xml:space="preserve">The selected solution will help increase online sales and offer customers an improved level of service across all communication channels but particularly online. The system must be easy to use and adaptable with as little overhead maintenance and administration as possible. There will be a drive to develop the system </w:t>
      </w:r>
      <w:r w:rsidR="00A066BB" w:rsidRPr="003E0D44">
        <w:rPr>
          <w:rFonts w:ascii="Verdana" w:hAnsi="Verdana" w:cs="Arial"/>
          <w:bCs/>
          <w:sz w:val="22"/>
          <w:szCs w:val="22"/>
        </w:rPr>
        <w:t xml:space="preserve">to </w:t>
      </w:r>
      <w:r w:rsidRPr="003E0D44">
        <w:rPr>
          <w:rFonts w:ascii="Verdana" w:hAnsi="Verdana" w:cs="Arial"/>
          <w:bCs/>
          <w:sz w:val="22"/>
          <w:szCs w:val="22"/>
        </w:rPr>
        <w:t xml:space="preserve">ensure that features are up to date and relevant to the current </w:t>
      </w:r>
      <w:r w:rsidR="00D2697F" w:rsidRPr="003E0D44">
        <w:rPr>
          <w:rFonts w:ascii="Verdana" w:hAnsi="Verdana" w:cs="Arial"/>
          <w:bCs/>
          <w:sz w:val="22"/>
          <w:szCs w:val="22"/>
        </w:rPr>
        <w:t xml:space="preserve">and future ticketing </w:t>
      </w:r>
      <w:r w:rsidRPr="003E0D44">
        <w:rPr>
          <w:rFonts w:ascii="Verdana" w:hAnsi="Verdana" w:cs="Arial"/>
          <w:bCs/>
          <w:sz w:val="22"/>
          <w:szCs w:val="22"/>
        </w:rPr>
        <w:t>market.</w:t>
      </w:r>
    </w:p>
    <w:p w:rsidR="000442A8" w:rsidRPr="003E0D44" w:rsidRDefault="000442A8" w:rsidP="000442A8">
      <w:pPr>
        <w:rPr>
          <w:rFonts w:ascii="Verdana" w:hAnsi="Verdana" w:cs="Arial"/>
          <w:bCs/>
          <w:sz w:val="22"/>
          <w:szCs w:val="22"/>
        </w:rPr>
      </w:pPr>
      <w:r w:rsidRPr="003E0D44">
        <w:rPr>
          <w:rFonts w:ascii="Verdana" w:hAnsi="Verdana" w:cs="Arial"/>
          <w:bCs/>
          <w:sz w:val="22"/>
          <w:szCs w:val="22"/>
        </w:rPr>
        <w:t> </w:t>
      </w:r>
    </w:p>
    <w:p w:rsidR="000442A8" w:rsidRPr="003E0D44" w:rsidRDefault="000442A8" w:rsidP="001B043A">
      <w:pPr>
        <w:ind w:left="720"/>
        <w:rPr>
          <w:rFonts w:ascii="Verdana" w:hAnsi="Verdana" w:cs="Arial"/>
          <w:bCs/>
          <w:sz w:val="22"/>
          <w:szCs w:val="22"/>
        </w:rPr>
      </w:pPr>
      <w:r w:rsidRPr="003E0D44">
        <w:rPr>
          <w:rFonts w:ascii="Verdana" w:hAnsi="Verdana" w:cs="Arial"/>
          <w:bCs/>
          <w:sz w:val="22"/>
          <w:szCs w:val="22"/>
        </w:rPr>
        <w:t>The contract term will be for 3 years with the option to extend annually for a further 2 years.</w:t>
      </w:r>
    </w:p>
    <w:p w:rsidR="001B043A" w:rsidRPr="003E0D44" w:rsidRDefault="001B043A" w:rsidP="000442A8">
      <w:pPr>
        <w:rPr>
          <w:rFonts w:ascii="Verdana" w:hAnsi="Verdana" w:cs="Arial"/>
          <w:bCs/>
          <w:sz w:val="22"/>
          <w:szCs w:val="22"/>
        </w:rPr>
      </w:pPr>
    </w:p>
    <w:p w:rsidR="00A339B5" w:rsidRPr="003E0D44" w:rsidRDefault="001B043A" w:rsidP="000442A8">
      <w:pPr>
        <w:pStyle w:val="BodyText"/>
        <w:ind w:left="0"/>
        <w:rPr>
          <w:rFonts w:ascii="Verdana" w:hAnsi="Verdana"/>
          <w:b/>
          <w:bCs/>
        </w:rPr>
      </w:pPr>
      <w:r w:rsidRPr="003E0D44">
        <w:rPr>
          <w:rFonts w:ascii="Verdana" w:hAnsi="Verdana"/>
          <w:b/>
          <w:bCs/>
        </w:rPr>
        <w:t xml:space="preserve">2 </w:t>
      </w:r>
      <w:r w:rsidRPr="003E0D44">
        <w:rPr>
          <w:rFonts w:ascii="Verdana" w:hAnsi="Verdana"/>
          <w:b/>
          <w:bCs/>
        </w:rPr>
        <w:tab/>
        <w:t>Background</w:t>
      </w:r>
      <w:r w:rsidR="00A339B5" w:rsidRPr="003E0D44">
        <w:rPr>
          <w:rFonts w:ascii="Verdana" w:hAnsi="Verdana"/>
          <w:b/>
          <w:bCs/>
        </w:rPr>
        <w:t xml:space="preserve"> </w:t>
      </w:r>
    </w:p>
    <w:p w:rsidR="000B5CFB" w:rsidRPr="003E0D44" w:rsidRDefault="000B5CFB" w:rsidP="004F4614">
      <w:pPr>
        <w:ind w:left="709"/>
        <w:rPr>
          <w:rFonts w:ascii="Verdana" w:hAnsi="Verdana"/>
          <w:sz w:val="22"/>
          <w:szCs w:val="22"/>
        </w:rPr>
      </w:pPr>
      <w:r w:rsidRPr="003E0D44">
        <w:rPr>
          <w:rFonts w:ascii="Verdana" w:hAnsi="Verdana"/>
          <w:sz w:val="22"/>
          <w:szCs w:val="22"/>
        </w:rPr>
        <w:t>Located in the heart of Eastbourne’s cultural quarter and a short walk from the seafront,</w:t>
      </w:r>
      <w:r w:rsidR="00D2697F" w:rsidRPr="003E0D44">
        <w:rPr>
          <w:rFonts w:ascii="Verdana" w:hAnsi="Verdana"/>
          <w:sz w:val="22"/>
          <w:szCs w:val="22"/>
        </w:rPr>
        <w:t xml:space="preserve"> </w:t>
      </w:r>
      <w:r w:rsidRPr="003E0D44">
        <w:rPr>
          <w:rFonts w:ascii="Verdana" w:hAnsi="Verdana"/>
          <w:sz w:val="22"/>
          <w:szCs w:val="22"/>
        </w:rPr>
        <w:t xml:space="preserve">Eastbourne Theatres encompass 3 diverse venues; </w:t>
      </w:r>
    </w:p>
    <w:p w:rsidR="000B5CFB" w:rsidRPr="003E0D44" w:rsidRDefault="000B5CFB" w:rsidP="004F4614">
      <w:pPr>
        <w:ind w:left="709"/>
        <w:rPr>
          <w:rFonts w:ascii="Verdana" w:hAnsi="Verdana"/>
          <w:sz w:val="22"/>
          <w:szCs w:val="22"/>
        </w:rPr>
      </w:pPr>
    </w:p>
    <w:p w:rsidR="000B5CFB" w:rsidRPr="003E0D44" w:rsidRDefault="000B5CFB" w:rsidP="004F4614">
      <w:pPr>
        <w:ind w:left="709"/>
        <w:rPr>
          <w:rFonts w:ascii="Verdana" w:hAnsi="Verdana"/>
          <w:sz w:val="22"/>
          <w:szCs w:val="22"/>
        </w:rPr>
      </w:pPr>
      <w:r w:rsidRPr="003E0D44">
        <w:rPr>
          <w:rFonts w:ascii="Verdana" w:hAnsi="Verdana"/>
          <w:sz w:val="22"/>
          <w:szCs w:val="22"/>
        </w:rPr>
        <w:t>Congress Theatre</w:t>
      </w:r>
    </w:p>
    <w:p w:rsidR="000B5CFB" w:rsidRPr="003E0D44" w:rsidRDefault="000B5CFB" w:rsidP="004F4614">
      <w:pPr>
        <w:ind w:left="709"/>
        <w:rPr>
          <w:rFonts w:ascii="Verdana" w:hAnsi="Verdana"/>
          <w:sz w:val="22"/>
          <w:szCs w:val="22"/>
        </w:rPr>
      </w:pPr>
      <w:r w:rsidRPr="003E0D44">
        <w:rPr>
          <w:rFonts w:ascii="Verdana" w:hAnsi="Verdana"/>
          <w:sz w:val="22"/>
          <w:szCs w:val="22"/>
        </w:rPr>
        <w:t>Purpose built theatre and conference venue with a seating capacity of 1,689. The largest theatre on the south coast the venue plays host to large scale West End touring musicals, touring productions and one-night concerts.</w:t>
      </w:r>
    </w:p>
    <w:p w:rsidR="000B5CFB" w:rsidRPr="003E0D44" w:rsidRDefault="000B5CFB" w:rsidP="004F4614">
      <w:pPr>
        <w:ind w:left="709"/>
        <w:rPr>
          <w:rFonts w:ascii="Verdana" w:hAnsi="Verdana"/>
          <w:sz w:val="22"/>
          <w:szCs w:val="22"/>
        </w:rPr>
      </w:pPr>
    </w:p>
    <w:p w:rsidR="000B5CFB" w:rsidRPr="003E0D44" w:rsidRDefault="000B5CFB" w:rsidP="004F4614">
      <w:pPr>
        <w:ind w:left="709"/>
        <w:rPr>
          <w:rFonts w:ascii="Verdana" w:hAnsi="Verdana"/>
          <w:sz w:val="22"/>
          <w:szCs w:val="22"/>
        </w:rPr>
      </w:pPr>
      <w:r w:rsidRPr="003E0D44">
        <w:rPr>
          <w:rFonts w:ascii="Verdana" w:hAnsi="Verdana"/>
          <w:sz w:val="22"/>
          <w:szCs w:val="22"/>
        </w:rPr>
        <w:t>Devonshire Park Theatre</w:t>
      </w:r>
    </w:p>
    <w:p w:rsidR="000B5CFB" w:rsidRPr="003E0D44" w:rsidRDefault="000B5CFB" w:rsidP="004F4614">
      <w:pPr>
        <w:ind w:left="709"/>
        <w:rPr>
          <w:rFonts w:ascii="Verdana" w:hAnsi="Verdana"/>
          <w:sz w:val="22"/>
          <w:szCs w:val="22"/>
        </w:rPr>
      </w:pPr>
      <w:r w:rsidRPr="003E0D44">
        <w:rPr>
          <w:rFonts w:ascii="Verdana" w:hAnsi="Verdana" w:cs="Helvetica"/>
          <w:sz w:val="22"/>
          <w:szCs w:val="22"/>
          <w:shd w:val="clear" w:color="auto" w:fill="FFFFFF"/>
        </w:rPr>
        <w:t xml:space="preserve">Grade II listed building built in 1884 and further improved by celebrated theatre architect Frank </w:t>
      </w:r>
      <w:proofErr w:type="spellStart"/>
      <w:r w:rsidRPr="003E0D44">
        <w:rPr>
          <w:rFonts w:ascii="Verdana" w:hAnsi="Verdana" w:cs="Helvetica"/>
          <w:sz w:val="22"/>
          <w:szCs w:val="22"/>
          <w:shd w:val="clear" w:color="auto" w:fill="FFFFFF"/>
        </w:rPr>
        <w:t>Matcham</w:t>
      </w:r>
      <w:proofErr w:type="spellEnd"/>
      <w:r w:rsidRPr="003E0D44">
        <w:rPr>
          <w:rFonts w:ascii="Verdana" w:hAnsi="Verdana" w:cs="Helvetica"/>
          <w:sz w:val="22"/>
          <w:szCs w:val="22"/>
          <w:shd w:val="clear" w:color="auto" w:fill="FFFFFF"/>
        </w:rPr>
        <w:t xml:space="preserve"> in 1903. With a seating capacity of 936 it is one of the best examples of small Victorian Theatre in the country with an ornate interior.  The venue plays host to touring drama productions and produces its own shows including the annual pantomime.  </w:t>
      </w:r>
    </w:p>
    <w:p w:rsidR="000B5CFB" w:rsidRPr="003E0D44" w:rsidRDefault="000B5CFB" w:rsidP="004F4614">
      <w:pPr>
        <w:ind w:left="709"/>
        <w:rPr>
          <w:rFonts w:ascii="Verdana" w:hAnsi="Verdana"/>
          <w:sz w:val="22"/>
          <w:szCs w:val="22"/>
        </w:rPr>
      </w:pPr>
    </w:p>
    <w:p w:rsidR="000B5CFB" w:rsidRPr="003E0D44" w:rsidRDefault="000B5CFB" w:rsidP="004F4614">
      <w:pPr>
        <w:ind w:left="709"/>
        <w:rPr>
          <w:rFonts w:ascii="Verdana" w:hAnsi="Verdana"/>
          <w:sz w:val="22"/>
          <w:szCs w:val="22"/>
        </w:rPr>
      </w:pPr>
      <w:r w:rsidRPr="003E0D44">
        <w:rPr>
          <w:rFonts w:ascii="Verdana" w:hAnsi="Verdana"/>
          <w:sz w:val="22"/>
          <w:szCs w:val="22"/>
        </w:rPr>
        <w:t>Winter Garden</w:t>
      </w:r>
    </w:p>
    <w:p w:rsidR="000B5CFB" w:rsidRPr="003E0D44" w:rsidRDefault="000B5CFB" w:rsidP="004F4614">
      <w:pPr>
        <w:ind w:left="709"/>
        <w:rPr>
          <w:rFonts w:ascii="Verdana" w:hAnsi="Verdana"/>
          <w:color w:val="000000"/>
          <w:sz w:val="22"/>
          <w:szCs w:val="22"/>
          <w:lang w:eastAsia="en-GB"/>
        </w:rPr>
      </w:pPr>
      <w:r w:rsidRPr="003E0D44">
        <w:rPr>
          <w:rFonts w:ascii="Verdana" w:hAnsi="Verdana"/>
          <w:sz w:val="22"/>
          <w:szCs w:val="22"/>
        </w:rPr>
        <w:t>Built in 1875</w:t>
      </w:r>
      <w:r w:rsidRPr="003E0D44">
        <w:rPr>
          <w:rFonts w:ascii="Verdana" w:hAnsi="Verdana"/>
          <w:color w:val="000000"/>
          <w:sz w:val="22"/>
          <w:szCs w:val="22"/>
          <w:lang w:eastAsia="en-GB"/>
        </w:rPr>
        <w:t xml:space="preserve"> the venue consists of two main parts - the Floral Hall, originally used as a skating rink in winter and concert hall in summer, and the Gold Room. Today the venue is used for cabaret style events, tea dances, comedy clubs and live music gigs.</w:t>
      </w:r>
    </w:p>
    <w:p w:rsidR="000B5CFB" w:rsidRPr="003E0D44" w:rsidRDefault="000B5CFB" w:rsidP="004F4614">
      <w:pPr>
        <w:ind w:left="709"/>
        <w:rPr>
          <w:rFonts w:ascii="Verdana" w:hAnsi="Verdana"/>
          <w:color w:val="000000"/>
          <w:sz w:val="22"/>
          <w:szCs w:val="22"/>
          <w:lang w:eastAsia="en-GB"/>
        </w:rPr>
      </w:pPr>
    </w:p>
    <w:p w:rsidR="000B5CFB" w:rsidRPr="003E0D44" w:rsidRDefault="000B5CFB" w:rsidP="004F4614">
      <w:pPr>
        <w:ind w:left="709"/>
        <w:rPr>
          <w:rFonts w:ascii="Verdana" w:hAnsi="Verdana"/>
          <w:color w:val="000000"/>
          <w:sz w:val="22"/>
          <w:szCs w:val="22"/>
          <w:lang w:eastAsia="en-GB"/>
        </w:rPr>
      </w:pPr>
      <w:r w:rsidRPr="003E0D44">
        <w:rPr>
          <w:rFonts w:ascii="Verdana" w:hAnsi="Verdana"/>
          <w:color w:val="000000"/>
          <w:sz w:val="22"/>
          <w:szCs w:val="22"/>
          <w:lang w:eastAsia="en-GB"/>
        </w:rPr>
        <w:t>In addition all 3 venues are hired out to local organisation</w:t>
      </w:r>
      <w:r w:rsidR="000A6BBE" w:rsidRPr="003E0D44">
        <w:rPr>
          <w:rFonts w:ascii="Verdana" w:hAnsi="Verdana"/>
          <w:color w:val="000000"/>
          <w:sz w:val="22"/>
          <w:szCs w:val="22"/>
          <w:lang w:eastAsia="en-GB"/>
        </w:rPr>
        <w:t xml:space="preserve">s and </w:t>
      </w:r>
      <w:r w:rsidRPr="003E0D44">
        <w:rPr>
          <w:rFonts w:ascii="Verdana" w:hAnsi="Verdana"/>
          <w:color w:val="000000"/>
          <w:sz w:val="22"/>
          <w:szCs w:val="22"/>
          <w:lang w:eastAsia="en-GB"/>
        </w:rPr>
        <w:t>groups.</w:t>
      </w:r>
    </w:p>
    <w:p w:rsidR="000B5CFB" w:rsidRPr="003E0D44" w:rsidRDefault="000B5CFB" w:rsidP="004F4614">
      <w:pPr>
        <w:ind w:left="709"/>
        <w:rPr>
          <w:rFonts w:ascii="Verdana" w:hAnsi="Verdana"/>
          <w:sz w:val="22"/>
          <w:szCs w:val="22"/>
        </w:rPr>
      </w:pPr>
    </w:p>
    <w:p w:rsidR="000B5CFB" w:rsidRPr="003E0D44" w:rsidRDefault="000A6BBE" w:rsidP="004F4614">
      <w:pPr>
        <w:ind w:left="709"/>
        <w:rPr>
          <w:rFonts w:ascii="Verdana" w:hAnsi="Verdana"/>
          <w:sz w:val="22"/>
          <w:szCs w:val="22"/>
        </w:rPr>
      </w:pPr>
      <w:r w:rsidRPr="003E0D44">
        <w:rPr>
          <w:rFonts w:ascii="Verdana" w:hAnsi="Verdana"/>
          <w:sz w:val="22"/>
          <w:szCs w:val="22"/>
        </w:rPr>
        <w:t xml:space="preserve">The venue serves the local community however, the diverse nature of the venues programme and the venues location in a popular seaside resort </w:t>
      </w:r>
      <w:r w:rsidRPr="003E0D44">
        <w:rPr>
          <w:rFonts w:ascii="Verdana" w:hAnsi="Verdana"/>
          <w:sz w:val="22"/>
          <w:szCs w:val="22"/>
        </w:rPr>
        <w:lastRenderedPageBreak/>
        <w:t xml:space="preserve">means the theatres have </w:t>
      </w:r>
      <w:r w:rsidRPr="003E0D44">
        <w:rPr>
          <w:rFonts w:ascii="Verdana" w:hAnsi="Verdana"/>
          <w:bCs/>
          <w:sz w:val="22"/>
          <w:szCs w:val="22"/>
        </w:rPr>
        <w:t xml:space="preserve">a large catchment with many customers looking to purchase tickets online. </w:t>
      </w:r>
    </w:p>
    <w:p w:rsidR="000B5CFB" w:rsidRPr="003E0D44" w:rsidRDefault="000B5CFB" w:rsidP="004F4614">
      <w:pPr>
        <w:ind w:left="709"/>
        <w:rPr>
          <w:rFonts w:ascii="Verdana" w:hAnsi="Verdana"/>
          <w:sz w:val="22"/>
          <w:szCs w:val="22"/>
        </w:rPr>
      </w:pPr>
    </w:p>
    <w:p w:rsidR="00A339B5" w:rsidRPr="003E0D44" w:rsidRDefault="000A6BBE" w:rsidP="004F4614">
      <w:pPr>
        <w:pStyle w:val="NoSpacing"/>
        <w:ind w:left="709"/>
        <w:rPr>
          <w:rFonts w:ascii="Verdana" w:hAnsi="Verdana"/>
          <w:bCs/>
        </w:rPr>
      </w:pPr>
      <w:r w:rsidRPr="003E0D44">
        <w:rPr>
          <w:rFonts w:ascii="Verdana" w:hAnsi="Verdana"/>
          <w:bCs/>
        </w:rPr>
        <w:t xml:space="preserve">Eastbourne Theatres </w:t>
      </w:r>
      <w:r w:rsidR="00A339B5" w:rsidRPr="003E0D44">
        <w:rPr>
          <w:rFonts w:ascii="Verdana" w:hAnsi="Verdana"/>
          <w:bCs/>
        </w:rPr>
        <w:t xml:space="preserve">currently sell on average </w:t>
      </w:r>
      <w:r w:rsidRPr="003E0D44">
        <w:rPr>
          <w:rFonts w:ascii="Verdana" w:hAnsi="Verdana"/>
        </w:rPr>
        <w:t>270,000+</w:t>
      </w:r>
      <w:r w:rsidR="00DD4F5B" w:rsidRPr="003E0D44">
        <w:rPr>
          <w:rFonts w:ascii="Verdana" w:hAnsi="Verdana"/>
        </w:rPr>
        <w:t xml:space="preserve"> tickets</w:t>
      </w:r>
      <w:r w:rsidRPr="003E0D44">
        <w:rPr>
          <w:rFonts w:ascii="Verdana" w:hAnsi="Verdana"/>
        </w:rPr>
        <w:t xml:space="preserve"> with a value of £4,500,000+ per annum</w:t>
      </w:r>
      <w:r w:rsidR="00DD4F5B" w:rsidRPr="003E0D44">
        <w:rPr>
          <w:rFonts w:ascii="Verdana" w:hAnsi="Verdana"/>
        </w:rPr>
        <w:t xml:space="preserve">. </w:t>
      </w:r>
      <w:r w:rsidR="00AE3D16" w:rsidRPr="003E0D44">
        <w:rPr>
          <w:rFonts w:ascii="Verdana" w:hAnsi="Verdana"/>
        </w:rPr>
        <w:t>30</w:t>
      </w:r>
      <w:r w:rsidRPr="003E0D44">
        <w:rPr>
          <w:rFonts w:ascii="Verdana" w:hAnsi="Verdana"/>
        </w:rPr>
        <w:t>% o</w:t>
      </w:r>
      <w:r w:rsidR="00A339B5" w:rsidRPr="003E0D44">
        <w:rPr>
          <w:rFonts w:ascii="Verdana" w:hAnsi="Verdana"/>
          <w:bCs/>
        </w:rPr>
        <w:t xml:space="preserve">f these sales are online via the website </w:t>
      </w:r>
      <w:hyperlink r:id="rId12" w:history="1">
        <w:r w:rsidRPr="003E0D44">
          <w:rPr>
            <w:rStyle w:val="Hyperlink"/>
            <w:rFonts w:ascii="Verdana" w:hAnsi="Verdana"/>
            <w:bCs/>
          </w:rPr>
          <w:t>www.eastbournetheatres.co.uk</w:t>
        </w:r>
      </w:hyperlink>
      <w:r w:rsidRPr="003E0D44">
        <w:rPr>
          <w:rFonts w:ascii="Verdana" w:hAnsi="Verdana"/>
          <w:bCs/>
        </w:rPr>
        <w:t xml:space="preserve">. </w:t>
      </w:r>
      <w:r w:rsidR="00D45BA2" w:rsidRPr="003E0D44">
        <w:rPr>
          <w:rFonts w:ascii="Verdana" w:hAnsi="Verdana"/>
          <w:bCs/>
        </w:rPr>
        <w:t xml:space="preserve">The demand across all communication channels </w:t>
      </w:r>
      <w:r w:rsidRPr="003E0D44">
        <w:rPr>
          <w:rFonts w:ascii="Verdana" w:hAnsi="Verdana"/>
          <w:bCs/>
        </w:rPr>
        <w:t xml:space="preserve">varies from day to day with sales </w:t>
      </w:r>
      <w:r w:rsidR="00D45BA2" w:rsidRPr="003E0D44">
        <w:rPr>
          <w:rFonts w:ascii="Verdana" w:hAnsi="Verdana"/>
          <w:bCs/>
        </w:rPr>
        <w:t>increas</w:t>
      </w:r>
      <w:r w:rsidRPr="003E0D44">
        <w:rPr>
          <w:rFonts w:ascii="Verdana" w:hAnsi="Verdana"/>
          <w:bCs/>
        </w:rPr>
        <w:t>ing</w:t>
      </w:r>
      <w:r w:rsidR="00D45BA2" w:rsidRPr="003E0D44">
        <w:rPr>
          <w:rFonts w:ascii="Verdana" w:hAnsi="Verdana"/>
          <w:bCs/>
        </w:rPr>
        <w:t xml:space="preserve"> substantially</w:t>
      </w:r>
      <w:r w:rsidRPr="003E0D44">
        <w:rPr>
          <w:rFonts w:ascii="Verdana" w:hAnsi="Verdana"/>
          <w:bCs/>
        </w:rPr>
        <w:t xml:space="preserve"> for brochure launches and </w:t>
      </w:r>
      <w:r w:rsidR="00A055CE" w:rsidRPr="003E0D44">
        <w:rPr>
          <w:rFonts w:ascii="Verdana" w:hAnsi="Verdana"/>
          <w:bCs/>
        </w:rPr>
        <w:t xml:space="preserve">high profile </w:t>
      </w:r>
      <w:r w:rsidR="00D45BA2" w:rsidRPr="003E0D44">
        <w:rPr>
          <w:rFonts w:ascii="Verdana" w:hAnsi="Verdana"/>
          <w:bCs/>
        </w:rPr>
        <w:t>shows.</w:t>
      </w:r>
    </w:p>
    <w:p w:rsidR="00FA3108" w:rsidRPr="003E0D44" w:rsidRDefault="00FA3108" w:rsidP="004F4614">
      <w:pPr>
        <w:pStyle w:val="BodyText"/>
        <w:ind w:left="709"/>
        <w:rPr>
          <w:rFonts w:ascii="Verdana" w:hAnsi="Verdana"/>
          <w:bCs/>
        </w:rPr>
      </w:pPr>
    </w:p>
    <w:p w:rsidR="00A339B5" w:rsidRPr="003E0D44" w:rsidRDefault="00A339B5" w:rsidP="004F4614">
      <w:pPr>
        <w:pStyle w:val="BodyText"/>
        <w:ind w:left="709"/>
        <w:rPr>
          <w:rFonts w:ascii="Verdana" w:hAnsi="Verdana"/>
          <w:bCs/>
        </w:rPr>
      </w:pPr>
      <w:r w:rsidRPr="003E0D44">
        <w:rPr>
          <w:rFonts w:ascii="Verdana" w:hAnsi="Verdana"/>
          <w:bCs/>
        </w:rPr>
        <w:t>The theatre</w:t>
      </w:r>
      <w:r w:rsidR="00FA3108" w:rsidRPr="003E0D44">
        <w:rPr>
          <w:rFonts w:ascii="Verdana" w:hAnsi="Verdana"/>
          <w:bCs/>
        </w:rPr>
        <w:t xml:space="preserve"> sales team</w:t>
      </w:r>
      <w:r w:rsidRPr="003E0D44">
        <w:rPr>
          <w:rFonts w:ascii="Verdana" w:hAnsi="Verdana"/>
          <w:bCs/>
        </w:rPr>
        <w:t xml:space="preserve"> is staffed by </w:t>
      </w:r>
      <w:r w:rsidR="004F4614" w:rsidRPr="003E0D44">
        <w:rPr>
          <w:rFonts w:ascii="Verdana" w:hAnsi="Verdana"/>
          <w:bCs/>
        </w:rPr>
        <w:t>1</w:t>
      </w:r>
      <w:r w:rsidR="00AE3D16" w:rsidRPr="003E0D44">
        <w:rPr>
          <w:rFonts w:ascii="Verdana" w:hAnsi="Verdana"/>
          <w:bCs/>
        </w:rPr>
        <w:t>6</w:t>
      </w:r>
      <w:r w:rsidR="000A6BBE" w:rsidRPr="003E0D44">
        <w:rPr>
          <w:rFonts w:ascii="Verdana" w:hAnsi="Verdana"/>
          <w:bCs/>
        </w:rPr>
        <w:t xml:space="preserve"> full time and part-time </w:t>
      </w:r>
      <w:r w:rsidR="00FA3108" w:rsidRPr="003E0D44">
        <w:rPr>
          <w:rFonts w:ascii="Verdana" w:hAnsi="Verdana"/>
          <w:bCs/>
        </w:rPr>
        <w:t xml:space="preserve">Box Office </w:t>
      </w:r>
      <w:r w:rsidR="000A6BBE" w:rsidRPr="003E0D44">
        <w:rPr>
          <w:rFonts w:ascii="Verdana" w:hAnsi="Verdana"/>
          <w:bCs/>
        </w:rPr>
        <w:t xml:space="preserve">staff, </w:t>
      </w:r>
      <w:r w:rsidR="00845DBE">
        <w:rPr>
          <w:rFonts w:ascii="Verdana" w:hAnsi="Verdana"/>
          <w:bCs/>
        </w:rPr>
        <w:t>including</w:t>
      </w:r>
      <w:r w:rsidR="004F4614" w:rsidRPr="003E0D44">
        <w:rPr>
          <w:rFonts w:ascii="Verdana" w:hAnsi="Verdana"/>
          <w:bCs/>
        </w:rPr>
        <w:t xml:space="preserve"> casual staff </w:t>
      </w:r>
      <w:r w:rsidR="00FA3108" w:rsidRPr="003E0D44">
        <w:rPr>
          <w:rFonts w:ascii="Verdana" w:hAnsi="Verdana"/>
          <w:bCs/>
        </w:rPr>
        <w:t>and a full time Box Office Manager.</w:t>
      </w:r>
      <w:r w:rsidRPr="003E0D44">
        <w:rPr>
          <w:rFonts w:ascii="Verdana" w:hAnsi="Verdana"/>
          <w:bCs/>
        </w:rPr>
        <w:t xml:space="preserve"> </w:t>
      </w:r>
    </w:p>
    <w:p w:rsidR="00A339B5" w:rsidRPr="003E0D44" w:rsidRDefault="00A339B5" w:rsidP="004F4614">
      <w:pPr>
        <w:pStyle w:val="BodyText"/>
        <w:ind w:left="709"/>
        <w:rPr>
          <w:rFonts w:ascii="Verdana" w:hAnsi="Verdana"/>
          <w:bCs/>
        </w:rPr>
      </w:pPr>
    </w:p>
    <w:p w:rsidR="00A339B5" w:rsidRPr="003E0D44" w:rsidRDefault="00AC006F" w:rsidP="004F4614">
      <w:pPr>
        <w:pStyle w:val="BodyText"/>
        <w:ind w:left="709"/>
        <w:rPr>
          <w:rFonts w:ascii="Verdana" w:hAnsi="Verdana"/>
          <w:bCs/>
        </w:rPr>
      </w:pPr>
      <w:r w:rsidRPr="003E0D44">
        <w:rPr>
          <w:rFonts w:ascii="Verdana" w:hAnsi="Verdana"/>
          <w:bCs/>
        </w:rPr>
        <w:t>Eastbourne Theatres</w:t>
      </w:r>
      <w:r w:rsidR="00A339B5" w:rsidRPr="003E0D44">
        <w:rPr>
          <w:rFonts w:ascii="Verdana" w:hAnsi="Verdana"/>
          <w:bCs/>
        </w:rPr>
        <w:t xml:space="preserve"> has </w:t>
      </w:r>
      <w:r w:rsidRPr="003E0D44">
        <w:rPr>
          <w:rFonts w:ascii="Verdana" w:hAnsi="Verdana"/>
          <w:bCs/>
        </w:rPr>
        <w:t xml:space="preserve">operated </w:t>
      </w:r>
      <w:r w:rsidR="00AE3D16" w:rsidRPr="003E0D44">
        <w:rPr>
          <w:rFonts w:ascii="Verdana" w:hAnsi="Verdana"/>
          <w:bCs/>
        </w:rPr>
        <w:t xml:space="preserve">Tickets.com </w:t>
      </w:r>
      <w:proofErr w:type="spellStart"/>
      <w:r w:rsidRPr="003E0D44">
        <w:rPr>
          <w:rFonts w:ascii="Verdana" w:hAnsi="Verdana"/>
          <w:bCs/>
        </w:rPr>
        <w:t>Pro</w:t>
      </w:r>
      <w:r w:rsidR="00630A0E" w:rsidRPr="003E0D44">
        <w:rPr>
          <w:rFonts w:ascii="Verdana" w:hAnsi="Verdana"/>
          <w:bCs/>
        </w:rPr>
        <w:t>Venue</w:t>
      </w:r>
      <w:proofErr w:type="spellEnd"/>
      <w:r w:rsidR="00630A0E" w:rsidRPr="003E0D44">
        <w:rPr>
          <w:rFonts w:ascii="Verdana" w:hAnsi="Verdana"/>
          <w:bCs/>
        </w:rPr>
        <w:t xml:space="preserve"> </w:t>
      </w:r>
      <w:proofErr w:type="spellStart"/>
      <w:r w:rsidR="00630A0E" w:rsidRPr="003E0D44">
        <w:rPr>
          <w:rFonts w:ascii="Verdana" w:hAnsi="Verdana"/>
          <w:bCs/>
        </w:rPr>
        <w:t>Databox</w:t>
      </w:r>
      <w:proofErr w:type="spellEnd"/>
      <w:r w:rsidR="00A339B5" w:rsidRPr="003E0D44">
        <w:rPr>
          <w:rFonts w:ascii="Verdana" w:hAnsi="Verdana"/>
          <w:bCs/>
        </w:rPr>
        <w:t xml:space="preserve"> since 200</w:t>
      </w:r>
      <w:r w:rsidRPr="003E0D44">
        <w:rPr>
          <w:rFonts w:ascii="Verdana" w:hAnsi="Verdana"/>
          <w:bCs/>
        </w:rPr>
        <w:t>3.</w:t>
      </w:r>
      <w:r w:rsidR="00D45BA2" w:rsidRPr="003E0D44">
        <w:rPr>
          <w:rFonts w:ascii="Verdana" w:hAnsi="Verdana"/>
          <w:bCs/>
        </w:rPr>
        <w:t xml:space="preserve"> </w:t>
      </w:r>
    </w:p>
    <w:p w:rsidR="00EC3188" w:rsidRPr="003E0D44" w:rsidRDefault="00EC3188" w:rsidP="00A339B5">
      <w:pPr>
        <w:pStyle w:val="BodyText"/>
        <w:ind w:left="709"/>
        <w:rPr>
          <w:rFonts w:ascii="Verdana" w:hAnsi="Verdana"/>
          <w:bCs/>
        </w:rPr>
      </w:pPr>
    </w:p>
    <w:p w:rsidR="00511588" w:rsidRPr="003E0D44" w:rsidRDefault="0026244D">
      <w:pPr>
        <w:rPr>
          <w:rFonts w:ascii="Verdana" w:hAnsi="Verdana" w:cs="Arial"/>
          <w:b/>
          <w:sz w:val="22"/>
          <w:szCs w:val="22"/>
        </w:rPr>
      </w:pPr>
      <w:r w:rsidRPr="003E0D44">
        <w:rPr>
          <w:rFonts w:ascii="Verdana" w:hAnsi="Verdana" w:cs="Arial"/>
          <w:b/>
          <w:sz w:val="22"/>
          <w:szCs w:val="22"/>
        </w:rPr>
        <w:t xml:space="preserve">3 </w:t>
      </w:r>
      <w:r w:rsidRPr="003E0D44">
        <w:rPr>
          <w:rFonts w:ascii="Verdana" w:hAnsi="Verdana" w:cs="Arial"/>
          <w:b/>
          <w:sz w:val="22"/>
          <w:szCs w:val="22"/>
        </w:rPr>
        <w:tab/>
        <w:t>Resources and Approach</w:t>
      </w:r>
    </w:p>
    <w:p w:rsidR="00591710" w:rsidRPr="003E0D44" w:rsidRDefault="005A676E" w:rsidP="00591710">
      <w:pPr>
        <w:ind w:left="709"/>
        <w:rPr>
          <w:rFonts w:ascii="Verdana" w:hAnsi="Verdana" w:cs="Arial"/>
          <w:sz w:val="22"/>
          <w:szCs w:val="22"/>
        </w:rPr>
      </w:pPr>
      <w:r w:rsidRPr="003E0D44">
        <w:rPr>
          <w:rFonts w:ascii="Verdana" w:hAnsi="Verdana" w:cs="Arial"/>
          <w:sz w:val="22"/>
          <w:szCs w:val="22"/>
        </w:rPr>
        <w:t xml:space="preserve">Theatre staff </w:t>
      </w:r>
      <w:r w:rsidR="00591710" w:rsidRPr="003E0D44">
        <w:rPr>
          <w:rFonts w:ascii="Verdana" w:hAnsi="Verdana" w:cs="Arial"/>
          <w:sz w:val="22"/>
          <w:szCs w:val="22"/>
        </w:rPr>
        <w:t>are</w:t>
      </w:r>
      <w:r w:rsidR="007C1D6C" w:rsidRPr="003E0D44">
        <w:rPr>
          <w:rFonts w:ascii="Verdana" w:hAnsi="Verdana" w:cs="Arial"/>
          <w:sz w:val="22"/>
          <w:szCs w:val="22"/>
        </w:rPr>
        <w:t xml:space="preserve"> fully</w:t>
      </w:r>
      <w:r w:rsidR="00591710" w:rsidRPr="003E0D44">
        <w:rPr>
          <w:rFonts w:ascii="Verdana" w:hAnsi="Verdana" w:cs="Arial"/>
          <w:sz w:val="22"/>
          <w:szCs w:val="22"/>
        </w:rPr>
        <w:t xml:space="preserve"> aware</w:t>
      </w:r>
      <w:r w:rsidR="00DD4F5B" w:rsidRPr="003E0D44">
        <w:rPr>
          <w:rFonts w:ascii="Verdana" w:hAnsi="Verdana" w:cs="Arial"/>
          <w:sz w:val="22"/>
          <w:szCs w:val="22"/>
        </w:rPr>
        <w:t>,</w:t>
      </w:r>
      <w:r w:rsidR="00591710" w:rsidRPr="003E0D44">
        <w:rPr>
          <w:rFonts w:ascii="Verdana" w:hAnsi="Verdana" w:cs="Arial"/>
          <w:sz w:val="22"/>
          <w:szCs w:val="22"/>
        </w:rPr>
        <w:t xml:space="preserve"> from the industry and customer comments, that customer expectations when booking tickets are high and the theatre must strive to meet </w:t>
      </w:r>
      <w:r w:rsidR="00BD1FB0" w:rsidRPr="003E0D44">
        <w:rPr>
          <w:rFonts w:ascii="Verdana" w:hAnsi="Verdana" w:cs="Arial"/>
          <w:sz w:val="22"/>
          <w:szCs w:val="22"/>
        </w:rPr>
        <w:t>these.</w:t>
      </w:r>
      <w:r w:rsidR="00591710" w:rsidRPr="003E0D44">
        <w:rPr>
          <w:rFonts w:ascii="Verdana" w:hAnsi="Verdana" w:cs="Arial"/>
          <w:sz w:val="22"/>
          <w:szCs w:val="22"/>
        </w:rPr>
        <w:t xml:space="preserve"> </w:t>
      </w:r>
      <w:r w:rsidR="007C1D6C" w:rsidRPr="003E0D44">
        <w:rPr>
          <w:rFonts w:ascii="Verdana" w:hAnsi="Verdana" w:cs="Arial"/>
          <w:sz w:val="22"/>
          <w:szCs w:val="22"/>
        </w:rPr>
        <w:t>Any new system must be flexible and accessible across all digital platforms. There is a need for a future proofed system with Access Control ticketing in place. The world of ticketing is a fast moving industry and the company who successfully wins this contract must be able to demonstrate how they are proactively working to develop and evolve their system. Eastbourne Theatres</w:t>
      </w:r>
      <w:r w:rsidR="00591710" w:rsidRPr="003E0D44">
        <w:rPr>
          <w:rFonts w:ascii="Verdana" w:hAnsi="Verdana" w:cs="Arial"/>
          <w:sz w:val="22"/>
          <w:szCs w:val="22"/>
        </w:rPr>
        <w:t xml:space="preserve"> </w:t>
      </w:r>
      <w:r w:rsidR="004F4614" w:rsidRPr="003E0D44">
        <w:rPr>
          <w:rFonts w:ascii="Verdana" w:hAnsi="Verdana" w:cs="Arial"/>
          <w:sz w:val="22"/>
          <w:szCs w:val="22"/>
        </w:rPr>
        <w:t xml:space="preserve">Artistic Director </w:t>
      </w:r>
      <w:r w:rsidR="00591710" w:rsidRPr="003E0D44">
        <w:rPr>
          <w:rFonts w:ascii="Verdana" w:hAnsi="Verdana" w:cs="Arial"/>
          <w:sz w:val="22"/>
          <w:szCs w:val="22"/>
        </w:rPr>
        <w:t xml:space="preserve">and Marketing Manager will lead the </w:t>
      </w:r>
      <w:r w:rsidR="00BD1FB0" w:rsidRPr="003E0D44">
        <w:rPr>
          <w:rFonts w:ascii="Verdana" w:hAnsi="Verdana" w:cs="Arial"/>
          <w:sz w:val="22"/>
          <w:szCs w:val="22"/>
        </w:rPr>
        <w:t xml:space="preserve">procurement </w:t>
      </w:r>
      <w:r w:rsidR="00591710" w:rsidRPr="003E0D44">
        <w:rPr>
          <w:rFonts w:ascii="Verdana" w:hAnsi="Verdana" w:cs="Arial"/>
          <w:sz w:val="22"/>
          <w:szCs w:val="22"/>
        </w:rPr>
        <w:t xml:space="preserve">process to ensure that </w:t>
      </w:r>
      <w:r w:rsidR="004F4614" w:rsidRPr="003E0D44">
        <w:rPr>
          <w:rFonts w:ascii="Verdana" w:hAnsi="Verdana" w:cs="Arial"/>
          <w:sz w:val="22"/>
          <w:szCs w:val="22"/>
        </w:rPr>
        <w:t>Eastbourne Theatres</w:t>
      </w:r>
      <w:r w:rsidR="00591710" w:rsidRPr="003E0D44">
        <w:rPr>
          <w:rFonts w:ascii="Verdana" w:hAnsi="Verdana" w:cs="Arial"/>
          <w:sz w:val="22"/>
          <w:szCs w:val="22"/>
        </w:rPr>
        <w:t xml:space="preserve"> is offering the best level of service </w:t>
      </w:r>
      <w:r w:rsidR="00C65F1D" w:rsidRPr="003E0D44">
        <w:rPr>
          <w:rFonts w:ascii="Verdana" w:hAnsi="Verdana" w:cs="Arial"/>
          <w:sz w:val="22"/>
          <w:szCs w:val="22"/>
        </w:rPr>
        <w:t>possible</w:t>
      </w:r>
      <w:r w:rsidR="00591710" w:rsidRPr="003E0D44">
        <w:rPr>
          <w:rFonts w:ascii="Verdana" w:hAnsi="Verdana" w:cs="Arial"/>
          <w:sz w:val="22"/>
          <w:szCs w:val="22"/>
        </w:rPr>
        <w:t xml:space="preserve"> via </w:t>
      </w:r>
      <w:r w:rsidR="00BC0232" w:rsidRPr="003E0D44">
        <w:rPr>
          <w:rFonts w:ascii="Verdana" w:hAnsi="Verdana" w:cs="Arial"/>
          <w:sz w:val="22"/>
          <w:szCs w:val="22"/>
        </w:rPr>
        <w:t>its</w:t>
      </w:r>
      <w:r w:rsidR="00591710" w:rsidRPr="003E0D44">
        <w:rPr>
          <w:rFonts w:ascii="Verdana" w:hAnsi="Verdana" w:cs="Arial"/>
          <w:sz w:val="22"/>
          <w:szCs w:val="22"/>
        </w:rPr>
        <w:t xml:space="preserve"> booking system.</w:t>
      </w:r>
    </w:p>
    <w:p w:rsidR="00591710" w:rsidRPr="003E0D44" w:rsidRDefault="00591710" w:rsidP="00591710">
      <w:pPr>
        <w:ind w:left="709"/>
        <w:rPr>
          <w:rFonts w:ascii="Verdana" w:hAnsi="Verdana" w:cs="Arial"/>
          <w:sz w:val="22"/>
          <w:szCs w:val="22"/>
        </w:rPr>
      </w:pPr>
    </w:p>
    <w:p w:rsidR="00C65F1D" w:rsidRPr="003E0D44" w:rsidRDefault="00630A0E" w:rsidP="00591710">
      <w:pPr>
        <w:ind w:left="709"/>
        <w:rPr>
          <w:rFonts w:ascii="Verdana" w:hAnsi="Verdana" w:cs="Arial"/>
          <w:sz w:val="22"/>
          <w:szCs w:val="22"/>
        </w:rPr>
      </w:pPr>
      <w:r w:rsidRPr="003E0D44">
        <w:rPr>
          <w:rFonts w:ascii="Verdana" w:hAnsi="Verdana" w:cs="Arial"/>
          <w:sz w:val="22"/>
          <w:szCs w:val="22"/>
        </w:rPr>
        <w:t>The councils IT team</w:t>
      </w:r>
      <w:r w:rsidR="00A066BB" w:rsidRPr="003E0D44">
        <w:rPr>
          <w:rFonts w:ascii="Verdana" w:hAnsi="Verdana" w:cs="Arial"/>
          <w:sz w:val="22"/>
          <w:szCs w:val="22"/>
        </w:rPr>
        <w:t xml:space="preserve"> are also support</w:t>
      </w:r>
      <w:r w:rsidR="007C1D6C" w:rsidRPr="003E0D44">
        <w:rPr>
          <w:rFonts w:ascii="Verdana" w:hAnsi="Verdana" w:cs="Arial"/>
          <w:sz w:val="22"/>
          <w:szCs w:val="22"/>
        </w:rPr>
        <w:t>ing</w:t>
      </w:r>
      <w:r w:rsidR="00A066BB" w:rsidRPr="003E0D44">
        <w:rPr>
          <w:rFonts w:ascii="Verdana" w:hAnsi="Verdana" w:cs="Arial"/>
          <w:sz w:val="22"/>
          <w:szCs w:val="22"/>
        </w:rPr>
        <w:t xml:space="preserve"> this procurement</w:t>
      </w:r>
      <w:r w:rsidR="00BC0232" w:rsidRPr="003E0D44">
        <w:rPr>
          <w:rFonts w:ascii="Verdana" w:hAnsi="Verdana" w:cs="Arial"/>
          <w:sz w:val="22"/>
          <w:szCs w:val="22"/>
        </w:rPr>
        <w:t xml:space="preserve">. </w:t>
      </w:r>
      <w:r w:rsidR="00A066BB" w:rsidRPr="003E0D44">
        <w:rPr>
          <w:rFonts w:ascii="Verdana" w:hAnsi="Verdana" w:cs="Arial"/>
          <w:sz w:val="22"/>
          <w:szCs w:val="22"/>
        </w:rPr>
        <w:t xml:space="preserve">They </w:t>
      </w:r>
      <w:r w:rsidR="00C65F1D" w:rsidRPr="003E0D44">
        <w:rPr>
          <w:rFonts w:ascii="Verdana" w:hAnsi="Verdana" w:cs="Arial"/>
          <w:sz w:val="22"/>
          <w:szCs w:val="22"/>
        </w:rPr>
        <w:t>will assist</w:t>
      </w:r>
      <w:r w:rsidR="00591710" w:rsidRPr="003E0D44">
        <w:rPr>
          <w:rFonts w:ascii="Verdana" w:hAnsi="Verdana" w:cs="Arial"/>
          <w:sz w:val="22"/>
          <w:szCs w:val="22"/>
        </w:rPr>
        <w:t xml:space="preserve"> with the migration process, set up and implementation of the new system</w:t>
      </w:r>
      <w:r w:rsidR="004F4614" w:rsidRPr="003E0D44">
        <w:rPr>
          <w:rFonts w:ascii="Verdana" w:hAnsi="Verdana" w:cs="Arial"/>
          <w:sz w:val="22"/>
          <w:szCs w:val="22"/>
        </w:rPr>
        <w:t xml:space="preserve">. The theatres website provider, Tincan, will also be involved with </w:t>
      </w:r>
      <w:r w:rsidR="00591710" w:rsidRPr="003E0D44">
        <w:rPr>
          <w:rFonts w:ascii="Verdana" w:hAnsi="Verdana" w:cs="Arial"/>
          <w:sz w:val="22"/>
          <w:szCs w:val="22"/>
        </w:rPr>
        <w:t xml:space="preserve">any development </w:t>
      </w:r>
      <w:r w:rsidR="004F4614" w:rsidRPr="003E0D44">
        <w:rPr>
          <w:rFonts w:ascii="Verdana" w:hAnsi="Verdana" w:cs="Arial"/>
          <w:sz w:val="22"/>
          <w:szCs w:val="22"/>
        </w:rPr>
        <w:t xml:space="preserve">required </w:t>
      </w:r>
      <w:r w:rsidR="00591710" w:rsidRPr="003E0D44">
        <w:rPr>
          <w:rFonts w:ascii="Verdana" w:hAnsi="Verdana" w:cs="Arial"/>
          <w:sz w:val="22"/>
          <w:szCs w:val="22"/>
        </w:rPr>
        <w:t>of the theatres existing website</w:t>
      </w:r>
      <w:r w:rsidR="005A676E" w:rsidRPr="003E0D44">
        <w:rPr>
          <w:rFonts w:ascii="Verdana" w:hAnsi="Verdana" w:cs="Arial"/>
          <w:sz w:val="22"/>
          <w:szCs w:val="22"/>
        </w:rPr>
        <w:t xml:space="preserve"> to </w:t>
      </w:r>
      <w:r w:rsidR="007C1D6C" w:rsidRPr="003E0D44">
        <w:rPr>
          <w:rFonts w:ascii="Verdana" w:hAnsi="Verdana" w:cs="Arial"/>
          <w:sz w:val="22"/>
          <w:szCs w:val="22"/>
        </w:rPr>
        <w:t xml:space="preserve">ensure </w:t>
      </w:r>
      <w:r w:rsidR="005A676E" w:rsidRPr="003E0D44">
        <w:rPr>
          <w:rFonts w:ascii="Verdana" w:hAnsi="Verdana" w:cs="Arial"/>
          <w:sz w:val="22"/>
          <w:szCs w:val="22"/>
        </w:rPr>
        <w:t>integrat</w:t>
      </w:r>
      <w:r w:rsidR="007C1D6C" w:rsidRPr="003E0D44">
        <w:rPr>
          <w:rFonts w:ascii="Verdana" w:hAnsi="Verdana" w:cs="Arial"/>
          <w:sz w:val="22"/>
          <w:szCs w:val="22"/>
        </w:rPr>
        <w:t>ion</w:t>
      </w:r>
      <w:r w:rsidR="005A676E" w:rsidRPr="003E0D44">
        <w:rPr>
          <w:rFonts w:ascii="Verdana" w:hAnsi="Verdana" w:cs="Arial"/>
          <w:sz w:val="22"/>
          <w:szCs w:val="22"/>
        </w:rPr>
        <w:t xml:space="preserve"> with the new system</w:t>
      </w:r>
      <w:r w:rsidR="00A066BB" w:rsidRPr="003E0D44">
        <w:rPr>
          <w:rFonts w:ascii="Verdana" w:hAnsi="Verdana" w:cs="Arial"/>
          <w:sz w:val="22"/>
          <w:szCs w:val="22"/>
        </w:rPr>
        <w:t>.</w:t>
      </w:r>
    </w:p>
    <w:p w:rsidR="00A066BB" w:rsidRPr="003E0D44" w:rsidRDefault="00A066BB" w:rsidP="00591710">
      <w:pPr>
        <w:ind w:left="709"/>
        <w:rPr>
          <w:rFonts w:ascii="Verdana" w:hAnsi="Verdana" w:cs="Arial"/>
          <w:sz w:val="22"/>
          <w:szCs w:val="22"/>
        </w:rPr>
      </w:pPr>
    </w:p>
    <w:p w:rsidR="00630A0E" w:rsidRPr="003E0D44" w:rsidRDefault="00A066BB" w:rsidP="00591710">
      <w:pPr>
        <w:ind w:left="709"/>
        <w:rPr>
          <w:rFonts w:ascii="Verdana" w:hAnsi="Verdana" w:cs="Arial"/>
          <w:sz w:val="22"/>
          <w:szCs w:val="22"/>
        </w:rPr>
      </w:pPr>
      <w:r w:rsidRPr="003E0D44">
        <w:rPr>
          <w:rFonts w:ascii="Verdana" w:hAnsi="Verdana" w:cs="Arial"/>
          <w:sz w:val="22"/>
          <w:szCs w:val="22"/>
        </w:rPr>
        <w:t xml:space="preserve">The contract will commence </w:t>
      </w:r>
      <w:r w:rsidR="00AE3D16" w:rsidRPr="003E0D44">
        <w:rPr>
          <w:rFonts w:ascii="Verdana" w:hAnsi="Verdana" w:cs="Arial"/>
          <w:sz w:val="22"/>
          <w:szCs w:val="22"/>
        </w:rPr>
        <w:t>August 2016</w:t>
      </w:r>
      <w:r w:rsidRPr="003E0D44">
        <w:rPr>
          <w:rFonts w:ascii="Verdana" w:hAnsi="Verdana" w:cs="Arial"/>
          <w:sz w:val="22"/>
          <w:szCs w:val="22"/>
        </w:rPr>
        <w:t xml:space="preserve">. </w:t>
      </w:r>
      <w:r w:rsidR="00630A0E" w:rsidRPr="003E0D44">
        <w:rPr>
          <w:rFonts w:ascii="Verdana" w:hAnsi="Verdana" w:cs="Arial"/>
          <w:sz w:val="22"/>
          <w:szCs w:val="22"/>
        </w:rPr>
        <w:t xml:space="preserve">Launch of the new system will take place </w:t>
      </w:r>
      <w:r w:rsidR="007C1D6C" w:rsidRPr="003E0D44">
        <w:rPr>
          <w:rFonts w:ascii="Verdana" w:hAnsi="Verdana" w:cs="Arial"/>
          <w:sz w:val="22"/>
          <w:szCs w:val="22"/>
        </w:rPr>
        <w:t>in</w:t>
      </w:r>
      <w:r w:rsidR="00630A0E" w:rsidRPr="003E0D44">
        <w:rPr>
          <w:rFonts w:ascii="Verdana" w:hAnsi="Verdana" w:cs="Arial"/>
          <w:sz w:val="22"/>
          <w:szCs w:val="22"/>
        </w:rPr>
        <w:t xml:space="preserve"> </w:t>
      </w:r>
      <w:r w:rsidR="00AE3D16" w:rsidRPr="003E0D44">
        <w:rPr>
          <w:rFonts w:ascii="Verdana" w:hAnsi="Verdana" w:cs="Arial"/>
          <w:sz w:val="22"/>
          <w:szCs w:val="22"/>
        </w:rPr>
        <w:t>September</w:t>
      </w:r>
      <w:r w:rsidR="00630A0E" w:rsidRPr="003E0D44">
        <w:rPr>
          <w:rFonts w:ascii="Verdana" w:hAnsi="Verdana" w:cs="Arial"/>
          <w:sz w:val="22"/>
          <w:szCs w:val="22"/>
        </w:rPr>
        <w:t>, with any training, data migration and website functionality up</w:t>
      </w:r>
      <w:r w:rsidR="004F4614" w:rsidRPr="003E0D44">
        <w:rPr>
          <w:rFonts w:ascii="Verdana" w:hAnsi="Verdana" w:cs="Arial"/>
          <w:sz w:val="22"/>
          <w:szCs w:val="22"/>
        </w:rPr>
        <w:t xml:space="preserve">dating taking place </w:t>
      </w:r>
      <w:r w:rsidR="00AE3D16" w:rsidRPr="003E0D44">
        <w:rPr>
          <w:rFonts w:ascii="Verdana" w:hAnsi="Verdana" w:cs="Arial"/>
          <w:sz w:val="22"/>
          <w:szCs w:val="22"/>
        </w:rPr>
        <w:t>during August/September 2016</w:t>
      </w:r>
      <w:r w:rsidR="00630A0E" w:rsidRPr="003E0D44">
        <w:rPr>
          <w:rFonts w:ascii="Verdana" w:hAnsi="Verdana" w:cs="Arial"/>
          <w:sz w:val="22"/>
          <w:szCs w:val="22"/>
        </w:rPr>
        <w:t>.</w:t>
      </w:r>
    </w:p>
    <w:p w:rsidR="00630A0E" w:rsidRPr="003E0D44" w:rsidRDefault="00630A0E" w:rsidP="00591710">
      <w:pPr>
        <w:ind w:left="709"/>
        <w:rPr>
          <w:rFonts w:ascii="Verdana" w:hAnsi="Verdana" w:cs="Arial"/>
          <w:sz w:val="22"/>
          <w:szCs w:val="22"/>
        </w:rPr>
      </w:pPr>
    </w:p>
    <w:p w:rsidR="003E0D44" w:rsidRDefault="00630A0E" w:rsidP="003E0D44">
      <w:pPr>
        <w:ind w:left="709"/>
        <w:rPr>
          <w:rFonts w:ascii="Verdana" w:hAnsi="Verdana" w:cs="Arial"/>
          <w:sz w:val="22"/>
          <w:szCs w:val="22"/>
        </w:rPr>
      </w:pPr>
      <w:r w:rsidRPr="003E0D44">
        <w:rPr>
          <w:rFonts w:ascii="Verdana" w:hAnsi="Verdana" w:cs="Arial"/>
          <w:sz w:val="22"/>
          <w:szCs w:val="22"/>
        </w:rPr>
        <w:t>The system must be ready, operating fully</w:t>
      </w:r>
      <w:r w:rsidR="00D867E3" w:rsidRPr="003E0D44">
        <w:rPr>
          <w:rFonts w:ascii="Verdana" w:hAnsi="Verdana" w:cs="Arial"/>
          <w:sz w:val="22"/>
          <w:szCs w:val="22"/>
        </w:rPr>
        <w:t>,</w:t>
      </w:r>
      <w:r w:rsidRPr="003E0D44">
        <w:rPr>
          <w:rFonts w:ascii="Verdana" w:hAnsi="Verdana" w:cs="Arial"/>
          <w:sz w:val="22"/>
          <w:szCs w:val="22"/>
        </w:rPr>
        <w:t xml:space="preserve"> with staff trained </w:t>
      </w:r>
      <w:r w:rsidR="007C1D6C" w:rsidRPr="003E0D44">
        <w:rPr>
          <w:rFonts w:ascii="Verdana" w:hAnsi="Verdana" w:cs="Arial"/>
          <w:sz w:val="22"/>
          <w:szCs w:val="22"/>
        </w:rPr>
        <w:t>during</w:t>
      </w:r>
      <w:r w:rsidRPr="003E0D44">
        <w:rPr>
          <w:rFonts w:ascii="Verdana" w:hAnsi="Verdana" w:cs="Arial"/>
          <w:sz w:val="22"/>
          <w:szCs w:val="22"/>
        </w:rPr>
        <w:t xml:space="preserve"> </w:t>
      </w:r>
      <w:r w:rsidR="004F4614" w:rsidRPr="003E0D44">
        <w:rPr>
          <w:rFonts w:ascii="Verdana" w:hAnsi="Verdana" w:cs="Arial"/>
          <w:sz w:val="22"/>
          <w:szCs w:val="22"/>
        </w:rPr>
        <w:t>September 2016</w:t>
      </w:r>
      <w:r w:rsidR="00C65F1D" w:rsidRPr="003E0D44">
        <w:rPr>
          <w:rFonts w:ascii="Verdana" w:hAnsi="Verdana" w:cs="Arial"/>
          <w:sz w:val="22"/>
          <w:szCs w:val="22"/>
        </w:rPr>
        <w:t>.</w:t>
      </w:r>
    </w:p>
    <w:p w:rsidR="003E0D44" w:rsidRDefault="003E0D44" w:rsidP="003E0D44">
      <w:pPr>
        <w:rPr>
          <w:rFonts w:ascii="Verdana" w:hAnsi="Verdana" w:cs="Arial"/>
          <w:sz w:val="22"/>
          <w:szCs w:val="22"/>
        </w:rPr>
      </w:pPr>
    </w:p>
    <w:p w:rsidR="003E0D44" w:rsidRDefault="003E0D44" w:rsidP="003E0D44">
      <w:pPr>
        <w:rPr>
          <w:rFonts w:ascii="Verdana" w:hAnsi="Verdana" w:cs="Arial"/>
          <w:b/>
          <w:sz w:val="22"/>
          <w:szCs w:val="22"/>
        </w:rPr>
      </w:pPr>
      <w:r w:rsidRPr="003E0D44">
        <w:rPr>
          <w:rFonts w:ascii="Verdana" w:hAnsi="Verdana" w:cs="Arial"/>
          <w:b/>
          <w:sz w:val="22"/>
          <w:szCs w:val="22"/>
        </w:rPr>
        <w:t>4</w:t>
      </w:r>
      <w:r>
        <w:rPr>
          <w:rFonts w:ascii="Verdana" w:hAnsi="Verdana" w:cs="Arial"/>
          <w:b/>
          <w:sz w:val="22"/>
          <w:szCs w:val="22"/>
        </w:rPr>
        <w:tab/>
        <w:t>Proposed Timetable</w:t>
      </w:r>
    </w:p>
    <w:p w:rsidR="003E0D44" w:rsidRDefault="003E0D44" w:rsidP="003E0D44">
      <w:pPr>
        <w:rPr>
          <w:rFonts w:ascii="Verdana" w:hAnsi="Verdana" w:cs="Arial"/>
          <w:b/>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7229"/>
      </w:tblGrid>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29</w:t>
            </w:r>
            <w:r w:rsidRPr="00345ADB">
              <w:rPr>
                <w:rFonts w:ascii="Verdana" w:hAnsi="Verdana"/>
                <w:sz w:val="22"/>
                <w:szCs w:val="22"/>
                <w:vertAlign w:val="superscript"/>
              </w:rPr>
              <w:t>th</w:t>
            </w:r>
            <w:r>
              <w:rPr>
                <w:rFonts w:ascii="Verdana" w:hAnsi="Verdana"/>
                <w:sz w:val="22"/>
                <w:szCs w:val="22"/>
              </w:rPr>
              <w:t xml:space="preserve"> April</w:t>
            </w:r>
            <w:r w:rsidRPr="00926F9E">
              <w:rPr>
                <w:rFonts w:ascii="Verdana" w:hAnsi="Verdana"/>
                <w:sz w:val="22"/>
                <w:szCs w:val="22"/>
              </w:rPr>
              <w:t xml:space="preserve"> </w:t>
            </w:r>
            <w:r>
              <w:rPr>
                <w:rFonts w:ascii="Verdana" w:hAnsi="Verdana"/>
                <w:sz w:val="22"/>
                <w:szCs w:val="22"/>
              </w:rPr>
              <w:t>2016</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 xml:space="preserve">Issue of </w:t>
            </w:r>
            <w:r>
              <w:rPr>
                <w:rFonts w:ascii="Verdana" w:hAnsi="Verdana"/>
                <w:sz w:val="22"/>
                <w:szCs w:val="22"/>
              </w:rPr>
              <w:t>Pre-Qualification Questionnaire (PQQ)</w:t>
            </w:r>
            <w:r w:rsidRPr="00926F9E">
              <w:rPr>
                <w:rFonts w:ascii="Verdana" w:hAnsi="Verdana"/>
                <w:sz w:val="22"/>
                <w:szCs w:val="22"/>
              </w:rPr>
              <w:t>.</w:t>
            </w:r>
          </w:p>
        </w:tc>
      </w:tr>
      <w:tr w:rsidR="00F80A73" w:rsidRPr="00926F9E" w:rsidTr="00B239CD">
        <w:tc>
          <w:tcPr>
            <w:tcW w:w="2410" w:type="dxa"/>
          </w:tcPr>
          <w:p w:rsidR="00F80A73" w:rsidRDefault="00F80A73" w:rsidP="00B239CD">
            <w:pPr>
              <w:spacing w:before="80" w:after="80"/>
              <w:rPr>
                <w:rFonts w:ascii="Verdana" w:hAnsi="Verdana"/>
                <w:sz w:val="22"/>
                <w:szCs w:val="22"/>
              </w:rPr>
            </w:pPr>
            <w:r>
              <w:rPr>
                <w:rFonts w:ascii="Verdana" w:hAnsi="Verdana"/>
                <w:sz w:val="22"/>
                <w:szCs w:val="22"/>
              </w:rPr>
              <w:t>31</w:t>
            </w:r>
            <w:r w:rsidRPr="00132166">
              <w:rPr>
                <w:rFonts w:ascii="Verdana" w:hAnsi="Verdana"/>
                <w:sz w:val="22"/>
                <w:szCs w:val="22"/>
                <w:vertAlign w:val="superscript"/>
              </w:rPr>
              <w:t>st</w:t>
            </w:r>
            <w:r>
              <w:rPr>
                <w:rFonts w:ascii="Verdana" w:hAnsi="Verdana"/>
                <w:sz w:val="22"/>
                <w:szCs w:val="22"/>
              </w:rPr>
              <w:t xml:space="preserve"> May 2016</w:t>
            </w:r>
          </w:p>
        </w:tc>
        <w:tc>
          <w:tcPr>
            <w:tcW w:w="7229" w:type="dxa"/>
          </w:tcPr>
          <w:p w:rsidR="00F80A73" w:rsidRPr="00926F9E" w:rsidRDefault="00F80A73" w:rsidP="00B239CD">
            <w:pPr>
              <w:spacing w:before="80" w:after="80"/>
              <w:rPr>
                <w:rFonts w:ascii="Verdana" w:hAnsi="Verdana"/>
                <w:sz w:val="22"/>
                <w:szCs w:val="22"/>
              </w:rPr>
            </w:pPr>
            <w:r>
              <w:rPr>
                <w:rFonts w:ascii="Verdana" w:hAnsi="Verdana"/>
                <w:sz w:val="22"/>
                <w:szCs w:val="22"/>
              </w:rPr>
              <w:t>Return date for PQQs</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10</w:t>
            </w:r>
            <w:r w:rsidRPr="00926F9E">
              <w:rPr>
                <w:rFonts w:ascii="Verdana" w:hAnsi="Verdana"/>
                <w:sz w:val="22"/>
                <w:szCs w:val="22"/>
                <w:vertAlign w:val="superscript"/>
              </w:rPr>
              <w:t>th</w:t>
            </w:r>
            <w:r>
              <w:rPr>
                <w:rFonts w:ascii="Verdana" w:hAnsi="Verdana"/>
                <w:sz w:val="22"/>
                <w:szCs w:val="22"/>
              </w:rPr>
              <w:t xml:space="preserve"> June 2016</w:t>
            </w:r>
          </w:p>
        </w:tc>
        <w:tc>
          <w:tcPr>
            <w:tcW w:w="7229" w:type="dxa"/>
          </w:tcPr>
          <w:p w:rsidR="00F80A73" w:rsidRPr="00926F9E" w:rsidRDefault="00F80A73" w:rsidP="00B239CD">
            <w:pPr>
              <w:spacing w:before="80" w:after="80"/>
              <w:rPr>
                <w:rFonts w:ascii="Verdana" w:hAnsi="Verdana"/>
                <w:sz w:val="22"/>
                <w:szCs w:val="22"/>
              </w:rPr>
            </w:pPr>
            <w:r>
              <w:rPr>
                <w:rFonts w:ascii="Verdana" w:hAnsi="Verdana"/>
                <w:sz w:val="22"/>
                <w:szCs w:val="22"/>
              </w:rPr>
              <w:t xml:space="preserve">Notification of PQQ results &amp; </w:t>
            </w:r>
            <w:r w:rsidRPr="00926F9E">
              <w:rPr>
                <w:rFonts w:ascii="Verdana" w:hAnsi="Verdana"/>
                <w:sz w:val="22"/>
                <w:szCs w:val="22"/>
              </w:rPr>
              <w:t>Issue of Invitations to Tender</w:t>
            </w:r>
          </w:p>
        </w:tc>
      </w:tr>
      <w:tr w:rsidR="00F80A73" w:rsidRPr="00926F9E" w:rsidTr="00B239CD">
        <w:tc>
          <w:tcPr>
            <w:tcW w:w="2410" w:type="dxa"/>
          </w:tcPr>
          <w:p w:rsidR="00F80A73" w:rsidRPr="00926F9E" w:rsidRDefault="00F80A73" w:rsidP="00B239CD">
            <w:pPr>
              <w:spacing w:before="80" w:after="80"/>
            </w:pPr>
            <w:r>
              <w:rPr>
                <w:rFonts w:ascii="Verdana" w:hAnsi="Verdana"/>
                <w:sz w:val="22"/>
                <w:szCs w:val="22"/>
              </w:rPr>
              <w:t>1</w:t>
            </w:r>
            <w:r w:rsidRPr="00132166">
              <w:rPr>
                <w:rFonts w:ascii="Verdana" w:hAnsi="Verdana"/>
                <w:sz w:val="22"/>
                <w:szCs w:val="22"/>
                <w:vertAlign w:val="superscript"/>
              </w:rPr>
              <w:t>st</w:t>
            </w:r>
            <w:r>
              <w:rPr>
                <w:rFonts w:ascii="Verdana" w:hAnsi="Verdana"/>
                <w:sz w:val="22"/>
                <w:szCs w:val="22"/>
              </w:rPr>
              <w:t xml:space="preserve"> July</w:t>
            </w:r>
            <w:r w:rsidRPr="00926F9E">
              <w:rPr>
                <w:rFonts w:ascii="Verdana" w:hAnsi="Verdana"/>
                <w:sz w:val="22"/>
                <w:szCs w:val="22"/>
              </w:rPr>
              <w:t xml:space="preserve"> </w:t>
            </w:r>
            <w:r>
              <w:rPr>
                <w:rFonts w:ascii="Verdana" w:hAnsi="Verdana"/>
                <w:sz w:val="22"/>
                <w:szCs w:val="22"/>
              </w:rPr>
              <w:t>2016</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Last date for questions</w:t>
            </w:r>
          </w:p>
        </w:tc>
      </w:tr>
      <w:tr w:rsidR="00F80A73" w:rsidRPr="00926F9E" w:rsidTr="00B239CD">
        <w:tc>
          <w:tcPr>
            <w:tcW w:w="2410" w:type="dxa"/>
          </w:tcPr>
          <w:p w:rsidR="00F80A73" w:rsidRPr="00926F9E" w:rsidRDefault="00F80A73" w:rsidP="00B239CD">
            <w:pPr>
              <w:spacing w:before="80" w:after="80"/>
            </w:pPr>
            <w:r>
              <w:rPr>
                <w:rFonts w:ascii="Verdana" w:hAnsi="Verdana"/>
                <w:sz w:val="22"/>
                <w:szCs w:val="22"/>
              </w:rPr>
              <w:lastRenderedPageBreak/>
              <w:t>6</w:t>
            </w:r>
            <w:r w:rsidRPr="00132166">
              <w:rPr>
                <w:rFonts w:ascii="Verdana" w:hAnsi="Verdana"/>
                <w:sz w:val="22"/>
                <w:szCs w:val="22"/>
                <w:vertAlign w:val="superscript"/>
              </w:rPr>
              <w:t>th</w:t>
            </w:r>
            <w:r>
              <w:rPr>
                <w:rFonts w:ascii="Verdana" w:hAnsi="Verdana"/>
                <w:sz w:val="22"/>
                <w:szCs w:val="22"/>
              </w:rPr>
              <w:t xml:space="preserve"> July</w:t>
            </w:r>
            <w:r w:rsidRPr="00926F9E">
              <w:rPr>
                <w:rFonts w:ascii="Verdana" w:hAnsi="Verdana"/>
                <w:sz w:val="22"/>
                <w:szCs w:val="22"/>
              </w:rPr>
              <w:t xml:space="preserve"> </w:t>
            </w:r>
            <w:r>
              <w:rPr>
                <w:rFonts w:ascii="Verdana" w:hAnsi="Verdana"/>
                <w:sz w:val="22"/>
                <w:szCs w:val="22"/>
              </w:rPr>
              <w:t>2016</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Final EBC response to questions</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15</w:t>
            </w:r>
            <w:r w:rsidRPr="00926F9E">
              <w:rPr>
                <w:rFonts w:ascii="Verdana" w:hAnsi="Verdana"/>
                <w:sz w:val="22"/>
                <w:szCs w:val="22"/>
                <w:vertAlign w:val="superscript"/>
              </w:rPr>
              <w:t>th</w:t>
            </w:r>
            <w:r w:rsidRPr="00926F9E">
              <w:rPr>
                <w:rFonts w:ascii="Verdana" w:hAnsi="Verdana"/>
                <w:sz w:val="22"/>
                <w:szCs w:val="22"/>
              </w:rPr>
              <w:t xml:space="preserve"> </w:t>
            </w:r>
            <w:r>
              <w:rPr>
                <w:rFonts w:ascii="Verdana" w:hAnsi="Verdana"/>
                <w:sz w:val="22"/>
                <w:szCs w:val="22"/>
              </w:rPr>
              <w:t>July</w:t>
            </w:r>
            <w:r w:rsidRPr="00926F9E">
              <w:rPr>
                <w:rFonts w:ascii="Verdana" w:hAnsi="Verdana"/>
                <w:sz w:val="22"/>
                <w:szCs w:val="22"/>
              </w:rPr>
              <w:t xml:space="preserve"> </w:t>
            </w:r>
            <w:r>
              <w:rPr>
                <w:rFonts w:ascii="Verdana" w:hAnsi="Verdana"/>
                <w:sz w:val="22"/>
                <w:szCs w:val="22"/>
              </w:rPr>
              <w:t>2016</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 xml:space="preserve">Closing date for </w:t>
            </w:r>
            <w:r>
              <w:rPr>
                <w:rFonts w:ascii="Verdana" w:hAnsi="Verdana"/>
                <w:sz w:val="22"/>
                <w:szCs w:val="22"/>
              </w:rPr>
              <w:t xml:space="preserve">Initial </w:t>
            </w:r>
            <w:r w:rsidRPr="00926F9E">
              <w:rPr>
                <w:rFonts w:ascii="Verdana" w:hAnsi="Verdana"/>
                <w:sz w:val="22"/>
                <w:szCs w:val="22"/>
              </w:rPr>
              <w:t>Tender submission.</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 xml:space="preserve">w/c </w:t>
            </w:r>
            <w:r>
              <w:rPr>
                <w:rFonts w:ascii="Verdana" w:hAnsi="Verdana"/>
                <w:sz w:val="22"/>
                <w:szCs w:val="22"/>
              </w:rPr>
              <w:t>25</w:t>
            </w:r>
            <w:r>
              <w:rPr>
                <w:rFonts w:ascii="Verdana" w:hAnsi="Verdana"/>
                <w:sz w:val="22"/>
                <w:szCs w:val="22"/>
                <w:vertAlign w:val="superscript"/>
              </w:rPr>
              <w:t xml:space="preserve">th </w:t>
            </w:r>
            <w:r>
              <w:rPr>
                <w:rFonts w:ascii="Verdana" w:hAnsi="Verdana"/>
                <w:sz w:val="22"/>
                <w:szCs w:val="22"/>
              </w:rPr>
              <w:t>July 2016</w:t>
            </w:r>
          </w:p>
        </w:tc>
        <w:tc>
          <w:tcPr>
            <w:tcW w:w="7229" w:type="dxa"/>
          </w:tcPr>
          <w:p w:rsidR="00F80A73" w:rsidRPr="00926F9E" w:rsidRDefault="00F80A73" w:rsidP="00B239CD">
            <w:pPr>
              <w:spacing w:before="80" w:after="80"/>
              <w:rPr>
                <w:rFonts w:ascii="Verdana" w:hAnsi="Verdana"/>
                <w:sz w:val="22"/>
                <w:szCs w:val="22"/>
              </w:rPr>
            </w:pPr>
            <w:r>
              <w:rPr>
                <w:rFonts w:ascii="Verdana" w:hAnsi="Verdana"/>
                <w:sz w:val="22"/>
                <w:szCs w:val="22"/>
              </w:rPr>
              <w:t xml:space="preserve">Keep FREE </w:t>
            </w:r>
            <w:r w:rsidRPr="00926F9E">
              <w:rPr>
                <w:rFonts w:ascii="Verdana" w:hAnsi="Verdana"/>
                <w:sz w:val="22"/>
                <w:szCs w:val="22"/>
              </w:rPr>
              <w:t xml:space="preserve">for </w:t>
            </w:r>
            <w:r w:rsidRPr="00132166">
              <w:rPr>
                <w:rFonts w:ascii="Verdana" w:hAnsi="Verdana"/>
                <w:b/>
                <w:sz w:val="22"/>
                <w:szCs w:val="22"/>
              </w:rPr>
              <w:t>demonstrations</w:t>
            </w:r>
            <w:r w:rsidRPr="00926F9E">
              <w:rPr>
                <w:rFonts w:ascii="Verdana" w:hAnsi="Verdana"/>
                <w:sz w:val="22"/>
                <w:szCs w:val="22"/>
              </w:rPr>
              <w:t xml:space="preserve"> </w:t>
            </w:r>
            <w:r w:rsidRPr="00F80A73">
              <w:rPr>
                <w:rFonts w:ascii="Verdana" w:hAnsi="Verdana"/>
                <w:sz w:val="22"/>
                <w:szCs w:val="22"/>
              </w:rPr>
              <w:t>[at EBC offices]</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29</w:t>
            </w:r>
            <w:r w:rsidRPr="00926F9E">
              <w:rPr>
                <w:rFonts w:ascii="Verdana" w:hAnsi="Verdana"/>
                <w:sz w:val="22"/>
                <w:szCs w:val="22"/>
                <w:vertAlign w:val="superscript"/>
              </w:rPr>
              <w:t>th</w:t>
            </w:r>
            <w:r w:rsidRPr="00926F9E">
              <w:rPr>
                <w:rFonts w:ascii="Verdana" w:hAnsi="Verdana"/>
                <w:sz w:val="22"/>
                <w:szCs w:val="22"/>
              </w:rPr>
              <w:t xml:space="preserve"> </w:t>
            </w:r>
            <w:r>
              <w:rPr>
                <w:rFonts w:ascii="Verdana" w:hAnsi="Verdana"/>
                <w:sz w:val="22"/>
                <w:szCs w:val="22"/>
              </w:rPr>
              <w:t>July</w:t>
            </w:r>
            <w:r w:rsidRPr="00926F9E">
              <w:rPr>
                <w:rFonts w:ascii="Verdana" w:hAnsi="Verdana"/>
                <w:sz w:val="22"/>
                <w:szCs w:val="22"/>
              </w:rPr>
              <w:t xml:space="preserve"> </w:t>
            </w:r>
            <w:r>
              <w:rPr>
                <w:rFonts w:ascii="Verdana" w:hAnsi="Verdana"/>
                <w:sz w:val="22"/>
                <w:szCs w:val="22"/>
              </w:rPr>
              <w:t>2016</w:t>
            </w:r>
          </w:p>
        </w:tc>
        <w:tc>
          <w:tcPr>
            <w:tcW w:w="7229" w:type="dxa"/>
          </w:tcPr>
          <w:p w:rsidR="00F80A73" w:rsidRDefault="00F80A73" w:rsidP="00B239CD">
            <w:pPr>
              <w:spacing w:before="80" w:after="80"/>
              <w:rPr>
                <w:rFonts w:ascii="Verdana" w:hAnsi="Verdana"/>
                <w:sz w:val="22"/>
                <w:szCs w:val="22"/>
              </w:rPr>
            </w:pPr>
            <w:r>
              <w:rPr>
                <w:rFonts w:ascii="Verdana" w:hAnsi="Verdana"/>
                <w:sz w:val="22"/>
                <w:szCs w:val="22"/>
              </w:rPr>
              <w:t xml:space="preserve">Deselection (where applicable) &amp; Requests to Negotiate issued by EBC </w:t>
            </w:r>
            <w:r w:rsidRPr="00597A9D">
              <w:rPr>
                <w:rFonts w:ascii="Verdana" w:hAnsi="Verdana"/>
                <w:b/>
                <w:sz w:val="22"/>
                <w:szCs w:val="22"/>
              </w:rPr>
              <w:t>OR</w:t>
            </w:r>
            <w:r>
              <w:rPr>
                <w:rFonts w:ascii="Verdana" w:hAnsi="Verdana"/>
                <w:sz w:val="22"/>
                <w:szCs w:val="22"/>
              </w:rPr>
              <w:t xml:space="preserve"> </w:t>
            </w:r>
          </w:p>
          <w:p w:rsidR="00F80A73" w:rsidRPr="00926F9E" w:rsidRDefault="00F80A73" w:rsidP="00B239CD">
            <w:pPr>
              <w:spacing w:before="80" w:after="80"/>
              <w:rPr>
                <w:rFonts w:ascii="Verdana" w:hAnsi="Verdana"/>
                <w:sz w:val="22"/>
                <w:szCs w:val="22"/>
              </w:rPr>
            </w:pPr>
            <w:r w:rsidRPr="00926F9E">
              <w:rPr>
                <w:rFonts w:ascii="Verdana" w:hAnsi="Verdana"/>
                <w:sz w:val="22"/>
                <w:szCs w:val="22"/>
              </w:rPr>
              <w:t>Selection of preferred supplier (</w:t>
            </w:r>
            <w:r>
              <w:rPr>
                <w:rFonts w:ascii="Verdana" w:hAnsi="Verdana"/>
                <w:sz w:val="22"/>
                <w:szCs w:val="22"/>
              </w:rPr>
              <w:t xml:space="preserve">&amp; </w:t>
            </w:r>
            <w:r w:rsidRPr="00926F9E">
              <w:rPr>
                <w:rFonts w:ascii="Verdana" w:hAnsi="Verdana"/>
                <w:sz w:val="22"/>
                <w:szCs w:val="22"/>
              </w:rPr>
              <w:t>commence Standstill Period)</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8</w:t>
            </w:r>
            <w:r w:rsidRPr="00597A9D">
              <w:rPr>
                <w:rFonts w:ascii="Verdana" w:hAnsi="Verdana"/>
                <w:sz w:val="22"/>
                <w:szCs w:val="22"/>
                <w:vertAlign w:val="superscript"/>
              </w:rPr>
              <w:t>th</w:t>
            </w:r>
            <w:r>
              <w:rPr>
                <w:rFonts w:ascii="Verdana" w:hAnsi="Verdana"/>
                <w:sz w:val="22"/>
                <w:szCs w:val="22"/>
              </w:rPr>
              <w:t xml:space="preserve"> August</w:t>
            </w:r>
            <w:r w:rsidRPr="00926F9E">
              <w:rPr>
                <w:rFonts w:ascii="Verdana" w:hAnsi="Verdana"/>
                <w:sz w:val="22"/>
                <w:szCs w:val="22"/>
              </w:rPr>
              <w:t xml:space="preserve"> </w:t>
            </w:r>
            <w:r>
              <w:rPr>
                <w:rFonts w:ascii="Verdana" w:hAnsi="Verdana"/>
                <w:sz w:val="22"/>
                <w:szCs w:val="22"/>
              </w:rPr>
              <w:t>2016</w:t>
            </w:r>
          </w:p>
        </w:tc>
        <w:tc>
          <w:tcPr>
            <w:tcW w:w="7229" w:type="dxa"/>
          </w:tcPr>
          <w:p w:rsidR="00F80A73" w:rsidRPr="00597A9D" w:rsidRDefault="00F80A73" w:rsidP="00B239CD">
            <w:pPr>
              <w:spacing w:before="80" w:after="80"/>
              <w:rPr>
                <w:rFonts w:ascii="Verdana" w:hAnsi="Verdana"/>
                <w:sz w:val="22"/>
                <w:szCs w:val="22"/>
              </w:rPr>
            </w:pPr>
            <w:r w:rsidRPr="00926F9E">
              <w:rPr>
                <w:rFonts w:ascii="Verdana" w:hAnsi="Verdana"/>
                <w:sz w:val="22"/>
                <w:szCs w:val="22"/>
              </w:rPr>
              <w:t>Contract Award</w:t>
            </w:r>
            <w:r>
              <w:rPr>
                <w:rFonts w:ascii="Verdana" w:hAnsi="Verdana"/>
                <w:sz w:val="22"/>
                <w:szCs w:val="22"/>
              </w:rPr>
              <w:t xml:space="preserve"> </w:t>
            </w:r>
            <w:r>
              <w:rPr>
                <w:rFonts w:ascii="Verdana" w:hAnsi="Verdana"/>
                <w:b/>
                <w:sz w:val="22"/>
                <w:szCs w:val="22"/>
              </w:rPr>
              <w:t>OR</w:t>
            </w:r>
            <w:r>
              <w:rPr>
                <w:rFonts w:ascii="Verdana" w:hAnsi="Verdana"/>
                <w:sz w:val="22"/>
                <w:szCs w:val="22"/>
              </w:rPr>
              <w:t xml:space="preserve"> Revised Tender Submissions</w:t>
            </w:r>
          </w:p>
        </w:tc>
      </w:tr>
      <w:tr w:rsidR="00F80A73" w:rsidRPr="00926F9E" w:rsidTr="00B239CD">
        <w:tc>
          <w:tcPr>
            <w:tcW w:w="2410" w:type="dxa"/>
          </w:tcPr>
          <w:p w:rsidR="00F80A73" w:rsidRPr="00597A9D" w:rsidRDefault="00F80A73" w:rsidP="00B239CD">
            <w:pPr>
              <w:spacing w:before="80" w:after="80"/>
              <w:rPr>
                <w:rFonts w:ascii="Verdana" w:hAnsi="Verdana"/>
                <w:i/>
                <w:sz w:val="22"/>
                <w:szCs w:val="22"/>
              </w:rPr>
            </w:pPr>
            <w:r w:rsidRPr="00597A9D">
              <w:rPr>
                <w:rFonts w:ascii="Verdana" w:hAnsi="Verdana"/>
                <w:i/>
                <w:sz w:val="22"/>
                <w:szCs w:val="22"/>
              </w:rPr>
              <w:t>15</w:t>
            </w:r>
            <w:r w:rsidRPr="00597A9D">
              <w:rPr>
                <w:rFonts w:ascii="Verdana" w:hAnsi="Verdana"/>
                <w:i/>
                <w:sz w:val="22"/>
                <w:szCs w:val="22"/>
                <w:vertAlign w:val="superscript"/>
              </w:rPr>
              <w:t>th</w:t>
            </w:r>
            <w:r w:rsidRPr="00597A9D">
              <w:rPr>
                <w:rFonts w:ascii="Verdana" w:hAnsi="Verdana"/>
                <w:i/>
                <w:sz w:val="22"/>
                <w:szCs w:val="22"/>
              </w:rPr>
              <w:t xml:space="preserve"> August 2016</w:t>
            </w:r>
          </w:p>
        </w:tc>
        <w:tc>
          <w:tcPr>
            <w:tcW w:w="7229" w:type="dxa"/>
          </w:tcPr>
          <w:p w:rsidR="00F80A73" w:rsidRPr="00597A9D" w:rsidRDefault="00F80A73" w:rsidP="00B239CD">
            <w:pPr>
              <w:spacing w:before="80" w:after="80"/>
              <w:rPr>
                <w:rFonts w:ascii="Verdana" w:hAnsi="Verdana"/>
                <w:i/>
                <w:sz w:val="22"/>
                <w:szCs w:val="22"/>
              </w:rPr>
            </w:pPr>
            <w:r w:rsidRPr="00597A9D">
              <w:rPr>
                <w:rFonts w:ascii="Verdana" w:hAnsi="Verdana"/>
                <w:i/>
                <w:sz w:val="22"/>
                <w:szCs w:val="22"/>
              </w:rPr>
              <w:t>Selection of preferred supplier (&amp; commence standstill period)</w:t>
            </w:r>
          </w:p>
        </w:tc>
      </w:tr>
      <w:tr w:rsidR="00F80A73" w:rsidRPr="00926F9E" w:rsidTr="00B239CD">
        <w:tc>
          <w:tcPr>
            <w:tcW w:w="2410" w:type="dxa"/>
          </w:tcPr>
          <w:p w:rsidR="00F80A73" w:rsidRPr="00597A9D" w:rsidRDefault="00F80A73" w:rsidP="00B239CD">
            <w:pPr>
              <w:spacing w:before="80" w:after="80"/>
              <w:rPr>
                <w:rFonts w:ascii="Verdana" w:hAnsi="Verdana"/>
                <w:i/>
                <w:sz w:val="22"/>
                <w:szCs w:val="22"/>
              </w:rPr>
            </w:pPr>
            <w:r>
              <w:rPr>
                <w:rFonts w:ascii="Verdana" w:hAnsi="Verdana"/>
                <w:i/>
                <w:sz w:val="22"/>
                <w:szCs w:val="22"/>
              </w:rPr>
              <w:t>26</w:t>
            </w:r>
            <w:r w:rsidRPr="008B708B">
              <w:rPr>
                <w:rFonts w:ascii="Verdana" w:hAnsi="Verdana"/>
                <w:i/>
                <w:sz w:val="22"/>
                <w:szCs w:val="22"/>
                <w:vertAlign w:val="superscript"/>
              </w:rPr>
              <w:t>th</w:t>
            </w:r>
            <w:r>
              <w:rPr>
                <w:rFonts w:ascii="Verdana" w:hAnsi="Verdana"/>
                <w:i/>
                <w:sz w:val="22"/>
                <w:szCs w:val="22"/>
              </w:rPr>
              <w:t xml:space="preserve"> August 2016</w:t>
            </w:r>
          </w:p>
        </w:tc>
        <w:tc>
          <w:tcPr>
            <w:tcW w:w="7229" w:type="dxa"/>
          </w:tcPr>
          <w:p w:rsidR="00F80A73" w:rsidRPr="00597A9D" w:rsidRDefault="00F80A73" w:rsidP="00B239CD">
            <w:pPr>
              <w:spacing w:before="80" w:after="80"/>
              <w:rPr>
                <w:rFonts w:ascii="Verdana" w:hAnsi="Verdana"/>
                <w:i/>
                <w:sz w:val="22"/>
                <w:szCs w:val="22"/>
              </w:rPr>
            </w:pPr>
            <w:r>
              <w:rPr>
                <w:rFonts w:ascii="Verdana" w:hAnsi="Verdana"/>
                <w:i/>
                <w:sz w:val="22"/>
                <w:szCs w:val="22"/>
              </w:rPr>
              <w:t>Contract Award</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30</w:t>
            </w:r>
            <w:r w:rsidRPr="00926F9E">
              <w:rPr>
                <w:rFonts w:ascii="Verdana" w:hAnsi="Verdana"/>
                <w:sz w:val="22"/>
                <w:szCs w:val="22"/>
                <w:vertAlign w:val="superscript"/>
              </w:rPr>
              <w:t>th</w:t>
            </w:r>
            <w:r w:rsidRPr="00926F9E">
              <w:rPr>
                <w:rFonts w:ascii="Verdana" w:hAnsi="Verdana"/>
                <w:sz w:val="22"/>
                <w:szCs w:val="22"/>
              </w:rPr>
              <w:t xml:space="preserve"> </w:t>
            </w:r>
            <w:r>
              <w:rPr>
                <w:rFonts w:ascii="Verdana" w:hAnsi="Verdana"/>
                <w:sz w:val="22"/>
                <w:szCs w:val="22"/>
              </w:rPr>
              <w:t>August</w:t>
            </w:r>
            <w:r w:rsidRPr="00926F9E">
              <w:rPr>
                <w:rFonts w:ascii="Verdana" w:hAnsi="Verdana"/>
                <w:sz w:val="22"/>
                <w:szCs w:val="22"/>
              </w:rPr>
              <w:t xml:space="preserve"> 20</w:t>
            </w:r>
            <w:r>
              <w:rPr>
                <w:rFonts w:ascii="Verdana" w:hAnsi="Verdana"/>
                <w:sz w:val="22"/>
                <w:szCs w:val="22"/>
              </w:rPr>
              <w:t>16</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Contract start date</w:t>
            </w:r>
          </w:p>
        </w:tc>
      </w:tr>
      <w:tr w:rsidR="00F80A73" w:rsidRPr="00926F9E" w:rsidTr="00B239CD">
        <w:tc>
          <w:tcPr>
            <w:tcW w:w="2410" w:type="dxa"/>
          </w:tcPr>
          <w:p w:rsidR="00F80A73" w:rsidRPr="00926F9E" w:rsidRDefault="00F80A73" w:rsidP="00B239CD">
            <w:pPr>
              <w:spacing w:before="80" w:after="80"/>
              <w:rPr>
                <w:rFonts w:ascii="Verdana" w:hAnsi="Verdana"/>
                <w:sz w:val="22"/>
                <w:szCs w:val="22"/>
              </w:rPr>
            </w:pPr>
            <w:r>
              <w:rPr>
                <w:rFonts w:ascii="Verdana" w:hAnsi="Verdana"/>
                <w:sz w:val="22"/>
                <w:szCs w:val="22"/>
              </w:rPr>
              <w:t>30</w:t>
            </w:r>
            <w:r w:rsidRPr="008B708B">
              <w:rPr>
                <w:rFonts w:ascii="Verdana" w:hAnsi="Verdana"/>
                <w:sz w:val="22"/>
                <w:szCs w:val="22"/>
                <w:vertAlign w:val="superscript"/>
              </w:rPr>
              <w:t>th</w:t>
            </w:r>
            <w:r>
              <w:rPr>
                <w:rFonts w:ascii="Verdana" w:hAnsi="Verdana"/>
                <w:sz w:val="22"/>
                <w:szCs w:val="22"/>
              </w:rPr>
              <w:t xml:space="preserve"> Aug -16</w:t>
            </w:r>
            <w:r w:rsidRPr="008B708B">
              <w:rPr>
                <w:rFonts w:ascii="Verdana" w:hAnsi="Verdana"/>
                <w:sz w:val="22"/>
                <w:szCs w:val="22"/>
                <w:vertAlign w:val="superscript"/>
              </w:rPr>
              <w:t>th</w:t>
            </w:r>
            <w:r>
              <w:rPr>
                <w:rFonts w:ascii="Verdana" w:hAnsi="Verdana"/>
                <w:sz w:val="22"/>
                <w:szCs w:val="22"/>
              </w:rPr>
              <w:t xml:space="preserve"> Sept</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Implementation period</w:t>
            </w:r>
          </w:p>
        </w:tc>
      </w:tr>
      <w:tr w:rsidR="00F80A73" w:rsidRPr="00D53F3C" w:rsidTr="00B239CD">
        <w:tc>
          <w:tcPr>
            <w:tcW w:w="2410" w:type="dxa"/>
          </w:tcPr>
          <w:p w:rsidR="00F80A73" w:rsidRPr="00926F9E" w:rsidRDefault="00F80A73" w:rsidP="00B239CD">
            <w:pPr>
              <w:spacing w:before="80" w:after="80"/>
              <w:rPr>
                <w:rFonts w:ascii="Verdana" w:hAnsi="Verdana"/>
                <w:sz w:val="22"/>
                <w:szCs w:val="22"/>
              </w:rPr>
            </w:pPr>
            <w:r w:rsidRPr="00F80A73">
              <w:rPr>
                <w:rFonts w:ascii="Verdana" w:hAnsi="Verdana"/>
                <w:sz w:val="22"/>
                <w:szCs w:val="22"/>
              </w:rPr>
              <w:t>19</w:t>
            </w:r>
            <w:r w:rsidRPr="00F80A73">
              <w:rPr>
                <w:rFonts w:ascii="Verdana" w:hAnsi="Verdana"/>
                <w:sz w:val="22"/>
                <w:szCs w:val="22"/>
                <w:vertAlign w:val="superscript"/>
              </w:rPr>
              <w:t>th</w:t>
            </w:r>
            <w:r w:rsidRPr="00F80A73">
              <w:rPr>
                <w:rFonts w:ascii="Verdana" w:hAnsi="Verdana"/>
                <w:sz w:val="22"/>
                <w:szCs w:val="22"/>
              </w:rPr>
              <w:t xml:space="preserve"> or 26</w:t>
            </w:r>
            <w:r w:rsidRPr="00F80A73">
              <w:rPr>
                <w:rFonts w:ascii="Verdana" w:hAnsi="Verdana"/>
                <w:sz w:val="22"/>
                <w:szCs w:val="22"/>
                <w:vertAlign w:val="superscript"/>
              </w:rPr>
              <w:t>th</w:t>
            </w:r>
            <w:r w:rsidRPr="00F80A73">
              <w:rPr>
                <w:rFonts w:ascii="Verdana" w:hAnsi="Verdana"/>
                <w:sz w:val="22"/>
                <w:szCs w:val="22"/>
              </w:rPr>
              <w:t xml:space="preserve"> Sept</w:t>
            </w:r>
          </w:p>
        </w:tc>
        <w:tc>
          <w:tcPr>
            <w:tcW w:w="7229" w:type="dxa"/>
          </w:tcPr>
          <w:p w:rsidR="00F80A73" w:rsidRPr="00926F9E" w:rsidRDefault="00F80A73" w:rsidP="00B239CD">
            <w:pPr>
              <w:spacing w:before="80" w:after="80"/>
              <w:rPr>
                <w:rFonts w:ascii="Verdana" w:hAnsi="Verdana"/>
                <w:sz w:val="22"/>
                <w:szCs w:val="22"/>
              </w:rPr>
            </w:pPr>
            <w:r w:rsidRPr="00926F9E">
              <w:rPr>
                <w:rFonts w:ascii="Verdana" w:hAnsi="Verdana"/>
                <w:sz w:val="22"/>
                <w:szCs w:val="22"/>
              </w:rPr>
              <w:t>Go live date</w:t>
            </w:r>
          </w:p>
        </w:tc>
      </w:tr>
    </w:tbl>
    <w:p w:rsidR="003E0D44" w:rsidRPr="003E0D44" w:rsidRDefault="003E0D44" w:rsidP="003E0D44">
      <w:pPr>
        <w:rPr>
          <w:rFonts w:ascii="Verdana" w:hAnsi="Verdana" w:cs="Arial"/>
        </w:rPr>
      </w:pPr>
    </w:p>
    <w:sectPr w:rsidR="003E0D44" w:rsidRPr="003E0D44" w:rsidSect="00903CB7">
      <w:headerReference w:type="even" r:id="rId13"/>
      <w:headerReference w:type="default" r:id="rId14"/>
      <w:footerReference w:type="even" r:id="rId15"/>
      <w:footerReference w:type="default" r:id="rId16"/>
      <w:headerReference w:type="first" r:id="rId17"/>
      <w:footerReference w:type="first" r:id="rId18"/>
      <w:pgSz w:w="11906" w:h="16838"/>
      <w:pgMar w:top="851" w:right="1361" w:bottom="1440" w:left="1361"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BA" w:rsidRDefault="00BD0FBA">
      <w:r>
        <w:separator/>
      </w:r>
    </w:p>
  </w:endnote>
  <w:endnote w:type="continuationSeparator" w:id="0">
    <w:p w:rsidR="00BD0FBA" w:rsidRDefault="00BD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B7" w:rsidRDefault="00903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BA" w:rsidRDefault="00903CB7">
    <w:pPr>
      <w:pStyle w:val="Footer"/>
      <w:tabs>
        <w:tab w:val="clear" w:pos="8306"/>
        <w:tab w:val="right" w:pos="9072"/>
      </w:tabs>
    </w:pPr>
    <w:r>
      <w:object w:dxaOrig="9900"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75.75pt" o:ole="">
          <v:imagedata r:id="rId1" o:title=""/>
        </v:shape>
        <o:OLEObject Type="Link" ProgID="Word.Document.8" ShapeID="_x0000_i1025" DrawAspect="Content" r:id="rId2" UpdateMode="Always">
          <o:LinkType>EnhancedMetaFile</o:LinkType>
          <o:LockedField>false</o:LockedField>
          <o:FieldCodes>\f 0</o:FieldCodes>
        </o:OLEObject>
      </w:object>
    </w:r>
  </w:p>
  <w:p w:rsidR="00BD0FBA" w:rsidRDefault="00BD0FBA">
    <w:pPr>
      <w:pStyle w:val="Footer"/>
      <w:tabs>
        <w:tab w:val="clear" w:pos="8306"/>
        <w:tab w:val="right" w:pos="9072"/>
      </w:tabs>
    </w:pPr>
    <w:r>
      <w:tab/>
    </w:r>
    <w:r>
      <w:rPr>
        <w:rStyle w:val="PageNumber"/>
      </w:rPr>
      <w:fldChar w:fldCharType="begin"/>
    </w:r>
    <w:r>
      <w:rPr>
        <w:rStyle w:val="PageNumber"/>
      </w:rPr>
      <w:instrText xml:space="preserve"> PAGE </w:instrText>
    </w:r>
    <w:r>
      <w:rPr>
        <w:rStyle w:val="PageNumber"/>
      </w:rPr>
      <w:fldChar w:fldCharType="separate"/>
    </w:r>
    <w:r w:rsidR="00D83CA9">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83CA9">
      <w:rPr>
        <w:rStyle w:val="PageNumber"/>
        <w:noProof/>
      </w:rPr>
      <w:t>3</w:t>
    </w:r>
    <w:r>
      <w:rPr>
        <w:rStyle w:val="PageNumber"/>
      </w:rPr>
      <w:fldChar w:fldCharType="end"/>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BA" w:rsidRDefault="00903CB7">
    <w:pPr>
      <w:pStyle w:val="Footer"/>
      <w:tabs>
        <w:tab w:val="right" w:pos="9072"/>
      </w:tabs>
      <w:jc w:val="both"/>
    </w:pPr>
    <w:r>
      <w:object w:dxaOrig="9900"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8.9pt;height:75.75pt" o:ole="">
          <v:imagedata r:id="rId1" o:title=""/>
        </v:shape>
        <o:OLEObject Type="Link" ProgID="Word.Document.8" ShapeID="_x0000_i1026" DrawAspect="Content" r:id="rId2" UpdateMode="Always">
          <o:LinkType>EnhancedMetaFile</o:LinkType>
          <o:LockedField>false</o:LockedField>
          <o:FieldCodes>\f 0</o:FieldCodes>
        </o:OLEObject>
      </w:object>
    </w:r>
    <w:r w:rsidR="00BD0FB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BA" w:rsidRDefault="00BD0FBA">
      <w:r>
        <w:separator/>
      </w:r>
    </w:p>
  </w:footnote>
  <w:footnote w:type="continuationSeparator" w:id="0">
    <w:p w:rsidR="00BD0FBA" w:rsidRDefault="00BD0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B7" w:rsidRDefault="00903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B7" w:rsidRDefault="00903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BA" w:rsidRDefault="00F6591D" w:rsidP="00F6591D">
    <w:pPr>
      <w:jc w:val="right"/>
    </w:pPr>
    <w:r>
      <w:rPr>
        <w:noProof/>
        <w:lang w:eastAsia="en-GB"/>
      </w:rPr>
      <w:drawing>
        <wp:inline distT="0" distB="0" distL="0" distR="0" wp14:anchorId="36CB4B6A" wp14:editId="3018DFED">
          <wp:extent cx="2282025" cy="588762"/>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logo.jpg"/>
                  <pic:cNvPicPr/>
                </pic:nvPicPr>
                <pic:blipFill>
                  <a:blip r:embed="rId1">
                    <a:extLst>
                      <a:ext uri="{28A0092B-C50C-407E-A947-70E740481C1C}">
                        <a14:useLocalDpi xmlns:a14="http://schemas.microsoft.com/office/drawing/2010/main" val="0"/>
                      </a:ext>
                    </a:extLst>
                  </a:blip>
                  <a:stretch>
                    <a:fillRect/>
                  </a:stretch>
                </pic:blipFill>
                <pic:spPr>
                  <a:xfrm>
                    <a:off x="0" y="0"/>
                    <a:ext cx="2281866" cy="588721"/>
                  </a:xfrm>
                  <a:prstGeom prst="rect">
                    <a:avLst/>
                  </a:prstGeom>
                </pic:spPr>
              </pic:pic>
            </a:graphicData>
          </a:graphic>
        </wp:inline>
      </w:drawing>
    </w:r>
  </w:p>
  <w:p w:rsidR="00BD0FBA" w:rsidRDefault="00BD0FBA">
    <w:pPr>
      <w:pStyle w:val="Header"/>
      <w:tabs>
        <w:tab w:val="clear" w:pos="4153"/>
        <w:tab w:val="left" w:pos="637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E7E"/>
    <w:multiLevelType w:val="hybridMultilevel"/>
    <w:tmpl w:val="C060B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546F5"/>
    <w:multiLevelType w:val="hybridMultilevel"/>
    <w:tmpl w:val="E0A00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411D6A"/>
    <w:multiLevelType w:val="hybridMultilevel"/>
    <w:tmpl w:val="3376B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E83235"/>
    <w:multiLevelType w:val="hybridMultilevel"/>
    <w:tmpl w:val="9550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1ED5C9B"/>
    <w:multiLevelType w:val="hybridMultilevel"/>
    <w:tmpl w:val="FAE828E0"/>
    <w:lvl w:ilvl="0" w:tplc="0809000F">
      <w:start w:val="9"/>
      <w:numFmt w:val="decimal"/>
      <w:lvlText w:val="%1."/>
      <w:lvlJc w:val="left"/>
      <w:pPr>
        <w:tabs>
          <w:tab w:val="num" w:pos="1069"/>
        </w:tabs>
        <w:ind w:left="1069" w:hanging="360"/>
      </w:pPr>
      <w:rPr>
        <w:rFonts w:hint="default"/>
      </w:rPr>
    </w:lvl>
    <w:lvl w:ilvl="1" w:tplc="08090019">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5">
    <w:nsid w:val="21531A31"/>
    <w:multiLevelType w:val="multilevel"/>
    <w:tmpl w:val="479828F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AB4277"/>
    <w:multiLevelType w:val="hybridMultilevel"/>
    <w:tmpl w:val="859E70C6"/>
    <w:lvl w:ilvl="0" w:tplc="4D6EF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573338A"/>
    <w:multiLevelType w:val="hybridMultilevel"/>
    <w:tmpl w:val="61E4FB1C"/>
    <w:lvl w:ilvl="0" w:tplc="24F2ACB6">
      <w:start w:val="2"/>
      <w:numFmt w:val="lowerLetter"/>
      <w:lvlText w:val="(%1)"/>
      <w:lvlJc w:val="left"/>
      <w:pPr>
        <w:ind w:left="1669" w:hanging="360"/>
      </w:pPr>
      <w:rPr>
        <w:rFonts w:ascii="Arial" w:hAnsi="Arial" w:cs="Arial"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B9054DF"/>
    <w:multiLevelType w:val="multilevel"/>
    <w:tmpl w:val="074A14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6D2E67"/>
    <w:multiLevelType w:val="multilevel"/>
    <w:tmpl w:val="DB38A50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20B7169"/>
    <w:multiLevelType w:val="hybridMultilevel"/>
    <w:tmpl w:val="3E9657F4"/>
    <w:lvl w:ilvl="0" w:tplc="FA02BA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5451F6C"/>
    <w:multiLevelType w:val="hybridMultilevel"/>
    <w:tmpl w:val="6744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6042E"/>
    <w:multiLevelType w:val="hybridMultilevel"/>
    <w:tmpl w:val="974CAEE0"/>
    <w:lvl w:ilvl="0" w:tplc="0809000F">
      <w:start w:val="1"/>
      <w:numFmt w:val="bullet"/>
      <w:lvlText w:val=""/>
      <w:lvlJc w:val="left"/>
      <w:pPr>
        <w:tabs>
          <w:tab w:val="num" w:pos="2955"/>
        </w:tabs>
        <w:ind w:left="2955" w:hanging="360"/>
      </w:pPr>
      <w:rPr>
        <w:rFonts w:ascii="Symbol" w:hAnsi="Symbol" w:hint="default"/>
        <w:b w:val="0"/>
        <w:i w:val="0"/>
        <w:sz w:val="22"/>
      </w:rPr>
    </w:lvl>
    <w:lvl w:ilvl="1" w:tplc="08090019">
      <w:start w:val="1"/>
      <w:numFmt w:val="lowerLetter"/>
      <w:lvlText w:val="%2."/>
      <w:lvlJc w:val="left"/>
      <w:pPr>
        <w:tabs>
          <w:tab w:val="num" w:pos="1440"/>
        </w:tabs>
        <w:ind w:left="1440" w:hanging="360"/>
      </w:pPr>
      <w:rPr>
        <w:rFonts w:hint="default"/>
      </w:rPr>
    </w:lvl>
    <w:lvl w:ilvl="2" w:tplc="0809001B">
      <w:start w:val="7"/>
      <w:numFmt w:val="lowerRoman"/>
      <w:lvlText w:val="(%3)"/>
      <w:lvlJc w:val="left"/>
      <w:pPr>
        <w:tabs>
          <w:tab w:val="num" w:pos="2700"/>
        </w:tabs>
        <w:ind w:left="2700" w:hanging="720"/>
      </w:pPr>
      <w:rPr>
        <w:rFonts w:hint="default"/>
      </w:rPr>
    </w:lvl>
    <w:lvl w:ilvl="3" w:tplc="0809000F">
      <w:start w:val="21"/>
      <w:numFmt w:val="decimal"/>
      <w:lvlText w:val="%4."/>
      <w:lvlJc w:val="left"/>
      <w:pPr>
        <w:tabs>
          <w:tab w:val="num" w:pos="2880"/>
        </w:tabs>
        <w:ind w:left="2880" w:hanging="360"/>
      </w:pPr>
      <w:rPr>
        <w:rFonts w:hint="default"/>
        <w:b w:val="0"/>
      </w:rPr>
    </w:lvl>
    <w:lvl w:ilvl="4" w:tplc="08090019" w:tentative="1">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rPr>
        <w:rFonts w:hint="default"/>
      </w:rPr>
    </w:lvl>
    <w:lvl w:ilvl="6" w:tplc="0809000F" w:tentative="1">
      <w:start w:val="1"/>
      <w:numFmt w:val="decimal"/>
      <w:lvlText w:val="%7."/>
      <w:lvlJc w:val="left"/>
      <w:pPr>
        <w:tabs>
          <w:tab w:val="num" w:pos="5040"/>
        </w:tabs>
        <w:ind w:left="5040" w:hanging="360"/>
      </w:pPr>
      <w:rPr>
        <w:rFonts w:hint="default"/>
      </w:rPr>
    </w:lvl>
    <w:lvl w:ilvl="7" w:tplc="08090019" w:tentative="1">
      <w:start w:val="1"/>
      <w:numFmt w:val="lowerLetter"/>
      <w:lvlText w:val="%8."/>
      <w:lvlJc w:val="left"/>
      <w:pPr>
        <w:tabs>
          <w:tab w:val="num" w:pos="5760"/>
        </w:tabs>
        <w:ind w:left="5760" w:hanging="360"/>
      </w:pPr>
      <w:rPr>
        <w:rFonts w:hint="default"/>
      </w:rPr>
    </w:lvl>
    <w:lvl w:ilvl="8" w:tplc="0809001B" w:tentative="1">
      <w:start w:val="1"/>
      <w:numFmt w:val="lowerRoman"/>
      <w:lvlText w:val="%9."/>
      <w:lvlJc w:val="right"/>
      <w:pPr>
        <w:tabs>
          <w:tab w:val="num" w:pos="6480"/>
        </w:tabs>
        <w:ind w:left="6480" w:hanging="180"/>
      </w:pPr>
      <w:rPr>
        <w:rFonts w:hint="default"/>
      </w:rPr>
    </w:lvl>
  </w:abstractNum>
  <w:abstractNum w:abstractNumId="13">
    <w:nsid w:val="49754539"/>
    <w:multiLevelType w:val="hybridMultilevel"/>
    <w:tmpl w:val="CA8AA190"/>
    <w:lvl w:ilvl="0" w:tplc="066A92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B7C22B4"/>
    <w:multiLevelType w:val="hybridMultilevel"/>
    <w:tmpl w:val="A8FC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98540F"/>
    <w:multiLevelType w:val="hybridMultilevel"/>
    <w:tmpl w:val="FE56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BB01AC"/>
    <w:multiLevelType w:val="hybridMultilevel"/>
    <w:tmpl w:val="C2E0842A"/>
    <w:lvl w:ilvl="0" w:tplc="B680DCD8">
      <w:start w:val="1"/>
      <w:numFmt w:val="decimal"/>
      <w:lvlText w:val="%1."/>
      <w:lvlJc w:val="left"/>
      <w:pPr>
        <w:tabs>
          <w:tab w:val="num" w:pos="502"/>
        </w:tabs>
        <w:ind w:left="502" w:hanging="360"/>
      </w:pPr>
      <w:rPr>
        <w:rFonts w:cs="Times New Roman" w:hint="default"/>
      </w:rPr>
    </w:lvl>
    <w:lvl w:ilvl="1" w:tplc="F266B270">
      <w:numFmt w:val="none"/>
      <w:lvlText w:val=""/>
      <w:lvlJc w:val="left"/>
      <w:pPr>
        <w:tabs>
          <w:tab w:val="num" w:pos="360"/>
        </w:tabs>
      </w:pPr>
      <w:rPr>
        <w:rFonts w:cs="Times New Roman"/>
      </w:rPr>
    </w:lvl>
    <w:lvl w:ilvl="2" w:tplc="05D626F4">
      <w:numFmt w:val="none"/>
      <w:lvlText w:val=""/>
      <w:lvlJc w:val="left"/>
      <w:pPr>
        <w:tabs>
          <w:tab w:val="num" w:pos="360"/>
        </w:tabs>
      </w:pPr>
      <w:rPr>
        <w:rFonts w:cs="Times New Roman"/>
      </w:rPr>
    </w:lvl>
    <w:lvl w:ilvl="3" w:tplc="C9C4DF26">
      <w:numFmt w:val="none"/>
      <w:lvlText w:val=""/>
      <w:lvlJc w:val="left"/>
      <w:pPr>
        <w:tabs>
          <w:tab w:val="num" w:pos="360"/>
        </w:tabs>
      </w:pPr>
      <w:rPr>
        <w:rFonts w:cs="Times New Roman"/>
      </w:rPr>
    </w:lvl>
    <w:lvl w:ilvl="4" w:tplc="63A4E15E">
      <w:numFmt w:val="none"/>
      <w:lvlText w:val=""/>
      <w:lvlJc w:val="left"/>
      <w:pPr>
        <w:tabs>
          <w:tab w:val="num" w:pos="360"/>
        </w:tabs>
      </w:pPr>
      <w:rPr>
        <w:rFonts w:cs="Times New Roman"/>
      </w:rPr>
    </w:lvl>
    <w:lvl w:ilvl="5" w:tplc="53C64BEC">
      <w:numFmt w:val="none"/>
      <w:lvlText w:val=""/>
      <w:lvlJc w:val="left"/>
      <w:pPr>
        <w:tabs>
          <w:tab w:val="num" w:pos="360"/>
        </w:tabs>
      </w:pPr>
      <w:rPr>
        <w:rFonts w:cs="Times New Roman"/>
      </w:rPr>
    </w:lvl>
    <w:lvl w:ilvl="6" w:tplc="1CD0D898">
      <w:numFmt w:val="none"/>
      <w:lvlText w:val=""/>
      <w:lvlJc w:val="left"/>
      <w:pPr>
        <w:tabs>
          <w:tab w:val="num" w:pos="360"/>
        </w:tabs>
      </w:pPr>
      <w:rPr>
        <w:rFonts w:cs="Times New Roman"/>
      </w:rPr>
    </w:lvl>
    <w:lvl w:ilvl="7" w:tplc="C9E6210E">
      <w:numFmt w:val="none"/>
      <w:lvlText w:val=""/>
      <w:lvlJc w:val="left"/>
      <w:pPr>
        <w:tabs>
          <w:tab w:val="num" w:pos="360"/>
        </w:tabs>
      </w:pPr>
      <w:rPr>
        <w:rFonts w:cs="Times New Roman"/>
      </w:rPr>
    </w:lvl>
    <w:lvl w:ilvl="8" w:tplc="8F9E4DE0">
      <w:numFmt w:val="none"/>
      <w:lvlText w:val=""/>
      <w:lvlJc w:val="left"/>
      <w:pPr>
        <w:tabs>
          <w:tab w:val="num" w:pos="360"/>
        </w:tabs>
      </w:pPr>
      <w:rPr>
        <w:rFonts w:cs="Times New Roman"/>
      </w:rPr>
    </w:lvl>
  </w:abstractNum>
  <w:abstractNum w:abstractNumId="17">
    <w:nsid w:val="5EE42E20"/>
    <w:multiLevelType w:val="hybridMultilevel"/>
    <w:tmpl w:val="7708D710"/>
    <w:lvl w:ilvl="0" w:tplc="21E22A4C">
      <w:start w:val="1"/>
      <w:numFmt w:val="lowerLetter"/>
      <w:lvlText w:val="(%1)"/>
      <w:lvlJc w:val="left"/>
      <w:pPr>
        <w:ind w:left="1353" w:hanging="360"/>
      </w:pPr>
      <w:rPr>
        <w:rFonts w:ascii="Arial" w:hAnsi="Arial" w:cs="Arial"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2896AF6"/>
    <w:multiLevelType w:val="hybridMultilevel"/>
    <w:tmpl w:val="13AE585C"/>
    <w:lvl w:ilvl="0" w:tplc="1F86A1CE">
      <w:start w:val="1"/>
      <w:numFmt w:val="lowerRoman"/>
      <w:lvlText w:val="(%1)"/>
      <w:lvlJc w:val="left"/>
      <w:pPr>
        <w:tabs>
          <w:tab w:val="num" w:pos="360"/>
        </w:tabs>
        <w:ind w:left="734" w:hanging="374"/>
      </w:pPr>
      <w:rPr>
        <w:i w:val="0"/>
      </w:rPr>
    </w:lvl>
    <w:lvl w:ilvl="1" w:tplc="D5E40D08">
      <w:numFmt w:val="bullet"/>
      <w:lvlText w:val="-"/>
      <w:lvlJc w:val="left"/>
      <w:pPr>
        <w:tabs>
          <w:tab w:val="num" w:pos="1440"/>
        </w:tabs>
        <w:ind w:left="1440" w:hanging="360"/>
      </w:pPr>
      <w:rPr>
        <w:rFonts w:ascii="Arial" w:eastAsia="Times New Roman" w:hAnsi="Arial" w:cs="Arial" w:hint="default"/>
      </w:rPr>
    </w:lvl>
    <w:lvl w:ilvl="2" w:tplc="C32019B2">
      <w:start w:val="7"/>
      <w:numFmt w:val="decimal"/>
      <w:lvlText w:val="%3."/>
      <w:lvlJc w:val="left"/>
      <w:pPr>
        <w:tabs>
          <w:tab w:val="num" w:pos="2340"/>
        </w:tabs>
        <w:ind w:left="2340" w:hanging="360"/>
      </w:pPr>
      <w:rPr>
        <w:strike w:val="0"/>
        <w:dstrike w:val="0"/>
        <w:u w:val="none"/>
        <w:effect w:val="non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32B3299"/>
    <w:multiLevelType w:val="multilevel"/>
    <w:tmpl w:val="7DFCCFE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70E5558"/>
    <w:multiLevelType w:val="hybridMultilevel"/>
    <w:tmpl w:val="74660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BC82189"/>
    <w:multiLevelType w:val="hybridMultilevel"/>
    <w:tmpl w:val="B6DC82DA"/>
    <w:lvl w:ilvl="0" w:tplc="CDBE7CC0">
      <w:start w:val="1"/>
      <w:numFmt w:val="decimal"/>
      <w:lvlText w:val="%1."/>
      <w:lvlJc w:val="left"/>
      <w:pPr>
        <w:tabs>
          <w:tab w:val="num" w:pos="720"/>
        </w:tabs>
        <w:ind w:left="720" w:hanging="720"/>
      </w:pPr>
      <w:rPr>
        <w:rFonts w:hint="default"/>
      </w:rPr>
    </w:lvl>
    <w:lvl w:ilvl="1" w:tplc="79483F2C">
      <w:start w:val="1"/>
      <w:numFmt w:val="lowerLetter"/>
      <w:lvlText w:val="(%2)"/>
      <w:lvlJc w:val="left"/>
      <w:pPr>
        <w:tabs>
          <w:tab w:val="num" w:pos="1620"/>
        </w:tabs>
        <w:ind w:left="1620" w:hanging="720"/>
      </w:pPr>
      <w:rPr>
        <w:rFonts w:ascii="Arial" w:hAnsi="Arial" w:cs="Arial" w:hint="default"/>
        <w:b w:val="0"/>
        <w:i w:val="0"/>
        <w:sz w:val="24"/>
        <w:szCs w:val="24"/>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D070492"/>
    <w:multiLevelType w:val="hybridMultilevel"/>
    <w:tmpl w:val="9C340B4E"/>
    <w:lvl w:ilvl="0" w:tplc="1F72BBF6">
      <w:start w:val="1"/>
      <w:numFmt w:val="lowerLetter"/>
      <w:lvlText w:val="(%1)"/>
      <w:lvlJc w:val="left"/>
      <w:pPr>
        <w:tabs>
          <w:tab w:val="num" w:pos="2209"/>
        </w:tabs>
        <w:ind w:left="2209" w:hanging="900"/>
      </w:pPr>
      <w:rPr>
        <w:rFonts w:ascii="Arial" w:hAnsi="Arial" w:cs="Arial" w:hint="default"/>
        <w:b w:val="0"/>
        <w:i w:val="0"/>
        <w:sz w:val="24"/>
        <w:szCs w:val="24"/>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3">
    <w:nsid w:val="71F46EA4"/>
    <w:multiLevelType w:val="hybridMultilevel"/>
    <w:tmpl w:val="3A30BD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3037967"/>
    <w:multiLevelType w:val="hybridMultilevel"/>
    <w:tmpl w:val="AEA458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FA0404C2">
      <w:start w:val="1"/>
      <w:numFmt w:val="lowerLetter"/>
      <w:lvlText w:val="(%3)"/>
      <w:lvlJc w:val="left"/>
      <w:pPr>
        <w:ind w:left="2160" w:hanging="360"/>
      </w:pPr>
      <w:rPr>
        <w:b w:val="0"/>
        <w:i w:val="0"/>
      </w:rPr>
    </w:lvl>
    <w:lvl w:ilvl="3" w:tplc="08090001">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720"/>
      </w:pPr>
      <w:rPr>
        <w:rFonts w:ascii="Arial" w:hAnsi="Arial" w:cs="Arial" w:hint="default"/>
        <w:b w:val="0"/>
        <w:i w:val="0"/>
        <w:sz w:val="22"/>
      </w:rPr>
    </w:lvl>
    <w:lvl w:ilvl="5" w:tplc="2BA24EB0">
      <w:numFmt w:val="bullet"/>
      <w:lvlText w:val="-"/>
      <w:lvlJc w:val="left"/>
      <w:pPr>
        <w:ind w:left="4320" w:hanging="360"/>
      </w:pPr>
      <w:rPr>
        <w:rFonts w:ascii="Arial" w:eastAsia="Times New Roman" w:hAnsi="Arial" w:cs="Arial" w:hint="default"/>
      </w:rPr>
    </w:lvl>
    <w:lvl w:ilvl="6" w:tplc="FA369FFE">
      <w:start w:val="2"/>
      <w:numFmt w:val="decimal"/>
      <w:lvlText w:val="%7."/>
      <w:lvlJc w:val="left"/>
      <w:pPr>
        <w:ind w:left="5040" w:hanging="360"/>
      </w:p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795A4949"/>
    <w:multiLevelType w:val="hybridMultilevel"/>
    <w:tmpl w:val="952E810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nsid w:val="7BA23682"/>
    <w:multiLevelType w:val="singleLevel"/>
    <w:tmpl w:val="A378B708"/>
    <w:lvl w:ilvl="0">
      <w:start w:val="1"/>
      <w:numFmt w:val="bullet"/>
      <w:lvlText w:val=""/>
      <w:lvlJc w:val="left"/>
      <w:pPr>
        <w:tabs>
          <w:tab w:val="num" w:pos="360"/>
        </w:tabs>
        <w:ind w:left="360" w:hanging="360"/>
      </w:pPr>
      <w:rPr>
        <w:rFonts w:ascii="Symbol" w:hAnsi="Symbol" w:hint="default"/>
        <w:sz w:val="20"/>
      </w:rPr>
    </w:lvl>
  </w:abstractNum>
  <w:num w:numId="1">
    <w:abstractNumId w:val="3"/>
  </w:num>
  <w:num w:numId="2">
    <w:abstractNumId w:val="19"/>
  </w:num>
  <w:num w:numId="3">
    <w:abstractNumId w:val="26"/>
  </w:num>
  <w:num w:numId="4">
    <w:abstractNumId w:val="8"/>
  </w:num>
  <w:num w:numId="5">
    <w:abstractNumId w:val="5"/>
  </w:num>
  <w:num w:numId="6">
    <w:abstractNumId w:val="9"/>
  </w:num>
  <w:num w:numId="7">
    <w:abstractNumId w:val="18"/>
    <w:lvlOverride w:ilvl="0">
      <w:startOverride w:val="1"/>
    </w:lvlOverride>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11"/>
  </w:num>
  <w:num w:numId="11">
    <w:abstractNumId w:val="2"/>
  </w:num>
  <w:num w:numId="12">
    <w:abstractNumId w:val="4"/>
  </w:num>
  <w:num w:numId="13">
    <w:abstractNumId w:val="24"/>
    <w:lvlOverride w:ilvl="0"/>
    <w:lvlOverride w:ilvl="1"/>
    <w:lvlOverride w:ilvl="2">
      <w:startOverride w:val="1"/>
    </w:lvlOverride>
    <w:lvlOverride w:ilvl="3"/>
    <w:lvlOverride w:ilvl="4">
      <w:startOverride w:val="1"/>
    </w:lvlOverride>
    <w:lvlOverride w:ilvl="5"/>
    <w:lvlOverride w:ilvl="6">
      <w:startOverride w:val="2"/>
    </w:lvlOverride>
    <w:lvlOverride w:ilvl="7"/>
    <w:lvlOverride w:ilv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0"/>
  </w:num>
  <w:num w:numId="19">
    <w:abstractNumId w:val="23"/>
  </w:num>
  <w:num w:numId="20">
    <w:abstractNumId w:val="16"/>
  </w:num>
  <w:num w:numId="21">
    <w:abstractNumId w:val="13"/>
  </w:num>
  <w:num w:numId="22">
    <w:abstractNumId w:val="1"/>
  </w:num>
  <w:num w:numId="23">
    <w:abstractNumId w:val="14"/>
  </w:num>
  <w:num w:numId="24">
    <w:abstractNumId w:val="15"/>
  </w:num>
  <w:num w:numId="25">
    <w:abstractNumId w:val="0"/>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D6"/>
    <w:rsid w:val="00011E42"/>
    <w:rsid w:val="000258D0"/>
    <w:rsid w:val="000442A8"/>
    <w:rsid w:val="00056A94"/>
    <w:rsid w:val="000736C5"/>
    <w:rsid w:val="000916F3"/>
    <w:rsid w:val="000A6BBE"/>
    <w:rsid w:val="000B5CFB"/>
    <w:rsid w:val="000D29DB"/>
    <w:rsid w:val="000D34A1"/>
    <w:rsid w:val="000D5998"/>
    <w:rsid w:val="000E1845"/>
    <w:rsid w:val="000E196D"/>
    <w:rsid w:val="000E3977"/>
    <w:rsid w:val="0011732D"/>
    <w:rsid w:val="001254EC"/>
    <w:rsid w:val="00127D75"/>
    <w:rsid w:val="001305EF"/>
    <w:rsid w:val="00145053"/>
    <w:rsid w:val="001477E1"/>
    <w:rsid w:val="001656C2"/>
    <w:rsid w:val="00167C25"/>
    <w:rsid w:val="00176456"/>
    <w:rsid w:val="00192B8B"/>
    <w:rsid w:val="001B043A"/>
    <w:rsid w:val="001B4D46"/>
    <w:rsid w:val="001C12BC"/>
    <w:rsid w:val="001C2685"/>
    <w:rsid w:val="001D6B59"/>
    <w:rsid w:val="001E43D9"/>
    <w:rsid w:val="001E59D9"/>
    <w:rsid w:val="002001EF"/>
    <w:rsid w:val="0020629F"/>
    <w:rsid w:val="002414EF"/>
    <w:rsid w:val="00250EC2"/>
    <w:rsid w:val="0026244D"/>
    <w:rsid w:val="00265105"/>
    <w:rsid w:val="00275D29"/>
    <w:rsid w:val="00291FE3"/>
    <w:rsid w:val="002A3103"/>
    <w:rsid w:val="002A3EA9"/>
    <w:rsid w:val="002B35E2"/>
    <w:rsid w:val="002B641E"/>
    <w:rsid w:val="002B7D1B"/>
    <w:rsid w:val="002B7FBE"/>
    <w:rsid w:val="002C3BA6"/>
    <w:rsid w:val="002D7526"/>
    <w:rsid w:val="002E458A"/>
    <w:rsid w:val="002E5881"/>
    <w:rsid w:val="002F06C6"/>
    <w:rsid w:val="002F12BD"/>
    <w:rsid w:val="002F255E"/>
    <w:rsid w:val="0030665B"/>
    <w:rsid w:val="00312444"/>
    <w:rsid w:val="00314D89"/>
    <w:rsid w:val="003232CD"/>
    <w:rsid w:val="00342610"/>
    <w:rsid w:val="003433DF"/>
    <w:rsid w:val="003569BD"/>
    <w:rsid w:val="00356E26"/>
    <w:rsid w:val="00360B3B"/>
    <w:rsid w:val="00372033"/>
    <w:rsid w:val="003821AA"/>
    <w:rsid w:val="00394F05"/>
    <w:rsid w:val="00396817"/>
    <w:rsid w:val="003C1AD6"/>
    <w:rsid w:val="003C2A24"/>
    <w:rsid w:val="003C352A"/>
    <w:rsid w:val="003D1B41"/>
    <w:rsid w:val="003D24C2"/>
    <w:rsid w:val="003D7E3B"/>
    <w:rsid w:val="003E0D44"/>
    <w:rsid w:val="003E56D2"/>
    <w:rsid w:val="003F00BE"/>
    <w:rsid w:val="003F45DF"/>
    <w:rsid w:val="00401061"/>
    <w:rsid w:val="004136F8"/>
    <w:rsid w:val="0041770A"/>
    <w:rsid w:val="004433B2"/>
    <w:rsid w:val="00450E62"/>
    <w:rsid w:val="00451212"/>
    <w:rsid w:val="00457AC5"/>
    <w:rsid w:val="00462D95"/>
    <w:rsid w:val="00477699"/>
    <w:rsid w:val="00490F5A"/>
    <w:rsid w:val="00494767"/>
    <w:rsid w:val="00495130"/>
    <w:rsid w:val="00496656"/>
    <w:rsid w:val="004A1949"/>
    <w:rsid w:val="004C694E"/>
    <w:rsid w:val="004E3150"/>
    <w:rsid w:val="004F4614"/>
    <w:rsid w:val="004F720A"/>
    <w:rsid w:val="00510F9B"/>
    <w:rsid w:val="00511588"/>
    <w:rsid w:val="00515CC6"/>
    <w:rsid w:val="005203E3"/>
    <w:rsid w:val="00535FAD"/>
    <w:rsid w:val="00555E12"/>
    <w:rsid w:val="00557729"/>
    <w:rsid w:val="005860A9"/>
    <w:rsid w:val="005901ED"/>
    <w:rsid w:val="00591710"/>
    <w:rsid w:val="00594F58"/>
    <w:rsid w:val="005A06EB"/>
    <w:rsid w:val="005A418B"/>
    <w:rsid w:val="005A676E"/>
    <w:rsid w:val="005B05E5"/>
    <w:rsid w:val="005B2BD8"/>
    <w:rsid w:val="005B36B1"/>
    <w:rsid w:val="005C2428"/>
    <w:rsid w:val="005C6F60"/>
    <w:rsid w:val="005D12FE"/>
    <w:rsid w:val="005D1390"/>
    <w:rsid w:val="005D3F89"/>
    <w:rsid w:val="005E0E10"/>
    <w:rsid w:val="005E4CCD"/>
    <w:rsid w:val="005F1437"/>
    <w:rsid w:val="005F24F8"/>
    <w:rsid w:val="005F4004"/>
    <w:rsid w:val="005F7532"/>
    <w:rsid w:val="00627116"/>
    <w:rsid w:val="006275B1"/>
    <w:rsid w:val="00630A0E"/>
    <w:rsid w:val="006425E0"/>
    <w:rsid w:val="00643DEA"/>
    <w:rsid w:val="00646F7C"/>
    <w:rsid w:val="00652158"/>
    <w:rsid w:val="00664BCB"/>
    <w:rsid w:val="00665E8B"/>
    <w:rsid w:val="00666359"/>
    <w:rsid w:val="006730C8"/>
    <w:rsid w:val="00677584"/>
    <w:rsid w:val="00687FF7"/>
    <w:rsid w:val="00692262"/>
    <w:rsid w:val="006A4ECE"/>
    <w:rsid w:val="006A5475"/>
    <w:rsid w:val="006A6882"/>
    <w:rsid w:val="006C40B1"/>
    <w:rsid w:val="006C40F8"/>
    <w:rsid w:val="006C6783"/>
    <w:rsid w:val="006F14C7"/>
    <w:rsid w:val="006F4337"/>
    <w:rsid w:val="006F6AB1"/>
    <w:rsid w:val="00700D48"/>
    <w:rsid w:val="0070514A"/>
    <w:rsid w:val="00706E06"/>
    <w:rsid w:val="0071158B"/>
    <w:rsid w:val="00721753"/>
    <w:rsid w:val="007230D3"/>
    <w:rsid w:val="00727F2B"/>
    <w:rsid w:val="00752A5F"/>
    <w:rsid w:val="0075550D"/>
    <w:rsid w:val="0076350B"/>
    <w:rsid w:val="00791EAD"/>
    <w:rsid w:val="007A0D8B"/>
    <w:rsid w:val="007C1D6C"/>
    <w:rsid w:val="007D1078"/>
    <w:rsid w:val="007F021D"/>
    <w:rsid w:val="007F52E4"/>
    <w:rsid w:val="008101A1"/>
    <w:rsid w:val="008302A9"/>
    <w:rsid w:val="00837CF7"/>
    <w:rsid w:val="00845DBE"/>
    <w:rsid w:val="00850B65"/>
    <w:rsid w:val="008518AC"/>
    <w:rsid w:val="00851BD1"/>
    <w:rsid w:val="00860D13"/>
    <w:rsid w:val="008630B3"/>
    <w:rsid w:val="008650B1"/>
    <w:rsid w:val="00866073"/>
    <w:rsid w:val="00866802"/>
    <w:rsid w:val="00872E79"/>
    <w:rsid w:val="0087475D"/>
    <w:rsid w:val="00877D7C"/>
    <w:rsid w:val="00885090"/>
    <w:rsid w:val="00887EFC"/>
    <w:rsid w:val="008A0ED9"/>
    <w:rsid w:val="008A1B7A"/>
    <w:rsid w:val="008A29EE"/>
    <w:rsid w:val="008B07D5"/>
    <w:rsid w:val="008B38FF"/>
    <w:rsid w:val="008C23E4"/>
    <w:rsid w:val="008E5083"/>
    <w:rsid w:val="008F3EB3"/>
    <w:rsid w:val="00903CB7"/>
    <w:rsid w:val="009056A5"/>
    <w:rsid w:val="009131FC"/>
    <w:rsid w:val="00914FF4"/>
    <w:rsid w:val="009174A6"/>
    <w:rsid w:val="0092697B"/>
    <w:rsid w:val="00927080"/>
    <w:rsid w:val="0093044F"/>
    <w:rsid w:val="00935C56"/>
    <w:rsid w:val="00935E4C"/>
    <w:rsid w:val="00945346"/>
    <w:rsid w:val="009604C8"/>
    <w:rsid w:val="00961A42"/>
    <w:rsid w:val="0096231B"/>
    <w:rsid w:val="00965F7B"/>
    <w:rsid w:val="0097681F"/>
    <w:rsid w:val="00977378"/>
    <w:rsid w:val="00982BDB"/>
    <w:rsid w:val="009A00C6"/>
    <w:rsid w:val="009A5B7E"/>
    <w:rsid w:val="009B0CA7"/>
    <w:rsid w:val="009C4F67"/>
    <w:rsid w:val="009D55D8"/>
    <w:rsid w:val="009D623A"/>
    <w:rsid w:val="009D7F69"/>
    <w:rsid w:val="009F3665"/>
    <w:rsid w:val="009F7CEF"/>
    <w:rsid w:val="00A017B2"/>
    <w:rsid w:val="00A03007"/>
    <w:rsid w:val="00A036EA"/>
    <w:rsid w:val="00A03CBA"/>
    <w:rsid w:val="00A04709"/>
    <w:rsid w:val="00A055CE"/>
    <w:rsid w:val="00A066BB"/>
    <w:rsid w:val="00A141FA"/>
    <w:rsid w:val="00A339B5"/>
    <w:rsid w:val="00A35898"/>
    <w:rsid w:val="00A436B6"/>
    <w:rsid w:val="00A46933"/>
    <w:rsid w:val="00A4762B"/>
    <w:rsid w:val="00A476DE"/>
    <w:rsid w:val="00A51FCF"/>
    <w:rsid w:val="00A5526A"/>
    <w:rsid w:val="00A75392"/>
    <w:rsid w:val="00A94861"/>
    <w:rsid w:val="00A94D5D"/>
    <w:rsid w:val="00AB676E"/>
    <w:rsid w:val="00AC006F"/>
    <w:rsid w:val="00AC7F24"/>
    <w:rsid w:val="00AE3D16"/>
    <w:rsid w:val="00AF0117"/>
    <w:rsid w:val="00AF1A4C"/>
    <w:rsid w:val="00AF799C"/>
    <w:rsid w:val="00B05429"/>
    <w:rsid w:val="00B2642C"/>
    <w:rsid w:val="00B277B0"/>
    <w:rsid w:val="00B37715"/>
    <w:rsid w:val="00B40479"/>
    <w:rsid w:val="00B441E3"/>
    <w:rsid w:val="00B62FF5"/>
    <w:rsid w:val="00B72ECC"/>
    <w:rsid w:val="00B75504"/>
    <w:rsid w:val="00B96700"/>
    <w:rsid w:val="00BC0232"/>
    <w:rsid w:val="00BC3113"/>
    <w:rsid w:val="00BC37E3"/>
    <w:rsid w:val="00BC637C"/>
    <w:rsid w:val="00BC6AB6"/>
    <w:rsid w:val="00BD0FBA"/>
    <w:rsid w:val="00BD1FB0"/>
    <w:rsid w:val="00BD52F1"/>
    <w:rsid w:val="00BE1EC1"/>
    <w:rsid w:val="00BE760F"/>
    <w:rsid w:val="00C02114"/>
    <w:rsid w:val="00C20E6B"/>
    <w:rsid w:val="00C275A2"/>
    <w:rsid w:val="00C41527"/>
    <w:rsid w:val="00C572D6"/>
    <w:rsid w:val="00C65F1D"/>
    <w:rsid w:val="00C67400"/>
    <w:rsid w:val="00C720FA"/>
    <w:rsid w:val="00C76916"/>
    <w:rsid w:val="00C90B11"/>
    <w:rsid w:val="00C910B3"/>
    <w:rsid w:val="00CB0529"/>
    <w:rsid w:val="00CB1C7E"/>
    <w:rsid w:val="00CC641A"/>
    <w:rsid w:val="00CC7ABF"/>
    <w:rsid w:val="00CF3865"/>
    <w:rsid w:val="00CF5767"/>
    <w:rsid w:val="00CF6199"/>
    <w:rsid w:val="00CF788A"/>
    <w:rsid w:val="00D050CE"/>
    <w:rsid w:val="00D2697F"/>
    <w:rsid w:val="00D40E3E"/>
    <w:rsid w:val="00D45BA2"/>
    <w:rsid w:val="00D644EC"/>
    <w:rsid w:val="00D64E76"/>
    <w:rsid w:val="00D64F77"/>
    <w:rsid w:val="00D820EE"/>
    <w:rsid w:val="00D83CA9"/>
    <w:rsid w:val="00D84C5C"/>
    <w:rsid w:val="00D867E3"/>
    <w:rsid w:val="00D917C5"/>
    <w:rsid w:val="00D974B2"/>
    <w:rsid w:val="00DA2724"/>
    <w:rsid w:val="00DA60C1"/>
    <w:rsid w:val="00DB4AAD"/>
    <w:rsid w:val="00DD18B0"/>
    <w:rsid w:val="00DD208D"/>
    <w:rsid w:val="00DD4F5B"/>
    <w:rsid w:val="00DE0CE1"/>
    <w:rsid w:val="00DE2E3C"/>
    <w:rsid w:val="00DF62DC"/>
    <w:rsid w:val="00E01E03"/>
    <w:rsid w:val="00E1022F"/>
    <w:rsid w:val="00E11BFA"/>
    <w:rsid w:val="00E15B38"/>
    <w:rsid w:val="00E269E1"/>
    <w:rsid w:val="00E33002"/>
    <w:rsid w:val="00E5086D"/>
    <w:rsid w:val="00E628D1"/>
    <w:rsid w:val="00E65B40"/>
    <w:rsid w:val="00E75272"/>
    <w:rsid w:val="00E764D0"/>
    <w:rsid w:val="00E87C64"/>
    <w:rsid w:val="00EA1710"/>
    <w:rsid w:val="00EA67E4"/>
    <w:rsid w:val="00EB79B1"/>
    <w:rsid w:val="00EC3188"/>
    <w:rsid w:val="00ED04B0"/>
    <w:rsid w:val="00ED3C42"/>
    <w:rsid w:val="00EF2D33"/>
    <w:rsid w:val="00F1296F"/>
    <w:rsid w:val="00F20DDB"/>
    <w:rsid w:val="00F26F8A"/>
    <w:rsid w:val="00F36576"/>
    <w:rsid w:val="00F51E98"/>
    <w:rsid w:val="00F6127A"/>
    <w:rsid w:val="00F61A7E"/>
    <w:rsid w:val="00F6591D"/>
    <w:rsid w:val="00F75535"/>
    <w:rsid w:val="00F770D1"/>
    <w:rsid w:val="00F80A73"/>
    <w:rsid w:val="00F82AF8"/>
    <w:rsid w:val="00F8312A"/>
    <w:rsid w:val="00F84ADD"/>
    <w:rsid w:val="00F92562"/>
    <w:rsid w:val="00FA3108"/>
    <w:rsid w:val="00FA4667"/>
    <w:rsid w:val="00FA5053"/>
    <w:rsid w:val="00FA6C2C"/>
    <w:rsid w:val="00FA7B76"/>
    <w:rsid w:val="00FC266F"/>
    <w:rsid w:val="00FD52DB"/>
    <w:rsid w:val="00FD617D"/>
    <w:rsid w:val="00FF7064"/>
    <w:rsid w:val="6B32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073"/>
    <w:rPr>
      <w:sz w:val="24"/>
      <w:lang w:eastAsia="en-US"/>
    </w:rPr>
  </w:style>
  <w:style w:type="paragraph" w:styleId="Heading1">
    <w:name w:val="heading 1"/>
    <w:basedOn w:val="Normal"/>
    <w:next w:val="Normal"/>
    <w:qFormat/>
    <w:pPr>
      <w:keepNext/>
      <w:spacing w:after="120"/>
      <w:outlineLvl w:val="0"/>
    </w:pPr>
    <w:rPr>
      <w:b/>
      <w:kern w:val="28"/>
      <w:sz w:val="28"/>
    </w:rPr>
  </w:style>
  <w:style w:type="paragraph" w:styleId="Heading2">
    <w:name w:val="heading 2"/>
    <w:basedOn w:val="Normal"/>
    <w:next w:val="Normal"/>
    <w:link w:val="Heading2Char"/>
    <w:semiHidden/>
    <w:unhideWhenUsed/>
    <w:qFormat/>
    <w:rsid w:val="00FA4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rsid w:val="003C1AD6"/>
    <w:rPr>
      <w:rFonts w:ascii="Tahoma" w:hAnsi="Tahoma" w:cs="Tahoma"/>
      <w:sz w:val="16"/>
      <w:szCs w:val="16"/>
    </w:rPr>
  </w:style>
  <w:style w:type="character" w:customStyle="1" w:styleId="BalloonTextChar">
    <w:name w:val="Balloon Text Char"/>
    <w:basedOn w:val="DefaultParagraphFont"/>
    <w:link w:val="BalloonText"/>
    <w:rsid w:val="003C1AD6"/>
    <w:rPr>
      <w:rFonts w:ascii="Tahoma" w:hAnsi="Tahoma" w:cs="Tahoma"/>
      <w:sz w:val="16"/>
      <w:szCs w:val="16"/>
      <w:lang w:eastAsia="en-US"/>
    </w:rPr>
  </w:style>
  <w:style w:type="paragraph" w:styleId="TOC1">
    <w:name w:val="toc 1"/>
    <w:basedOn w:val="Normal"/>
    <w:next w:val="Normal"/>
    <w:autoRedefine/>
    <w:rsid w:val="00945346"/>
    <w:pPr>
      <w:spacing w:before="120" w:after="120"/>
    </w:pPr>
    <w:rPr>
      <w:szCs w:val="24"/>
    </w:rPr>
  </w:style>
  <w:style w:type="character" w:styleId="Hyperlink">
    <w:name w:val="Hyperlink"/>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5D12FE"/>
    <w:pPr>
      <w:ind w:left="720"/>
    </w:pPr>
    <w:rPr>
      <w:rFonts w:ascii="Calibri" w:eastAsiaTheme="minorHAnsi" w:hAnsi="Calibri" w:cs="Calibri"/>
      <w:sz w:val="22"/>
      <w:szCs w:val="22"/>
    </w:rPr>
  </w:style>
  <w:style w:type="character" w:styleId="CommentReference">
    <w:name w:val="annotation reference"/>
    <w:basedOn w:val="DefaultParagraphFont"/>
    <w:rsid w:val="007D1078"/>
    <w:rPr>
      <w:sz w:val="16"/>
      <w:szCs w:val="16"/>
    </w:rPr>
  </w:style>
  <w:style w:type="paragraph" w:styleId="CommentText">
    <w:name w:val="annotation text"/>
    <w:basedOn w:val="Normal"/>
    <w:link w:val="CommentTextChar"/>
    <w:rsid w:val="007D1078"/>
    <w:rPr>
      <w:sz w:val="20"/>
    </w:rPr>
  </w:style>
  <w:style w:type="character" w:customStyle="1" w:styleId="CommentTextChar">
    <w:name w:val="Comment Text Char"/>
    <w:basedOn w:val="DefaultParagraphFont"/>
    <w:link w:val="CommentText"/>
    <w:rsid w:val="007D1078"/>
    <w:rPr>
      <w:lang w:eastAsia="en-US"/>
    </w:rPr>
  </w:style>
  <w:style w:type="paragraph" w:styleId="CommentSubject">
    <w:name w:val="annotation subject"/>
    <w:basedOn w:val="CommentText"/>
    <w:next w:val="CommentText"/>
    <w:link w:val="CommentSubjectChar"/>
    <w:rsid w:val="007D1078"/>
    <w:rPr>
      <w:b/>
      <w:bCs/>
    </w:rPr>
  </w:style>
  <w:style w:type="character" w:customStyle="1" w:styleId="CommentSubjectChar">
    <w:name w:val="Comment Subject Char"/>
    <w:basedOn w:val="CommentTextChar"/>
    <w:link w:val="CommentSubject"/>
    <w:rsid w:val="007D1078"/>
    <w:rPr>
      <w:b/>
      <w:bCs/>
      <w:lang w:eastAsia="en-US"/>
    </w:rPr>
  </w:style>
  <w:style w:type="character" w:customStyle="1" w:styleId="Heading2Char">
    <w:name w:val="Heading 2 Char"/>
    <w:basedOn w:val="DefaultParagraphFont"/>
    <w:link w:val="Heading2"/>
    <w:semiHidden/>
    <w:rsid w:val="00FA4667"/>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865"/>
    <w:rPr>
      <w:sz w:val="24"/>
      <w:lang w:eastAsia="en-US"/>
    </w:rPr>
  </w:style>
  <w:style w:type="paragraph" w:styleId="NoSpacing">
    <w:name w:val="No Spacing"/>
    <w:uiPriority w:val="1"/>
    <w:qFormat/>
    <w:rsid w:val="000A6BBE"/>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073"/>
    <w:rPr>
      <w:sz w:val="24"/>
      <w:lang w:eastAsia="en-US"/>
    </w:rPr>
  </w:style>
  <w:style w:type="paragraph" w:styleId="Heading1">
    <w:name w:val="heading 1"/>
    <w:basedOn w:val="Normal"/>
    <w:next w:val="Normal"/>
    <w:qFormat/>
    <w:pPr>
      <w:keepNext/>
      <w:spacing w:after="120"/>
      <w:outlineLvl w:val="0"/>
    </w:pPr>
    <w:rPr>
      <w:b/>
      <w:kern w:val="28"/>
      <w:sz w:val="28"/>
    </w:rPr>
  </w:style>
  <w:style w:type="paragraph" w:styleId="Heading2">
    <w:name w:val="heading 2"/>
    <w:basedOn w:val="Normal"/>
    <w:next w:val="Normal"/>
    <w:link w:val="Heading2Char"/>
    <w:semiHidden/>
    <w:unhideWhenUsed/>
    <w:qFormat/>
    <w:rsid w:val="00FA4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rsid w:val="003C1AD6"/>
    <w:rPr>
      <w:rFonts w:ascii="Tahoma" w:hAnsi="Tahoma" w:cs="Tahoma"/>
      <w:sz w:val="16"/>
      <w:szCs w:val="16"/>
    </w:rPr>
  </w:style>
  <w:style w:type="character" w:customStyle="1" w:styleId="BalloonTextChar">
    <w:name w:val="Balloon Text Char"/>
    <w:basedOn w:val="DefaultParagraphFont"/>
    <w:link w:val="BalloonText"/>
    <w:rsid w:val="003C1AD6"/>
    <w:rPr>
      <w:rFonts w:ascii="Tahoma" w:hAnsi="Tahoma" w:cs="Tahoma"/>
      <w:sz w:val="16"/>
      <w:szCs w:val="16"/>
      <w:lang w:eastAsia="en-US"/>
    </w:rPr>
  </w:style>
  <w:style w:type="paragraph" w:styleId="TOC1">
    <w:name w:val="toc 1"/>
    <w:basedOn w:val="Normal"/>
    <w:next w:val="Normal"/>
    <w:autoRedefine/>
    <w:rsid w:val="00945346"/>
    <w:pPr>
      <w:spacing w:before="120" w:after="120"/>
    </w:pPr>
    <w:rPr>
      <w:szCs w:val="24"/>
    </w:rPr>
  </w:style>
  <w:style w:type="character" w:styleId="Hyperlink">
    <w:name w:val="Hyperlink"/>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5D12FE"/>
    <w:pPr>
      <w:ind w:left="720"/>
    </w:pPr>
    <w:rPr>
      <w:rFonts w:ascii="Calibri" w:eastAsiaTheme="minorHAnsi" w:hAnsi="Calibri" w:cs="Calibri"/>
      <w:sz w:val="22"/>
      <w:szCs w:val="22"/>
    </w:rPr>
  </w:style>
  <w:style w:type="character" w:styleId="CommentReference">
    <w:name w:val="annotation reference"/>
    <w:basedOn w:val="DefaultParagraphFont"/>
    <w:rsid w:val="007D1078"/>
    <w:rPr>
      <w:sz w:val="16"/>
      <w:szCs w:val="16"/>
    </w:rPr>
  </w:style>
  <w:style w:type="paragraph" w:styleId="CommentText">
    <w:name w:val="annotation text"/>
    <w:basedOn w:val="Normal"/>
    <w:link w:val="CommentTextChar"/>
    <w:rsid w:val="007D1078"/>
    <w:rPr>
      <w:sz w:val="20"/>
    </w:rPr>
  </w:style>
  <w:style w:type="character" w:customStyle="1" w:styleId="CommentTextChar">
    <w:name w:val="Comment Text Char"/>
    <w:basedOn w:val="DefaultParagraphFont"/>
    <w:link w:val="CommentText"/>
    <w:rsid w:val="007D1078"/>
    <w:rPr>
      <w:lang w:eastAsia="en-US"/>
    </w:rPr>
  </w:style>
  <w:style w:type="paragraph" w:styleId="CommentSubject">
    <w:name w:val="annotation subject"/>
    <w:basedOn w:val="CommentText"/>
    <w:next w:val="CommentText"/>
    <w:link w:val="CommentSubjectChar"/>
    <w:rsid w:val="007D1078"/>
    <w:rPr>
      <w:b/>
      <w:bCs/>
    </w:rPr>
  </w:style>
  <w:style w:type="character" w:customStyle="1" w:styleId="CommentSubjectChar">
    <w:name w:val="Comment Subject Char"/>
    <w:basedOn w:val="CommentTextChar"/>
    <w:link w:val="CommentSubject"/>
    <w:rsid w:val="007D1078"/>
    <w:rPr>
      <w:b/>
      <w:bCs/>
      <w:lang w:eastAsia="en-US"/>
    </w:rPr>
  </w:style>
  <w:style w:type="character" w:customStyle="1" w:styleId="Heading2Char">
    <w:name w:val="Heading 2 Char"/>
    <w:basedOn w:val="DefaultParagraphFont"/>
    <w:link w:val="Heading2"/>
    <w:semiHidden/>
    <w:rsid w:val="00FA4667"/>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865"/>
    <w:rPr>
      <w:sz w:val="24"/>
      <w:lang w:eastAsia="en-US"/>
    </w:rPr>
  </w:style>
  <w:style w:type="paragraph" w:styleId="NoSpacing">
    <w:name w:val="No Spacing"/>
    <w:uiPriority w:val="1"/>
    <w:qFormat/>
    <w:rsid w:val="000A6BB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443236131">
      <w:bodyDiv w:val="1"/>
      <w:marLeft w:val="0"/>
      <w:marRight w:val="0"/>
      <w:marTop w:val="0"/>
      <w:marBottom w:val="0"/>
      <w:divBdr>
        <w:top w:val="none" w:sz="0" w:space="0" w:color="auto"/>
        <w:left w:val="none" w:sz="0" w:space="0" w:color="auto"/>
        <w:bottom w:val="none" w:sz="0" w:space="0" w:color="auto"/>
        <w:right w:val="none" w:sz="0" w:space="0" w:color="auto"/>
      </w:divBdr>
    </w:div>
    <w:div w:id="656304619">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397126688">
      <w:bodyDiv w:val="1"/>
      <w:marLeft w:val="0"/>
      <w:marRight w:val="0"/>
      <w:marTop w:val="0"/>
      <w:marBottom w:val="0"/>
      <w:divBdr>
        <w:top w:val="none" w:sz="0" w:space="0" w:color="auto"/>
        <w:left w:val="none" w:sz="0" w:space="0" w:color="auto"/>
        <w:bottom w:val="none" w:sz="0" w:space="0" w:color="auto"/>
        <w:right w:val="none" w:sz="0" w:space="0" w:color="auto"/>
      </w:divBdr>
    </w:div>
    <w:div w:id="18023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astbournetheatre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oleObject" Target="file:///\\NTFILESERVER\EBCTemplates\Newlogo\ServiceTemplates\Footers%20for%20APP%20documents\Licensing%20Footer.doc" TargetMode="External"/><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oleObject" Target="file:///\\NTFILESERVER\EBCTemplates\Newlogo\ServiceTemplates\Footers%20for%20APP%20documents\Licensing%20Footer.doc"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A7DA5268D14E847B577C2C7CF394" ma:contentTypeVersion="1" ma:contentTypeDescription="Create a new document." ma:contentTypeScope="" ma:versionID="628c85152e5a3b7114ebed320c55b60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5018-1639-4032-9CB4-8C26F9ECC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0CC8-22FA-4E07-AB90-EADEE5BD4D8D}">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5AA4E82B-2D77-4B5F-A1C8-C17802E8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4253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Clarke</dc:creator>
  <cp:lastModifiedBy>Ayres, Rachel</cp:lastModifiedBy>
  <cp:revision>3</cp:revision>
  <cp:lastPrinted>2016-04-28T08:45:00Z</cp:lastPrinted>
  <dcterms:created xsi:type="dcterms:W3CDTF">2016-04-29T14:53:00Z</dcterms:created>
  <dcterms:modified xsi:type="dcterms:W3CDTF">2016-04-29T16:40:00Z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0x0101000AFAA7DA5268D14E847B577C2C7CF394</vt:lpwstr>
  </property>
</Properties>
</file>