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B4" w:rsidRDefault="00A317B4">
      <w:pPr>
        <w:rPr>
          <w:rFonts w:ascii="Source Sans Pro" w:hAnsi="Source Sans Pro" w:cstheme="minorHAnsi"/>
        </w:rPr>
      </w:pPr>
    </w:p>
    <w:p w:rsidR="00212645" w:rsidRDefault="00212645">
      <w:pPr>
        <w:rPr>
          <w:rFonts w:ascii="Source Sans Pro" w:hAnsi="Source Sans Pro" w:cstheme="minorHAnsi"/>
        </w:rPr>
      </w:pPr>
    </w:p>
    <w:p w:rsidR="00212645" w:rsidRDefault="00212645"/>
    <w:p w:rsidR="00212645" w:rsidRDefault="00212645"/>
    <w:p w:rsidR="00602110" w:rsidRPr="00602110" w:rsidRDefault="00602110" w:rsidP="00602110">
      <w:pPr>
        <w:rPr>
          <w:sz w:val="48"/>
          <w:szCs w:val="48"/>
        </w:rPr>
      </w:pPr>
      <w:r>
        <w:rPr>
          <w:sz w:val="48"/>
          <w:szCs w:val="48"/>
        </w:rPr>
        <w:t>Invitation to Tender</w:t>
      </w:r>
    </w:p>
    <w:p w:rsidR="00602110" w:rsidRPr="00602110" w:rsidRDefault="00602110" w:rsidP="00602110">
      <w:pPr>
        <w:rPr>
          <w:sz w:val="48"/>
          <w:szCs w:val="48"/>
        </w:rPr>
      </w:pPr>
      <w:r w:rsidRPr="00602110">
        <w:rPr>
          <w:sz w:val="48"/>
          <w:szCs w:val="48"/>
        </w:rPr>
        <w:t>Building Cleaning Services – Ref 0119</w:t>
      </w:r>
    </w:p>
    <w:p w:rsidR="00602110" w:rsidRPr="00602110" w:rsidRDefault="00602110" w:rsidP="00602110">
      <w:pPr>
        <w:rPr>
          <w:sz w:val="48"/>
          <w:szCs w:val="48"/>
        </w:rPr>
      </w:pPr>
    </w:p>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Default="00212645"/>
    <w:p w:rsidR="00212645" w:rsidRPr="00FA3BDC" w:rsidRDefault="00602110">
      <w:pPr>
        <w:rPr>
          <w:b/>
        </w:rPr>
      </w:pPr>
      <w:r w:rsidRPr="00FA3BDC">
        <w:rPr>
          <w:b/>
        </w:rPr>
        <w:t>PART 1</w:t>
      </w:r>
    </w:p>
    <w:p w:rsidR="00602110" w:rsidRPr="00FA3BDC" w:rsidRDefault="00602110">
      <w:pPr>
        <w:rPr>
          <w:b/>
        </w:rPr>
      </w:pPr>
      <w:r w:rsidRPr="00FA3BDC">
        <w:rPr>
          <w:b/>
        </w:rPr>
        <w:t>INSTRUCTIONS AND INFORMATION ON TENDERING PROCEDURES</w:t>
      </w:r>
    </w:p>
    <w:p w:rsidR="00602110" w:rsidRDefault="0060211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923"/>
      </w:tblGrid>
      <w:tr w:rsidR="00602110" w:rsidTr="00C31DE1">
        <w:tc>
          <w:tcPr>
            <w:tcW w:w="1271" w:type="dxa"/>
          </w:tcPr>
          <w:p w:rsidR="00602110" w:rsidRDefault="00602110">
            <w:r>
              <w:t>A</w:t>
            </w:r>
          </w:p>
        </w:tc>
        <w:tc>
          <w:tcPr>
            <w:tcW w:w="8923" w:type="dxa"/>
          </w:tcPr>
          <w:p w:rsidR="00602110" w:rsidRDefault="00602110">
            <w:r>
              <w:t>Contract Period</w:t>
            </w:r>
          </w:p>
        </w:tc>
      </w:tr>
      <w:tr w:rsidR="00602110" w:rsidTr="00C31DE1">
        <w:tc>
          <w:tcPr>
            <w:tcW w:w="1271" w:type="dxa"/>
          </w:tcPr>
          <w:p w:rsidR="00602110" w:rsidRDefault="00602110">
            <w:r>
              <w:t>B</w:t>
            </w:r>
          </w:p>
        </w:tc>
        <w:tc>
          <w:tcPr>
            <w:tcW w:w="8923" w:type="dxa"/>
          </w:tcPr>
          <w:p w:rsidR="00602110" w:rsidRDefault="008953AF">
            <w:r>
              <w:t>Queries</w:t>
            </w:r>
          </w:p>
        </w:tc>
      </w:tr>
      <w:tr w:rsidR="00602110" w:rsidTr="00C31DE1">
        <w:tc>
          <w:tcPr>
            <w:tcW w:w="1271" w:type="dxa"/>
          </w:tcPr>
          <w:p w:rsidR="00602110" w:rsidRDefault="00602110">
            <w:r>
              <w:t>C</w:t>
            </w:r>
          </w:p>
        </w:tc>
        <w:tc>
          <w:tcPr>
            <w:tcW w:w="8923" w:type="dxa"/>
          </w:tcPr>
          <w:p w:rsidR="00602110" w:rsidRDefault="008953AF">
            <w:r>
              <w:t>Incomplete</w:t>
            </w:r>
            <w:r w:rsidR="00602110">
              <w:t xml:space="preserve"> Tender</w:t>
            </w:r>
          </w:p>
        </w:tc>
      </w:tr>
      <w:tr w:rsidR="00602110" w:rsidTr="00C31DE1">
        <w:tc>
          <w:tcPr>
            <w:tcW w:w="1271" w:type="dxa"/>
          </w:tcPr>
          <w:p w:rsidR="00602110" w:rsidRDefault="00C31DE1">
            <w:r>
              <w:t>D</w:t>
            </w:r>
          </w:p>
        </w:tc>
        <w:tc>
          <w:tcPr>
            <w:tcW w:w="8923" w:type="dxa"/>
          </w:tcPr>
          <w:p w:rsidR="00602110" w:rsidRDefault="00C31DE1">
            <w:r>
              <w:t>Returning Tenders</w:t>
            </w:r>
          </w:p>
        </w:tc>
      </w:tr>
      <w:tr w:rsidR="00602110" w:rsidTr="00C31DE1">
        <w:tc>
          <w:tcPr>
            <w:tcW w:w="1271" w:type="dxa"/>
          </w:tcPr>
          <w:p w:rsidR="00602110" w:rsidRDefault="00C31DE1">
            <w:r>
              <w:t>E</w:t>
            </w:r>
          </w:p>
        </w:tc>
        <w:tc>
          <w:tcPr>
            <w:tcW w:w="8923" w:type="dxa"/>
          </w:tcPr>
          <w:p w:rsidR="00602110" w:rsidRDefault="008953AF">
            <w:r>
              <w:t>Receipt</w:t>
            </w:r>
            <w:r w:rsidR="00C31DE1">
              <w:t xml:space="preserve"> of Tenders</w:t>
            </w:r>
          </w:p>
        </w:tc>
      </w:tr>
      <w:tr w:rsidR="00602110" w:rsidTr="00C31DE1">
        <w:tc>
          <w:tcPr>
            <w:tcW w:w="1271" w:type="dxa"/>
          </w:tcPr>
          <w:p w:rsidR="00602110" w:rsidRDefault="00C31DE1">
            <w:r>
              <w:t>F</w:t>
            </w:r>
          </w:p>
        </w:tc>
        <w:tc>
          <w:tcPr>
            <w:tcW w:w="8923" w:type="dxa"/>
          </w:tcPr>
          <w:p w:rsidR="00602110" w:rsidRDefault="00C31DE1">
            <w:r>
              <w:t>Acceptance of Tenders</w:t>
            </w:r>
          </w:p>
        </w:tc>
      </w:tr>
      <w:tr w:rsidR="00C31DE1" w:rsidTr="00C31DE1">
        <w:tc>
          <w:tcPr>
            <w:tcW w:w="1271" w:type="dxa"/>
          </w:tcPr>
          <w:p w:rsidR="00C31DE1" w:rsidRDefault="00C31DE1">
            <w:r>
              <w:t>G</w:t>
            </w:r>
          </w:p>
        </w:tc>
        <w:tc>
          <w:tcPr>
            <w:tcW w:w="8923" w:type="dxa"/>
          </w:tcPr>
          <w:p w:rsidR="00C31DE1" w:rsidRDefault="00C31DE1">
            <w:r>
              <w:t>Conflict of Interest</w:t>
            </w:r>
          </w:p>
        </w:tc>
      </w:tr>
      <w:tr w:rsidR="00C31DE1" w:rsidTr="00C31DE1">
        <w:tc>
          <w:tcPr>
            <w:tcW w:w="1271" w:type="dxa"/>
          </w:tcPr>
          <w:p w:rsidR="00C31DE1" w:rsidRDefault="00C31DE1">
            <w:r>
              <w:t>H</w:t>
            </w:r>
          </w:p>
        </w:tc>
        <w:tc>
          <w:tcPr>
            <w:tcW w:w="8923" w:type="dxa"/>
          </w:tcPr>
          <w:p w:rsidR="00C31DE1" w:rsidRDefault="00C31DE1">
            <w:r>
              <w:t>Inducements</w:t>
            </w:r>
          </w:p>
        </w:tc>
      </w:tr>
      <w:tr w:rsidR="00C31DE1" w:rsidTr="00C31DE1">
        <w:tc>
          <w:tcPr>
            <w:tcW w:w="1271" w:type="dxa"/>
          </w:tcPr>
          <w:p w:rsidR="00C31DE1" w:rsidRDefault="00C31DE1">
            <w:r>
              <w:t>I</w:t>
            </w:r>
          </w:p>
        </w:tc>
        <w:tc>
          <w:tcPr>
            <w:tcW w:w="8923" w:type="dxa"/>
          </w:tcPr>
          <w:p w:rsidR="00C31DE1" w:rsidRDefault="00C31DE1">
            <w:r>
              <w:t>Confidentiality of Tenders</w:t>
            </w:r>
          </w:p>
        </w:tc>
      </w:tr>
      <w:tr w:rsidR="00C31DE1" w:rsidTr="00C31DE1">
        <w:tc>
          <w:tcPr>
            <w:tcW w:w="1271" w:type="dxa"/>
          </w:tcPr>
          <w:p w:rsidR="00C31DE1" w:rsidRDefault="00C31DE1">
            <w:r>
              <w:t>J</w:t>
            </w:r>
          </w:p>
        </w:tc>
        <w:tc>
          <w:tcPr>
            <w:tcW w:w="8923" w:type="dxa"/>
          </w:tcPr>
          <w:p w:rsidR="00C31DE1" w:rsidRDefault="00C31DE1">
            <w:r>
              <w:t>Costs and Expenses</w:t>
            </w:r>
          </w:p>
        </w:tc>
      </w:tr>
      <w:tr w:rsidR="00C31DE1" w:rsidTr="00C31DE1">
        <w:tc>
          <w:tcPr>
            <w:tcW w:w="1271" w:type="dxa"/>
          </w:tcPr>
          <w:p w:rsidR="00C31DE1" w:rsidRDefault="00C31DE1">
            <w:r>
              <w:t>K</w:t>
            </w:r>
          </w:p>
        </w:tc>
        <w:tc>
          <w:tcPr>
            <w:tcW w:w="8923" w:type="dxa"/>
          </w:tcPr>
          <w:p w:rsidR="00C31DE1" w:rsidRDefault="00C31DE1">
            <w:r>
              <w:t>Debriefing</w:t>
            </w:r>
          </w:p>
        </w:tc>
      </w:tr>
      <w:tr w:rsidR="00C31DE1" w:rsidTr="00C31DE1">
        <w:tc>
          <w:tcPr>
            <w:tcW w:w="1271" w:type="dxa"/>
          </w:tcPr>
          <w:p w:rsidR="00C31DE1" w:rsidRDefault="00C31DE1">
            <w:r>
              <w:t>L</w:t>
            </w:r>
          </w:p>
        </w:tc>
        <w:tc>
          <w:tcPr>
            <w:tcW w:w="8923" w:type="dxa"/>
          </w:tcPr>
          <w:p w:rsidR="00C31DE1" w:rsidRDefault="008953AF">
            <w:r>
              <w:t>Purchasing</w:t>
            </w:r>
          </w:p>
        </w:tc>
      </w:tr>
      <w:tr w:rsidR="00C31DE1" w:rsidTr="00C31DE1">
        <w:tc>
          <w:tcPr>
            <w:tcW w:w="1271" w:type="dxa"/>
          </w:tcPr>
          <w:p w:rsidR="00C31DE1" w:rsidRDefault="00C31DE1">
            <w:r>
              <w:t>M</w:t>
            </w:r>
          </w:p>
        </w:tc>
        <w:tc>
          <w:tcPr>
            <w:tcW w:w="8923" w:type="dxa"/>
          </w:tcPr>
          <w:p w:rsidR="00C31DE1" w:rsidRDefault="008953AF">
            <w:r>
              <w:t>Freedom</w:t>
            </w:r>
            <w:r w:rsidR="00C31DE1">
              <w:t xml:space="preserve"> of Information</w:t>
            </w:r>
          </w:p>
        </w:tc>
      </w:tr>
      <w:tr w:rsidR="00C31DE1" w:rsidTr="00C31DE1">
        <w:tc>
          <w:tcPr>
            <w:tcW w:w="1271" w:type="dxa"/>
          </w:tcPr>
          <w:p w:rsidR="00C31DE1" w:rsidRDefault="00C31DE1">
            <w:r>
              <w:t>N</w:t>
            </w:r>
          </w:p>
        </w:tc>
        <w:tc>
          <w:tcPr>
            <w:tcW w:w="8923" w:type="dxa"/>
          </w:tcPr>
          <w:p w:rsidR="00C31DE1" w:rsidRDefault="00C31DE1">
            <w:r>
              <w:t>Tender Period</w:t>
            </w:r>
          </w:p>
        </w:tc>
      </w:tr>
      <w:tr w:rsidR="00C31DE1" w:rsidTr="00C31DE1">
        <w:tc>
          <w:tcPr>
            <w:tcW w:w="1271" w:type="dxa"/>
          </w:tcPr>
          <w:p w:rsidR="00C31DE1" w:rsidRDefault="00C31DE1">
            <w:r>
              <w:t>O</w:t>
            </w:r>
          </w:p>
        </w:tc>
        <w:tc>
          <w:tcPr>
            <w:tcW w:w="8923" w:type="dxa"/>
          </w:tcPr>
          <w:p w:rsidR="00C31DE1" w:rsidRDefault="00C31DE1">
            <w:r>
              <w:t>Basis of Contract</w:t>
            </w:r>
          </w:p>
        </w:tc>
      </w:tr>
      <w:tr w:rsidR="00C31DE1" w:rsidTr="00C31DE1">
        <w:tc>
          <w:tcPr>
            <w:tcW w:w="1271" w:type="dxa"/>
          </w:tcPr>
          <w:p w:rsidR="00C31DE1" w:rsidRDefault="00C31DE1">
            <w:r>
              <w:t>P</w:t>
            </w:r>
          </w:p>
        </w:tc>
        <w:tc>
          <w:tcPr>
            <w:tcW w:w="8923" w:type="dxa"/>
          </w:tcPr>
          <w:p w:rsidR="00C31DE1" w:rsidRDefault="00C31DE1">
            <w:r>
              <w:t>TUPE</w:t>
            </w:r>
          </w:p>
        </w:tc>
      </w:tr>
      <w:tr w:rsidR="00C31DE1" w:rsidTr="00C31DE1">
        <w:tc>
          <w:tcPr>
            <w:tcW w:w="1271" w:type="dxa"/>
          </w:tcPr>
          <w:p w:rsidR="00C31DE1" w:rsidRDefault="00C31DE1">
            <w:r>
              <w:t>Q</w:t>
            </w:r>
          </w:p>
        </w:tc>
        <w:tc>
          <w:tcPr>
            <w:tcW w:w="8923" w:type="dxa"/>
          </w:tcPr>
          <w:p w:rsidR="00C31DE1" w:rsidRDefault="00C31DE1">
            <w:r>
              <w:t xml:space="preserve">Anticipated Procurement </w:t>
            </w:r>
            <w:r w:rsidR="008953AF">
              <w:t>Timetable</w:t>
            </w:r>
          </w:p>
        </w:tc>
      </w:tr>
      <w:tr w:rsidR="00C31DE1" w:rsidTr="00C31DE1">
        <w:tc>
          <w:tcPr>
            <w:tcW w:w="1271" w:type="dxa"/>
          </w:tcPr>
          <w:p w:rsidR="00C31DE1" w:rsidRDefault="00C31DE1">
            <w:r>
              <w:t>R</w:t>
            </w:r>
          </w:p>
        </w:tc>
        <w:tc>
          <w:tcPr>
            <w:tcW w:w="8923" w:type="dxa"/>
          </w:tcPr>
          <w:p w:rsidR="00C31DE1" w:rsidRDefault="00C31DE1" w:rsidP="00255213">
            <w:r>
              <w:t>Specification for the provision of cleaning</w:t>
            </w:r>
          </w:p>
        </w:tc>
      </w:tr>
      <w:tr w:rsidR="00C31DE1" w:rsidTr="00C31DE1">
        <w:tc>
          <w:tcPr>
            <w:tcW w:w="1271" w:type="dxa"/>
          </w:tcPr>
          <w:p w:rsidR="00C31DE1" w:rsidRDefault="00C31DE1">
            <w:r>
              <w:t>S</w:t>
            </w:r>
          </w:p>
        </w:tc>
        <w:tc>
          <w:tcPr>
            <w:tcW w:w="8923" w:type="dxa"/>
          </w:tcPr>
          <w:p w:rsidR="00C31DE1" w:rsidRDefault="00C31DE1">
            <w:r>
              <w:t>Conclusions</w:t>
            </w:r>
          </w:p>
        </w:tc>
      </w:tr>
    </w:tbl>
    <w:p w:rsidR="00602110" w:rsidRDefault="00602110"/>
    <w:p w:rsidR="00212645" w:rsidRPr="00FA3BDC" w:rsidRDefault="00C31DE1">
      <w:pPr>
        <w:rPr>
          <w:b/>
        </w:rPr>
      </w:pPr>
      <w:r w:rsidRPr="00FA3BDC">
        <w:rPr>
          <w:b/>
        </w:rPr>
        <w:t>PART TWO</w:t>
      </w:r>
    </w:p>
    <w:p w:rsidR="00C31DE1" w:rsidRPr="00FA3BDC" w:rsidRDefault="00011647">
      <w:pPr>
        <w:rPr>
          <w:b/>
        </w:rPr>
      </w:pPr>
      <w:r w:rsidRPr="00FA3BDC">
        <w:rPr>
          <w:b/>
        </w:rPr>
        <w:t>INVITATIO</w:t>
      </w:r>
      <w:r w:rsidR="00C31DE1" w:rsidRPr="00FA3BDC">
        <w:rPr>
          <w:b/>
        </w:rPr>
        <w:t>N TO TENDER</w:t>
      </w:r>
    </w:p>
    <w:p w:rsidR="00C31DE1" w:rsidRDefault="00C31DE1"/>
    <w:tbl>
      <w:tblPr>
        <w:tblStyle w:val="TableGrid"/>
        <w:tblW w:w="0" w:type="auto"/>
        <w:tblLook w:val="04A0" w:firstRow="1" w:lastRow="0" w:firstColumn="1" w:lastColumn="0" w:noHBand="0" w:noVBand="1"/>
      </w:tblPr>
      <w:tblGrid>
        <w:gridCol w:w="5097"/>
        <w:gridCol w:w="5097"/>
      </w:tblGrid>
      <w:tr w:rsidR="00C31DE1" w:rsidTr="00C31DE1">
        <w:tc>
          <w:tcPr>
            <w:tcW w:w="5097" w:type="dxa"/>
          </w:tcPr>
          <w:p w:rsidR="00C31DE1" w:rsidRDefault="00FA3BDC">
            <w:r>
              <w:t xml:space="preserve">Section </w:t>
            </w:r>
            <w:r w:rsidR="00C31DE1">
              <w:t>1</w:t>
            </w:r>
          </w:p>
        </w:tc>
        <w:tc>
          <w:tcPr>
            <w:tcW w:w="5097" w:type="dxa"/>
          </w:tcPr>
          <w:p w:rsidR="00C31DE1" w:rsidRDefault="008953AF">
            <w:r>
              <w:t>Cleaning</w:t>
            </w:r>
            <w:r w:rsidR="00C31DE1">
              <w:t xml:space="preserve"> </w:t>
            </w:r>
            <w:r w:rsidR="00550039">
              <w:t>standards</w:t>
            </w:r>
            <w:r w:rsidR="00C31DE1">
              <w:t xml:space="preserve"> specification table</w:t>
            </w:r>
          </w:p>
        </w:tc>
      </w:tr>
      <w:tr w:rsidR="00C31DE1" w:rsidTr="00C31DE1">
        <w:tc>
          <w:tcPr>
            <w:tcW w:w="5097" w:type="dxa"/>
          </w:tcPr>
          <w:p w:rsidR="00C31DE1" w:rsidRDefault="00FA3BDC" w:rsidP="00FA3BDC">
            <w:r>
              <w:t xml:space="preserve">Section </w:t>
            </w:r>
            <w:r w:rsidR="00C31DE1">
              <w:t>2</w:t>
            </w:r>
          </w:p>
        </w:tc>
        <w:tc>
          <w:tcPr>
            <w:tcW w:w="5097" w:type="dxa"/>
          </w:tcPr>
          <w:p w:rsidR="00C31DE1" w:rsidRDefault="00C31DE1">
            <w:r>
              <w:t>Form of Tender</w:t>
            </w:r>
          </w:p>
        </w:tc>
      </w:tr>
      <w:tr w:rsidR="00C31DE1" w:rsidTr="00C31DE1">
        <w:tc>
          <w:tcPr>
            <w:tcW w:w="5097" w:type="dxa"/>
          </w:tcPr>
          <w:p w:rsidR="00C31DE1" w:rsidRDefault="00C31DE1">
            <w:r>
              <w:t>Appendix 1</w:t>
            </w:r>
          </w:p>
        </w:tc>
        <w:tc>
          <w:tcPr>
            <w:tcW w:w="5097" w:type="dxa"/>
          </w:tcPr>
          <w:p w:rsidR="00C31DE1" w:rsidRDefault="00C31DE1">
            <w:r>
              <w:t>Tender requirements and Method Statement</w:t>
            </w:r>
          </w:p>
        </w:tc>
      </w:tr>
      <w:tr w:rsidR="00C31DE1" w:rsidTr="00C31DE1">
        <w:tc>
          <w:tcPr>
            <w:tcW w:w="5097" w:type="dxa"/>
          </w:tcPr>
          <w:p w:rsidR="00C31DE1" w:rsidRDefault="00C31DE1">
            <w:r>
              <w:t>Appendix 2</w:t>
            </w:r>
          </w:p>
        </w:tc>
        <w:tc>
          <w:tcPr>
            <w:tcW w:w="5097" w:type="dxa"/>
          </w:tcPr>
          <w:p w:rsidR="00C31DE1" w:rsidRDefault="00C31DE1">
            <w:r>
              <w:t>Pricing Schedule</w:t>
            </w:r>
          </w:p>
        </w:tc>
      </w:tr>
      <w:tr w:rsidR="00C31DE1" w:rsidTr="00C31DE1">
        <w:tc>
          <w:tcPr>
            <w:tcW w:w="5097" w:type="dxa"/>
          </w:tcPr>
          <w:p w:rsidR="00C31DE1" w:rsidRDefault="00C31DE1">
            <w:r>
              <w:t>Appendix 3</w:t>
            </w:r>
          </w:p>
        </w:tc>
        <w:tc>
          <w:tcPr>
            <w:tcW w:w="5097" w:type="dxa"/>
          </w:tcPr>
          <w:p w:rsidR="00C31DE1" w:rsidRDefault="00C31DE1">
            <w:r>
              <w:t xml:space="preserve">DBS </w:t>
            </w:r>
            <w:r w:rsidR="00550039">
              <w:t>Declaration</w:t>
            </w:r>
          </w:p>
        </w:tc>
      </w:tr>
      <w:tr w:rsidR="00C31DE1" w:rsidTr="00C31DE1">
        <w:tc>
          <w:tcPr>
            <w:tcW w:w="5097" w:type="dxa"/>
          </w:tcPr>
          <w:p w:rsidR="00C31DE1" w:rsidRDefault="00C31DE1">
            <w:r>
              <w:t>Appendix 4</w:t>
            </w:r>
          </w:p>
        </w:tc>
        <w:tc>
          <w:tcPr>
            <w:tcW w:w="5097" w:type="dxa"/>
          </w:tcPr>
          <w:p w:rsidR="00C31DE1" w:rsidRDefault="00C31DE1">
            <w:r>
              <w:t>Qualification of Contract</w:t>
            </w:r>
          </w:p>
        </w:tc>
      </w:tr>
    </w:tbl>
    <w:p w:rsidR="00C31DE1" w:rsidRDefault="00C31DE1"/>
    <w:p w:rsidR="00212645" w:rsidRDefault="00212645"/>
    <w:p w:rsidR="00212645" w:rsidRPr="00CC34DF" w:rsidRDefault="008801B8">
      <w:pPr>
        <w:rPr>
          <w:b/>
        </w:rPr>
      </w:pPr>
      <w:r w:rsidRPr="00CC34DF">
        <w:rPr>
          <w:b/>
        </w:rPr>
        <w:lastRenderedPageBreak/>
        <w:t>PART 1</w:t>
      </w:r>
    </w:p>
    <w:p w:rsidR="008801B8" w:rsidRPr="00CC34DF" w:rsidRDefault="008801B8">
      <w:pPr>
        <w:rPr>
          <w:b/>
        </w:rPr>
      </w:pPr>
      <w:r w:rsidRPr="00CC34DF">
        <w:rPr>
          <w:b/>
        </w:rPr>
        <w:t>INSTRUCTIONS AND INFORMATION ON TENDERING PROCEDURES</w:t>
      </w:r>
    </w:p>
    <w:p w:rsidR="00857A89" w:rsidRDefault="008801B8">
      <w:r>
        <w:t xml:space="preserve">These instructions are designed to </w:t>
      </w:r>
      <w:r w:rsidR="00550039">
        <w:t>ensure</w:t>
      </w:r>
      <w:r>
        <w:t xml:space="preserve"> that all </w:t>
      </w:r>
      <w:r w:rsidR="00550039">
        <w:t>tenders</w:t>
      </w:r>
      <w:r>
        <w:t xml:space="preserve"> are given equal </w:t>
      </w:r>
      <w:r w:rsidR="00550039">
        <w:t>and</w:t>
      </w:r>
      <w:r>
        <w:t xml:space="preserve"> fair </w:t>
      </w:r>
      <w:r w:rsidR="00550039">
        <w:t>consideration</w:t>
      </w:r>
      <w:r>
        <w:t xml:space="preserve">.  It is important therefore that you provide all the information asked for in </w:t>
      </w:r>
      <w:r w:rsidR="00550039">
        <w:t>the</w:t>
      </w:r>
      <w:r>
        <w:t xml:space="preserve"> </w:t>
      </w:r>
      <w:r w:rsidR="00550039">
        <w:t>format</w:t>
      </w:r>
      <w:r>
        <w:t xml:space="preserve"> specified.  The school </w:t>
      </w:r>
      <w:r w:rsidR="00550039">
        <w:t>reserves</w:t>
      </w:r>
      <w:r>
        <w:t xml:space="preserve"> the right to reject tenders </w:t>
      </w:r>
      <w:r w:rsidR="00857A89">
        <w:t xml:space="preserve">which are not submitted in accordance with the instructions given.  Tenders </w:t>
      </w:r>
      <w:r w:rsidR="00550039">
        <w:t>must</w:t>
      </w:r>
      <w:r w:rsidR="00857A89">
        <w:t xml:space="preserve"> be completed in English.</w:t>
      </w:r>
    </w:p>
    <w:p w:rsidR="00CC34DF" w:rsidRDefault="00CC34DF" w:rsidP="00857A89">
      <w:pPr>
        <w:rPr>
          <w:b/>
        </w:rPr>
      </w:pPr>
    </w:p>
    <w:p w:rsidR="00857A89" w:rsidRPr="00CC34DF" w:rsidRDefault="00857A89" w:rsidP="00857A89">
      <w:pPr>
        <w:rPr>
          <w:b/>
        </w:rPr>
      </w:pPr>
      <w:r w:rsidRPr="00CC34DF">
        <w:rPr>
          <w:b/>
        </w:rPr>
        <w:t>A</w:t>
      </w:r>
      <w:r w:rsidRPr="00CC34DF">
        <w:rPr>
          <w:b/>
        </w:rPr>
        <w:tab/>
        <w:t>CONTRACT PERIOD</w:t>
      </w:r>
    </w:p>
    <w:p w:rsidR="00D50481" w:rsidRPr="006F79F3" w:rsidRDefault="00857A89" w:rsidP="00D50481">
      <w:pPr>
        <w:pStyle w:val="NoSpacing"/>
      </w:pPr>
      <w:r>
        <w:t xml:space="preserve">The new </w:t>
      </w:r>
      <w:r w:rsidR="00550039">
        <w:t>contract</w:t>
      </w:r>
      <w:r>
        <w:t xml:space="preserve"> will commence on 1</w:t>
      </w:r>
      <w:r w:rsidRPr="00857A89">
        <w:rPr>
          <w:vertAlign w:val="superscript"/>
        </w:rPr>
        <w:t>st</w:t>
      </w:r>
      <w:r>
        <w:t xml:space="preserve"> September 2019 for a duration of </w:t>
      </w:r>
      <w:r w:rsidR="00255213">
        <w:t>36</w:t>
      </w:r>
      <w:r w:rsidR="00185150">
        <w:t xml:space="preserve"> </w:t>
      </w:r>
      <w:r w:rsidR="00255213">
        <w:t>months ending on 31</w:t>
      </w:r>
      <w:r w:rsidR="00255213" w:rsidRPr="00255213">
        <w:rPr>
          <w:vertAlign w:val="superscript"/>
        </w:rPr>
        <w:t>st</w:t>
      </w:r>
      <w:r w:rsidR="00255213">
        <w:t xml:space="preserve"> August 2022</w:t>
      </w:r>
      <w:r>
        <w:t xml:space="preserve">.  </w:t>
      </w:r>
      <w:r w:rsidR="00D50481" w:rsidRPr="006F79F3">
        <w:t>The cleaning service is required for a total of 39 weeks during a year.  38 weeks of which are during term time, with an additional week during the summer holiday period for a deep clean.</w:t>
      </w:r>
    </w:p>
    <w:p w:rsidR="00CC34DF" w:rsidRDefault="00CC34DF" w:rsidP="00857A89">
      <w:pPr>
        <w:rPr>
          <w:b/>
        </w:rPr>
      </w:pPr>
    </w:p>
    <w:p w:rsidR="00857A89" w:rsidRPr="00CC34DF" w:rsidRDefault="00CC34DF" w:rsidP="00857A89">
      <w:pPr>
        <w:rPr>
          <w:b/>
        </w:rPr>
      </w:pPr>
      <w:r>
        <w:rPr>
          <w:b/>
        </w:rPr>
        <w:t>B</w:t>
      </w:r>
      <w:r>
        <w:rPr>
          <w:b/>
        </w:rPr>
        <w:tab/>
        <w:t>QUERIES</w:t>
      </w:r>
    </w:p>
    <w:p w:rsidR="00857A89" w:rsidRDefault="00857A89" w:rsidP="00857A89">
      <w:r>
        <w:t xml:space="preserve">The school will endeavour to deal with queries </w:t>
      </w:r>
      <w:r w:rsidR="00550039">
        <w:t>Tenderers</w:t>
      </w:r>
      <w:r>
        <w:t xml:space="preserve"> may have during the tender period.  </w:t>
      </w:r>
      <w:r w:rsidR="00550039">
        <w:t>Tenderers</w:t>
      </w:r>
      <w:r>
        <w:t xml:space="preserve"> should be aware that questions they raise during</w:t>
      </w:r>
      <w:r w:rsidR="00550039">
        <w:t xml:space="preserve"> </w:t>
      </w:r>
      <w:r>
        <w:t xml:space="preserve">the tender period, together with answers, will be circulated anonymously to all interested parties.  Queries should be submitted by email only to Alison </w:t>
      </w:r>
      <w:r w:rsidR="00550039">
        <w:t>Williams</w:t>
      </w:r>
      <w:r>
        <w:t xml:space="preserve">, Head of </w:t>
      </w:r>
      <w:r w:rsidR="00550039">
        <w:t>Finance</w:t>
      </w:r>
      <w:r>
        <w:t xml:space="preserve"> at the email address </w:t>
      </w:r>
      <w:hyperlink r:id="rId7" w:history="1">
        <w:r w:rsidRPr="004C5CAB">
          <w:rPr>
            <w:rStyle w:val="Hyperlink"/>
          </w:rPr>
          <w:t>alwilliams@southfieldsch.co.uk</w:t>
        </w:r>
      </w:hyperlink>
    </w:p>
    <w:p w:rsidR="00857A89" w:rsidRDefault="00857A89" w:rsidP="00857A89">
      <w:r w:rsidRPr="00EA6E01">
        <w:t xml:space="preserve">Please note </w:t>
      </w:r>
      <w:r w:rsidR="00550039" w:rsidRPr="00EA6E01">
        <w:t>the</w:t>
      </w:r>
      <w:r w:rsidRPr="00EA6E01">
        <w:t xml:space="preserve"> last date for clarification questions is </w:t>
      </w:r>
      <w:r w:rsidR="00EA6E01" w:rsidRPr="00EA6E01">
        <w:t>3</w:t>
      </w:r>
      <w:r w:rsidR="00EA6E01" w:rsidRPr="00EA6E01">
        <w:rPr>
          <w:vertAlign w:val="superscript"/>
        </w:rPr>
        <w:t>rd</w:t>
      </w:r>
      <w:r w:rsidR="00EA6E01" w:rsidRPr="00EA6E01">
        <w:t xml:space="preserve"> June 201</w:t>
      </w:r>
      <w:r w:rsidR="00EA6E01">
        <w:t>9</w:t>
      </w:r>
    </w:p>
    <w:p w:rsidR="00857A89" w:rsidRDefault="00857A89" w:rsidP="00857A89">
      <w:r>
        <w:t xml:space="preserve">Pre-tender negotiations are not allowed under any </w:t>
      </w:r>
      <w:r w:rsidR="00550039">
        <w:t>circumstances</w:t>
      </w:r>
      <w:r>
        <w:t>.</w:t>
      </w:r>
    </w:p>
    <w:p w:rsidR="00857A89" w:rsidRDefault="00857A89" w:rsidP="00857A89"/>
    <w:p w:rsidR="00857A89" w:rsidRPr="00CC34DF" w:rsidRDefault="00857A89" w:rsidP="00857A89">
      <w:pPr>
        <w:rPr>
          <w:b/>
        </w:rPr>
      </w:pPr>
      <w:r w:rsidRPr="00CC34DF">
        <w:rPr>
          <w:b/>
        </w:rPr>
        <w:t>C</w:t>
      </w:r>
      <w:r w:rsidRPr="00CC34DF">
        <w:rPr>
          <w:b/>
        </w:rPr>
        <w:tab/>
        <w:t xml:space="preserve"> INCOMPLETE TENDER</w:t>
      </w:r>
    </w:p>
    <w:p w:rsidR="00857A89" w:rsidRDefault="00857A89" w:rsidP="00857A89">
      <w:r>
        <w:t xml:space="preserve">Tenders maybe rejected if the information asked for in the invitation to tender is not given at the </w:t>
      </w:r>
      <w:r w:rsidR="00550039">
        <w:t>time</w:t>
      </w:r>
      <w:r>
        <w:t xml:space="preserve"> of </w:t>
      </w:r>
      <w:r w:rsidR="00550039">
        <w:t>tendering</w:t>
      </w:r>
      <w:r>
        <w:t>.</w:t>
      </w:r>
    </w:p>
    <w:p w:rsidR="00857A89" w:rsidRDefault="00857A89" w:rsidP="00857A89"/>
    <w:p w:rsidR="00857A89" w:rsidRPr="00CC34DF" w:rsidRDefault="00857A89" w:rsidP="00857A89">
      <w:pPr>
        <w:rPr>
          <w:b/>
        </w:rPr>
      </w:pPr>
      <w:r w:rsidRPr="00CC34DF">
        <w:rPr>
          <w:b/>
        </w:rPr>
        <w:t>D</w:t>
      </w:r>
      <w:r w:rsidRPr="00CC34DF">
        <w:rPr>
          <w:b/>
        </w:rPr>
        <w:tab/>
        <w:t>RETURNING TENDERS</w:t>
      </w:r>
    </w:p>
    <w:p w:rsidR="00857A89" w:rsidRDefault="00857A89" w:rsidP="00857A89">
      <w:r>
        <w:t>Complete one hard copy and one electronic copy of:</w:t>
      </w:r>
    </w:p>
    <w:p w:rsidR="00EA6E01" w:rsidRPr="00FB0D61" w:rsidRDefault="00EA6E01" w:rsidP="00EA6E01">
      <w:pPr>
        <w:pStyle w:val="NoSpacing"/>
        <w:numPr>
          <w:ilvl w:val="0"/>
          <w:numId w:val="9"/>
        </w:numPr>
        <w:rPr>
          <w:rFonts w:cstheme="minorHAnsi"/>
        </w:rPr>
      </w:pPr>
      <w:r>
        <w:rPr>
          <w:rFonts w:cstheme="minorHAnsi"/>
        </w:rPr>
        <w:t>Part two, section two Form of Tender document – signed</w:t>
      </w:r>
    </w:p>
    <w:p w:rsidR="00CC34DF" w:rsidRDefault="00CC34DF" w:rsidP="00857A89">
      <w:pPr>
        <w:pStyle w:val="ListParagraph"/>
        <w:numPr>
          <w:ilvl w:val="0"/>
          <w:numId w:val="9"/>
        </w:numPr>
      </w:pPr>
      <w:r>
        <w:t>Appendix 1 -  Tender requirements and Method Statement</w:t>
      </w:r>
    </w:p>
    <w:p w:rsidR="00CC34DF" w:rsidRDefault="00CC34DF" w:rsidP="00857A89">
      <w:pPr>
        <w:pStyle w:val="ListParagraph"/>
        <w:numPr>
          <w:ilvl w:val="0"/>
          <w:numId w:val="9"/>
        </w:numPr>
      </w:pPr>
      <w:r>
        <w:t>Appendix 2 – Pricing Schedule</w:t>
      </w:r>
    </w:p>
    <w:p w:rsidR="00CC34DF" w:rsidRDefault="00CC34DF" w:rsidP="00857A89">
      <w:pPr>
        <w:pStyle w:val="ListParagraph"/>
        <w:numPr>
          <w:ilvl w:val="0"/>
          <w:numId w:val="9"/>
        </w:numPr>
      </w:pPr>
      <w:r>
        <w:t>Appendix 3 – DBS Declaration</w:t>
      </w:r>
    </w:p>
    <w:p w:rsidR="00CC34DF" w:rsidRDefault="00CC34DF" w:rsidP="00857A89">
      <w:pPr>
        <w:pStyle w:val="ListParagraph"/>
        <w:numPr>
          <w:ilvl w:val="0"/>
          <w:numId w:val="9"/>
        </w:numPr>
      </w:pPr>
      <w:r>
        <w:t xml:space="preserve">Appendix 4 – </w:t>
      </w:r>
      <w:r w:rsidR="00550039">
        <w:t>Qualification</w:t>
      </w:r>
      <w:r>
        <w:t xml:space="preserve"> of Contract</w:t>
      </w:r>
    </w:p>
    <w:p w:rsidR="00550039" w:rsidRDefault="00550039" w:rsidP="00550039">
      <w:pPr>
        <w:pStyle w:val="ListParagraph"/>
      </w:pPr>
    </w:p>
    <w:p w:rsidR="00857A89" w:rsidRDefault="00550039" w:rsidP="00857A89">
      <w:r>
        <w:lastRenderedPageBreak/>
        <w:t>Securely</w:t>
      </w:r>
      <w:r w:rsidR="00CC34DF">
        <w:t xml:space="preserve"> seal the items above in </w:t>
      </w:r>
      <w:r>
        <w:t>an</w:t>
      </w:r>
      <w:r w:rsidR="00CC34DF">
        <w:t xml:space="preserve"> envelope/package addressed as follows:</w:t>
      </w:r>
    </w:p>
    <w:p w:rsidR="00CC34DF" w:rsidRDefault="00CC34DF" w:rsidP="00CC34DF">
      <w:pPr>
        <w:pStyle w:val="NoSpacing"/>
      </w:pPr>
      <w:r>
        <w:t>Southfield School</w:t>
      </w:r>
    </w:p>
    <w:p w:rsidR="00CC34DF" w:rsidRDefault="00CC34DF" w:rsidP="00CC34DF">
      <w:pPr>
        <w:pStyle w:val="NoSpacing"/>
      </w:pPr>
      <w:r>
        <w:t xml:space="preserve">Tender </w:t>
      </w:r>
      <w:r w:rsidR="00550039">
        <w:t>Reference</w:t>
      </w:r>
      <w:r>
        <w:t xml:space="preserve"> –</w:t>
      </w:r>
      <w:r w:rsidR="00550039">
        <w:t xml:space="preserve"> Building </w:t>
      </w:r>
      <w:r>
        <w:t>Cleaning Services 0119</w:t>
      </w:r>
    </w:p>
    <w:p w:rsidR="00CC34DF" w:rsidRDefault="00CC34DF" w:rsidP="00CC34DF">
      <w:pPr>
        <w:pStyle w:val="NoSpacing"/>
      </w:pPr>
      <w:r>
        <w:t>Alison Williams</w:t>
      </w:r>
    </w:p>
    <w:p w:rsidR="00CC34DF" w:rsidRDefault="00550039" w:rsidP="00CC34DF">
      <w:pPr>
        <w:pStyle w:val="NoSpacing"/>
      </w:pPr>
      <w:r>
        <w:t>Head</w:t>
      </w:r>
      <w:r w:rsidR="00CC34DF">
        <w:t xml:space="preserve"> of Finance</w:t>
      </w:r>
    </w:p>
    <w:p w:rsidR="00255213" w:rsidRDefault="00255213" w:rsidP="00CC34DF">
      <w:pPr>
        <w:pStyle w:val="NoSpacing"/>
      </w:pPr>
      <w:r>
        <w:t>Southfield School</w:t>
      </w:r>
    </w:p>
    <w:p w:rsidR="00CC34DF" w:rsidRPr="00CC34DF" w:rsidRDefault="00CC34DF" w:rsidP="00CC34DF">
      <w:pPr>
        <w:pStyle w:val="NoSpacing"/>
        <w:rPr>
          <w:rFonts w:cstheme="minorHAnsi"/>
        </w:rPr>
      </w:pPr>
      <w:r w:rsidRPr="00CC34DF">
        <w:rPr>
          <w:rFonts w:cstheme="minorHAnsi"/>
          <w:color w:val="000000"/>
        </w:rPr>
        <w:t>Lewis Road</w:t>
      </w:r>
    </w:p>
    <w:p w:rsidR="00CC34DF" w:rsidRPr="00CC34DF" w:rsidRDefault="00CC34DF" w:rsidP="00CC34DF">
      <w:pPr>
        <w:pStyle w:val="NoSpacing"/>
        <w:rPr>
          <w:rFonts w:cstheme="minorHAnsi"/>
        </w:rPr>
      </w:pPr>
      <w:r w:rsidRPr="00CC34DF">
        <w:rPr>
          <w:rFonts w:cstheme="minorHAnsi"/>
          <w:color w:val="000000"/>
        </w:rPr>
        <w:t>Kettering</w:t>
      </w:r>
    </w:p>
    <w:p w:rsidR="00CC34DF" w:rsidRDefault="00CC34DF" w:rsidP="00CC34DF">
      <w:pPr>
        <w:pStyle w:val="NoSpacing"/>
        <w:rPr>
          <w:rFonts w:cstheme="minorHAnsi"/>
          <w:color w:val="000000"/>
        </w:rPr>
      </w:pPr>
      <w:r w:rsidRPr="00CC34DF">
        <w:rPr>
          <w:rFonts w:cstheme="minorHAnsi"/>
          <w:color w:val="000000"/>
        </w:rPr>
        <w:t>NN15 6HE</w:t>
      </w:r>
    </w:p>
    <w:p w:rsidR="00CC34DF" w:rsidRDefault="00CC34DF" w:rsidP="00CC34DF">
      <w:pPr>
        <w:pStyle w:val="NoSpacing"/>
        <w:rPr>
          <w:rFonts w:cstheme="minorHAnsi"/>
          <w:color w:val="000000"/>
        </w:rPr>
      </w:pPr>
    </w:p>
    <w:p w:rsidR="00CC34DF" w:rsidRPr="00541E12" w:rsidRDefault="00550039" w:rsidP="00CC34DF">
      <w:pPr>
        <w:pStyle w:val="NoSpacing"/>
        <w:rPr>
          <w:rFonts w:cstheme="minorHAnsi"/>
          <w:b/>
          <w:color w:val="000000"/>
        </w:rPr>
      </w:pPr>
      <w:r>
        <w:rPr>
          <w:rFonts w:cstheme="minorHAnsi"/>
          <w:color w:val="000000"/>
        </w:rPr>
        <w:t>Envelopes</w:t>
      </w:r>
      <w:r w:rsidR="00CC34DF">
        <w:rPr>
          <w:rFonts w:cstheme="minorHAnsi"/>
          <w:color w:val="000000"/>
        </w:rPr>
        <w:t xml:space="preserve"> and packages should bear no reference to the Tenderer by name.  </w:t>
      </w:r>
      <w:r w:rsidR="00CC34DF" w:rsidRPr="00541E12">
        <w:rPr>
          <w:rFonts w:cstheme="minorHAnsi"/>
          <w:b/>
          <w:color w:val="000000"/>
        </w:rPr>
        <w:t xml:space="preserve">The completed tender should be returned no </w:t>
      </w:r>
      <w:r w:rsidRPr="00541E12">
        <w:rPr>
          <w:rFonts w:cstheme="minorHAnsi"/>
          <w:b/>
          <w:color w:val="000000"/>
        </w:rPr>
        <w:t>later</w:t>
      </w:r>
      <w:r w:rsidR="00CC34DF" w:rsidRPr="00541E12">
        <w:rPr>
          <w:rFonts w:cstheme="minorHAnsi"/>
          <w:b/>
          <w:color w:val="000000"/>
        </w:rPr>
        <w:t xml:space="preserve"> than 12 noon on the </w:t>
      </w:r>
      <w:r w:rsidR="00EA6E01" w:rsidRPr="00541E12">
        <w:rPr>
          <w:rFonts w:cstheme="minorHAnsi"/>
          <w:b/>
          <w:color w:val="000000"/>
        </w:rPr>
        <w:t>17</w:t>
      </w:r>
      <w:r w:rsidR="00EA6E01" w:rsidRPr="00541E12">
        <w:rPr>
          <w:rFonts w:cstheme="minorHAnsi"/>
          <w:b/>
          <w:color w:val="000000"/>
          <w:vertAlign w:val="superscript"/>
        </w:rPr>
        <w:t>th</w:t>
      </w:r>
      <w:r w:rsidR="00EA6E01" w:rsidRPr="00541E12">
        <w:rPr>
          <w:rFonts w:cstheme="minorHAnsi"/>
          <w:b/>
          <w:color w:val="000000"/>
        </w:rPr>
        <w:t xml:space="preserve"> June 2019.</w:t>
      </w:r>
    </w:p>
    <w:p w:rsidR="00CC34DF" w:rsidRDefault="00CC34DF" w:rsidP="00CC34DF">
      <w:pPr>
        <w:pStyle w:val="NoSpacing"/>
        <w:rPr>
          <w:rFonts w:cstheme="minorHAnsi"/>
          <w:color w:val="000000"/>
        </w:rPr>
      </w:pPr>
    </w:p>
    <w:p w:rsidR="00CC34DF" w:rsidRDefault="00CC34DF" w:rsidP="00CC34DF">
      <w:pPr>
        <w:pStyle w:val="NoSpacing"/>
        <w:rPr>
          <w:rFonts w:cstheme="minorHAnsi"/>
          <w:color w:val="000000"/>
        </w:rPr>
      </w:pPr>
      <w:r>
        <w:rPr>
          <w:rFonts w:cstheme="minorHAnsi"/>
          <w:color w:val="000000"/>
        </w:rPr>
        <w:t>Please note that late or emailed submissions will not be accepted.</w:t>
      </w:r>
    </w:p>
    <w:p w:rsidR="00EA6E01" w:rsidRDefault="00EA6E01" w:rsidP="00CC34DF">
      <w:pPr>
        <w:pStyle w:val="NoSpacing"/>
        <w:rPr>
          <w:rFonts w:cstheme="minorHAnsi"/>
          <w:color w:val="000000"/>
        </w:rPr>
      </w:pPr>
    </w:p>
    <w:p w:rsidR="00EA6E01" w:rsidRDefault="00EA6E01" w:rsidP="00CC34DF">
      <w:pPr>
        <w:pStyle w:val="NoSpacing"/>
        <w:rPr>
          <w:rFonts w:cstheme="minorHAnsi"/>
          <w:color w:val="000000"/>
        </w:rPr>
      </w:pPr>
      <w:r>
        <w:rPr>
          <w:rFonts w:cstheme="minorHAnsi"/>
          <w:color w:val="000000"/>
        </w:rPr>
        <w:t xml:space="preserve">Tenderers will be expected to make a presentation to a panel on </w:t>
      </w:r>
      <w:r w:rsidR="00460FC1">
        <w:rPr>
          <w:rFonts w:cstheme="minorHAnsi"/>
          <w:color w:val="000000"/>
        </w:rPr>
        <w:t>26</w:t>
      </w:r>
      <w:r w:rsidRPr="00EA6E01">
        <w:rPr>
          <w:rFonts w:cstheme="minorHAnsi"/>
          <w:color w:val="000000"/>
          <w:vertAlign w:val="superscript"/>
        </w:rPr>
        <w:t>th</w:t>
      </w:r>
      <w:r>
        <w:rPr>
          <w:rFonts w:cstheme="minorHAnsi"/>
          <w:color w:val="000000"/>
        </w:rPr>
        <w:t xml:space="preserve"> June 2019.</w:t>
      </w:r>
    </w:p>
    <w:p w:rsidR="00CC34DF" w:rsidRDefault="00CC34DF" w:rsidP="00CC34DF">
      <w:pPr>
        <w:pStyle w:val="NoSpacing"/>
        <w:rPr>
          <w:rFonts w:cstheme="minorHAnsi"/>
          <w:color w:val="000000"/>
        </w:rPr>
      </w:pPr>
    </w:p>
    <w:p w:rsidR="00CC34DF" w:rsidRPr="007351B6" w:rsidRDefault="00D50481" w:rsidP="00CC34DF">
      <w:pPr>
        <w:pStyle w:val="NoSpacing"/>
        <w:rPr>
          <w:rFonts w:cstheme="minorHAnsi"/>
          <w:b/>
          <w:color w:val="000000"/>
        </w:rPr>
      </w:pPr>
      <w:r>
        <w:rPr>
          <w:rFonts w:cstheme="minorHAnsi"/>
          <w:b/>
          <w:color w:val="000000"/>
        </w:rPr>
        <w:t>E</w:t>
      </w:r>
      <w:r>
        <w:rPr>
          <w:rFonts w:cstheme="minorHAnsi"/>
          <w:b/>
          <w:color w:val="000000"/>
        </w:rPr>
        <w:tab/>
        <w:t>RECEIPT</w:t>
      </w:r>
      <w:r w:rsidR="00CC34DF" w:rsidRPr="007351B6">
        <w:rPr>
          <w:rFonts w:cstheme="minorHAnsi"/>
          <w:b/>
          <w:color w:val="000000"/>
        </w:rPr>
        <w:t xml:space="preserve"> OF TENDERS</w:t>
      </w:r>
    </w:p>
    <w:p w:rsidR="00CC34DF" w:rsidRDefault="00CC34DF" w:rsidP="00CC34DF">
      <w:pPr>
        <w:pStyle w:val="NoSpacing"/>
        <w:rPr>
          <w:rFonts w:cstheme="minorHAnsi"/>
          <w:color w:val="000000"/>
        </w:rPr>
      </w:pPr>
    </w:p>
    <w:p w:rsidR="00CC34DF" w:rsidRDefault="00CC34DF" w:rsidP="00CC34DF">
      <w:pPr>
        <w:pStyle w:val="NoSpacing"/>
        <w:rPr>
          <w:rFonts w:cstheme="minorHAnsi"/>
          <w:color w:val="000000"/>
        </w:rPr>
      </w:pPr>
      <w:r>
        <w:rPr>
          <w:rFonts w:cstheme="minorHAnsi"/>
          <w:color w:val="000000"/>
        </w:rPr>
        <w:t xml:space="preserve">Tenders will </w:t>
      </w:r>
      <w:r w:rsidR="00550039">
        <w:rPr>
          <w:rFonts w:cstheme="minorHAnsi"/>
          <w:color w:val="000000"/>
        </w:rPr>
        <w:t>be</w:t>
      </w:r>
      <w:r>
        <w:rPr>
          <w:rFonts w:cstheme="minorHAnsi"/>
          <w:color w:val="000000"/>
        </w:rPr>
        <w:t xml:space="preserve"> received </w:t>
      </w:r>
      <w:r w:rsidR="00550039">
        <w:rPr>
          <w:rFonts w:cstheme="minorHAnsi"/>
          <w:color w:val="000000"/>
        </w:rPr>
        <w:t>up to</w:t>
      </w:r>
      <w:r>
        <w:rPr>
          <w:rFonts w:cstheme="minorHAnsi"/>
          <w:color w:val="000000"/>
        </w:rPr>
        <w:t xml:space="preserve"> the </w:t>
      </w:r>
      <w:r w:rsidR="00550039">
        <w:rPr>
          <w:rFonts w:cstheme="minorHAnsi"/>
          <w:color w:val="000000"/>
        </w:rPr>
        <w:t>time</w:t>
      </w:r>
      <w:r>
        <w:rPr>
          <w:rFonts w:cstheme="minorHAnsi"/>
          <w:color w:val="000000"/>
        </w:rPr>
        <w:t xml:space="preserve"> and date stated.  Those received before the due date will be retained unopened until then.  It is the </w:t>
      </w:r>
      <w:r w:rsidR="00550039">
        <w:rPr>
          <w:rFonts w:cstheme="minorHAnsi"/>
          <w:color w:val="000000"/>
        </w:rPr>
        <w:t>responsibility</w:t>
      </w:r>
      <w:r>
        <w:rPr>
          <w:rFonts w:cstheme="minorHAnsi"/>
          <w:color w:val="000000"/>
        </w:rPr>
        <w:t xml:space="preserve"> of the Tenderer </w:t>
      </w:r>
      <w:r w:rsidR="002B61AF">
        <w:rPr>
          <w:rFonts w:cstheme="minorHAnsi"/>
          <w:color w:val="000000"/>
        </w:rPr>
        <w:t>to ensure that their tender is delivered no later than the appointed time.  The school does not undertake to consider tenders received after that time.</w:t>
      </w:r>
    </w:p>
    <w:p w:rsidR="002B61AF" w:rsidRDefault="002B61AF" w:rsidP="00CC34DF">
      <w:pPr>
        <w:pStyle w:val="NoSpacing"/>
        <w:rPr>
          <w:rFonts w:cstheme="minorHAnsi"/>
          <w:color w:val="000000"/>
        </w:rPr>
      </w:pPr>
    </w:p>
    <w:p w:rsidR="002B61AF" w:rsidRPr="007351B6" w:rsidRDefault="00D50481" w:rsidP="00CC34DF">
      <w:pPr>
        <w:pStyle w:val="NoSpacing"/>
        <w:rPr>
          <w:rFonts w:cstheme="minorHAnsi"/>
          <w:b/>
          <w:color w:val="000000"/>
        </w:rPr>
      </w:pPr>
      <w:r>
        <w:rPr>
          <w:rFonts w:cstheme="minorHAnsi"/>
          <w:b/>
          <w:color w:val="000000"/>
        </w:rPr>
        <w:t>F</w:t>
      </w:r>
      <w:r>
        <w:rPr>
          <w:rFonts w:cstheme="minorHAnsi"/>
          <w:b/>
          <w:color w:val="000000"/>
        </w:rPr>
        <w:tab/>
        <w:t>ACCEPT</w:t>
      </w:r>
      <w:r w:rsidR="00255213">
        <w:rPr>
          <w:rFonts w:cstheme="minorHAnsi"/>
          <w:b/>
          <w:color w:val="000000"/>
        </w:rPr>
        <w:t>ANCE OF</w:t>
      </w:r>
      <w:r w:rsidR="002B61AF" w:rsidRPr="007351B6">
        <w:rPr>
          <w:rFonts w:cstheme="minorHAnsi"/>
          <w:b/>
          <w:color w:val="000000"/>
        </w:rPr>
        <w:t xml:space="preserve"> T</w:t>
      </w:r>
      <w:r>
        <w:rPr>
          <w:rFonts w:cstheme="minorHAnsi"/>
          <w:b/>
          <w:color w:val="000000"/>
        </w:rPr>
        <w:t>E</w:t>
      </w:r>
      <w:r w:rsidR="002B61AF" w:rsidRPr="007351B6">
        <w:rPr>
          <w:rFonts w:cstheme="minorHAnsi"/>
          <w:b/>
          <w:color w:val="000000"/>
        </w:rPr>
        <w:t>NDER</w:t>
      </w:r>
      <w:r w:rsidR="00255213">
        <w:rPr>
          <w:rFonts w:cstheme="minorHAnsi"/>
          <w:b/>
          <w:color w:val="000000"/>
        </w:rPr>
        <w:t>S</w:t>
      </w:r>
    </w:p>
    <w:p w:rsidR="002B61AF" w:rsidRPr="007351B6" w:rsidRDefault="002B61AF" w:rsidP="00CC34DF">
      <w:pPr>
        <w:pStyle w:val="NoSpacing"/>
        <w:rPr>
          <w:rFonts w:cstheme="minorHAnsi"/>
          <w:b/>
          <w:color w:val="000000"/>
        </w:rPr>
      </w:pPr>
    </w:p>
    <w:p w:rsidR="002B61AF" w:rsidRDefault="002B61AF" w:rsidP="00CC34DF">
      <w:pPr>
        <w:pStyle w:val="NoSpacing"/>
        <w:rPr>
          <w:rFonts w:cstheme="minorHAnsi"/>
          <w:color w:val="000000"/>
        </w:rPr>
      </w:pPr>
      <w:r>
        <w:rPr>
          <w:rFonts w:cstheme="minorHAnsi"/>
          <w:color w:val="000000"/>
        </w:rPr>
        <w:t xml:space="preserve">By issuing this invitation the school is not bound in any way and does not have to accept the lowest or any tender, and reserves the right to accept a portion of any tender, unless the </w:t>
      </w:r>
      <w:r w:rsidR="00550039">
        <w:rPr>
          <w:rFonts w:cstheme="minorHAnsi"/>
          <w:color w:val="000000"/>
        </w:rPr>
        <w:t>bidder</w:t>
      </w:r>
      <w:r>
        <w:rPr>
          <w:rFonts w:cstheme="minorHAnsi"/>
          <w:color w:val="000000"/>
        </w:rPr>
        <w:t xml:space="preserve"> expressly stipulates otherwise in</w:t>
      </w:r>
      <w:r w:rsidR="00550039">
        <w:rPr>
          <w:rFonts w:cstheme="minorHAnsi"/>
          <w:color w:val="000000"/>
        </w:rPr>
        <w:t xml:space="preserve"> </w:t>
      </w:r>
      <w:r>
        <w:rPr>
          <w:rFonts w:cstheme="minorHAnsi"/>
          <w:color w:val="000000"/>
        </w:rPr>
        <w:t>their tender.</w:t>
      </w:r>
    </w:p>
    <w:p w:rsidR="002B61AF" w:rsidRPr="007351B6" w:rsidRDefault="002B61AF" w:rsidP="00CC34DF">
      <w:pPr>
        <w:pStyle w:val="NoSpacing"/>
        <w:rPr>
          <w:rFonts w:cstheme="minorHAnsi"/>
          <w:b/>
          <w:color w:val="000000"/>
        </w:rPr>
      </w:pPr>
    </w:p>
    <w:p w:rsidR="002B61AF" w:rsidRPr="007351B6" w:rsidRDefault="002B61AF" w:rsidP="00CC34DF">
      <w:pPr>
        <w:pStyle w:val="NoSpacing"/>
        <w:rPr>
          <w:rFonts w:cstheme="minorHAnsi"/>
          <w:b/>
          <w:color w:val="000000"/>
        </w:rPr>
      </w:pPr>
      <w:r w:rsidRPr="007351B6">
        <w:rPr>
          <w:rFonts w:cstheme="minorHAnsi"/>
          <w:b/>
          <w:color w:val="000000"/>
        </w:rPr>
        <w:t>G</w:t>
      </w:r>
      <w:r w:rsidRPr="007351B6">
        <w:rPr>
          <w:rFonts w:cstheme="minorHAnsi"/>
          <w:b/>
          <w:color w:val="000000"/>
        </w:rPr>
        <w:tab/>
        <w:t>CONFLICT OF INTEREST</w:t>
      </w:r>
    </w:p>
    <w:p w:rsidR="002B61AF" w:rsidRDefault="002B61AF" w:rsidP="00CC34DF">
      <w:pPr>
        <w:pStyle w:val="NoSpacing"/>
        <w:rPr>
          <w:rFonts w:cstheme="minorHAnsi"/>
          <w:color w:val="000000"/>
        </w:rPr>
      </w:pPr>
    </w:p>
    <w:p w:rsidR="002B61AF" w:rsidRDefault="002B61AF" w:rsidP="00CC34DF">
      <w:pPr>
        <w:pStyle w:val="NoSpacing"/>
        <w:rPr>
          <w:rFonts w:cstheme="minorHAnsi"/>
          <w:color w:val="000000"/>
        </w:rPr>
      </w:pPr>
      <w:r>
        <w:rPr>
          <w:rFonts w:cstheme="minorHAnsi"/>
          <w:color w:val="000000"/>
        </w:rPr>
        <w:t>The Form of Tender document that</w:t>
      </w:r>
      <w:r w:rsidR="00550039">
        <w:rPr>
          <w:rFonts w:cstheme="minorHAnsi"/>
          <w:color w:val="000000"/>
        </w:rPr>
        <w:t xml:space="preserve"> you are required to complete</w:t>
      </w:r>
      <w:r>
        <w:rPr>
          <w:rFonts w:cstheme="minorHAnsi"/>
          <w:color w:val="000000"/>
        </w:rPr>
        <w:t xml:space="preserve"> confirms that you </w:t>
      </w:r>
      <w:r w:rsidR="00550039">
        <w:rPr>
          <w:rFonts w:cstheme="minorHAnsi"/>
          <w:color w:val="000000"/>
        </w:rPr>
        <w:t>are</w:t>
      </w:r>
      <w:r>
        <w:rPr>
          <w:rFonts w:cstheme="minorHAnsi"/>
          <w:color w:val="000000"/>
        </w:rPr>
        <w:t xml:space="preserve"> </w:t>
      </w:r>
      <w:r w:rsidR="00550039">
        <w:rPr>
          <w:rFonts w:cstheme="minorHAnsi"/>
          <w:color w:val="000000"/>
        </w:rPr>
        <w:t>not</w:t>
      </w:r>
      <w:r>
        <w:rPr>
          <w:rFonts w:cstheme="minorHAnsi"/>
          <w:color w:val="000000"/>
        </w:rPr>
        <w:t xml:space="preserve"> aware of any conflict of interest or any circumstances that could give rise to a </w:t>
      </w:r>
      <w:r w:rsidR="00550039">
        <w:rPr>
          <w:rFonts w:cstheme="minorHAnsi"/>
          <w:color w:val="000000"/>
        </w:rPr>
        <w:t>conflict</w:t>
      </w:r>
      <w:r>
        <w:rPr>
          <w:rFonts w:cstheme="minorHAnsi"/>
          <w:color w:val="000000"/>
        </w:rPr>
        <w:t xml:space="preserve"> of interest in the</w:t>
      </w:r>
      <w:r w:rsidR="00550039">
        <w:rPr>
          <w:rFonts w:cstheme="minorHAnsi"/>
          <w:color w:val="000000"/>
        </w:rPr>
        <w:t xml:space="preserve"> performance</w:t>
      </w:r>
      <w:r>
        <w:rPr>
          <w:rFonts w:cstheme="minorHAnsi"/>
          <w:color w:val="000000"/>
        </w:rPr>
        <w:t xml:space="preserve"> of the proposed contract.</w:t>
      </w:r>
    </w:p>
    <w:p w:rsidR="002B61AF" w:rsidRDefault="002B61AF" w:rsidP="00CC34DF">
      <w:pPr>
        <w:pStyle w:val="NoSpacing"/>
        <w:rPr>
          <w:rFonts w:cstheme="minorHAnsi"/>
          <w:color w:val="000000"/>
        </w:rPr>
      </w:pPr>
    </w:p>
    <w:p w:rsidR="002B61AF" w:rsidRPr="007351B6" w:rsidRDefault="002B61AF" w:rsidP="00CC34DF">
      <w:pPr>
        <w:pStyle w:val="NoSpacing"/>
        <w:rPr>
          <w:rFonts w:cstheme="minorHAnsi"/>
          <w:b/>
          <w:color w:val="000000"/>
        </w:rPr>
      </w:pPr>
      <w:r w:rsidRPr="007351B6">
        <w:rPr>
          <w:rFonts w:cstheme="minorHAnsi"/>
          <w:b/>
          <w:color w:val="000000"/>
        </w:rPr>
        <w:t>H</w:t>
      </w:r>
      <w:r w:rsidRPr="007351B6">
        <w:rPr>
          <w:rFonts w:cstheme="minorHAnsi"/>
          <w:b/>
          <w:color w:val="000000"/>
        </w:rPr>
        <w:tab/>
        <w:t>INDUCEMENTS</w:t>
      </w:r>
    </w:p>
    <w:p w:rsidR="002B61AF" w:rsidRDefault="002B61AF" w:rsidP="00CC34DF">
      <w:pPr>
        <w:pStyle w:val="NoSpacing"/>
        <w:rPr>
          <w:rFonts w:cstheme="minorHAnsi"/>
          <w:color w:val="000000"/>
        </w:rPr>
      </w:pPr>
    </w:p>
    <w:p w:rsidR="002B61AF" w:rsidRDefault="00550039" w:rsidP="00CC34DF">
      <w:pPr>
        <w:pStyle w:val="NoSpacing"/>
        <w:rPr>
          <w:rFonts w:cstheme="minorHAnsi"/>
          <w:color w:val="000000"/>
        </w:rPr>
      </w:pPr>
      <w:r>
        <w:rPr>
          <w:rFonts w:cstheme="minorHAnsi"/>
          <w:color w:val="000000"/>
        </w:rPr>
        <w:t>Offering</w:t>
      </w:r>
      <w:r w:rsidR="002B61AF">
        <w:rPr>
          <w:rFonts w:cstheme="minorHAnsi"/>
          <w:color w:val="000000"/>
        </w:rPr>
        <w:t xml:space="preserve"> an inducement of any kind in </w:t>
      </w:r>
      <w:r>
        <w:rPr>
          <w:rFonts w:cstheme="minorHAnsi"/>
          <w:color w:val="000000"/>
        </w:rPr>
        <w:t>relation to ob</w:t>
      </w:r>
      <w:r w:rsidR="002B61AF">
        <w:rPr>
          <w:rFonts w:cstheme="minorHAnsi"/>
          <w:color w:val="000000"/>
        </w:rPr>
        <w:t>taining</w:t>
      </w:r>
      <w:r>
        <w:rPr>
          <w:rFonts w:cstheme="minorHAnsi"/>
          <w:color w:val="000000"/>
        </w:rPr>
        <w:t xml:space="preserve"> </w:t>
      </w:r>
      <w:r w:rsidR="002B61AF">
        <w:rPr>
          <w:rFonts w:cstheme="minorHAnsi"/>
          <w:color w:val="000000"/>
        </w:rPr>
        <w:t xml:space="preserve">this or any other contract with the school will disqualify your tender from being considered and may constitute a criminal </w:t>
      </w:r>
      <w:r>
        <w:rPr>
          <w:rFonts w:cstheme="minorHAnsi"/>
          <w:color w:val="000000"/>
        </w:rPr>
        <w:t>offence</w:t>
      </w:r>
      <w:r w:rsidR="002B61AF">
        <w:rPr>
          <w:rFonts w:cstheme="minorHAnsi"/>
          <w:color w:val="000000"/>
        </w:rPr>
        <w:t>.</w:t>
      </w:r>
    </w:p>
    <w:p w:rsidR="00460FC1" w:rsidRDefault="00460FC1" w:rsidP="00CC34DF">
      <w:pPr>
        <w:pStyle w:val="NoSpacing"/>
        <w:rPr>
          <w:rFonts w:cstheme="minorHAnsi"/>
          <w:color w:val="000000"/>
        </w:rPr>
      </w:pPr>
    </w:p>
    <w:p w:rsidR="002B61AF" w:rsidRDefault="002B61AF" w:rsidP="00CC34DF">
      <w:pPr>
        <w:pStyle w:val="NoSpacing"/>
        <w:rPr>
          <w:rFonts w:cstheme="minorHAnsi"/>
          <w:color w:val="000000"/>
        </w:rPr>
      </w:pPr>
    </w:p>
    <w:p w:rsidR="002B61AF" w:rsidRDefault="002B61AF" w:rsidP="00CC34DF">
      <w:pPr>
        <w:pStyle w:val="NoSpacing"/>
        <w:rPr>
          <w:rFonts w:cstheme="minorHAnsi"/>
          <w:color w:val="000000"/>
        </w:rPr>
      </w:pPr>
      <w:r w:rsidRPr="007351B6">
        <w:rPr>
          <w:rFonts w:cstheme="minorHAnsi"/>
          <w:b/>
          <w:color w:val="000000"/>
        </w:rPr>
        <w:t>I</w:t>
      </w:r>
      <w:r w:rsidRPr="007351B6">
        <w:rPr>
          <w:rFonts w:cstheme="minorHAnsi"/>
          <w:b/>
          <w:color w:val="000000"/>
        </w:rPr>
        <w:tab/>
        <w:t xml:space="preserve">CONFIDENTIALITY OF </w:t>
      </w:r>
      <w:r w:rsidR="00255213">
        <w:rPr>
          <w:rFonts w:cstheme="minorHAnsi"/>
          <w:b/>
          <w:color w:val="000000"/>
        </w:rPr>
        <w:t>TENDERS</w:t>
      </w:r>
    </w:p>
    <w:p w:rsidR="002B61AF" w:rsidRDefault="002B61AF" w:rsidP="00CC34DF">
      <w:pPr>
        <w:pStyle w:val="NoSpacing"/>
        <w:rPr>
          <w:rFonts w:cstheme="minorHAnsi"/>
          <w:color w:val="000000"/>
        </w:rPr>
      </w:pPr>
      <w:r>
        <w:rPr>
          <w:rFonts w:cstheme="minorHAnsi"/>
          <w:color w:val="000000"/>
        </w:rPr>
        <w:t>Please note the following requirements, you must not:</w:t>
      </w:r>
    </w:p>
    <w:p w:rsidR="002B61AF" w:rsidRDefault="002B61AF" w:rsidP="002B61AF">
      <w:pPr>
        <w:pStyle w:val="NoSpacing"/>
        <w:numPr>
          <w:ilvl w:val="0"/>
          <w:numId w:val="10"/>
        </w:numPr>
        <w:rPr>
          <w:rFonts w:cstheme="minorHAnsi"/>
          <w:color w:val="000000"/>
        </w:rPr>
      </w:pPr>
      <w:r>
        <w:rPr>
          <w:rFonts w:cstheme="minorHAnsi"/>
          <w:color w:val="000000"/>
        </w:rPr>
        <w:lastRenderedPageBreak/>
        <w:t xml:space="preserve">Tell anyone else what your tender </w:t>
      </w:r>
      <w:r w:rsidR="00550039">
        <w:rPr>
          <w:rFonts w:cstheme="minorHAnsi"/>
          <w:color w:val="000000"/>
        </w:rPr>
        <w:t>price</w:t>
      </w:r>
      <w:r>
        <w:rPr>
          <w:rFonts w:cstheme="minorHAnsi"/>
          <w:color w:val="000000"/>
        </w:rPr>
        <w:t xml:space="preserve"> is or will be, before the </w:t>
      </w:r>
      <w:r w:rsidR="00550039">
        <w:rPr>
          <w:rFonts w:cstheme="minorHAnsi"/>
          <w:color w:val="000000"/>
        </w:rPr>
        <w:t>time</w:t>
      </w:r>
      <w:r>
        <w:rPr>
          <w:rFonts w:cstheme="minorHAnsi"/>
          <w:color w:val="000000"/>
        </w:rPr>
        <w:t xml:space="preserve"> limit for delivery of tenders</w:t>
      </w:r>
    </w:p>
    <w:p w:rsidR="002B61AF" w:rsidRDefault="002B61AF" w:rsidP="002B61AF">
      <w:pPr>
        <w:pStyle w:val="NoSpacing"/>
        <w:numPr>
          <w:ilvl w:val="0"/>
          <w:numId w:val="10"/>
        </w:numPr>
        <w:rPr>
          <w:rFonts w:cstheme="minorHAnsi"/>
          <w:color w:val="000000"/>
        </w:rPr>
      </w:pPr>
      <w:r>
        <w:rPr>
          <w:rFonts w:cstheme="minorHAnsi"/>
          <w:color w:val="000000"/>
        </w:rPr>
        <w:t xml:space="preserve">Try to </w:t>
      </w:r>
      <w:r w:rsidR="00550039">
        <w:rPr>
          <w:rFonts w:cstheme="minorHAnsi"/>
          <w:color w:val="000000"/>
        </w:rPr>
        <w:t>obtain</w:t>
      </w:r>
      <w:r>
        <w:rPr>
          <w:rFonts w:cstheme="minorHAnsi"/>
          <w:color w:val="000000"/>
        </w:rPr>
        <w:t xml:space="preserve"> any information about anyone else’s tender or proposed tender before the time limit for delivery of tenders</w:t>
      </w:r>
    </w:p>
    <w:p w:rsidR="00FB0D61" w:rsidRDefault="00FB0D61" w:rsidP="002B61AF">
      <w:pPr>
        <w:pStyle w:val="NoSpacing"/>
        <w:numPr>
          <w:ilvl w:val="0"/>
          <w:numId w:val="10"/>
        </w:numPr>
        <w:rPr>
          <w:rFonts w:cstheme="minorHAnsi"/>
          <w:color w:val="000000"/>
        </w:rPr>
      </w:pPr>
      <w:r>
        <w:rPr>
          <w:rFonts w:cstheme="minorHAnsi"/>
          <w:color w:val="000000"/>
        </w:rPr>
        <w:t xml:space="preserve">Make any arrangements with another organisation about </w:t>
      </w:r>
      <w:r w:rsidR="00550039">
        <w:rPr>
          <w:rFonts w:cstheme="minorHAnsi"/>
          <w:color w:val="000000"/>
        </w:rPr>
        <w:t>whether</w:t>
      </w:r>
      <w:r>
        <w:rPr>
          <w:rFonts w:cstheme="minorHAnsi"/>
          <w:color w:val="000000"/>
        </w:rPr>
        <w:t xml:space="preserve"> or not they should tender, or about their or your tender </w:t>
      </w:r>
      <w:r w:rsidR="00550039">
        <w:rPr>
          <w:rFonts w:cstheme="minorHAnsi"/>
          <w:color w:val="000000"/>
        </w:rPr>
        <w:t>price</w:t>
      </w:r>
    </w:p>
    <w:p w:rsidR="00FB0D61" w:rsidRDefault="00FB0D61" w:rsidP="00FB0D61">
      <w:pPr>
        <w:pStyle w:val="NoSpacing"/>
        <w:rPr>
          <w:rFonts w:cstheme="minorHAnsi"/>
          <w:color w:val="000000"/>
        </w:rPr>
      </w:pPr>
      <w:r>
        <w:rPr>
          <w:rFonts w:cstheme="minorHAnsi"/>
          <w:color w:val="000000"/>
        </w:rPr>
        <w:t>Failure to com</w:t>
      </w:r>
      <w:r w:rsidR="00550039">
        <w:rPr>
          <w:rFonts w:cstheme="minorHAnsi"/>
          <w:color w:val="000000"/>
        </w:rPr>
        <w:t>pl</w:t>
      </w:r>
      <w:r>
        <w:rPr>
          <w:rFonts w:cstheme="minorHAnsi"/>
          <w:color w:val="000000"/>
        </w:rPr>
        <w:t>y with these conditions may disqualify your tender.</w:t>
      </w:r>
    </w:p>
    <w:p w:rsidR="00FB0D61" w:rsidRDefault="00FB0D61" w:rsidP="00FB0D61">
      <w:pPr>
        <w:pStyle w:val="NoSpacing"/>
        <w:rPr>
          <w:rFonts w:cstheme="minorHAnsi"/>
          <w:color w:val="000000"/>
        </w:rPr>
      </w:pPr>
    </w:p>
    <w:p w:rsidR="00FB0D61" w:rsidRPr="007351B6" w:rsidRDefault="00FB0D61" w:rsidP="00FB0D61">
      <w:pPr>
        <w:pStyle w:val="NoSpacing"/>
        <w:rPr>
          <w:rFonts w:cstheme="minorHAnsi"/>
          <w:b/>
          <w:color w:val="000000"/>
        </w:rPr>
      </w:pPr>
      <w:r w:rsidRPr="007351B6">
        <w:rPr>
          <w:rFonts w:cstheme="minorHAnsi"/>
          <w:b/>
          <w:color w:val="000000"/>
        </w:rPr>
        <w:t>J</w:t>
      </w:r>
      <w:r w:rsidRPr="007351B6">
        <w:rPr>
          <w:rFonts w:cstheme="minorHAnsi"/>
          <w:b/>
          <w:color w:val="000000"/>
        </w:rPr>
        <w:tab/>
        <w:t>COSTS AND EXPENSES</w:t>
      </w:r>
    </w:p>
    <w:p w:rsidR="00FB0D61" w:rsidRDefault="00FB0D61" w:rsidP="00FB0D61">
      <w:pPr>
        <w:pStyle w:val="NoSpacing"/>
        <w:rPr>
          <w:rFonts w:cstheme="minorHAnsi"/>
          <w:color w:val="000000"/>
        </w:rPr>
      </w:pPr>
    </w:p>
    <w:p w:rsidR="00FB0D61" w:rsidRDefault="00FB0D61" w:rsidP="00FB0D61">
      <w:pPr>
        <w:pStyle w:val="NoSpacing"/>
        <w:rPr>
          <w:rFonts w:cstheme="minorHAnsi"/>
          <w:color w:val="000000"/>
        </w:rPr>
      </w:pPr>
      <w:r>
        <w:rPr>
          <w:rFonts w:cstheme="minorHAnsi"/>
          <w:color w:val="000000"/>
        </w:rPr>
        <w:t>You will not be entitle</w:t>
      </w:r>
      <w:r w:rsidR="00550039">
        <w:rPr>
          <w:rFonts w:cstheme="minorHAnsi"/>
          <w:color w:val="000000"/>
        </w:rPr>
        <w:t>d</w:t>
      </w:r>
      <w:r>
        <w:rPr>
          <w:rFonts w:cstheme="minorHAnsi"/>
          <w:color w:val="000000"/>
        </w:rPr>
        <w:t xml:space="preserve"> to </w:t>
      </w:r>
      <w:r w:rsidR="00550039">
        <w:rPr>
          <w:rFonts w:cstheme="minorHAnsi"/>
          <w:color w:val="000000"/>
        </w:rPr>
        <w:t>claim</w:t>
      </w:r>
      <w:r>
        <w:rPr>
          <w:rFonts w:cstheme="minorHAnsi"/>
          <w:color w:val="000000"/>
        </w:rPr>
        <w:t xml:space="preserve"> from the School any costs </w:t>
      </w:r>
      <w:r w:rsidR="00550039">
        <w:rPr>
          <w:rFonts w:cstheme="minorHAnsi"/>
          <w:color w:val="000000"/>
        </w:rPr>
        <w:t>or</w:t>
      </w:r>
      <w:r>
        <w:rPr>
          <w:rFonts w:cstheme="minorHAnsi"/>
          <w:color w:val="000000"/>
        </w:rPr>
        <w:t xml:space="preserve"> expenses that you may incur in preparing your tender or attending meetings or presentations, regardless of whether or not your tender is successful.</w:t>
      </w:r>
    </w:p>
    <w:p w:rsidR="00FB0D61" w:rsidRDefault="00FB0D61" w:rsidP="00FB0D61">
      <w:pPr>
        <w:pStyle w:val="NoSpacing"/>
        <w:rPr>
          <w:rFonts w:cstheme="minorHAnsi"/>
          <w:color w:val="000000"/>
        </w:rPr>
      </w:pPr>
    </w:p>
    <w:p w:rsidR="00FB0D61" w:rsidRPr="007351B6" w:rsidRDefault="00FB0D61" w:rsidP="00FB0D61">
      <w:pPr>
        <w:pStyle w:val="NoSpacing"/>
        <w:rPr>
          <w:rFonts w:cstheme="minorHAnsi"/>
          <w:b/>
          <w:color w:val="000000"/>
        </w:rPr>
      </w:pPr>
      <w:r w:rsidRPr="007351B6">
        <w:rPr>
          <w:rFonts w:cstheme="minorHAnsi"/>
          <w:b/>
          <w:color w:val="000000"/>
        </w:rPr>
        <w:t>K</w:t>
      </w:r>
      <w:r w:rsidRPr="007351B6">
        <w:rPr>
          <w:rFonts w:cstheme="minorHAnsi"/>
          <w:b/>
          <w:color w:val="000000"/>
        </w:rPr>
        <w:tab/>
        <w:t>DEBRIEFING</w:t>
      </w:r>
    </w:p>
    <w:p w:rsidR="00FB0D61" w:rsidRDefault="00FB0D61" w:rsidP="00FB0D61">
      <w:pPr>
        <w:pStyle w:val="NoSpacing"/>
        <w:rPr>
          <w:rFonts w:cstheme="minorHAnsi"/>
          <w:color w:val="000000"/>
        </w:rPr>
      </w:pPr>
    </w:p>
    <w:p w:rsidR="00FB0D61" w:rsidRDefault="00550039" w:rsidP="00FB0D61">
      <w:pPr>
        <w:pStyle w:val="NoSpacing"/>
        <w:rPr>
          <w:rFonts w:cstheme="minorHAnsi"/>
          <w:color w:val="000000"/>
        </w:rPr>
      </w:pPr>
      <w:r>
        <w:rPr>
          <w:rFonts w:cstheme="minorHAnsi"/>
          <w:color w:val="000000"/>
        </w:rPr>
        <w:t>Following</w:t>
      </w:r>
      <w:r w:rsidR="00FB0D61">
        <w:rPr>
          <w:rFonts w:cstheme="minorHAnsi"/>
          <w:color w:val="000000"/>
        </w:rPr>
        <w:t xml:space="preserve"> the award of the contract, debriefing will be available to unsuccessful Tenderers on request.</w:t>
      </w:r>
    </w:p>
    <w:p w:rsidR="00FB0D61" w:rsidRDefault="00FB0D61" w:rsidP="00FB0D61">
      <w:pPr>
        <w:pStyle w:val="NoSpacing"/>
        <w:rPr>
          <w:rFonts w:cstheme="minorHAnsi"/>
          <w:color w:val="000000"/>
        </w:rPr>
      </w:pPr>
    </w:p>
    <w:p w:rsidR="00FB0D61" w:rsidRPr="007351B6" w:rsidRDefault="00FB0D61" w:rsidP="00FB0D61">
      <w:pPr>
        <w:pStyle w:val="NoSpacing"/>
        <w:rPr>
          <w:rFonts w:cstheme="minorHAnsi"/>
          <w:b/>
          <w:color w:val="000000"/>
        </w:rPr>
      </w:pPr>
      <w:r w:rsidRPr="007351B6">
        <w:rPr>
          <w:rFonts w:cstheme="minorHAnsi"/>
          <w:b/>
          <w:color w:val="000000"/>
        </w:rPr>
        <w:t>L</w:t>
      </w:r>
      <w:r w:rsidRPr="007351B6">
        <w:rPr>
          <w:rFonts w:cstheme="minorHAnsi"/>
          <w:b/>
          <w:color w:val="000000"/>
        </w:rPr>
        <w:tab/>
        <w:t>PURCHASING</w:t>
      </w:r>
    </w:p>
    <w:p w:rsidR="00FB0D61" w:rsidRDefault="00FB0D61" w:rsidP="00FB0D61">
      <w:pPr>
        <w:pStyle w:val="NoSpacing"/>
        <w:rPr>
          <w:rFonts w:cstheme="minorHAnsi"/>
          <w:color w:val="000000"/>
        </w:rPr>
      </w:pPr>
    </w:p>
    <w:p w:rsidR="00FB0D61" w:rsidRDefault="00FB0D61" w:rsidP="00FB0D61">
      <w:pPr>
        <w:pStyle w:val="NoSpacing"/>
        <w:rPr>
          <w:rFonts w:cstheme="minorHAnsi"/>
          <w:color w:val="000000"/>
        </w:rPr>
      </w:pPr>
      <w:r>
        <w:rPr>
          <w:rFonts w:cstheme="minorHAnsi"/>
          <w:color w:val="000000"/>
        </w:rPr>
        <w:t xml:space="preserve">The School </w:t>
      </w:r>
      <w:r w:rsidR="00550039">
        <w:rPr>
          <w:rFonts w:cstheme="minorHAnsi"/>
          <w:color w:val="000000"/>
        </w:rPr>
        <w:t>promotes</w:t>
      </w:r>
      <w:r w:rsidR="00255213">
        <w:rPr>
          <w:rFonts w:cstheme="minorHAnsi"/>
          <w:color w:val="000000"/>
        </w:rPr>
        <w:t xml:space="preserve"> fair and open comp</w:t>
      </w:r>
      <w:r>
        <w:rPr>
          <w:rFonts w:cstheme="minorHAnsi"/>
          <w:color w:val="000000"/>
        </w:rPr>
        <w:t>eti</w:t>
      </w:r>
      <w:r w:rsidR="00255213">
        <w:rPr>
          <w:rFonts w:cstheme="minorHAnsi"/>
          <w:color w:val="000000"/>
        </w:rPr>
        <w:t>ti</w:t>
      </w:r>
      <w:r>
        <w:rPr>
          <w:rFonts w:cstheme="minorHAnsi"/>
          <w:color w:val="000000"/>
        </w:rPr>
        <w:t>on.  The School wishes to achieve continuing improvement in value for money and for the School to achieve this we ensure that contractors provide a quality s</w:t>
      </w:r>
      <w:r w:rsidR="00255213">
        <w:rPr>
          <w:rFonts w:cstheme="minorHAnsi"/>
          <w:color w:val="000000"/>
        </w:rPr>
        <w:t xml:space="preserve">ervice and quality </w:t>
      </w:r>
      <w:r w:rsidR="00CC1060">
        <w:rPr>
          <w:rFonts w:cstheme="minorHAnsi"/>
          <w:color w:val="000000"/>
        </w:rPr>
        <w:t>workforce</w:t>
      </w:r>
      <w:r>
        <w:rPr>
          <w:rFonts w:cstheme="minorHAnsi"/>
          <w:color w:val="000000"/>
        </w:rPr>
        <w:t>.</w:t>
      </w:r>
    </w:p>
    <w:p w:rsidR="00FB0D61" w:rsidRDefault="00FB0D61" w:rsidP="00FB0D61">
      <w:pPr>
        <w:pStyle w:val="NoSpacing"/>
        <w:rPr>
          <w:rFonts w:cstheme="minorHAnsi"/>
          <w:color w:val="000000"/>
        </w:rPr>
      </w:pPr>
    </w:p>
    <w:p w:rsidR="00FB0D61" w:rsidRPr="007351B6" w:rsidRDefault="00FB0D61" w:rsidP="00FB0D61">
      <w:pPr>
        <w:pStyle w:val="NoSpacing"/>
        <w:rPr>
          <w:rFonts w:cstheme="minorHAnsi"/>
          <w:b/>
          <w:color w:val="000000"/>
        </w:rPr>
      </w:pPr>
      <w:r w:rsidRPr="007351B6">
        <w:rPr>
          <w:rFonts w:cstheme="minorHAnsi"/>
          <w:b/>
          <w:color w:val="000000"/>
        </w:rPr>
        <w:t>M</w:t>
      </w:r>
      <w:r w:rsidRPr="007351B6">
        <w:rPr>
          <w:rFonts w:cstheme="minorHAnsi"/>
          <w:b/>
          <w:color w:val="000000"/>
        </w:rPr>
        <w:tab/>
        <w:t>FREEDOM OF INFORMATION</w:t>
      </w:r>
    </w:p>
    <w:p w:rsidR="00FB0D61" w:rsidRDefault="00FB0D61" w:rsidP="00FB0D61">
      <w:pPr>
        <w:pStyle w:val="NoSpacing"/>
        <w:rPr>
          <w:rFonts w:cstheme="minorHAnsi"/>
          <w:color w:val="000000"/>
        </w:rPr>
      </w:pPr>
    </w:p>
    <w:p w:rsidR="00FB0D61" w:rsidRPr="00754184" w:rsidRDefault="00FB0D61" w:rsidP="00FB0D61">
      <w:r w:rsidRPr="00754184">
        <w:t>Southfield School is committed to meeting it</w:t>
      </w:r>
      <w:r w:rsidR="00CC1060">
        <w:t>s</w:t>
      </w:r>
      <w:r w:rsidRPr="00754184">
        <w:t xml:space="preserve"> responsibilities under the Freedom of information Act 2002.  Accordingly, all information submitted to the school may need to be disclosed and/or p</w:t>
      </w:r>
      <w:r w:rsidR="00CC1060">
        <w:t xml:space="preserve">ublished. If you consider that </w:t>
      </w:r>
      <w:r w:rsidRPr="00754184">
        <w:t>a</w:t>
      </w:r>
      <w:r w:rsidR="00CC1060">
        <w:t>n</w:t>
      </w:r>
      <w:r w:rsidRPr="00754184">
        <w:t>y of the information included in your tender would give rise to an actionable breach of confidence and/or would prejudice your commercial interests, and/or would constitute trade secrets (“commercially sensitive”) please identify it and explain in broad terms what harm might result from its disclosure and/or publication. You should be aware that, even where you have indicated that information is commercially sensitive, we may be required to disclose and/or publish it, whether or not your tender is accepted, by law.  W</w:t>
      </w:r>
      <w:r w:rsidR="00CC1060">
        <w:t>e</w:t>
      </w:r>
      <w:r w:rsidRPr="00754184">
        <w:t xml:space="preserve"> may also </w:t>
      </w:r>
      <w:r w:rsidR="00CC1060">
        <w:t xml:space="preserve">be </w:t>
      </w:r>
      <w:r w:rsidRPr="00754184">
        <w:t>require</w:t>
      </w:r>
      <w:r w:rsidR="00CC1060">
        <w:t>d</w:t>
      </w:r>
      <w:r w:rsidRPr="00754184">
        <w:t xml:space="preserve"> to disclose and/or to publish details of unsuccessful tenders.</w:t>
      </w:r>
    </w:p>
    <w:p w:rsidR="00FB0D61" w:rsidRDefault="00FB0D61" w:rsidP="00FB0D61">
      <w:r w:rsidRPr="00754184">
        <w:t>Whilst information of a sensitive nature in unsuccessful tenders (e.g. pricing and daily rates) will not normally be disclosed and/or published, in certain circumstances we may be required to disclose and/or publish such sensitive information where the public interest in its disclosure and/or publication outweighs the public interest in keeping such information confidential.</w:t>
      </w:r>
    </w:p>
    <w:p w:rsidR="00460FC1" w:rsidRPr="00754184" w:rsidRDefault="00460FC1" w:rsidP="00FB0D61"/>
    <w:p w:rsidR="00CC34DF" w:rsidRPr="007351B6" w:rsidRDefault="00FB0D61" w:rsidP="00CC34DF">
      <w:pPr>
        <w:pStyle w:val="NoSpacing"/>
        <w:rPr>
          <w:rFonts w:cstheme="minorHAnsi"/>
          <w:b/>
        </w:rPr>
      </w:pPr>
      <w:r w:rsidRPr="007351B6">
        <w:rPr>
          <w:rFonts w:cstheme="minorHAnsi"/>
          <w:b/>
        </w:rPr>
        <w:t>N</w:t>
      </w:r>
      <w:r w:rsidRPr="007351B6">
        <w:rPr>
          <w:rFonts w:cstheme="minorHAnsi"/>
          <w:b/>
        </w:rPr>
        <w:tab/>
        <w:t>TENDER PERIOD</w:t>
      </w:r>
    </w:p>
    <w:p w:rsidR="00FB0D61" w:rsidRDefault="00FB0D61" w:rsidP="00CC34DF">
      <w:pPr>
        <w:pStyle w:val="NoSpacing"/>
        <w:rPr>
          <w:rFonts w:cstheme="minorHAnsi"/>
        </w:rPr>
      </w:pPr>
    </w:p>
    <w:p w:rsidR="00FB0D61" w:rsidRDefault="00FB0D61" w:rsidP="00CC34DF">
      <w:pPr>
        <w:pStyle w:val="NoSpacing"/>
        <w:rPr>
          <w:rFonts w:cstheme="minorHAnsi"/>
        </w:rPr>
      </w:pPr>
      <w:r>
        <w:rPr>
          <w:rFonts w:cstheme="minorHAnsi"/>
        </w:rPr>
        <w:t>The school requires tenders to remain valid for a period of 90 days unless otherwise agreed.</w:t>
      </w:r>
    </w:p>
    <w:p w:rsidR="00011647" w:rsidRDefault="00011647" w:rsidP="00CC34DF">
      <w:pPr>
        <w:pStyle w:val="NoSpacing"/>
        <w:rPr>
          <w:rFonts w:cstheme="minorHAnsi"/>
        </w:rPr>
      </w:pPr>
    </w:p>
    <w:p w:rsidR="00FB0D61" w:rsidRPr="007351B6" w:rsidRDefault="00FB0D61" w:rsidP="00CC34DF">
      <w:pPr>
        <w:pStyle w:val="NoSpacing"/>
        <w:rPr>
          <w:rFonts w:cstheme="minorHAnsi"/>
          <w:b/>
        </w:rPr>
      </w:pPr>
    </w:p>
    <w:p w:rsidR="00FB0D61" w:rsidRPr="007351B6" w:rsidRDefault="00FB0D61" w:rsidP="00FB0D61">
      <w:pPr>
        <w:pStyle w:val="NoSpacing"/>
        <w:rPr>
          <w:rFonts w:cstheme="minorHAnsi"/>
          <w:b/>
        </w:rPr>
      </w:pPr>
      <w:r w:rsidRPr="007351B6">
        <w:rPr>
          <w:rFonts w:cstheme="minorHAnsi"/>
          <w:b/>
        </w:rPr>
        <w:t>O</w:t>
      </w:r>
      <w:r w:rsidRPr="007351B6">
        <w:rPr>
          <w:rFonts w:cstheme="minorHAnsi"/>
          <w:b/>
        </w:rPr>
        <w:tab/>
        <w:t xml:space="preserve">BASIS </w:t>
      </w:r>
      <w:r w:rsidR="00CC1060">
        <w:rPr>
          <w:rFonts w:cstheme="minorHAnsi"/>
          <w:b/>
        </w:rPr>
        <w:t>OF</w:t>
      </w:r>
      <w:r w:rsidRPr="007351B6">
        <w:rPr>
          <w:rFonts w:cstheme="minorHAnsi"/>
          <w:b/>
        </w:rPr>
        <w:t xml:space="preserve"> CONTRACT</w:t>
      </w:r>
    </w:p>
    <w:p w:rsidR="00FB0D61" w:rsidRDefault="00FB0D61" w:rsidP="00FB0D61">
      <w:pPr>
        <w:pStyle w:val="NoSpacing"/>
        <w:rPr>
          <w:rFonts w:cstheme="minorHAnsi"/>
        </w:rPr>
      </w:pPr>
    </w:p>
    <w:p w:rsidR="00FB0D61" w:rsidRDefault="00FB0D61" w:rsidP="00FB0D61">
      <w:pPr>
        <w:pStyle w:val="NoSpacing"/>
        <w:rPr>
          <w:rFonts w:cstheme="minorHAnsi"/>
        </w:rPr>
      </w:pPr>
      <w:r>
        <w:rPr>
          <w:rFonts w:cstheme="minorHAnsi"/>
        </w:rPr>
        <w:t xml:space="preserve">Any </w:t>
      </w:r>
      <w:r w:rsidR="00550039">
        <w:rPr>
          <w:rFonts w:cstheme="minorHAnsi"/>
        </w:rPr>
        <w:t>contract</w:t>
      </w:r>
      <w:r>
        <w:rPr>
          <w:rFonts w:cstheme="minorHAnsi"/>
        </w:rPr>
        <w:t xml:space="preserve"> award </w:t>
      </w:r>
      <w:r w:rsidR="00550039">
        <w:rPr>
          <w:rFonts w:cstheme="minorHAnsi"/>
        </w:rPr>
        <w:t>between</w:t>
      </w:r>
      <w:r>
        <w:rPr>
          <w:rFonts w:cstheme="minorHAnsi"/>
        </w:rPr>
        <w:t xml:space="preserve"> the School and t</w:t>
      </w:r>
      <w:r w:rsidR="00CC1060">
        <w:rPr>
          <w:rFonts w:cstheme="minorHAnsi"/>
        </w:rPr>
        <w:t>he successful Tender will compr</w:t>
      </w:r>
      <w:r>
        <w:rPr>
          <w:rFonts w:cstheme="minorHAnsi"/>
        </w:rPr>
        <w:t>ise:</w:t>
      </w:r>
    </w:p>
    <w:p w:rsidR="00FB0D61" w:rsidRPr="00FB0D61" w:rsidRDefault="00FA3BDC" w:rsidP="00FB0D61">
      <w:pPr>
        <w:pStyle w:val="NoSpacing"/>
        <w:numPr>
          <w:ilvl w:val="0"/>
          <w:numId w:val="11"/>
        </w:numPr>
        <w:rPr>
          <w:rFonts w:cstheme="minorHAnsi"/>
        </w:rPr>
      </w:pPr>
      <w:r>
        <w:rPr>
          <w:rFonts w:cstheme="minorHAnsi"/>
        </w:rPr>
        <w:t xml:space="preserve">Part two, section two </w:t>
      </w:r>
      <w:r w:rsidR="00FB0D61">
        <w:rPr>
          <w:rFonts w:cstheme="minorHAnsi"/>
        </w:rPr>
        <w:t>Form of Tender document – signed*</w:t>
      </w:r>
    </w:p>
    <w:p w:rsidR="00FB0D61" w:rsidRDefault="00FB0D61" w:rsidP="00FB0D61">
      <w:pPr>
        <w:pStyle w:val="ListParagraph"/>
        <w:numPr>
          <w:ilvl w:val="0"/>
          <w:numId w:val="11"/>
        </w:numPr>
      </w:pPr>
      <w:r>
        <w:t>Appendix 1 -  Tender requirements and Method Statement</w:t>
      </w:r>
    </w:p>
    <w:p w:rsidR="00FB0D61" w:rsidRDefault="00FB0D61" w:rsidP="00FB0D61">
      <w:pPr>
        <w:pStyle w:val="ListParagraph"/>
        <w:numPr>
          <w:ilvl w:val="0"/>
          <w:numId w:val="11"/>
        </w:numPr>
      </w:pPr>
      <w:r>
        <w:t>Appendix 2 – Pricing Schedule</w:t>
      </w:r>
    </w:p>
    <w:p w:rsidR="00FB0D61" w:rsidRDefault="00FB0D61" w:rsidP="00FB0D61">
      <w:pPr>
        <w:pStyle w:val="ListParagraph"/>
        <w:numPr>
          <w:ilvl w:val="0"/>
          <w:numId w:val="11"/>
        </w:numPr>
      </w:pPr>
      <w:r>
        <w:t>Appendix 3 – DBS Declaration</w:t>
      </w:r>
    </w:p>
    <w:p w:rsidR="00FB0D61" w:rsidRDefault="00FB0D61" w:rsidP="00FB0D61">
      <w:pPr>
        <w:pStyle w:val="ListParagraph"/>
        <w:numPr>
          <w:ilvl w:val="0"/>
          <w:numId w:val="11"/>
        </w:numPr>
      </w:pPr>
      <w:r>
        <w:t xml:space="preserve">Appendix 4 – </w:t>
      </w:r>
      <w:r w:rsidR="00550039">
        <w:t>Qualification</w:t>
      </w:r>
      <w:r>
        <w:t xml:space="preserve"> of Contract</w:t>
      </w:r>
    </w:p>
    <w:p w:rsidR="00AA3C63" w:rsidRDefault="00AA3C63" w:rsidP="00AA3C63">
      <w:pPr>
        <w:pStyle w:val="NoSpacing"/>
        <w:rPr>
          <w:rFonts w:cstheme="minorHAnsi"/>
        </w:rPr>
      </w:pPr>
    </w:p>
    <w:p w:rsidR="00AA3C63" w:rsidRDefault="00550039" w:rsidP="00AA3C63">
      <w:pPr>
        <w:pStyle w:val="NoSpacing"/>
        <w:rPr>
          <w:rFonts w:cstheme="minorHAnsi"/>
        </w:rPr>
      </w:pPr>
      <w:r>
        <w:rPr>
          <w:rFonts w:cstheme="minorHAnsi"/>
        </w:rPr>
        <w:t>Special</w:t>
      </w:r>
      <w:r w:rsidR="00AA3C63">
        <w:rPr>
          <w:rFonts w:cstheme="minorHAnsi"/>
        </w:rPr>
        <w:t xml:space="preserve"> </w:t>
      </w:r>
      <w:r>
        <w:rPr>
          <w:rFonts w:cstheme="minorHAnsi"/>
        </w:rPr>
        <w:t>requirements</w:t>
      </w:r>
      <w:r w:rsidR="00AA3C63">
        <w:rPr>
          <w:rFonts w:cstheme="minorHAnsi"/>
        </w:rPr>
        <w:t xml:space="preserve"> and changes will be mutually </w:t>
      </w:r>
      <w:r>
        <w:rPr>
          <w:rFonts w:cstheme="minorHAnsi"/>
        </w:rPr>
        <w:t>agreed</w:t>
      </w:r>
      <w:r w:rsidR="00AA3C63">
        <w:rPr>
          <w:rFonts w:cstheme="minorHAnsi"/>
        </w:rPr>
        <w:t xml:space="preserve"> at post tender stage.</w:t>
      </w:r>
    </w:p>
    <w:p w:rsidR="00AA3C63" w:rsidRDefault="00AA3C63" w:rsidP="00AA3C63">
      <w:pPr>
        <w:pStyle w:val="NoSpacing"/>
        <w:rPr>
          <w:rFonts w:cstheme="minorHAnsi"/>
        </w:rPr>
      </w:pPr>
    </w:p>
    <w:p w:rsidR="00AA3C63" w:rsidRDefault="00AA3C63" w:rsidP="00AA3C63">
      <w:pPr>
        <w:pStyle w:val="NoSpacing"/>
        <w:rPr>
          <w:rFonts w:cstheme="minorHAnsi"/>
        </w:rPr>
      </w:pPr>
      <w:r>
        <w:rPr>
          <w:rFonts w:cstheme="minorHAnsi"/>
        </w:rPr>
        <w:t>*By completing the Form of Tender document</w:t>
      </w:r>
      <w:r w:rsidR="00CC1060">
        <w:rPr>
          <w:rFonts w:cstheme="minorHAnsi"/>
        </w:rPr>
        <w:t>,</w:t>
      </w:r>
      <w:r>
        <w:rPr>
          <w:rFonts w:cstheme="minorHAnsi"/>
        </w:rPr>
        <w:t xml:space="preserve"> the person signing it is confirming that the information provided is correct, to the best of their knowledge, and that they are authorised to </w:t>
      </w:r>
      <w:r w:rsidR="00550039">
        <w:rPr>
          <w:rFonts w:cstheme="minorHAnsi"/>
        </w:rPr>
        <w:t>complete</w:t>
      </w:r>
      <w:r>
        <w:rPr>
          <w:rFonts w:cstheme="minorHAnsi"/>
        </w:rPr>
        <w:t xml:space="preserve"> this document on behalf of the </w:t>
      </w:r>
      <w:r w:rsidR="00550039">
        <w:rPr>
          <w:rFonts w:cstheme="minorHAnsi"/>
        </w:rPr>
        <w:t>organisation</w:t>
      </w:r>
      <w:r>
        <w:rPr>
          <w:rFonts w:cstheme="minorHAnsi"/>
        </w:rPr>
        <w:t>.</w:t>
      </w:r>
    </w:p>
    <w:p w:rsidR="00AA3C63" w:rsidRDefault="00AA3C63" w:rsidP="00AA3C63">
      <w:pPr>
        <w:pStyle w:val="NoSpacing"/>
        <w:rPr>
          <w:rFonts w:cstheme="minorHAnsi"/>
        </w:rPr>
      </w:pPr>
    </w:p>
    <w:p w:rsidR="00AA3C63" w:rsidRPr="007351B6" w:rsidRDefault="00AA3C63" w:rsidP="00AA3C63">
      <w:pPr>
        <w:pStyle w:val="NoSpacing"/>
        <w:rPr>
          <w:rFonts w:cstheme="minorHAnsi"/>
          <w:b/>
        </w:rPr>
      </w:pPr>
      <w:r w:rsidRPr="007351B6">
        <w:rPr>
          <w:rFonts w:cstheme="minorHAnsi"/>
          <w:b/>
        </w:rPr>
        <w:t>P</w:t>
      </w:r>
      <w:r w:rsidRPr="007351B6">
        <w:rPr>
          <w:rFonts w:cstheme="minorHAnsi"/>
          <w:b/>
        </w:rPr>
        <w:tab/>
        <w:t>TUPE</w:t>
      </w:r>
    </w:p>
    <w:p w:rsidR="00AA3C63" w:rsidRDefault="00AA3C63" w:rsidP="00AA3C63">
      <w:pPr>
        <w:pStyle w:val="NoSpacing"/>
        <w:rPr>
          <w:rFonts w:cstheme="minorHAnsi"/>
        </w:rPr>
      </w:pPr>
    </w:p>
    <w:p w:rsidR="00AA3C63" w:rsidRDefault="00AA3C63" w:rsidP="00AA3C63">
      <w:pPr>
        <w:pStyle w:val="NoSpacing"/>
        <w:rPr>
          <w:rFonts w:cstheme="minorHAnsi"/>
        </w:rPr>
      </w:pPr>
      <w:r>
        <w:rPr>
          <w:rFonts w:cstheme="minorHAnsi"/>
        </w:rPr>
        <w:t xml:space="preserve">It is the School’s </w:t>
      </w:r>
      <w:r w:rsidR="00550039">
        <w:rPr>
          <w:rFonts w:cstheme="minorHAnsi"/>
        </w:rPr>
        <w:t>understanding</w:t>
      </w:r>
      <w:r>
        <w:rPr>
          <w:rFonts w:cstheme="minorHAnsi"/>
        </w:rPr>
        <w:t xml:space="preserve"> that TUPE will apply to this contract in respect of the cleaning staff currently employed.  The School strongly advises tendering suppliers to </w:t>
      </w:r>
      <w:r w:rsidR="00550039">
        <w:rPr>
          <w:rFonts w:cstheme="minorHAnsi"/>
        </w:rPr>
        <w:t>obtain</w:t>
      </w:r>
      <w:r>
        <w:rPr>
          <w:rFonts w:cstheme="minorHAnsi"/>
        </w:rPr>
        <w:t xml:space="preserve"> their own professional advice on the application and effect of TUPE on their company should it be in the position of being the successful tendering supplier.</w:t>
      </w:r>
    </w:p>
    <w:p w:rsidR="00AA3C63" w:rsidRDefault="00AA3C63" w:rsidP="00AA3C63">
      <w:pPr>
        <w:pStyle w:val="NoSpacing"/>
        <w:rPr>
          <w:rFonts w:cstheme="minorHAnsi"/>
        </w:rPr>
      </w:pPr>
    </w:p>
    <w:p w:rsidR="00AA3C63" w:rsidRPr="007351B6" w:rsidRDefault="00AA3C63" w:rsidP="00AA3C63">
      <w:pPr>
        <w:pStyle w:val="NoSpacing"/>
        <w:rPr>
          <w:rFonts w:cstheme="minorHAnsi"/>
          <w:b/>
        </w:rPr>
      </w:pPr>
      <w:r w:rsidRPr="007351B6">
        <w:rPr>
          <w:rFonts w:cstheme="minorHAnsi"/>
          <w:b/>
        </w:rPr>
        <w:t>Q</w:t>
      </w:r>
      <w:r w:rsidRPr="007351B6">
        <w:rPr>
          <w:rFonts w:cstheme="minorHAnsi"/>
          <w:b/>
        </w:rPr>
        <w:tab/>
        <w:t>ANTICIPATED PROCUREMENT TIMETABLE</w:t>
      </w:r>
    </w:p>
    <w:p w:rsidR="00AA3C63" w:rsidRDefault="00AA3C63" w:rsidP="00AA3C63">
      <w:pPr>
        <w:pStyle w:val="NoSpacing"/>
        <w:rPr>
          <w:rFonts w:cstheme="minorHAnsi"/>
        </w:rPr>
      </w:pPr>
    </w:p>
    <w:p w:rsidR="00AA3C63" w:rsidRPr="00754184" w:rsidRDefault="00AA3C63" w:rsidP="00AA3C63">
      <w:r w:rsidRPr="00754184">
        <w:t>Below are the key dates for the tender exercise and subsequent appointments</w:t>
      </w:r>
      <w:r>
        <w:t>:</w:t>
      </w:r>
    </w:p>
    <w:tbl>
      <w:tblPr>
        <w:tblStyle w:val="TableGrid"/>
        <w:tblW w:w="0" w:type="auto"/>
        <w:tblLook w:val="04A0" w:firstRow="1" w:lastRow="0" w:firstColumn="1" w:lastColumn="0" w:noHBand="0" w:noVBand="1"/>
      </w:tblPr>
      <w:tblGrid>
        <w:gridCol w:w="6516"/>
        <w:gridCol w:w="2500"/>
      </w:tblGrid>
      <w:tr w:rsidR="00460FC1" w:rsidRPr="00754184" w:rsidTr="00255213">
        <w:tc>
          <w:tcPr>
            <w:tcW w:w="6516" w:type="dxa"/>
          </w:tcPr>
          <w:p w:rsidR="00460FC1" w:rsidRPr="00754184" w:rsidRDefault="00460FC1" w:rsidP="00255213">
            <w:r w:rsidRPr="00754184">
              <w:t>Action</w:t>
            </w:r>
          </w:p>
        </w:tc>
        <w:tc>
          <w:tcPr>
            <w:tcW w:w="2500" w:type="dxa"/>
          </w:tcPr>
          <w:p w:rsidR="00460FC1" w:rsidRPr="00754184" w:rsidRDefault="00460FC1" w:rsidP="00255213">
            <w:r w:rsidRPr="00754184">
              <w:t>Proposed Date</w:t>
            </w:r>
          </w:p>
        </w:tc>
      </w:tr>
      <w:tr w:rsidR="00460FC1" w:rsidRPr="00754184" w:rsidTr="00255213">
        <w:tc>
          <w:tcPr>
            <w:tcW w:w="6516" w:type="dxa"/>
          </w:tcPr>
          <w:p w:rsidR="00460FC1" w:rsidRPr="00754184" w:rsidRDefault="00460FC1" w:rsidP="00255213">
            <w:r w:rsidRPr="00754184">
              <w:t>Invitation to Tender documents issued</w:t>
            </w:r>
          </w:p>
        </w:tc>
        <w:tc>
          <w:tcPr>
            <w:tcW w:w="2500" w:type="dxa"/>
          </w:tcPr>
          <w:p w:rsidR="00460FC1" w:rsidRPr="00754184" w:rsidRDefault="00460FC1" w:rsidP="00255213">
            <w:r w:rsidRPr="00754184">
              <w:t>1</w:t>
            </w:r>
            <w:r>
              <w:t>3</w:t>
            </w:r>
            <w:r w:rsidRPr="00754184">
              <w:rPr>
                <w:vertAlign w:val="superscript"/>
              </w:rPr>
              <w:t>th</w:t>
            </w:r>
            <w:r w:rsidRPr="00754184">
              <w:t xml:space="preserve"> May 2019</w:t>
            </w:r>
          </w:p>
        </w:tc>
      </w:tr>
      <w:tr w:rsidR="00460FC1" w:rsidRPr="00754184" w:rsidTr="00255213">
        <w:tc>
          <w:tcPr>
            <w:tcW w:w="6516" w:type="dxa"/>
          </w:tcPr>
          <w:p w:rsidR="00460FC1" w:rsidRPr="00754184" w:rsidRDefault="00460FC1" w:rsidP="00255213">
            <w:r w:rsidRPr="00754184">
              <w:t>Site visits by potential service providers</w:t>
            </w:r>
          </w:p>
        </w:tc>
        <w:tc>
          <w:tcPr>
            <w:tcW w:w="2500" w:type="dxa"/>
          </w:tcPr>
          <w:p w:rsidR="00460FC1" w:rsidRPr="00754184" w:rsidRDefault="00460FC1" w:rsidP="00255213">
            <w:r>
              <w:t>22</w:t>
            </w:r>
            <w:r w:rsidRPr="00D72D94">
              <w:rPr>
                <w:vertAlign w:val="superscript"/>
              </w:rPr>
              <w:t>nd</w:t>
            </w:r>
            <w:r>
              <w:t xml:space="preserve"> May 2019</w:t>
            </w:r>
          </w:p>
        </w:tc>
      </w:tr>
      <w:tr w:rsidR="00460FC1" w:rsidRPr="00754184" w:rsidTr="00255213">
        <w:tc>
          <w:tcPr>
            <w:tcW w:w="6516" w:type="dxa"/>
          </w:tcPr>
          <w:p w:rsidR="00460FC1" w:rsidRPr="00754184" w:rsidRDefault="00460FC1" w:rsidP="00255213">
            <w:r w:rsidRPr="00754184">
              <w:t>Last date for submission of tender clarification questions</w:t>
            </w:r>
          </w:p>
        </w:tc>
        <w:tc>
          <w:tcPr>
            <w:tcW w:w="2500" w:type="dxa"/>
          </w:tcPr>
          <w:p w:rsidR="00460FC1" w:rsidRPr="00754184" w:rsidRDefault="00460FC1" w:rsidP="00255213">
            <w:r>
              <w:t>3</w:t>
            </w:r>
            <w:r w:rsidRPr="00D72D94">
              <w:rPr>
                <w:vertAlign w:val="superscript"/>
              </w:rPr>
              <w:t>rd</w:t>
            </w:r>
            <w:r>
              <w:t xml:space="preserve"> June 2019</w:t>
            </w:r>
          </w:p>
        </w:tc>
      </w:tr>
      <w:tr w:rsidR="00460FC1" w:rsidRPr="00754184" w:rsidTr="00255213">
        <w:tc>
          <w:tcPr>
            <w:tcW w:w="6516" w:type="dxa"/>
          </w:tcPr>
          <w:p w:rsidR="00460FC1" w:rsidRPr="00754184" w:rsidRDefault="00460FC1" w:rsidP="00255213">
            <w:r w:rsidRPr="00754184">
              <w:t>Tender clarification questions answered by</w:t>
            </w:r>
          </w:p>
        </w:tc>
        <w:tc>
          <w:tcPr>
            <w:tcW w:w="2500" w:type="dxa"/>
          </w:tcPr>
          <w:p w:rsidR="00460FC1" w:rsidRPr="00754184" w:rsidRDefault="00460FC1" w:rsidP="00255213">
            <w:r>
              <w:t>6</w:t>
            </w:r>
            <w:r w:rsidRPr="00D72D94">
              <w:rPr>
                <w:vertAlign w:val="superscript"/>
              </w:rPr>
              <w:t>th</w:t>
            </w:r>
            <w:r>
              <w:t xml:space="preserve"> June 2019</w:t>
            </w:r>
          </w:p>
        </w:tc>
      </w:tr>
      <w:tr w:rsidR="00460FC1" w:rsidRPr="00754184" w:rsidTr="00255213">
        <w:tc>
          <w:tcPr>
            <w:tcW w:w="6516" w:type="dxa"/>
          </w:tcPr>
          <w:p w:rsidR="00460FC1" w:rsidRPr="00754184" w:rsidRDefault="00460FC1" w:rsidP="00255213">
            <w:r w:rsidRPr="00754184">
              <w:t>Deadline for return of tender documents</w:t>
            </w:r>
          </w:p>
        </w:tc>
        <w:tc>
          <w:tcPr>
            <w:tcW w:w="2500" w:type="dxa"/>
          </w:tcPr>
          <w:p w:rsidR="00460FC1" w:rsidRPr="00754184" w:rsidRDefault="00460FC1" w:rsidP="00255213">
            <w:r>
              <w:t>17</w:t>
            </w:r>
            <w:r w:rsidRPr="00754184">
              <w:rPr>
                <w:vertAlign w:val="superscript"/>
              </w:rPr>
              <w:t>th</w:t>
            </w:r>
            <w:r w:rsidRPr="00754184">
              <w:t xml:space="preserve"> June 2019</w:t>
            </w:r>
            <w:r w:rsidR="006D3C9A">
              <w:t xml:space="preserve"> – 12 noon</w:t>
            </w:r>
          </w:p>
        </w:tc>
      </w:tr>
      <w:tr w:rsidR="00460FC1" w:rsidRPr="00754184" w:rsidTr="00255213">
        <w:tc>
          <w:tcPr>
            <w:tcW w:w="6516" w:type="dxa"/>
          </w:tcPr>
          <w:p w:rsidR="00460FC1" w:rsidRPr="00754184" w:rsidRDefault="00460FC1" w:rsidP="00255213">
            <w:r>
              <w:t>Tender evaluations and confirmation of presentation times</w:t>
            </w:r>
          </w:p>
        </w:tc>
        <w:tc>
          <w:tcPr>
            <w:tcW w:w="2500" w:type="dxa"/>
          </w:tcPr>
          <w:p w:rsidR="00460FC1" w:rsidRPr="00754184" w:rsidRDefault="00460FC1" w:rsidP="00255213">
            <w:r>
              <w:t>20</w:t>
            </w:r>
            <w:r w:rsidRPr="00D72D94">
              <w:rPr>
                <w:vertAlign w:val="superscript"/>
              </w:rPr>
              <w:t>th</w:t>
            </w:r>
            <w:r>
              <w:t xml:space="preserve"> June 2019</w:t>
            </w:r>
          </w:p>
        </w:tc>
      </w:tr>
      <w:tr w:rsidR="00460FC1" w:rsidRPr="00754184" w:rsidTr="00255213">
        <w:tc>
          <w:tcPr>
            <w:tcW w:w="6516" w:type="dxa"/>
          </w:tcPr>
          <w:p w:rsidR="00460FC1" w:rsidRPr="00754184" w:rsidRDefault="00460FC1" w:rsidP="00255213">
            <w:r>
              <w:t>Presentations by tendering suppliers</w:t>
            </w:r>
          </w:p>
        </w:tc>
        <w:tc>
          <w:tcPr>
            <w:tcW w:w="2500" w:type="dxa"/>
          </w:tcPr>
          <w:p w:rsidR="00460FC1" w:rsidRPr="00754184" w:rsidRDefault="00460FC1" w:rsidP="00255213">
            <w:r>
              <w:t>26</w:t>
            </w:r>
            <w:r w:rsidRPr="00643404">
              <w:rPr>
                <w:vertAlign w:val="superscript"/>
              </w:rPr>
              <w:t>th</w:t>
            </w:r>
            <w:r>
              <w:t xml:space="preserve"> June 2019</w:t>
            </w:r>
          </w:p>
        </w:tc>
      </w:tr>
      <w:tr w:rsidR="00460FC1" w:rsidRPr="00754184" w:rsidTr="00255213">
        <w:tc>
          <w:tcPr>
            <w:tcW w:w="6516" w:type="dxa"/>
          </w:tcPr>
          <w:p w:rsidR="00460FC1" w:rsidRPr="00754184" w:rsidRDefault="00460FC1" w:rsidP="00255213">
            <w:r w:rsidRPr="00754184">
              <w:t>Notification of intention to award contract – start of standstill period</w:t>
            </w:r>
          </w:p>
        </w:tc>
        <w:tc>
          <w:tcPr>
            <w:tcW w:w="2500" w:type="dxa"/>
          </w:tcPr>
          <w:p w:rsidR="00460FC1" w:rsidRPr="00754184" w:rsidRDefault="00460FC1" w:rsidP="00255213">
            <w:r w:rsidRPr="00754184">
              <w:t>1</w:t>
            </w:r>
            <w:r w:rsidR="00CC1060">
              <w:t>st</w:t>
            </w:r>
            <w:r w:rsidRPr="00754184">
              <w:t xml:space="preserve"> July 2019</w:t>
            </w:r>
          </w:p>
        </w:tc>
      </w:tr>
      <w:tr w:rsidR="00460FC1" w:rsidRPr="00754184" w:rsidTr="00255213">
        <w:tc>
          <w:tcPr>
            <w:tcW w:w="6516" w:type="dxa"/>
          </w:tcPr>
          <w:p w:rsidR="00460FC1" w:rsidRPr="00754184" w:rsidRDefault="00460FC1" w:rsidP="00255213">
            <w:r w:rsidRPr="00754184">
              <w:t>Anticipation end of standstill – conclude contract</w:t>
            </w:r>
          </w:p>
        </w:tc>
        <w:tc>
          <w:tcPr>
            <w:tcW w:w="2500" w:type="dxa"/>
          </w:tcPr>
          <w:p w:rsidR="00460FC1" w:rsidRPr="00754184" w:rsidRDefault="00460FC1" w:rsidP="00255213">
            <w:r w:rsidRPr="00754184">
              <w:t>12</w:t>
            </w:r>
            <w:r w:rsidR="00CC1060">
              <w:t>th</w:t>
            </w:r>
            <w:r w:rsidRPr="00754184">
              <w:t xml:space="preserve"> July 2019</w:t>
            </w:r>
          </w:p>
        </w:tc>
      </w:tr>
      <w:tr w:rsidR="00460FC1" w:rsidRPr="00754184" w:rsidTr="00255213">
        <w:tc>
          <w:tcPr>
            <w:tcW w:w="6516" w:type="dxa"/>
          </w:tcPr>
          <w:p w:rsidR="00460FC1" w:rsidRPr="00754184" w:rsidRDefault="00460FC1" w:rsidP="00255213">
            <w:r w:rsidRPr="00754184">
              <w:t>Publication of contract award notice</w:t>
            </w:r>
          </w:p>
        </w:tc>
        <w:tc>
          <w:tcPr>
            <w:tcW w:w="2500" w:type="dxa"/>
          </w:tcPr>
          <w:p w:rsidR="00460FC1" w:rsidRPr="00754184" w:rsidRDefault="008C5CAD" w:rsidP="004D4060">
            <w:r>
              <w:t>18</w:t>
            </w:r>
            <w:r w:rsidR="004D4060" w:rsidRPr="004D4060">
              <w:rPr>
                <w:vertAlign w:val="superscript"/>
              </w:rPr>
              <w:t>th</w:t>
            </w:r>
            <w:r w:rsidR="004D4060">
              <w:t xml:space="preserve"> </w:t>
            </w:r>
            <w:r w:rsidR="00460FC1" w:rsidRPr="00754184">
              <w:t>July 2019</w:t>
            </w:r>
          </w:p>
        </w:tc>
      </w:tr>
      <w:tr w:rsidR="00460FC1" w:rsidRPr="00754184" w:rsidTr="00255213">
        <w:tc>
          <w:tcPr>
            <w:tcW w:w="6516" w:type="dxa"/>
          </w:tcPr>
          <w:p w:rsidR="00460FC1" w:rsidRPr="00754184" w:rsidRDefault="00460FC1" w:rsidP="00255213">
            <w:r w:rsidRPr="00754184">
              <w:t>Start of contract</w:t>
            </w:r>
          </w:p>
        </w:tc>
        <w:tc>
          <w:tcPr>
            <w:tcW w:w="2500" w:type="dxa"/>
          </w:tcPr>
          <w:p w:rsidR="00460FC1" w:rsidRPr="00754184" w:rsidRDefault="00460FC1" w:rsidP="00255213">
            <w:r w:rsidRPr="00754184">
              <w:t>1</w:t>
            </w:r>
            <w:r w:rsidR="004D4060">
              <w:t>st</w:t>
            </w:r>
            <w:r w:rsidRPr="00754184">
              <w:t xml:space="preserve"> September 2019</w:t>
            </w:r>
          </w:p>
        </w:tc>
      </w:tr>
    </w:tbl>
    <w:p w:rsidR="00460FC1" w:rsidRDefault="00460FC1" w:rsidP="00857A89"/>
    <w:p w:rsidR="00AA3C63" w:rsidRPr="00754184" w:rsidRDefault="00AA3C63" w:rsidP="00AA3C63">
      <w:r w:rsidRPr="00754184">
        <w:lastRenderedPageBreak/>
        <w:t>The school reserves the right to amend the timetable at any time throughout the procurement process.</w:t>
      </w:r>
      <w:r>
        <w:t xml:space="preserve">  </w:t>
      </w:r>
      <w:r w:rsidRPr="00754184">
        <w:t>Any amendments to the proposed timetable will be notified to all parties participating in the tender process at that time.</w:t>
      </w:r>
    </w:p>
    <w:p w:rsidR="00857A89" w:rsidRDefault="00AA3C63" w:rsidP="00857A89">
      <w:r>
        <w:t xml:space="preserve">The </w:t>
      </w:r>
      <w:r w:rsidR="00550039">
        <w:t>school</w:t>
      </w:r>
      <w:r>
        <w:t xml:space="preserve"> reserves the righ</w:t>
      </w:r>
      <w:r w:rsidR="00550039">
        <w:t xml:space="preserve">t to cancel the tender process </w:t>
      </w:r>
      <w:r>
        <w:t>at any point.  The School is not liable for any costs resulting from cancellation of this process or for any costs incurred by organisations taking part in the tender process.</w:t>
      </w:r>
    </w:p>
    <w:p w:rsidR="00AA3C63" w:rsidRPr="007351B6" w:rsidRDefault="00AA3C63" w:rsidP="00857A89">
      <w:pPr>
        <w:rPr>
          <w:b/>
        </w:rPr>
      </w:pPr>
    </w:p>
    <w:p w:rsidR="00AA3C63" w:rsidRPr="007351B6" w:rsidRDefault="00AA3C63" w:rsidP="00857A89">
      <w:pPr>
        <w:rPr>
          <w:b/>
        </w:rPr>
      </w:pPr>
      <w:r w:rsidRPr="007351B6">
        <w:rPr>
          <w:b/>
        </w:rPr>
        <w:t>R</w:t>
      </w:r>
      <w:r w:rsidRPr="007351B6">
        <w:rPr>
          <w:b/>
        </w:rPr>
        <w:tab/>
      </w:r>
      <w:r w:rsidR="00550039" w:rsidRPr="007351B6">
        <w:rPr>
          <w:b/>
        </w:rPr>
        <w:t>SPECIFICATION FOR</w:t>
      </w:r>
      <w:r w:rsidRPr="007351B6">
        <w:rPr>
          <w:b/>
        </w:rPr>
        <w:t xml:space="preserve"> THE PROVISION OF CLEANING</w:t>
      </w:r>
    </w:p>
    <w:p w:rsidR="00AA3C63" w:rsidRPr="007351B6" w:rsidRDefault="00550039" w:rsidP="00857A89">
      <w:pPr>
        <w:rPr>
          <w:b/>
        </w:rPr>
      </w:pPr>
      <w:r w:rsidRPr="007351B6">
        <w:rPr>
          <w:b/>
        </w:rPr>
        <w:t>Standards</w:t>
      </w:r>
      <w:r w:rsidR="00AA3C63" w:rsidRPr="007351B6">
        <w:rPr>
          <w:b/>
        </w:rPr>
        <w:t xml:space="preserve"> of Cleaning</w:t>
      </w:r>
    </w:p>
    <w:p w:rsidR="00AA3C63" w:rsidRDefault="00AA3C63" w:rsidP="00857A89">
      <w:r>
        <w:t xml:space="preserve">The School </w:t>
      </w:r>
      <w:r w:rsidR="00550039">
        <w:t>believes</w:t>
      </w:r>
      <w:r>
        <w:t xml:space="preserve"> that the appropriate standard </w:t>
      </w:r>
      <w:r w:rsidR="00550039">
        <w:t>of</w:t>
      </w:r>
      <w:r>
        <w:t xml:space="preserve"> cleaning should be quite clear to the skilled and experienced cleaning contractor.  In all </w:t>
      </w:r>
      <w:r w:rsidR="00550039">
        <w:t>cases</w:t>
      </w:r>
      <w:r>
        <w:t xml:space="preserve"> the standard of appearance and </w:t>
      </w:r>
      <w:r w:rsidR="00550039">
        <w:t>cleanliness</w:t>
      </w:r>
      <w:r>
        <w:t xml:space="preserve"> of the School is of great importance.  The general view of the efficiency of the School is much affected by the </w:t>
      </w:r>
      <w:r w:rsidR="00550039">
        <w:t>standards</w:t>
      </w:r>
      <w:r>
        <w:t xml:space="preserve"> and </w:t>
      </w:r>
      <w:r w:rsidR="00550039">
        <w:t>appearance</w:t>
      </w:r>
      <w:r>
        <w:t xml:space="preserve"> of its buildings.  Appropriate cleaning </w:t>
      </w:r>
      <w:r w:rsidR="00550039">
        <w:t>agen</w:t>
      </w:r>
      <w:r>
        <w:t>t</w:t>
      </w:r>
      <w:r w:rsidR="00550039">
        <w:t>s</w:t>
      </w:r>
      <w:r>
        <w:t xml:space="preserve"> and methods should therefore be employed </w:t>
      </w:r>
      <w:r w:rsidR="00550039">
        <w:t>in</w:t>
      </w:r>
      <w:r>
        <w:t xml:space="preserve"> order to m</w:t>
      </w:r>
      <w:r w:rsidR="007351B6">
        <w:t xml:space="preserve">aintain the required </w:t>
      </w:r>
      <w:r w:rsidR="00550039">
        <w:t>standards</w:t>
      </w:r>
      <w:r w:rsidR="007351B6">
        <w:t>.</w:t>
      </w:r>
    </w:p>
    <w:p w:rsidR="007351B6" w:rsidRDefault="00AA3C63" w:rsidP="00857A89">
      <w:r>
        <w:t xml:space="preserve">The </w:t>
      </w:r>
      <w:r w:rsidR="00550039">
        <w:t>cleaning</w:t>
      </w:r>
      <w:r>
        <w:t xml:space="preserve"> standards are defined in the Cleaning </w:t>
      </w:r>
      <w:r w:rsidR="00550039">
        <w:t>Standards</w:t>
      </w:r>
      <w:r>
        <w:t xml:space="preserve"> </w:t>
      </w:r>
      <w:r w:rsidR="00550039">
        <w:t>Specification</w:t>
      </w:r>
      <w:r>
        <w:t xml:space="preserve"> Table </w:t>
      </w:r>
      <w:r w:rsidR="00011647" w:rsidRPr="00011647">
        <w:t>(Part</w:t>
      </w:r>
      <w:r w:rsidR="00011647">
        <w:t xml:space="preserve"> two, section 1</w:t>
      </w:r>
      <w:r>
        <w:t>)</w:t>
      </w:r>
      <w:r w:rsidR="007351B6">
        <w:t xml:space="preserve"> below, together with the School</w:t>
      </w:r>
      <w:r w:rsidR="004D4060">
        <w:t>’</w:t>
      </w:r>
      <w:r w:rsidR="007351B6">
        <w:t xml:space="preserve">s expectations.  After cleaning operations, all rooms or any other area of description shall be </w:t>
      </w:r>
      <w:r w:rsidR="00550039">
        <w:t>left</w:t>
      </w:r>
      <w:r w:rsidR="007351B6">
        <w:t xml:space="preserve"> ready for use.</w:t>
      </w:r>
    </w:p>
    <w:p w:rsidR="00653B20" w:rsidRDefault="007351B6" w:rsidP="00C5336A">
      <w:r>
        <w:t>The cleaning freque</w:t>
      </w:r>
      <w:r w:rsidR="00D50481">
        <w:t>ncies are given in the schedule below</w:t>
      </w:r>
      <w:r>
        <w:t xml:space="preserve">.  These frequencies have been found to be generally required to meet the Contract </w:t>
      </w:r>
      <w:r w:rsidR="00550039">
        <w:t>Standard</w:t>
      </w:r>
      <w:r>
        <w:t xml:space="preserve">.  However, the Contractor will, in some cases, need to clean at a greater frequency than is stated to </w:t>
      </w:r>
      <w:r w:rsidR="00550039">
        <w:t>meet</w:t>
      </w:r>
      <w:r>
        <w:t xml:space="preserve"> the required standard.  In </w:t>
      </w:r>
      <w:r w:rsidR="00550039">
        <w:t>other</w:t>
      </w:r>
      <w:r>
        <w:t xml:space="preserve"> cases, </w:t>
      </w:r>
      <w:r w:rsidR="00550039">
        <w:t>e.g.</w:t>
      </w:r>
      <w:r>
        <w:t xml:space="preserve"> lightly used rooms, the Contractor may </w:t>
      </w:r>
      <w:r w:rsidR="00550039">
        <w:t>clean</w:t>
      </w:r>
      <w:r>
        <w:t xml:space="preserve"> at a lesser frequency, providing</w:t>
      </w:r>
      <w:r w:rsidR="00550039">
        <w:t xml:space="preserve"> that the cleaning</w:t>
      </w:r>
      <w:r>
        <w:t xml:space="preserve"> standard is always maintained.</w:t>
      </w:r>
    </w:p>
    <w:p w:rsidR="00C5336A" w:rsidRDefault="00C5336A" w:rsidP="00C5336A">
      <w:r w:rsidRPr="00AE2FBC">
        <w:t xml:space="preserve">The school is currently undergoing planning permission for a new 10 classroom block.  If successful in planning, </w:t>
      </w:r>
      <w:r>
        <w:t>and constructed to current timescales, this should</w:t>
      </w:r>
      <w:r w:rsidRPr="00AE2FBC">
        <w:t xml:space="preserve"> be in use for September 2020 (year two of this contract)</w:t>
      </w:r>
      <w:r>
        <w:t xml:space="preserve">. </w:t>
      </w:r>
      <w:r w:rsidR="00653B20">
        <w:t>Tenderers should note and be aware that during the construction phase the school will have various contractors on site.</w:t>
      </w:r>
    </w:p>
    <w:p w:rsidR="00C5336A" w:rsidRDefault="00C5336A" w:rsidP="00C5336A">
      <w:pPr>
        <w:rPr>
          <w:rFonts w:cstheme="minorHAnsi"/>
          <w:iCs/>
        </w:rPr>
      </w:pPr>
      <w:r w:rsidRPr="00977EB9">
        <w:rPr>
          <w:rFonts w:cstheme="minorHAnsi"/>
          <w:iCs/>
        </w:rPr>
        <w:t xml:space="preserve">Tenderers should note that the School does not provide any guarantee that the provision of </w:t>
      </w:r>
      <w:r>
        <w:rPr>
          <w:rFonts w:cstheme="minorHAnsi"/>
          <w:iCs/>
        </w:rPr>
        <w:t>s</w:t>
      </w:r>
      <w:r w:rsidRPr="00977EB9">
        <w:rPr>
          <w:rFonts w:cstheme="minorHAnsi"/>
          <w:iCs/>
        </w:rPr>
        <w:t xml:space="preserve">ervices in respect of the new </w:t>
      </w:r>
      <w:r w:rsidR="00653B20">
        <w:rPr>
          <w:rFonts w:cstheme="minorHAnsi"/>
          <w:iCs/>
        </w:rPr>
        <w:t>classroom block</w:t>
      </w:r>
      <w:r w:rsidRPr="00977EB9">
        <w:rPr>
          <w:rFonts w:cstheme="minorHAnsi"/>
          <w:iCs/>
        </w:rPr>
        <w:t xml:space="preserve"> will form part </w:t>
      </w:r>
      <w:r>
        <w:rPr>
          <w:rFonts w:cstheme="minorHAnsi"/>
          <w:iCs/>
        </w:rPr>
        <w:t>of the Contract awarded to the successful t</w:t>
      </w:r>
      <w:r w:rsidRPr="00977EB9">
        <w:rPr>
          <w:rFonts w:cstheme="minorHAnsi"/>
          <w:iCs/>
        </w:rPr>
        <w:t xml:space="preserve">enderer. The School may choose, in its absolute discretion, to require the </w:t>
      </w:r>
      <w:r>
        <w:rPr>
          <w:rFonts w:cstheme="minorHAnsi"/>
          <w:iCs/>
        </w:rPr>
        <w:t>s</w:t>
      </w:r>
      <w:r w:rsidRPr="00977EB9">
        <w:rPr>
          <w:rFonts w:cstheme="minorHAnsi"/>
          <w:iCs/>
        </w:rPr>
        <w:t xml:space="preserve">uccessful </w:t>
      </w:r>
      <w:r>
        <w:rPr>
          <w:rFonts w:cstheme="minorHAnsi"/>
          <w:iCs/>
        </w:rPr>
        <w:t>t</w:t>
      </w:r>
      <w:r w:rsidRPr="00977EB9">
        <w:rPr>
          <w:rFonts w:cstheme="minorHAnsi"/>
          <w:iCs/>
        </w:rPr>
        <w:t xml:space="preserve">enderer to provide the Services in respect of the new </w:t>
      </w:r>
      <w:r w:rsidR="00653B20">
        <w:rPr>
          <w:rFonts w:cstheme="minorHAnsi"/>
          <w:iCs/>
        </w:rPr>
        <w:t>classroom block</w:t>
      </w:r>
      <w:r w:rsidRPr="00977EB9">
        <w:rPr>
          <w:rFonts w:cstheme="minorHAnsi"/>
          <w:iCs/>
        </w:rPr>
        <w:t xml:space="preserve"> at any point during the term of th</w:t>
      </w:r>
      <w:r>
        <w:rPr>
          <w:rFonts w:cstheme="minorHAnsi"/>
          <w:iCs/>
        </w:rPr>
        <w:t>e Contract, and if it does the successful t</w:t>
      </w:r>
      <w:r w:rsidRPr="00977EB9">
        <w:rPr>
          <w:rFonts w:cstheme="minorHAnsi"/>
          <w:iCs/>
        </w:rPr>
        <w:t xml:space="preserve">enderer must provide the services on the basis of the Contract and at a price no higher than the price </w:t>
      </w:r>
      <w:r>
        <w:rPr>
          <w:rFonts w:cstheme="minorHAnsi"/>
          <w:iCs/>
        </w:rPr>
        <w:t>quoted in appendix 2</w:t>
      </w:r>
      <w:r w:rsidRPr="00977EB9">
        <w:rPr>
          <w:rFonts w:cstheme="minorHAnsi"/>
          <w:iCs/>
        </w:rPr>
        <w:t>.</w:t>
      </w:r>
    </w:p>
    <w:p w:rsidR="00653B20" w:rsidRDefault="00653B20" w:rsidP="00653B20">
      <w:r>
        <w:t>Whilst the schedules and standards are based on the school’s current property, they will also be applicable to the new classroom block.</w:t>
      </w:r>
    </w:p>
    <w:p w:rsidR="00653B20" w:rsidRDefault="00653B20" w:rsidP="00653B20">
      <w:pPr>
        <w:rPr>
          <w:rFonts w:cstheme="minorHAnsi"/>
          <w:iCs/>
        </w:rPr>
      </w:pPr>
      <w:r>
        <w:t xml:space="preserve">If the school requires the successful tenderer to provide the services in respect of the new classroom block, the School will communicate with the tenderer and provide adequate notice. </w:t>
      </w:r>
    </w:p>
    <w:p w:rsidR="00653B20" w:rsidRPr="00977EB9" w:rsidRDefault="00653B20" w:rsidP="00C5336A">
      <w:pPr>
        <w:rPr>
          <w:rFonts w:cstheme="minorHAnsi"/>
        </w:rPr>
      </w:pPr>
    </w:p>
    <w:p w:rsidR="007351B6" w:rsidRPr="007351B6" w:rsidRDefault="007351B6" w:rsidP="00857A89">
      <w:pPr>
        <w:rPr>
          <w:b/>
        </w:rPr>
      </w:pPr>
      <w:r w:rsidRPr="007351B6">
        <w:rPr>
          <w:b/>
        </w:rPr>
        <w:t xml:space="preserve">Additional Technical </w:t>
      </w:r>
      <w:r w:rsidR="00550039" w:rsidRPr="007351B6">
        <w:rPr>
          <w:b/>
        </w:rPr>
        <w:t>Information</w:t>
      </w:r>
    </w:p>
    <w:p w:rsidR="007351B6" w:rsidRPr="00721745" w:rsidRDefault="00550039" w:rsidP="007351B6">
      <w:pPr>
        <w:pStyle w:val="NoSpacing"/>
        <w:rPr>
          <w:b/>
        </w:rPr>
      </w:pPr>
      <w:r w:rsidRPr="00721745">
        <w:rPr>
          <w:b/>
        </w:rPr>
        <w:t>Sanitary</w:t>
      </w:r>
      <w:r w:rsidR="007351B6" w:rsidRPr="00721745">
        <w:rPr>
          <w:b/>
        </w:rPr>
        <w:t xml:space="preserve"> Fittings</w:t>
      </w:r>
    </w:p>
    <w:p w:rsidR="007351B6" w:rsidRDefault="007351B6" w:rsidP="007351B6">
      <w:pPr>
        <w:pStyle w:val="NoSpacing"/>
      </w:pPr>
      <w:r>
        <w:t>All sanitary fitting</w:t>
      </w:r>
      <w:r w:rsidR="00550039">
        <w:t>s are to be kept free of lime scale build up and stains.  Toilet</w:t>
      </w:r>
      <w:r>
        <w:t xml:space="preserve"> brushes should be provided by the contractor.</w:t>
      </w:r>
    </w:p>
    <w:p w:rsidR="007351B6" w:rsidRDefault="007351B6" w:rsidP="007351B6">
      <w:pPr>
        <w:pStyle w:val="NoSpacing"/>
      </w:pPr>
    </w:p>
    <w:p w:rsidR="00D21CE1" w:rsidRDefault="00D21CE1" w:rsidP="007351B6">
      <w:pPr>
        <w:pStyle w:val="NoSpacing"/>
      </w:pPr>
    </w:p>
    <w:p w:rsidR="007351B6" w:rsidRPr="00721745" w:rsidRDefault="007351B6" w:rsidP="007351B6">
      <w:pPr>
        <w:pStyle w:val="NoSpacing"/>
        <w:rPr>
          <w:b/>
        </w:rPr>
      </w:pPr>
      <w:r w:rsidRPr="00721745">
        <w:rPr>
          <w:b/>
        </w:rPr>
        <w:t>Floor Cleaning</w:t>
      </w:r>
    </w:p>
    <w:p w:rsidR="007351B6" w:rsidRDefault="007351B6" w:rsidP="007351B6">
      <w:pPr>
        <w:pStyle w:val="NoSpacing"/>
      </w:pPr>
      <w:r>
        <w:t>All freely moveable furniture is to be moved prior to cleaning</w:t>
      </w:r>
      <w:r w:rsidR="00550039">
        <w:t xml:space="preserve"> and put back in its proper p</w:t>
      </w:r>
      <w:r>
        <w:t xml:space="preserve">lace after cleaning.  Chairs must not under any circumstance be </w:t>
      </w:r>
      <w:r w:rsidR="00550039">
        <w:t>placed</w:t>
      </w:r>
      <w:r>
        <w:t xml:space="preserve"> on tables, desk</w:t>
      </w:r>
      <w:r w:rsidR="00550039">
        <w:t>s</w:t>
      </w:r>
      <w:r w:rsidR="005061EE">
        <w:t xml:space="preserve"> or other tops.</w:t>
      </w:r>
    </w:p>
    <w:p w:rsidR="00460FC1" w:rsidRDefault="00460FC1" w:rsidP="00721745">
      <w:pPr>
        <w:pStyle w:val="NoSpacing"/>
      </w:pPr>
    </w:p>
    <w:p w:rsidR="007351B6" w:rsidRPr="00721745" w:rsidRDefault="007351B6" w:rsidP="00721745">
      <w:pPr>
        <w:pStyle w:val="NoSpacing"/>
        <w:rPr>
          <w:b/>
        </w:rPr>
      </w:pPr>
      <w:r w:rsidRPr="00721745">
        <w:rPr>
          <w:b/>
        </w:rPr>
        <w:t>Vacuum Cleaners, Scrubbers, Polishers etc.</w:t>
      </w:r>
    </w:p>
    <w:p w:rsidR="007351B6" w:rsidRDefault="007351B6" w:rsidP="00721745">
      <w:pPr>
        <w:pStyle w:val="NoSpacing"/>
      </w:pPr>
      <w:r>
        <w:t xml:space="preserve">Contractors are required to ensure that all such </w:t>
      </w:r>
      <w:r w:rsidR="00550039">
        <w:t>equipment</w:t>
      </w:r>
      <w:r>
        <w:t xml:space="preserve"> used is suitable and efficacious in the provision of the service.  </w:t>
      </w:r>
      <w:r w:rsidR="00550039">
        <w:t>Manufacturer’s</w:t>
      </w:r>
      <w:r>
        <w:t xml:space="preserve"> instructions on </w:t>
      </w:r>
      <w:r w:rsidR="00550039">
        <w:t>ancillary</w:t>
      </w:r>
      <w:r>
        <w:t xml:space="preserve"> </w:t>
      </w:r>
      <w:r w:rsidR="00550039">
        <w:t>equipment</w:t>
      </w:r>
      <w:r>
        <w:t xml:space="preserve"> must always be observed</w:t>
      </w:r>
      <w:r w:rsidR="00510B01">
        <w:t xml:space="preserve">.  Failure to </w:t>
      </w:r>
      <w:r w:rsidR="00550039">
        <w:t>comply</w:t>
      </w:r>
      <w:r w:rsidR="00510B01">
        <w:t xml:space="preserve"> with such instructions will result in a default being issued.</w:t>
      </w:r>
    </w:p>
    <w:p w:rsidR="00510B01" w:rsidRDefault="00510B01" w:rsidP="00857A89"/>
    <w:p w:rsidR="00510B01" w:rsidRPr="00721745" w:rsidRDefault="00510B01" w:rsidP="00721745">
      <w:pPr>
        <w:pStyle w:val="NoSpacing"/>
        <w:rPr>
          <w:b/>
        </w:rPr>
      </w:pPr>
      <w:r w:rsidRPr="00721745">
        <w:rPr>
          <w:b/>
        </w:rPr>
        <w:t>Sufficiency of Equipment, Materials and Chemicals</w:t>
      </w:r>
    </w:p>
    <w:p w:rsidR="00510B01" w:rsidRDefault="00510B01" w:rsidP="00721745">
      <w:pPr>
        <w:pStyle w:val="NoSpacing"/>
      </w:pPr>
      <w:r>
        <w:t xml:space="preserve">It is expected that the contractor </w:t>
      </w:r>
      <w:r w:rsidR="00550039">
        <w:t>shall</w:t>
      </w:r>
      <w:r>
        <w:t xml:space="preserve">, at all </w:t>
      </w:r>
      <w:r w:rsidR="00550039">
        <w:t>times</w:t>
      </w:r>
      <w:r>
        <w:t>, maintain an inventory of equipment, materials and chemicals sufficient for the proper provision of the service.  This inventory should be easily accessible to the Contractors Staff and the School.</w:t>
      </w:r>
    </w:p>
    <w:p w:rsidR="00510B01" w:rsidRDefault="00510B01" w:rsidP="00857A89"/>
    <w:p w:rsidR="00510B01" w:rsidRPr="00721745" w:rsidRDefault="00550039" w:rsidP="00721745">
      <w:pPr>
        <w:pStyle w:val="NoSpacing"/>
        <w:rPr>
          <w:b/>
        </w:rPr>
      </w:pPr>
      <w:r w:rsidRPr="00721745">
        <w:rPr>
          <w:b/>
        </w:rPr>
        <w:t>Toilet</w:t>
      </w:r>
      <w:r w:rsidR="00510B01" w:rsidRPr="00721745">
        <w:rPr>
          <w:b/>
        </w:rPr>
        <w:t xml:space="preserve"> Areas</w:t>
      </w:r>
    </w:p>
    <w:p w:rsidR="00510B01" w:rsidRDefault="00550039" w:rsidP="00721745">
      <w:pPr>
        <w:pStyle w:val="NoSpacing"/>
      </w:pPr>
      <w:r>
        <w:t>Toilet</w:t>
      </w:r>
      <w:r w:rsidR="00510B01">
        <w:t xml:space="preserve"> paper which has been thrown onto the ceilings</w:t>
      </w:r>
      <w:r w:rsidR="004D4060">
        <w:t xml:space="preserve"> and walls</w:t>
      </w:r>
      <w:r w:rsidR="00510B01">
        <w:t xml:space="preserve"> is to be removed as part of the cleaning service.</w:t>
      </w:r>
    </w:p>
    <w:p w:rsidR="00510B01" w:rsidRDefault="00510B01" w:rsidP="00857A89"/>
    <w:p w:rsidR="00510B01" w:rsidRPr="00721745" w:rsidRDefault="00510B01" w:rsidP="00721745">
      <w:pPr>
        <w:pStyle w:val="NoSpacing"/>
        <w:rPr>
          <w:b/>
        </w:rPr>
      </w:pPr>
      <w:r w:rsidRPr="00721745">
        <w:rPr>
          <w:b/>
        </w:rPr>
        <w:t xml:space="preserve">Light Fittings – </w:t>
      </w:r>
      <w:r w:rsidR="00550039" w:rsidRPr="00721745">
        <w:rPr>
          <w:b/>
        </w:rPr>
        <w:t>Diffusers</w:t>
      </w:r>
      <w:r w:rsidRPr="00721745">
        <w:rPr>
          <w:b/>
        </w:rPr>
        <w:t xml:space="preserve"> only</w:t>
      </w:r>
    </w:p>
    <w:p w:rsidR="00510B01" w:rsidRDefault="00510B01" w:rsidP="00721745">
      <w:pPr>
        <w:pStyle w:val="NoSpacing"/>
      </w:pPr>
      <w:r>
        <w:t xml:space="preserve">These, wherever found, are to be cleaned unless to do so would damage brittle parts.  Under no circumstances are </w:t>
      </w:r>
      <w:r w:rsidR="00550039">
        <w:t>diffusers</w:t>
      </w:r>
      <w:r>
        <w:t xml:space="preserve"> to be removed for cleaning or any other part of any light fitting to </w:t>
      </w:r>
      <w:r w:rsidR="00550039">
        <w:t>be</w:t>
      </w:r>
      <w:r>
        <w:t xml:space="preserve"> cleaned as this may constitute a health and safety risk.</w:t>
      </w:r>
    </w:p>
    <w:p w:rsidR="00510B01" w:rsidRPr="00721745" w:rsidRDefault="00510B01" w:rsidP="00857A89">
      <w:pPr>
        <w:rPr>
          <w:b/>
        </w:rPr>
      </w:pPr>
    </w:p>
    <w:p w:rsidR="00510B01" w:rsidRPr="00721745" w:rsidRDefault="00510B01" w:rsidP="00721745">
      <w:pPr>
        <w:pStyle w:val="NoSpacing"/>
        <w:rPr>
          <w:b/>
        </w:rPr>
      </w:pPr>
      <w:r w:rsidRPr="00721745">
        <w:rPr>
          <w:b/>
        </w:rPr>
        <w:t>Sports and Leisure Areas</w:t>
      </w:r>
    </w:p>
    <w:p w:rsidR="00510B01" w:rsidRDefault="00510B01" w:rsidP="00721745">
      <w:pPr>
        <w:pStyle w:val="NoSpacing"/>
      </w:pPr>
      <w:r>
        <w:t xml:space="preserve">These areas </w:t>
      </w:r>
      <w:r w:rsidR="00550039">
        <w:t>may be</w:t>
      </w:r>
      <w:r>
        <w:t xml:space="preserve"> used outside of the normal school </w:t>
      </w:r>
      <w:r w:rsidR="00550039">
        <w:t>times;</w:t>
      </w:r>
      <w:r>
        <w:t xml:space="preserve"> </w:t>
      </w:r>
      <w:r w:rsidR="00550039">
        <w:t>therefore,</w:t>
      </w:r>
      <w:r>
        <w:t xml:space="preserve"> it is vital to arrange the timing </w:t>
      </w:r>
      <w:r w:rsidR="00EC1CC1">
        <w:t>of cleans in close consultation with the School.</w:t>
      </w:r>
    </w:p>
    <w:p w:rsidR="00510B01" w:rsidRDefault="00510B01" w:rsidP="00857A89"/>
    <w:p w:rsidR="00510B01" w:rsidRPr="00721745" w:rsidRDefault="00550039" w:rsidP="00721745">
      <w:pPr>
        <w:pStyle w:val="NoSpacing"/>
        <w:rPr>
          <w:b/>
        </w:rPr>
      </w:pPr>
      <w:r w:rsidRPr="00721745">
        <w:rPr>
          <w:b/>
        </w:rPr>
        <w:t>Laboratory</w:t>
      </w:r>
      <w:r w:rsidR="00510B01" w:rsidRPr="00721745">
        <w:rPr>
          <w:b/>
        </w:rPr>
        <w:t xml:space="preserve"> Waste</w:t>
      </w:r>
    </w:p>
    <w:p w:rsidR="00510B01" w:rsidRDefault="00510B01" w:rsidP="00721745">
      <w:pPr>
        <w:pStyle w:val="NoSpacing"/>
      </w:pPr>
      <w:r>
        <w:t xml:space="preserve">Bins </w:t>
      </w:r>
      <w:r w:rsidR="00550039">
        <w:t>containing</w:t>
      </w:r>
      <w:r>
        <w:t xml:space="preserve"> laboratory waste (</w:t>
      </w:r>
      <w:r w:rsidR="00550039">
        <w:t>e.g.</w:t>
      </w:r>
      <w:r>
        <w:t xml:space="preserve"> </w:t>
      </w:r>
      <w:r w:rsidR="00550039">
        <w:t>Science</w:t>
      </w:r>
      <w:r>
        <w:t xml:space="preserve"> </w:t>
      </w:r>
      <w:r w:rsidR="00550039">
        <w:t>and</w:t>
      </w:r>
      <w:r>
        <w:t xml:space="preserve"> Biology waste) should be disposed of in the same manner as the contents </w:t>
      </w:r>
      <w:r w:rsidR="00550039">
        <w:t>of</w:t>
      </w:r>
      <w:r>
        <w:t xml:space="preserve"> </w:t>
      </w:r>
      <w:r w:rsidR="00550039">
        <w:t>other</w:t>
      </w:r>
      <w:r>
        <w:t xml:space="preserve"> waste bins unless the waste is clinical.</w:t>
      </w:r>
    </w:p>
    <w:p w:rsidR="00313BBC" w:rsidRDefault="00313BBC" w:rsidP="00721745">
      <w:pPr>
        <w:pStyle w:val="NoSpacing"/>
      </w:pPr>
    </w:p>
    <w:p w:rsidR="00510B01" w:rsidRDefault="00510B01" w:rsidP="00857A89"/>
    <w:p w:rsidR="00510B01" w:rsidRPr="00721745" w:rsidRDefault="00510B01" w:rsidP="00721745">
      <w:pPr>
        <w:pStyle w:val="NoSpacing"/>
        <w:rPr>
          <w:b/>
        </w:rPr>
      </w:pPr>
      <w:r w:rsidRPr="00721745">
        <w:rPr>
          <w:b/>
        </w:rPr>
        <w:lastRenderedPageBreak/>
        <w:t>Walls</w:t>
      </w:r>
    </w:p>
    <w:p w:rsidR="00721745" w:rsidRDefault="00510B01" w:rsidP="00721745">
      <w:pPr>
        <w:pStyle w:val="NoSpacing"/>
      </w:pPr>
      <w:r>
        <w:t xml:space="preserve">An attempt should be made to remove marks and scuffs on a daily basis.  However, if removing the mark is damaging to the wall surface </w:t>
      </w:r>
      <w:r w:rsidR="00721745">
        <w:t>then the process should stop and the supervising officer should be informed immediately.</w:t>
      </w:r>
    </w:p>
    <w:p w:rsidR="00510B01" w:rsidRDefault="00721745" w:rsidP="00721745">
      <w:pPr>
        <w:pStyle w:val="NoSpacing"/>
      </w:pPr>
      <w:r>
        <w:t xml:space="preserve"> </w:t>
      </w:r>
    </w:p>
    <w:p w:rsidR="00011647" w:rsidRDefault="00011647" w:rsidP="00721745">
      <w:pPr>
        <w:pStyle w:val="NoSpacing"/>
      </w:pPr>
    </w:p>
    <w:p w:rsidR="00510B01" w:rsidRPr="00721745" w:rsidRDefault="00510B01" w:rsidP="00721745">
      <w:pPr>
        <w:pStyle w:val="NoSpacing"/>
        <w:rPr>
          <w:b/>
        </w:rPr>
      </w:pPr>
      <w:r w:rsidRPr="00721745">
        <w:rPr>
          <w:b/>
        </w:rPr>
        <w:t>High Levels</w:t>
      </w:r>
    </w:p>
    <w:p w:rsidR="00510B01" w:rsidRDefault="00510B01" w:rsidP="00721745">
      <w:pPr>
        <w:pStyle w:val="NoSpacing"/>
      </w:pPr>
      <w:r>
        <w:t>Contractors are required to provide suitable access equipment in order to safely and effectively undertake this work.</w:t>
      </w:r>
    </w:p>
    <w:p w:rsidR="00510B01" w:rsidRDefault="00510B01" w:rsidP="00857A89"/>
    <w:p w:rsidR="00510B01" w:rsidRPr="00721745" w:rsidRDefault="00510B01" w:rsidP="00721745">
      <w:pPr>
        <w:pStyle w:val="NoSpacing"/>
        <w:rPr>
          <w:b/>
        </w:rPr>
      </w:pPr>
      <w:r w:rsidRPr="00721745">
        <w:rPr>
          <w:b/>
        </w:rPr>
        <w:t xml:space="preserve">Cookers and </w:t>
      </w:r>
      <w:r w:rsidR="00550039" w:rsidRPr="00721745">
        <w:rPr>
          <w:b/>
        </w:rPr>
        <w:t>Refrigerators</w:t>
      </w:r>
    </w:p>
    <w:p w:rsidR="00510B01" w:rsidRDefault="00510B01" w:rsidP="00721745">
      <w:pPr>
        <w:pStyle w:val="NoSpacing"/>
      </w:pPr>
      <w:r>
        <w:t>Cleaning is to reach all external surfaces and the floor beneath.  Periodically the appliances should be moved for cleaning.</w:t>
      </w:r>
    </w:p>
    <w:p w:rsidR="00721745" w:rsidRDefault="00721745" w:rsidP="00721745">
      <w:pPr>
        <w:pStyle w:val="NoSpacing"/>
      </w:pPr>
    </w:p>
    <w:p w:rsidR="00721745" w:rsidRPr="008E3516" w:rsidRDefault="00721745" w:rsidP="00721745">
      <w:pPr>
        <w:pStyle w:val="NoSpacing"/>
        <w:rPr>
          <w:b/>
        </w:rPr>
      </w:pPr>
      <w:r w:rsidRPr="008E3516">
        <w:rPr>
          <w:b/>
        </w:rPr>
        <w:t>S</w:t>
      </w:r>
      <w:r w:rsidRPr="008E3516">
        <w:rPr>
          <w:b/>
        </w:rPr>
        <w:tab/>
        <w:t>CONCLUSIONS</w:t>
      </w:r>
    </w:p>
    <w:p w:rsidR="00721745" w:rsidRDefault="00721745" w:rsidP="00721745">
      <w:pPr>
        <w:pStyle w:val="NoSpacing"/>
      </w:pPr>
    </w:p>
    <w:p w:rsidR="00721745" w:rsidRDefault="00550039" w:rsidP="00721745">
      <w:pPr>
        <w:pStyle w:val="NoSpacing"/>
      </w:pPr>
      <w:r>
        <w:t>Whilst</w:t>
      </w:r>
      <w:r w:rsidR="00721745">
        <w:t xml:space="preserve"> every endeavour has been made to give Tendering suppliers an accurate description of the requirement, </w:t>
      </w:r>
      <w:r>
        <w:t>tendering</w:t>
      </w:r>
      <w:r w:rsidR="00721745">
        <w:t xml:space="preserve"> suppliers should form their own conclusions about the methods and resources needed to meet those requirements and </w:t>
      </w:r>
      <w:r>
        <w:t>standards</w:t>
      </w:r>
      <w:r w:rsidR="00721745">
        <w:t xml:space="preserve">.  Not all technical terms within the </w:t>
      </w:r>
      <w:r>
        <w:t>Cleaning</w:t>
      </w:r>
      <w:r w:rsidR="00721745">
        <w:t xml:space="preserve"> Specification are defined, as it is expected that the skilled contractor will </w:t>
      </w:r>
      <w:r>
        <w:t>be</w:t>
      </w:r>
      <w:r w:rsidR="00721745">
        <w:t xml:space="preserve"> fully </w:t>
      </w:r>
      <w:r>
        <w:t>aware</w:t>
      </w:r>
      <w:r w:rsidR="00721745">
        <w:t xml:space="preserve"> of routine cleaning procedures, </w:t>
      </w:r>
      <w:r>
        <w:t>e.g.</w:t>
      </w:r>
      <w:r w:rsidR="00721745">
        <w:t xml:space="preserve"> sweeping, vacuuming etc.</w:t>
      </w:r>
    </w:p>
    <w:p w:rsidR="00721745" w:rsidRDefault="00721745" w:rsidP="00721745">
      <w:pPr>
        <w:pStyle w:val="NoSpacing"/>
      </w:pPr>
    </w:p>
    <w:p w:rsidR="00721745" w:rsidRDefault="00721745" w:rsidP="00721745">
      <w:pPr>
        <w:pStyle w:val="NoSpacing"/>
      </w:pPr>
      <w:r>
        <w:t>Tenders will be evaluated using the following criteria and weighting:</w:t>
      </w:r>
    </w:p>
    <w:p w:rsidR="00721745" w:rsidRDefault="00721745" w:rsidP="00721745">
      <w:pPr>
        <w:pStyle w:val="NoSpacing"/>
      </w:pPr>
    </w:p>
    <w:tbl>
      <w:tblPr>
        <w:tblStyle w:val="TableGrid"/>
        <w:tblW w:w="0" w:type="auto"/>
        <w:tblLook w:val="04A0" w:firstRow="1" w:lastRow="0" w:firstColumn="1" w:lastColumn="0" w:noHBand="0" w:noVBand="1"/>
      </w:tblPr>
      <w:tblGrid>
        <w:gridCol w:w="2405"/>
        <w:gridCol w:w="1559"/>
      </w:tblGrid>
      <w:tr w:rsidR="00721745" w:rsidTr="008E3516">
        <w:tc>
          <w:tcPr>
            <w:tcW w:w="2405" w:type="dxa"/>
          </w:tcPr>
          <w:p w:rsidR="00721745" w:rsidRDefault="00721745" w:rsidP="00721745">
            <w:pPr>
              <w:pStyle w:val="NoSpacing"/>
            </w:pPr>
            <w:r>
              <w:t>Criteria</w:t>
            </w:r>
          </w:p>
        </w:tc>
        <w:tc>
          <w:tcPr>
            <w:tcW w:w="1559" w:type="dxa"/>
          </w:tcPr>
          <w:p w:rsidR="00721745" w:rsidRDefault="00721745" w:rsidP="00721745">
            <w:pPr>
              <w:pStyle w:val="NoSpacing"/>
            </w:pPr>
            <w:r>
              <w:t>Weighting</w:t>
            </w:r>
          </w:p>
        </w:tc>
      </w:tr>
      <w:tr w:rsidR="00721745" w:rsidTr="008E3516">
        <w:tc>
          <w:tcPr>
            <w:tcW w:w="2405" w:type="dxa"/>
          </w:tcPr>
          <w:p w:rsidR="00721745" w:rsidRDefault="00721745" w:rsidP="00721745">
            <w:pPr>
              <w:pStyle w:val="NoSpacing"/>
            </w:pPr>
            <w:r>
              <w:t>Price</w:t>
            </w:r>
          </w:p>
        </w:tc>
        <w:tc>
          <w:tcPr>
            <w:tcW w:w="1559" w:type="dxa"/>
          </w:tcPr>
          <w:p w:rsidR="00721745" w:rsidRDefault="00721745" w:rsidP="00721745">
            <w:pPr>
              <w:pStyle w:val="NoSpacing"/>
            </w:pPr>
            <w:r>
              <w:t>40%</w:t>
            </w:r>
          </w:p>
        </w:tc>
      </w:tr>
      <w:tr w:rsidR="00721745" w:rsidTr="008E3516">
        <w:tc>
          <w:tcPr>
            <w:tcW w:w="2405" w:type="dxa"/>
          </w:tcPr>
          <w:p w:rsidR="00721745" w:rsidRDefault="00721745" w:rsidP="00721745">
            <w:pPr>
              <w:pStyle w:val="NoSpacing"/>
            </w:pPr>
            <w:r>
              <w:t>Service Offer</w:t>
            </w:r>
          </w:p>
        </w:tc>
        <w:tc>
          <w:tcPr>
            <w:tcW w:w="1559" w:type="dxa"/>
          </w:tcPr>
          <w:p w:rsidR="00721745" w:rsidRDefault="00721745" w:rsidP="00721745">
            <w:pPr>
              <w:pStyle w:val="NoSpacing"/>
            </w:pPr>
            <w:r>
              <w:t>40%</w:t>
            </w:r>
          </w:p>
        </w:tc>
      </w:tr>
      <w:tr w:rsidR="00721745" w:rsidTr="008E3516">
        <w:tc>
          <w:tcPr>
            <w:tcW w:w="2405" w:type="dxa"/>
          </w:tcPr>
          <w:p w:rsidR="00721745" w:rsidRDefault="00550039" w:rsidP="00721745">
            <w:pPr>
              <w:pStyle w:val="NoSpacing"/>
            </w:pPr>
            <w:r>
              <w:t>Interviews</w:t>
            </w:r>
          </w:p>
        </w:tc>
        <w:tc>
          <w:tcPr>
            <w:tcW w:w="1559" w:type="dxa"/>
          </w:tcPr>
          <w:p w:rsidR="00721745" w:rsidRDefault="00721745" w:rsidP="00721745">
            <w:pPr>
              <w:pStyle w:val="NoSpacing"/>
            </w:pPr>
            <w:r>
              <w:t>10%</w:t>
            </w:r>
          </w:p>
        </w:tc>
      </w:tr>
      <w:tr w:rsidR="00721745" w:rsidTr="008E3516">
        <w:tc>
          <w:tcPr>
            <w:tcW w:w="2405" w:type="dxa"/>
          </w:tcPr>
          <w:p w:rsidR="00721745" w:rsidRDefault="00721745" w:rsidP="00721745">
            <w:pPr>
              <w:pStyle w:val="NoSpacing"/>
            </w:pPr>
            <w:r>
              <w:t>Value Added</w:t>
            </w:r>
          </w:p>
        </w:tc>
        <w:tc>
          <w:tcPr>
            <w:tcW w:w="1559" w:type="dxa"/>
          </w:tcPr>
          <w:p w:rsidR="00721745" w:rsidRDefault="00721745" w:rsidP="00721745">
            <w:pPr>
              <w:pStyle w:val="NoSpacing"/>
            </w:pPr>
            <w:r>
              <w:t>10%</w:t>
            </w:r>
          </w:p>
        </w:tc>
      </w:tr>
    </w:tbl>
    <w:p w:rsidR="00721745" w:rsidRDefault="00721745" w:rsidP="00721745">
      <w:pPr>
        <w:pStyle w:val="NoSpacing"/>
      </w:pPr>
    </w:p>
    <w:p w:rsidR="00721745" w:rsidRDefault="00721745" w:rsidP="00721745">
      <w:pPr>
        <w:pStyle w:val="NoSpacing"/>
      </w:pPr>
    </w:p>
    <w:p w:rsidR="00EC1CC1" w:rsidRPr="00754184" w:rsidRDefault="00721745" w:rsidP="00EC1CC1">
      <w:r w:rsidRPr="0015738A">
        <w:t xml:space="preserve">Up to </w:t>
      </w:r>
      <w:r w:rsidR="00EC1CC1">
        <w:t>3</w:t>
      </w:r>
      <w:r w:rsidRPr="0015738A">
        <w:t xml:space="preserve"> points will be awarded for each criteria in this section </w:t>
      </w:r>
      <w:r w:rsidR="00EC1CC1">
        <w:t>whereby 3 points is above expectations/lowest price and 0 points is unacceptable/ highest price.</w:t>
      </w:r>
    </w:p>
    <w:p w:rsidR="00EC1CC1" w:rsidRPr="00754184" w:rsidRDefault="00EC1CC1" w:rsidP="00EC1CC1"/>
    <w:p w:rsidR="00460FC1" w:rsidRDefault="00460FC1" w:rsidP="0015738A">
      <w:pPr>
        <w:pStyle w:val="NoSpacing"/>
      </w:pPr>
    </w:p>
    <w:p w:rsidR="00460FC1" w:rsidRDefault="00460FC1" w:rsidP="0015738A">
      <w:pPr>
        <w:pStyle w:val="NoSpacing"/>
      </w:pPr>
    </w:p>
    <w:p w:rsidR="00460FC1" w:rsidRDefault="00460FC1" w:rsidP="0015738A">
      <w:pPr>
        <w:pStyle w:val="NoSpacing"/>
      </w:pPr>
    </w:p>
    <w:p w:rsidR="00460FC1" w:rsidRDefault="00460FC1" w:rsidP="0015738A">
      <w:pPr>
        <w:pStyle w:val="NoSpacing"/>
      </w:pPr>
    </w:p>
    <w:p w:rsidR="00460FC1" w:rsidRDefault="00460FC1" w:rsidP="0015738A">
      <w:pPr>
        <w:pStyle w:val="NoSpacing"/>
      </w:pPr>
    </w:p>
    <w:p w:rsidR="00460FC1" w:rsidRDefault="00460FC1" w:rsidP="0015738A">
      <w:pPr>
        <w:pStyle w:val="NoSpacing"/>
      </w:pPr>
    </w:p>
    <w:p w:rsidR="008E3516" w:rsidRDefault="008E3516" w:rsidP="0015738A">
      <w:pPr>
        <w:pStyle w:val="NoSpacing"/>
      </w:pPr>
    </w:p>
    <w:p w:rsidR="008E3516" w:rsidRDefault="008E3516" w:rsidP="0015738A">
      <w:pPr>
        <w:pStyle w:val="NoSpacing"/>
      </w:pPr>
    </w:p>
    <w:p w:rsidR="008E3516" w:rsidRPr="008E3516" w:rsidRDefault="008E3516" w:rsidP="0015738A">
      <w:pPr>
        <w:pStyle w:val="NoSpacing"/>
        <w:rPr>
          <w:b/>
        </w:rPr>
      </w:pPr>
      <w:r w:rsidRPr="008E3516">
        <w:rPr>
          <w:b/>
        </w:rPr>
        <w:t>PART TWO</w:t>
      </w:r>
    </w:p>
    <w:p w:rsidR="008E3516" w:rsidRPr="008E3516" w:rsidRDefault="008E3516" w:rsidP="0015738A">
      <w:pPr>
        <w:pStyle w:val="NoSpacing"/>
        <w:rPr>
          <w:b/>
        </w:rPr>
      </w:pPr>
      <w:r w:rsidRPr="008E3516">
        <w:rPr>
          <w:b/>
        </w:rPr>
        <w:t>INVITATION TO TENDER</w:t>
      </w:r>
    </w:p>
    <w:p w:rsidR="00FB706A" w:rsidRDefault="00FB706A" w:rsidP="0015738A">
      <w:pPr>
        <w:pStyle w:val="NoSpacing"/>
        <w:rPr>
          <w:b/>
        </w:rPr>
      </w:pPr>
    </w:p>
    <w:p w:rsidR="008E3516" w:rsidRPr="008E3516" w:rsidRDefault="00011647" w:rsidP="0015738A">
      <w:pPr>
        <w:pStyle w:val="NoSpacing"/>
        <w:rPr>
          <w:b/>
        </w:rPr>
      </w:pPr>
      <w:r>
        <w:rPr>
          <w:b/>
        </w:rPr>
        <w:t>Section 1.</w:t>
      </w:r>
      <w:r>
        <w:rPr>
          <w:b/>
        </w:rPr>
        <w:tab/>
      </w:r>
      <w:r w:rsidR="008E3516" w:rsidRPr="008E3516">
        <w:rPr>
          <w:b/>
        </w:rPr>
        <w:t xml:space="preserve">Cleaning Standards </w:t>
      </w:r>
      <w:r w:rsidR="00550039" w:rsidRPr="008E3516">
        <w:rPr>
          <w:b/>
        </w:rPr>
        <w:t>Specification</w:t>
      </w:r>
      <w:r w:rsidR="008E3516" w:rsidRPr="008E3516">
        <w:rPr>
          <w:b/>
        </w:rPr>
        <w:t xml:space="preserve"> table</w:t>
      </w:r>
    </w:p>
    <w:p w:rsidR="00721745" w:rsidRDefault="00721745" w:rsidP="00721745">
      <w:pPr>
        <w:pStyle w:val="NoSpacing"/>
        <w:rPr>
          <w:b/>
        </w:rPr>
      </w:pPr>
    </w:p>
    <w:tbl>
      <w:tblPr>
        <w:tblStyle w:val="TableGrid"/>
        <w:tblW w:w="0" w:type="auto"/>
        <w:tblLook w:val="04A0" w:firstRow="1" w:lastRow="0" w:firstColumn="1" w:lastColumn="0" w:noHBand="0" w:noVBand="1"/>
      </w:tblPr>
      <w:tblGrid>
        <w:gridCol w:w="2548"/>
        <w:gridCol w:w="2548"/>
        <w:gridCol w:w="2549"/>
        <w:gridCol w:w="2549"/>
      </w:tblGrid>
      <w:tr w:rsidR="005061EE" w:rsidTr="005061EE">
        <w:tc>
          <w:tcPr>
            <w:tcW w:w="2548" w:type="dxa"/>
          </w:tcPr>
          <w:p w:rsidR="005061EE" w:rsidRDefault="005061EE" w:rsidP="00721745">
            <w:pPr>
              <w:pStyle w:val="NoSpacing"/>
              <w:rPr>
                <w:b/>
              </w:rPr>
            </w:pPr>
          </w:p>
        </w:tc>
        <w:tc>
          <w:tcPr>
            <w:tcW w:w="2548" w:type="dxa"/>
          </w:tcPr>
          <w:p w:rsidR="005061EE" w:rsidRDefault="005061EE" w:rsidP="00721745">
            <w:pPr>
              <w:pStyle w:val="NoSpacing"/>
              <w:rPr>
                <w:b/>
              </w:rPr>
            </w:pPr>
            <w:r>
              <w:rPr>
                <w:b/>
              </w:rPr>
              <w:t xml:space="preserve">Acceptable on </w:t>
            </w:r>
            <w:r w:rsidR="0080050E">
              <w:rPr>
                <w:b/>
              </w:rPr>
              <w:t>Completion</w:t>
            </w:r>
            <w:r>
              <w:rPr>
                <w:b/>
              </w:rPr>
              <w:t xml:space="preserve"> of Task</w:t>
            </w:r>
          </w:p>
        </w:tc>
        <w:tc>
          <w:tcPr>
            <w:tcW w:w="2549" w:type="dxa"/>
          </w:tcPr>
          <w:p w:rsidR="005061EE" w:rsidRDefault="005061EE" w:rsidP="00721745">
            <w:pPr>
              <w:pStyle w:val="NoSpacing"/>
              <w:rPr>
                <w:b/>
              </w:rPr>
            </w:pPr>
            <w:r>
              <w:rPr>
                <w:b/>
              </w:rPr>
              <w:t>Unacceptable</w:t>
            </w:r>
          </w:p>
        </w:tc>
        <w:tc>
          <w:tcPr>
            <w:tcW w:w="2549" w:type="dxa"/>
          </w:tcPr>
          <w:p w:rsidR="005061EE" w:rsidRDefault="005061EE" w:rsidP="00721745">
            <w:pPr>
              <w:pStyle w:val="NoSpacing"/>
              <w:rPr>
                <w:b/>
              </w:rPr>
            </w:pPr>
            <w:r>
              <w:rPr>
                <w:b/>
              </w:rPr>
              <w:t xml:space="preserve">Acceptable Between </w:t>
            </w:r>
            <w:r w:rsidR="0080050E">
              <w:rPr>
                <w:b/>
              </w:rPr>
              <w:t>Cleaning</w:t>
            </w:r>
            <w:r>
              <w:rPr>
                <w:b/>
              </w:rPr>
              <w:t xml:space="preserve"> Tasks</w:t>
            </w:r>
          </w:p>
        </w:tc>
      </w:tr>
      <w:tr w:rsidR="005061EE" w:rsidTr="005061EE">
        <w:tc>
          <w:tcPr>
            <w:tcW w:w="2548" w:type="dxa"/>
          </w:tcPr>
          <w:p w:rsidR="005061EE" w:rsidRDefault="005061EE" w:rsidP="00721745">
            <w:pPr>
              <w:pStyle w:val="NoSpacing"/>
              <w:rPr>
                <w:b/>
              </w:rPr>
            </w:pPr>
            <w:r>
              <w:rPr>
                <w:b/>
              </w:rPr>
              <w:t>General</w:t>
            </w:r>
          </w:p>
        </w:tc>
        <w:tc>
          <w:tcPr>
            <w:tcW w:w="2548" w:type="dxa"/>
          </w:tcPr>
          <w:p w:rsidR="005061EE" w:rsidRDefault="005061EE" w:rsidP="00721745">
            <w:pPr>
              <w:pStyle w:val="NoSpacing"/>
              <w:rPr>
                <w:b/>
              </w:rPr>
            </w:pPr>
          </w:p>
        </w:tc>
        <w:tc>
          <w:tcPr>
            <w:tcW w:w="2549" w:type="dxa"/>
          </w:tcPr>
          <w:p w:rsidR="005061EE" w:rsidRDefault="005061EE" w:rsidP="00721745">
            <w:pPr>
              <w:pStyle w:val="NoSpacing"/>
              <w:rPr>
                <w:b/>
              </w:rPr>
            </w:pPr>
          </w:p>
        </w:tc>
        <w:tc>
          <w:tcPr>
            <w:tcW w:w="2549" w:type="dxa"/>
          </w:tcPr>
          <w:p w:rsidR="005061EE" w:rsidRDefault="005061EE" w:rsidP="00721745">
            <w:pPr>
              <w:pStyle w:val="NoSpacing"/>
              <w:rPr>
                <w:b/>
              </w:rPr>
            </w:pPr>
          </w:p>
        </w:tc>
      </w:tr>
      <w:tr w:rsidR="005061EE" w:rsidTr="005061EE">
        <w:tc>
          <w:tcPr>
            <w:tcW w:w="2548" w:type="dxa"/>
          </w:tcPr>
          <w:p w:rsidR="005061EE" w:rsidRPr="00B9448D" w:rsidRDefault="005061EE" w:rsidP="00721745">
            <w:pPr>
              <w:pStyle w:val="NoSpacing"/>
            </w:pPr>
            <w:r w:rsidRPr="00B9448D">
              <w:t>Removal of Loose debris</w:t>
            </w:r>
          </w:p>
        </w:tc>
        <w:tc>
          <w:tcPr>
            <w:tcW w:w="2548" w:type="dxa"/>
          </w:tcPr>
          <w:p w:rsidR="005061EE" w:rsidRPr="00B9448D" w:rsidRDefault="005061EE" w:rsidP="00721745">
            <w:pPr>
              <w:pStyle w:val="NoSpacing"/>
            </w:pPr>
            <w:r w:rsidRPr="00B9448D">
              <w:t>Free form litter, debris, dust and loose foreign matter</w:t>
            </w:r>
          </w:p>
        </w:tc>
        <w:tc>
          <w:tcPr>
            <w:tcW w:w="2549" w:type="dxa"/>
          </w:tcPr>
          <w:p w:rsidR="005061EE" w:rsidRPr="00B9448D" w:rsidRDefault="005061EE" w:rsidP="00721745">
            <w:pPr>
              <w:pStyle w:val="NoSpacing"/>
            </w:pPr>
            <w:r w:rsidRPr="00B9448D">
              <w:t>Build-up of litter, debris, dust and foreign matter</w:t>
            </w:r>
          </w:p>
        </w:tc>
        <w:tc>
          <w:tcPr>
            <w:tcW w:w="2549" w:type="dxa"/>
          </w:tcPr>
          <w:p w:rsidR="005061EE" w:rsidRPr="00B9448D" w:rsidRDefault="005061EE" w:rsidP="00721745">
            <w:pPr>
              <w:pStyle w:val="NoSpacing"/>
            </w:pPr>
            <w:r w:rsidRPr="00B9448D">
              <w:t>Debris arising from usage between cleans</w:t>
            </w:r>
          </w:p>
        </w:tc>
      </w:tr>
      <w:tr w:rsidR="005061EE" w:rsidTr="005061EE">
        <w:tc>
          <w:tcPr>
            <w:tcW w:w="2548" w:type="dxa"/>
          </w:tcPr>
          <w:p w:rsidR="005061EE" w:rsidRPr="00B9448D" w:rsidRDefault="00B9448D" w:rsidP="00721745">
            <w:pPr>
              <w:pStyle w:val="NoSpacing"/>
            </w:pPr>
            <w:r w:rsidRPr="00B9448D">
              <w:t>Removal of impacted debris</w:t>
            </w:r>
          </w:p>
        </w:tc>
        <w:tc>
          <w:tcPr>
            <w:tcW w:w="2548" w:type="dxa"/>
          </w:tcPr>
          <w:p w:rsidR="005061EE" w:rsidRPr="00B9448D" w:rsidRDefault="00B9448D" w:rsidP="00721745">
            <w:pPr>
              <w:pStyle w:val="NoSpacing"/>
            </w:pPr>
            <w:r w:rsidRPr="00B9448D">
              <w:t>Free from impacted debris e.g. chewing gum, labels etc.</w:t>
            </w:r>
          </w:p>
        </w:tc>
        <w:tc>
          <w:tcPr>
            <w:tcW w:w="2549" w:type="dxa"/>
          </w:tcPr>
          <w:p w:rsidR="005061EE" w:rsidRPr="00B9448D" w:rsidRDefault="00B9448D" w:rsidP="00BF74BA">
            <w:pPr>
              <w:pStyle w:val="NoSpacing"/>
            </w:pPr>
            <w:r w:rsidRPr="00B9448D">
              <w:t>Build-</w:t>
            </w:r>
            <w:r w:rsidR="0080050E" w:rsidRPr="00B9448D">
              <w:t>up</w:t>
            </w:r>
            <w:r w:rsidRPr="00B9448D">
              <w:t xml:space="preserve"> o</w:t>
            </w:r>
            <w:r w:rsidR="00BF74BA">
              <w:t>f</w:t>
            </w:r>
            <w:r w:rsidRPr="00B9448D">
              <w:t xml:space="preserve"> impacted debris</w:t>
            </w:r>
          </w:p>
        </w:tc>
        <w:tc>
          <w:tcPr>
            <w:tcW w:w="2549" w:type="dxa"/>
          </w:tcPr>
          <w:p w:rsidR="005061EE" w:rsidRPr="00B9448D" w:rsidRDefault="00B9448D" w:rsidP="00721745">
            <w:pPr>
              <w:pStyle w:val="NoSpacing"/>
            </w:pPr>
            <w:r w:rsidRPr="00B9448D">
              <w:t xml:space="preserve">Debris arising from </w:t>
            </w:r>
            <w:r w:rsidR="0080050E" w:rsidRPr="00B9448D">
              <w:t>usage</w:t>
            </w:r>
            <w:r w:rsidRPr="00B9448D">
              <w:t xml:space="preserve"> between cleans</w:t>
            </w:r>
          </w:p>
        </w:tc>
      </w:tr>
      <w:tr w:rsidR="005061EE" w:rsidTr="005061EE">
        <w:tc>
          <w:tcPr>
            <w:tcW w:w="2548" w:type="dxa"/>
          </w:tcPr>
          <w:p w:rsidR="005061EE" w:rsidRDefault="00B9448D" w:rsidP="00721745">
            <w:pPr>
              <w:pStyle w:val="NoSpacing"/>
              <w:rPr>
                <w:b/>
              </w:rPr>
            </w:pPr>
            <w:r>
              <w:rPr>
                <w:b/>
              </w:rPr>
              <w:t>Hard Floors</w:t>
            </w:r>
          </w:p>
        </w:tc>
        <w:tc>
          <w:tcPr>
            <w:tcW w:w="2548" w:type="dxa"/>
          </w:tcPr>
          <w:p w:rsidR="005061EE" w:rsidRDefault="005061EE" w:rsidP="00721745">
            <w:pPr>
              <w:pStyle w:val="NoSpacing"/>
              <w:rPr>
                <w:b/>
              </w:rPr>
            </w:pPr>
          </w:p>
        </w:tc>
        <w:tc>
          <w:tcPr>
            <w:tcW w:w="2549" w:type="dxa"/>
          </w:tcPr>
          <w:p w:rsidR="005061EE" w:rsidRDefault="005061EE" w:rsidP="00721745">
            <w:pPr>
              <w:pStyle w:val="NoSpacing"/>
              <w:rPr>
                <w:b/>
              </w:rPr>
            </w:pPr>
          </w:p>
        </w:tc>
        <w:tc>
          <w:tcPr>
            <w:tcW w:w="2549" w:type="dxa"/>
          </w:tcPr>
          <w:p w:rsidR="005061EE" w:rsidRDefault="005061EE" w:rsidP="00721745">
            <w:pPr>
              <w:pStyle w:val="NoSpacing"/>
              <w:rPr>
                <w:b/>
              </w:rPr>
            </w:pPr>
          </w:p>
        </w:tc>
      </w:tr>
      <w:tr w:rsidR="00B9448D" w:rsidTr="005061EE">
        <w:tc>
          <w:tcPr>
            <w:tcW w:w="2548" w:type="dxa"/>
          </w:tcPr>
          <w:p w:rsidR="00B9448D" w:rsidRPr="00B9448D" w:rsidRDefault="00B9448D" w:rsidP="00721745">
            <w:pPr>
              <w:pStyle w:val="NoSpacing"/>
            </w:pPr>
            <w:r w:rsidRPr="00B9448D">
              <w:t>Spot mop</w:t>
            </w:r>
          </w:p>
        </w:tc>
        <w:tc>
          <w:tcPr>
            <w:tcW w:w="2548" w:type="dxa"/>
          </w:tcPr>
          <w:p w:rsidR="00B9448D" w:rsidRPr="00B9448D" w:rsidRDefault="00B9448D" w:rsidP="00721745">
            <w:pPr>
              <w:pStyle w:val="NoSpacing"/>
            </w:pPr>
            <w:r w:rsidRPr="00B9448D">
              <w:t xml:space="preserve">Dry and free from spillages, </w:t>
            </w:r>
            <w:r w:rsidR="0080050E" w:rsidRPr="00B9448D">
              <w:t>removable</w:t>
            </w:r>
            <w:r w:rsidRPr="00B9448D">
              <w:t xml:space="preserve"> stains, superficial marks and loose debris</w:t>
            </w:r>
          </w:p>
        </w:tc>
        <w:tc>
          <w:tcPr>
            <w:tcW w:w="2549" w:type="dxa"/>
          </w:tcPr>
          <w:p w:rsidR="00B9448D" w:rsidRPr="00B9448D" w:rsidRDefault="00B9448D" w:rsidP="00721745">
            <w:pPr>
              <w:pStyle w:val="NoSpacing"/>
            </w:pPr>
            <w:r w:rsidRPr="00B9448D">
              <w:t>Build-up of spillages, removable stains, superficial marks and loose debris.  Having a non-</w:t>
            </w:r>
            <w:r w:rsidR="0080050E" w:rsidRPr="00B9448D">
              <w:t>uniform</w:t>
            </w:r>
            <w:r w:rsidRPr="00B9448D">
              <w:t xml:space="preserve"> finish</w:t>
            </w:r>
          </w:p>
        </w:tc>
        <w:tc>
          <w:tcPr>
            <w:tcW w:w="2549" w:type="dxa"/>
          </w:tcPr>
          <w:p w:rsidR="00B9448D" w:rsidRPr="00B9448D" w:rsidRDefault="00B9448D" w:rsidP="00721745">
            <w:pPr>
              <w:pStyle w:val="NoSpacing"/>
            </w:pPr>
            <w:r w:rsidRPr="00B9448D">
              <w:t>Debris and spillages arising from usage between cleans</w:t>
            </w:r>
          </w:p>
        </w:tc>
      </w:tr>
      <w:tr w:rsidR="00B9448D" w:rsidTr="005061EE">
        <w:tc>
          <w:tcPr>
            <w:tcW w:w="2548" w:type="dxa"/>
          </w:tcPr>
          <w:p w:rsidR="00B9448D" w:rsidRPr="00B9448D" w:rsidRDefault="00B9448D" w:rsidP="00721745">
            <w:pPr>
              <w:pStyle w:val="NoSpacing"/>
            </w:pPr>
            <w:r w:rsidRPr="00B9448D">
              <w:t>Full mop</w:t>
            </w:r>
          </w:p>
        </w:tc>
        <w:tc>
          <w:tcPr>
            <w:tcW w:w="2548" w:type="dxa"/>
          </w:tcPr>
          <w:p w:rsidR="00B9448D" w:rsidRPr="00B9448D" w:rsidRDefault="00B9448D" w:rsidP="00721745">
            <w:pPr>
              <w:pStyle w:val="NoSpacing"/>
            </w:pPr>
            <w:r w:rsidRPr="00B9448D">
              <w:t xml:space="preserve">Has uniformed appearance and is dry and free from </w:t>
            </w:r>
            <w:r w:rsidR="0080050E" w:rsidRPr="00B9448D">
              <w:t>spillages</w:t>
            </w:r>
            <w:r w:rsidRPr="00B9448D">
              <w:t>, removable stains, superficial marks and loose debris</w:t>
            </w:r>
          </w:p>
        </w:tc>
        <w:tc>
          <w:tcPr>
            <w:tcW w:w="2549" w:type="dxa"/>
          </w:tcPr>
          <w:p w:rsidR="00B9448D" w:rsidRPr="00B9448D" w:rsidRDefault="00B9448D" w:rsidP="00721745">
            <w:pPr>
              <w:pStyle w:val="NoSpacing"/>
            </w:pPr>
            <w:r w:rsidRPr="00B9448D">
              <w:t xml:space="preserve">Build-up of spillages, </w:t>
            </w:r>
            <w:r w:rsidR="0080050E" w:rsidRPr="00B9448D">
              <w:t>removable</w:t>
            </w:r>
            <w:r w:rsidRPr="00B9448D">
              <w:t xml:space="preserve"> stains, superficial marks and loose debris.  </w:t>
            </w:r>
            <w:r w:rsidR="0080050E" w:rsidRPr="00B9448D">
              <w:t>Having</w:t>
            </w:r>
            <w:r w:rsidRPr="00B9448D">
              <w:t xml:space="preserve"> a non-uniform finish.</w:t>
            </w:r>
          </w:p>
        </w:tc>
        <w:tc>
          <w:tcPr>
            <w:tcW w:w="2549" w:type="dxa"/>
          </w:tcPr>
          <w:p w:rsidR="00B9448D" w:rsidRPr="00B9448D" w:rsidRDefault="00B9448D" w:rsidP="00721745">
            <w:pPr>
              <w:pStyle w:val="NoSpacing"/>
            </w:pPr>
            <w:r w:rsidRPr="00B9448D">
              <w:t>Debris and spillages arising from usage between cleans</w:t>
            </w:r>
          </w:p>
        </w:tc>
      </w:tr>
      <w:tr w:rsidR="00B9448D" w:rsidTr="005061EE">
        <w:tc>
          <w:tcPr>
            <w:tcW w:w="2548" w:type="dxa"/>
          </w:tcPr>
          <w:p w:rsidR="00B9448D" w:rsidRPr="00B9448D" w:rsidRDefault="00B9448D" w:rsidP="00721745">
            <w:pPr>
              <w:pStyle w:val="NoSpacing"/>
            </w:pPr>
            <w:r w:rsidRPr="00B9448D">
              <w:t>Scrub</w:t>
            </w:r>
          </w:p>
        </w:tc>
        <w:tc>
          <w:tcPr>
            <w:tcW w:w="2548" w:type="dxa"/>
          </w:tcPr>
          <w:p w:rsidR="00B9448D" w:rsidRPr="00B9448D" w:rsidRDefault="00B9448D" w:rsidP="00721745">
            <w:pPr>
              <w:pStyle w:val="NoSpacing"/>
            </w:pPr>
            <w:r w:rsidRPr="00B9448D">
              <w:t xml:space="preserve">Dry and free from </w:t>
            </w:r>
            <w:r w:rsidR="0080050E" w:rsidRPr="00B9448D">
              <w:t>removable</w:t>
            </w:r>
            <w:r w:rsidRPr="00B9448D">
              <w:t xml:space="preserve"> stains, spillages, ingrained dirt, scuff marks and impacted debris.  Of uniform appearance.</w:t>
            </w:r>
          </w:p>
        </w:tc>
        <w:tc>
          <w:tcPr>
            <w:tcW w:w="2549" w:type="dxa"/>
          </w:tcPr>
          <w:p w:rsidR="00B9448D" w:rsidRPr="00B9448D" w:rsidRDefault="00B9448D" w:rsidP="00721745">
            <w:pPr>
              <w:pStyle w:val="NoSpacing"/>
            </w:pPr>
            <w:r w:rsidRPr="00B9448D">
              <w:t xml:space="preserve">Build-up of </w:t>
            </w:r>
            <w:r w:rsidR="0080050E" w:rsidRPr="00B9448D">
              <w:t>removable</w:t>
            </w:r>
            <w:r w:rsidRPr="00B9448D">
              <w:t xml:space="preserve"> stains, spillages, ingrained dirt, scuff marks and impacted debris.  Of non-uniform appearance</w:t>
            </w:r>
          </w:p>
        </w:tc>
        <w:tc>
          <w:tcPr>
            <w:tcW w:w="2549" w:type="dxa"/>
          </w:tcPr>
          <w:p w:rsidR="00B9448D" w:rsidRPr="00B9448D" w:rsidRDefault="00B9448D" w:rsidP="00B9448D">
            <w:pPr>
              <w:pStyle w:val="NoSpacing"/>
            </w:pPr>
            <w:r w:rsidRPr="00B9448D">
              <w:t>Debris and scuff marks arising from usage between cleans</w:t>
            </w:r>
          </w:p>
        </w:tc>
      </w:tr>
      <w:tr w:rsidR="00B9448D" w:rsidTr="005061EE">
        <w:tc>
          <w:tcPr>
            <w:tcW w:w="2548" w:type="dxa"/>
          </w:tcPr>
          <w:p w:rsidR="00B9448D" w:rsidRPr="00B9448D" w:rsidRDefault="00B9448D" w:rsidP="00721745">
            <w:pPr>
              <w:pStyle w:val="NoSpacing"/>
            </w:pPr>
            <w:r w:rsidRPr="00B9448D">
              <w:t>Burnish/polish</w:t>
            </w:r>
          </w:p>
        </w:tc>
        <w:tc>
          <w:tcPr>
            <w:tcW w:w="2548" w:type="dxa"/>
          </w:tcPr>
          <w:p w:rsidR="00B9448D" w:rsidRPr="00B9448D" w:rsidRDefault="00B9448D" w:rsidP="00B9448D">
            <w:pPr>
              <w:pStyle w:val="NoSpacing"/>
            </w:pPr>
            <w:r w:rsidRPr="00B9448D">
              <w:t xml:space="preserve">Dry and free from </w:t>
            </w:r>
            <w:r w:rsidR="0080050E" w:rsidRPr="00B9448D">
              <w:t>removable</w:t>
            </w:r>
            <w:r w:rsidRPr="00B9448D">
              <w:t xml:space="preserve"> stains, spillages, scuff marks and debris.  Has even sheen.</w:t>
            </w:r>
          </w:p>
        </w:tc>
        <w:tc>
          <w:tcPr>
            <w:tcW w:w="2549" w:type="dxa"/>
          </w:tcPr>
          <w:p w:rsidR="00B9448D" w:rsidRPr="00B9448D" w:rsidRDefault="00B9448D" w:rsidP="00721745">
            <w:pPr>
              <w:pStyle w:val="NoSpacing"/>
            </w:pPr>
            <w:r w:rsidRPr="00B9448D">
              <w:t>Non-uniform appearance, build-up of removable stains, spillages, loose debris and scuff marks.</w:t>
            </w:r>
          </w:p>
        </w:tc>
        <w:tc>
          <w:tcPr>
            <w:tcW w:w="2549" w:type="dxa"/>
          </w:tcPr>
          <w:p w:rsidR="00B9448D" w:rsidRPr="00B9448D" w:rsidRDefault="00B9448D" w:rsidP="00B9448D">
            <w:pPr>
              <w:pStyle w:val="NoSpacing"/>
            </w:pPr>
            <w:r w:rsidRPr="00B9448D">
              <w:t>Debris and scuff marks arising from usage between cleans</w:t>
            </w:r>
          </w:p>
        </w:tc>
      </w:tr>
      <w:tr w:rsidR="00B9448D" w:rsidTr="005061EE">
        <w:tc>
          <w:tcPr>
            <w:tcW w:w="2548" w:type="dxa"/>
          </w:tcPr>
          <w:p w:rsidR="00B9448D" w:rsidRPr="00B9448D" w:rsidRDefault="00B9448D" w:rsidP="00721745">
            <w:pPr>
              <w:pStyle w:val="NoSpacing"/>
              <w:rPr>
                <w:b/>
              </w:rPr>
            </w:pPr>
            <w:r w:rsidRPr="00B9448D">
              <w:rPr>
                <w:b/>
              </w:rPr>
              <w:t>Soft Floors</w:t>
            </w:r>
          </w:p>
        </w:tc>
        <w:tc>
          <w:tcPr>
            <w:tcW w:w="2548" w:type="dxa"/>
          </w:tcPr>
          <w:p w:rsidR="00B9448D" w:rsidRPr="00B9448D" w:rsidRDefault="00B9448D" w:rsidP="00B9448D">
            <w:pPr>
              <w:pStyle w:val="NoSpacing"/>
            </w:pPr>
          </w:p>
        </w:tc>
        <w:tc>
          <w:tcPr>
            <w:tcW w:w="2549" w:type="dxa"/>
          </w:tcPr>
          <w:p w:rsidR="00B9448D" w:rsidRPr="00B9448D" w:rsidRDefault="00B9448D" w:rsidP="00721745">
            <w:pPr>
              <w:pStyle w:val="NoSpacing"/>
            </w:pPr>
          </w:p>
        </w:tc>
        <w:tc>
          <w:tcPr>
            <w:tcW w:w="2549" w:type="dxa"/>
          </w:tcPr>
          <w:p w:rsidR="00B9448D" w:rsidRPr="00B9448D" w:rsidRDefault="00B9448D" w:rsidP="00B9448D">
            <w:pPr>
              <w:pStyle w:val="NoSpacing"/>
            </w:pPr>
          </w:p>
        </w:tc>
      </w:tr>
      <w:tr w:rsidR="00B9448D" w:rsidTr="005061EE">
        <w:tc>
          <w:tcPr>
            <w:tcW w:w="2548" w:type="dxa"/>
          </w:tcPr>
          <w:p w:rsidR="00B9448D" w:rsidRPr="00FB706A" w:rsidRDefault="00B9448D" w:rsidP="00721745">
            <w:pPr>
              <w:pStyle w:val="NoSpacing"/>
            </w:pPr>
            <w:r w:rsidRPr="00FB706A">
              <w:t>Spot Clean</w:t>
            </w:r>
          </w:p>
        </w:tc>
        <w:tc>
          <w:tcPr>
            <w:tcW w:w="2548" w:type="dxa"/>
          </w:tcPr>
          <w:p w:rsidR="00B9448D" w:rsidRPr="00B9448D" w:rsidRDefault="00B9448D" w:rsidP="00B9448D">
            <w:pPr>
              <w:pStyle w:val="NoSpacing"/>
            </w:pPr>
            <w:r>
              <w:t>Free from visible loose debris, dust, fluff and lint, removable stains and matter.</w:t>
            </w:r>
          </w:p>
        </w:tc>
        <w:tc>
          <w:tcPr>
            <w:tcW w:w="2549" w:type="dxa"/>
          </w:tcPr>
          <w:p w:rsidR="00B9448D" w:rsidRPr="00B9448D" w:rsidRDefault="00FB706A" w:rsidP="00FB706A">
            <w:pPr>
              <w:pStyle w:val="NoSpacing"/>
            </w:pPr>
            <w:r>
              <w:t xml:space="preserve">Build-up of debris, dust, fluff, lint stains and matter.  </w:t>
            </w:r>
            <w:r w:rsidR="0080050E">
              <w:t>Accumulation</w:t>
            </w:r>
            <w:r>
              <w:t xml:space="preserve"> of the above around soft </w:t>
            </w:r>
            <w:r>
              <w:lastRenderedPageBreak/>
              <w:t>floor edges and bases of furniture.</w:t>
            </w:r>
          </w:p>
        </w:tc>
        <w:tc>
          <w:tcPr>
            <w:tcW w:w="2549" w:type="dxa"/>
          </w:tcPr>
          <w:p w:rsidR="00B9448D" w:rsidRPr="00B9448D" w:rsidRDefault="00FB706A" w:rsidP="00B9448D">
            <w:pPr>
              <w:pStyle w:val="NoSpacing"/>
            </w:pPr>
            <w:r>
              <w:lastRenderedPageBreak/>
              <w:t>Debris arising from usage between cleans.</w:t>
            </w:r>
          </w:p>
        </w:tc>
      </w:tr>
      <w:tr w:rsidR="00FB706A" w:rsidTr="005061EE">
        <w:tc>
          <w:tcPr>
            <w:tcW w:w="2548" w:type="dxa"/>
          </w:tcPr>
          <w:p w:rsidR="00FB706A" w:rsidRPr="00FB706A" w:rsidRDefault="00FB706A" w:rsidP="00721745">
            <w:pPr>
              <w:pStyle w:val="NoSpacing"/>
            </w:pPr>
            <w:r>
              <w:lastRenderedPageBreak/>
              <w:t>Full suction clean</w:t>
            </w:r>
          </w:p>
        </w:tc>
        <w:tc>
          <w:tcPr>
            <w:tcW w:w="2548" w:type="dxa"/>
          </w:tcPr>
          <w:p w:rsidR="00FB706A" w:rsidRDefault="00FB706A" w:rsidP="00B9448D">
            <w:pPr>
              <w:pStyle w:val="NoSpacing"/>
            </w:pPr>
            <w:r>
              <w:t>Free from visible loose debris, dust, fluff and lint.  Overall even appearance.</w:t>
            </w:r>
          </w:p>
        </w:tc>
        <w:tc>
          <w:tcPr>
            <w:tcW w:w="2549" w:type="dxa"/>
          </w:tcPr>
          <w:p w:rsidR="00FB706A" w:rsidRDefault="00FB706A" w:rsidP="00FB706A">
            <w:pPr>
              <w:pStyle w:val="NoSpacing"/>
            </w:pPr>
            <w:r>
              <w:t xml:space="preserve">Build-up of </w:t>
            </w:r>
            <w:r w:rsidR="0080050E">
              <w:t>removable</w:t>
            </w:r>
            <w:r>
              <w:t xml:space="preserve"> debris, dust, fluff and lint. </w:t>
            </w:r>
            <w:r w:rsidR="0080050E">
              <w:t>Accumulation</w:t>
            </w:r>
            <w:r>
              <w:t xml:space="preserve"> of the above around soft floor edges and bases of furniture.</w:t>
            </w:r>
          </w:p>
        </w:tc>
        <w:tc>
          <w:tcPr>
            <w:tcW w:w="2549" w:type="dxa"/>
          </w:tcPr>
          <w:p w:rsidR="00FB706A" w:rsidRDefault="00FB706A" w:rsidP="00B9448D">
            <w:pPr>
              <w:pStyle w:val="NoSpacing"/>
            </w:pPr>
            <w:r>
              <w:t>Debris arising from usage between cleans.</w:t>
            </w:r>
          </w:p>
        </w:tc>
      </w:tr>
      <w:tr w:rsidR="00FB706A" w:rsidTr="005061EE">
        <w:tc>
          <w:tcPr>
            <w:tcW w:w="2548" w:type="dxa"/>
          </w:tcPr>
          <w:p w:rsidR="00FB706A" w:rsidRDefault="00FB706A" w:rsidP="00721745">
            <w:pPr>
              <w:pStyle w:val="NoSpacing"/>
            </w:pPr>
            <w:r>
              <w:t>Deep clean</w:t>
            </w:r>
          </w:p>
        </w:tc>
        <w:tc>
          <w:tcPr>
            <w:tcW w:w="2548" w:type="dxa"/>
          </w:tcPr>
          <w:p w:rsidR="00FB706A" w:rsidRDefault="00FB706A" w:rsidP="00B9448D">
            <w:pPr>
              <w:pStyle w:val="NoSpacing"/>
            </w:pPr>
            <w:r>
              <w:t>Free from impacted debris, dust and lint.  Overall bright appearance.  Free from removable stains.  Odour free.</w:t>
            </w:r>
          </w:p>
        </w:tc>
        <w:tc>
          <w:tcPr>
            <w:tcW w:w="2549" w:type="dxa"/>
          </w:tcPr>
          <w:p w:rsidR="00FB706A" w:rsidRDefault="00FB706A" w:rsidP="00FB706A">
            <w:pPr>
              <w:pStyle w:val="NoSpacing"/>
            </w:pPr>
            <w:r>
              <w:t xml:space="preserve">Build-up of impacted and loose debris, </w:t>
            </w:r>
            <w:r w:rsidR="0080050E">
              <w:t>removable</w:t>
            </w:r>
            <w:r>
              <w:t xml:space="preserve"> stains.  Unacceptable odour.</w:t>
            </w:r>
          </w:p>
        </w:tc>
        <w:tc>
          <w:tcPr>
            <w:tcW w:w="2549" w:type="dxa"/>
          </w:tcPr>
          <w:p w:rsidR="00FB706A" w:rsidRDefault="00FB706A" w:rsidP="00B9448D">
            <w:pPr>
              <w:pStyle w:val="NoSpacing"/>
            </w:pPr>
            <w:r>
              <w:t>Debris arising from usage between cleans.</w:t>
            </w:r>
          </w:p>
        </w:tc>
      </w:tr>
      <w:tr w:rsidR="00FB706A" w:rsidTr="005061EE">
        <w:tc>
          <w:tcPr>
            <w:tcW w:w="2548" w:type="dxa"/>
          </w:tcPr>
          <w:p w:rsidR="00FB706A" w:rsidRPr="00FB706A" w:rsidRDefault="00FB706A" w:rsidP="00721745">
            <w:pPr>
              <w:pStyle w:val="NoSpacing"/>
              <w:rPr>
                <w:b/>
              </w:rPr>
            </w:pPr>
            <w:r w:rsidRPr="00FB706A">
              <w:rPr>
                <w:b/>
              </w:rPr>
              <w:t>Vertical Surfaces and High Level</w:t>
            </w:r>
          </w:p>
        </w:tc>
        <w:tc>
          <w:tcPr>
            <w:tcW w:w="2548" w:type="dxa"/>
          </w:tcPr>
          <w:p w:rsidR="00FB706A" w:rsidRDefault="00FB706A" w:rsidP="00B9448D">
            <w:pPr>
              <w:pStyle w:val="NoSpacing"/>
            </w:pPr>
          </w:p>
        </w:tc>
        <w:tc>
          <w:tcPr>
            <w:tcW w:w="2549" w:type="dxa"/>
          </w:tcPr>
          <w:p w:rsidR="00FB706A" w:rsidRDefault="00FB706A" w:rsidP="00FB706A">
            <w:pPr>
              <w:pStyle w:val="NoSpacing"/>
            </w:pPr>
          </w:p>
        </w:tc>
        <w:tc>
          <w:tcPr>
            <w:tcW w:w="2549" w:type="dxa"/>
          </w:tcPr>
          <w:p w:rsidR="00FB706A" w:rsidRDefault="00FB706A" w:rsidP="00B9448D">
            <w:pPr>
              <w:pStyle w:val="NoSpacing"/>
            </w:pPr>
          </w:p>
        </w:tc>
      </w:tr>
      <w:tr w:rsidR="00FB706A" w:rsidTr="005061EE">
        <w:tc>
          <w:tcPr>
            <w:tcW w:w="2548" w:type="dxa"/>
          </w:tcPr>
          <w:p w:rsidR="00FB706A" w:rsidRDefault="00FB706A" w:rsidP="00721745">
            <w:pPr>
              <w:pStyle w:val="NoSpacing"/>
            </w:pPr>
            <w:r>
              <w:t>Dust</w:t>
            </w:r>
          </w:p>
        </w:tc>
        <w:tc>
          <w:tcPr>
            <w:tcW w:w="2548" w:type="dxa"/>
          </w:tcPr>
          <w:p w:rsidR="00FB706A" w:rsidRDefault="00FB706A" w:rsidP="00B9448D">
            <w:pPr>
              <w:pStyle w:val="NoSpacing"/>
            </w:pPr>
            <w:r>
              <w:t>Free from visible loose debris, dust and cobwebs</w:t>
            </w:r>
          </w:p>
        </w:tc>
        <w:tc>
          <w:tcPr>
            <w:tcW w:w="2549" w:type="dxa"/>
          </w:tcPr>
          <w:p w:rsidR="00FB706A" w:rsidRDefault="00FB706A" w:rsidP="00FB706A">
            <w:pPr>
              <w:pStyle w:val="NoSpacing"/>
            </w:pPr>
            <w:r>
              <w:t>Build-up of loose debris and dust on vertical surfaces and at points of contact with horizontal surfaces</w:t>
            </w:r>
          </w:p>
        </w:tc>
        <w:tc>
          <w:tcPr>
            <w:tcW w:w="2549" w:type="dxa"/>
          </w:tcPr>
          <w:p w:rsidR="00FB706A" w:rsidRDefault="00FB706A" w:rsidP="00B9448D">
            <w:pPr>
              <w:pStyle w:val="NoSpacing"/>
            </w:pPr>
            <w:r>
              <w:t>Debris and dust arising from usage between cleans.</w:t>
            </w:r>
          </w:p>
        </w:tc>
      </w:tr>
      <w:tr w:rsidR="00FB706A" w:rsidTr="005061EE">
        <w:tc>
          <w:tcPr>
            <w:tcW w:w="2548" w:type="dxa"/>
          </w:tcPr>
          <w:p w:rsidR="00FB706A" w:rsidRDefault="00FB706A" w:rsidP="00721745">
            <w:pPr>
              <w:pStyle w:val="NoSpacing"/>
            </w:pPr>
            <w:r>
              <w:t>Damp wipe / spot wash</w:t>
            </w:r>
          </w:p>
        </w:tc>
        <w:tc>
          <w:tcPr>
            <w:tcW w:w="2548" w:type="dxa"/>
          </w:tcPr>
          <w:p w:rsidR="00FB706A" w:rsidRDefault="00FB706A" w:rsidP="00FB706A">
            <w:pPr>
              <w:pStyle w:val="NoSpacing"/>
            </w:pPr>
            <w:r>
              <w:t>Free from impacted debris, dust, cobwebs and removable stains and graffiti</w:t>
            </w:r>
          </w:p>
        </w:tc>
        <w:tc>
          <w:tcPr>
            <w:tcW w:w="2549" w:type="dxa"/>
          </w:tcPr>
          <w:p w:rsidR="00FB706A" w:rsidRDefault="00FB706A" w:rsidP="00FB706A">
            <w:pPr>
              <w:pStyle w:val="NoSpacing"/>
            </w:pPr>
            <w:r>
              <w:t xml:space="preserve">Build-up of impacted debris, dust and </w:t>
            </w:r>
            <w:r w:rsidR="0080050E">
              <w:t>removable</w:t>
            </w:r>
            <w:r>
              <w:t xml:space="preserve"> stains on vertical surfaces.</w:t>
            </w:r>
          </w:p>
        </w:tc>
        <w:tc>
          <w:tcPr>
            <w:tcW w:w="2549" w:type="dxa"/>
          </w:tcPr>
          <w:p w:rsidR="00FB706A" w:rsidRDefault="00C536A8" w:rsidP="00C536A8">
            <w:pPr>
              <w:pStyle w:val="NoSpacing"/>
            </w:pPr>
            <w:r>
              <w:t>Debris, dust and stains arising from usage between cleans.</w:t>
            </w:r>
          </w:p>
        </w:tc>
      </w:tr>
      <w:tr w:rsidR="00C536A8" w:rsidTr="005061EE">
        <w:tc>
          <w:tcPr>
            <w:tcW w:w="2548" w:type="dxa"/>
          </w:tcPr>
          <w:p w:rsidR="00C536A8" w:rsidRDefault="00C536A8" w:rsidP="00721745">
            <w:pPr>
              <w:pStyle w:val="NoSpacing"/>
            </w:pPr>
            <w:r>
              <w:t>Damp wipe / full wash</w:t>
            </w:r>
          </w:p>
        </w:tc>
        <w:tc>
          <w:tcPr>
            <w:tcW w:w="2548" w:type="dxa"/>
          </w:tcPr>
          <w:p w:rsidR="00C536A8" w:rsidRDefault="00C536A8" w:rsidP="00FB706A">
            <w:pPr>
              <w:pStyle w:val="NoSpacing"/>
            </w:pPr>
            <w:r>
              <w:t>Free from impacted debris, dust, cobwebs and removable stains and graffiti.  Uniform appearance.</w:t>
            </w:r>
          </w:p>
        </w:tc>
        <w:tc>
          <w:tcPr>
            <w:tcW w:w="2549" w:type="dxa"/>
          </w:tcPr>
          <w:p w:rsidR="00C536A8" w:rsidRDefault="00C536A8" w:rsidP="00C536A8">
            <w:pPr>
              <w:pStyle w:val="NoSpacing"/>
            </w:pPr>
            <w:r>
              <w:t xml:space="preserve">Build-up of impacted debris and dust on vertical surfaces and at points of contact with horizontal surfaces.  Removable stains and smears still </w:t>
            </w:r>
            <w:r w:rsidR="0080050E">
              <w:t>visible</w:t>
            </w:r>
            <w:r>
              <w:t>.</w:t>
            </w:r>
          </w:p>
        </w:tc>
        <w:tc>
          <w:tcPr>
            <w:tcW w:w="2549" w:type="dxa"/>
          </w:tcPr>
          <w:p w:rsidR="00C536A8" w:rsidRDefault="00C536A8" w:rsidP="00C536A8">
            <w:pPr>
              <w:pStyle w:val="NoSpacing"/>
            </w:pPr>
            <w:r>
              <w:t>Debris, dust and stains arising from usage between cleans.</w:t>
            </w:r>
          </w:p>
        </w:tc>
      </w:tr>
      <w:tr w:rsidR="00C536A8" w:rsidTr="005061EE">
        <w:tc>
          <w:tcPr>
            <w:tcW w:w="2548" w:type="dxa"/>
          </w:tcPr>
          <w:p w:rsidR="00C536A8" w:rsidRPr="00C536A8" w:rsidRDefault="00C536A8" w:rsidP="00721745">
            <w:pPr>
              <w:pStyle w:val="NoSpacing"/>
              <w:rPr>
                <w:b/>
              </w:rPr>
            </w:pPr>
            <w:r w:rsidRPr="00C536A8">
              <w:rPr>
                <w:b/>
              </w:rPr>
              <w:t>Furniture, Fixtures and Fittings</w:t>
            </w:r>
          </w:p>
        </w:tc>
        <w:tc>
          <w:tcPr>
            <w:tcW w:w="2548" w:type="dxa"/>
          </w:tcPr>
          <w:p w:rsidR="00C536A8" w:rsidRDefault="00C536A8" w:rsidP="00FB706A">
            <w:pPr>
              <w:pStyle w:val="NoSpacing"/>
            </w:pPr>
          </w:p>
        </w:tc>
        <w:tc>
          <w:tcPr>
            <w:tcW w:w="2549" w:type="dxa"/>
          </w:tcPr>
          <w:p w:rsidR="00C536A8" w:rsidRDefault="00C536A8" w:rsidP="00C536A8">
            <w:pPr>
              <w:pStyle w:val="NoSpacing"/>
            </w:pPr>
          </w:p>
        </w:tc>
        <w:tc>
          <w:tcPr>
            <w:tcW w:w="2549" w:type="dxa"/>
          </w:tcPr>
          <w:p w:rsidR="00C536A8" w:rsidRDefault="00C536A8" w:rsidP="00C536A8">
            <w:pPr>
              <w:pStyle w:val="NoSpacing"/>
            </w:pPr>
          </w:p>
        </w:tc>
      </w:tr>
      <w:tr w:rsidR="00C536A8" w:rsidTr="005061EE">
        <w:tc>
          <w:tcPr>
            <w:tcW w:w="2548" w:type="dxa"/>
          </w:tcPr>
          <w:p w:rsidR="00C536A8" w:rsidRPr="0080050E" w:rsidRDefault="00C536A8" w:rsidP="00721745">
            <w:pPr>
              <w:pStyle w:val="NoSpacing"/>
            </w:pPr>
            <w:r w:rsidRPr="0080050E">
              <w:t>Dust</w:t>
            </w:r>
          </w:p>
        </w:tc>
        <w:tc>
          <w:tcPr>
            <w:tcW w:w="2548" w:type="dxa"/>
          </w:tcPr>
          <w:p w:rsidR="00C536A8" w:rsidRDefault="00C536A8" w:rsidP="00FB706A">
            <w:pPr>
              <w:pStyle w:val="NoSpacing"/>
            </w:pPr>
            <w:r>
              <w:t>Free from visible loose debris, dust and cobwebs</w:t>
            </w:r>
          </w:p>
        </w:tc>
        <w:tc>
          <w:tcPr>
            <w:tcW w:w="2549" w:type="dxa"/>
          </w:tcPr>
          <w:p w:rsidR="00C536A8" w:rsidRDefault="00C536A8" w:rsidP="00C536A8">
            <w:pPr>
              <w:pStyle w:val="NoSpacing"/>
            </w:pPr>
            <w:r>
              <w:t>Build-up of loose debris and dust on horizontal surfaces and at points of contact with vertical surfaces</w:t>
            </w:r>
          </w:p>
        </w:tc>
        <w:tc>
          <w:tcPr>
            <w:tcW w:w="2549" w:type="dxa"/>
          </w:tcPr>
          <w:p w:rsidR="00C536A8" w:rsidRDefault="00C536A8" w:rsidP="00C536A8">
            <w:pPr>
              <w:pStyle w:val="NoSpacing"/>
            </w:pPr>
            <w:r>
              <w:t>Debris and dust arising from usage between cleans.</w:t>
            </w:r>
          </w:p>
        </w:tc>
      </w:tr>
      <w:tr w:rsidR="00C536A8" w:rsidTr="0080050E">
        <w:trPr>
          <w:trHeight w:val="387"/>
        </w:trPr>
        <w:tc>
          <w:tcPr>
            <w:tcW w:w="2548" w:type="dxa"/>
          </w:tcPr>
          <w:p w:rsidR="00C536A8" w:rsidRPr="0080050E" w:rsidRDefault="00C536A8" w:rsidP="00721745">
            <w:pPr>
              <w:pStyle w:val="NoSpacing"/>
            </w:pPr>
            <w:r w:rsidRPr="0080050E">
              <w:t>Spot clean</w:t>
            </w:r>
          </w:p>
        </w:tc>
        <w:tc>
          <w:tcPr>
            <w:tcW w:w="2548" w:type="dxa"/>
          </w:tcPr>
          <w:p w:rsidR="00C536A8" w:rsidRDefault="00C536A8" w:rsidP="00FB706A">
            <w:pPr>
              <w:pStyle w:val="NoSpacing"/>
            </w:pPr>
            <w:r>
              <w:t>Free from impacted debris, removable stains and graffiti</w:t>
            </w:r>
          </w:p>
        </w:tc>
        <w:tc>
          <w:tcPr>
            <w:tcW w:w="2549" w:type="dxa"/>
          </w:tcPr>
          <w:p w:rsidR="00C536A8" w:rsidRDefault="00C536A8" w:rsidP="00C536A8">
            <w:pPr>
              <w:pStyle w:val="NoSpacing"/>
            </w:pPr>
            <w:r>
              <w:t xml:space="preserve">Build-up of impacted debris, dust and </w:t>
            </w:r>
            <w:r w:rsidR="0080050E">
              <w:t>removable</w:t>
            </w:r>
            <w:r>
              <w:t xml:space="preserve"> stains</w:t>
            </w:r>
          </w:p>
        </w:tc>
        <w:tc>
          <w:tcPr>
            <w:tcW w:w="2549" w:type="dxa"/>
          </w:tcPr>
          <w:p w:rsidR="00C536A8" w:rsidRDefault="00C536A8" w:rsidP="00C536A8">
            <w:pPr>
              <w:pStyle w:val="NoSpacing"/>
            </w:pPr>
            <w:r>
              <w:t>Debris, dust and stains arising from usage between cleans.</w:t>
            </w:r>
          </w:p>
        </w:tc>
      </w:tr>
      <w:tr w:rsidR="00C536A8" w:rsidTr="005061EE">
        <w:tc>
          <w:tcPr>
            <w:tcW w:w="2548" w:type="dxa"/>
          </w:tcPr>
          <w:p w:rsidR="00C536A8" w:rsidRPr="0080050E" w:rsidRDefault="00C536A8" w:rsidP="00C536A8">
            <w:pPr>
              <w:pStyle w:val="NoSpacing"/>
            </w:pPr>
            <w:r w:rsidRPr="0080050E">
              <w:lastRenderedPageBreak/>
              <w:t>Damp wipe / wash</w:t>
            </w:r>
          </w:p>
        </w:tc>
        <w:tc>
          <w:tcPr>
            <w:tcW w:w="2548" w:type="dxa"/>
          </w:tcPr>
          <w:p w:rsidR="00C536A8" w:rsidRDefault="00C536A8" w:rsidP="00C536A8">
            <w:pPr>
              <w:pStyle w:val="NoSpacing"/>
            </w:pPr>
            <w:r>
              <w:t>Free from impacted debris, dust, cobwebs and removable stains. Uniform appearance.</w:t>
            </w:r>
          </w:p>
        </w:tc>
        <w:tc>
          <w:tcPr>
            <w:tcW w:w="2549" w:type="dxa"/>
          </w:tcPr>
          <w:p w:rsidR="00C536A8" w:rsidRDefault="00C536A8" w:rsidP="00C536A8">
            <w:pPr>
              <w:pStyle w:val="NoSpacing"/>
            </w:pPr>
            <w:r>
              <w:t xml:space="preserve">Build-up of impacted debris and dust on vertical surfaces and at points of contact with horizontal surfaces.  Removable stains and smears still </w:t>
            </w:r>
            <w:r w:rsidR="0080050E">
              <w:t>visible</w:t>
            </w:r>
            <w:r>
              <w:t>.</w:t>
            </w:r>
          </w:p>
        </w:tc>
        <w:tc>
          <w:tcPr>
            <w:tcW w:w="2549" w:type="dxa"/>
          </w:tcPr>
          <w:p w:rsidR="00C536A8" w:rsidRDefault="00C536A8" w:rsidP="00C536A8">
            <w:pPr>
              <w:pStyle w:val="NoSpacing"/>
            </w:pPr>
            <w:r>
              <w:t>Debris, dust and stains arising from usage between cleans.</w:t>
            </w:r>
          </w:p>
        </w:tc>
      </w:tr>
      <w:tr w:rsidR="00C536A8" w:rsidTr="005061EE">
        <w:tc>
          <w:tcPr>
            <w:tcW w:w="2548" w:type="dxa"/>
          </w:tcPr>
          <w:p w:rsidR="00C536A8" w:rsidRPr="0080050E" w:rsidRDefault="00C536A8" w:rsidP="00C536A8">
            <w:pPr>
              <w:pStyle w:val="NoSpacing"/>
            </w:pPr>
            <w:r w:rsidRPr="0080050E">
              <w:t>Polish</w:t>
            </w:r>
          </w:p>
        </w:tc>
        <w:tc>
          <w:tcPr>
            <w:tcW w:w="2548" w:type="dxa"/>
          </w:tcPr>
          <w:p w:rsidR="00C536A8" w:rsidRPr="00B9448D" w:rsidRDefault="00C536A8" w:rsidP="00C536A8">
            <w:pPr>
              <w:pStyle w:val="NoSpacing"/>
            </w:pPr>
            <w:r w:rsidRPr="00B9448D">
              <w:t xml:space="preserve">Dry and free from </w:t>
            </w:r>
            <w:r w:rsidR="0080050E" w:rsidRPr="00B9448D">
              <w:t>removable</w:t>
            </w:r>
            <w:r w:rsidRPr="00B9448D">
              <w:t xml:space="preserve"> st</w:t>
            </w:r>
            <w:r>
              <w:t xml:space="preserve">ains, spillages </w:t>
            </w:r>
            <w:r w:rsidRPr="00B9448D">
              <w:t xml:space="preserve">and debris.  Has </w:t>
            </w:r>
            <w:r>
              <w:t xml:space="preserve">bright </w:t>
            </w:r>
            <w:r w:rsidRPr="00B9448D">
              <w:t>even sheen.</w:t>
            </w:r>
          </w:p>
        </w:tc>
        <w:tc>
          <w:tcPr>
            <w:tcW w:w="2549" w:type="dxa"/>
          </w:tcPr>
          <w:p w:rsidR="00C536A8" w:rsidRPr="00B9448D" w:rsidRDefault="00C536A8" w:rsidP="00C536A8">
            <w:pPr>
              <w:pStyle w:val="NoSpacing"/>
            </w:pPr>
            <w:r w:rsidRPr="00B9448D">
              <w:t xml:space="preserve">Non-uniform appearance, build-up of removable </w:t>
            </w:r>
            <w:r>
              <w:t>stains, spillages, loose debris, marks and excess polish.</w:t>
            </w:r>
          </w:p>
        </w:tc>
        <w:tc>
          <w:tcPr>
            <w:tcW w:w="2549" w:type="dxa"/>
          </w:tcPr>
          <w:p w:rsidR="00C536A8" w:rsidRPr="00B9448D" w:rsidRDefault="00C536A8" w:rsidP="00C536A8">
            <w:pPr>
              <w:pStyle w:val="NoSpacing"/>
            </w:pPr>
            <w:r>
              <w:t xml:space="preserve">Debris and </w:t>
            </w:r>
            <w:r w:rsidRPr="00B9448D">
              <w:t xml:space="preserve"> marks arising from usage between cleans</w:t>
            </w:r>
          </w:p>
        </w:tc>
      </w:tr>
      <w:tr w:rsidR="00C536A8" w:rsidTr="005061EE">
        <w:tc>
          <w:tcPr>
            <w:tcW w:w="2548" w:type="dxa"/>
          </w:tcPr>
          <w:p w:rsidR="00C536A8" w:rsidRDefault="00C536A8" w:rsidP="00C536A8">
            <w:pPr>
              <w:pStyle w:val="NoSpacing"/>
              <w:rPr>
                <w:b/>
              </w:rPr>
            </w:pPr>
            <w:r>
              <w:rPr>
                <w:b/>
              </w:rPr>
              <w:t xml:space="preserve">Sanitary </w:t>
            </w:r>
            <w:r w:rsidR="0080050E">
              <w:rPr>
                <w:b/>
              </w:rPr>
              <w:t>Fittings</w:t>
            </w:r>
          </w:p>
        </w:tc>
        <w:tc>
          <w:tcPr>
            <w:tcW w:w="2548" w:type="dxa"/>
          </w:tcPr>
          <w:p w:rsidR="00C536A8" w:rsidRPr="00B9448D" w:rsidRDefault="00C536A8" w:rsidP="00C536A8">
            <w:pPr>
              <w:pStyle w:val="NoSpacing"/>
            </w:pPr>
          </w:p>
        </w:tc>
        <w:tc>
          <w:tcPr>
            <w:tcW w:w="2549" w:type="dxa"/>
          </w:tcPr>
          <w:p w:rsidR="00C536A8" w:rsidRPr="00B9448D" w:rsidRDefault="00C536A8" w:rsidP="00C536A8">
            <w:pPr>
              <w:pStyle w:val="NoSpacing"/>
            </w:pPr>
          </w:p>
        </w:tc>
        <w:tc>
          <w:tcPr>
            <w:tcW w:w="2549" w:type="dxa"/>
          </w:tcPr>
          <w:p w:rsidR="00C536A8" w:rsidRDefault="00C536A8" w:rsidP="00C536A8">
            <w:pPr>
              <w:pStyle w:val="NoSpacing"/>
            </w:pPr>
          </w:p>
        </w:tc>
      </w:tr>
      <w:tr w:rsidR="00C536A8" w:rsidTr="005061EE">
        <w:tc>
          <w:tcPr>
            <w:tcW w:w="2548" w:type="dxa"/>
          </w:tcPr>
          <w:p w:rsidR="00C536A8" w:rsidRPr="0080050E" w:rsidRDefault="00C536A8" w:rsidP="00C536A8">
            <w:pPr>
              <w:pStyle w:val="NoSpacing"/>
            </w:pPr>
            <w:r w:rsidRPr="0080050E">
              <w:t>Damp wipe / wash</w:t>
            </w:r>
          </w:p>
        </w:tc>
        <w:tc>
          <w:tcPr>
            <w:tcW w:w="2548" w:type="dxa"/>
          </w:tcPr>
          <w:p w:rsidR="00C536A8" w:rsidRDefault="00C536A8" w:rsidP="00C536A8">
            <w:pPr>
              <w:pStyle w:val="NoSpacing"/>
            </w:pPr>
            <w:r>
              <w:t>Free from</w:t>
            </w:r>
            <w:r w:rsidR="0080050E">
              <w:t xml:space="preserve"> impacted debris, dust, </w:t>
            </w:r>
            <w:r>
              <w:t>removable stains</w:t>
            </w:r>
            <w:r w:rsidR="0080050E">
              <w:t>, body fats and fluids</w:t>
            </w:r>
            <w:r>
              <w:t>. Uniform appearance.</w:t>
            </w:r>
            <w:r w:rsidR="0080050E">
              <w:t xml:space="preserve"> Dry and odour free.</w:t>
            </w:r>
          </w:p>
        </w:tc>
        <w:tc>
          <w:tcPr>
            <w:tcW w:w="2549" w:type="dxa"/>
          </w:tcPr>
          <w:p w:rsidR="00C536A8" w:rsidRDefault="00C536A8" w:rsidP="0080050E">
            <w:pPr>
              <w:pStyle w:val="NoSpacing"/>
            </w:pPr>
            <w:r>
              <w:t>Build-up of impacted debris</w:t>
            </w:r>
            <w:r w:rsidR="0080050E">
              <w:t>,</w:t>
            </w:r>
            <w:r>
              <w:t xml:space="preserve"> dust</w:t>
            </w:r>
            <w:r w:rsidR="0080050E">
              <w:t xml:space="preserve"> and fats on all surfaces and</w:t>
            </w:r>
            <w:r>
              <w:t xml:space="preserve"> at points of contact with horizontal surfaces.  </w:t>
            </w:r>
            <w:r w:rsidR="0080050E">
              <w:t>Build-up of r</w:t>
            </w:r>
            <w:r>
              <w:t xml:space="preserve">emovable </w:t>
            </w:r>
            <w:r w:rsidR="0080050E">
              <w:t>stains and smears.</w:t>
            </w:r>
          </w:p>
        </w:tc>
        <w:tc>
          <w:tcPr>
            <w:tcW w:w="2549" w:type="dxa"/>
          </w:tcPr>
          <w:p w:rsidR="00C536A8" w:rsidRDefault="00C536A8" w:rsidP="00C536A8">
            <w:pPr>
              <w:pStyle w:val="NoSpacing"/>
            </w:pPr>
            <w:r>
              <w:t>Debris, dust and stains arising from usage between cleans.</w:t>
            </w:r>
            <w:r w:rsidR="0080050E">
              <w:t xml:space="preserve">  Residual odour.</w:t>
            </w:r>
          </w:p>
        </w:tc>
      </w:tr>
      <w:tr w:rsidR="0080050E" w:rsidTr="005061EE">
        <w:tc>
          <w:tcPr>
            <w:tcW w:w="2548" w:type="dxa"/>
          </w:tcPr>
          <w:p w:rsidR="0080050E" w:rsidRPr="0080050E" w:rsidRDefault="0080050E" w:rsidP="00C536A8">
            <w:pPr>
              <w:pStyle w:val="NoSpacing"/>
            </w:pPr>
            <w:r w:rsidRPr="0080050E">
              <w:t>Deep clean</w:t>
            </w:r>
          </w:p>
        </w:tc>
        <w:tc>
          <w:tcPr>
            <w:tcW w:w="2548" w:type="dxa"/>
          </w:tcPr>
          <w:p w:rsidR="0080050E" w:rsidRDefault="0080050E" w:rsidP="00C536A8">
            <w:pPr>
              <w:pStyle w:val="NoSpacing"/>
            </w:pPr>
            <w:r>
              <w:t>Free from impacted debris, dust, removable stains, b</w:t>
            </w:r>
            <w:r w:rsidR="00BF74BA">
              <w:t xml:space="preserve">ody fats and fluids, scale and </w:t>
            </w:r>
            <w:r w:rsidR="004E390E">
              <w:t>Verdigris</w:t>
            </w:r>
            <w:r>
              <w:t>. Uniform appearance. Dry and odour free.</w:t>
            </w:r>
          </w:p>
        </w:tc>
        <w:tc>
          <w:tcPr>
            <w:tcW w:w="2549" w:type="dxa"/>
          </w:tcPr>
          <w:p w:rsidR="0080050E" w:rsidRDefault="0080050E" w:rsidP="00BF74BA">
            <w:pPr>
              <w:pStyle w:val="NoSpacing"/>
            </w:pPr>
            <w:r>
              <w:t xml:space="preserve">Build-up of impacted debris, dust, fats, scale and </w:t>
            </w:r>
            <w:r w:rsidR="004E390E">
              <w:t>Verdigris</w:t>
            </w:r>
            <w:r>
              <w:t xml:space="preserve"> on all surfaces and at points of contacts with other surfaces. Build-up of removable stains and smears.</w:t>
            </w:r>
          </w:p>
        </w:tc>
        <w:tc>
          <w:tcPr>
            <w:tcW w:w="2549" w:type="dxa"/>
          </w:tcPr>
          <w:p w:rsidR="0080050E" w:rsidRDefault="0080050E" w:rsidP="00C536A8">
            <w:pPr>
              <w:pStyle w:val="NoSpacing"/>
            </w:pPr>
            <w:r>
              <w:t>Debris, dust and stains arising from usage between cleans.  Residual odour.</w:t>
            </w:r>
          </w:p>
        </w:tc>
      </w:tr>
    </w:tbl>
    <w:p w:rsidR="005061EE" w:rsidRDefault="005061EE" w:rsidP="00721745">
      <w:pPr>
        <w:pStyle w:val="NoSpacing"/>
        <w:rPr>
          <w:b/>
        </w:rPr>
      </w:pPr>
    </w:p>
    <w:p w:rsidR="008E3516" w:rsidRPr="00D26E7C" w:rsidRDefault="008E3516" w:rsidP="00721745">
      <w:pPr>
        <w:pStyle w:val="NoSpacing"/>
      </w:pPr>
    </w:p>
    <w:p w:rsidR="000D4BDB" w:rsidRDefault="00734253" w:rsidP="00721745">
      <w:pPr>
        <w:pStyle w:val="NoSpacing"/>
        <w:rPr>
          <w:b/>
        </w:rPr>
      </w:pPr>
      <w:r w:rsidRPr="00734253">
        <w:rPr>
          <w:b/>
        </w:rPr>
        <w:t xml:space="preserve">Schedule of </w:t>
      </w:r>
      <w:r w:rsidR="006F79F3" w:rsidRPr="00734253">
        <w:rPr>
          <w:b/>
        </w:rPr>
        <w:t>Cleaning</w:t>
      </w:r>
    </w:p>
    <w:p w:rsidR="000D4BDB" w:rsidRDefault="000D4BDB" w:rsidP="00721745">
      <w:pPr>
        <w:pStyle w:val="NoSpacing"/>
        <w:rPr>
          <w:b/>
        </w:rPr>
      </w:pPr>
    </w:p>
    <w:p w:rsidR="000D4BDB" w:rsidRPr="006F79F3" w:rsidRDefault="000D4BDB" w:rsidP="00721745">
      <w:pPr>
        <w:pStyle w:val="NoSpacing"/>
      </w:pPr>
      <w:r w:rsidRPr="006F79F3">
        <w:t xml:space="preserve">The cleaning service </w:t>
      </w:r>
      <w:r w:rsidR="006F79F3" w:rsidRPr="006F79F3">
        <w:t>is</w:t>
      </w:r>
      <w:r w:rsidRPr="006F79F3">
        <w:t xml:space="preserve"> required for a total of 39 weeks during a year.  38 weeks of which are during term time, with an additional week during the summer holiday period for a deep clean.</w:t>
      </w:r>
    </w:p>
    <w:p w:rsidR="000D4BDB" w:rsidRPr="006F79F3" w:rsidRDefault="000D4BDB" w:rsidP="00721745">
      <w:pPr>
        <w:pStyle w:val="NoSpacing"/>
      </w:pPr>
    </w:p>
    <w:p w:rsidR="000D4BDB" w:rsidRPr="006F79F3" w:rsidRDefault="000D4BDB" w:rsidP="00721745">
      <w:pPr>
        <w:pStyle w:val="NoSpacing"/>
      </w:pPr>
      <w:r w:rsidRPr="006F79F3">
        <w:t>The service is required to operate after normal teaching hours, a suggestion would to be to commence the service at 3.30pm.  The cleaning supervisor will be required to lock and alarm the building at the end of the cleaning service, this is currently approximately 9.30pm.</w:t>
      </w:r>
    </w:p>
    <w:p w:rsidR="000D4BDB" w:rsidRPr="006F79F3" w:rsidRDefault="000D4BDB" w:rsidP="00721745">
      <w:pPr>
        <w:pStyle w:val="NoSpacing"/>
      </w:pPr>
    </w:p>
    <w:p w:rsidR="000D4BDB" w:rsidRDefault="000D4BDB" w:rsidP="00721745">
      <w:pPr>
        <w:pStyle w:val="NoSpacing"/>
      </w:pPr>
      <w:r w:rsidRPr="006F79F3">
        <w:t xml:space="preserve">A monthly meeting is required to review </w:t>
      </w:r>
      <w:r w:rsidR="006F79F3" w:rsidRPr="006F79F3">
        <w:t>standards</w:t>
      </w:r>
      <w:r w:rsidRPr="006F79F3">
        <w:t xml:space="preserve"> of cleanli</w:t>
      </w:r>
      <w:r w:rsidR="00BF74BA">
        <w:t>ness as identified above.  The S</w:t>
      </w:r>
      <w:r w:rsidRPr="006F79F3">
        <w:t xml:space="preserve">chool will require any defaults on </w:t>
      </w:r>
      <w:r w:rsidR="006F79F3" w:rsidRPr="006F79F3">
        <w:t>cleanliness</w:t>
      </w:r>
      <w:r w:rsidRPr="006F79F3">
        <w:t xml:space="preserve"> to be corrected with </w:t>
      </w:r>
      <w:r w:rsidR="006F79F3" w:rsidRPr="006F79F3">
        <w:t>immediate</w:t>
      </w:r>
      <w:r w:rsidR="00BF74BA">
        <w:t xml:space="preserve"> effect.  The S</w:t>
      </w:r>
      <w:r w:rsidRPr="006F79F3">
        <w:t xml:space="preserve">chool reserves the right to terminate the contract, by giving 6 </w:t>
      </w:r>
      <w:r w:rsidR="006F79F3" w:rsidRPr="006F79F3">
        <w:t>months’ notice</w:t>
      </w:r>
      <w:r w:rsidRPr="006F79F3">
        <w:t xml:space="preserve">, if it feels that </w:t>
      </w:r>
      <w:r w:rsidR="006F79F3" w:rsidRPr="006F79F3">
        <w:t>defaults</w:t>
      </w:r>
      <w:r w:rsidRPr="006F79F3">
        <w:t xml:space="preserve"> in standards are </w:t>
      </w:r>
      <w:r w:rsidR="006F79F3" w:rsidRPr="006F79F3">
        <w:t xml:space="preserve">continuous and </w:t>
      </w:r>
      <w:r w:rsidRPr="006F79F3">
        <w:t xml:space="preserve">not being rectified </w:t>
      </w:r>
      <w:r w:rsidR="004D4060">
        <w:t>in a timely manner</w:t>
      </w:r>
      <w:r w:rsidR="006F79F3" w:rsidRPr="006F79F3">
        <w:t>.</w:t>
      </w:r>
    </w:p>
    <w:p w:rsidR="006F79F3" w:rsidRDefault="006F79F3" w:rsidP="00721745">
      <w:pPr>
        <w:pStyle w:val="NoSpacing"/>
      </w:pPr>
    </w:p>
    <w:p w:rsidR="00653B20" w:rsidRDefault="00653B20" w:rsidP="00721745">
      <w:pPr>
        <w:pStyle w:val="NoSpacing"/>
      </w:pPr>
    </w:p>
    <w:p w:rsidR="00653B20" w:rsidRPr="006F79F3" w:rsidRDefault="00653B20" w:rsidP="00721745">
      <w:pPr>
        <w:pStyle w:val="NoSpacing"/>
      </w:pPr>
    </w:p>
    <w:p w:rsidR="000D4BDB" w:rsidRDefault="006F79F3" w:rsidP="00721745">
      <w:pPr>
        <w:pStyle w:val="NoSpacing"/>
        <w:rPr>
          <w:b/>
        </w:rPr>
      </w:pPr>
      <w:r>
        <w:rPr>
          <w:b/>
        </w:rPr>
        <w:t>Daily requirements (unless specified)</w:t>
      </w:r>
    </w:p>
    <w:p w:rsidR="000D4BDB" w:rsidRDefault="000D4BDB" w:rsidP="00721745">
      <w:pPr>
        <w:pStyle w:val="NoSpacing"/>
        <w:rPr>
          <w:b/>
        </w:rPr>
      </w:pPr>
    </w:p>
    <w:p w:rsidR="00734253" w:rsidRPr="00D50481" w:rsidRDefault="00734253" w:rsidP="00721745">
      <w:pPr>
        <w:pStyle w:val="NoSpacing"/>
      </w:pPr>
      <w:r w:rsidRPr="00734253">
        <w:rPr>
          <w:b/>
        </w:rPr>
        <w:t xml:space="preserve"> </w:t>
      </w:r>
    </w:p>
    <w:tbl>
      <w:tblPr>
        <w:tblStyle w:val="TableGrid"/>
        <w:tblW w:w="10201" w:type="dxa"/>
        <w:tblLook w:val="04A0" w:firstRow="1" w:lastRow="0" w:firstColumn="1" w:lastColumn="0" w:noHBand="0" w:noVBand="1"/>
      </w:tblPr>
      <w:tblGrid>
        <w:gridCol w:w="4153"/>
        <w:gridCol w:w="6048"/>
      </w:tblGrid>
      <w:tr w:rsidR="00FA07F9" w:rsidRPr="00D50481" w:rsidTr="00DF38C1">
        <w:tc>
          <w:tcPr>
            <w:tcW w:w="4153" w:type="dxa"/>
          </w:tcPr>
          <w:p w:rsidR="00FA07F9" w:rsidRPr="00D50481" w:rsidRDefault="00FA07F9" w:rsidP="00734253">
            <w:pPr>
              <w:pStyle w:val="NoSpacing"/>
            </w:pPr>
            <w:r w:rsidRPr="00D50481">
              <w:t>General</w:t>
            </w:r>
          </w:p>
        </w:tc>
        <w:tc>
          <w:tcPr>
            <w:tcW w:w="6048" w:type="dxa"/>
          </w:tcPr>
          <w:p w:rsidR="00FA07F9" w:rsidRPr="00D50481" w:rsidRDefault="00FA07F9" w:rsidP="00734253">
            <w:pPr>
              <w:pStyle w:val="NoSpacing"/>
            </w:pPr>
            <w:r w:rsidRPr="00D50481">
              <w:t>Empty waste baskets and take waste to disposal areas</w:t>
            </w:r>
          </w:p>
          <w:p w:rsidR="000D4BDB" w:rsidRPr="00D50481" w:rsidRDefault="000D4BDB" w:rsidP="00734253">
            <w:pPr>
              <w:pStyle w:val="NoSpacing"/>
            </w:pPr>
            <w:r w:rsidRPr="00D50481">
              <w:t>Load and empty dishwasher in staff room</w:t>
            </w:r>
          </w:p>
          <w:p w:rsidR="000D4BDB" w:rsidRPr="00D50481" w:rsidRDefault="000D4BDB" w:rsidP="00734253">
            <w:pPr>
              <w:pStyle w:val="NoSpacing"/>
            </w:pPr>
            <w:r w:rsidRPr="00D50481">
              <w:t>Lock up and alarm buildings</w:t>
            </w:r>
          </w:p>
        </w:tc>
      </w:tr>
      <w:tr w:rsidR="00FA07F9" w:rsidRPr="00D50481" w:rsidTr="00DF38C1">
        <w:tc>
          <w:tcPr>
            <w:tcW w:w="4153" w:type="dxa"/>
          </w:tcPr>
          <w:p w:rsidR="00FA07F9" w:rsidRPr="00D50481" w:rsidRDefault="00FA07F9" w:rsidP="00734253">
            <w:pPr>
              <w:pStyle w:val="NoSpacing"/>
            </w:pPr>
            <w:r w:rsidRPr="00D50481">
              <w:t>Hard floors</w:t>
            </w:r>
          </w:p>
        </w:tc>
        <w:tc>
          <w:tcPr>
            <w:tcW w:w="6048" w:type="dxa"/>
          </w:tcPr>
          <w:p w:rsidR="00FA07F9" w:rsidRPr="00D50481" w:rsidRDefault="00FA07F9" w:rsidP="00DF38C1">
            <w:pPr>
              <w:pStyle w:val="NoSpacing"/>
            </w:pPr>
            <w:r w:rsidRPr="00D50481">
              <w:t xml:space="preserve">Sweep or vacuum.  </w:t>
            </w:r>
            <w:r w:rsidR="000D4BDB" w:rsidRPr="00D50481">
              <w:t>Damp mop where necessary.</w:t>
            </w:r>
          </w:p>
          <w:p w:rsidR="00DF38C1" w:rsidRPr="00D50481" w:rsidRDefault="00DF38C1" w:rsidP="00DF38C1">
            <w:pPr>
              <w:pStyle w:val="NoSpacing"/>
            </w:pPr>
            <w:r w:rsidRPr="00D50481">
              <w:t>Full mop and burnish / polish twice a year</w:t>
            </w:r>
          </w:p>
        </w:tc>
      </w:tr>
      <w:tr w:rsidR="00FA07F9" w:rsidRPr="00D50481" w:rsidTr="00DF38C1">
        <w:tc>
          <w:tcPr>
            <w:tcW w:w="4153" w:type="dxa"/>
          </w:tcPr>
          <w:p w:rsidR="00FA07F9" w:rsidRPr="00D50481" w:rsidRDefault="00FA07F9" w:rsidP="00734253">
            <w:pPr>
              <w:pStyle w:val="NoSpacing"/>
            </w:pPr>
            <w:r w:rsidRPr="00D50481">
              <w:t>Soft floors</w:t>
            </w:r>
          </w:p>
        </w:tc>
        <w:tc>
          <w:tcPr>
            <w:tcW w:w="6048" w:type="dxa"/>
          </w:tcPr>
          <w:p w:rsidR="00FA07F9" w:rsidRPr="00D50481" w:rsidRDefault="00FA07F9" w:rsidP="00734253">
            <w:pPr>
              <w:pStyle w:val="NoSpacing"/>
            </w:pPr>
            <w:r w:rsidRPr="00D50481">
              <w:t xml:space="preserve">Full suction clean, remove stains by spot cleaning </w:t>
            </w:r>
          </w:p>
          <w:p w:rsidR="000D4BDB" w:rsidRPr="00D50481" w:rsidRDefault="000D4BDB" w:rsidP="00734253">
            <w:pPr>
              <w:pStyle w:val="NoSpacing"/>
            </w:pPr>
            <w:r w:rsidRPr="00D50481">
              <w:t>Shampoo carpet – twice a year</w:t>
            </w:r>
          </w:p>
        </w:tc>
      </w:tr>
      <w:tr w:rsidR="00FA07F9" w:rsidRPr="00D50481" w:rsidTr="00DF38C1">
        <w:tc>
          <w:tcPr>
            <w:tcW w:w="4153" w:type="dxa"/>
          </w:tcPr>
          <w:p w:rsidR="00FA07F9" w:rsidRPr="00D50481" w:rsidRDefault="00FA07F9" w:rsidP="00721745">
            <w:pPr>
              <w:pStyle w:val="NoSpacing"/>
            </w:pPr>
            <w:r w:rsidRPr="00D50481">
              <w:t>Furniture and fittings</w:t>
            </w:r>
          </w:p>
        </w:tc>
        <w:tc>
          <w:tcPr>
            <w:tcW w:w="6048" w:type="dxa"/>
          </w:tcPr>
          <w:p w:rsidR="00FA07F9" w:rsidRPr="00D50481" w:rsidRDefault="00FA07F9" w:rsidP="00721745">
            <w:pPr>
              <w:pStyle w:val="NoSpacing"/>
            </w:pPr>
            <w:r w:rsidRPr="00D50481">
              <w:t xml:space="preserve">Dust or damp wipe all furniture and horizontal surfaces from </w:t>
            </w:r>
            <w:r w:rsidR="006F79F3" w:rsidRPr="00D50481">
              <w:t>floor</w:t>
            </w:r>
            <w:r w:rsidRPr="00D50481">
              <w:t xml:space="preserve"> level to 1</w:t>
            </w:r>
            <w:r w:rsidR="00DF38C1" w:rsidRPr="00D50481">
              <w:t>25</w:t>
            </w:r>
            <w:r w:rsidRPr="00D50481">
              <w:t>cm</w:t>
            </w:r>
          </w:p>
          <w:p w:rsidR="00FA07F9" w:rsidRPr="00D50481" w:rsidRDefault="00FA07F9" w:rsidP="00721745">
            <w:pPr>
              <w:pStyle w:val="NoSpacing"/>
            </w:pPr>
            <w:r w:rsidRPr="00D50481">
              <w:t>Spot clean desk tops</w:t>
            </w:r>
          </w:p>
          <w:p w:rsidR="000D4BDB" w:rsidRPr="00D50481" w:rsidRDefault="000D4BDB" w:rsidP="00721745">
            <w:pPr>
              <w:pStyle w:val="NoSpacing"/>
            </w:pPr>
            <w:r w:rsidRPr="00D50481">
              <w:t>Clean computers / telephones with hygiene wipe – twice a year</w:t>
            </w:r>
          </w:p>
          <w:p w:rsidR="00DF38C1" w:rsidRPr="00D50481" w:rsidRDefault="00DF38C1" w:rsidP="00DF38C1">
            <w:pPr>
              <w:pStyle w:val="NoSpacing"/>
            </w:pPr>
            <w:r w:rsidRPr="00D50481">
              <w:t>High level dust / cobweb removal</w:t>
            </w:r>
            <w:r w:rsidR="000D4BDB" w:rsidRPr="00D50481">
              <w:t xml:space="preserve"> (</w:t>
            </w:r>
            <w:r w:rsidR="006F79F3" w:rsidRPr="00D50481">
              <w:t>up to</w:t>
            </w:r>
            <w:r w:rsidR="000D4BDB" w:rsidRPr="00D50481">
              <w:t xml:space="preserve"> 2m) </w:t>
            </w:r>
          </w:p>
          <w:p w:rsidR="00FA07F9" w:rsidRPr="00D50481" w:rsidRDefault="00FA07F9" w:rsidP="00721745">
            <w:pPr>
              <w:pStyle w:val="NoSpacing"/>
            </w:pPr>
          </w:p>
        </w:tc>
      </w:tr>
      <w:tr w:rsidR="00FA07F9" w:rsidRPr="00D50481" w:rsidTr="00DF38C1">
        <w:tc>
          <w:tcPr>
            <w:tcW w:w="4153" w:type="dxa"/>
          </w:tcPr>
          <w:p w:rsidR="00FA07F9" w:rsidRPr="00D50481" w:rsidRDefault="00FA07F9" w:rsidP="00721745">
            <w:pPr>
              <w:pStyle w:val="NoSpacing"/>
            </w:pPr>
            <w:r w:rsidRPr="00D50481">
              <w:t>Walls, doors, handles, kick and push panels</w:t>
            </w:r>
            <w:r w:rsidR="00DF38C1" w:rsidRPr="00D50481">
              <w:t>, stair handrail, hallway skirting</w:t>
            </w:r>
          </w:p>
        </w:tc>
        <w:tc>
          <w:tcPr>
            <w:tcW w:w="6048" w:type="dxa"/>
          </w:tcPr>
          <w:p w:rsidR="00FA07F9" w:rsidRPr="00D50481" w:rsidRDefault="00DF38C1" w:rsidP="00721745">
            <w:pPr>
              <w:pStyle w:val="NoSpacing"/>
            </w:pPr>
            <w:r w:rsidRPr="00D50481">
              <w:t>Spot clean /Damp wipe</w:t>
            </w:r>
          </w:p>
        </w:tc>
      </w:tr>
      <w:tr w:rsidR="00FA07F9" w:rsidRPr="00D50481" w:rsidTr="00DF38C1">
        <w:tc>
          <w:tcPr>
            <w:tcW w:w="4153" w:type="dxa"/>
          </w:tcPr>
          <w:p w:rsidR="00FA07F9" w:rsidRPr="00D50481" w:rsidRDefault="006F79F3" w:rsidP="00721745">
            <w:pPr>
              <w:pStyle w:val="NoSpacing"/>
            </w:pPr>
            <w:r w:rsidRPr="00D50481">
              <w:t>Internal</w:t>
            </w:r>
            <w:r w:rsidR="00DF38C1" w:rsidRPr="00D50481">
              <w:t xml:space="preserve"> glass panels</w:t>
            </w:r>
          </w:p>
        </w:tc>
        <w:tc>
          <w:tcPr>
            <w:tcW w:w="6048" w:type="dxa"/>
          </w:tcPr>
          <w:p w:rsidR="00FA07F9" w:rsidRPr="00D50481" w:rsidRDefault="00DF38C1" w:rsidP="00721745">
            <w:pPr>
              <w:pStyle w:val="NoSpacing"/>
            </w:pPr>
            <w:r w:rsidRPr="00D50481">
              <w:t>Spot clean / Damp wipe</w:t>
            </w:r>
          </w:p>
        </w:tc>
      </w:tr>
      <w:tr w:rsidR="00FA07F9" w:rsidRPr="00D50481" w:rsidTr="00DF38C1">
        <w:tc>
          <w:tcPr>
            <w:tcW w:w="4153" w:type="dxa"/>
          </w:tcPr>
          <w:p w:rsidR="00FA07F9" w:rsidRPr="00D50481" w:rsidRDefault="006F79F3" w:rsidP="00721745">
            <w:pPr>
              <w:pStyle w:val="NoSpacing"/>
            </w:pPr>
            <w:r w:rsidRPr="00D50481">
              <w:t>Toilets, showers and changing rooms</w:t>
            </w:r>
          </w:p>
        </w:tc>
        <w:tc>
          <w:tcPr>
            <w:tcW w:w="6048" w:type="dxa"/>
          </w:tcPr>
          <w:p w:rsidR="006F79F3" w:rsidRPr="00D50481" w:rsidRDefault="006F79F3" w:rsidP="006F79F3">
            <w:pPr>
              <w:pStyle w:val="NoSpacing"/>
            </w:pPr>
            <w:r w:rsidRPr="00D50481">
              <w:t>Sinks and showers (including plugholes) damp wipe/wash all surfaces with sanitising agent</w:t>
            </w:r>
          </w:p>
          <w:p w:rsidR="00FA07F9" w:rsidRPr="00D50481" w:rsidRDefault="003F1038" w:rsidP="006F79F3">
            <w:pPr>
              <w:pStyle w:val="NoSpacing"/>
            </w:pPr>
            <w:r w:rsidRPr="00D50481">
              <w:t>Toilets</w:t>
            </w:r>
            <w:r w:rsidR="006F79F3" w:rsidRPr="00D50481">
              <w:t xml:space="preserve">/ Urinals (including inside and outside pans, cisterns and flushing mechanism) damp wipe/wash with </w:t>
            </w:r>
            <w:r w:rsidRPr="00D50481">
              <w:t>sanitising</w:t>
            </w:r>
            <w:r w:rsidR="006F79F3" w:rsidRPr="00D50481">
              <w:t xml:space="preserve"> agent</w:t>
            </w:r>
          </w:p>
          <w:p w:rsidR="006F79F3" w:rsidRPr="00D50481" w:rsidRDefault="006F79F3" w:rsidP="006F79F3">
            <w:pPr>
              <w:pStyle w:val="NoSpacing"/>
            </w:pPr>
            <w:r w:rsidRPr="00D50481">
              <w:t>Empty sanitary bins</w:t>
            </w:r>
          </w:p>
          <w:p w:rsidR="006F79F3" w:rsidRPr="00D50481" w:rsidRDefault="006F79F3" w:rsidP="006F79F3">
            <w:pPr>
              <w:pStyle w:val="NoSpacing"/>
            </w:pPr>
            <w:r w:rsidRPr="00D50481">
              <w:t>Fixtures (</w:t>
            </w:r>
            <w:r w:rsidR="003F1038" w:rsidRPr="00D50481">
              <w:t>i.e.</w:t>
            </w:r>
            <w:r w:rsidRPr="00D50481">
              <w:t xml:space="preserve"> mirrors) damp wipe/wash</w:t>
            </w:r>
          </w:p>
        </w:tc>
      </w:tr>
    </w:tbl>
    <w:p w:rsidR="00734253" w:rsidRPr="00734253" w:rsidRDefault="00734253" w:rsidP="00721745">
      <w:pPr>
        <w:pStyle w:val="NoSpacing"/>
        <w:rPr>
          <w:b/>
        </w:rPr>
      </w:pPr>
    </w:p>
    <w:p w:rsidR="00857BAB" w:rsidRPr="00857BAB" w:rsidRDefault="00857BAB" w:rsidP="00721745">
      <w:pPr>
        <w:pStyle w:val="NoSpacing"/>
      </w:pPr>
      <w:r w:rsidRPr="00857BAB">
        <w:t>In addition to the above the following will be required during the summer holiday (deep clean)</w:t>
      </w:r>
    </w:p>
    <w:p w:rsidR="00857BAB" w:rsidRPr="00857BAB" w:rsidRDefault="00857BAB" w:rsidP="00721745">
      <w:pPr>
        <w:pStyle w:val="NoSpacing"/>
      </w:pPr>
    </w:p>
    <w:p w:rsidR="00857BAB" w:rsidRPr="00857BAB" w:rsidRDefault="00857BAB" w:rsidP="00857BAB">
      <w:pPr>
        <w:pStyle w:val="ListParagraph"/>
        <w:numPr>
          <w:ilvl w:val="0"/>
          <w:numId w:val="13"/>
        </w:numPr>
        <w:spacing w:after="0" w:line="240" w:lineRule="auto"/>
      </w:pPr>
      <w:r w:rsidRPr="00857BAB">
        <w:t>Remove all dust and de</w:t>
      </w:r>
      <w:r w:rsidR="00A846AE">
        <w:t>bris from high levels (above 2m</w:t>
      </w:r>
      <w:r w:rsidRPr="00857BAB">
        <w:t xml:space="preserve">) </w:t>
      </w:r>
    </w:p>
    <w:p w:rsidR="00857BAB" w:rsidRDefault="00857BAB" w:rsidP="00857BAB">
      <w:pPr>
        <w:pStyle w:val="ListParagraph"/>
        <w:numPr>
          <w:ilvl w:val="0"/>
          <w:numId w:val="13"/>
        </w:numPr>
        <w:spacing w:after="0" w:line="240" w:lineRule="auto"/>
      </w:pPr>
      <w:r>
        <w:t>Machine scrub quarry tiled flooring</w:t>
      </w:r>
      <w:bookmarkStart w:id="0" w:name="_GoBack"/>
      <w:bookmarkEnd w:id="0"/>
    </w:p>
    <w:p w:rsidR="00857BAB" w:rsidRDefault="00857BAB" w:rsidP="00857BAB">
      <w:pPr>
        <w:pStyle w:val="ListParagraph"/>
        <w:numPr>
          <w:ilvl w:val="0"/>
          <w:numId w:val="13"/>
        </w:numPr>
        <w:spacing w:after="0" w:line="240" w:lineRule="auto"/>
      </w:pPr>
      <w:r>
        <w:t>Machine scrub safety flooring</w:t>
      </w:r>
    </w:p>
    <w:p w:rsidR="00857BAB" w:rsidRDefault="00857BAB" w:rsidP="00857BAB">
      <w:pPr>
        <w:pStyle w:val="ListParagraph"/>
        <w:numPr>
          <w:ilvl w:val="0"/>
          <w:numId w:val="13"/>
        </w:numPr>
        <w:spacing w:after="0" w:line="240" w:lineRule="auto"/>
      </w:pPr>
      <w:r>
        <w:t>Clean all exposed door surfaces, including door jambs and frames</w:t>
      </w:r>
    </w:p>
    <w:p w:rsidR="00857BAB" w:rsidRDefault="00857BAB" w:rsidP="00857BAB">
      <w:pPr>
        <w:pStyle w:val="ListParagraph"/>
        <w:numPr>
          <w:ilvl w:val="0"/>
          <w:numId w:val="13"/>
        </w:numPr>
        <w:spacing w:after="0" w:line="240" w:lineRule="auto"/>
      </w:pPr>
      <w:r>
        <w:t>Clean and sanitise all desk surfaces, including legs and framework</w:t>
      </w:r>
    </w:p>
    <w:p w:rsidR="00857BAB" w:rsidRDefault="00857BAB" w:rsidP="00857BAB">
      <w:pPr>
        <w:pStyle w:val="ListParagraph"/>
        <w:numPr>
          <w:ilvl w:val="0"/>
          <w:numId w:val="13"/>
        </w:numPr>
        <w:spacing w:after="0" w:line="240" w:lineRule="auto"/>
      </w:pPr>
      <w:r>
        <w:t>Clean and sanitise all hard surfaced chairs, including legs</w:t>
      </w:r>
    </w:p>
    <w:p w:rsidR="00857BAB" w:rsidRDefault="00857BAB" w:rsidP="00857BAB">
      <w:pPr>
        <w:pStyle w:val="ListParagraph"/>
        <w:numPr>
          <w:ilvl w:val="0"/>
          <w:numId w:val="13"/>
        </w:numPr>
        <w:spacing w:after="0" w:line="240" w:lineRule="auto"/>
      </w:pPr>
      <w:r>
        <w:t>Clean and sanitise all exposed surfaces in toilet / changing / shower areas (excluding non- washable wall surfaces)</w:t>
      </w:r>
    </w:p>
    <w:p w:rsidR="00857BAB" w:rsidRDefault="00857BAB" w:rsidP="00857BAB">
      <w:pPr>
        <w:pStyle w:val="ListParagraph"/>
        <w:numPr>
          <w:ilvl w:val="0"/>
          <w:numId w:val="13"/>
        </w:numPr>
        <w:spacing w:after="0" w:line="240" w:lineRule="auto"/>
      </w:pPr>
      <w:r>
        <w:t>Carry out a deep clean of toilet and sanitary fittings</w:t>
      </w:r>
    </w:p>
    <w:p w:rsidR="00857BAB" w:rsidRDefault="00857BAB" w:rsidP="00857BAB">
      <w:pPr>
        <w:pStyle w:val="ListParagraph"/>
        <w:numPr>
          <w:ilvl w:val="0"/>
          <w:numId w:val="13"/>
        </w:numPr>
        <w:spacing w:after="0" w:line="240" w:lineRule="auto"/>
      </w:pPr>
      <w:r>
        <w:t>Remove dust and debris from exposed surfaces of shelving, utilising brushes attached to vacuum cleaners</w:t>
      </w:r>
    </w:p>
    <w:p w:rsidR="00857BAB" w:rsidRDefault="00857BAB" w:rsidP="00857BAB">
      <w:pPr>
        <w:pStyle w:val="ListParagraph"/>
        <w:numPr>
          <w:ilvl w:val="0"/>
          <w:numId w:val="13"/>
        </w:numPr>
        <w:spacing w:after="0" w:line="240" w:lineRule="auto"/>
      </w:pPr>
      <w:r>
        <w:t>Lift entrance mats from mat wells, vacuum and replace back in original position</w:t>
      </w:r>
    </w:p>
    <w:p w:rsidR="00857BAB" w:rsidRDefault="00857BAB" w:rsidP="00435CC7">
      <w:pPr>
        <w:pStyle w:val="ListParagraph"/>
        <w:numPr>
          <w:ilvl w:val="0"/>
          <w:numId w:val="13"/>
        </w:numPr>
        <w:spacing w:after="0" w:line="240" w:lineRule="auto"/>
      </w:pPr>
      <w:r>
        <w:lastRenderedPageBreak/>
        <w:t>Strip and seal vinyl type flooring</w:t>
      </w:r>
      <w:r w:rsidRPr="00BF74BA">
        <w:rPr>
          <w:color w:val="1F497D"/>
        </w:rPr>
        <w:t xml:space="preserve"> </w:t>
      </w:r>
    </w:p>
    <w:p w:rsidR="00857BAB" w:rsidRDefault="00857BAB" w:rsidP="00D26E7C">
      <w:pPr>
        <w:pStyle w:val="NoSpacing"/>
      </w:pPr>
    </w:p>
    <w:p w:rsidR="00D21CE1" w:rsidRDefault="00D21CE1" w:rsidP="00D26E7C">
      <w:pPr>
        <w:pStyle w:val="NoSpacing"/>
        <w:rPr>
          <w:rFonts w:cstheme="minorHAnsi"/>
          <w:b/>
        </w:rPr>
      </w:pPr>
    </w:p>
    <w:p w:rsidR="00D26E7C" w:rsidRDefault="00FA3BDC" w:rsidP="00D26E7C">
      <w:pPr>
        <w:pStyle w:val="NoSpacing"/>
        <w:rPr>
          <w:rFonts w:cstheme="minorHAnsi"/>
          <w:b/>
        </w:rPr>
      </w:pPr>
      <w:r>
        <w:rPr>
          <w:rFonts w:cstheme="minorHAnsi"/>
          <w:b/>
        </w:rPr>
        <w:t>Section 2</w:t>
      </w:r>
      <w:r>
        <w:rPr>
          <w:rFonts w:cstheme="minorHAnsi"/>
          <w:b/>
        </w:rPr>
        <w:tab/>
      </w:r>
      <w:r w:rsidR="00D26E7C" w:rsidRPr="00D26E7C">
        <w:rPr>
          <w:rFonts w:cstheme="minorHAnsi"/>
          <w:b/>
        </w:rPr>
        <w:t xml:space="preserve">Form of Tender document </w:t>
      </w:r>
    </w:p>
    <w:p w:rsidR="00D21CE1" w:rsidRPr="00D26E7C" w:rsidRDefault="00D21CE1" w:rsidP="00D26E7C">
      <w:pPr>
        <w:pStyle w:val="NoSpacing"/>
        <w:rPr>
          <w:rFonts w:cstheme="minorHAnsi"/>
          <w:b/>
        </w:rPr>
      </w:pPr>
    </w:p>
    <w:p w:rsidR="00D26E7C" w:rsidRDefault="00D26E7C" w:rsidP="00D26E7C">
      <w:pPr>
        <w:pStyle w:val="NoSpacing"/>
        <w:rPr>
          <w:rFonts w:cstheme="minorHAnsi"/>
        </w:rPr>
      </w:pPr>
    </w:p>
    <w:p w:rsidR="00D26E7C" w:rsidRDefault="009E3381" w:rsidP="00F5188B">
      <w:pPr>
        <w:pStyle w:val="NoSpacing"/>
        <w:jc w:val="center"/>
        <w:rPr>
          <w:rFonts w:cstheme="minorHAnsi"/>
          <w:b/>
        </w:rPr>
      </w:pPr>
      <w:r w:rsidRPr="00F5188B">
        <w:rPr>
          <w:rFonts w:cstheme="minorHAnsi"/>
          <w:b/>
        </w:rPr>
        <w:t>SOUTHFIELD SCHOOL</w:t>
      </w:r>
    </w:p>
    <w:p w:rsidR="00D21CE1" w:rsidRPr="00F5188B" w:rsidRDefault="00D21CE1" w:rsidP="00F5188B">
      <w:pPr>
        <w:pStyle w:val="NoSpacing"/>
        <w:jc w:val="center"/>
        <w:rPr>
          <w:rFonts w:cstheme="minorHAnsi"/>
          <w:b/>
        </w:rPr>
      </w:pPr>
    </w:p>
    <w:p w:rsidR="009E3381" w:rsidRDefault="009E3381" w:rsidP="00F5188B">
      <w:pPr>
        <w:pStyle w:val="NoSpacing"/>
        <w:jc w:val="center"/>
        <w:rPr>
          <w:rFonts w:cstheme="minorHAnsi"/>
          <w:b/>
        </w:rPr>
      </w:pPr>
      <w:r w:rsidRPr="00F5188B">
        <w:rPr>
          <w:rFonts w:cstheme="minorHAnsi"/>
          <w:b/>
        </w:rPr>
        <w:t>TENDER FOR THE P</w:t>
      </w:r>
      <w:r w:rsidR="004D4060">
        <w:rPr>
          <w:rFonts w:cstheme="minorHAnsi"/>
          <w:b/>
        </w:rPr>
        <w:t>ROVISION OF BUILDING CLEANING SER</w:t>
      </w:r>
      <w:r w:rsidRPr="00F5188B">
        <w:rPr>
          <w:rFonts w:cstheme="minorHAnsi"/>
          <w:b/>
        </w:rPr>
        <w:t>VICES</w:t>
      </w:r>
    </w:p>
    <w:p w:rsidR="00D21CE1" w:rsidRPr="00F5188B" w:rsidRDefault="00D21CE1" w:rsidP="00F5188B">
      <w:pPr>
        <w:pStyle w:val="NoSpacing"/>
        <w:jc w:val="center"/>
        <w:rPr>
          <w:rFonts w:cstheme="minorHAnsi"/>
          <w:b/>
        </w:rPr>
      </w:pPr>
    </w:p>
    <w:p w:rsidR="00F5188B" w:rsidRPr="00F5188B" w:rsidRDefault="00F5188B" w:rsidP="00F5188B">
      <w:pPr>
        <w:pStyle w:val="NoSpacing"/>
        <w:jc w:val="center"/>
        <w:rPr>
          <w:rFonts w:cstheme="minorHAnsi"/>
          <w:b/>
          <w:u w:val="single"/>
        </w:rPr>
      </w:pPr>
      <w:r w:rsidRPr="00F5188B">
        <w:rPr>
          <w:rFonts w:cstheme="minorHAnsi"/>
          <w:b/>
          <w:u w:val="single"/>
        </w:rPr>
        <w:t>FORM OF TENDER</w:t>
      </w:r>
    </w:p>
    <w:p w:rsidR="009E3381" w:rsidRPr="00F5188B" w:rsidRDefault="009E3381" w:rsidP="00F5188B">
      <w:pPr>
        <w:pStyle w:val="NoSpacing"/>
        <w:jc w:val="center"/>
        <w:rPr>
          <w:rFonts w:cstheme="minorHAnsi"/>
          <w:b/>
        </w:rPr>
      </w:pPr>
    </w:p>
    <w:p w:rsidR="009E3381" w:rsidRDefault="009E3381" w:rsidP="00D26E7C">
      <w:pPr>
        <w:pStyle w:val="NoSpacing"/>
        <w:rPr>
          <w:rFonts w:cstheme="minorHAnsi"/>
        </w:rPr>
      </w:pPr>
      <w:r>
        <w:rPr>
          <w:rFonts w:cstheme="minorHAnsi"/>
        </w:rPr>
        <w:t>To Southfield School</w:t>
      </w:r>
    </w:p>
    <w:p w:rsidR="00D21CE1" w:rsidRDefault="00D21CE1" w:rsidP="00D26E7C">
      <w:pPr>
        <w:pStyle w:val="NoSpacing"/>
        <w:rPr>
          <w:rFonts w:cstheme="minorHAnsi"/>
        </w:rPr>
      </w:pPr>
    </w:p>
    <w:p w:rsidR="00D50481" w:rsidRDefault="009E3381" w:rsidP="00D50481">
      <w:pPr>
        <w:pStyle w:val="NoSpacing"/>
      </w:pPr>
      <w:r>
        <w:rPr>
          <w:rFonts w:cstheme="minorHAnsi"/>
        </w:rPr>
        <w:t xml:space="preserve">I/We offer to supply Southfield School, </w:t>
      </w:r>
      <w:r w:rsidR="00F5188B">
        <w:rPr>
          <w:rFonts w:cstheme="minorHAnsi"/>
        </w:rPr>
        <w:t>in</w:t>
      </w:r>
      <w:r>
        <w:rPr>
          <w:rFonts w:cstheme="minorHAnsi"/>
        </w:rPr>
        <w:t xml:space="preserve"> accordance with the specification detailed within the Invitation to Tender, the </w:t>
      </w:r>
      <w:r w:rsidR="00F5188B">
        <w:rPr>
          <w:rFonts w:cstheme="minorHAnsi"/>
        </w:rPr>
        <w:t>services</w:t>
      </w:r>
      <w:r>
        <w:rPr>
          <w:rFonts w:cstheme="minorHAnsi"/>
        </w:rPr>
        <w:t xml:space="preserve"> at the rates/prices detailed in the Pricing Schedule (Appendix 2) enclosed.</w:t>
      </w:r>
      <w:r w:rsidR="00D50481" w:rsidRPr="00D50481">
        <w:t xml:space="preserve"> </w:t>
      </w:r>
      <w:r w:rsidR="00D50481">
        <w:t>I/We note that t</w:t>
      </w:r>
      <w:r w:rsidR="00D50481" w:rsidRPr="006F79F3">
        <w:t xml:space="preserve">he school will require any defaults on cleanliness to be corrected with immediate effect.  The school reserves the right to terminate the contract, by giving 6 months’ notice, if it feels that defaults in standards are continuous and not being rectified in a timely </w:t>
      </w:r>
      <w:r w:rsidR="00011647" w:rsidRPr="006F79F3">
        <w:t>manner</w:t>
      </w:r>
      <w:r w:rsidR="00D50481" w:rsidRPr="006F79F3">
        <w:t>.</w:t>
      </w:r>
    </w:p>
    <w:p w:rsidR="009E3381" w:rsidRDefault="009E3381" w:rsidP="00D26E7C">
      <w:pPr>
        <w:pStyle w:val="NoSpacing"/>
        <w:rPr>
          <w:rFonts w:cstheme="minorHAnsi"/>
        </w:rPr>
      </w:pPr>
    </w:p>
    <w:p w:rsidR="009E3381" w:rsidRDefault="009E3381" w:rsidP="00D26E7C">
      <w:pPr>
        <w:pStyle w:val="NoSpacing"/>
        <w:rPr>
          <w:rFonts w:cstheme="minorHAnsi"/>
        </w:rPr>
      </w:pPr>
      <w:r>
        <w:rPr>
          <w:rFonts w:cstheme="minorHAnsi"/>
        </w:rPr>
        <w:t xml:space="preserve">I/We agree that any contract that may result from the tender shall be subject to the law of England and interpreted in an </w:t>
      </w:r>
      <w:r w:rsidR="00F5188B">
        <w:rPr>
          <w:rFonts w:cstheme="minorHAnsi"/>
        </w:rPr>
        <w:t>English</w:t>
      </w:r>
      <w:r>
        <w:rPr>
          <w:rFonts w:cstheme="minorHAnsi"/>
        </w:rPr>
        <w:t xml:space="preserve"> Court.</w:t>
      </w:r>
    </w:p>
    <w:p w:rsidR="009E3381" w:rsidRDefault="009E3381" w:rsidP="00D26E7C">
      <w:pPr>
        <w:pStyle w:val="NoSpacing"/>
        <w:rPr>
          <w:rFonts w:cstheme="minorHAnsi"/>
        </w:rPr>
      </w:pPr>
    </w:p>
    <w:p w:rsidR="009E3381" w:rsidRDefault="009E3381" w:rsidP="00D26E7C">
      <w:pPr>
        <w:pStyle w:val="NoSpacing"/>
        <w:rPr>
          <w:rFonts w:cstheme="minorHAnsi"/>
        </w:rPr>
      </w:pPr>
      <w:r>
        <w:rPr>
          <w:rFonts w:cstheme="minorHAnsi"/>
        </w:rPr>
        <w:t>I/We confirm that the prices quoted in this tender are valid and open to acce</w:t>
      </w:r>
      <w:r w:rsidR="004D4060">
        <w:rPr>
          <w:rFonts w:cstheme="minorHAnsi"/>
        </w:rPr>
        <w:t>ptance by you for a period of 9</w:t>
      </w:r>
      <w:r>
        <w:rPr>
          <w:rFonts w:cstheme="minorHAnsi"/>
        </w:rPr>
        <w:t xml:space="preserve">0 days from the tender return </w:t>
      </w:r>
      <w:r w:rsidR="00F5188B">
        <w:rPr>
          <w:rFonts w:cstheme="minorHAnsi"/>
        </w:rPr>
        <w:t>date</w:t>
      </w:r>
      <w:r>
        <w:rPr>
          <w:rFonts w:cstheme="minorHAnsi"/>
        </w:rPr>
        <w:t xml:space="preserve"> specified in the Invitation to Tender.</w:t>
      </w:r>
    </w:p>
    <w:p w:rsidR="009E3381" w:rsidRDefault="009E3381" w:rsidP="00D26E7C">
      <w:pPr>
        <w:pStyle w:val="NoSpacing"/>
        <w:rPr>
          <w:rFonts w:cstheme="minorHAnsi"/>
        </w:rPr>
      </w:pPr>
    </w:p>
    <w:p w:rsidR="009E3381" w:rsidRDefault="009E3381" w:rsidP="00D26E7C">
      <w:pPr>
        <w:pStyle w:val="NoSpacing"/>
        <w:rPr>
          <w:rFonts w:cstheme="minorHAnsi"/>
        </w:rPr>
      </w:pPr>
      <w:r>
        <w:rPr>
          <w:rFonts w:cstheme="minorHAnsi"/>
        </w:rPr>
        <w:t xml:space="preserve">I/We </w:t>
      </w:r>
      <w:r w:rsidR="00F5188B">
        <w:rPr>
          <w:rFonts w:cstheme="minorHAnsi"/>
        </w:rPr>
        <w:t>declare</w:t>
      </w:r>
      <w:r>
        <w:rPr>
          <w:rFonts w:cstheme="minorHAnsi"/>
        </w:rPr>
        <w:t xml:space="preserve"> that this is a bona fide tender, intended to be competitive and that </w:t>
      </w:r>
      <w:r w:rsidR="00F5188B">
        <w:rPr>
          <w:rFonts w:cstheme="minorHAnsi"/>
        </w:rPr>
        <w:t>we have not fix</w:t>
      </w:r>
      <w:r>
        <w:rPr>
          <w:rFonts w:cstheme="minorHAnsi"/>
        </w:rPr>
        <w:t xml:space="preserve">ed or adjusted the amount of the tender by or under or in </w:t>
      </w:r>
      <w:r w:rsidR="00F5188B">
        <w:rPr>
          <w:rFonts w:cstheme="minorHAnsi"/>
        </w:rPr>
        <w:t>accordance</w:t>
      </w:r>
      <w:r>
        <w:rPr>
          <w:rFonts w:cstheme="minorHAnsi"/>
        </w:rPr>
        <w:t xml:space="preserve"> with any agreement or arrangement with any other person.</w:t>
      </w:r>
    </w:p>
    <w:p w:rsidR="009E3381" w:rsidRDefault="009E3381" w:rsidP="00D26E7C">
      <w:pPr>
        <w:pStyle w:val="NoSpacing"/>
        <w:rPr>
          <w:rFonts w:cstheme="minorHAnsi"/>
        </w:rPr>
      </w:pPr>
    </w:p>
    <w:p w:rsidR="009E3381" w:rsidRDefault="009E3381" w:rsidP="00D26E7C">
      <w:pPr>
        <w:pStyle w:val="NoSpacing"/>
        <w:rPr>
          <w:rFonts w:cstheme="minorHAnsi"/>
        </w:rPr>
      </w:pPr>
      <w:r>
        <w:rPr>
          <w:rFonts w:cstheme="minorHAnsi"/>
        </w:rPr>
        <w:t>I/We confirm that I/We are not aware of any conflict of interest or any circumstances that could give rise to</w:t>
      </w:r>
      <w:r w:rsidR="00F5188B">
        <w:rPr>
          <w:rFonts w:cstheme="minorHAnsi"/>
        </w:rPr>
        <w:t xml:space="preserve"> </w:t>
      </w:r>
      <w:r>
        <w:rPr>
          <w:rFonts w:cstheme="minorHAnsi"/>
        </w:rPr>
        <w:t>a conflict of interest.</w:t>
      </w:r>
    </w:p>
    <w:p w:rsidR="009E3381" w:rsidRDefault="009E3381" w:rsidP="00D26E7C">
      <w:pPr>
        <w:pStyle w:val="NoSpacing"/>
        <w:rPr>
          <w:rFonts w:cstheme="minorHAnsi"/>
        </w:rPr>
      </w:pPr>
    </w:p>
    <w:p w:rsidR="009E3381" w:rsidRDefault="009E3381" w:rsidP="00D26E7C">
      <w:pPr>
        <w:pStyle w:val="NoSpacing"/>
        <w:rPr>
          <w:rFonts w:cstheme="minorHAnsi"/>
        </w:rPr>
      </w:pPr>
      <w:r>
        <w:rPr>
          <w:rFonts w:cstheme="minorHAnsi"/>
        </w:rPr>
        <w:t>I/We confirm that I/We are not aware of any grounds that may deem this tender ineligible.</w:t>
      </w:r>
    </w:p>
    <w:p w:rsidR="009A565B" w:rsidRDefault="009A565B" w:rsidP="00D26E7C">
      <w:pPr>
        <w:pStyle w:val="NoSpacing"/>
        <w:rPr>
          <w:rFonts w:cstheme="minorHAnsi"/>
        </w:rPr>
      </w:pPr>
    </w:p>
    <w:p w:rsidR="009E3381" w:rsidRDefault="009A565B" w:rsidP="00D21CE1">
      <w:pPr>
        <w:rPr>
          <w:rFonts w:cstheme="minorHAnsi"/>
        </w:rPr>
      </w:pPr>
      <w:r>
        <w:rPr>
          <w:rFonts w:cstheme="minorHAnsi"/>
          <w:iCs/>
        </w:rPr>
        <w:t>I/We</w:t>
      </w:r>
      <w:r w:rsidRPr="00977EB9">
        <w:rPr>
          <w:rFonts w:cstheme="minorHAnsi"/>
          <w:iCs/>
        </w:rPr>
        <w:t xml:space="preserve"> note that the School does not provide any guarantee that the provision of Services in respect of the new building will form part of the Contract awarded to the Successful Tenderer. The School may choose, in its absolute discretion, to require the Successful Tenderer to provide the Services in respect of the new building at any point during the term of the Contract, and if it does the Successful Tenderer must provide the services on the basis of the Contract and at a price no higher than the price set </w:t>
      </w:r>
      <w:r>
        <w:rPr>
          <w:rFonts w:cstheme="minorHAnsi"/>
          <w:iCs/>
        </w:rPr>
        <w:t>out in appendix 2</w:t>
      </w:r>
      <w:r w:rsidRPr="00977EB9">
        <w:rPr>
          <w:rFonts w:cstheme="minorHAnsi"/>
          <w:iCs/>
        </w:rPr>
        <w:t>.</w:t>
      </w:r>
    </w:p>
    <w:p w:rsidR="009E3381" w:rsidRDefault="009E3381" w:rsidP="00D26E7C">
      <w:pPr>
        <w:pStyle w:val="NoSpacing"/>
        <w:rPr>
          <w:rFonts w:cstheme="minorHAnsi"/>
        </w:rPr>
      </w:pPr>
      <w:r>
        <w:rPr>
          <w:rFonts w:cstheme="minorHAnsi"/>
        </w:rPr>
        <w:t xml:space="preserve">I/We the undersigned, having examined the specification referred to </w:t>
      </w:r>
      <w:r w:rsidR="00F5188B">
        <w:rPr>
          <w:rFonts w:cstheme="minorHAnsi"/>
        </w:rPr>
        <w:t>herein</w:t>
      </w:r>
      <w:r>
        <w:rPr>
          <w:rFonts w:cstheme="minorHAnsi"/>
        </w:rPr>
        <w:t xml:space="preserve">, do hereby offer to execute and complete the whole service as identified for a fixed annual price, as </w:t>
      </w:r>
      <w:r w:rsidR="00F5188B">
        <w:rPr>
          <w:rFonts w:cstheme="minorHAnsi"/>
        </w:rPr>
        <w:t>described</w:t>
      </w:r>
      <w:r>
        <w:rPr>
          <w:rFonts w:cstheme="minorHAnsi"/>
        </w:rPr>
        <w:t xml:space="preserve"> in </w:t>
      </w:r>
      <w:r w:rsidR="00F5188B">
        <w:rPr>
          <w:rFonts w:cstheme="minorHAnsi"/>
        </w:rPr>
        <w:t>Appendix</w:t>
      </w:r>
      <w:r>
        <w:rPr>
          <w:rFonts w:cstheme="minorHAnsi"/>
        </w:rPr>
        <w:t xml:space="preserve"> 2, (excluding VAT) of:</w:t>
      </w:r>
    </w:p>
    <w:p w:rsidR="009E3381" w:rsidRDefault="009E3381" w:rsidP="00D26E7C">
      <w:pPr>
        <w:pStyle w:val="NoSpacing"/>
        <w:rPr>
          <w:rFonts w:cstheme="minorHAnsi"/>
        </w:rPr>
      </w:pPr>
    </w:p>
    <w:p w:rsidR="009E3381" w:rsidRDefault="00F5188B" w:rsidP="00D26E7C">
      <w:pPr>
        <w:pStyle w:val="NoSpacing"/>
        <w:rPr>
          <w:rFonts w:cstheme="minorHAnsi"/>
        </w:rPr>
      </w:pPr>
      <w:r>
        <w:rPr>
          <w:rFonts w:cstheme="minorHAnsi"/>
        </w:rPr>
        <w:t>(A</w:t>
      </w:r>
      <w:r w:rsidR="009E3381">
        <w:rPr>
          <w:rFonts w:cstheme="minorHAnsi"/>
        </w:rPr>
        <w:t>mount in Words) …………………………………………………………………………………………………...............................................</w:t>
      </w:r>
    </w:p>
    <w:p w:rsidR="009E3381" w:rsidRDefault="009E3381" w:rsidP="00D26E7C">
      <w:pPr>
        <w:pStyle w:val="NoSpacing"/>
        <w:rPr>
          <w:rFonts w:cstheme="minorHAnsi"/>
        </w:rPr>
      </w:pPr>
    </w:p>
    <w:p w:rsidR="009E3381" w:rsidRDefault="009E3381" w:rsidP="00D26E7C">
      <w:pPr>
        <w:pStyle w:val="NoSpacing"/>
        <w:rPr>
          <w:rFonts w:cstheme="minorHAnsi"/>
        </w:rPr>
      </w:pPr>
      <w:r>
        <w:rPr>
          <w:rFonts w:cstheme="minorHAnsi"/>
        </w:rPr>
        <w:t xml:space="preserve">(amount in </w:t>
      </w:r>
      <w:r w:rsidR="00F5188B">
        <w:rPr>
          <w:rFonts w:cstheme="minorHAnsi"/>
        </w:rPr>
        <w:t>figures) £……………………………………………………………………………………………………………………………………………….</w:t>
      </w:r>
    </w:p>
    <w:p w:rsidR="009E3381" w:rsidRDefault="009E3381" w:rsidP="00D26E7C">
      <w:pPr>
        <w:pStyle w:val="NoSpacing"/>
        <w:rPr>
          <w:rFonts w:cstheme="minorHAnsi"/>
        </w:rPr>
      </w:pPr>
    </w:p>
    <w:p w:rsidR="00F5188B" w:rsidRPr="00F5188B" w:rsidRDefault="00F5188B" w:rsidP="00D26E7C">
      <w:pPr>
        <w:pStyle w:val="NoSpacing"/>
        <w:rPr>
          <w:rFonts w:cstheme="minorHAnsi"/>
          <w:b/>
        </w:rPr>
      </w:pPr>
      <w:r w:rsidRPr="00F5188B">
        <w:rPr>
          <w:rFonts w:cstheme="minorHAnsi"/>
          <w:b/>
        </w:rPr>
        <w:t>For and on behalf of</w:t>
      </w:r>
    </w:p>
    <w:p w:rsidR="00F5188B" w:rsidRDefault="00F5188B" w:rsidP="00D26E7C">
      <w:pPr>
        <w:pStyle w:val="NoSpacing"/>
        <w:rPr>
          <w:rFonts w:cstheme="minorHAnsi"/>
        </w:rPr>
      </w:pPr>
      <w:r>
        <w:rPr>
          <w:rFonts w:cstheme="minorHAnsi"/>
        </w:rPr>
        <w:t>(insert full name of company) …………………………………..................................................................................................</w:t>
      </w:r>
    </w:p>
    <w:p w:rsidR="00F5188B" w:rsidRDefault="00F5188B" w:rsidP="00D26E7C">
      <w:pPr>
        <w:pStyle w:val="NoSpacing"/>
        <w:rPr>
          <w:rFonts w:cstheme="minorHAnsi"/>
        </w:rPr>
      </w:pPr>
    </w:p>
    <w:p w:rsidR="00F5188B" w:rsidRDefault="00F5188B" w:rsidP="00D26E7C">
      <w:pPr>
        <w:pStyle w:val="NoSpacing"/>
        <w:rPr>
          <w:rFonts w:cstheme="minorHAnsi"/>
        </w:rPr>
      </w:pPr>
      <w:r>
        <w:rPr>
          <w:rFonts w:cstheme="minorHAnsi"/>
        </w:rPr>
        <w:t>Authorised Signatory (Please Print Name) ………………………………………………………………………………………………………………</w:t>
      </w:r>
    </w:p>
    <w:p w:rsidR="00F5188B" w:rsidRDefault="00F5188B" w:rsidP="00D26E7C">
      <w:pPr>
        <w:pStyle w:val="NoSpacing"/>
        <w:rPr>
          <w:rFonts w:cstheme="minorHAnsi"/>
        </w:rPr>
      </w:pPr>
    </w:p>
    <w:p w:rsidR="00F5188B" w:rsidRDefault="00F5188B" w:rsidP="00D26E7C">
      <w:pPr>
        <w:pStyle w:val="NoSpacing"/>
        <w:rPr>
          <w:rFonts w:cstheme="minorHAnsi"/>
        </w:rPr>
      </w:pPr>
      <w:r>
        <w:rPr>
          <w:rFonts w:cstheme="minorHAnsi"/>
        </w:rPr>
        <w:t>Signature……………………………………………………………………………………………………………Dated………………………………………….</w:t>
      </w:r>
    </w:p>
    <w:p w:rsidR="00460FC1" w:rsidRDefault="00460FC1" w:rsidP="00D26E7C">
      <w:pPr>
        <w:pStyle w:val="NoSpacing"/>
        <w:rPr>
          <w:rFonts w:cstheme="minorHAnsi"/>
        </w:rPr>
      </w:pPr>
    </w:p>
    <w:p w:rsidR="00F5188B" w:rsidRDefault="00F5188B" w:rsidP="00D26E7C">
      <w:pPr>
        <w:pStyle w:val="NoSpacing"/>
        <w:rPr>
          <w:rFonts w:cstheme="minorHAnsi"/>
        </w:rPr>
      </w:pPr>
      <w:r>
        <w:rPr>
          <w:rFonts w:cstheme="minorHAnsi"/>
        </w:rPr>
        <w:t>Position i</w:t>
      </w:r>
      <w:r w:rsidR="00460FC1">
        <w:rPr>
          <w:rFonts w:cstheme="minorHAnsi"/>
        </w:rPr>
        <w:t>n Company………………………………………………………………………Telephone number…………………………………………</w:t>
      </w:r>
    </w:p>
    <w:p w:rsidR="00F5188B" w:rsidRDefault="00F5188B" w:rsidP="00D26E7C">
      <w:pPr>
        <w:pStyle w:val="NoSpacing"/>
        <w:rPr>
          <w:rFonts w:cstheme="minorHAnsi"/>
        </w:rPr>
      </w:pPr>
    </w:p>
    <w:p w:rsidR="00F5188B" w:rsidRDefault="00F5188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D21CE1" w:rsidRDefault="00D21CE1" w:rsidP="00D26E7C">
      <w:pPr>
        <w:pStyle w:val="NoSpacing"/>
        <w:rPr>
          <w:rFonts w:cstheme="minorHAnsi"/>
        </w:rPr>
      </w:pPr>
    </w:p>
    <w:p w:rsidR="00D21CE1" w:rsidRDefault="00D21CE1" w:rsidP="00D26E7C">
      <w:pPr>
        <w:pStyle w:val="NoSpacing"/>
        <w:rPr>
          <w:rFonts w:cstheme="minorHAnsi"/>
        </w:rPr>
      </w:pPr>
    </w:p>
    <w:p w:rsidR="00D21CE1" w:rsidRDefault="00D21CE1" w:rsidP="00D26E7C">
      <w:pPr>
        <w:pStyle w:val="NoSpacing"/>
        <w:rPr>
          <w:rFonts w:cstheme="minorHAnsi"/>
        </w:rPr>
      </w:pPr>
    </w:p>
    <w:p w:rsidR="00D21CE1" w:rsidRDefault="00D21CE1"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9A565B" w:rsidRDefault="009A565B" w:rsidP="00D26E7C">
      <w:pPr>
        <w:pStyle w:val="NoSpacing"/>
        <w:rPr>
          <w:rFonts w:cstheme="minorHAnsi"/>
        </w:rPr>
      </w:pPr>
    </w:p>
    <w:p w:rsidR="00D26E7C" w:rsidRPr="00D26E7C" w:rsidRDefault="00D26E7C" w:rsidP="00D26E7C">
      <w:pPr>
        <w:pStyle w:val="NoSpacing"/>
        <w:rPr>
          <w:b/>
        </w:rPr>
      </w:pPr>
      <w:r w:rsidRPr="00D26E7C">
        <w:rPr>
          <w:b/>
        </w:rPr>
        <w:t>Appendix 1 -  Tender requirements and Method Statement</w:t>
      </w:r>
    </w:p>
    <w:p w:rsidR="00D26E7C" w:rsidRPr="00D26E7C" w:rsidRDefault="00D26E7C" w:rsidP="00D26E7C">
      <w:pPr>
        <w:pStyle w:val="NoSpacing"/>
        <w:rPr>
          <w:b/>
        </w:rPr>
      </w:pPr>
    </w:p>
    <w:p w:rsidR="00D26E7C" w:rsidRDefault="0043275F" w:rsidP="00D26E7C">
      <w:pPr>
        <w:pStyle w:val="NoSpacing"/>
      </w:pPr>
      <w:r>
        <w:t>Please</w:t>
      </w:r>
      <w:r w:rsidR="00D26E7C">
        <w:t xml:space="preserve"> supply all necessary documentation to support your tender</w:t>
      </w:r>
    </w:p>
    <w:p w:rsidR="00D26E7C" w:rsidRDefault="00D26E7C" w:rsidP="00D26E7C">
      <w:pPr>
        <w:pStyle w:val="NoSpacing"/>
      </w:pPr>
    </w:p>
    <w:p w:rsidR="00D26E7C" w:rsidRDefault="00D26E7C" w:rsidP="00D26E7C">
      <w:pPr>
        <w:pStyle w:val="NoSpacing"/>
      </w:pPr>
    </w:p>
    <w:p w:rsidR="00D26E7C" w:rsidRDefault="00D26E7C"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460FC1" w:rsidRDefault="00460FC1" w:rsidP="00D26E7C">
      <w:pPr>
        <w:rPr>
          <w:b/>
        </w:rPr>
      </w:pPr>
    </w:p>
    <w:p w:rsidR="00D21CE1" w:rsidRDefault="00D21CE1" w:rsidP="00D26E7C">
      <w:pPr>
        <w:rPr>
          <w:b/>
        </w:rPr>
      </w:pPr>
    </w:p>
    <w:p w:rsidR="00D21CE1" w:rsidRDefault="00D21CE1" w:rsidP="00D26E7C">
      <w:pPr>
        <w:rPr>
          <w:b/>
        </w:rPr>
      </w:pPr>
    </w:p>
    <w:p w:rsidR="00D26E7C" w:rsidRDefault="00D26E7C" w:rsidP="00D26E7C">
      <w:pPr>
        <w:rPr>
          <w:b/>
        </w:rPr>
      </w:pPr>
    </w:p>
    <w:p w:rsidR="00D26E7C" w:rsidRDefault="00D26E7C" w:rsidP="00D26E7C">
      <w:pPr>
        <w:rPr>
          <w:b/>
        </w:rPr>
      </w:pPr>
      <w:r w:rsidRPr="00D26E7C">
        <w:rPr>
          <w:b/>
        </w:rPr>
        <w:t>Appendix 2 – Pricing Schedule</w:t>
      </w:r>
    </w:p>
    <w:p w:rsidR="00D26E7C" w:rsidRDefault="00D26E7C" w:rsidP="00D26E7C">
      <w:pPr>
        <w:rPr>
          <w:b/>
        </w:rPr>
      </w:pPr>
      <w:r>
        <w:rPr>
          <w:b/>
        </w:rPr>
        <w:t>Costs</w:t>
      </w:r>
    </w:p>
    <w:p w:rsidR="00D26E7C" w:rsidRPr="00EC0103" w:rsidRDefault="00D26E7C" w:rsidP="00D26E7C">
      <w:r w:rsidRPr="00EC0103">
        <w:t xml:space="preserve">The </w:t>
      </w:r>
      <w:r w:rsidR="0043275F" w:rsidRPr="00EC0103">
        <w:t>prices</w:t>
      </w:r>
      <w:r w:rsidRPr="00EC0103">
        <w:t xml:space="preserve"> offered will enable the School to assess the value of the proposed service and, in the case of the successful </w:t>
      </w:r>
      <w:r w:rsidR="0043275F" w:rsidRPr="00EC0103">
        <w:t>Tenderer</w:t>
      </w:r>
      <w:r w:rsidRPr="00EC0103">
        <w:t xml:space="preserve">, to enable adjustments of the Contractors monthly sum (up or down) when changes are made </w:t>
      </w:r>
      <w:r w:rsidR="00EC0103" w:rsidRPr="00EC0103">
        <w:t>to the services required.  Any projected price increase for years two and three should be clearly stated.</w:t>
      </w:r>
    </w:p>
    <w:p w:rsidR="00EC0103" w:rsidRPr="00EC0103" w:rsidRDefault="00EC0103" w:rsidP="00D26E7C">
      <w:r w:rsidRPr="00EC0103">
        <w:t xml:space="preserve">The prices </w:t>
      </w:r>
      <w:r w:rsidR="004D4060">
        <w:t>contained should exclude Value Added T</w:t>
      </w:r>
      <w:r w:rsidRPr="00EC0103">
        <w:t xml:space="preserve">ax, which shall be chargeable if </w:t>
      </w:r>
      <w:r w:rsidR="0043275F" w:rsidRPr="00EC0103">
        <w:t>appropriate</w:t>
      </w:r>
      <w:r w:rsidRPr="00EC0103">
        <w:t>, in accordance with Government legislation.</w:t>
      </w:r>
    </w:p>
    <w:p w:rsidR="00EC0103" w:rsidRDefault="00541E12" w:rsidP="00D26E7C">
      <w:pPr>
        <w:rPr>
          <w:b/>
        </w:rPr>
      </w:pPr>
      <w:r>
        <w:rPr>
          <w:b/>
        </w:rPr>
        <w:t>Current Site</w:t>
      </w:r>
    </w:p>
    <w:tbl>
      <w:tblPr>
        <w:tblStyle w:val="TableGrid"/>
        <w:tblW w:w="0" w:type="auto"/>
        <w:tblLook w:val="04A0" w:firstRow="1" w:lastRow="0" w:firstColumn="1" w:lastColumn="0" w:noHBand="0" w:noVBand="1"/>
      </w:tblPr>
      <w:tblGrid>
        <w:gridCol w:w="2038"/>
        <w:gridCol w:w="2039"/>
        <w:gridCol w:w="2039"/>
        <w:gridCol w:w="2039"/>
        <w:gridCol w:w="2039"/>
      </w:tblGrid>
      <w:tr w:rsidR="00EC0103" w:rsidTr="00EC0103">
        <w:tc>
          <w:tcPr>
            <w:tcW w:w="2038" w:type="dxa"/>
          </w:tcPr>
          <w:p w:rsidR="00EC0103" w:rsidRDefault="00EC0103" w:rsidP="00D26E7C">
            <w:pPr>
              <w:rPr>
                <w:b/>
              </w:rPr>
            </w:pPr>
          </w:p>
        </w:tc>
        <w:tc>
          <w:tcPr>
            <w:tcW w:w="2039" w:type="dxa"/>
          </w:tcPr>
          <w:p w:rsidR="00EC0103" w:rsidRDefault="00EC0103" w:rsidP="00D26E7C">
            <w:pPr>
              <w:rPr>
                <w:b/>
              </w:rPr>
            </w:pPr>
            <w:r>
              <w:rPr>
                <w:b/>
              </w:rPr>
              <w:t>Labour Costs £</w:t>
            </w:r>
          </w:p>
        </w:tc>
        <w:tc>
          <w:tcPr>
            <w:tcW w:w="2039" w:type="dxa"/>
          </w:tcPr>
          <w:p w:rsidR="00EC0103" w:rsidRDefault="00EC0103" w:rsidP="00D26E7C">
            <w:pPr>
              <w:rPr>
                <w:b/>
              </w:rPr>
            </w:pPr>
            <w:r>
              <w:rPr>
                <w:b/>
              </w:rPr>
              <w:t>Equipment Costs £</w:t>
            </w:r>
          </w:p>
        </w:tc>
        <w:tc>
          <w:tcPr>
            <w:tcW w:w="2039" w:type="dxa"/>
          </w:tcPr>
          <w:p w:rsidR="00EC0103" w:rsidRDefault="00EC0103" w:rsidP="00D26E7C">
            <w:pPr>
              <w:rPr>
                <w:b/>
              </w:rPr>
            </w:pPr>
            <w:r>
              <w:rPr>
                <w:b/>
              </w:rPr>
              <w:t>Consumable / Material Costs £</w:t>
            </w:r>
          </w:p>
        </w:tc>
        <w:tc>
          <w:tcPr>
            <w:tcW w:w="2039" w:type="dxa"/>
          </w:tcPr>
          <w:p w:rsidR="00EC0103" w:rsidRDefault="00EC0103" w:rsidP="00D26E7C">
            <w:pPr>
              <w:rPr>
                <w:b/>
              </w:rPr>
            </w:pPr>
            <w:r>
              <w:rPr>
                <w:b/>
              </w:rPr>
              <w:t>Total Costs £</w:t>
            </w:r>
          </w:p>
        </w:tc>
      </w:tr>
      <w:tr w:rsidR="00EC0103" w:rsidTr="00EC0103">
        <w:tc>
          <w:tcPr>
            <w:tcW w:w="2038" w:type="dxa"/>
          </w:tcPr>
          <w:p w:rsidR="00EC0103" w:rsidRDefault="00EC0103" w:rsidP="00D26E7C">
            <w:pPr>
              <w:rPr>
                <w:b/>
              </w:rPr>
            </w:pPr>
            <w:r>
              <w:rPr>
                <w:b/>
              </w:rPr>
              <w:t>Price offered per annum – year 1</w:t>
            </w:r>
          </w:p>
        </w:tc>
        <w:tc>
          <w:tcPr>
            <w:tcW w:w="2039" w:type="dxa"/>
          </w:tcPr>
          <w:p w:rsidR="00EC0103" w:rsidRDefault="00EC0103" w:rsidP="00D26E7C">
            <w:pPr>
              <w:rPr>
                <w:b/>
              </w:rPr>
            </w:pPr>
          </w:p>
        </w:tc>
        <w:tc>
          <w:tcPr>
            <w:tcW w:w="2039" w:type="dxa"/>
          </w:tcPr>
          <w:p w:rsidR="00EC0103" w:rsidRDefault="00EC0103" w:rsidP="00D26E7C">
            <w:pPr>
              <w:rPr>
                <w:b/>
              </w:rPr>
            </w:pPr>
          </w:p>
        </w:tc>
        <w:tc>
          <w:tcPr>
            <w:tcW w:w="2039" w:type="dxa"/>
          </w:tcPr>
          <w:p w:rsidR="00EC0103" w:rsidRDefault="00EC0103" w:rsidP="00D26E7C">
            <w:pPr>
              <w:rPr>
                <w:b/>
              </w:rPr>
            </w:pPr>
          </w:p>
        </w:tc>
        <w:tc>
          <w:tcPr>
            <w:tcW w:w="2039" w:type="dxa"/>
          </w:tcPr>
          <w:p w:rsidR="00EC0103" w:rsidRDefault="00EC0103" w:rsidP="00D26E7C">
            <w:pPr>
              <w:rPr>
                <w:b/>
              </w:rPr>
            </w:pPr>
          </w:p>
        </w:tc>
      </w:tr>
      <w:tr w:rsidR="00EC0103" w:rsidTr="00EC0103">
        <w:tc>
          <w:tcPr>
            <w:tcW w:w="2038" w:type="dxa"/>
          </w:tcPr>
          <w:p w:rsidR="00EC0103" w:rsidRDefault="00EC0103" w:rsidP="00D26E7C">
            <w:pPr>
              <w:rPr>
                <w:b/>
              </w:rPr>
            </w:pPr>
            <w:r>
              <w:rPr>
                <w:b/>
              </w:rPr>
              <w:t>Price offered per annum – year 2</w:t>
            </w:r>
          </w:p>
        </w:tc>
        <w:tc>
          <w:tcPr>
            <w:tcW w:w="2039" w:type="dxa"/>
          </w:tcPr>
          <w:p w:rsidR="00EC0103" w:rsidRDefault="00EC0103" w:rsidP="00D26E7C">
            <w:pPr>
              <w:rPr>
                <w:b/>
              </w:rPr>
            </w:pPr>
          </w:p>
        </w:tc>
        <w:tc>
          <w:tcPr>
            <w:tcW w:w="2039" w:type="dxa"/>
          </w:tcPr>
          <w:p w:rsidR="00EC0103" w:rsidRDefault="00EC0103" w:rsidP="00D26E7C">
            <w:pPr>
              <w:rPr>
                <w:b/>
              </w:rPr>
            </w:pPr>
          </w:p>
        </w:tc>
        <w:tc>
          <w:tcPr>
            <w:tcW w:w="2039" w:type="dxa"/>
          </w:tcPr>
          <w:p w:rsidR="00EC0103" w:rsidRDefault="00EC0103" w:rsidP="00D26E7C">
            <w:pPr>
              <w:rPr>
                <w:b/>
              </w:rPr>
            </w:pPr>
          </w:p>
        </w:tc>
        <w:tc>
          <w:tcPr>
            <w:tcW w:w="2039" w:type="dxa"/>
          </w:tcPr>
          <w:p w:rsidR="00EC0103" w:rsidRDefault="00EC0103" w:rsidP="00D26E7C">
            <w:pPr>
              <w:rPr>
                <w:b/>
              </w:rPr>
            </w:pPr>
          </w:p>
        </w:tc>
      </w:tr>
      <w:tr w:rsidR="00EC0103" w:rsidTr="00EC0103">
        <w:tc>
          <w:tcPr>
            <w:tcW w:w="2038" w:type="dxa"/>
          </w:tcPr>
          <w:p w:rsidR="00EC0103" w:rsidRDefault="00EC0103" w:rsidP="00D26E7C">
            <w:pPr>
              <w:rPr>
                <w:b/>
              </w:rPr>
            </w:pPr>
            <w:r>
              <w:rPr>
                <w:b/>
              </w:rPr>
              <w:t>Price offered per annum – year 3</w:t>
            </w:r>
          </w:p>
        </w:tc>
        <w:tc>
          <w:tcPr>
            <w:tcW w:w="2039" w:type="dxa"/>
          </w:tcPr>
          <w:p w:rsidR="00EC0103" w:rsidRDefault="00EC0103" w:rsidP="00D26E7C">
            <w:pPr>
              <w:rPr>
                <w:b/>
              </w:rPr>
            </w:pPr>
          </w:p>
        </w:tc>
        <w:tc>
          <w:tcPr>
            <w:tcW w:w="2039" w:type="dxa"/>
          </w:tcPr>
          <w:p w:rsidR="00EC0103" w:rsidRDefault="00EC0103" w:rsidP="00D26E7C">
            <w:pPr>
              <w:rPr>
                <w:b/>
              </w:rPr>
            </w:pPr>
          </w:p>
        </w:tc>
        <w:tc>
          <w:tcPr>
            <w:tcW w:w="2039" w:type="dxa"/>
          </w:tcPr>
          <w:p w:rsidR="00EC0103" w:rsidRDefault="00EC0103" w:rsidP="00D26E7C">
            <w:pPr>
              <w:rPr>
                <w:b/>
              </w:rPr>
            </w:pPr>
          </w:p>
        </w:tc>
        <w:tc>
          <w:tcPr>
            <w:tcW w:w="2039" w:type="dxa"/>
          </w:tcPr>
          <w:p w:rsidR="00EC0103" w:rsidRDefault="00EC0103" w:rsidP="00D26E7C">
            <w:pPr>
              <w:rPr>
                <w:b/>
              </w:rPr>
            </w:pPr>
          </w:p>
        </w:tc>
      </w:tr>
    </w:tbl>
    <w:p w:rsidR="00EC0103" w:rsidRDefault="00EC0103" w:rsidP="00D26E7C">
      <w:pPr>
        <w:rPr>
          <w:b/>
        </w:rPr>
      </w:pPr>
    </w:p>
    <w:p w:rsidR="00EC0103" w:rsidRDefault="00EC0103" w:rsidP="00D26E7C">
      <w:r w:rsidRPr="00EC0103">
        <w:t xml:space="preserve">The total for Year </w:t>
      </w:r>
      <w:r>
        <w:t>1</w:t>
      </w:r>
      <w:r w:rsidRPr="00EC0103">
        <w:t xml:space="preserve"> is the figure required for the </w:t>
      </w:r>
      <w:r w:rsidR="0043275F" w:rsidRPr="00EC0103">
        <w:t>annual</w:t>
      </w:r>
      <w:r w:rsidRPr="00EC0103">
        <w:t xml:space="preserve"> cost as requested in th</w:t>
      </w:r>
      <w:r w:rsidR="00110ACB">
        <w:t>e</w:t>
      </w:r>
      <w:r w:rsidRPr="00EC0103">
        <w:t xml:space="preserve"> Form of Tender document.</w:t>
      </w:r>
    </w:p>
    <w:p w:rsidR="00541E12" w:rsidRDefault="00541E12" w:rsidP="00541E12">
      <w:pPr>
        <w:rPr>
          <w:b/>
        </w:rPr>
      </w:pPr>
      <w:r>
        <w:rPr>
          <w:b/>
        </w:rPr>
        <w:t>New classroom block</w:t>
      </w:r>
    </w:p>
    <w:tbl>
      <w:tblPr>
        <w:tblStyle w:val="TableGrid"/>
        <w:tblW w:w="0" w:type="auto"/>
        <w:tblLook w:val="04A0" w:firstRow="1" w:lastRow="0" w:firstColumn="1" w:lastColumn="0" w:noHBand="0" w:noVBand="1"/>
      </w:tblPr>
      <w:tblGrid>
        <w:gridCol w:w="2038"/>
        <w:gridCol w:w="2039"/>
        <w:gridCol w:w="2039"/>
        <w:gridCol w:w="2039"/>
        <w:gridCol w:w="2039"/>
      </w:tblGrid>
      <w:tr w:rsidR="00541E12" w:rsidTr="00977EB9">
        <w:tc>
          <w:tcPr>
            <w:tcW w:w="2038" w:type="dxa"/>
          </w:tcPr>
          <w:p w:rsidR="00541E12" w:rsidRDefault="00541E12" w:rsidP="00977EB9">
            <w:pPr>
              <w:rPr>
                <w:b/>
              </w:rPr>
            </w:pPr>
          </w:p>
        </w:tc>
        <w:tc>
          <w:tcPr>
            <w:tcW w:w="2039" w:type="dxa"/>
          </w:tcPr>
          <w:p w:rsidR="00541E12" w:rsidRDefault="00541E12" w:rsidP="00977EB9">
            <w:pPr>
              <w:rPr>
                <w:b/>
              </w:rPr>
            </w:pPr>
            <w:r>
              <w:rPr>
                <w:b/>
              </w:rPr>
              <w:t>Labour Costs £</w:t>
            </w:r>
          </w:p>
        </w:tc>
        <w:tc>
          <w:tcPr>
            <w:tcW w:w="2039" w:type="dxa"/>
          </w:tcPr>
          <w:p w:rsidR="00541E12" w:rsidRDefault="00541E12" w:rsidP="00977EB9">
            <w:pPr>
              <w:rPr>
                <w:b/>
              </w:rPr>
            </w:pPr>
            <w:r>
              <w:rPr>
                <w:b/>
              </w:rPr>
              <w:t>Equipment Costs £</w:t>
            </w:r>
          </w:p>
        </w:tc>
        <w:tc>
          <w:tcPr>
            <w:tcW w:w="2039" w:type="dxa"/>
          </w:tcPr>
          <w:p w:rsidR="00541E12" w:rsidRDefault="00541E12" w:rsidP="00977EB9">
            <w:pPr>
              <w:rPr>
                <w:b/>
              </w:rPr>
            </w:pPr>
            <w:r>
              <w:rPr>
                <w:b/>
              </w:rPr>
              <w:t>Consumable / Material Costs £</w:t>
            </w:r>
          </w:p>
        </w:tc>
        <w:tc>
          <w:tcPr>
            <w:tcW w:w="2039" w:type="dxa"/>
          </w:tcPr>
          <w:p w:rsidR="00541E12" w:rsidRDefault="00541E12" w:rsidP="00977EB9">
            <w:pPr>
              <w:rPr>
                <w:b/>
              </w:rPr>
            </w:pPr>
            <w:r>
              <w:rPr>
                <w:b/>
              </w:rPr>
              <w:t>Total Costs £</w:t>
            </w:r>
          </w:p>
        </w:tc>
      </w:tr>
      <w:tr w:rsidR="00541E12" w:rsidTr="00977EB9">
        <w:tc>
          <w:tcPr>
            <w:tcW w:w="2038" w:type="dxa"/>
          </w:tcPr>
          <w:p w:rsidR="00541E12" w:rsidRDefault="00541E12" w:rsidP="00977EB9">
            <w:pPr>
              <w:rPr>
                <w:b/>
              </w:rPr>
            </w:pPr>
            <w:r>
              <w:rPr>
                <w:b/>
              </w:rPr>
              <w:t>Price offered per annum – year 2</w:t>
            </w:r>
          </w:p>
        </w:tc>
        <w:tc>
          <w:tcPr>
            <w:tcW w:w="2039" w:type="dxa"/>
          </w:tcPr>
          <w:p w:rsidR="00541E12" w:rsidRDefault="00541E12" w:rsidP="00977EB9">
            <w:pPr>
              <w:rPr>
                <w:b/>
              </w:rPr>
            </w:pPr>
          </w:p>
        </w:tc>
        <w:tc>
          <w:tcPr>
            <w:tcW w:w="2039" w:type="dxa"/>
          </w:tcPr>
          <w:p w:rsidR="00541E12" w:rsidRDefault="00541E12" w:rsidP="00977EB9">
            <w:pPr>
              <w:rPr>
                <w:b/>
              </w:rPr>
            </w:pPr>
          </w:p>
        </w:tc>
        <w:tc>
          <w:tcPr>
            <w:tcW w:w="2039" w:type="dxa"/>
          </w:tcPr>
          <w:p w:rsidR="00541E12" w:rsidRDefault="00541E12" w:rsidP="00977EB9">
            <w:pPr>
              <w:rPr>
                <w:b/>
              </w:rPr>
            </w:pPr>
          </w:p>
        </w:tc>
        <w:tc>
          <w:tcPr>
            <w:tcW w:w="2039" w:type="dxa"/>
          </w:tcPr>
          <w:p w:rsidR="00541E12" w:rsidRDefault="00541E12" w:rsidP="00977EB9">
            <w:pPr>
              <w:rPr>
                <w:b/>
              </w:rPr>
            </w:pPr>
          </w:p>
        </w:tc>
      </w:tr>
      <w:tr w:rsidR="00541E12" w:rsidTr="00977EB9">
        <w:tc>
          <w:tcPr>
            <w:tcW w:w="2038" w:type="dxa"/>
          </w:tcPr>
          <w:p w:rsidR="00541E12" w:rsidRDefault="00541E12" w:rsidP="00977EB9">
            <w:pPr>
              <w:rPr>
                <w:b/>
              </w:rPr>
            </w:pPr>
            <w:r>
              <w:rPr>
                <w:b/>
              </w:rPr>
              <w:t>Price offered per annum – year 3</w:t>
            </w:r>
          </w:p>
        </w:tc>
        <w:tc>
          <w:tcPr>
            <w:tcW w:w="2039" w:type="dxa"/>
          </w:tcPr>
          <w:p w:rsidR="00541E12" w:rsidRDefault="00541E12" w:rsidP="00977EB9">
            <w:pPr>
              <w:rPr>
                <w:b/>
              </w:rPr>
            </w:pPr>
          </w:p>
        </w:tc>
        <w:tc>
          <w:tcPr>
            <w:tcW w:w="2039" w:type="dxa"/>
          </w:tcPr>
          <w:p w:rsidR="00541E12" w:rsidRDefault="00541E12" w:rsidP="00977EB9">
            <w:pPr>
              <w:rPr>
                <w:b/>
              </w:rPr>
            </w:pPr>
          </w:p>
        </w:tc>
        <w:tc>
          <w:tcPr>
            <w:tcW w:w="2039" w:type="dxa"/>
          </w:tcPr>
          <w:p w:rsidR="00541E12" w:rsidRDefault="00541E12" w:rsidP="00977EB9">
            <w:pPr>
              <w:rPr>
                <w:b/>
              </w:rPr>
            </w:pPr>
          </w:p>
        </w:tc>
        <w:tc>
          <w:tcPr>
            <w:tcW w:w="2039" w:type="dxa"/>
          </w:tcPr>
          <w:p w:rsidR="00541E12" w:rsidRDefault="00541E12" w:rsidP="00977EB9">
            <w:pPr>
              <w:rPr>
                <w:b/>
              </w:rPr>
            </w:pPr>
          </w:p>
        </w:tc>
      </w:tr>
    </w:tbl>
    <w:p w:rsidR="00460FC1" w:rsidRDefault="00460FC1" w:rsidP="00EC0103">
      <w:pPr>
        <w:rPr>
          <w:b/>
        </w:rPr>
      </w:pPr>
    </w:p>
    <w:p w:rsidR="00977EB9" w:rsidRPr="00977EB9" w:rsidRDefault="00977EB9" w:rsidP="00977EB9">
      <w:pPr>
        <w:rPr>
          <w:rFonts w:cstheme="minorHAnsi"/>
        </w:rPr>
      </w:pPr>
      <w:r w:rsidRPr="00977EB9">
        <w:rPr>
          <w:rFonts w:cstheme="minorHAnsi"/>
          <w:iCs/>
        </w:rPr>
        <w:t>Tenderers should note that the School does not provide any guarantee that the provision of Services in respect of the new building will form part of the Contract awarded to the Successful Tenderer. The School may choose, in its absolute discretion, to require the Successful Tenderer to provide the Services in respect of the new building at any point during the term of the Contract, and if it does the Successful Tenderer must provide the services on the basis of the Contract and at a price no higher than the price set out above.</w:t>
      </w:r>
    </w:p>
    <w:p w:rsidR="00977EB9" w:rsidRPr="00977EB9" w:rsidRDefault="00977EB9" w:rsidP="00EC0103">
      <w:pPr>
        <w:rPr>
          <w:rFonts w:cstheme="minorHAnsi"/>
          <w:b/>
        </w:rPr>
      </w:pPr>
    </w:p>
    <w:p w:rsidR="00460FC1" w:rsidRDefault="00460FC1" w:rsidP="00EC0103">
      <w:pPr>
        <w:rPr>
          <w:b/>
        </w:rPr>
      </w:pPr>
    </w:p>
    <w:p w:rsidR="00460FC1" w:rsidRDefault="00460FC1" w:rsidP="00EC0103">
      <w:pPr>
        <w:rPr>
          <w:b/>
        </w:rPr>
      </w:pPr>
    </w:p>
    <w:p w:rsidR="00D26E7C" w:rsidRDefault="00D26E7C" w:rsidP="00EC0103">
      <w:pPr>
        <w:rPr>
          <w:b/>
        </w:rPr>
      </w:pPr>
      <w:r w:rsidRPr="00EC0103">
        <w:rPr>
          <w:b/>
        </w:rPr>
        <w:t>Appendix 3 – DBS Declaration</w:t>
      </w:r>
    </w:p>
    <w:p w:rsidR="00EC0103" w:rsidRDefault="00EC0103" w:rsidP="00EC0103">
      <w:pPr>
        <w:rPr>
          <w:b/>
        </w:rPr>
      </w:pPr>
    </w:p>
    <w:p w:rsidR="00EC0103" w:rsidRPr="009A565B" w:rsidRDefault="00EC0103" w:rsidP="00EC0103">
      <w:pPr>
        <w:rPr>
          <w:b/>
        </w:rPr>
      </w:pPr>
      <w:r w:rsidRPr="009A565B">
        <w:rPr>
          <w:b/>
        </w:rPr>
        <w:t xml:space="preserve">The signed declaration confirms that all employees who will be employed under the provision of this contract have been or will be suitably vetted in accordance with the Disclosure and Barring Service and are suitable and </w:t>
      </w:r>
      <w:r w:rsidR="0043275F" w:rsidRPr="009A565B">
        <w:rPr>
          <w:b/>
        </w:rPr>
        <w:t>appropriately</w:t>
      </w:r>
      <w:r w:rsidRPr="009A565B">
        <w:rPr>
          <w:b/>
        </w:rPr>
        <w:t xml:space="preserve"> trained to </w:t>
      </w:r>
      <w:r w:rsidR="0043275F" w:rsidRPr="009A565B">
        <w:rPr>
          <w:b/>
        </w:rPr>
        <w:t>work</w:t>
      </w:r>
      <w:r w:rsidRPr="009A565B">
        <w:rPr>
          <w:b/>
        </w:rPr>
        <w:t xml:space="preserve"> on a contract of this nature.</w:t>
      </w:r>
    </w:p>
    <w:p w:rsidR="00EC0103" w:rsidRDefault="00EC0103" w:rsidP="00EC0103"/>
    <w:p w:rsidR="00EC0103" w:rsidRDefault="00EC0103" w:rsidP="00EC0103">
      <w:r>
        <w:t xml:space="preserve">For and on behalf </w:t>
      </w:r>
      <w:r w:rsidR="0043275F">
        <w:t>of</w:t>
      </w:r>
      <w:r>
        <w:t xml:space="preserve"> (</w:t>
      </w:r>
      <w:r w:rsidR="0043275F">
        <w:t>insert</w:t>
      </w:r>
      <w:r>
        <w:t xml:space="preserve"> </w:t>
      </w:r>
      <w:r w:rsidR="0043275F">
        <w:t>company) …</w:t>
      </w:r>
      <w:r>
        <w:t>……………………………………………………………………………….</w:t>
      </w:r>
    </w:p>
    <w:p w:rsidR="00EC0103" w:rsidRDefault="00EC0103" w:rsidP="00EC0103">
      <w:r>
        <w:t xml:space="preserve">Authorised Signatory (Please print </w:t>
      </w:r>
      <w:r w:rsidR="0043275F">
        <w:t>name) …</w:t>
      </w:r>
      <w:r>
        <w:t>…………………………………………………………………………</w:t>
      </w:r>
      <w:r w:rsidR="00F5188B">
        <w:t>….</w:t>
      </w:r>
    </w:p>
    <w:p w:rsidR="009A565B" w:rsidRDefault="009A565B" w:rsidP="00EC0103"/>
    <w:p w:rsidR="00EC0103" w:rsidRDefault="00EC0103" w:rsidP="00EC0103">
      <w:r>
        <w:t>Signature…………………………………………………………………Dated………………………………………………….</w:t>
      </w:r>
    </w:p>
    <w:p w:rsidR="00EC0103" w:rsidRDefault="00EC0103" w:rsidP="00EC0103">
      <w:r>
        <w:t xml:space="preserve">Position in </w:t>
      </w:r>
      <w:r w:rsidR="0043275F">
        <w:t>Company</w:t>
      </w:r>
      <w:r>
        <w:t>……………………………………………………………………………………………………………</w:t>
      </w:r>
    </w:p>
    <w:p w:rsidR="00EC0103" w:rsidRDefault="0043275F" w:rsidP="00EC0103">
      <w:r>
        <w:t>Telephone</w:t>
      </w:r>
      <w:r w:rsidR="00EC0103">
        <w:t xml:space="preserve"> number for Contact………………………………………………………</w:t>
      </w:r>
      <w:r w:rsidR="00F5188B">
        <w:t>….</w:t>
      </w:r>
    </w:p>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Default="00EC0103" w:rsidP="00EC0103"/>
    <w:p w:rsidR="00EC0103" w:rsidRPr="00EC0103" w:rsidRDefault="00EC0103" w:rsidP="00EC0103">
      <w:pPr>
        <w:rPr>
          <w:b/>
        </w:rPr>
      </w:pPr>
    </w:p>
    <w:p w:rsidR="00D26E7C" w:rsidRDefault="00D26E7C" w:rsidP="00EC0103">
      <w:pPr>
        <w:rPr>
          <w:b/>
        </w:rPr>
      </w:pPr>
      <w:r w:rsidRPr="00EC0103">
        <w:rPr>
          <w:b/>
        </w:rPr>
        <w:t xml:space="preserve">Appendix 4 – </w:t>
      </w:r>
      <w:r w:rsidR="0043275F" w:rsidRPr="00EC0103">
        <w:rPr>
          <w:b/>
        </w:rPr>
        <w:t>Qualification</w:t>
      </w:r>
      <w:r w:rsidRPr="00EC0103">
        <w:rPr>
          <w:b/>
        </w:rPr>
        <w:t xml:space="preserve"> of Contract</w:t>
      </w:r>
    </w:p>
    <w:p w:rsidR="00EC0103" w:rsidRDefault="00EC0103" w:rsidP="00EC0103">
      <w:pPr>
        <w:rPr>
          <w:b/>
        </w:rPr>
      </w:pPr>
    </w:p>
    <w:p w:rsidR="00EC0103" w:rsidRPr="00EC0103" w:rsidRDefault="00EC0103" w:rsidP="00EC0103">
      <w:r w:rsidRPr="00EC0103">
        <w:t>The tenderer should submit details under this heading only if unable fully to comply with the Specification or other aspects of the proposed Contract.  A nil response here will signify unqualified acceptance of the Contract in its entirety.</w:t>
      </w:r>
    </w:p>
    <w:p w:rsidR="00D26E7C" w:rsidRPr="00D26E7C" w:rsidRDefault="00D26E7C" w:rsidP="00721745">
      <w:pPr>
        <w:pStyle w:val="NoSpacing"/>
      </w:pPr>
    </w:p>
    <w:sectPr w:rsidR="00D26E7C" w:rsidRPr="00D26E7C" w:rsidSect="00B9258F">
      <w:headerReference w:type="default" r:id="rId8"/>
      <w:footerReference w:type="default" r:id="rId9"/>
      <w:pgSz w:w="11906" w:h="16838"/>
      <w:pgMar w:top="1168" w:right="851" w:bottom="1440" w:left="851" w:header="284"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B9" w:rsidRDefault="00977EB9" w:rsidP="00B9258F">
      <w:pPr>
        <w:spacing w:after="0" w:line="240" w:lineRule="auto"/>
      </w:pPr>
      <w:r>
        <w:separator/>
      </w:r>
    </w:p>
  </w:endnote>
  <w:endnote w:type="continuationSeparator" w:id="0">
    <w:p w:rsidR="00977EB9" w:rsidRDefault="00977EB9" w:rsidP="00B9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00000001" w:usb1="02000001" w:usb2="00000000" w:usb3="00000000" w:csb0="0000019F" w:csb1="00000000"/>
  </w:font>
  <w:font w:name="Raleway Medium">
    <w:altName w:val="Franklin Gothic Medium"/>
    <w:charset w:val="00"/>
    <w:family w:val="swiss"/>
    <w:pitch w:val="variable"/>
    <w:sig w:usb0="00000001" w:usb1="5000205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62106"/>
      <w:docPartObj>
        <w:docPartGallery w:val="Page Numbers (Bottom of Page)"/>
        <w:docPartUnique/>
      </w:docPartObj>
    </w:sdtPr>
    <w:sdtEndPr/>
    <w:sdtContent>
      <w:sdt>
        <w:sdtPr>
          <w:id w:val="-1769616900"/>
          <w:docPartObj>
            <w:docPartGallery w:val="Page Numbers (Top of Page)"/>
            <w:docPartUnique/>
          </w:docPartObj>
        </w:sdtPr>
        <w:sdtEndPr/>
        <w:sdtContent>
          <w:p w:rsidR="00977EB9" w:rsidRDefault="00977EB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846AE">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46AE">
              <w:rPr>
                <w:b/>
                <w:bCs/>
                <w:noProof/>
              </w:rPr>
              <w:t>19</w:t>
            </w:r>
            <w:r>
              <w:rPr>
                <w:b/>
                <w:bCs/>
                <w:sz w:val="24"/>
                <w:szCs w:val="24"/>
              </w:rPr>
              <w:fldChar w:fldCharType="end"/>
            </w:r>
          </w:p>
          <w:p w:rsidR="00977EB9" w:rsidRDefault="00977EB9">
            <w:pPr>
              <w:pStyle w:val="Footer"/>
              <w:jc w:val="right"/>
            </w:pPr>
            <w:r>
              <w:rPr>
                <w:b/>
                <w:bCs/>
                <w:sz w:val="24"/>
                <w:szCs w:val="24"/>
              </w:rPr>
              <w:t>Southfield School building cleaning services tender</w:t>
            </w:r>
          </w:p>
        </w:sdtContent>
      </w:sdt>
    </w:sdtContent>
  </w:sdt>
  <w:p w:rsidR="00977EB9" w:rsidRDefault="00977E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B9" w:rsidRDefault="00977EB9" w:rsidP="00B9258F">
      <w:pPr>
        <w:spacing w:after="0" w:line="240" w:lineRule="auto"/>
      </w:pPr>
      <w:r>
        <w:separator/>
      </w:r>
    </w:p>
  </w:footnote>
  <w:footnote w:type="continuationSeparator" w:id="0">
    <w:p w:rsidR="00977EB9" w:rsidRDefault="00977EB9" w:rsidP="00B9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EB9" w:rsidRPr="003B7B0E" w:rsidRDefault="00977EB9" w:rsidP="00B9258F">
    <w:pPr>
      <w:pStyle w:val="Header"/>
      <w:tabs>
        <w:tab w:val="clear" w:pos="4513"/>
        <w:tab w:val="clear" w:pos="9026"/>
        <w:tab w:val="right" w:pos="3544"/>
      </w:tabs>
      <w:ind w:firstLine="1418"/>
      <w:rPr>
        <w:rFonts w:ascii="Raleway Medium" w:hAnsi="Raleway Medium" w:cstheme="minorHAnsi"/>
        <w:sz w:val="28"/>
        <w:szCs w:val="28"/>
      </w:rPr>
    </w:pPr>
    <w:r w:rsidRPr="003B7B0E">
      <w:rPr>
        <w:rFonts w:ascii="Raleway Medium" w:hAnsi="Raleway Medium"/>
        <w:noProof/>
        <w:sz w:val="28"/>
        <w:lang w:eastAsia="en-GB"/>
      </w:rPr>
      <w:drawing>
        <wp:anchor distT="0" distB="0" distL="114300" distR="114300" simplePos="0" relativeHeight="251659264" behindDoc="0" locked="0" layoutInCell="1" allowOverlap="1" wp14:anchorId="1A52AAF7" wp14:editId="70758A83">
          <wp:simplePos x="0" y="0"/>
          <wp:positionH relativeFrom="column">
            <wp:posOffset>-170734</wp:posOffset>
          </wp:positionH>
          <wp:positionV relativeFrom="paragraph">
            <wp:posOffset>-14970</wp:posOffset>
          </wp:positionV>
          <wp:extent cx="772633" cy="1248036"/>
          <wp:effectExtent l="0" t="0" r="889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field School for Girl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753" cy="1282151"/>
                  </a:xfrm>
                  <a:prstGeom prst="rect">
                    <a:avLst/>
                  </a:prstGeom>
                  <a:noFill/>
                </pic:spPr>
              </pic:pic>
            </a:graphicData>
          </a:graphic>
          <wp14:sizeRelH relativeFrom="page">
            <wp14:pctWidth>0</wp14:pctWidth>
          </wp14:sizeRelH>
          <wp14:sizeRelV relativeFrom="page">
            <wp14:pctHeight>0</wp14:pctHeight>
          </wp14:sizeRelV>
        </wp:anchor>
      </w:drawing>
    </w:r>
    <w:r w:rsidRPr="003B7B0E">
      <w:rPr>
        <w:rFonts w:ascii="Raleway Medium" w:hAnsi="Raleway Medium"/>
        <w:noProof/>
        <w:sz w:val="28"/>
        <w:lang w:eastAsia="en-GB"/>
      </w:rPr>
      <mc:AlternateContent>
        <mc:Choice Requires="wps">
          <w:drawing>
            <wp:anchor distT="0" distB="0" distL="114300" distR="114300" simplePos="0" relativeHeight="251660288" behindDoc="0" locked="0" layoutInCell="1" allowOverlap="1" wp14:anchorId="684FBA0D" wp14:editId="55A1654E">
              <wp:simplePos x="0" y="0"/>
              <wp:positionH relativeFrom="column">
                <wp:posOffset>787400</wp:posOffset>
              </wp:positionH>
              <wp:positionV relativeFrom="paragraph">
                <wp:posOffset>10795</wp:posOffset>
              </wp:positionV>
              <wp:extent cx="635" cy="1260000"/>
              <wp:effectExtent l="0" t="0" r="37465" b="355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000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D602A" id="_x0000_t32" coordsize="21600,21600" o:spt="32" o:oned="t" path="m,l21600,21600e" filled="f">
              <v:path arrowok="t" fillok="f" o:connecttype="none"/>
              <o:lock v:ext="edit" shapetype="t"/>
            </v:shapetype>
            <v:shape id="AutoShape 7" o:spid="_x0000_s1026" type="#_x0000_t32" style="position:absolute;margin-left:62pt;margin-top:.85pt;width:.05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" strokecolor="#c00000"/>
          </w:pict>
        </mc:Fallback>
      </mc:AlternateContent>
    </w:r>
    <w:r w:rsidRPr="003B7B0E">
      <w:rPr>
        <w:rFonts w:ascii="Raleway Medium" w:hAnsi="Raleway Medium" w:cstheme="minorHAnsi"/>
        <w:sz w:val="28"/>
      </w:rPr>
      <w:t>S</w:t>
    </w:r>
    <w:r w:rsidRPr="003B7B0E">
      <w:rPr>
        <w:rFonts w:ascii="Raleway Medium" w:hAnsi="Raleway Medium" w:cstheme="minorHAnsi"/>
        <w:sz w:val="28"/>
        <w:szCs w:val="28"/>
      </w:rPr>
      <w:t>outhfield School</w:t>
    </w:r>
  </w:p>
  <w:p w:rsidR="00977EB9" w:rsidRPr="003B7B0E" w:rsidRDefault="00977EB9" w:rsidP="00B9258F">
    <w:pPr>
      <w:pStyle w:val="Header"/>
      <w:tabs>
        <w:tab w:val="clear" w:pos="4513"/>
        <w:tab w:val="clear" w:pos="9026"/>
        <w:tab w:val="right" w:pos="3544"/>
      </w:tabs>
      <w:ind w:firstLine="1418"/>
      <w:rPr>
        <w:rFonts w:ascii="Raleway Medium" w:hAnsi="Raleway Medium" w:cstheme="minorHAnsi"/>
        <w:color w:val="7F7F7F" w:themeColor="text1" w:themeTint="80"/>
      </w:rPr>
    </w:pPr>
    <w:r w:rsidRPr="003B7B0E">
      <w:rPr>
        <w:rFonts w:ascii="Raleway Medium" w:hAnsi="Raleway Medium" w:cstheme="minorHAnsi"/>
        <w:color w:val="7F7F7F" w:themeColor="text1" w:themeTint="80"/>
      </w:rPr>
      <w:t>A world of possibilities</w:t>
    </w:r>
  </w:p>
  <w:p w:rsidR="00977EB9" w:rsidRPr="00A95A55" w:rsidRDefault="00977EB9" w:rsidP="00B9258F">
    <w:pPr>
      <w:pStyle w:val="Header"/>
      <w:tabs>
        <w:tab w:val="clear" w:pos="4513"/>
        <w:tab w:val="clear" w:pos="9026"/>
        <w:tab w:val="right" w:pos="3544"/>
      </w:tabs>
      <w:ind w:firstLine="1418"/>
      <w:rPr>
        <w:rFonts w:ascii="Source Sans Pro" w:hAnsi="Source Sans Pro" w:cstheme="minorHAnsi"/>
      </w:rPr>
    </w:pPr>
    <w:r w:rsidRPr="00A95A55">
      <w:rPr>
        <w:rFonts w:ascii="Source Sans Pro" w:hAnsi="Source Sans Pro" w:cstheme="minorHAnsi"/>
      </w:rPr>
      <w:t>a: Lewis Road, Kettering, Northants, NN15 6HE</w:t>
    </w:r>
  </w:p>
  <w:p w:rsidR="00977EB9" w:rsidRPr="00A95A55" w:rsidRDefault="00977EB9"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ab/>
      <w:t>e: enquiries@southfieldsch.co.uk</w:t>
    </w:r>
  </w:p>
  <w:p w:rsidR="00977EB9" w:rsidRPr="00A95A55" w:rsidRDefault="00977EB9"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ab/>
      <w:t>w: www.southfieldsch.co.uk</w:t>
    </w:r>
  </w:p>
  <w:p w:rsidR="00977EB9" w:rsidRPr="00A95A55" w:rsidRDefault="00977EB9"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t: 01536 513 063</w:t>
    </w:r>
  </w:p>
  <w:p w:rsidR="00977EB9" w:rsidRPr="00A95A55" w:rsidRDefault="00977EB9"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f: 01536 518 483</w:t>
    </w:r>
  </w:p>
  <w:p w:rsidR="00977EB9" w:rsidRDefault="00977EB9" w:rsidP="00B9258F">
    <w:pPr>
      <w:pStyle w:val="Header"/>
      <w:tabs>
        <w:tab w:val="clear" w:pos="4513"/>
        <w:tab w:val="clear" w:pos="9026"/>
        <w:tab w:val="right" w:pos="2127"/>
      </w:tabs>
    </w:pPr>
  </w:p>
  <w:p w:rsidR="00977EB9" w:rsidRDefault="00977E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9E77264"/>
    <w:multiLevelType w:val="hybridMultilevel"/>
    <w:tmpl w:val="EA541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B24A82"/>
    <w:multiLevelType w:val="hybridMultilevel"/>
    <w:tmpl w:val="5056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C513A"/>
    <w:multiLevelType w:val="hybridMultilevel"/>
    <w:tmpl w:val="B3E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4444B"/>
    <w:multiLevelType w:val="hybridMultilevel"/>
    <w:tmpl w:val="507E781E"/>
    <w:lvl w:ilvl="0" w:tplc="6076F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425F5"/>
    <w:multiLevelType w:val="hybridMultilevel"/>
    <w:tmpl w:val="75C239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1041F2"/>
    <w:multiLevelType w:val="hybridMultilevel"/>
    <w:tmpl w:val="9D2C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37B0C"/>
    <w:multiLevelType w:val="hybridMultilevel"/>
    <w:tmpl w:val="995E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C03BF"/>
    <w:multiLevelType w:val="hybridMultilevel"/>
    <w:tmpl w:val="EE3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2748A"/>
    <w:multiLevelType w:val="hybridMultilevel"/>
    <w:tmpl w:val="55DA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B49CF"/>
    <w:multiLevelType w:val="hybridMultilevel"/>
    <w:tmpl w:val="910A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781C177A"/>
    <w:multiLevelType w:val="hybridMultilevel"/>
    <w:tmpl w:val="B9081700"/>
    <w:lvl w:ilvl="0" w:tplc="630419F0">
      <w:start w:val="1"/>
      <w:numFmt w:val="bullet"/>
      <w:lvlText w:val=""/>
      <w:lvlJc w:val="left"/>
      <w:pPr>
        <w:tabs>
          <w:tab w:val="num" w:pos="720"/>
        </w:tabs>
        <w:ind w:left="720" w:hanging="360"/>
      </w:pPr>
      <w:rPr>
        <w:rFonts w:ascii="Wingdings" w:hAnsi="Wingdings" w:hint="default"/>
        <w:color w:val="66006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6"/>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EF"/>
    <w:rsid w:val="000055AB"/>
    <w:rsid w:val="00011647"/>
    <w:rsid w:val="000D4BDB"/>
    <w:rsid w:val="00110ACB"/>
    <w:rsid w:val="0015738A"/>
    <w:rsid w:val="00185150"/>
    <w:rsid w:val="00212645"/>
    <w:rsid w:val="00255213"/>
    <w:rsid w:val="002B61AF"/>
    <w:rsid w:val="002F11E8"/>
    <w:rsid w:val="00313BBC"/>
    <w:rsid w:val="003F1038"/>
    <w:rsid w:val="00412A1D"/>
    <w:rsid w:val="0043275F"/>
    <w:rsid w:val="00460FC1"/>
    <w:rsid w:val="004724C7"/>
    <w:rsid w:val="004C5C1E"/>
    <w:rsid w:val="004D4060"/>
    <w:rsid w:val="004E390E"/>
    <w:rsid w:val="005061EE"/>
    <w:rsid w:val="00510B01"/>
    <w:rsid w:val="005165EF"/>
    <w:rsid w:val="00541E12"/>
    <w:rsid w:val="00550039"/>
    <w:rsid w:val="00602110"/>
    <w:rsid w:val="00636AE9"/>
    <w:rsid w:val="00653B20"/>
    <w:rsid w:val="006772F5"/>
    <w:rsid w:val="006D3C9A"/>
    <w:rsid w:val="006F79F3"/>
    <w:rsid w:val="00721745"/>
    <w:rsid w:val="00734253"/>
    <w:rsid w:val="007351B6"/>
    <w:rsid w:val="00790E91"/>
    <w:rsid w:val="0080050E"/>
    <w:rsid w:val="00857A89"/>
    <w:rsid w:val="00857BAB"/>
    <w:rsid w:val="008801B8"/>
    <w:rsid w:val="008953AF"/>
    <w:rsid w:val="008C5CAD"/>
    <w:rsid w:val="008E3516"/>
    <w:rsid w:val="00957F51"/>
    <w:rsid w:val="00977EB9"/>
    <w:rsid w:val="009A565B"/>
    <w:rsid w:val="009E0E53"/>
    <w:rsid w:val="009E3381"/>
    <w:rsid w:val="00A317B4"/>
    <w:rsid w:val="00A52208"/>
    <w:rsid w:val="00A846AE"/>
    <w:rsid w:val="00A94A2F"/>
    <w:rsid w:val="00AA3C63"/>
    <w:rsid w:val="00B3521D"/>
    <w:rsid w:val="00B9258F"/>
    <w:rsid w:val="00B9448D"/>
    <w:rsid w:val="00BF74BA"/>
    <w:rsid w:val="00C31DE1"/>
    <w:rsid w:val="00C5336A"/>
    <w:rsid w:val="00C536A8"/>
    <w:rsid w:val="00CA2549"/>
    <w:rsid w:val="00CC1060"/>
    <w:rsid w:val="00CC34DF"/>
    <w:rsid w:val="00CC5F06"/>
    <w:rsid w:val="00D21CE1"/>
    <w:rsid w:val="00D26E7C"/>
    <w:rsid w:val="00D50481"/>
    <w:rsid w:val="00DD6E18"/>
    <w:rsid w:val="00DF38C1"/>
    <w:rsid w:val="00E223F6"/>
    <w:rsid w:val="00EA6E01"/>
    <w:rsid w:val="00EC0103"/>
    <w:rsid w:val="00EC1CC1"/>
    <w:rsid w:val="00F5188B"/>
    <w:rsid w:val="00F67A12"/>
    <w:rsid w:val="00F76565"/>
    <w:rsid w:val="00FA07F9"/>
    <w:rsid w:val="00FA3BDC"/>
    <w:rsid w:val="00FB0D61"/>
    <w:rsid w:val="00FB706A"/>
    <w:rsid w:val="00FD0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2CB9C8"/>
  <w15:chartTrackingRefBased/>
  <w15:docId w15:val="{BB3D838D-AF5A-4A47-A2C6-18F1DCE9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58F"/>
  </w:style>
  <w:style w:type="paragraph" w:styleId="Footer">
    <w:name w:val="footer"/>
    <w:basedOn w:val="Normal"/>
    <w:link w:val="FooterChar"/>
    <w:uiPriority w:val="99"/>
    <w:unhideWhenUsed/>
    <w:rsid w:val="00B92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58F"/>
  </w:style>
  <w:style w:type="paragraph" w:styleId="ListParagraph">
    <w:name w:val="List Paragraph"/>
    <w:basedOn w:val="Normal"/>
    <w:uiPriority w:val="34"/>
    <w:qFormat/>
    <w:rsid w:val="00212645"/>
    <w:pPr>
      <w:ind w:left="720"/>
      <w:contextualSpacing/>
    </w:pPr>
  </w:style>
  <w:style w:type="table" w:styleId="TableGrid">
    <w:name w:val="Table Grid"/>
    <w:basedOn w:val="TableNormal"/>
    <w:uiPriority w:val="39"/>
    <w:rsid w:val="00212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12645"/>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857A89"/>
    <w:rPr>
      <w:color w:val="0563C1" w:themeColor="hyperlink"/>
      <w:u w:val="single"/>
    </w:rPr>
  </w:style>
  <w:style w:type="paragraph" w:styleId="NoSpacing">
    <w:name w:val="No Spacing"/>
    <w:uiPriority w:val="1"/>
    <w:qFormat/>
    <w:rsid w:val="00CC34DF"/>
    <w:pPr>
      <w:spacing w:after="0" w:line="240" w:lineRule="auto"/>
    </w:pPr>
  </w:style>
  <w:style w:type="paragraph" w:styleId="BalloonText">
    <w:name w:val="Balloon Text"/>
    <w:basedOn w:val="Normal"/>
    <w:link w:val="BalloonTextChar"/>
    <w:uiPriority w:val="99"/>
    <w:semiHidden/>
    <w:unhideWhenUsed/>
    <w:rsid w:val="00011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637365">
      <w:bodyDiv w:val="1"/>
      <w:marLeft w:val="0"/>
      <w:marRight w:val="0"/>
      <w:marTop w:val="0"/>
      <w:marBottom w:val="0"/>
      <w:divBdr>
        <w:top w:val="none" w:sz="0" w:space="0" w:color="auto"/>
        <w:left w:val="none" w:sz="0" w:space="0" w:color="auto"/>
        <w:bottom w:val="none" w:sz="0" w:space="0" w:color="auto"/>
        <w:right w:val="none" w:sz="0" w:space="0" w:color="auto"/>
      </w:divBdr>
    </w:div>
    <w:div w:id="1001665336">
      <w:bodyDiv w:val="1"/>
      <w:marLeft w:val="0"/>
      <w:marRight w:val="0"/>
      <w:marTop w:val="0"/>
      <w:marBottom w:val="0"/>
      <w:divBdr>
        <w:top w:val="none" w:sz="0" w:space="0" w:color="auto"/>
        <w:left w:val="none" w:sz="0" w:space="0" w:color="auto"/>
        <w:bottom w:val="none" w:sz="0" w:space="0" w:color="auto"/>
        <w:right w:val="none" w:sz="0" w:space="0" w:color="auto"/>
      </w:divBdr>
    </w:div>
    <w:div w:id="12673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williams@southfieldsc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19</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Southfield School</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Swingler</dc:creator>
  <cp:keywords/>
  <dc:description/>
  <cp:lastModifiedBy>Alison Williams</cp:lastModifiedBy>
  <cp:revision>8</cp:revision>
  <cp:lastPrinted>2019-03-25T11:09:00Z</cp:lastPrinted>
  <dcterms:created xsi:type="dcterms:W3CDTF">2019-04-02T11:30:00Z</dcterms:created>
  <dcterms:modified xsi:type="dcterms:W3CDTF">2019-04-03T09:04:00Z</dcterms:modified>
</cp:coreProperties>
</file>