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6F87" w:rsidRDefault="004165F5">
      <w:pPr>
        <w:spacing w:after="2145"/>
        <w:ind w:right="459"/>
        <w:jc w:val="center"/>
      </w:pPr>
      <w:bookmarkStart w:id="0" w:name="_GoBack"/>
      <w:bookmarkEnd w:id="0"/>
      <w:r>
        <w:rPr>
          <w:rFonts w:ascii="Book Antiqua" w:eastAsia="Book Antiqua" w:hAnsi="Book Antiqua" w:cs="Book Antiqua"/>
          <w:b/>
          <w:sz w:val="24"/>
        </w:rPr>
        <w:t xml:space="preserve"> </w:t>
      </w:r>
    </w:p>
    <w:p w:rsidR="00576F87" w:rsidRDefault="004165F5">
      <w:pPr>
        <w:spacing w:after="575"/>
        <w:ind w:right="2691"/>
        <w:jc w:val="right"/>
      </w:pPr>
      <w:r>
        <w:rPr>
          <w:rFonts w:ascii="Book Antiqua" w:eastAsia="Book Antiqua" w:hAnsi="Book Antiqua" w:cs="Book Antiqua"/>
          <w:b/>
          <w:color w:val="FF0000"/>
          <w:sz w:val="24"/>
        </w:rPr>
        <w:t xml:space="preserve"> </w:t>
      </w:r>
    </w:p>
    <w:p w:rsidR="00576F87" w:rsidRDefault="004165F5">
      <w:pPr>
        <w:spacing w:after="342"/>
        <w:ind w:left="2109" w:hanging="10"/>
      </w:pPr>
      <w:r>
        <w:rPr>
          <w:rFonts w:ascii="Book Antiqua" w:eastAsia="Book Antiqua" w:hAnsi="Book Antiqua" w:cs="Book Antiqua"/>
          <w:b/>
          <w:sz w:val="24"/>
        </w:rPr>
        <w:t>LONDON PENSIONS FUND AUTHORITY</w:t>
      </w:r>
    </w:p>
    <w:p w:rsidR="00576F87" w:rsidRDefault="004165F5">
      <w:pPr>
        <w:spacing w:after="314"/>
        <w:ind w:right="459"/>
        <w:jc w:val="center"/>
      </w:pPr>
      <w:r>
        <w:rPr>
          <w:rFonts w:ascii="Book Antiqua" w:eastAsia="Book Antiqua" w:hAnsi="Book Antiqua" w:cs="Book Antiqua"/>
          <w:b/>
          <w:sz w:val="24"/>
        </w:rPr>
        <w:t>STATEMENT OF ACCOUNTS</w:t>
      </w:r>
    </w:p>
    <w:p w:rsidR="00576F87" w:rsidRDefault="004165F5">
      <w:pPr>
        <w:spacing w:after="342"/>
        <w:ind w:left="2235" w:hanging="10"/>
      </w:pPr>
      <w:r>
        <w:rPr>
          <w:rFonts w:ascii="Book Antiqua" w:eastAsia="Book Antiqua" w:hAnsi="Book Antiqua" w:cs="Book Antiqua"/>
          <w:b/>
          <w:sz w:val="24"/>
        </w:rPr>
        <w:t>FOR THE YEAR ENDED 31 MARCH 2018</w:t>
      </w:r>
      <w:r>
        <w:br w:type="page"/>
      </w:r>
    </w:p>
    <w:p w:rsidR="00576F87" w:rsidRDefault="004165F5">
      <w:pPr>
        <w:spacing w:after="302"/>
        <w:ind w:left="5" w:hanging="10"/>
      </w:pPr>
      <w:r>
        <w:rPr>
          <w:rFonts w:ascii="Book Antiqua" w:eastAsia="Book Antiqua" w:hAnsi="Book Antiqua" w:cs="Book Antiqua"/>
          <w:b/>
          <w:color w:val="3F977F"/>
          <w:sz w:val="28"/>
        </w:rPr>
        <w:lastRenderedPageBreak/>
        <w:t>LPFA Accounts 31 March 2018</w:t>
      </w:r>
    </w:p>
    <w:p w:rsidR="00576F87" w:rsidRDefault="004165F5">
      <w:pPr>
        <w:spacing w:after="0"/>
        <w:ind w:left="5" w:hanging="10"/>
      </w:pPr>
      <w:r>
        <w:rPr>
          <w:rFonts w:ascii="Book Antiqua" w:eastAsia="Book Antiqua" w:hAnsi="Book Antiqua" w:cs="Book Antiqua"/>
          <w:b/>
          <w:color w:val="3F977F"/>
          <w:sz w:val="28"/>
        </w:rPr>
        <w:t>INFORMATION</w:t>
      </w:r>
    </w:p>
    <w:p w:rsidR="00576F87" w:rsidRDefault="004165F5">
      <w:pPr>
        <w:spacing w:after="258"/>
        <w:ind w:left="5" w:hanging="10"/>
      </w:pPr>
      <w:r>
        <w:rPr>
          <w:rFonts w:ascii="Book Antiqua" w:eastAsia="Book Antiqua" w:hAnsi="Book Antiqua" w:cs="Book Antiqua"/>
          <w:b/>
          <w:color w:val="3F977F"/>
          <w:sz w:val="28"/>
        </w:rPr>
        <w:t>FOR THE YEAR ENDED 31 MARCH 2018</w:t>
      </w:r>
    </w:p>
    <w:p w:rsidR="00576F87" w:rsidRDefault="004165F5">
      <w:pPr>
        <w:spacing w:after="168"/>
        <w:ind w:left="2905"/>
        <w:jc w:val="center"/>
      </w:pPr>
      <w:r>
        <w:rPr>
          <w:rFonts w:ascii="Book Antiqua" w:eastAsia="Book Antiqua" w:hAnsi="Book Antiqua" w:cs="Book Antiqua"/>
          <w:sz w:val="20"/>
        </w:rPr>
        <w:t xml:space="preserve"> </w:t>
      </w:r>
    </w:p>
    <w:tbl>
      <w:tblPr>
        <w:tblStyle w:val="TableGrid"/>
        <w:tblW w:w="6970" w:type="dxa"/>
        <w:tblInd w:w="1032" w:type="dxa"/>
        <w:tblCellMar>
          <w:top w:w="0" w:type="dxa"/>
          <w:left w:w="0" w:type="dxa"/>
          <w:bottom w:w="0" w:type="dxa"/>
          <w:right w:w="0" w:type="dxa"/>
        </w:tblCellMar>
        <w:tblLook w:val="04A0" w:firstRow="1" w:lastRow="0" w:firstColumn="1" w:lastColumn="0" w:noHBand="0" w:noVBand="1"/>
      </w:tblPr>
      <w:tblGrid>
        <w:gridCol w:w="3096"/>
        <w:gridCol w:w="3874"/>
      </w:tblGrid>
      <w:tr w:rsidR="00576F87">
        <w:trPr>
          <w:trHeight w:val="3292"/>
        </w:trPr>
        <w:tc>
          <w:tcPr>
            <w:tcW w:w="3096" w:type="dxa"/>
            <w:tcBorders>
              <w:top w:val="nil"/>
              <w:left w:val="nil"/>
              <w:bottom w:val="nil"/>
              <w:right w:val="nil"/>
            </w:tcBorders>
          </w:tcPr>
          <w:p w:rsidR="00576F87" w:rsidRDefault="004165F5">
            <w:pPr>
              <w:spacing w:after="0"/>
            </w:pPr>
            <w:r>
              <w:rPr>
                <w:rFonts w:ascii="Book Antiqua" w:eastAsia="Book Antiqua" w:hAnsi="Book Antiqua" w:cs="Book Antiqua"/>
                <w:b/>
                <w:sz w:val="20"/>
              </w:rPr>
              <w:t>Directors</w:t>
            </w:r>
          </w:p>
        </w:tc>
        <w:tc>
          <w:tcPr>
            <w:tcW w:w="3874" w:type="dxa"/>
            <w:tcBorders>
              <w:top w:val="nil"/>
              <w:left w:val="nil"/>
              <w:bottom w:val="nil"/>
              <w:right w:val="nil"/>
            </w:tcBorders>
          </w:tcPr>
          <w:p w:rsidR="00576F87" w:rsidRDefault="004165F5">
            <w:pPr>
              <w:spacing w:after="50"/>
            </w:pPr>
            <w:r>
              <w:rPr>
                <w:rFonts w:ascii="Book Antiqua" w:eastAsia="Book Antiqua" w:hAnsi="Book Antiqua" w:cs="Book Antiqua"/>
                <w:sz w:val="20"/>
              </w:rPr>
              <w:t>Cllr Stephen Alambritis</w:t>
            </w:r>
          </w:p>
          <w:p w:rsidR="00576F87" w:rsidRDefault="004165F5">
            <w:pPr>
              <w:spacing w:after="50"/>
            </w:pPr>
            <w:r>
              <w:rPr>
                <w:rFonts w:ascii="Book Antiqua" w:eastAsia="Book Antiqua" w:hAnsi="Book Antiqua" w:cs="Book Antiqua"/>
                <w:sz w:val="20"/>
              </w:rPr>
              <w:t>Mike Allen (resigned 31 March 2018)</w:t>
            </w:r>
          </w:p>
          <w:p w:rsidR="00576F87" w:rsidRDefault="004165F5">
            <w:pPr>
              <w:spacing w:after="50"/>
            </w:pPr>
            <w:r>
              <w:rPr>
                <w:rFonts w:ascii="Book Antiqua" w:eastAsia="Book Antiqua" w:hAnsi="Book Antiqua" w:cs="Book Antiqua"/>
                <w:sz w:val="20"/>
              </w:rPr>
              <w:t>Robert Branagh (appointed 1 April 2018)</w:t>
            </w:r>
          </w:p>
          <w:p w:rsidR="00576F87" w:rsidRDefault="004165F5">
            <w:pPr>
              <w:spacing w:after="50"/>
            </w:pPr>
            <w:r>
              <w:rPr>
                <w:rFonts w:ascii="Book Antiqua" w:eastAsia="Book Antiqua" w:hAnsi="Book Antiqua" w:cs="Book Antiqua"/>
                <w:sz w:val="20"/>
              </w:rPr>
              <w:t>Sir Merrick Cockell</w:t>
            </w:r>
          </w:p>
          <w:p w:rsidR="00576F87" w:rsidRDefault="004165F5">
            <w:pPr>
              <w:spacing w:after="50"/>
            </w:pPr>
            <w:r>
              <w:rPr>
                <w:rFonts w:ascii="Book Antiqua" w:eastAsia="Book Antiqua" w:hAnsi="Book Antiqua" w:cs="Book Antiqua"/>
                <w:sz w:val="20"/>
              </w:rPr>
              <w:t>Terence Jagger</w:t>
            </w:r>
          </w:p>
          <w:p w:rsidR="00576F87" w:rsidRDefault="004165F5">
            <w:pPr>
              <w:spacing w:after="50"/>
            </w:pPr>
            <w:r>
              <w:rPr>
                <w:rFonts w:ascii="Book Antiqua" w:eastAsia="Book Antiqua" w:hAnsi="Book Antiqua" w:cs="Book Antiqua"/>
                <w:sz w:val="20"/>
              </w:rPr>
              <w:t>Dermot McMullan</w:t>
            </w:r>
          </w:p>
          <w:p w:rsidR="00576F87" w:rsidRDefault="004165F5">
            <w:pPr>
              <w:spacing w:after="50"/>
            </w:pPr>
            <w:r>
              <w:rPr>
                <w:rFonts w:ascii="Book Antiqua" w:eastAsia="Book Antiqua" w:hAnsi="Book Antiqua" w:cs="Book Antiqua"/>
                <w:sz w:val="20"/>
              </w:rPr>
              <w:t>Tamlyn Nall</w:t>
            </w:r>
          </w:p>
          <w:p w:rsidR="00576F87" w:rsidRDefault="004165F5">
            <w:pPr>
              <w:spacing w:after="50"/>
            </w:pPr>
            <w:r>
              <w:rPr>
                <w:rFonts w:ascii="Book Antiqua" w:eastAsia="Book Antiqua" w:hAnsi="Book Antiqua" w:cs="Book Antiqua"/>
                <w:sz w:val="20"/>
              </w:rPr>
              <w:t xml:space="preserve">Mike O’Donnell             </w:t>
            </w:r>
          </w:p>
          <w:p w:rsidR="00576F87" w:rsidRDefault="004165F5">
            <w:pPr>
              <w:spacing w:after="50"/>
            </w:pPr>
            <w:r>
              <w:rPr>
                <w:rFonts w:ascii="Book Antiqua" w:eastAsia="Book Antiqua" w:hAnsi="Book Antiqua" w:cs="Book Antiqua"/>
                <w:sz w:val="20"/>
              </w:rPr>
              <w:t>Nigel Topping</w:t>
            </w:r>
          </w:p>
          <w:p w:rsidR="00576F87" w:rsidRDefault="004165F5">
            <w:pPr>
              <w:spacing w:after="0"/>
            </w:pPr>
            <w:r>
              <w:rPr>
                <w:rFonts w:ascii="Book Antiqua" w:eastAsia="Book Antiqua" w:hAnsi="Book Antiqua" w:cs="Book Antiqua"/>
                <w:sz w:val="20"/>
              </w:rPr>
              <w:t>Dr Barbara Weber</w:t>
            </w:r>
          </w:p>
        </w:tc>
      </w:tr>
      <w:tr w:rsidR="00576F87">
        <w:trPr>
          <w:trHeight w:val="638"/>
        </w:trPr>
        <w:tc>
          <w:tcPr>
            <w:tcW w:w="3096" w:type="dxa"/>
            <w:tcBorders>
              <w:top w:val="nil"/>
              <w:left w:val="nil"/>
              <w:bottom w:val="nil"/>
              <w:right w:val="nil"/>
            </w:tcBorders>
            <w:vAlign w:val="center"/>
          </w:tcPr>
          <w:p w:rsidR="00576F87" w:rsidRDefault="004165F5">
            <w:pPr>
              <w:spacing w:after="0"/>
            </w:pPr>
            <w:r>
              <w:rPr>
                <w:rFonts w:ascii="Book Antiqua" w:eastAsia="Book Antiqua" w:hAnsi="Book Antiqua" w:cs="Book Antiqua"/>
                <w:b/>
                <w:sz w:val="20"/>
              </w:rPr>
              <w:t>S151 Officer</w:t>
            </w:r>
          </w:p>
        </w:tc>
        <w:tc>
          <w:tcPr>
            <w:tcW w:w="3874" w:type="dxa"/>
            <w:tcBorders>
              <w:top w:val="nil"/>
              <w:left w:val="nil"/>
              <w:bottom w:val="nil"/>
              <w:right w:val="nil"/>
            </w:tcBorders>
            <w:vAlign w:val="center"/>
          </w:tcPr>
          <w:p w:rsidR="00576F87" w:rsidRDefault="004165F5">
            <w:pPr>
              <w:spacing w:after="0"/>
            </w:pPr>
            <w:r>
              <w:rPr>
                <w:rFonts w:ascii="Book Antiqua" w:eastAsia="Book Antiqua" w:hAnsi="Book Antiqua" w:cs="Book Antiqua"/>
                <w:sz w:val="20"/>
              </w:rPr>
              <w:t>Abigail Leech</w:t>
            </w:r>
          </w:p>
        </w:tc>
      </w:tr>
      <w:tr w:rsidR="00576F87">
        <w:trPr>
          <w:trHeight w:val="1596"/>
        </w:trPr>
        <w:tc>
          <w:tcPr>
            <w:tcW w:w="3096" w:type="dxa"/>
            <w:tcBorders>
              <w:top w:val="nil"/>
              <w:left w:val="nil"/>
              <w:bottom w:val="nil"/>
              <w:right w:val="nil"/>
            </w:tcBorders>
          </w:tcPr>
          <w:p w:rsidR="00576F87" w:rsidRDefault="004165F5">
            <w:pPr>
              <w:spacing w:after="0"/>
            </w:pPr>
            <w:r>
              <w:rPr>
                <w:rFonts w:ascii="Book Antiqua" w:eastAsia="Book Antiqua" w:hAnsi="Book Antiqua" w:cs="Book Antiqua"/>
                <w:b/>
                <w:sz w:val="20"/>
              </w:rPr>
              <w:t>Business Address</w:t>
            </w:r>
          </w:p>
        </w:tc>
        <w:tc>
          <w:tcPr>
            <w:tcW w:w="3874" w:type="dxa"/>
            <w:tcBorders>
              <w:top w:val="nil"/>
              <w:left w:val="nil"/>
              <w:bottom w:val="nil"/>
              <w:right w:val="nil"/>
            </w:tcBorders>
            <w:vAlign w:val="center"/>
          </w:tcPr>
          <w:p w:rsidR="00576F87" w:rsidRDefault="004165F5">
            <w:pPr>
              <w:spacing w:after="50"/>
            </w:pPr>
            <w:r>
              <w:rPr>
                <w:rFonts w:ascii="Book Antiqua" w:eastAsia="Book Antiqua" w:hAnsi="Book Antiqua" w:cs="Book Antiqua"/>
                <w:sz w:val="20"/>
              </w:rPr>
              <w:t>2nd Floor</w:t>
            </w:r>
          </w:p>
          <w:p w:rsidR="00576F87" w:rsidRDefault="004165F5">
            <w:pPr>
              <w:spacing w:after="50"/>
            </w:pPr>
            <w:r>
              <w:rPr>
                <w:rFonts w:ascii="Book Antiqua" w:eastAsia="Book Antiqua" w:hAnsi="Book Antiqua" w:cs="Book Antiqua"/>
                <w:sz w:val="20"/>
              </w:rPr>
              <w:t>169 Union Street</w:t>
            </w:r>
          </w:p>
          <w:p w:rsidR="00576F87" w:rsidRDefault="004165F5">
            <w:pPr>
              <w:spacing w:after="50"/>
            </w:pPr>
            <w:r>
              <w:rPr>
                <w:rFonts w:ascii="Book Antiqua" w:eastAsia="Book Antiqua" w:hAnsi="Book Antiqua" w:cs="Book Antiqua"/>
                <w:sz w:val="20"/>
              </w:rPr>
              <w:t>London</w:t>
            </w:r>
          </w:p>
          <w:p w:rsidR="00576F87" w:rsidRDefault="004165F5">
            <w:pPr>
              <w:spacing w:after="0"/>
            </w:pPr>
            <w:r>
              <w:rPr>
                <w:rFonts w:ascii="Book Antiqua" w:eastAsia="Book Antiqua" w:hAnsi="Book Antiqua" w:cs="Book Antiqua"/>
                <w:sz w:val="20"/>
              </w:rPr>
              <w:t>SE1 0LL</w:t>
            </w:r>
          </w:p>
        </w:tc>
      </w:tr>
      <w:tr w:rsidR="00576F87">
        <w:trPr>
          <w:trHeight w:val="1915"/>
        </w:trPr>
        <w:tc>
          <w:tcPr>
            <w:tcW w:w="3096" w:type="dxa"/>
            <w:tcBorders>
              <w:top w:val="nil"/>
              <w:left w:val="nil"/>
              <w:bottom w:val="nil"/>
              <w:right w:val="nil"/>
            </w:tcBorders>
          </w:tcPr>
          <w:p w:rsidR="00576F87" w:rsidRDefault="004165F5">
            <w:pPr>
              <w:spacing w:after="0"/>
            </w:pPr>
            <w:r>
              <w:rPr>
                <w:rFonts w:ascii="Book Antiqua" w:eastAsia="Book Antiqua" w:hAnsi="Book Antiqua" w:cs="Book Antiqua"/>
                <w:b/>
                <w:sz w:val="20"/>
              </w:rPr>
              <w:t>Auditor</w:t>
            </w:r>
          </w:p>
        </w:tc>
        <w:tc>
          <w:tcPr>
            <w:tcW w:w="3874" w:type="dxa"/>
            <w:tcBorders>
              <w:top w:val="nil"/>
              <w:left w:val="nil"/>
              <w:bottom w:val="nil"/>
              <w:right w:val="nil"/>
            </w:tcBorders>
            <w:vAlign w:val="center"/>
          </w:tcPr>
          <w:p w:rsidR="00576F87" w:rsidRDefault="004165F5">
            <w:pPr>
              <w:spacing w:after="50"/>
            </w:pPr>
            <w:r>
              <w:rPr>
                <w:rFonts w:ascii="Book Antiqua" w:eastAsia="Book Antiqua" w:hAnsi="Book Antiqua" w:cs="Book Antiqua"/>
                <w:sz w:val="20"/>
              </w:rPr>
              <w:t>Grant Thornton UK LLP</w:t>
            </w:r>
          </w:p>
          <w:p w:rsidR="00576F87" w:rsidRDefault="004165F5">
            <w:pPr>
              <w:spacing w:after="50"/>
              <w:jc w:val="both"/>
            </w:pPr>
            <w:r>
              <w:rPr>
                <w:rFonts w:ascii="Book Antiqua" w:eastAsia="Book Antiqua" w:hAnsi="Book Antiqua" w:cs="Book Antiqua"/>
                <w:sz w:val="20"/>
              </w:rPr>
              <w:t>Chartered Accountants &amp; Statutory Auditor</w:t>
            </w:r>
          </w:p>
          <w:p w:rsidR="00576F87" w:rsidRDefault="004165F5">
            <w:pPr>
              <w:spacing w:after="50"/>
            </w:pPr>
            <w:r>
              <w:rPr>
                <w:rFonts w:ascii="Book Antiqua" w:eastAsia="Book Antiqua" w:hAnsi="Book Antiqua" w:cs="Book Antiqua"/>
                <w:sz w:val="20"/>
              </w:rPr>
              <w:t>30 Finsbury Square</w:t>
            </w:r>
          </w:p>
          <w:p w:rsidR="00576F87" w:rsidRDefault="004165F5">
            <w:pPr>
              <w:spacing w:after="50"/>
            </w:pPr>
            <w:r>
              <w:rPr>
                <w:rFonts w:ascii="Book Antiqua" w:eastAsia="Book Antiqua" w:hAnsi="Book Antiqua" w:cs="Book Antiqua"/>
                <w:sz w:val="20"/>
              </w:rPr>
              <w:t>London</w:t>
            </w:r>
          </w:p>
          <w:p w:rsidR="00576F87" w:rsidRDefault="004165F5">
            <w:pPr>
              <w:spacing w:after="0"/>
            </w:pPr>
            <w:r>
              <w:rPr>
                <w:rFonts w:ascii="Book Antiqua" w:eastAsia="Book Antiqua" w:hAnsi="Book Antiqua" w:cs="Book Antiqua"/>
                <w:sz w:val="20"/>
              </w:rPr>
              <w:t>EC2P 2YU</w:t>
            </w:r>
          </w:p>
        </w:tc>
      </w:tr>
      <w:tr w:rsidR="00576F87">
        <w:trPr>
          <w:trHeight w:val="1915"/>
        </w:trPr>
        <w:tc>
          <w:tcPr>
            <w:tcW w:w="3096" w:type="dxa"/>
            <w:tcBorders>
              <w:top w:val="nil"/>
              <w:left w:val="nil"/>
              <w:bottom w:val="nil"/>
              <w:right w:val="nil"/>
            </w:tcBorders>
          </w:tcPr>
          <w:p w:rsidR="00576F87" w:rsidRDefault="004165F5">
            <w:pPr>
              <w:spacing w:after="0"/>
            </w:pPr>
            <w:r>
              <w:rPr>
                <w:rFonts w:ascii="Book Antiqua" w:eastAsia="Book Antiqua" w:hAnsi="Book Antiqua" w:cs="Book Antiqua"/>
                <w:b/>
                <w:sz w:val="20"/>
              </w:rPr>
              <w:t>Bankers</w:t>
            </w:r>
          </w:p>
        </w:tc>
        <w:tc>
          <w:tcPr>
            <w:tcW w:w="3874" w:type="dxa"/>
            <w:tcBorders>
              <w:top w:val="nil"/>
              <w:left w:val="nil"/>
              <w:bottom w:val="nil"/>
              <w:right w:val="nil"/>
            </w:tcBorders>
            <w:vAlign w:val="center"/>
          </w:tcPr>
          <w:p w:rsidR="00576F87" w:rsidRDefault="004165F5">
            <w:pPr>
              <w:spacing w:after="50"/>
            </w:pPr>
            <w:r>
              <w:rPr>
                <w:rFonts w:ascii="Book Antiqua" w:eastAsia="Book Antiqua" w:hAnsi="Book Antiqua" w:cs="Book Antiqua"/>
                <w:sz w:val="20"/>
              </w:rPr>
              <w:t>Lloyds Bank</w:t>
            </w:r>
          </w:p>
          <w:p w:rsidR="00576F87" w:rsidRDefault="004165F5">
            <w:pPr>
              <w:spacing w:after="50"/>
            </w:pPr>
            <w:r>
              <w:rPr>
                <w:rFonts w:ascii="Book Antiqua" w:eastAsia="Book Antiqua" w:hAnsi="Book Antiqua" w:cs="Book Antiqua"/>
                <w:sz w:val="20"/>
              </w:rPr>
              <w:t>4th Floor</w:t>
            </w:r>
          </w:p>
          <w:p w:rsidR="00576F87" w:rsidRDefault="004165F5">
            <w:pPr>
              <w:spacing w:after="50"/>
            </w:pPr>
            <w:r>
              <w:rPr>
                <w:rFonts w:ascii="Book Antiqua" w:eastAsia="Book Antiqua" w:hAnsi="Book Antiqua" w:cs="Book Antiqua"/>
                <w:sz w:val="20"/>
              </w:rPr>
              <w:t>25 Gresham Street</w:t>
            </w:r>
          </w:p>
          <w:p w:rsidR="00576F87" w:rsidRDefault="004165F5">
            <w:pPr>
              <w:spacing w:after="50"/>
            </w:pPr>
            <w:r>
              <w:rPr>
                <w:rFonts w:ascii="Book Antiqua" w:eastAsia="Book Antiqua" w:hAnsi="Book Antiqua" w:cs="Book Antiqua"/>
                <w:sz w:val="20"/>
              </w:rPr>
              <w:t>London</w:t>
            </w:r>
          </w:p>
          <w:p w:rsidR="00576F87" w:rsidRDefault="004165F5">
            <w:pPr>
              <w:spacing w:after="0"/>
            </w:pPr>
            <w:r>
              <w:rPr>
                <w:rFonts w:ascii="Book Antiqua" w:eastAsia="Book Antiqua" w:hAnsi="Book Antiqua" w:cs="Book Antiqua"/>
                <w:sz w:val="20"/>
              </w:rPr>
              <w:t>EC2V 7HN</w:t>
            </w:r>
          </w:p>
        </w:tc>
      </w:tr>
      <w:tr w:rsidR="00576F87">
        <w:trPr>
          <w:trHeight w:val="420"/>
        </w:trPr>
        <w:tc>
          <w:tcPr>
            <w:tcW w:w="3096" w:type="dxa"/>
            <w:tcBorders>
              <w:top w:val="nil"/>
              <w:left w:val="nil"/>
              <w:bottom w:val="nil"/>
              <w:right w:val="nil"/>
            </w:tcBorders>
            <w:vAlign w:val="bottom"/>
          </w:tcPr>
          <w:p w:rsidR="00576F87" w:rsidRDefault="004165F5">
            <w:pPr>
              <w:spacing w:after="0"/>
            </w:pPr>
            <w:r>
              <w:rPr>
                <w:rFonts w:ascii="Book Antiqua" w:eastAsia="Book Antiqua" w:hAnsi="Book Antiqua" w:cs="Book Antiqua"/>
                <w:b/>
                <w:sz w:val="20"/>
              </w:rPr>
              <w:t>Lawyers</w:t>
            </w:r>
          </w:p>
        </w:tc>
        <w:tc>
          <w:tcPr>
            <w:tcW w:w="3874" w:type="dxa"/>
            <w:tcBorders>
              <w:top w:val="nil"/>
              <w:left w:val="nil"/>
              <w:bottom w:val="nil"/>
              <w:right w:val="nil"/>
            </w:tcBorders>
            <w:vAlign w:val="bottom"/>
          </w:tcPr>
          <w:p w:rsidR="00576F87" w:rsidRDefault="004165F5">
            <w:pPr>
              <w:spacing w:after="0"/>
            </w:pPr>
            <w:r>
              <w:rPr>
                <w:rFonts w:ascii="Book Antiqua" w:eastAsia="Book Antiqua" w:hAnsi="Book Antiqua" w:cs="Book Antiqua"/>
                <w:sz w:val="20"/>
              </w:rPr>
              <w:t>Eversheds Sutherland</w:t>
            </w:r>
          </w:p>
        </w:tc>
      </w:tr>
    </w:tbl>
    <w:p w:rsidR="00576F87" w:rsidRDefault="004165F5">
      <w:pPr>
        <w:spacing w:after="50"/>
        <w:ind w:left="271" w:hanging="10"/>
        <w:jc w:val="center"/>
      </w:pPr>
      <w:r>
        <w:rPr>
          <w:rFonts w:ascii="Book Antiqua" w:eastAsia="Book Antiqua" w:hAnsi="Book Antiqua" w:cs="Book Antiqua"/>
          <w:sz w:val="20"/>
        </w:rPr>
        <w:t>Eversheds House</w:t>
      </w:r>
    </w:p>
    <w:p w:rsidR="00576F87" w:rsidRDefault="004165F5">
      <w:pPr>
        <w:spacing w:after="50"/>
        <w:ind w:left="4128"/>
      </w:pPr>
      <w:r>
        <w:rPr>
          <w:rFonts w:ascii="Book Antiqua" w:eastAsia="Book Antiqua" w:hAnsi="Book Antiqua" w:cs="Book Antiqua"/>
          <w:sz w:val="20"/>
        </w:rPr>
        <w:t>70 Great Bridgewater Street</w:t>
      </w:r>
    </w:p>
    <w:p w:rsidR="00576F87" w:rsidRDefault="004165F5">
      <w:pPr>
        <w:spacing w:after="50"/>
        <w:ind w:left="271" w:right="507" w:hanging="10"/>
        <w:jc w:val="center"/>
      </w:pPr>
      <w:r>
        <w:rPr>
          <w:rFonts w:ascii="Book Antiqua" w:eastAsia="Book Antiqua" w:hAnsi="Book Antiqua" w:cs="Book Antiqua"/>
          <w:sz w:val="20"/>
        </w:rPr>
        <w:t>Manchester</w:t>
      </w:r>
    </w:p>
    <w:p w:rsidR="00576F87" w:rsidRDefault="004165F5">
      <w:pPr>
        <w:spacing w:after="50"/>
        <w:ind w:left="271" w:right="870" w:hanging="10"/>
        <w:jc w:val="center"/>
      </w:pPr>
      <w:r>
        <w:rPr>
          <w:rFonts w:ascii="Book Antiqua" w:eastAsia="Book Antiqua" w:hAnsi="Book Antiqua" w:cs="Book Antiqua"/>
          <w:sz w:val="20"/>
        </w:rPr>
        <w:t>M1 5ES</w:t>
      </w:r>
    </w:p>
    <w:p w:rsidR="00576F87" w:rsidRDefault="004165F5">
      <w:pPr>
        <w:spacing w:after="258"/>
        <w:ind w:left="5" w:hanging="10"/>
      </w:pPr>
      <w:r>
        <w:rPr>
          <w:rFonts w:ascii="Book Antiqua" w:eastAsia="Book Antiqua" w:hAnsi="Book Antiqua" w:cs="Book Antiqua"/>
          <w:b/>
          <w:color w:val="3F977F"/>
          <w:sz w:val="28"/>
        </w:rPr>
        <w:t>LPFA Accounts 31 March 2018</w:t>
      </w:r>
    </w:p>
    <w:p w:rsidR="00576F87" w:rsidRDefault="004165F5">
      <w:pPr>
        <w:spacing w:after="366"/>
        <w:ind w:left="5"/>
      </w:pPr>
      <w:r>
        <w:rPr>
          <w:rFonts w:ascii="Book Antiqua" w:eastAsia="Book Antiqua" w:hAnsi="Book Antiqua" w:cs="Book Antiqua"/>
          <w:b/>
          <w:color w:val="3F977F"/>
          <w:sz w:val="24"/>
        </w:rPr>
        <w:lastRenderedPageBreak/>
        <w:t>CONTENTS</w:t>
      </w:r>
    </w:p>
    <w:p w:rsidR="00576F87" w:rsidRDefault="004165F5">
      <w:pPr>
        <w:spacing w:after="25"/>
        <w:ind w:right="1953"/>
        <w:jc w:val="right"/>
      </w:pPr>
      <w:r>
        <w:rPr>
          <w:rFonts w:ascii="Book Antiqua" w:eastAsia="Book Antiqua" w:hAnsi="Book Antiqua" w:cs="Book Antiqua"/>
          <w:b/>
          <w:color w:val="221E1F"/>
          <w:sz w:val="20"/>
        </w:rPr>
        <w:t>Page</w:t>
      </w:r>
    </w:p>
    <w:p w:rsidR="00576F87" w:rsidRDefault="004165F5">
      <w:pPr>
        <w:tabs>
          <w:tab w:val="center" w:pos="7363"/>
        </w:tabs>
      </w:pPr>
      <w:r>
        <w:rPr>
          <w:rFonts w:ascii="Book Antiqua" w:eastAsia="Book Antiqua" w:hAnsi="Book Antiqua" w:cs="Book Antiqua"/>
          <w:color w:val="221E1F"/>
          <w:sz w:val="20"/>
        </w:rPr>
        <w:t>Narrative Report</w:t>
      </w:r>
      <w:r>
        <w:rPr>
          <w:rFonts w:ascii="Book Antiqua" w:eastAsia="Book Antiqua" w:hAnsi="Book Antiqua" w:cs="Book Antiqua"/>
          <w:color w:val="221E1F"/>
          <w:sz w:val="20"/>
        </w:rPr>
        <w:tab/>
        <w:t>4</w:t>
      </w:r>
    </w:p>
    <w:p w:rsidR="00576F87" w:rsidRDefault="004165F5">
      <w:pPr>
        <w:tabs>
          <w:tab w:val="center" w:pos="7362"/>
        </w:tabs>
      </w:pPr>
      <w:r>
        <w:rPr>
          <w:rFonts w:ascii="Book Antiqua" w:eastAsia="Book Antiqua" w:hAnsi="Book Antiqua" w:cs="Book Antiqua"/>
          <w:color w:val="221E1F"/>
          <w:sz w:val="20"/>
        </w:rPr>
        <w:t>Statement of Responsibilities for the Statements of Accounts</w:t>
      </w:r>
      <w:r>
        <w:rPr>
          <w:rFonts w:ascii="Book Antiqua" w:eastAsia="Book Antiqua" w:hAnsi="Book Antiqua" w:cs="Book Antiqua"/>
          <w:color w:val="221E1F"/>
          <w:sz w:val="20"/>
        </w:rPr>
        <w:tab/>
        <w:t>10</w:t>
      </w:r>
    </w:p>
    <w:p w:rsidR="00576F87" w:rsidRDefault="004165F5">
      <w:pPr>
        <w:tabs>
          <w:tab w:val="center" w:pos="7362"/>
        </w:tabs>
      </w:pPr>
      <w:r>
        <w:rPr>
          <w:rFonts w:ascii="Book Antiqua" w:eastAsia="Book Antiqua" w:hAnsi="Book Antiqua" w:cs="Book Antiqua"/>
          <w:color w:val="221E1F"/>
          <w:sz w:val="20"/>
        </w:rPr>
        <w:t>Annual Governance Statement</w:t>
      </w:r>
      <w:r>
        <w:rPr>
          <w:rFonts w:ascii="Book Antiqua" w:eastAsia="Book Antiqua" w:hAnsi="Book Antiqua" w:cs="Book Antiqua"/>
          <w:color w:val="221E1F"/>
          <w:sz w:val="20"/>
        </w:rPr>
        <w:tab/>
        <w:t>11</w:t>
      </w:r>
    </w:p>
    <w:p w:rsidR="00576F87" w:rsidRDefault="004165F5">
      <w:pPr>
        <w:tabs>
          <w:tab w:val="center" w:pos="7362"/>
        </w:tabs>
      </w:pPr>
      <w:r>
        <w:rPr>
          <w:rFonts w:ascii="Book Antiqua" w:eastAsia="Book Antiqua" w:hAnsi="Book Antiqua" w:cs="Book Antiqua"/>
          <w:color w:val="221E1F"/>
          <w:sz w:val="20"/>
        </w:rPr>
        <w:t xml:space="preserve">Auditor’s report to the LPFA </w:t>
      </w:r>
      <w:r>
        <w:rPr>
          <w:rFonts w:ascii="Book Antiqua" w:eastAsia="Book Antiqua" w:hAnsi="Book Antiqua" w:cs="Book Antiqua"/>
          <w:color w:val="221E1F"/>
          <w:sz w:val="20"/>
        </w:rPr>
        <w:tab/>
        <w:t>15</w:t>
      </w:r>
    </w:p>
    <w:p w:rsidR="00576F87" w:rsidRDefault="004165F5">
      <w:pPr>
        <w:tabs>
          <w:tab w:val="center" w:pos="7362"/>
        </w:tabs>
      </w:pPr>
      <w:r>
        <w:rPr>
          <w:rFonts w:ascii="Book Antiqua" w:eastAsia="Book Antiqua" w:hAnsi="Book Antiqua" w:cs="Book Antiqua"/>
          <w:color w:val="221E1F"/>
          <w:sz w:val="20"/>
        </w:rPr>
        <w:t>Fund Accounts</w:t>
      </w:r>
      <w:r>
        <w:rPr>
          <w:rFonts w:ascii="Book Antiqua" w:eastAsia="Book Antiqua" w:hAnsi="Book Antiqua" w:cs="Book Antiqua"/>
          <w:color w:val="221E1F"/>
          <w:sz w:val="20"/>
        </w:rPr>
        <w:tab/>
        <w:t>28</w:t>
      </w:r>
    </w:p>
    <w:p w:rsidR="00576F87" w:rsidRDefault="004165F5">
      <w:pPr>
        <w:tabs>
          <w:tab w:val="center" w:pos="7362"/>
        </w:tabs>
      </w:pPr>
      <w:r>
        <w:rPr>
          <w:rFonts w:ascii="Book Antiqua" w:eastAsia="Book Antiqua" w:hAnsi="Book Antiqua" w:cs="Book Antiqua"/>
          <w:color w:val="221E1F"/>
          <w:sz w:val="20"/>
        </w:rPr>
        <w:t>Notes to Fund Accounts</w:t>
      </w:r>
      <w:r>
        <w:rPr>
          <w:rFonts w:ascii="Book Antiqua" w:eastAsia="Book Antiqua" w:hAnsi="Book Antiqua" w:cs="Book Antiqua"/>
          <w:color w:val="221E1F"/>
          <w:sz w:val="20"/>
        </w:rPr>
        <w:tab/>
        <w:t>30</w:t>
      </w:r>
    </w:p>
    <w:p w:rsidR="00576F87" w:rsidRDefault="004165F5">
      <w:pPr>
        <w:tabs>
          <w:tab w:val="center" w:pos="7362"/>
        </w:tabs>
      </w:pPr>
      <w:r>
        <w:rPr>
          <w:rFonts w:ascii="Book Antiqua" w:eastAsia="Book Antiqua" w:hAnsi="Book Antiqua" w:cs="Book Antiqua"/>
          <w:color w:val="221E1F"/>
          <w:sz w:val="20"/>
        </w:rPr>
        <w:t>Actuar</w:t>
      </w:r>
      <w:r>
        <w:rPr>
          <w:rFonts w:ascii="Book Antiqua" w:eastAsia="Book Antiqua" w:hAnsi="Book Antiqua" w:cs="Book Antiqua"/>
          <w:color w:val="221E1F"/>
          <w:sz w:val="20"/>
        </w:rPr>
        <w:t>ial Statement</w:t>
      </w:r>
      <w:r>
        <w:rPr>
          <w:rFonts w:ascii="Book Antiqua" w:eastAsia="Book Antiqua" w:hAnsi="Book Antiqua" w:cs="Book Antiqua"/>
          <w:color w:val="221E1F"/>
          <w:sz w:val="20"/>
        </w:rPr>
        <w:tab/>
        <w:t>56</w:t>
      </w:r>
    </w:p>
    <w:p w:rsidR="00576F87" w:rsidRDefault="004165F5">
      <w:pPr>
        <w:tabs>
          <w:tab w:val="center" w:pos="7362"/>
        </w:tabs>
      </w:pPr>
      <w:r>
        <w:rPr>
          <w:rFonts w:ascii="Book Antiqua" w:eastAsia="Book Antiqua" w:hAnsi="Book Antiqua" w:cs="Book Antiqua"/>
          <w:color w:val="221E1F"/>
          <w:sz w:val="20"/>
        </w:rPr>
        <w:t>Participating Employers</w:t>
      </w:r>
      <w:r>
        <w:rPr>
          <w:rFonts w:ascii="Book Antiqua" w:eastAsia="Book Antiqua" w:hAnsi="Book Antiqua" w:cs="Book Antiqua"/>
          <w:color w:val="221E1F"/>
          <w:sz w:val="20"/>
        </w:rPr>
        <w:tab/>
        <w:t>57</w:t>
      </w:r>
    </w:p>
    <w:p w:rsidR="00576F87" w:rsidRDefault="004165F5">
      <w:pPr>
        <w:tabs>
          <w:tab w:val="center" w:pos="7362"/>
        </w:tabs>
      </w:pPr>
      <w:r>
        <w:rPr>
          <w:rFonts w:ascii="Book Antiqua" w:eastAsia="Book Antiqua" w:hAnsi="Book Antiqua" w:cs="Book Antiqua"/>
          <w:color w:val="221E1F"/>
          <w:sz w:val="20"/>
        </w:rPr>
        <w:t>Operational Accounts</w:t>
      </w:r>
      <w:r>
        <w:rPr>
          <w:rFonts w:ascii="Book Antiqua" w:eastAsia="Book Antiqua" w:hAnsi="Book Antiqua" w:cs="Book Antiqua"/>
          <w:color w:val="221E1F"/>
          <w:sz w:val="20"/>
        </w:rPr>
        <w:tab/>
        <w:t>65</w:t>
      </w:r>
    </w:p>
    <w:p w:rsidR="00576F87" w:rsidRDefault="004165F5">
      <w:pPr>
        <w:tabs>
          <w:tab w:val="center" w:pos="7362"/>
        </w:tabs>
      </w:pPr>
      <w:r>
        <w:rPr>
          <w:rFonts w:ascii="Book Antiqua" w:eastAsia="Book Antiqua" w:hAnsi="Book Antiqua" w:cs="Book Antiqua"/>
          <w:color w:val="221E1F"/>
          <w:sz w:val="20"/>
        </w:rPr>
        <w:t>Notes to Operational Accounts</w:t>
      </w:r>
      <w:r>
        <w:rPr>
          <w:rFonts w:ascii="Book Antiqua" w:eastAsia="Book Antiqua" w:hAnsi="Book Antiqua" w:cs="Book Antiqua"/>
          <w:color w:val="221E1F"/>
          <w:sz w:val="20"/>
        </w:rPr>
        <w:tab/>
        <w:t>73</w:t>
      </w:r>
    </w:p>
    <w:p w:rsidR="00576F87" w:rsidRDefault="004165F5">
      <w:pPr>
        <w:tabs>
          <w:tab w:val="center" w:pos="7362"/>
        </w:tabs>
      </w:pPr>
      <w:r>
        <w:rPr>
          <w:rFonts w:ascii="Book Antiqua" w:eastAsia="Book Antiqua" w:hAnsi="Book Antiqua" w:cs="Book Antiqua"/>
          <w:color w:val="221E1F"/>
          <w:sz w:val="20"/>
        </w:rPr>
        <w:t>Residual Liabilities Accounts</w:t>
      </w:r>
      <w:r>
        <w:rPr>
          <w:rFonts w:ascii="Book Antiqua" w:eastAsia="Book Antiqua" w:hAnsi="Book Antiqua" w:cs="Book Antiqua"/>
          <w:color w:val="221E1F"/>
          <w:sz w:val="20"/>
        </w:rPr>
        <w:tab/>
        <w:t>92</w:t>
      </w:r>
    </w:p>
    <w:p w:rsidR="00576F87" w:rsidRDefault="004165F5">
      <w:pPr>
        <w:tabs>
          <w:tab w:val="center" w:pos="7362"/>
        </w:tabs>
      </w:pPr>
      <w:r>
        <w:rPr>
          <w:rFonts w:ascii="Book Antiqua" w:eastAsia="Book Antiqua" w:hAnsi="Book Antiqua" w:cs="Book Antiqua"/>
          <w:color w:val="221E1F"/>
          <w:sz w:val="20"/>
        </w:rPr>
        <w:t>Notes to Residual Liabilities Accounts</w:t>
      </w:r>
      <w:r>
        <w:rPr>
          <w:rFonts w:ascii="Book Antiqua" w:eastAsia="Book Antiqua" w:hAnsi="Book Antiqua" w:cs="Book Antiqua"/>
          <w:color w:val="221E1F"/>
          <w:sz w:val="20"/>
        </w:rPr>
        <w:tab/>
        <w:t>97</w:t>
      </w:r>
    </w:p>
    <w:p w:rsidR="00576F87" w:rsidRDefault="004165F5">
      <w:pPr>
        <w:spacing w:after="268" w:line="265" w:lineRule="auto"/>
        <w:ind w:left="17" w:hanging="10"/>
      </w:pPr>
      <w:r>
        <w:rPr>
          <w:rFonts w:ascii="Verdana" w:eastAsia="Verdana" w:hAnsi="Verdana" w:cs="Verdana"/>
          <w:b/>
          <w:color w:val="3F977F"/>
          <w:sz w:val="27"/>
        </w:rPr>
        <w:t>LPFA Accounts 31 March 2018</w:t>
      </w:r>
    </w:p>
    <w:p w:rsidR="00576F87" w:rsidRDefault="004165F5">
      <w:pPr>
        <w:spacing w:after="282"/>
        <w:ind w:left="22"/>
      </w:pPr>
      <w:r>
        <w:rPr>
          <w:rFonts w:ascii="Verdana" w:eastAsia="Verdana" w:hAnsi="Verdana" w:cs="Verdana"/>
          <w:b/>
          <w:color w:val="009784"/>
          <w:sz w:val="27"/>
        </w:rPr>
        <w:t>1  Narrative Report 31 March 2018</w:t>
      </w:r>
    </w:p>
    <w:p w:rsidR="00576F87" w:rsidRDefault="004165F5">
      <w:pPr>
        <w:pStyle w:val="Heading1"/>
        <w:spacing w:after="143" w:line="259" w:lineRule="auto"/>
        <w:ind w:left="12"/>
      </w:pPr>
      <w:r>
        <w:rPr>
          <w:b w:val="0"/>
          <w:color w:val="34447D"/>
          <w:sz w:val="27"/>
        </w:rPr>
        <w:t>Format of the Statement of Accounts</w:t>
      </w:r>
    </w:p>
    <w:p w:rsidR="00576F87" w:rsidRDefault="004165F5">
      <w:pPr>
        <w:spacing w:after="347" w:line="265" w:lineRule="auto"/>
        <w:ind w:hanging="10"/>
        <w:jc w:val="both"/>
      </w:pPr>
      <w:r>
        <w:rPr>
          <w:rFonts w:ascii="Verdana" w:eastAsia="Verdana" w:hAnsi="Verdana" w:cs="Verdana"/>
          <w:color w:val="221E1F"/>
          <w:sz w:val="19"/>
        </w:rPr>
        <w:t xml:space="preserve">The primary function of the London Pensions Fund Authority (LPFA) is as an Administering Authority within the Local Government Pension Scheme. </w:t>
      </w:r>
    </w:p>
    <w:p w:rsidR="00576F87" w:rsidRDefault="004165F5">
      <w:pPr>
        <w:spacing w:after="405" w:line="265" w:lineRule="auto"/>
        <w:ind w:hanging="10"/>
        <w:jc w:val="both"/>
      </w:pPr>
      <w:r>
        <w:rPr>
          <w:rFonts w:ascii="Verdana" w:eastAsia="Verdana" w:hAnsi="Verdana" w:cs="Verdana"/>
          <w:color w:val="221E1F"/>
          <w:sz w:val="19"/>
        </w:rPr>
        <w:t>The LPFA’s Statement of Accounts for the financial year 2017/18 consists of:</w:t>
      </w:r>
    </w:p>
    <w:p w:rsidR="00576F87" w:rsidRDefault="004165F5">
      <w:pPr>
        <w:numPr>
          <w:ilvl w:val="0"/>
          <w:numId w:val="1"/>
        </w:numPr>
        <w:spacing w:after="106"/>
        <w:ind w:hanging="391"/>
        <w:jc w:val="both"/>
      </w:pPr>
      <w:r>
        <w:rPr>
          <w:rFonts w:ascii="Verdana" w:eastAsia="Verdana" w:hAnsi="Verdana" w:cs="Verdana"/>
          <w:color w:val="221E1F"/>
          <w:sz w:val="19"/>
        </w:rPr>
        <w:t xml:space="preserve">the </w:t>
      </w:r>
      <w:r>
        <w:rPr>
          <w:rFonts w:ascii="Verdana" w:eastAsia="Verdana" w:hAnsi="Verdana" w:cs="Verdana"/>
          <w:b/>
          <w:color w:val="221E1F"/>
          <w:sz w:val="19"/>
        </w:rPr>
        <w:t>Statement of Responsibilities;</w:t>
      </w:r>
    </w:p>
    <w:p w:rsidR="00576F87" w:rsidRDefault="004165F5">
      <w:pPr>
        <w:numPr>
          <w:ilvl w:val="0"/>
          <w:numId w:val="1"/>
        </w:numPr>
        <w:spacing w:after="106"/>
        <w:ind w:hanging="391"/>
        <w:jc w:val="both"/>
      </w:pPr>
      <w:r>
        <w:rPr>
          <w:rFonts w:ascii="Verdana" w:eastAsia="Verdana" w:hAnsi="Verdana" w:cs="Verdana"/>
          <w:color w:val="221E1F"/>
          <w:sz w:val="19"/>
        </w:rPr>
        <w:t xml:space="preserve">the </w:t>
      </w:r>
      <w:r>
        <w:rPr>
          <w:rFonts w:ascii="Verdana" w:eastAsia="Verdana" w:hAnsi="Verdana" w:cs="Verdana"/>
          <w:b/>
          <w:color w:val="221E1F"/>
          <w:sz w:val="19"/>
        </w:rPr>
        <w:t xml:space="preserve">Annual Governance Statement; </w:t>
      </w:r>
      <w:r>
        <w:rPr>
          <w:rFonts w:ascii="Verdana" w:eastAsia="Verdana" w:hAnsi="Verdana" w:cs="Verdana"/>
          <w:color w:val="221E1F"/>
          <w:sz w:val="19"/>
        </w:rPr>
        <w:t>and</w:t>
      </w:r>
    </w:p>
    <w:p w:rsidR="00576F87" w:rsidRDefault="004165F5">
      <w:pPr>
        <w:numPr>
          <w:ilvl w:val="0"/>
          <w:numId w:val="1"/>
        </w:numPr>
        <w:spacing w:after="43" w:line="265" w:lineRule="auto"/>
        <w:ind w:hanging="391"/>
        <w:jc w:val="both"/>
      </w:pPr>
      <w:r>
        <w:rPr>
          <w:rFonts w:ascii="Verdana" w:eastAsia="Verdana" w:hAnsi="Verdana" w:cs="Verdana"/>
          <w:color w:val="221E1F"/>
          <w:sz w:val="19"/>
        </w:rPr>
        <w:t>three separate sets of financial statements:</w:t>
      </w:r>
    </w:p>
    <w:p w:rsidR="00576F87" w:rsidRDefault="004165F5">
      <w:pPr>
        <w:spacing w:after="180"/>
        <w:ind w:left="5"/>
      </w:pPr>
      <w:r>
        <w:rPr>
          <w:rFonts w:ascii="Verdana" w:eastAsia="Verdana" w:hAnsi="Verdana" w:cs="Verdana"/>
          <w:color w:val="221E1F"/>
          <w:sz w:val="19"/>
        </w:rPr>
        <w:t xml:space="preserve"> </w:t>
      </w:r>
    </w:p>
    <w:p w:rsidR="00576F87" w:rsidRDefault="004165F5">
      <w:pPr>
        <w:spacing w:after="154"/>
        <w:ind w:hanging="10"/>
      </w:pPr>
      <w:r>
        <w:rPr>
          <w:rFonts w:ascii="Verdana" w:eastAsia="Verdana" w:hAnsi="Verdana" w:cs="Verdana"/>
          <w:color w:val="221E1F"/>
          <w:sz w:val="19"/>
        </w:rPr>
        <w:t xml:space="preserve">The </w:t>
      </w:r>
      <w:r>
        <w:rPr>
          <w:rFonts w:ascii="Verdana" w:eastAsia="Verdana" w:hAnsi="Verdana" w:cs="Verdana"/>
          <w:b/>
          <w:color w:val="221E1F"/>
          <w:sz w:val="19"/>
        </w:rPr>
        <w:t xml:space="preserve">Pension Fund accounts, </w:t>
      </w:r>
      <w:r>
        <w:rPr>
          <w:rFonts w:ascii="Verdana" w:eastAsia="Verdana" w:hAnsi="Verdana" w:cs="Verdana"/>
          <w:color w:val="221E1F"/>
          <w:sz w:val="19"/>
        </w:rPr>
        <w:t>consisting of;</w:t>
      </w:r>
    </w:p>
    <w:p w:rsidR="00576F87" w:rsidRDefault="004165F5">
      <w:pPr>
        <w:numPr>
          <w:ilvl w:val="0"/>
          <w:numId w:val="1"/>
        </w:numPr>
        <w:spacing w:after="123" w:line="265" w:lineRule="auto"/>
        <w:ind w:hanging="391"/>
        <w:jc w:val="both"/>
      </w:pPr>
      <w:r>
        <w:rPr>
          <w:rFonts w:ascii="Verdana" w:eastAsia="Verdana" w:hAnsi="Verdana" w:cs="Verdana"/>
          <w:color w:val="221E1F"/>
          <w:sz w:val="19"/>
        </w:rPr>
        <w:t xml:space="preserve">the </w:t>
      </w:r>
      <w:r>
        <w:rPr>
          <w:rFonts w:ascii="Verdana" w:eastAsia="Verdana" w:hAnsi="Verdana" w:cs="Verdana"/>
          <w:b/>
          <w:color w:val="221E1F"/>
          <w:sz w:val="19"/>
        </w:rPr>
        <w:t xml:space="preserve">Fund Account </w:t>
      </w:r>
      <w:r>
        <w:rPr>
          <w:rFonts w:ascii="Verdana" w:eastAsia="Verdana" w:hAnsi="Verdana" w:cs="Verdana"/>
          <w:color w:val="221E1F"/>
          <w:sz w:val="19"/>
        </w:rPr>
        <w:t>which shows the Fund’s income and expenditure for the year;</w:t>
      </w:r>
    </w:p>
    <w:p w:rsidR="00576F87" w:rsidRDefault="004165F5">
      <w:pPr>
        <w:numPr>
          <w:ilvl w:val="0"/>
          <w:numId w:val="1"/>
        </w:numPr>
        <w:spacing w:after="123" w:line="265" w:lineRule="auto"/>
        <w:ind w:hanging="391"/>
        <w:jc w:val="both"/>
      </w:pPr>
      <w:r>
        <w:rPr>
          <w:rFonts w:ascii="Verdana" w:eastAsia="Verdana" w:hAnsi="Verdana" w:cs="Verdana"/>
          <w:color w:val="221E1F"/>
          <w:sz w:val="19"/>
        </w:rPr>
        <w:t xml:space="preserve">the </w:t>
      </w:r>
      <w:r>
        <w:rPr>
          <w:rFonts w:ascii="Verdana" w:eastAsia="Verdana" w:hAnsi="Verdana" w:cs="Verdana"/>
          <w:b/>
          <w:color w:val="221E1F"/>
          <w:sz w:val="19"/>
        </w:rPr>
        <w:t>Net Assets St</w:t>
      </w:r>
      <w:r>
        <w:rPr>
          <w:rFonts w:ascii="Verdana" w:eastAsia="Verdana" w:hAnsi="Verdana" w:cs="Verdana"/>
          <w:b/>
          <w:color w:val="221E1F"/>
          <w:sz w:val="19"/>
        </w:rPr>
        <w:t xml:space="preserve">atement </w:t>
      </w:r>
      <w:r>
        <w:rPr>
          <w:rFonts w:ascii="Verdana" w:eastAsia="Verdana" w:hAnsi="Verdana" w:cs="Verdana"/>
          <w:color w:val="221E1F"/>
          <w:sz w:val="19"/>
        </w:rPr>
        <w:t>which shows the net assets of the Fund at 31 March 2018.</w:t>
      </w:r>
    </w:p>
    <w:p w:rsidR="00576F87" w:rsidRDefault="004165F5">
      <w:pPr>
        <w:numPr>
          <w:ilvl w:val="0"/>
          <w:numId w:val="1"/>
        </w:numPr>
        <w:spacing w:after="227" w:line="265" w:lineRule="auto"/>
        <w:ind w:hanging="391"/>
        <w:jc w:val="both"/>
      </w:pPr>
      <w:r>
        <w:rPr>
          <w:rFonts w:ascii="Verdana" w:eastAsia="Verdana" w:hAnsi="Verdana" w:cs="Verdana"/>
          <w:color w:val="221E1F"/>
          <w:sz w:val="19"/>
        </w:rPr>
        <w:t>Notes and accounting policies to support the Pension Fund accounts</w:t>
      </w:r>
    </w:p>
    <w:p w:rsidR="00576F87" w:rsidRDefault="004165F5">
      <w:pPr>
        <w:spacing w:after="199" w:line="265" w:lineRule="auto"/>
        <w:ind w:hanging="10"/>
        <w:jc w:val="both"/>
      </w:pPr>
      <w:r>
        <w:rPr>
          <w:rFonts w:ascii="Verdana" w:eastAsia="Verdana" w:hAnsi="Verdana" w:cs="Verdana"/>
          <w:color w:val="221E1F"/>
          <w:sz w:val="19"/>
        </w:rPr>
        <w:t xml:space="preserve">The </w:t>
      </w:r>
      <w:r>
        <w:rPr>
          <w:rFonts w:ascii="Verdana" w:eastAsia="Verdana" w:hAnsi="Verdana" w:cs="Verdana"/>
          <w:b/>
          <w:color w:val="221E1F"/>
          <w:sz w:val="19"/>
        </w:rPr>
        <w:t xml:space="preserve">Operational Account </w:t>
      </w:r>
      <w:r>
        <w:rPr>
          <w:rFonts w:ascii="Verdana" w:eastAsia="Verdana" w:hAnsi="Verdana" w:cs="Verdana"/>
          <w:color w:val="221E1F"/>
          <w:sz w:val="19"/>
        </w:rPr>
        <w:t>represent the cost of the governance and administration of the pension scheme and residual liabiliti</w:t>
      </w:r>
      <w:r>
        <w:rPr>
          <w:rFonts w:ascii="Verdana" w:eastAsia="Verdana" w:hAnsi="Verdana" w:cs="Verdana"/>
          <w:color w:val="221E1F"/>
          <w:sz w:val="19"/>
        </w:rPr>
        <w:t>es and the recharge of these costs to the Pension fund and Residual accounts</w:t>
      </w:r>
      <w:r>
        <w:rPr>
          <w:rFonts w:ascii="Verdana" w:eastAsia="Verdana" w:hAnsi="Verdana" w:cs="Verdana"/>
          <w:b/>
          <w:color w:val="221E1F"/>
          <w:sz w:val="19"/>
        </w:rPr>
        <w:t xml:space="preserve">. The Residual Liabilities accounts </w:t>
      </w:r>
      <w:r>
        <w:rPr>
          <w:rFonts w:ascii="Verdana" w:eastAsia="Verdana" w:hAnsi="Verdana" w:cs="Verdana"/>
          <w:color w:val="221E1F"/>
          <w:sz w:val="19"/>
        </w:rPr>
        <w:t xml:space="preserve">detail the provisions created to settle the liabilities of the Greater London Council ('GLC') to pay past employees of the GLC and Inner London </w:t>
      </w:r>
      <w:r>
        <w:rPr>
          <w:rFonts w:ascii="Verdana" w:eastAsia="Verdana" w:hAnsi="Verdana" w:cs="Verdana"/>
          <w:color w:val="221E1F"/>
          <w:sz w:val="19"/>
        </w:rPr>
        <w:t xml:space="preserve">Educational authority ('ILEA') who have become injured due to exposure to asbestos. The past employees are </w:t>
      </w:r>
      <w:r>
        <w:rPr>
          <w:rFonts w:ascii="Verdana" w:eastAsia="Verdana" w:hAnsi="Verdana" w:cs="Verdana"/>
          <w:color w:val="221E1F"/>
          <w:sz w:val="19"/>
        </w:rPr>
        <w:lastRenderedPageBreak/>
        <w:t>paid via the pensions payroll and the costs are then recharged to the Residual accounts, which funds these cost via a levy</w:t>
      </w:r>
      <w:r>
        <w:rPr>
          <w:rFonts w:ascii="Verdana" w:eastAsia="Verdana" w:hAnsi="Verdana" w:cs="Verdana"/>
          <w:b/>
          <w:color w:val="221E1F"/>
          <w:sz w:val="19"/>
        </w:rPr>
        <w:t>. The Operations and Residu</w:t>
      </w:r>
      <w:r>
        <w:rPr>
          <w:rFonts w:ascii="Verdana" w:eastAsia="Verdana" w:hAnsi="Verdana" w:cs="Verdana"/>
          <w:b/>
          <w:color w:val="221E1F"/>
          <w:sz w:val="19"/>
        </w:rPr>
        <w:t xml:space="preserve">al </w:t>
      </w:r>
      <w:r>
        <w:rPr>
          <w:rFonts w:ascii="Verdana" w:eastAsia="Verdana" w:hAnsi="Verdana" w:cs="Verdana"/>
          <w:color w:val="221E1F"/>
          <w:sz w:val="19"/>
        </w:rPr>
        <w:t>statements consist of:</w:t>
      </w:r>
    </w:p>
    <w:p w:rsidR="00576F87" w:rsidRDefault="004165F5">
      <w:pPr>
        <w:spacing w:after="321" w:line="265" w:lineRule="auto"/>
        <w:ind w:hanging="10"/>
        <w:jc w:val="both"/>
      </w:pPr>
      <w:r>
        <w:rPr>
          <w:rFonts w:ascii="Verdana" w:eastAsia="Verdana" w:hAnsi="Verdana" w:cs="Verdana"/>
          <w:color w:val="221E1F"/>
          <w:sz w:val="19"/>
        </w:rPr>
        <w:t xml:space="preserve">The </w:t>
      </w:r>
      <w:r>
        <w:rPr>
          <w:rFonts w:ascii="Verdana" w:eastAsia="Verdana" w:hAnsi="Verdana" w:cs="Verdana"/>
          <w:b/>
          <w:color w:val="221E1F"/>
          <w:sz w:val="19"/>
        </w:rPr>
        <w:t xml:space="preserve">Comprehensive Income and Expenditure Account </w:t>
      </w:r>
      <w:r>
        <w:rPr>
          <w:rFonts w:ascii="Verdana" w:eastAsia="Verdana" w:hAnsi="Verdana" w:cs="Verdana"/>
          <w:color w:val="221E1F"/>
          <w:sz w:val="19"/>
        </w:rPr>
        <w:t xml:space="preserve">which is a summary of the resources generated and consumed by the LPFA in the year. The statement shows the accounting costs in the year of providing services in accordance with the generally accepted accounting practices. The LPFA does not raise taxation </w:t>
      </w:r>
      <w:r>
        <w:rPr>
          <w:rFonts w:ascii="Verdana" w:eastAsia="Verdana" w:hAnsi="Verdana" w:cs="Verdana"/>
          <w:color w:val="221E1F"/>
          <w:sz w:val="19"/>
        </w:rPr>
        <w:t>to cover expenditure;</w:t>
      </w:r>
    </w:p>
    <w:p w:rsidR="00576F87" w:rsidRDefault="004165F5">
      <w:pPr>
        <w:spacing w:after="368" w:line="265" w:lineRule="auto"/>
        <w:ind w:hanging="10"/>
        <w:jc w:val="both"/>
      </w:pPr>
      <w:r>
        <w:rPr>
          <w:rFonts w:ascii="Verdana" w:eastAsia="Verdana" w:hAnsi="Verdana" w:cs="Verdana"/>
          <w:color w:val="221E1F"/>
          <w:sz w:val="19"/>
        </w:rPr>
        <w:t xml:space="preserve">The </w:t>
      </w:r>
      <w:r>
        <w:rPr>
          <w:rFonts w:ascii="Verdana" w:eastAsia="Verdana" w:hAnsi="Verdana" w:cs="Verdana"/>
          <w:b/>
          <w:color w:val="221E1F"/>
          <w:sz w:val="19"/>
        </w:rPr>
        <w:t xml:space="preserve">Balance Sheet </w:t>
      </w:r>
      <w:r>
        <w:rPr>
          <w:rFonts w:ascii="Verdana" w:eastAsia="Verdana" w:hAnsi="Verdana" w:cs="Verdana"/>
          <w:color w:val="221E1F"/>
          <w:sz w:val="19"/>
        </w:rPr>
        <w:t>which sets out the financial position of the LPFA at 31 March 2018. The Balance Sheet shows the value as at the Balance Sheet date of the assets and liabilities recognised by the LPFA. The net assets of the LPFA (ass</w:t>
      </w:r>
      <w:r>
        <w:rPr>
          <w:rFonts w:ascii="Verdana" w:eastAsia="Verdana" w:hAnsi="Verdana" w:cs="Verdana"/>
          <w:color w:val="221E1F"/>
          <w:sz w:val="19"/>
        </w:rPr>
        <w:t>ets less liabilities) are matched by the reserves held by the LPFA;</w:t>
      </w:r>
    </w:p>
    <w:p w:rsidR="00576F87" w:rsidRDefault="004165F5">
      <w:pPr>
        <w:spacing w:after="312" w:line="265" w:lineRule="auto"/>
        <w:ind w:hanging="10"/>
        <w:jc w:val="both"/>
      </w:pPr>
      <w:r>
        <w:rPr>
          <w:rFonts w:ascii="Verdana" w:eastAsia="Verdana" w:hAnsi="Verdana" w:cs="Verdana"/>
          <w:color w:val="221E1F"/>
          <w:sz w:val="19"/>
        </w:rPr>
        <w:t xml:space="preserve">The </w:t>
      </w:r>
      <w:r>
        <w:rPr>
          <w:rFonts w:ascii="Verdana" w:eastAsia="Verdana" w:hAnsi="Verdana" w:cs="Verdana"/>
          <w:b/>
          <w:color w:val="221E1F"/>
          <w:sz w:val="19"/>
        </w:rPr>
        <w:t xml:space="preserve">Cash Flow Statement </w:t>
      </w:r>
      <w:r>
        <w:rPr>
          <w:rFonts w:ascii="Verdana" w:eastAsia="Verdana" w:hAnsi="Verdana" w:cs="Verdana"/>
          <w:color w:val="221E1F"/>
          <w:sz w:val="19"/>
        </w:rPr>
        <w:t>shows the changes in cash and cash equivalent assets of the LPFA during the reporting period. The statement shows how the LPFA generates and uses cash and cash equi</w:t>
      </w:r>
      <w:r>
        <w:rPr>
          <w:rFonts w:ascii="Verdana" w:eastAsia="Verdana" w:hAnsi="Verdana" w:cs="Verdana"/>
          <w:color w:val="221E1F"/>
          <w:sz w:val="19"/>
        </w:rPr>
        <w:t>valents by classifying cash flows as operating and financing activities. The overall total agrees to the Cash position shown in the balance sheet;</w:t>
      </w:r>
    </w:p>
    <w:p w:rsidR="00576F87" w:rsidRDefault="004165F5">
      <w:pPr>
        <w:spacing w:after="123" w:line="419" w:lineRule="auto"/>
        <w:ind w:hanging="10"/>
        <w:jc w:val="both"/>
      </w:pPr>
      <w:r>
        <w:rPr>
          <w:rFonts w:ascii="Verdana" w:eastAsia="Verdana" w:hAnsi="Verdana" w:cs="Verdana"/>
          <w:color w:val="221E1F"/>
          <w:sz w:val="19"/>
        </w:rPr>
        <w:t xml:space="preserve">The </w:t>
      </w:r>
      <w:r>
        <w:rPr>
          <w:rFonts w:ascii="Verdana" w:eastAsia="Verdana" w:hAnsi="Verdana" w:cs="Verdana"/>
          <w:b/>
          <w:color w:val="221E1F"/>
          <w:sz w:val="19"/>
        </w:rPr>
        <w:t xml:space="preserve">Movement in Reserves Statement </w:t>
      </w:r>
      <w:r>
        <w:rPr>
          <w:rFonts w:ascii="Verdana" w:eastAsia="Verdana" w:hAnsi="Verdana" w:cs="Verdana"/>
          <w:color w:val="221E1F"/>
          <w:sz w:val="19"/>
        </w:rPr>
        <w:t>shows the movement in the year on the different reserves held by the LPFA;</w:t>
      </w:r>
      <w:r>
        <w:rPr>
          <w:rFonts w:ascii="Verdana" w:eastAsia="Verdana" w:hAnsi="Verdana" w:cs="Verdana"/>
          <w:color w:val="221E1F"/>
          <w:sz w:val="19"/>
        </w:rPr>
        <w:t xml:space="preserve"> and </w:t>
      </w:r>
      <w:r>
        <w:rPr>
          <w:rFonts w:ascii="Verdana" w:eastAsia="Verdana" w:hAnsi="Verdana" w:cs="Verdana"/>
          <w:b/>
          <w:color w:val="221E1F"/>
          <w:sz w:val="19"/>
        </w:rPr>
        <w:t>Notes to support the accounts.</w:t>
      </w:r>
    </w:p>
    <w:p w:rsidR="00576F87" w:rsidRDefault="004165F5">
      <w:pPr>
        <w:spacing w:after="443" w:line="265" w:lineRule="auto"/>
        <w:ind w:left="17" w:hanging="10"/>
      </w:pPr>
      <w:r>
        <w:rPr>
          <w:rFonts w:ascii="Verdana" w:eastAsia="Verdana" w:hAnsi="Verdana" w:cs="Verdana"/>
          <w:b/>
          <w:color w:val="3F977F"/>
          <w:sz w:val="27"/>
        </w:rPr>
        <w:t>LPFA Accounts 31 March 2018</w:t>
      </w:r>
    </w:p>
    <w:p w:rsidR="00576F87" w:rsidRDefault="004165F5">
      <w:pPr>
        <w:pStyle w:val="Heading1"/>
        <w:spacing w:after="0" w:line="259" w:lineRule="auto"/>
        <w:ind w:left="12"/>
      </w:pPr>
      <w:r>
        <w:rPr>
          <w:b w:val="0"/>
          <w:color w:val="34447D"/>
          <w:sz w:val="27"/>
        </w:rPr>
        <w:t>The Pension Fund Annual Report</w:t>
      </w:r>
    </w:p>
    <w:p w:rsidR="00576F87" w:rsidRDefault="004165F5">
      <w:pPr>
        <w:spacing w:after="500" w:line="265" w:lineRule="auto"/>
        <w:ind w:hanging="10"/>
        <w:jc w:val="both"/>
      </w:pPr>
      <w:r>
        <w:rPr>
          <w:rFonts w:ascii="Verdana" w:eastAsia="Verdana" w:hAnsi="Verdana" w:cs="Verdana"/>
          <w:color w:val="221E1F"/>
          <w:sz w:val="19"/>
        </w:rPr>
        <w:t>The LPFA is required to prepare an Annual Report of its activities for distribution to its members. The Pension Fund Statement of Accounts is included within the</w:t>
      </w:r>
      <w:r>
        <w:rPr>
          <w:rFonts w:ascii="Verdana" w:eastAsia="Verdana" w:hAnsi="Verdana" w:cs="Verdana"/>
          <w:color w:val="221E1F"/>
          <w:sz w:val="19"/>
        </w:rPr>
        <w:t xml:space="preserve"> Annual Report, together with other information in line with best practice guidance.</w:t>
      </w:r>
    </w:p>
    <w:p w:rsidR="00576F87" w:rsidRDefault="004165F5">
      <w:pPr>
        <w:pStyle w:val="Heading1"/>
        <w:spacing w:after="0" w:line="259" w:lineRule="auto"/>
        <w:ind w:left="12"/>
      </w:pPr>
      <w:r>
        <w:rPr>
          <w:b w:val="0"/>
          <w:color w:val="34447D"/>
          <w:sz w:val="27"/>
        </w:rPr>
        <w:t>Funding</w:t>
      </w:r>
    </w:p>
    <w:p w:rsidR="00576F87" w:rsidRDefault="004165F5">
      <w:pPr>
        <w:spacing w:after="123" w:line="265" w:lineRule="auto"/>
        <w:ind w:hanging="10"/>
        <w:jc w:val="both"/>
      </w:pPr>
      <w:r>
        <w:rPr>
          <w:rFonts w:ascii="Verdana" w:eastAsia="Verdana" w:hAnsi="Verdana" w:cs="Verdana"/>
          <w:color w:val="221E1F"/>
          <w:sz w:val="19"/>
        </w:rPr>
        <w:t>The LPFA incurs costs in the discharge of its functions as the administering authority of the Fund. These costs are detailed in the Operational Account. In accorda</w:t>
      </w:r>
      <w:r>
        <w:rPr>
          <w:rFonts w:ascii="Verdana" w:eastAsia="Verdana" w:hAnsi="Verdana" w:cs="Verdana"/>
          <w:color w:val="221E1F"/>
          <w:sz w:val="19"/>
        </w:rPr>
        <w:t>nce with the Local Government Pension Scheme (Management and Investment of Funds) Regulations 2016, the LPFA charges its costs to the Fund under its management as they are incurred and there is no formal recharge procedure.</w:t>
      </w:r>
    </w:p>
    <w:p w:rsidR="00576F87" w:rsidRDefault="004165F5">
      <w:pPr>
        <w:spacing w:after="366" w:line="265" w:lineRule="auto"/>
        <w:ind w:hanging="10"/>
        <w:jc w:val="both"/>
      </w:pPr>
      <w:r>
        <w:rPr>
          <w:rFonts w:ascii="Verdana" w:eastAsia="Verdana" w:hAnsi="Verdana" w:cs="Verdana"/>
          <w:color w:val="221E1F"/>
          <w:sz w:val="19"/>
        </w:rPr>
        <w:t>Any costs, charges and expenses incurred in administering the Residual Liabilities are met by the Levy on the Greater London and Inner London authorities.</w:t>
      </w:r>
    </w:p>
    <w:p w:rsidR="00576F87" w:rsidRDefault="004165F5">
      <w:pPr>
        <w:pStyle w:val="Heading1"/>
        <w:spacing w:after="162" w:line="259" w:lineRule="auto"/>
        <w:ind w:left="12"/>
      </w:pPr>
      <w:r>
        <w:rPr>
          <w:b w:val="0"/>
          <w:color w:val="34447D"/>
          <w:sz w:val="27"/>
        </w:rPr>
        <w:t>Review of the Statements</w:t>
      </w:r>
    </w:p>
    <w:p w:rsidR="00576F87" w:rsidRDefault="004165F5">
      <w:pPr>
        <w:spacing w:after="375" w:line="265" w:lineRule="auto"/>
        <w:ind w:hanging="10"/>
        <w:jc w:val="both"/>
      </w:pPr>
      <w:r>
        <w:rPr>
          <w:rFonts w:ascii="Verdana" w:eastAsia="Verdana" w:hAnsi="Verdana" w:cs="Verdana"/>
          <w:color w:val="221E1F"/>
          <w:sz w:val="19"/>
        </w:rPr>
        <w:t xml:space="preserve">The 2017/18 budget had initial approval from the Board in December 2016 and </w:t>
      </w:r>
      <w:r>
        <w:rPr>
          <w:rFonts w:ascii="Verdana" w:eastAsia="Verdana" w:hAnsi="Verdana" w:cs="Verdana"/>
          <w:color w:val="221E1F"/>
          <w:sz w:val="19"/>
        </w:rPr>
        <w:t>was submitted to the Mayor of London for comment. The final budget was approved by the Board in February 2017.</w:t>
      </w:r>
    </w:p>
    <w:p w:rsidR="00576F87" w:rsidRDefault="004165F5">
      <w:pPr>
        <w:pStyle w:val="Heading1"/>
        <w:spacing w:after="208" w:line="259" w:lineRule="auto"/>
        <w:ind w:left="12"/>
      </w:pPr>
      <w:r>
        <w:rPr>
          <w:b w:val="0"/>
          <w:color w:val="34447D"/>
          <w:sz w:val="27"/>
        </w:rPr>
        <w:t>Retirement of Managing director</w:t>
      </w:r>
    </w:p>
    <w:p w:rsidR="00576F87" w:rsidRDefault="004165F5">
      <w:pPr>
        <w:spacing w:after="124"/>
        <w:ind w:hanging="10"/>
      </w:pPr>
      <w:r>
        <w:rPr>
          <w:rFonts w:ascii="Verdana" w:eastAsia="Verdana" w:hAnsi="Verdana" w:cs="Verdana"/>
          <w:sz w:val="19"/>
        </w:rPr>
        <w:t xml:space="preserve">On 31 March 2018 Mike Allen retired as Managing director of LPFA. </w:t>
      </w:r>
    </w:p>
    <w:p w:rsidR="00576F87" w:rsidRDefault="004165F5">
      <w:pPr>
        <w:spacing w:after="124"/>
        <w:ind w:hanging="10"/>
      </w:pPr>
      <w:r>
        <w:rPr>
          <w:rFonts w:ascii="Verdana" w:eastAsia="Verdana" w:hAnsi="Verdana" w:cs="Verdana"/>
          <w:sz w:val="19"/>
        </w:rPr>
        <w:t>His replacement, Robert Branagh, was appointed on 1 April 2018.</w:t>
      </w:r>
    </w:p>
    <w:p w:rsidR="00576F87" w:rsidRDefault="00576F87">
      <w:pPr>
        <w:sectPr w:rsidR="00576F87">
          <w:headerReference w:type="even" r:id="rId7"/>
          <w:headerReference w:type="default" r:id="rId8"/>
          <w:footerReference w:type="even" r:id="rId9"/>
          <w:footerReference w:type="default" r:id="rId10"/>
          <w:headerReference w:type="first" r:id="rId11"/>
          <w:footerReference w:type="first" r:id="rId12"/>
          <w:pgSz w:w="11900" w:h="16840"/>
          <w:pgMar w:top="1144" w:right="1306" w:bottom="1783" w:left="1066" w:header="720" w:footer="720" w:gutter="0"/>
          <w:cols w:space="720"/>
          <w:titlePg/>
        </w:sectPr>
      </w:pPr>
    </w:p>
    <w:p w:rsidR="00576F87" w:rsidRDefault="004165F5">
      <w:pPr>
        <w:pStyle w:val="Heading1"/>
        <w:spacing w:after="0"/>
        <w:ind w:left="19"/>
      </w:pPr>
      <w:r>
        <w:lastRenderedPageBreak/>
        <w:t>Pension Funds</w:t>
      </w:r>
    </w:p>
    <w:tbl>
      <w:tblPr>
        <w:tblStyle w:val="TableGrid"/>
        <w:tblW w:w="9618" w:type="dxa"/>
        <w:tblInd w:w="-35" w:type="dxa"/>
        <w:tblCellMar>
          <w:top w:w="86" w:type="dxa"/>
          <w:left w:w="35" w:type="dxa"/>
          <w:bottom w:w="35" w:type="dxa"/>
          <w:right w:w="33" w:type="dxa"/>
        </w:tblCellMar>
        <w:tblLook w:val="04A0" w:firstRow="1" w:lastRow="0" w:firstColumn="1" w:lastColumn="0" w:noHBand="0" w:noVBand="1"/>
      </w:tblPr>
      <w:tblGrid>
        <w:gridCol w:w="5508"/>
        <w:gridCol w:w="1370"/>
        <w:gridCol w:w="1370"/>
        <w:gridCol w:w="1370"/>
      </w:tblGrid>
      <w:tr w:rsidR="00576F87">
        <w:trPr>
          <w:trHeight w:val="305"/>
        </w:trPr>
        <w:tc>
          <w:tcPr>
            <w:tcW w:w="5507" w:type="dxa"/>
            <w:vMerge w:val="restart"/>
            <w:tcBorders>
              <w:top w:val="single" w:sz="15" w:space="0" w:color="009784"/>
              <w:left w:val="single" w:sz="12" w:space="0" w:color="009784"/>
              <w:bottom w:val="single" w:sz="15" w:space="0" w:color="009784"/>
              <w:right w:val="single" w:sz="15" w:space="0" w:color="009784"/>
            </w:tcBorders>
            <w:shd w:val="clear" w:color="auto" w:fill="009784"/>
            <w:vAlign w:val="bottom"/>
          </w:tcPr>
          <w:p w:rsidR="00576F87" w:rsidRDefault="004165F5">
            <w:pPr>
              <w:spacing w:after="0"/>
              <w:ind w:left="5"/>
            </w:pPr>
            <w:r>
              <w:rPr>
                <w:rFonts w:ascii="Verdana" w:eastAsia="Verdana" w:hAnsi="Verdana" w:cs="Verdana"/>
                <w:b/>
                <w:color w:val="FFFFFF"/>
                <w:sz w:val="18"/>
              </w:rPr>
              <w:t>Pension Funds</w:t>
            </w:r>
          </w:p>
        </w:tc>
        <w:tc>
          <w:tcPr>
            <w:tcW w:w="1370" w:type="dxa"/>
            <w:tcBorders>
              <w:top w:val="single" w:sz="15" w:space="0" w:color="009784"/>
              <w:left w:val="single" w:sz="15" w:space="0" w:color="009784"/>
              <w:bottom w:val="single" w:sz="15" w:space="0" w:color="009784"/>
              <w:right w:val="single" w:sz="15" w:space="0" w:color="009784"/>
            </w:tcBorders>
            <w:shd w:val="clear" w:color="auto" w:fill="009784"/>
          </w:tcPr>
          <w:p w:rsidR="00576F87" w:rsidRDefault="004165F5">
            <w:pPr>
              <w:spacing w:after="0"/>
              <w:ind w:left="2"/>
              <w:jc w:val="center"/>
            </w:pPr>
            <w:r>
              <w:rPr>
                <w:rFonts w:ascii="Verdana" w:eastAsia="Verdana" w:hAnsi="Verdana" w:cs="Verdana"/>
                <w:b/>
                <w:color w:val="FFFFFF"/>
                <w:sz w:val="18"/>
              </w:rPr>
              <w:t>Actual</w:t>
            </w:r>
          </w:p>
        </w:tc>
        <w:tc>
          <w:tcPr>
            <w:tcW w:w="1370" w:type="dxa"/>
            <w:tcBorders>
              <w:top w:val="single" w:sz="15" w:space="0" w:color="009784"/>
              <w:left w:val="single" w:sz="15" w:space="0" w:color="009784"/>
              <w:bottom w:val="single" w:sz="15" w:space="0" w:color="009784"/>
              <w:right w:val="single" w:sz="15" w:space="0" w:color="009784"/>
            </w:tcBorders>
            <w:shd w:val="clear" w:color="auto" w:fill="009784"/>
          </w:tcPr>
          <w:p w:rsidR="00576F87" w:rsidRDefault="004165F5">
            <w:pPr>
              <w:spacing w:after="0"/>
              <w:ind w:left="1"/>
              <w:jc w:val="center"/>
            </w:pPr>
            <w:r>
              <w:rPr>
                <w:rFonts w:ascii="Verdana" w:eastAsia="Verdana" w:hAnsi="Verdana" w:cs="Verdana"/>
                <w:b/>
                <w:color w:val="FFFFFF"/>
                <w:sz w:val="18"/>
              </w:rPr>
              <w:t>Budget</w:t>
            </w:r>
          </w:p>
        </w:tc>
        <w:tc>
          <w:tcPr>
            <w:tcW w:w="1370" w:type="dxa"/>
            <w:tcBorders>
              <w:top w:val="single" w:sz="15" w:space="0" w:color="009784"/>
              <w:left w:val="single" w:sz="15" w:space="0" w:color="009784"/>
              <w:bottom w:val="single" w:sz="15" w:space="0" w:color="009784"/>
              <w:right w:val="single" w:sz="15" w:space="0" w:color="009784"/>
            </w:tcBorders>
            <w:shd w:val="clear" w:color="auto" w:fill="009784"/>
          </w:tcPr>
          <w:p w:rsidR="00576F87" w:rsidRDefault="004165F5">
            <w:pPr>
              <w:spacing w:after="0"/>
              <w:ind w:left="2"/>
              <w:jc w:val="center"/>
            </w:pPr>
            <w:r>
              <w:rPr>
                <w:rFonts w:ascii="Verdana" w:eastAsia="Verdana" w:hAnsi="Verdana" w:cs="Verdana"/>
                <w:b/>
                <w:color w:val="FFFFFF"/>
                <w:sz w:val="18"/>
              </w:rPr>
              <w:t>Variance</w:t>
            </w:r>
          </w:p>
        </w:tc>
      </w:tr>
      <w:tr w:rsidR="00576F87">
        <w:trPr>
          <w:trHeight w:val="305"/>
        </w:trPr>
        <w:tc>
          <w:tcPr>
            <w:tcW w:w="0" w:type="auto"/>
            <w:vMerge/>
            <w:tcBorders>
              <w:top w:val="nil"/>
              <w:left w:val="single" w:sz="12" w:space="0" w:color="009784"/>
              <w:bottom w:val="single" w:sz="15" w:space="0" w:color="009784"/>
              <w:right w:val="single" w:sz="15" w:space="0" w:color="009784"/>
            </w:tcBorders>
          </w:tcPr>
          <w:p w:rsidR="00576F87" w:rsidRDefault="00576F87"/>
        </w:tc>
        <w:tc>
          <w:tcPr>
            <w:tcW w:w="1370" w:type="dxa"/>
            <w:tcBorders>
              <w:top w:val="single" w:sz="15" w:space="0" w:color="009784"/>
              <w:left w:val="single" w:sz="15" w:space="0" w:color="009784"/>
              <w:bottom w:val="single" w:sz="15" w:space="0" w:color="009784"/>
              <w:right w:val="single" w:sz="15" w:space="0" w:color="009784"/>
            </w:tcBorders>
            <w:shd w:val="clear" w:color="auto" w:fill="009784"/>
          </w:tcPr>
          <w:p w:rsidR="00576F87" w:rsidRDefault="004165F5">
            <w:pPr>
              <w:spacing w:after="0"/>
              <w:ind w:left="208"/>
            </w:pPr>
            <w:r>
              <w:rPr>
                <w:rFonts w:ascii="Verdana" w:eastAsia="Verdana" w:hAnsi="Verdana" w:cs="Verdana"/>
                <w:b/>
                <w:color w:val="FFFFFF"/>
                <w:sz w:val="18"/>
              </w:rPr>
              <w:t>2017/18</w:t>
            </w:r>
          </w:p>
        </w:tc>
        <w:tc>
          <w:tcPr>
            <w:tcW w:w="1370" w:type="dxa"/>
            <w:tcBorders>
              <w:top w:val="single" w:sz="15" w:space="0" w:color="009784"/>
              <w:left w:val="single" w:sz="15" w:space="0" w:color="009784"/>
              <w:bottom w:val="single" w:sz="15" w:space="0" w:color="009784"/>
              <w:right w:val="single" w:sz="15" w:space="0" w:color="009784"/>
            </w:tcBorders>
            <w:shd w:val="clear" w:color="auto" w:fill="009784"/>
          </w:tcPr>
          <w:p w:rsidR="00576F87" w:rsidRDefault="004165F5">
            <w:pPr>
              <w:spacing w:after="0"/>
              <w:ind w:left="208"/>
            </w:pPr>
            <w:r>
              <w:rPr>
                <w:rFonts w:ascii="Verdana" w:eastAsia="Verdana" w:hAnsi="Verdana" w:cs="Verdana"/>
                <w:b/>
                <w:color w:val="FFFFFF"/>
                <w:sz w:val="18"/>
              </w:rPr>
              <w:t>2017/18</w:t>
            </w:r>
          </w:p>
        </w:tc>
        <w:tc>
          <w:tcPr>
            <w:tcW w:w="1370" w:type="dxa"/>
            <w:tcBorders>
              <w:top w:val="single" w:sz="15" w:space="0" w:color="009784"/>
              <w:left w:val="single" w:sz="15" w:space="0" w:color="009784"/>
              <w:bottom w:val="single" w:sz="15" w:space="0" w:color="009784"/>
              <w:right w:val="single" w:sz="15" w:space="0" w:color="009784"/>
            </w:tcBorders>
            <w:shd w:val="clear" w:color="auto" w:fill="009784"/>
          </w:tcPr>
          <w:p w:rsidR="00576F87" w:rsidRDefault="004165F5">
            <w:pPr>
              <w:spacing w:after="0"/>
              <w:ind w:left="208"/>
            </w:pPr>
            <w:r>
              <w:rPr>
                <w:rFonts w:ascii="Verdana" w:eastAsia="Verdana" w:hAnsi="Verdana" w:cs="Verdana"/>
                <w:b/>
                <w:color w:val="FFFFFF"/>
                <w:sz w:val="18"/>
              </w:rPr>
              <w:t>2017/18</w:t>
            </w:r>
          </w:p>
        </w:tc>
      </w:tr>
      <w:tr w:rsidR="00576F87">
        <w:trPr>
          <w:trHeight w:val="595"/>
        </w:trPr>
        <w:tc>
          <w:tcPr>
            <w:tcW w:w="5507" w:type="dxa"/>
            <w:tcBorders>
              <w:top w:val="single" w:sz="15" w:space="0" w:color="009784"/>
              <w:left w:val="single" w:sz="12" w:space="0" w:color="009784"/>
              <w:bottom w:val="single" w:sz="15" w:space="0" w:color="009784"/>
              <w:right w:val="single" w:sz="15" w:space="0" w:color="009784"/>
            </w:tcBorders>
            <w:shd w:val="clear" w:color="auto" w:fill="009784"/>
          </w:tcPr>
          <w:p w:rsidR="00576F87" w:rsidRDefault="00576F87"/>
        </w:tc>
        <w:tc>
          <w:tcPr>
            <w:tcW w:w="1370" w:type="dxa"/>
            <w:tcBorders>
              <w:top w:val="single" w:sz="15" w:space="0" w:color="009784"/>
              <w:left w:val="single" w:sz="15" w:space="0" w:color="009784"/>
              <w:bottom w:val="single" w:sz="15" w:space="0" w:color="009784"/>
              <w:right w:val="single" w:sz="15" w:space="0" w:color="009784"/>
            </w:tcBorders>
            <w:shd w:val="clear" w:color="auto" w:fill="009784"/>
            <w:vAlign w:val="center"/>
          </w:tcPr>
          <w:p w:rsidR="00576F87" w:rsidRDefault="004165F5">
            <w:pPr>
              <w:spacing w:after="0"/>
              <w:ind w:left="1"/>
              <w:jc w:val="center"/>
            </w:pPr>
            <w:r>
              <w:rPr>
                <w:rFonts w:ascii="Verdana" w:eastAsia="Verdana" w:hAnsi="Verdana" w:cs="Verdana"/>
                <w:b/>
                <w:color w:val="FFFFFF"/>
                <w:sz w:val="18"/>
              </w:rPr>
              <w:t>£000</w:t>
            </w:r>
          </w:p>
        </w:tc>
        <w:tc>
          <w:tcPr>
            <w:tcW w:w="1370" w:type="dxa"/>
            <w:tcBorders>
              <w:top w:val="single" w:sz="15" w:space="0" w:color="009784"/>
              <w:left w:val="single" w:sz="15" w:space="0" w:color="009784"/>
              <w:bottom w:val="single" w:sz="15" w:space="0" w:color="009784"/>
              <w:right w:val="single" w:sz="15" w:space="0" w:color="009784"/>
            </w:tcBorders>
            <w:shd w:val="clear" w:color="auto" w:fill="009784"/>
            <w:vAlign w:val="center"/>
          </w:tcPr>
          <w:p w:rsidR="00576F87" w:rsidRDefault="004165F5">
            <w:pPr>
              <w:spacing w:after="0"/>
              <w:ind w:left="1"/>
              <w:jc w:val="center"/>
            </w:pPr>
            <w:r>
              <w:rPr>
                <w:rFonts w:ascii="Verdana" w:eastAsia="Verdana" w:hAnsi="Verdana" w:cs="Verdana"/>
                <w:b/>
                <w:color w:val="FFFFFF"/>
                <w:sz w:val="18"/>
              </w:rPr>
              <w:t>£000</w:t>
            </w:r>
          </w:p>
        </w:tc>
        <w:tc>
          <w:tcPr>
            <w:tcW w:w="1370" w:type="dxa"/>
            <w:tcBorders>
              <w:top w:val="single" w:sz="15" w:space="0" w:color="009784"/>
              <w:left w:val="single" w:sz="15" w:space="0" w:color="009784"/>
              <w:bottom w:val="single" w:sz="15" w:space="0" w:color="009784"/>
              <w:right w:val="single" w:sz="15" w:space="0" w:color="009784"/>
            </w:tcBorders>
            <w:shd w:val="clear" w:color="auto" w:fill="009784"/>
            <w:vAlign w:val="center"/>
          </w:tcPr>
          <w:p w:rsidR="00576F87" w:rsidRDefault="004165F5">
            <w:pPr>
              <w:spacing w:after="0"/>
              <w:ind w:left="2"/>
              <w:jc w:val="center"/>
            </w:pPr>
            <w:r>
              <w:rPr>
                <w:rFonts w:ascii="Verdana" w:eastAsia="Verdana" w:hAnsi="Verdana" w:cs="Verdana"/>
                <w:b/>
                <w:color w:val="FFFFFF"/>
                <w:sz w:val="18"/>
              </w:rPr>
              <w:t>£000</w:t>
            </w:r>
          </w:p>
        </w:tc>
      </w:tr>
      <w:tr w:rsidR="00576F87">
        <w:trPr>
          <w:trHeight w:val="377"/>
        </w:trPr>
        <w:tc>
          <w:tcPr>
            <w:tcW w:w="5507" w:type="dxa"/>
            <w:tcBorders>
              <w:top w:val="single" w:sz="15" w:space="0" w:color="009784"/>
              <w:left w:val="single" w:sz="12" w:space="0" w:color="009784"/>
              <w:bottom w:val="single" w:sz="8" w:space="0" w:color="009784"/>
              <w:right w:val="single" w:sz="8" w:space="0" w:color="009784"/>
            </w:tcBorders>
          </w:tcPr>
          <w:p w:rsidR="00576F87" w:rsidRDefault="004165F5">
            <w:pPr>
              <w:spacing w:after="0"/>
              <w:ind w:left="5"/>
            </w:pPr>
            <w:r>
              <w:rPr>
                <w:rFonts w:ascii="Verdana" w:eastAsia="Verdana" w:hAnsi="Verdana" w:cs="Verdana"/>
                <w:b/>
                <w:sz w:val="18"/>
              </w:rPr>
              <w:t>Dealings with members and employers</w:t>
            </w:r>
          </w:p>
        </w:tc>
        <w:tc>
          <w:tcPr>
            <w:tcW w:w="1370" w:type="dxa"/>
            <w:tcBorders>
              <w:top w:val="single" w:sz="15" w:space="0" w:color="009784"/>
              <w:left w:val="single" w:sz="8" w:space="0" w:color="009784"/>
              <w:bottom w:val="single" w:sz="8" w:space="0" w:color="009784"/>
              <w:right w:val="single" w:sz="8" w:space="0" w:color="009784"/>
            </w:tcBorders>
          </w:tcPr>
          <w:p w:rsidR="00576F87" w:rsidRDefault="00576F87"/>
        </w:tc>
        <w:tc>
          <w:tcPr>
            <w:tcW w:w="1370" w:type="dxa"/>
            <w:tcBorders>
              <w:top w:val="single" w:sz="15" w:space="0" w:color="009784"/>
              <w:left w:val="single" w:sz="8" w:space="0" w:color="009784"/>
              <w:bottom w:val="single" w:sz="8" w:space="0" w:color="009784"/>
              <w:right w:val="single" w:sz="8" w:space="0" w:color="009784"/>
            </w:tcBorders>
          </w:tcPr>
          <w:p w:rsidR="00576F87" w:rsidRDefault="00576F87"/>
        </w:tc>
        <w:tc>
          <w:tcPr>
            <w:tcW w:w="1370" w:type="dxa"/>
            <w:tcBorders>
              <w:top w:val="single" w:sz="15" w:space="0" w:color="009784"/>
              <w:left w:val="single" w:sz="8" w:space="0" w:color="009784"/>
              <w:bottom w:val="single" w:sz="8" w:space="0" w:color="009784"/>
              <w:right w:val="single" w:sz="15" w:space="0" w:color="009784"/>
            </w:tcBorders>
          </w:tcPr>
          <w:p w:rsidR="00576F87" w:rsidRDefault="00576F87"/>
        </w:tc>
      </w:tr>
      <w:tr w:rsidR="00576F87">
        <w:trPr>
          <w:trHeight w:val="377"/>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pPr>
            <w:r>
              <w:rPr>
                <w:rFonts w:ascii="Verdana" w:eastAsia="Verdana" w:hAnsi="Verdana" w:cs="Verdana"/>
                <w:sz w:val="18"/>
              </w:rPr>
              <w:t>Contributions</w:t>
            </w:r>
          </w:p>
        </w:tc>
        <w:tc>
          <w:tcPr>
            <w:tcW w:w="137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6"/>
              <w:jc w:val="right"/>
            </w:pPr>
            <w:r>
              <w:rPr>
                <w:rFonts w:ascii="Verdana" w:eastAsia="Verdana" w:hAnsi="Verdana" w:cs="Verdana"/>
                <w:sz w:val="18"/>
              </w:rPr>
              <w:t>180,904</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8"/>
              </w:rPr>
              <w:t>146,389</w:t>
            </w:r>
          </w:p>
        </w:tc>
        <w:tc>
          <w:tcPr>
            <w:tcW w:w="137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8"/>
              </w:rPr>
              <w:t>34,515</w:t>
            </w:r>
          </w:p>
        </w:tc>
      </w:tr>
      <w:tr w:rsidR="00576F87">
        <w:trPr>
          <w:trHeight w:val="377"/>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pPr>
            <w:r>
              <w:rPr>
                <w:rFonts w:ascii="Verdana" w:eastAsia="Verdana" w:hAnsi="Verdana" w:cs="Verdana"/>
                <w:sz w:val="18"/>
              </w:rPr>
              <w:t>Transfers in</w:t>
            </w:r>
          </w:p>
        </w:tc>
        <w:tc>
          <w:tcPr>
            <w:tcW w:w="137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6"/>
              <w:jc w:val="right"/>
            </w:pPr>
            <w:r>
              <w:rPr>
                <w:rFonts w:ascii="Verdana" w:eastAsia="Verdana" w:hAnsi="Verdana" w:cs="Verdana"/>
                <w:sz w:val="18"/>
              </w:rPr>
              <w:t>165,434</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8"/>
              </w:rPr>
              <w:t>23,315</w:t>
            </w:r>
          </w:p>
        </w:tc>
        <w:tc>
          <w:tcPr>
            <w:tcW w:w="137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8"/>
              </w:rPr>
              <w:t>142,119</w:t>
            </w:r>
          </w:p>
        </w:tc>
      </w:tr>
      <w:tr w:rsidR="00576F87">
        <w:trPr>
          <w:trHeight w:val="377"/>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pPr>
            <w:r>
              <w:rPr>
                <w:rFonts w:ascii="Verdana" w:eastAsia="Verdana" w:hAnsi="Verdana" w:cs="Verdana"/>
                <w:sz w:val="18"/>
              </w:rPr>
              <w:t xml:space="preserve">Benefits Payable </w:t>
            </w:r>
          </w:p>
        </w:tc>
        <w:tc>
          <w:tcPr>
            <w:tcW w:w="137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5"/>
              <w:jc w:val="right"/>
            </w:pPr>
            <w:r>
              <w:rPr>
                <w:rFonts w:ascii="Verdana" w:eastAsia="Verdana" w:hAnsi="Verdana" w:cs="Verdana"/>
                <w:sz w:val="18"/>
              </w:rPr>
              <w:t>(245,692)</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(252,045)</w:t>
            </w:r>
          </w:p>
        </w:tc>
        <w:tc>
          <w:tcPr>
            <w:tcW w:w="137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8"/>
              </w:rPr>
              <w:t>6,353</w:t>
            </w:r>
          </w:p>
        </w:tc>
      </w:tr>
      <w:tr w:rsidR="00576F87">
        <w:trPr>
          <w:trHeight w:val="377"/>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pPr>
            <w:r>
              <w:rPr>
                <w:rFonts w:ascii="Verdana" w:eastAsia="Verdana" w:hAnsi="Verdana" w:cs="Verdana"/>
                <w:sz w:val="18"/>
              </w:rPr>
              <w:t>Transfers out</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5"/>
              <w:jc w:val="right"/>
            </w:pPr>
            <w:r>
              <w:rPr>
                <w:rFonts w:ascii="Verdana" w:eastAsia="Verdana" w:hAnsi="Verdana" w:cs="Verdana"/>
                <w:sz w:val="18"/>
              </w:rPr>
              <w:t>(16,828)</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(23,767)</w:t>
            </w:r>
          </w:p>
        </w:tc>
        <w:tc>
          <w:tcPr>
            <w:tcW w:w="137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8"/>
              </w:rPr>
              <w:t>6,939</w:t>
            </w:r>
          </w:p>
        </w:tc>
      </w:tr>
      <w:tr w:rsidR="00576F87">
        <w:trPr>
          <w:trHeight w:val="420"/>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5"/>
            </w:pPr>
            <w:r>
              <w:rPr>
                <w:rFonts w:ascii="Verdana" w:eastAsia="Verdana" w:hAnsi="Verdana" w:cs="Verdana"/>
                <w:b/>
                <w:sz w:val="18"/>
              </w:rPr>
              <w:t>Net dealings with members and employers</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5"/>
              <w:jc w:val="right"/>
            </w:pPr>
            <w:r>
              <w:rPr>
                <w:rFonts w:ascii="Verdana" w:eastAsia="Verdana" w:hAnsi="Verdana" w:cs="Verdana"/>
                <w:b/>
                <w:sz w:val="18"/>
              </w:rPr>
              <w:t>83,819</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6"/>
              <w:jc w:val="right"/>
            </w:pPr>
            <w:r>
              <w:rPr>
                <w:rFonts w:ascii="Verdana" w:eastAsia="Verdana" w:hAnsi="Verdana" w:cs="Verdana"/>
                <w:b/>
                <w:sz w:val="18"/>
              </w:rPr>
              <w:t>(106,108)</w:t>
            </w:r>
          </w:p>
        </w:tc>
        <w:tc>
          <w:tcPr>
            <w:tcW w:w="137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5"/>
              <w:jc w:val="right"/>
            </w:pPr>
            <w:r>
              <w:rPr>
                <w:rFonts w:ascii="Verdana" w:eastAsia="Verdana" w:hAnsi="Verdana" w:cs="Verdana"/>
                <w:b/>
                <w:sz w:val="18"/>
              </w:rPr>
              <w:t>189,927</w:t>
            </w:r>
          </w:p>
        </w:tc>
      </w:tr>
      <w:tr w:rsidR="00576F87">
        <w:trPr>
          <w:trHeight w:val="235"/>
        </w:trPr>
        <w:tc>
          <w:tcPr>
            <w:tcW w:w="5507" w:type="dxa"/>
            <w:tcBorders>
              <w:top w:val="single" w:sz="8" w:space="0" w:color="009784"/>
              <w:left w:val="single" w:sz="12" w:space="0" w:color="009784"/>
              <w:bottom w:val="single" w:sz="8" w:space="0" w:color="009784"/>
              <w:right w:val="single" w:sz="8" w:space="0" w:color="009784"/>
            </w:tcBorders>
          </w:tcPr>
          <w:p w:rsidR="00576F87" w:rsidRDefault="00576F87"/>
        </w:tc>
        <w:tc>
          <w:tcPr>
            <w:tcW w:w="1370" w:type="dxa"/>
            <w:tcBorders>
              <w:top w:val="single" w:sz="8" w:space="0" w:color="009784"/>
              <w:left w:val="single" w:sz="8" w:space="0" w:color="009784"/>
              <w:bottom w:val="single" w:sz="8" w:space="0" w:color="009784"/>
              <w:right w:val="single" w:sz="8" w:space="0" w:color="009784"/>
            </w:tcBorders>
          </w:tcPr>
          <w:p w:rsidR="00576F87" w:rsidRDefault="00576F87"/>
        </w:tc>
        <w:tc>
          <w:tcPr>
            <w:tcW w:w="1370" w:type="dxa"/>
            <w:tcBorders>
              <w:top w:val="single" w:sz="8" w:space="0" w:color="009784"/>
              <w:left w:val="single" w:sz="8" w:space="0" w:color="009784"/>
              <w:bottom w:val="single" w:sz="8" w:space="0" w:color="009784"/>
              <w:right w:val="single" w:sz="8" w:space="0" w:color="009784"/>
            </w:tcBorders>
          </w:tcPr>
          <w:p w:rsidR="00576F87" w:rsidRDefault="00576F87"/>
        </w:tc>
        <w:tc>
          <w:tcPr>
            <w:tcW w:w="1370"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77"/>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5"/>
            </w:pPr>
            <w:r>
              <w:rPr>
                <w:rFonts w:ascii="Verdana" w:eastAsia="Verdana" w:hAnsi="Verdana" w:cs="Verdana"/>
                <w:b/>
                <w:sz w:val="18"/>
              </w:rPr>
              <w:t>Management Expenses</w:t>
            </w:r>
          </w:p>
        </w:tc>
        <w:tc>
          <w:tcPr>
            <w:tcW w:w="1370" w:type="dxa"/>
            <w:tcBorders>
              <w:top w:val="single" w:sz="8" w:space="0" w:color="009784"/>
              <w:left w:val="single" w:sz="8" w:space="0" w:color="009784"/>
              <w:bottom w:val="single" w:sz="8" w:space="0" w:color="009784"/>
              <w:right w:val="single" w:sz="8" w:space="0" w:color="009784"/>
            </w:tcBorders>
          </w:tcPr>
          <w:p w:rsidR="00576F87" w:rsidRDefault="00576F87"/>
        </w:tc>
        <w:tc>
          <w:tcPr>
            <w:tcW w:w="1370" w:type="dxa"/>
            <w:tcBorders>
              <w:top w:val="single" w:sz="8" w:space="0" w:color="009784"/>
              <w:left w:val="single" w:sz="8" w:space="0" w:color="009784"/>
              <w:bottom w:val="single" w:sz="8" w:space="0" w:color="009784"/>
              <w:right w:val="single" w:sz="8" w:space="0" w:color="009784"/>
            </w:tcBorders>
          </w:tcPr>
          <w:p w:rsidR="00576F87" w:rsidRDefault="00576F87"/>
        </w:tc>
        <w:tc>
          <w:tcPr>
            <w:tcW w:w="1370"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77"/>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pPr>
            <w:r>
              <w:rPr>
                <w:rFonts w:ascii="Verdana" w:eastAsia="Verdana" w:hAnsi="Verdana" w:cs="Verdana"/>
                <w:sz w:val="18"/>
              </w:rPr>
              <w:t>Investment management *</w:t>
            </w:r>
          </w:p>
        </w:tc>
        <w:tc>
          <w:tcPr>
            <w:tcW w:w="137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5"/>
              <w:jc w:val="right"/>
            </w:pPr>
            <w:r>
              <w:rPr>
                <w:rFonts w:ascii="Verdana" w:eastAsia="Verdana" w:hAnsi="Verdana" w:cs="Verdana"/>
                <w:sz w:val="18"/>
              </w:rPr>
              <w:t>(44,614)</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(47,793)</w:t>
            </w:r>
          </w:p>
        </w:tc>
        <w:tc>
          <w:tcPr>
            <w:tcW w:w="137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8"/>
              </w:rPr>
              <w:t>3,179</w:t>
            </w:r>
          </w:p>
        </w:tc>
      </w:tr>
      <w:tr w:rsidR="00576F87">
        <w:trPr>
          <w:trHeight w:val="377"/>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pPr>
            <w:r>
              <w:rPr>
                <w:rFonts w:ascii="Verdana" w:eastAsia="Verdana" w:hAnsi="Verdana" w:cs="Verdana"/>
                <w:sz w:val="18"/>
              </w:rPr>
              <w:t>Administration</w:t>
            </w:r>
          </w:p>
        </w:tc>
        <w:tc>
          <w:tcPr>
            <w:tcW w:w="137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5"/>
              <w:jc w:val="right"/>
            </w:pPr>
            <w:r>
              <w:rPr>
                <w:rFonts w:ascii="Verdana" w:eastAsia="Verdana" w:hAnsi="Verdana" w:cs="Verdana"/>
                <w:sz w:val="18"/>
              </w:rPr>
              <w:t>(1,806)</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(1,811)</w:t>
            </w:r>
          </w:p>
        </w:tc>
        <w:tc>
          <w:tcPr>
            <w:tcW w:w="137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8"/>
              </w:rPr>
              <w:t>4</w:t>
            </w:r>
          </w:p>
        </w:tc>
      </w:tr>
      <w:tr w:rsidR="00576F87">
        <w:trPr>
          <w:trHeight w:val="377"/>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pPr>
            <w:r>
              <w:rPr>
                <w:rFonts w:ascii="Verdana" w:eastAsia="Verdana" w:hAnsi="Verdana" w:cs="Verdana"/>
                <w:sz w:val="18"/>
              </w:rPr>
              <w:t>Oversight &amp; Governance</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(1,359)</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(2,046)</w:t>
            </w:r>
          </w:p>
        </w:tc>
        <w:tc>
          <w:tcPr>
            <w:tcW w:w="137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8"/>
              </w:rPr>
              <w:t>687</w:t>
            </w:r>
          </w:p>
        </w:tc>
      </w:tr>
      <w:tr w:rsidR="00576F87">
        <w:trPr>
          <w:trHeight w:val="377"/>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pPr>
            <w:r>
              <w:rPr>
                <w:rFonts w:ascii="Verdana" w:eastAsia="Verdana" w:hAnsi="Verdana" w:cs="Verdana"/>
                <w:sz w:val="18"/>
              </w:rPr>
              <w:t>Investment Services Fee</w:t>
            </w:r>
          </w:p>
        </w:tc>
        <w:tc>
          <w:tcPr>
            <w:tcW w:w="1370" w:type="dxa"/>
            <w:tcBorders>
              <w:top w:val="single" w:sz="8" w:space="0" w:color="009784"/>
              <w:left w:val="single" w:sz="8" w:space="0" w:color="009784"/>
              <w:bottom w:val="single" w:sz="8" w:space="0" w:color="009784"/>
              <w:right w:val="single" w:sz="8" w:space="0" w:color="009784"/>
            </w:tcBorders>
          </w:tcPr>
          <w:p w:rsidR="00576F87" w:rsidRDefault="00576F87"/>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(4,401)</w:t>
            </w:r>
          </w:p>
        </w:tc>
        <w:tc>
          <w:tcPr>
            <w:tcW w:w="137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8"/>
              </w:rPr>
              <w:t>4,401</w:t>
            </w:r>
          </w:p>
        </w:tc>
      </w:tr>
      <w:tr w:rsidR="00576F87">
        <w:trPr>
          <w:trHeight w:val="362"/>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5"/>
            </w:pPr>
            <w:r>
              <w:rPr>
                <w:rFonts w:ascii="Verdana" w:eastAsia="Verdana" w:hAnsi="Verdana" w:cs="Verdana"/>
                <w:b/>
                <w:sz w:val="18"/>
              </w:rPr>
              <w:t>Total Management Expenses</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6"/>
              <w:jc w:val="right"/>
            </w:pPr>
            <w:r>
              <w:rPr>
                <w:rFonts w:ascii="Verdana" w:eastAsia="Verdana" w:hAnsi="Verdana" w:cs="Verdana"/>
                <w:b/>
                <w:sz w:val="18"/>
              </w:rPr>
              <w:t>(47,779)</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6"/>
              <w:jc w:val="right"/>
            </w:pPr>
            <w:r>
              <w:rPr>
                <w:rFonts w:ascii="Verdana" w:eastAsia="Verdana" w:hAnsi="Verdana" w:cs="Verdana"/>
                <w:b/>
                <w:sz w:val="18"/>
              </w:rPr>
              <w:t>(56,051)</w:t>
            </w:r>
          </w:p>
        </w:tc>
        <w:tc>
          <w:tcPr>
            <w:tcW w:w="137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5"/>
              <w:jc w:val="right"/>
            </w:pPr>
            <w:r>
              <w:rPr>
                <w:rFonts w:ascii="Verdana" w:eastAsia="Verdana" w:hAnsi="Verdana" w:cs="Verdana"/>
                <w:b/>
                <w:sz w:val="18"/>
              </w:rPr>
              <w:t>8,272</w:t>
            </w:r>
          </w:p>
        </w:tc>
      </w:tr>
      <w:tr w:rsidR="00576F87">
        <w:trPr>
          <w:trHeight w:val="216"/>
        </w:trPr>
        <w:tc>
          <w:tcPr>
            <w:tcW w:w="5507" w:type="dxa"/>
            <w:tcBorders>
              <w:top w:val="single" w:sz="8" w:space="0" w:color="009784"/>
              <w:left w:val="single" w:sz="12" w:space="0" w:color="009784"/>
              <w:bottom w:val="single" w:sz="8" w:space="0" w:color="009784"/>
              <w:right w:val="single" w:sz="8" w:space="0" w:color="009784"/>
            </w:tcBorders>
          </w:tcPr>
          <w:p w:rsidR="00576F87" w:rsidRDefault="00576F87"/>
        </w:tc>
        <w:tc>
          <w:tcPr>
            <w:tcW w:w="1370" w:type="dxa"/>
            <w:tcBorders>
              <w:top w:val="single" w:sz="8" w:space="0" w:color="009784"/>
              <w:left w:val="single" w:sz="8" w:space="0" w:color="009784"/>
              <w:bottom w:val="single" w:sz="8" w:space="0" w:color="009784"/>
              <w:right w:val="single" w:sz="8" w:space="0" w:color="009784"/>
            </w:tcBorders>
          </w:tcPr>
          <w:p w:rsidR="00576F87" w:rsidRDefault="00576F87"/>
        </w:tc>
        <w:tc>
          <w:tcPr>
            <w:tcW w:w="1370" w:type="dxa"/>
            <w:tcBorders>
              <w:top w:val="single" w:sz="8" w:space="0" w:color="009784"/>
              <w:left w:val="single" w:sz="8" w:space="0" w:color="009784"/>
              <w:bottom w:val="single" w:sz="8" w:space="0" w:color="009784"/>
              <w:right w:val="single" w:sz="8" w:space="0" w:color="009784"/>
            </w:tcBorders>
          </w:tcPr>
          <w:p w:rsidR="00576F87" w:rsidRDefault="00576F87"/>
        </w:tc>
        <w:tc>
          <w:tcPr>
            <w:tcW w:w="1370"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70"/>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5"/>
            </w:pPr>
            <w:r>
              <w:rPr>
                <w:rFonts w:ascii="Verdana" w:eastAsia="Verdana" w:hAnsi="Verdana" w:cs="Verdana"/>
                <w:b/>
                <w:sz w:val="18"/>
              </w:rPr>
              <w:t>Returns on Investments</w:t>
            </w:r>
          </w:p>
        </w:tc>
        <w:tc>
          <w:tcPr>
            <w:tcW w:w="1370" w:type="dxa"/>
            <w:tcBorders>
              <w:top w:val="single" w:sz="8" w:space="0" w:color="009784"/>
              <w:left w:val="single" w:sz="8" w:space="0" w:color="009784"/>
              <w:bottom w:val="single" w:sz="8" w:space="0" w:color="009784"/>
              <w:right w:val="single" w:sz="8" w:space="0" w:color="009784"/>
            </w:tcBorders>
          </w:tcPr>
          <w:p w:rsidR="00576F87" w:rsidRDefault="00576F87"/>
        </w:tc>
        <w:tc>
          <w:tcPr>
            <w:tcW w:w="1370" w:type="dxa"/>
            <w:tcBorders>
              <w:top w:val="single" w:sz="8" w:space="0" w:color="009784"/>
              <w:left w:val="single" w:sz="8" w:space="0" w:color="009784"/>
              <w:bottom w:val="single" w:sz="8" w:space="0" w:color="009784"/>
              <w:right w:val="single" w:sz="8" w:space="0" w:color="009784"/>
            </w:tcBorders>
          </w:tcPr>
          <w:p w:rsidR="00576F87" w:rsidRDefault="00576F87"/>
        </w:tc>
        <w:tc>
          <w:tcPr>
            <w:tcW w:w="1370"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84"/>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pPr>
            <w:r>
              <w:rPr>
                <w:rFonts w:ascii="Verdana" w:eastAsia="Verdana" w:hAnsi="Verdana" w:cs="Verdana"/>
                <w:sz w:val="18"/>
              </w:rPr>
              <w:t>Net investment Income</w:t>
            </w:r>
          </w:p>
        </w:tc>
        <w:tc>
          <w:tcPr>
            <w:tcW w:w="137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6"/>
              <w:jc w:val="right"/>
            </w:pPr>
            <w:r>
              <w:rPr>
                <w:rFonts w:ascii="Verdana" w:eastAsia="Verdana" w:hAnsi="Verdana" w:cs="Verdana"/>
                <w:sz w:val="18"/>
              </w:rPr>
              <w:t>95,158</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8"/>
              </w:rPr>
              <w:t>159,500</w:t>
            </w:r>
          </w:p>
        </w:tc>
        <w:tc>
          <w:tcPr>
            <w:tcW w:w="1370" w:type="dxa"/>
            <w:tcBorders>
              <w:top w:val="single" w:sz="8" w:space="0" w:color="009784"/>
              <w:left w:val="single" w:sz="8" w:space="0" w:color="009784"/>
              <w:bottom w:val="single" w:sz="8" w:space="0" w:color="009784"/>
              <w:right w:val="single" w:sz="15" w:space="0" w:color="009784"/>
            </w:tcBorders>
          </w:tcPr>
          <w:p w:rsidR="00576F87" w:rsidRDefault="004165F5">
            <w:pPr>
              <w:spacing w:after="0"/>
              <w:jc w:val="right"/>
            </w:pPr>
            <w:r>
              <w:rPr>
                <w:rFonts w:ascii="Verdana" w:eastAsia="Verdana" w:hAnsi="Verdana" w:cs="Verdana"/>
                <w:sz w:val="18"/>
              </w:rPr>
              <w:t>(64,342)</w:t>
            </w:r>
          </w:p>
        </w:tc>
      </w:tr>
      <w:tr w:rsidR="00576F87">
        <w:trPr>
          <w:trHeight w:val="384"/>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pPr>
            <w:r>
              <w:rPr>
                <w:rFonts w:ascii="Verdana" w:eastAsia="Verdana" w:hAnsi="Verdana" w:cs="Verdana"/>
                <w:sz w:val="18"/>
              </w:rPr>
              <w:t>Taxes on Income</w:t>
            </w:r>
          </w:p>
        </w:tc>
        <w:tc>
          <w:tcPr>
            <w:tcW w:w="137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5"/>
              <w:jc w:val="right"/>
            </w:pPr>
            <w:r>
              <w:rPr>
                <w:rFonts w:ascii="Verdana" w:eastAsia="Verdana" w:hAnsi="Verdana" w:cs="Verdana"/>
                <w:sz w:val="18"/>
              </w:rPr>
              <w:t>(44)</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8"/>
              </w:rPr>
              <w:t>-</w:t>
            </w:r>
          </w:p>
        </w:tc>
        <w:tc>
          <w:tcPr>
            <w:tcW w:w="137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8"/>
              </w:rPr>
              <w:t>(44)</w:t>
            </w:r>
          </w:p>
        </w:tc>
      </w:tr>
      <w:tr w:rsidR="00576F87">
        <w:trPr>
          <w:trHeight w:val="384"/>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pPr>
            <w:r>
              <w:rPr>
                <w:rFonts w:ascii="Verdana" w:eastAsia="Verdana" w:hAnsi="Verdana" w:cs="Verdana"/>
                <w:sz w:val="18"/>
              </w:rPr>
              <w:t>Change in Market Value  *</w:t>
            </w:r>
          </w:p>
        </w:tc>
        <w:tc>
          <w:tcPr>
            <w:tcW w:w="137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6"/>
              <w:jc w:val="right"/>
            </w:pPr>
            <w:r>
              <w:rPr>
                <w:rFonts w:ascii="Verdana" w:eastAsia="Verdana" w:hAnsi="Verdana" w:cs="Verdana"/>
                <w:sz w:val="18"/>
              </w:rPr>
              <w:t>185,999</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8"/>
              </w:rPr>
              <w:t>131,050</w:t>
            </w:r>
          </w:p>
        </w:tc>
        <w:tc>
          <w:tcPr>
            <w:tcW w:w="137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8"/>
              </w:rPr>
              <w:t>54,949</w:t>
            </w:r>
          </w:p>
        </w:tc>
      </w:tr>
      <w:tr w:rsidR="00576F87">
        <w:trPr>
          <w:trHeight w:val="370"/>
        </w:trPr>
        <w:tc>
          <w:tcPr>
            <w:tcW w:w="5507"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5"/>
            </w:pPr>
            <w:r>
              <w:rPr>
                <w:rFonts w:ascii="Verdana" w:eastAsia="Verdana" w:hAnsi="Verdana" w:cs="Verdana"/>
                <w:b/>
                <w:sz w:val="18"/>
              </w:rPr>
              <w:t>Total return on investments</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5"/>
              <w:jc w:val="right"/>
            </w:pPr>
            <w:r>
              <w:rPr>
                <w:rFonts w:ascii="Verdana" w:eastAsia="Verdana" w:hAnsi="Verdana" w:cs="Verdana"/>
                <w:b/>
                <w:sz w:val="18"/>
              </w:rPr>
              <w:t>281,113</w:t>
            </w:r>
          </w:p>
        </w:tc>
        <w:tc>
          <w:tcPr>
            <w:tcW w:w="137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5"/>
              <w:jc w:val="right"/>
            </w:pPr>
            <w:r>
              <w:rPr>
                <w:rFonts w:ascii="Verdana" w:eastAsia="Verdana" w:hAnsi="Verdana" w:cs="Verdana"/>
                <w:b/>
                <w:sz w:val="18"/>
              </w:rPr>
              <w:t>290,550</w:t>
            </w:r>
          </w:p>
        </w:tc>
        <w:tc>
          <w:tcPr>
            <w:tcW w:w="137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6"/>
              <w:jc w:val="right"/>
            </w:pPr>
            <w:r>
              <w:rPr>
                <w:rFonts w:ascii="Verdana" w:eastAsia="Verdana" w:hAnsi="Verdana" w:cs="Verdana"/>
                <w:b/>
                <w:sz w:val="18"/>
              </w:rPr>
              <w:t>(9,437)</w:t>
            </w:r>
          </w:p>
        </w:tc>
      </w:tr>
      <w:tr w:rsidR="00576F87">
        <w:trPr>
          <w:trHeight w:val="370"/>
        </w:trPr>
        <w:tc>
          <w:tcPr>
            <w:tcW w:w="5507" w:type="dxa"/>
            <w:tcBorders>
              <w:top w:val="single" w:sz="8" w:space="0" w:color="009784"/>
              <w:left w:val="single" w:sz="12" w:space="0" w:color="009784"/>
              <w:bottom w:val="single" w:sz="15" w:space="0" w:color="009784"/>
              <w:right w:val="single" w:sz="15" w:space="0" w:color="009784"/>
            </w:tcBorders>
            <w:shd w:val="clear" w:color="auto" w:fill="009784"/>
          </w:tcPr>
          <w:p w:rsidR="00576F87" w:rsidRDefault="004165F5">
            <w:pPr>
              <w:spacing w:after="0"/>
              <w:ind w:left="5"/>
            </w:pPr>
            <w:r>
              <w:rPr>
                <w:rFonts w:ascii="Verdana" w:eastAsia="Verdana" w:hAnsi="Verdana" w:cs="Verdana"/>
                <w:b/>
                <w:color w:val="FFFFFF"/>
                <w:sz w:val="18"/>
              </w:rPr>
              <w:t>Net inflow/(outflow) to the Fund</w:t>
            </w:r>
          </w:p>
        </w:tc>
        <w:tc>
          <w:tcPr>
            <w:tcW w:w="1370" w:type="dxa"/>
            <w:tcBorders>
              <w:top w:val="single" w:sz="8" w:space="0" w:color="009784"/>
              <w:left w:val="single" w:sz="15" w:space="0" w:color="009784"/>
              <w:bottom w:val="single" w:sz="15" w:space="0" w:color="009784"/>
              <w:right w:val="single" w:sz="15" w:space="0" w:color="009784"/>
            </w:tcBorders>
            <w:shd w:val="clear" w:color="auto" w:fill="009784"/>
          </w:tcPr>
          <w:p w:rsidR="00576F87" w:rsidRDefault="004165F5">
            <w:pPr>
              <w:spacing w:after="0"/>
              <w:ind w:right="5"/>
              <w:jc w:val="right"/>
            </w:pPr>
            <w:r>
              <w:rPr>
                <w:rFonts w:ascii="Verdana" w:eastAsia="Verdana" w:hAnsi="Verdana" w:cs="Verdana"/>
                <w:b/>
                <w:color w:val="FFFFFF"/>
                <w:sz w:val="18"/>
              </w:rPr>
              <w:t>317,152</w:t>
            </w:r>
          </w:p>
        </w:tc>
        <w:tc>
          <w:tcPr>
            <w:tcW w:w="1370" w:type="dxa"/>
            <w:tcBorders>
              <w:top w:val="single" w:sz="8" w:space="0" w:color="009784"/>
              <w:left w:val="single" w:sz="15" w:space="0" w:color="009784"/>
              <w:bottom w:val="single" w:sz="15" w:space="0" w:color="009784"/>
              <w:right w:val="single" w:sz="15" w:space="0" w:color="009784"/>
            </w:tcBorders>
            <w:shd w:val="clear" w:color="auto" w:fill="009784"/>
          </w:tcPr>
          <w:p w:rsidR="00576F87" w:rsidRDefault="004165F5">
            <w:pPr>
              <w:spacing w:after="0"/>
              <w:ind w:right="5"/>
              <w:jc w:val="right"/>
            </w:pPr>
            <w:r>
              <w:rPr>
                <w:rFonts w:ascii="Verdana" w:eastAsia="Verdana" w:hAnsi="Verdana" w:cs="Verdana"/>
                <w:b/>
                <w:color w:val="FFFFFF"/>
                <w:sz w:val="18"/>
              </w:rPr>
              <w:t>128,391</w:t>
            </w:r>
          </w:p>
        </w:tc>
        <w:tc>
          <w:tcPr>
            <w:tcW w:w="1370" w:type="dxa"/>
            <w:tcBorders>
              <w:top w:val="single" w:sz="8" w:space="0" w:color="009784"/>
              <w:left w:val="single" w:sz="15" w:space="0" w:color="009784"/>
              <w:bottom w:val="single" w:sz="15" w:space="0" w:color="009784"/>
              <w:right w:val="single" w:sz="15" w:space="0" w:color="009784"/>
            </w:tcBorders>
            <w:shd w:val="clear" w:color="auto" w:fill="009784"/>
          </w:tcPr>
          <w:p w:rsidR="00576F87" w:rsidRDefault="004165F5">
            <w:pPr>
              <w:spacing w:after="0"/>
              <w:ind w:right="5"/>
              <w:jc w:val="right"/>
            </w:pPr>
            <w:r>
              <w:rPr>
                <w:rFonts w:ascii="Verdana" w:eastAsia="Verdana" w:hAnsi="Verdana" w:cs="Verdana"/>
                <w:b/>
                <w:color w:val="FFFFFF"/>
                <w:sz w:val="18"/>
              </w:rPr>
              <w:t>188,761</w:t>
            </w:r>
          </w:p>
        </w:tc>
      </w:tr>
    </w:tbl>
    <w:p w:rsidR="00576F87" w:rsidRDefault="004165F5">
      <w:pPr>
        <w:spacing w:after="84" w:line="265" w:lineRule="auto"/>
        <w:ind w:left="5" w:hanging="8"/>
      </w:pPr>
      <w:r>
        <w:rPr>
          <w:rFonts w:ascii="Verdana" w:eastAsia="Verdana" w:hAnsi="Verdana" w:cs="Verdana"/>
          <w:b/>
          <w:sz w:val="20"/>
        </w:rPr>
        <w:t>Dealings with members and employers:</w:t>
      </w:r>
    </w:p>
    <w:p w:rsidR="00576F87" w:rsidRDefault="004165F5">
      <w:pPr>
        <w:spacing w:after="287" w:line="264" w:lineRule="auto"/>
        <w:ind w:left="2" w:right="12" w:hanging="10"/>
        <w:jc w:val="both"/>
      </w:pPr>
      <w:r>
        <w:rPr>
          <w:rFonts w:ascii="Verdana" w:eastAsia="Verdana" w:hAnsi="Verdana" w:cs="Verdana"/>
          <w:sz w:val="20"/>
        </w:rPr>
        <w:lastRenderedPageBreak/>
        <w:t>For employer contributions, additional income was received in excess of that budgeted as a result of employers that have transferred into the scheme during the financial year.</w:t>
      </w:r>
    </w:p>
    <w:p w:rsidR="00576F87" w:rsidRDefault="004165F5">
      <w:pPr>
        <w:spacing w:after="56" w:line="264" w:lineRule="auto"/>
        <w:ind w:left="2" w:right="12" w:hanging="10"/>
        <w:jc w:val="both"/>
      </w:pPr>
      <w:r>
        <w:rPr>
          <w:rFonts w:ascii="Verdana" w:eastAsia="Verdana" w:hAnsi="Verdana" w:cs="Verdana"/>
          <w:sz w:val="20"/>
        </w:rPr>
        <w:t>For Employer Deficit Contributions, the Ministry of Defence paying an additional</w:t>
      </w:r>
      <w:r>
        <w:rPr>
          <w:rFonts w:ascii="Verdana" w:eastAsia="Verdana" w:hAnsi="Verdana" w:cs="Verdana"/>
          <w:sz w:val="20"/>
        </w:rPr>
        <w:t xml:space="preserve"> £35m contribution towards the Soldiers, Sailors, Airmen and Families Association deficit position.</w:t>
      </w:r>
    </w:p>
    <w:p w:rsidR="00576F87" w:rsidRDefault="004165F5">
      <w:pPr>
        <w:spacing w:after="190" w:line="264" w:lineRule="auto"/>
        <w:ind w:left="2" w:right="12" w:hanging="10"/>
        <w:jc w:val="both"/>
      </w:pPr>
      <w:r>
        <w:rPr>
          <w:rFonts w:ascii="Verdana" w:eastAsia="Verdana" w:hAnsi="Verdana" w:cs="Verdana"/>
          <w:sz w:val="20"/>
        </w:rPr>
        <w:t>Transfers in are in excess of the budget as a result of a number of bulk transfers in.</w:t>
      </w:r>
    </w:p>
    <w:p w:rsidR="00576F87" w:rsidRDefault="004165F5">
      <w:pPr>
        <w:pStyle w:val="Heading2"/>
        <w:spacing w:after="60"/>
        <w:ind w:left="5" w:hanging="8"/>
      </w:pPr>
      <w:r>
        <w:rPr>
          <w:b/>
          <w:color w:val="000000"/>
          <w:sz w:val="20"/>
        </w:rPr>
        <w:t>Management Expenses: *</w:t>
      </w:r>
    </w:p>
    <w:p w:rsidR="00576F87" w:rsidRDefault="004165F5">
      <w:pPr>
        <w:spacing w:after="248" w:line="264" w:lineRule="auto"/>
        <w:ind w:left="2" w:right="216" w:hanging="10"/>
        <w:jc w:val="both"/>
      </w:pPr>
      <w:r>
        <w:rPr>
          <w:rFonts w:ascii="Verdana" w:eastAsia="Verdana" w:hAnsi="Verdana" w:cs="Verdana"/>
          <w:sz w:val="20"/>
        </w:rPr>
        <w:t>Investment management fees include fees deducted from investment funds and budgeted figures have been amended accordingly to allow for comparison. A corresponding adjustment is reflected in accrual and budgeted Change in Market Value.</w:t>
      </w:r>
    </w:p>
    <w:p w:rsidR="00576F87" w:rsidRDefault="004165F5">
      <w:pPr>
        <w:spacing w:after="22" w:line="265" w:lineRule="auto"/>
        <w:ind w:left="5" w:hanging="8"/>
      </w:pPr>
      <w:r>
        <w:rPr>
          <w:rFonts w:ascii="Verdana" w:eastAsia="Verdana" w:hAnsi="Verdana" w:cs="Verdana"/>
          <w:b/>
          <w:sz w:val="20"/>
        </w:rPr>
        <w:t>Returns on Investment</w:t>
      </w:r>
      <w:r>
        <w:rPr>
          <w:rFonts w:ascii="Verdana" w:eastAsia="Verdana" w:hAnsi="Verdana" w:cs="Verdana"/>
          <w:b/>
          <w:sz w:val="20"/>
        </w:rPr>
        <w:t>s:</w:t>
      </w:r>
    </w:p>
    <w:p w:rsidR="00576F87" w:rsidRDefault="004165F5">
      <w:pPr>
        <w:spacing w:after="3" w:line="264" w:lineRule="auto"/>
        <w:ind w:left="2" w:right="12" w:hanging="10"/>
        <w:jc w:val="both"/>
      </w:pPr>
      <w:r>
        <w:rPr>
          <w:rFonts w:ascii="Verdana" w:eastAsia="Verdana" w:hAnsi="Verdana" w:cs="Verdana"/>
          <w:sz w:val="20"/>
        </w:rPr>
        <w:t>Total return on investments were below budget due to over optimistic budgeted investment income.  Actual investment income is £47 million higher than in the prior year.</w:t>
      </w:r>
    </w:p>
    <w:p w:rsidR="00576F87" w:rsidRDefault="004165F5">
      <w:pPr>
        <w:pStyle w:val="Heading1"/>
        <w:spacing w:after="0"/>
        <w:ind w:left="19"/>
      </w:pPr>
      <w:r>
        <w:t>Operational budget</w:t>
      </w:r>
    </w:p>
    <w:tbl>
      <w:tblPr>
        <w:tblStyle w:val="TableGrid"/>
        <w:tblW w:w="8615" w:type="dxa"/>
        <w:tblInd w:w="-35" w:type="dxa"/>
        <w:tblCellMar>
          <w:top w:w="71" w:type="dxa"/>
          <w:left w:w="0" w:type="dxa"/>
          <w:bottom w:w="0" w:type="dxa"/>
          <w:right w:w="32" w:type="dxa"/>
        </w:tblCellMar>
        <w:tblLook w:val="04A0" w:firstRow="1" w:lastRow="0" w:firstColumn="1" w:lastColumn="0" w:noHBand="0" w:noVBand="1"/>
      </w:tblPr>
      <w:tblGrid>
        <w:gridCol w:w="4604"/>
        <w:gridCol w:w="1337"/>
        <w:gridCol w:w="1337"/>
        <w:gridCol w:w="1337"/>
      </w:tblGrid>
      <w:tr w:rsidR="00576F87">
        <w:trPr>
          <w:trHeight w:val="341"/>
        </w:trPr>
        <w:tc>
          <w:tcPr>
            <w:tcW w:w="4604" w:type="dxa"/>
            <w:tcBorders>
              <w:top w:val="single" w:sz="15" w:space="0" w:color="009784"/>
              <w:left w:val="single" w:sz="12" w:space="0" w:color="009784"/>
              <w:bottom w:val="nil"/>
              <w:right w:val="single" w:sz="8" w:space="0" w:color="009784"/>
            </w:tcBorders>
            <w:shd w:val="clear" w:color="auto" w:fill="009784"/>
          </w:tcPr>
          <w:p w:rsidR="00576F87" w:rsidRDefault="00576F87"/>
        </w:tc>
        <w:tc>
          <w:tcPr>
            <w:tcW w:w="1337" w:type="dxa"/>
            <w:tcBorders>
              <w:top w:val="single" w:sz="15" w:space="0" w:color="009784"/>
              <w:left w:val="single" w:sz="8" w:space="0" w:color="009784"/>
              <w:bottom w:val="nil"/>
              <w:right w:val="single" w:sz="8" w:space="0" w:color="009784"/>
            </w:tcBorders>
            <w:shd w:val="clear" w:color="auto" w:fill="009784"/>
          </w:tcPr>
          <w:p w:rsidR="00576F87" w:rsidRDefault="004165F5">
            <w:pPr>
              <w:spacing w:after="0"/>
              <w:ind w:right="7"/>
              <w:jc w:val="right"/>
            </w:pPr>
            <w:r>
              <w:rPr>
                <w:rFonts w:ascii="Verdana" w:eastAsia="Verdana" w:hAnsi="Verdana" w:cs="Verdana"/>
                <w:b/>
                <w:color w:val="FFFFFF"/>
                <w:sz w:val="18"/>
              </w:rPr>
              <w:t>Actual</w:t>
            </w:r>
          </w:p>
        </w:tc>
        <w:tc>
          <w:tcPr>
            <w:tcW w:w="1337" w:type="dxa"/>
            <w:tcBorders>
              <w:top w:val="single" w:sz="15" w:space="0" w:color="009784"/>
              <w:left w:val="single" w:sz="8" w:space="0" w:color="009784"/>
              <w:bottom w:val="nil"/>
              <w:right w:val="single" w:sz="8" w:space="0" w:color="009784"/>
            </w:tcBorders>
            <w:shd w:val="clear" w:color="auto" w:fill="009784"/>
          </w:tcPr>
          <w:p w:rsidR="00576F87" w:rsidRDefault="004165F5">
            <w:pPr>
              <w:spacing w:after="0"/>
              <w:ind w:right="6"/>
              <w:jc w:val="right"/>
            </w:pPr>
            <w:r>
              <w:rPr>
                <w:rFonts w:ascii="Verdana" w:eastAsia="Verdana" w:hAnsi="Verdana" w:cs="Verdana"/>
                <w:b/>
                <w:color w:val="FFFFFF"/>
                <w:sz w:val="18"/>
              </w:rPr>
              <w:t>Budget</w:t>
            </w:r>
          </w:p>
        </w:tc>
        <w:tc>
          <w:tcPr>
            <w:tcW w:w="1337" w:type="dxa"/>
            <w:tcBorders>
              <w:top w:val="single" w:sz="15" w:space="0" w:color="009784"/>
              <w:left w:val="single" w:sz="8" w:space="0" w:color="009784"/>
              <w:bottom w:val="nil"/>
              <w:right w:val="single" w:sz="15" w:space="0" w:color="009784"/>
            </w:tcBorders>
            <w:shd w:val="clear" w:color="auto" w:fill="009784"/>
          </w:tcPr>
          <w:p w:rsidR="00576F87" w:rsidRDefault="004165F5">
            <w:pPr>
              <w:spacing w:after="0"/>
              <w:ind w:right="7"/>
              <w:jc w:val="right"/>
            </w:pPr>
            <w:r>
              <w:rPr>
                <w:rFonts w:ascii="Verdana" w:eastAsia="Verdana" w:hAnsi="Verdana" w:cs="Verdana"/>
                <w:b/>
                <w:color w:val="FFFFFF"/>
                <w:sz w:val="18"/>
              </w:rPr>
              <w:t>Variance</w:t>
            </w:r>
          </w:p>
        </w:tc>
      </w:tr>
      <w:tr w:rsidR="00576F87">
        <w:trPr>
          <w:trHeight w:val="340"/>
        </w:trPr>
        <w:tc>
          <w:tcPr>
            <w:tcW w:w="4604" w:type="dxa"/>
            <w:tcBorders>
              <w:top w:val="nil"/>
              <w:left w:val="single" w:sz="12" w:space="0" w:color="009784"/>
              <w:bottom w:val="nil"/>
              <w:right w:val="single" w:sz="8" w:space="0" w:color="009784"/>
            </w:tcBorders>
            <w:shd w:val="clear" w:color="auto" w:fill="009784"/>
          </w:tcPr>
          <w:p w:rsidR="00576F87" w:rsidRDefault="004165F5">
            <w:pPr>
              <w:spacing w:after="0"/>
              <w:ind w:left="40"/>
            </w:pPr>
            <w:r>
              <w:rPr>
                <w:rFonts w:ascii="Verdana" w:eastAsia="Verdana" w:hAnsi="Verdana" w:cs="Verdana"/>
                <w:b/>
                <w:color w:val="FFFFFF"/>
                <w:sz w:val="18"/>
              </w:rPr>
              <w:t>Operational accounts</w:t>
            </w:r>
          </w:p>
        </w:tc>
        <w:tc>
          <w:tcPr>
            <w:tcW w:w="1337" w:type="dxa"/>
            <w:tcBorders>
              <w:top w:val="nil"/>
              <w:left w:val="single" w:sz="8" w:space="0" w:color="009784"/>
              <w:bottom w:val="nil"/>
              <w:right w:val="single" w:sz="8" w:space="0" w:color="009784"/>
            </w:tcBorders>
            <w:shd w:val="clear" w:color="auto" w:fill="009784"/>
          </w:tcPr>
          <w:p w:rsidR="00576F87" w:rsidRDefault="004165F5">
            <w:pPr>
              <w:spacing w:after="0"/>
              <w:ind w:right="6"/>
              <w:jc w:val="right"/>
            </w:pPr>
            <w:r>
              <w:rPr>
                <w:rFonts w:ascii="Verdana" w:eastAsia="Verdana" w:hAnsi="Verdana" w:cs="Verdana"/>
                <w:b/>
                <w:color w:val="FFFFFF"/>
                <w:sz w:val="18"/>
              </w:rPr>
              <w:t>2017/18</w:t>
            </w:r>
          </w:p>
        </w:tc>
        <w:tc>
          <w:tcPr>
            <w:tcW w:w="1337" w:type="dxa"/>
            <w:tcBorders>
              <w:top w:val="nil"/>
              <w:left w:val="single" w:sz="8" w:space="0" w:color="009784"/>
              <w:bottom w:val="nil"/>
              <w:right w:val="single" w:sz="8" w:space="0" w:color="009784"/>
            </w:tcBorders>
            <w:shd w:val="clear" w:color="auto" w:fill="009784"/>
          </w:tcPr>
          <w:p w:rsidR="00576F87" w:rsidRDefault="004165F5">
            <w:pPr>
              <w:spacing w:after="0"/>
              <w:ind w:right="6"/>
              <w:jc w:val="right"/>
            </w:pPr>
            <w:r>
              <w:rPr>
                <w:rFonts w:ascii="Verdana" w:eastAsia="Verdana" w:hAnsi="Verdana" w:cs="Verdana"/>
                <w:b/>
                <w:color w:val="FFFFFF"/>
                <w:sz w:val="18"/>
              </w:rPr>
              <w:t>2017/18</w:t>
            </w:r>
          </w:p>
        </w:tc>
        <w:tc>
          <w:tcPr>
            <w:tcW w:w="1337" w:type="dxa"/>
            <w:tcBorders>
              <w:top w:val="nil"/>
              <w:left w:val="single" w:sz="8" w:space="0" w:color="009784"/>
              <w:bottom w:val="nil"/>
              <w:right w:val="single" w:sz="15" w:space="0" w:color="009784"/>
            </w:tcBorders>
            <w:shd w:val="clear" w:color="auto" w:fill="009784"/>
          </w:tcPr>
          <w:p w:rsidR="00576F87" w:rsidRDefault="004165F5">
            <w:pPr>
              <w:spacing w:after="0"/>
              <w:ind w:right="6"/>
              <w:jc w:val="right"/>
            </w:pPr>
            <w:r>
              <w:rPr>
                <w:rFonts w:ascii="Verdana" w:eastAsia="Verdana" w:hAnsi="Verdana" w:cs="Verdana"/>
                <w:b/>
                <w:color w:val="FFFFFF"/>
                <w:sz w:val="18"/>
              </w:rPr>
              <w:t>2017/18</w:t>
            </w:r>
          </w:p>
        </w:tc>
      </w:tr>
      <w:tr w:rsidR="00576F87">
        <w:trPr>
          <w:trHeight w:val="265"/>
        </w:trPr>
        <w:tc>
          <w:tcPr>
            <w:tcW w:w="4604" w:type="dxa"/>
            <w:tcBorders>
              <w:top w:val="nil"/>
              <w:left w:val="single" w:sz="12" w:space="0" w:color="009784"/>
              <w:bottom w:val="single" w:sz="8" w:space="0" w:color="009784"/>
              <w:right w:val="single" w:sz="8" w:space="0" w:color="009784"/>
            </w:tcBorders>
            <w:shd w:val="clear" w:color="auto" w:fill="009784"/>
          </w:tcPr>
          <w:p w:rsidR="00576F87" w:rsidRDefault="00576F87"/>
        </w:tc>
        <w:tc>
          <w:tcPr>
            <w:tcW w:w="1337" w:type="dxa"/>
            <w:tcBorders>
              <w:top w:val="nil"/>
              <w:left w:val="single" w:sz="8" w:space="0" w:color="009784"/>
              <w:bottom w:val="single" w:sz="8" w:space="0" w:color="009784"/>
              <w:right w:val="single" w:sz="8" w:space="0" w:color="009784"/>
            </w:tcBorders>
            <w:shd w:val="clear" w:color="auto" w:fill="009784"/>
          </w:tcPr>
          <w:p w:rsidR="00576F87" w:rsidRDefault="004165F5">
            <w:pPr>
              <w:spacing w:after="0"/>
              <w:ind w:right="6"/>
              <w:jc w:val="right"/>
            </w:pPr>
            <w:r>
              <w:rPr>
                <w:rFonts w:ascii="Verdana" w:eastAsia="Verdana" w:hAnsi="Verdana" w:cs="Verdana"/>
                <w:b/>
                <w:color w:val="FFFFFF"/>
                <w:sz w:val="18"/>
              </w:rPr>
              <w:t>£000</w:t>
            </w:r>
          </w:p>
        </w:tc>
        <w:tc>
          <w:tcPr>
            <w:tcW w:w="1337" w:type="dxa"/>
            <w:tcBorders>
              <w:top w:val="nil"/>
              <w:left w:val="single" w:sz="8" w:space="0" w:color="009784"/>
              <w:bottom w:val="single" w:sz="8" w:space="0" w:color="009784"/>
              <w:right w:val="single" w:sz="8" w:space="0" w:color="009784"/>
            </w:tcBorders>
            <w:shd w:val="clear" w:color="auto" w:fill="009784"/>
          </w:tcPr>
          <w:p w:rsidR="00576F87" w:rsidRDefault="004165F5">
            <w:pPr>
              <w:spacing w:after="0"/>
              <w:ind w:right="6"/>
              <w:jc w:val="right"/>
            </w:pPr>
            <w:r>
              <w:rPr>
                <w:rFonts w:ascii="Verdana" w:eastAsia="Verdana" w:hAnsi="Verdana" w:cs="Verdana"/>
                <w:b/>
                <w:color w:val="FFFFFF"/>
                <w:sz w:val="18"/>
              </w:rPr>
              <w:t>£000</w:t>
            </w:r>
          </w:p>
        </w:tc>
        <w:tc>
          <w:tcPr>
            <w:tcW w:w="1337" w:type="dxa"/>
            <w:tcBorders>
              <w:top w:val="nil"/>
              <w:left w:val="single" w:sz="8" w:space="0" w:color="009784"/>
              <w:bottom w:val="single" w:sz="8" w:space="0" w:color="009784"/>
              <w:right w:val="single" w:sz="15" w:space="0" w:color="009784"/>
            </w:tcBorders>
            <w:shd w:val="clear" w:color="auto" w:fill="009784"/>
          </w:tcPr>
          <w:p w:rsidR="00576F87" w:rsidRDefault="004165F5">
            <w:pPr>
              <w:spacing w:after="0"/>
              <w:ind w:right="6"/>
              <w:jc w:val="right"/>
            </w:pPr>
            <w:r>
              <w:rPr>
                <w:rFonts w:ascii="Verdana" w:eastAsia="Verdana" w:hAnsi="Verdana" w:cs="Verdana"/>
                <w:b/>
                <w:color w:val="FFFFFF"/>
                <w:sz w:val="18"/>
              </w:rPr>
              <w:t>£000</w:t>
            </w:r>
          </w:p>
        </w:tc>
      </w:tr>
      <w:tr w:rsidR="00576F87">
        <w:trPr>
          <w:trHeight w:val="319"/>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40"/>
            </w:pPr>
            <w:r>
              <w:rPr>
                <w:rFonts w:ascii="Verdana" w:eastAsia="Verdana" w:hAnsi="Verdana" w:cs="Verdana"/>
                <w:b/>
                <w:sz w:val="18"/>
              </w:rPr>
              <w:t>Administration</w:t>
            </w:r>
          </w:p>
        </w:tc>
        <w:tc>
          <w:tcPr>
            <w:tcW w:w="1337" w:type="dxa"/>
            <w:tcBorders>
              <w:top w:val="single" w:sz="8" w:space="0" w:color="009784"/>
              <w:left w:val="single" w:sz="8" w:space="0" w:color="009784"/>
              <w:bottom w:val="single" w:sz="8" w:space="0" w:color="009784"/>
              <w:right w:val="single" w:sz="8" w:space="0" w:color="009784"/>
            </w:tcBorders>
          </w:tcPr>
          <w:p w:rsidR="00576F87" w:rsidRDefault="00576F87"/>
        </w:tc>
        <w:tc>
          <w:tcPr>
            <w:tcW w:w="1337" w:type="dxa"/>
            <w:tcBorders>
              <w:top w:val="single" w:sz="8" w:space="0" w:color="009784"/>
              <w:left w:val="single" w:sz="8" w:space="0" w:color="009784"/>
              <w:bottom w:val="single" w:sz="8" w:space="0" w:color="009784"/>
              <w:right w:val="single" w:sz="8" w:space="0" w:color="009784"/>
            </w:tcBorders>
          </w:tcPr>
          <w:p w:rsidR="00576F87" w:rsidRDefault="00576F87"/>
        </w:tc>
        <w:tc>
          <w:tcPr>
            <w:tcW w:w="1337"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Administration services fee per LPP SLA</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1,799</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1,811</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8"/>
              </w:rPr>
              <w:t>(12)</w:t>
            </w:r>
          </w:p>
        </w:tc>
      </w:tr>
      <w:tr w:rsidR="00576F87">
        <w:trPr>
          <w:trHeight w:val="362"/>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Pensions Agency</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(133)</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 xml:space="preserve">               -</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tabs>
                <w:tab w:val="right" w:pos="1305"/>
              </w:tabs>
              <w:spacing w:after="0"/>
              <w:ind w:left="-32"/>
            </w:pPr>
            <w:r>
              <w:rPr>
                <w:rFonts w:ascii="Verdana" w:eastAsia="Verdana" w:hAnsi="Verdana" w:cs="Verdana"/>
                <w:sz w:val="18"/>
              </w:rPr>
              <w:t xml:space="preserve">   </w:t>
            </w:r>
            <w:r>
              <w:rPr>
                <w:rFonts w:ascii="Verdana" w:eastAsia="Verdana" w:hAnsi="Verdana" w:cs="Verdana"/>
                <w:sz w:val="18"/>
              </w:rPr>
              <w:tab/>
              <w:t>(133)</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Employers Services</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(16)</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 xml:space="preserve">               -</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tabs>
                <w:tab w:val="right" w:pos="1305"/>
              </w:tabs>
              <w:spacing w:after="0"/>
              <w:ind w:left="-32"/>
            </w:pPr>
            <w:r>
              <w:rPr>
                <w:rFonts w:ascii="Verdana" w:eastAsia="Verdana" w:hAnsi="Verdana" w:cs="Verdana"/>
                <w:sz w:val="18"/>
              </w:rPr>
              <w:t xml:space="preserve">   </w:t>
            </w:r>
            <w:r>
              <w:rPr>
                <w:rFonts w:ascii="Verdana" w:eastAsia="Verdana" w:hAnsi="Verdana" w:cs="Verdana"/>
                <w:sz w:val="18"/>
              </w:rPr>
              <w:tab/>
              <w:t>(16)</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HR Service</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55</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 xml:space="preserve">               -</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tabs>
                <w:tab w:val="right" w:pos="1305"/>
              </w:tabs>
              <w:spacing w:after="0"/>
              <w:ind w:left="-32"/>
            </w:pPr>
            <w:r>
              <w:rPr>
                <w:rFonts w:ascii="Verdana" w:eastAsia="Verdana" w:hAnsi="Verdana" w:cs="Verdana"/>
                <w:sz w:val="18"/>
              </w:rPr>
              <w:t xml:space="preserve">   </w:t>
            </w:r>
            <w:r>
              <w:rPr>
                <w:rFonts w:ascii="Verdana" w:eastAsia="Verdana" w:hAnsi="Verdana" w:cs="Verdana"/>
                <w:sz w:val="18"/>
              </w:rPr>
              <w:tab/>
              <w:t>55</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IT Service</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159</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 xml:space="preserve">               -</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tabs>
                <w:tab w:val="right" w:pos="1305"/>
              </w:tabs>
              <w:spacing w:after="0"/>
              <w:ind w:left="-32"/>
            </w:pPr>
            <w:r>
              <w:rPr>
                <w:rFonts w:ascii="Verdana" w:eastAsia="Verdana" w:hAnsi="Verdana" w:cs="Verdana"/>
                <w:sz w:val="18"/>
              </w:rPr>
              <w:t xml:space="preserve">   </w:t>
            </w:r>
            <w:r>
              <w:rPr>
                <w:rFonts w:ascii="Verdana" w:eastAsia="Verdana" w:hAnsi="Verdana" w:cs="Verdana"/>
                <w:sz w:val="18"/>
              </w:rPr>
              <w:tab/>
              <w:t>159</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Marketing/Communications</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7</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 xml:space="preserve">               -</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tabs>
                <w:tab w:val="right" w:pos="1305"/>
              </w:tabs>
              <w:spacing w:after="0"/>
              <w:ind w:left="-32"/>
            </w:pPr>
            <w:r>
              <w:rPr>
                <w:rFonts w:ascii="Verdana" w:eastAsia="Verdana" w:hAnsi="Verdana" w:cs="Verdana"/>
                <w:sz w:val="18"/>
              </w:rPr>
              <w:t xml:space="preserve">   </w:t>
            </w:r>
            <w:r>
              <w:rPr>
                <w:rFonts w:ascii="Verdana" w:eastAsia="Verdana" w:hAnsi="Verdana" w:cs="Verdana"/>
                <w:sz w:val="18"/>
              </w:rPr>
              <w:tab/>
              <w:t>7</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Value Added Business</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8</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 xml:space="preserve">               -</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tabs>
                <w:tab w:val="right" w:pos="1305"/>
              </w:tabs>
              <w:spacing w:after="0"/>
              <w:ind w:left="-32"/>
            </w:pPr>
            <w:r>
              <w:rPr>
                <w:rFonts w:ascii="Verdana" w:eastAsia="Verdana" w:hAnsi="Verdana" w:cs="Verdana"/>
                <w:sz w:val="18"/>
              </w:rPr>
              <w:t xml:space="preserve">   </w:t>
            </w:r>
            <w:r>
              <w:rPr>
                <w:rFonts w:ascii="Verdana" w:eastAsia="Verdana" w:hAnsi="Verdana" w:cs="Verdana"/>
                <w:sz w:val="18"/>
              </w:rPr>
              <w:tab/>
              <w:t>8</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Premises</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92</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 xml:space="preserve">               -</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tabs>
                <w:tab w:val="right" w:pos="1305"/>
              </w:tabs>
              <w:spacing w:after="0"/>
              <w:ind w:left="-32"/>
            </w:pPr>
            <w:r>
              <w:rPr>
                <w:rFonts w:ascii="Verdana" w:eastAsia="Verdana" w:hAnsi="Verdana" w:cs="Verdana"/>
                <w:sz w:val="18"/>
              </w:rPr>
              <w:t xml:space="preserve">   </w:t>
            </w:r>
            <w:r>
              <w:rPr>
                <w:rFonts w:ascii="Verdana" w:eastAsia="Verdana" w:hAnsi="Verdana" w:cs="Verdana"/>
                <w:sz w:val="18"/>
              </w:rPr>
              <w:tab/>
              <w:t>92</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40"/>
            </w:pPr>
            <w:r>
              <w:rPr>
                <w:rFonts w:ascii="Verdana" w:eastAsia="Verdana" w:hAnsi="Verdana" w:cs="Verdana"/>
                <w:b/>
                <w:sz w:val="18"/>
              </w:rPr>
              <w:t>Total Administration</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6"/>
              <w:jc w:val="right"/>
            </w:pPr>
            <w:r>
              <w:rPr>
                <w:rFonts w:ascii="Verdana" w:eastAsia="Verdana" w:hAnsi="Verdana" w:cs="Verdana"/>
                <w:b/>
                <w:sz w:val="18"/>
              </w:rPr>
              <w:t>1,972</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6"/>
              <w:jc w:val="right"/>
            </w:pPr>
            <w:r>
              <w:rPr>
                <w:rFonts w:ascii="Verdana" w:eastAsia="Verdana" w:hAnsi="Verdana" w:cs="Verdana"/>
                <w:b/>
                <w:sz w:val="18"/>
              </w:rPr>
              <w:t>1,811</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6"/>
              <w:jc w:val="right"/>
            </w:pPr>
            <w:r>
              <w:rPr>
                <w:rFonts w:ascii="Verdana" w:eastAsia="Verdana" w:hAnsi="Verdana" w:cs="Verdana"/>
                <w:b/>
                <w:sz w:val="18"/>
              </w:rPr>
              <w:t>161</w:t>
            </w:r>
          </w:p>
        </w:tc>
      </w:tr>
      <w:tr w:rsidR="00576F87">
        <w:trPr>
          <w:trHeight w:val="290"/>
        </w:trPr>
        <w:tc>
          <w:tcPr>
            <w:tcW w:w="4604" w:type="dxa"/>
            <w:tcBorders>
              <w:top w:val="single" w:sz="8" w:space="0" w:color="009784"/>
              <w:left w:val="single" w:sz="12" w:space="0" w:color="009784"/>
              <w:bottom w:val="single" w:sz="8" w:space="0" w:color="009784"/>
              <w:right w:val="single" w:sz="8" w:space="0" w:color="009784"/>
            </w:tcBorders>
          </w:tcPr>
          <w:p w:rsidR="00576F87" w:rsidRDefault="00576F87"/>
        </w:tc>
        <w:tc>
          <w:tcPr>
            <w:tcW w:w="1337" w:type="dxa"/>
            <w:tcBorders>
              <w:top w:val="single" w:sz="8" w:space="0" w:color="009784"/>
              <w:left w:val="single" w:sz="8" w:space="0" w:color="009784"/>
              <w:bottom w:val="single" w:sz="8" w:space="0" w:color="009784"/>
              <w:right w:val="single" w:sz="8" w:space="0" w:color="009784"/>
            </w:tcBorders>
          </w:tcPr>
          <w:p w:rsidR="00576F87" w:rsidRDefault="00576F87"/>
        </w:tc>
        <w:tc>
          <w:tcPr>
            <w:tcW w:w="1337" w:type="dxa"/>
            <w:tcBorders>
              <w:top w:val="single" w:sz="8" w:space="0" w:color="009784"/>
              <w:left w:val="single" w:sz="8" w:space="0" w:color="009784"/>
              <w:bottom w:val="single" w:sz="8" w:space="0" w:color="009784"/>
              <w:right w:val="single" w:sz="8" w:space="0" w:color="009784"/>
            </w:tcBorders>
          </w:tcPr>
          <w:p w:rsidR="00576F87" w:rsidRDefault="00576F87"/>
        </w:tc>
        <w:tc>
          <w:tcPr>
            <w:tcW w:w="1337"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05"/>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40"/>
            </w:pPr>
            <w:r>
              <w:rPr>
                <w:rFonts w:ascii="Verdana" w:eastAsia="Verdana" w:hAnsi="Verdana" w:cs="Verdana"/>
                <w:b/>
                <w:sz w:val="18"/>
              </w:rPr>
              <w:t>Oversight &amp; Governance</w:t>
            </w:r>
          </w:p>
        </w:tc>
        <w:tc>
          <w:tcPr>
            <w:tcW w:w="1337" w:type="dxa"/>
            <w:tcBorders>
              <w:top w:val="single" w:sz="8" w:space="0" w:color="009784"/>
              <w:left w:val="single" w:sz="8" w:space="0" w:color="009784"/>
              <w:bottom w:val="single" w:sz="8" w:space="0" w:color="009784"/>
              <w:right w:val="single" w:sz="8" w:space="0" w:color="009784"/>
            </w:tcBorders>
          </w:tcPr>
          <w:p w:rsidR="00576F87" w:rsidRDefault="00576F87"/>
        </w:tc>
        <w:tc>
          <w:tcPr>
            <w:tcW w:w="1337" w:type="dxa"/>
            <w:tcBorders>
              <w:top w:val="single" w:sz="8" w:space="0" w:color="009784"/>
              <w:left w:val="single" w:sz="8" w:space="0" w:color="009784"/>
              <w:bottom w:val="single" w:sz="8" w:space="0" w:color="009784"/>
              <w:right w:val="single" w:sz="8" w:space="0" w:color="009784"/>
            </w:tcBorders>
          </w:tcPr>
          <w:p w:rsidR="00576F87" w:rsidRDefault="00576F87"/>
        </w:tc>
        <w:tc>
          <w:tcPr>
            <w:tcW w:w="1337"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Board</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184</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142</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2"/>
              <w:jc w:val="right"/>
            </w:pPr>
            <w:r>
              <w:rPr>
                <w:rFonts w:ascii="Verdana" w:eastAsia="Verdana" w:hAnsi="Verdana" w:cs="Verdana"/>
                <w:sz w:val="18"/>
              </w:rPr>
              <w:t>42</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Executive Committee</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237</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164</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2"/>
              <w:jc w:val="right"/>
            </w:pPr>
            <w:r>
              <w:rPr>
                <w:rFonts w:ascii="Verdana" w:eastAsia="Verdana" w:hAnsi="Verdana" w:cs="Verdana"/>
                <w:sz w:val="18"/>
              </w:rPr>
              <w:t>73</w:t>
            </w:r>
          </w:p>
        </w:tc>
      </w:tr>
      <w:tr w:rsidR="00576F87">
        <w:trPr>
          <w:trHeight w:val="348"/>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Governance services fee per LPP SLA</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1,773</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1,608</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2"/>
              <w:jc w:val="right"/>
            </w:pPr>
            <w:r>
              <w:rPr>
                <w:rFonts w:ascii="Verdana" w:eastAsia="Verdana" w:hAnsi="Verdana" w:cs="Verdana"/>
                <w:sz w:val="18"/>
              </w:rPr>
              <w:t>165</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Central Corporate Costs</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612</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521</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2"/>
              <w:jc w:val="right"/>
            </w:pPr>
            <w:r>
              <w:rPr>
                <w:rFonts w:ascii="Verdana" w:eastAsia="Verdana" w:hAnsi="Verdana" w:cs="Verdana"/>
                <w:sz w:val="18"/>
              </w:rPr>
              <w:t>91</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lastRenderedPageBreak/>
              <w:t>Finance</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46</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8"/>
              </w:rPr>
              <w:t xml:space="preserve">               -</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tabs>
                <w:tab w:val="right" w:pos="1305"/>
              </w:tabs>
              <w:spacing w:after="0"/>
              <w:ind w:left="-32"/>
            </w:pPr>
            <w:r>
              <w:rPr>
                <w:rFonts w:ascii="Verdana" w:eastAsia="Verdana" w:hAnsi="Verdana" w:cs="Verdana"/>
                <w:sz w:val="18"/>
              </w:rPr>
              <w:t xml:space="preserve">   </w:t>
            </w:r>
            <w:r>
              <w:rPr>
                <w:rFonts w:ascii="Verdana" w:eastAsia="Verdana" w:hAnsi="Verdana" w:cs="Verdana"/>
                <w:sz w:val="18"/>
              </w:rPr>
              <w:tab/>
              <w:t>46</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Other Corporate costs</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679</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224</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2"/>
              <w:jc w:val="right"/>
            </w:pPr>
            <w:r>
              <w:rPr>
                <w:rFonts w:ascii="Verdana" w:eastAsia="Verdana" w:hAnsi="Verdana" w:cs="Verdana"/>
                <w:sz w:val="18"/>
              </w:rPr>
              <w:t>455</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576F87"/>
        </w:tc>
        <w:tc>
          <w:tcPr>
            <w:tcW w:w="1337" w:type="dxa"/>
            <w:tcBorders>
              <w:top w:val="single" w:sz="8" w:space="0" w:color="009784"/>
              <w:left w:val="single" w:sz="8" w:space="0" w:color="009784"/>
              <w:bottom w:val="single" w:sz="8" w:space="0" w:color="009784"/>
              <w:right w:val="single" w:sz="8" w:space="0" w:color="009784"/>
            </w:tcBorders>
          </w:tcPr>
          <w:p w:rsidR="00576F87" w:rsidRDefault="00576F87"/>
        </w:tc>
        <w:tc>
          <w:tcPr>
            <w:tcW w:w="1337" w:type="dxa"/>
            <w:tcBorders>
              <w:top w:val="single" w:sz="8" w:space="0" w:color="009784"/>
              <w:left w:val="single" w:sz="8" w:space="0" w:color="009784"/>
              <w:bottom w:val="single" w:sz="8" w:space="0" w:color="009784"/>
              <w:right w:val="single" w:sz="8" w:space="0" w:color="009784"/>
            </w:tcBorders>
          </w:tcPr>
          <w:p w:rsidR="00576F87" w:rsidRDefault="00576F87"/>
        </w:tc>
        <w:tc>
          <w:tcPr>
            <w:tcW w:w="1337"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40"/>
            </w:pPr>
            <w:r>
              <w:rPr>
                <w:rFonts w:ascii="Verdana" w:eastAsia="Verdana" w:hAnsi="Verdana" w:cs="Verdana"/>
                <w:b/>
                <w:sz w:val="18"/>
              </w:rPr>
              <w:t>Total Oversight &amp; Governance</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6"/>
              <w:jc w:val="right"/>
            </w:pPr>
            <w:r>
              <w:rPr>
                <w:rFonts w:ascii="Verdana" w:eastAsia="Verdana" w:hAnsi="Verdana" w:cs="Verdana"/>
                <w:b/>
                <w:sz w:val="18"/>
              </w:rPr>
              <w:t>3,532</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6"/>
              <w:jc w:val="right"/>
            </w:pPr>
            <w:r>
              <w:rPr>
                <w:rFonts w:ascii="Verdana" w:eastAsia="Verdana" w:hAnsi="Verdana" w:cs="Verdana"/>
                <w:b/>
                <w:sz w:val="18"/>
              </w:rPr>
              <w:t>2,659</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6"/>
              <w:jc w:val="right"/>
            </w:pPr>
            <w:r>
              <w:rPr>
                <w:rFonts w:ascii="Verdana" w:eastAsia="Verdana" w:hAnsi="Verdana" w:cs="Verdana"/>
                <w:b/>
                <w:sz w:val="18"/>
              </w:rPr>
              <w:t>873</w:t>
            </w:r>
          </w:p>
        </w:tc>
      </w:tr>
      <w:tr w:rsidR="00576F87">
        <w:trPr>
          <w:trHeight w:val="264"/>
        </w:trPr>
        <w:tc>
          <w:tcPr>
            <w:tcW w:w="4604" w:type="dxa"/>
            <w:tcBorders>
              <w:top w:val="single" w:sz="8" w:space="0" w:color="009784"/>
              <w:left w:val="single" w:sz="12" w:space="0" w:color="009784"/>
              <w:bottom w:val="single" w:sz="8" w:space="0" w:color="009784"/>
              <w:right w:val="single" w:sz="8" w:space="0" w:color="009784"/>
            </w:tcBorders>
          </w:tcPr>
          <w:p w:rsidR="00576F87" w:rsidRDefault="00576F87"/>
        </w:tc>
        <w:tc>
          <w:tcPr>
            <w:tcW w:w="1337" w:type="dxa"/>
            <w:tcBorders>
              <w:top w:val="single" w:sz="8" w:space="0" w:color="009784"/>
              <w:left w:val="single" w:sz="8" w:space="0" w:color="009784"/>
              <w:bottom w:val="single" w:sz="8" w:space="0" w:color="009784"/>
              <w:right w:val="single" w:sz="8" w:space="0" w:color="009784"/>
            </w:tcBorders>
          </w:tcPr>
          <w:p w:rsidR="00576F87" w:rsidRDefault="00576F87"/>
        </w:tc>
        <w:tc>
          <w:tcPr>
            <w:tcW w:w="1337" w:type="dxa"/>
            <w:tcBorders>
              <w:top w:val="single" w:sz="8" w:space="0" w:color="009784"/>
              <w:left w:val="single" w:sz="8" w:space="0" w:color="009784"/>
              <w:bottom w:val="single" w:sz="8" w:space="0" w:color="009784"/>
              <w:right w:val="single" w:sz="8" w:space="0" w:color="009784"/>
            </w:tcBorders>
          </w:tcPr>
          <w:p w:rsidR="00576F87" w:rsidRDefault="00576F87"/>
        </w:tc>
        <w:tc>
          <w:tcPr>
            <w:tcW w:w="1337"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shd w:val="clear" w:color="auto" w:fill="009784"/>
          </w:tcPr>
          <w:p w:rsidR="00576F87" w:rsidRDefault="004165F5">
            <w:pPr>
              <w:spacing w:after="0"/>
              <w:ind w:left="40"/>
            </w:pPr>
            <w:r>
              <w:rPr>
                <w:rFonts w:ascii="Verdana" w:eastAsia="Verdana" w:hAnsi="Verdana" w:cs="Verdana"/>
                <w:b/>
                <w:color w:val="FFFFFF"/>
                <w:sz w:val="18"/>
              </w:rPr>
              <w:t>Total operational costs</w:t>
            </w:r>
          </w:p>
        </w:tc>
        <w:tc>
          <w:tcPr>
            <w:tcW w:w="1337" w:type="dxa"/>
            <w:tcBorders>
              <w:top w:val="single" w:sz="8" w:space="0" w:color="009784"/>
              <w:left w:val="single" w:sz="8" w:space="0" w:color="009784"/>
              <w:bottom w:val="single" w:sz="8" w:space="0" w:color="009784"/>
              <w:right w:val="single" w:sz="8" w:space="0" w:color="009784"/>
            </w:tcBorders>
            <w:shd w:val="clear" w:color="auto" w:fill="009784"/>
          </w:tcPr>
          <w:p w:rsidR="00576F87" w:rsidRDefault="004165F5">
            <w:pPr>
              <w:spacing w:after="0"/>
              <w:ind w:right="6"/>
              <w:jc w:val="right"/>
            </w:pPr>
            <w:r>
              <w:rPr>
                <w:rFonts w:ascii="Verdana" w:eastAsia="Verdana" w:hAnsi="Verdana" w:cs="Verdana"/>
                <w:b/>
                <w:color w:val="FFFFFF"/>
                <w:sz w:val="18"/>
              </w:rPr>
              <w:t>5,503</w:t>
            </w:r>
          </w:p>
        </w:tc>
        <w:tc>
          <w:tcPr>
            <w:tcW w:w="1337" w:type="dxa"/>
            <w:tcBorders>
              <w:top w:val="single" w:sz="8" w:space="0" w:color="009784"/>
              <w:left w:val="single" w:sz="8" w:space="0" w:color="009784"/>
              <w:bottom w:val="single" w:sz="8" w:space="0" w:color="009784"/>
              <w:right w:val="single" w:sz="8" w:space="0" w:color="009784"/>
            </w:tcBorders>
            <w:shd w:val="clear" w:color="auto" w:fill="009784"/>
          </w:tcPr>
          <w:p w:rsidR="00576F87" w:rsidRDefault="004165F5">
            <w:pPr>
              <w:spacing w:after="0"/>
              <w:ind w:right="6"/>
              <w:jc w:val="right"/>
            </w:pPr>
            <w:r>
              <w:rPr>
                <w:rFonts w:ascii="Verdana" w:eastAsia="Verdana" w:hAnsi="Verdana" w:cs="Verdana"/>
                <w:b/>
                <w:color w:val="FFFFFF"/>
                <w:sz w:val="18"/>
              </w:rPr>
              <w:t>4,470</w:t>
            </w:r>
          </w:p>
        </w:tc>
        <w:tc>
          <w:tcPr>
            <w:tcW w:w="1337" w:type="dxa"/>
            <w:tcBorders>
              <w:top w:val="single" w:sz="8" w:space="0" w:color="009784"/>
              <w:left w:val="single" w:sz="8" w:space="0" w:color="009784"/>
              <w:bottom w:val="single" w:sz="8" w:space="0" w:color="009784"/>
              <w:right w:val="single" w:sz="15" w:space="0" w:color="009784"/>
            </w:tcBorders>
            <w:shd w:val="clear" w:color="auto" w:fill="009784"/>
          </w:tcPr>
          <w:p w:rsidR="00576F87" w:rsidRDefault="004165F5">
            <w:pPr>
              <w:spacing w:after="0"/>
              <w:ind w:right="6"/>
              <w:jc w:val="right"/>
            </w:pPr>
            <w:r>
              <w:rPr>
                <w:rFonts w:ascii="Verdana" w:eastAsia="Verdana" w:hAnsi="Verdana" w:cs="Verdana"/>
                <w:b/>
                <w:color w:val="FFFFFF"/>
                <w:sz w:val="18"/>
              </w:rPr>
              <w:t>1,033</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shd w:val="clear" w:color="auto" w:fill="FFFFFF"/>
          </w:tcPr>
          <w:p w:rsidR="00576F87" w:rsidRDefault="004165F5">
            <w:pPr>
              <w:spacing w:after="0"/>
              <w:ind w:left="35"/>
            </w:pPr>
            <w:r>
              <w:rPr>
                <w:rFonts w:ascii="Verdana" w:eastAsia="Verdana" w:hAnsi="Verdana" w:cs="Verdana"/>
                <w:sz w:val="18"/>
              </w:rPr>
              <w:t>Funded by:</w:t>
            </w:r>
          </w:p>
        </w:tc>
        <w:tc>
          <w:tcPr>
            <w:tcW w:w="1337" w:type="dxa"/>
            <w:tcBorders>
              <w:top w:val="single" w:sz="8" w:space="0" w:color="009784"/>
              <w:left w:val="single" w:sz="8" w:space="0" w:color="009784"/>
              <w:bottom w:val="single" w:sz="8" w:space="0" w:color="009784"/>
              <w:right w:val="single" w:sz="8" w:space="0" w:color="009784"/>
            </w:tcBorders>
            <w:shd w:val="clear" w:color="auto" w:fill="FFFFFF"/>
          </w:tcPr>
          <w:p w:rsidR="00576F87" w:rsidRDefault="00576F87"/>
        </w:tc>
        <w:tc>
          <w:tcPr>
            <w:tcW w:w="1337" w:type="dxa"/>
            <w:tcBorders>
              <w:top w:val="single" w:sz="8" w:space="0" w:color="009784"/>
              <w:left w:val="single" w:sz="8" w:space="0" w:color="009784"/>
              <w:bottom w:val="single" w:sz="8" w:space="0" w:color="009784"/>
              <w:right w:val="single" w:sz="8" w:space="0" w:color="009784"/>
            </w:tcBorders>
            <w:shd w:val="clear" w:color="auto" w:fill="FFFFFF"/>
          </w:tcPr>
          <w:p w:rsidR="00576F87" w:rsidRDefault="00576F87"/>
        </w:tc>
        <w:tc>
          <w:tcPr>
            <w:tcW w:w="1337" w:type="dxa"/>
            <w:tcBorders>
              <w:top w:val="single" w:sz="8" w:space="0" w:color="009784"/>
              <w:left w:val="single" w:sz="8" w:space="0" w:color="009784"/>
              <w:bottom w:val="single" w:sz="8" w:space="0" w:color="009784"/>
              <w:right w:val="single" w:sz="15" w:space="0" w:color="009784"/>
            </w:tcBorders>
            <w:shd w:val="clear" w:color="auto" w:fill="FFFFFF"/>
          </w:tcPr>
          <w:p w:rsidR="00576F87" w:rsidRDefault="00576F87"/>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Charge made to pension fund</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8"/>
              </w:rPr>
              <w:t>(4,496)</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8"/>
              </w:rPr>
              <w:t>(4,470)</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8"/>
              </w:rPr>
              <w:t>(26)</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Recharge to residual liabilities</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(613)</w:t>
            </w:r>
          </w:p>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8"/>
              </w:rPr>
              <w:t>(613)</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8"/>
              </w:rPr>
              <w:t>-</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5"/>
            </w:pPr>
            <w:r>
              <w:rPr>
                <w:rFonts w:ascii="Verdana" w:eastAsia="Verdana" w:hAnsi="Verdana" w:cs="Verdana"/>
                <w:sz w:val="18"/>
              </w:rPr>
              <w:t>Movement in reserves</w:t>
            </w:r>
          </w:p>
        </w:tc>
        <w:tc>
          <w:tcPr>
            <w:tcW w:w="1337" w:type="dxa"/>
            <w:tcBorders>
              <w:top w:val="single" w:sz="8" w:space="0" w:color="009784"/>
              <w:left w:val="single" w:sz="8" w:space="0" w:color="009784"/>
              <w:bottom w:val="single" w:sz="8" w:space="0" w:color="009784"/>
              <w:right w:val="single" w:sz="8" w:space="0" w:color="009784"/>
            </w:tcBorders>
          </w:tcPr>
          <w:p w:rsidR="00576F87" w:rsidRDefault="00576F87"/>
        </w:tc>
        <w:tc>
          <w:tcPr>
            <w:tcW w:w="133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8"/>
              </w:rPr>
              <w:t>187</w:t>
            </w:r>
          </w:p>
        </w:tc>
        <w:tc>
          <w:tcPr>
            <w:tcW w:w="1337"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8"/>
              </w:rPr>
              <w:t>(187)</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shd w:val="clear" w:color="auto" w:fill="009784"/>
          </w:tcPr>
          <w:p w:rsidR="00576F87" w:rsidRDefault="004165F5">
            <w:pPr>
              <w:spacing w:after="0"/>
              <w:ind w:left="40"/>
            </w:pPr>
            <w:r>
              <w:rPr>
                <w:rFonts w:ascii="Verdana" w:eastAsia="Verdana" w:hAnsi="Verdana" w:cs="Verdana"/>
                <w:b/>
                <w:color w:val="FFFFFF"/>
                <w:sz w:val="18"/>
              </w:rPr>
              <w:t>Total Funding</w:t>
            </w:r>
          </w:p>
        </w:tc>
        <w:tc>
          <w:tcPr>
            <w:tcW w:w="1337" w:type="dxa"/>
            <w:tcBorders>
              <w:top w:val="single" w:sz="8" w:space="0" w:color="009784"/>
              <w:left w:val="single" w:sz="8" w:space="0" w:color="009784"/>
              <w:bottom w:val="single" w:sz="8" w:space="0" w:color="009784"/>
              <w:right w:val="single" w:sz="8" w:space="0" w:color="009784"/>
            </w:tcBorders>
            <w:shd w:val="clear" w:color="auto" w:fill="009784"/>
          </w:tcPr>
          <w:p w:rsidR="00576F87" w:rsidRDefault="004165F5">
            <w:pPr>
              <w:spacing w:after="0"/>
              <w:ind w:right="7"/>
              <w:jc w:val="right"/>
            </w:pPr>
            <w:r>
              <w:rPr>
                <w:rFonts w:ascii="Verdana" w:eastAsia="Verdana" w:hAnsi="Verdana" w:cs="Verdana"/>
                <w:b/>
                <w:color w:val="FFFFFF"/>
                <w:sz w:val="18"/>
              </w:rPr>
              <w:t>(5,109)</w:t>
            </w:r>
          </w:p>
        </w:tc>
        <w:tc>
          <w:tcPr>
            <w:tcW w:w="1337" w:type="dxa"/>
            <w:tcBorders>
              <w:top w:val="single" w:sz="8" w:space="0" w:color="009784"/>
              <w:left w:val="single" w:sz="8" w:space="0" w:color="009784"/>
              <w:bottom w:val="single" w:sz="8" w:space="0" w:color="009784"/>
              <w:right w:val="single" w:sz="8" w:space="0" w:color="009784"/>
            </w:tcBorders>
            <w:shd w:val="clear" w:color="auto" w:fill="009784"/>
          </w:tcPr>
          <w:p w:rsidR="00576F87" w:rsidRDefault="004165F5">
            <w:pPr>
              <w:spacing w:after="0"/>
              <w:ind w:right="7"/>
              <w:jc w:val="right"/>
            </w:pPr>
            <w:r>
              <w:rPr>
                <w:rFonts w:ascii="Verdana" w:eastAsia="Verdana" w:hAnsi="Verdana" w:cs="Verdana"/>
                <w:b/>
                <w:color w:val="FFFFFF"/>
                <w:sz w:val="18"/>
              </w:rPr>
              <w:t>(4,896)</w:t>
            </w:r>
          </w:p>
        </w:tc>
        <w:tc>
          <w:tcPr>
            <w:tcW w:w="1337" w:type="dxa"/>
            <w:tcBorders>
              <w:top w:val="single" w:sz="8" w:space="0" w:color="009784"/>
              <w:left w:val="single" w:sz="8" w:space="0" w:color="009784"/>
              <w:bottom w:val="single" w:sz="8" w:space="0" w:color="009784"/>
              <w:right w:val="single" w:sz="15" w:space="0" w:color="009784"/>
            </w:tcBorders>
            <w:shd w:val="clear" w:color="auto" w:fill="009784"/>
          </w:tcPr>
          <w:p w:rsidR="00576F87" w:rsidRDefault="004165F5">
            <w:pPr>
              <w:spacing w:after="0"/>
              <w:ind w:right="8"/>
              <w:jc w:val="right"/>
            </w:pPr>
            <w:r>
              <w:rPr>
                <w:rFonts w:ascii="Verdana" w:eastAsia="Verdana" w:hAnsi="Verdana" w:cs="Verdana"/>
                <w:b/>
                <w:color w:val="FFFFFF"/>
                <w:sz w:val="18"/>
              </w:rPr>
              <w:t>(213)</w:t>
            </w:r>
          </w:p>
        </w:tc>
      </w:tr>
      <w:tr w:rsidR="00576F87">
        <w:trPr>
          <w:trHeight w:val="370"/>
        </w:trPr>
        <w:tc>
          <w:tcPr>
            <w:tcW w:w="4604" w:type="dxa"/>
            <w:tcBorders>
              <w:top w:val="single" w:sz="8" w:space="0" w:color="009784"/>
              <w:left w:val="single" w:sz="12" w:space="0" w:color="009784"/>
              <w:bottom w:val="single" w:sz="8" w:space="0" w:color="009784"/>
              <w:right w:val="single" w:sz="8" w:space="0" w:color="009784"/>
            </w:tcBorders>
            <w:shd w:val="clear" w:color="auto" w:fill="FFFFFF"/>
          </w:tcPr>
          <w:p w:rsidR="00576F87" w:rsidRDefault="00576F87"/>
        </w:tc>
        <w:tc>
          <w:tcPr>
            <w:tcW w:w="1337" w:type="dxa"/>
            <w:tcBorders>
              <w:top w:val="single" w:sz="8" w:space="0" w:color="009784"/>
              <w:left w:val="single" w:sz="8" w:space="0" w:color="009784"/>
              <w:bottom w:val="single" w:sz="8" w:space="0" w:color="009784"/>
              <w:right w:val="single" w:sz="8" w:space="0" w:color="009784"/>
            </w:tcBorders>
            <w:shd w:val="clear" w:color="auto" w:fill="FFFFFF"/>
          </w:tcPr>
          <w:p w:rsidR="00576F87" w:rsidRDefault="00576F87"/>
        </w:tc>
        <w:tc>
          <w:tcPr>
            <w:tcW w:w="1337" w:type="dxa"/>
            <w:tcBorders>
              <w:top w:val="single" w:sz="8" w:space="0" w:color="009784"/>
              <w:left w:val="single" w:sz="8" w:space="0" w:color="009784"/>
              <w:bottom w:val="single" w:sz="8" w:space="0" w:color="009784"/>
              <w:right w:val="single" w:sz="8" w:space="0" w:color="009784"/>
            </w:tcBorders>
            <w:shd w:val="clear" w:color="auto" w:fill="FFFFFF"/>
          </w:tcPr>
          <w:p w:rsidR="00576F87" w:rsidRDefault="00576F87"/>
        </w:tc>
        <w:tc>
          <w:tcPr>
            <w:tcW w:w="1337" w:type="dxa"/>
            <w:tcBorders>
              <w:top w:val="single" w:sz="8" w:space="0" w:color="009784"/>
              <w:left w:val="single" w:sz="8" w:space="0" w:color="009784"/>
              <w:bottom w:val="single" w:sz="8" w:space="0" w:color="009784"/>
              <w:right w:val="single" w:sz="15" w:space="0" w:color="009784"/>
            </w:tcBorders>
            <w:shd w:val="clear" w:color="auto" w:fill="FFFFFF"/>
          </w:tcPr>
          <w:p w:rsidR="00576F87" w:rsidRDefault="00576F87"/>
        </w:tc>
      </w:tr>
      <w:tr w:rsidR="00576F87">
        <w:trPr>
          <w:trHeight w:val="370"/>
        </w:trPr>
        <w:tc>
          <w:tcPr>
            <w:tcW w:w="4604" w:type="dxa"/>
            <w:tcBorders>
              <w:top w:val="single" w:sz="8" w:space="0" w:color="009784"/>
              <w:left w:val="single" w:sz="12" w:space="0" w:color="009784"/>
              <w:bottom w:val="single" w:sz="15" w:space="0" w:color="009784"/>
              <w:right w:val="single" w:sz="8" w:space="0" w:color="009784"/>
            </w:tcBorders>
            <w:shd w:val="clear" w:color="auto" w:fill="009784"/>
          </w:tcPr>
          <w:p w:rsidR="00576F87" w:rsidRDefault="004165F5">
            <w:pPr>
              <w:spacing w:after="0"/>
              <w:ind w:left="40"/>
            </w:pPr>
            <w:r>
              <w:rPr>
                <w:rFonts w:ascii="Verdana" w:eastAsia="Verdana" w:hAnsi="Verdana" w:cs="Verdana"/>
                <w:b/>
                <w:color w:val="FFFFFF"/>
                <w:sz w:val="18"/>
              </w:rPr>
              <w:t>Net deficit/(surplus)</w:t>
            </w:r>
          </w:p>
        </w:tc>
        <w:tc>
          <w:tcPr>
            <w:tcW w:w="1337" w:type="dxa"/>
            <w:tcBorders>
              <w:top w:val="single" w:sz="8" w:space="0" w:color="009784"/>
              <w:left w:val="single" w:sz="8" w:space="0" w:color="009784"/>
              <w:bottom w:val="single" w:sz="15" w:space="0" w:color="009784"/>
              <w:right w:val="single" w:sz="8" w:space="0" w:color="009784"/>
            </w:tcBorders>
            <w:shd w:val="clear" w:color="auto" w:fill="009784"/>
          </w:tcPr>
          <w:p w:rsidR="00576F87" w:rsidRDefault="004165F5">
            <w:pPr>
              <w:spacing w:after="0"/>
              <w:ind w:right="6"/>
              <w:jc w:val="right"/>
            </w:pPr>
            <w:r>
              <w:rPr>
                <w:rFonts w:ascii="Verdana" w:eastAsia="Verdana" w:hAnsi="Verdana" w:cs="Verdana"/>
                <w:b/>
                <w:color w:val="FFFFFF"/>
                <w:sz w:val="18"/>
              </w:rPr>
              <w:t>394</w:t>
            </w:r>
          </w:p>
        </w:tc>
        <w:tc>
          <w:tcPr>
            <w:tcW w:w="1337" w:type="dxa"/>
            <w:tcBorders>
              <w:top w:val="single" w:sz="8" w:space="0" w:color="009784"/>
              <w:left w:val="single" w:sz="8" w:space="0" w:color="009784"/>
              <w:bottom w:val="single" w:sz="15" w:space="0" w:color="009784"/>
              <w:right w:val="single" w:sz="8" w:space="0" w:color="009784"/>
            </w:tcBorders>
            <w:shd w:val="clear" w:color="auto" w:fill="009784"/>
          </w:tcPr>
          <w:p w:rsidR="00576F87" w:rsidRDefault="004165F5">
            <w:pPr>
              <w:spacing w:after="0"/>
              <w:ind w:right="7"/>
              <w:jc w:val="right"/>
            </w:pPr>
            <w:r>
              <w:rPr>
                <w:rFonts w:ascii="Verdana" w:eastAsia="Verdana" w:hAnsi="Verdana" w:cs="Verdana"/>
                <w:b/>
                <w:color w:val="FFFFFF"/>
                <w:sz w:val="18"/>
              </w:rPr>
              <w:t>(426)</w:t>
            </w:r>
          </w:p>
        </w:tc>
        <w:tc>
          <w:tcPr>
            <w:tcW w:w="1337" w:type="dxa"/>
            <w:tcBorders>
              <w:top w:val="single" w:sz="8" w:space="0" w:color="009784"/>
              <w:left w:val="single" w:sz="8" w:space="0" w:color="009784"/>
              <w:bottom w:val="single" w:sz="8" w:space="0" w:color="009784"/>
              <w:right w:val="single" w:sz="15" w:space="0" w:color="009784"/>
            </w:tcBorders>
            <w:shd w:val="clear" w:color="auto" w:fill="009784"/>
          </w:tcPr>
          <w:p w:rsidR="00576F87" w:rsidRDefault="004165F5">
            <w:pPr>
              <w:spacing w:after="0"/>
              <w:ind w:right="6"/>
              <w:jc w:val="right"/>
            </w:pPr>
            <w:r>
              <w:rPr>
                <w:rFonts w:ascii="Verdana" w:eastAsia="Verdana" w:hAnsi="Verdana" w:cs="Verdana"/>
                <w:b/>
                <w:color w:val="FFFFFF"/>
                <w:sz w:val="18"/>
              </w:rPr>
              <w:t>820</w:t>
            </w:r>
          </w:p>
        </w:tc>
      </w:tr>
    </w:tbl>
    <w:p w:rsidR="00576F87" w:rsidRDefault="004165F5">
      <w:pPr>
        <w:spacing w:after="3" w:line="264" w:lineRule="auto"/>
        <w:ind w:left="2" w:right="1218" w:hanging="10"/>
        <w:jc w:val="both"/>
      </w:pPr>
      <w:r>
        <w:rPr>
          <w:rFonts w:ascii="Verdana" w:eastAsia="Verdana" w:hAnsi="Verdana" w:cs="Verdana"/>
          <w:sz w:val="20"/>
        </w:rPr>
        <w:t xml:space="preserve">The actual expenditure excludes adjustments for IAS19 Employee Benefits charges as these do not form part of the usual management accounting process. Although included in expenses these charges are reversed out later and do not have a direct impact on the </w:t>
      </w:r>
      <w:r>
        <w:rPr>
          <w:rFonts w:ascii="Verdana" w:eastAsia="Verdana" w:hAnsi="Verdana" w:cs="Verdana"/>
          <w:sz w:val="20"/>
        </w:rPr>
        <w:t xml:space="preserve">bottom line. </w:t>
      </w:r>
    </w:p>
    <w:p w:rsidR="00576F87" w:rsidRDefault="004165F5">
      <w:pPr>
        <w:pStyle w:val="Heading1"/>
        <w:ind w:left="19"/>
      </w:pPr>
      <w:r>
        <w:t>Residual Liabilities</w:t>
      </w:r>
    </w:p>
    <w:p w:rsidR="00576F87" w:rsidRDefault="004165F5">
      <w:pPr>
        <w:spacing w:after="240" w:line="264" w:lineRule="auto"/>
        <w:ind w:left="2" w:right="654" w:hanging="10"/>
        <w:jc w:val="both"/>
      </w:pPr>
      <w:r>
        <w:rPr>
          <w:rFonts w:ascii="Verdana" w:eastAsia="Verdana" w:hAnsi="Verdana" w:cs="Verdana"/>
          <w:sz w:val="20"/>
        </w:rPr>
        <w:t>LPFA is responsible for compensation payments in respect of former Greater London Council (GLC), Inner London Education Authority (ILEA) and London Residual Body (LRB) staff. These payments are not chargeable to the pension fund and are recovered by a levy</w:t>
      </w:r>
      <w:r>
        <w:rPr>
          <w:rFonts w:ascii="Verdana" w:eastAsia="Verdana" w:hAnsi="Verdana" w:cs="Verdana"/>
          <w:sz w:val="20"/>
        </w:rPr>
        <w:t xml:space="preserve"> on London boroughs. These budgets contain significant uncertainties in the form of injury claims for asbestosis, dating back to the GLC and ILEA. The LPFA has established a significant provision for known and expected claims, the costs of which will be me</w:t>
      </w:r>
      <w:r>
        <w:rPr>
          <w:rFonts w:ascii="Verdana" w:eastAsia="Verdana" w:hAnsi="Verdana" w:cs="Verdana"/>
          <w:sz w:val="20"/>
        </w:rPr>
        <w:t xml:space="preserve">t through the levy on London boroughs. </w:t>
      </w:r>
    </w:p>
    <w:p w:rsidR="00576F87" w:rsidRDefault="004165F5">
      <w:pPr>
        <w:pStyle w:val="Heading2"/>
        <w:spacing w:after="158"/>
        <w:ind w:left="5"/>
      </w:pPr>
      <w:r>
        <w:rPr>
          <w:b/>
          <w:color w:val="99CA3C"/>
          <w:sz w:val="20"/>
        </w:rPr>
        <w:t>Greater London</w:t>
      </w:r>
    </w:p>
    <w:p w:rsidR="00576F87" w:rsidRDefault="004165F5">
      <w:pPr>
        <w:spacing w:after="3" w:line="264" w:lineRule="auto"/>
        <w:ind w:left="2" w:right="653" w:hanging="10"/>
        <w:jc w:val="both"/>
      </w:pPr>
      <w:r>
        <w:rPr>
          <w:rFonts w:ascii="Verdana" w:eastAsia="Verdana" w:hAnsi="Verdana" w:cs="Verdana"/>
          <w:sz w:val="20"/>
        </w:rPr>
        <w:t xml:space="preserve">The budgeted levy requirement in 2017/18 </w:t>
      </w:r>
      <w:r>
        <w:rPr>
          <w:rFonts w:ascii="Verdana" w:eastAsia="Verdana" w:hAnsi="Verdana" w:cs="Verdana"/>
          <w:sz w:val="20"/>
        </w:rPr>
        <w:t>was £10,318k. Pension costs were higher than expected and there have been changes made to the asbestosis provision. However it remains extremely difficult to forecast the sums likely to be paid, both in year and over the longer term, on dealing with asbest</w:t>
      </w:r>
      <w:r>
        <w:rPr>
          <w:rFonts w:ascii="Verdana" w:eastAsia="Verdana" w:hAnsi="Verdana" w:cs="Verdana"/>
          <w:sz w:val="20"/>
        </w:rPr>
        <w:t>osis claims. The LPFA has engaged an expert advisor to support the management of claims as they are submitted, and to agree estimates of future claims.</w:t>
      </w:r>
    </w:p>
    <w:tbl>
      <w:tblPr>
        <w:tblStyle w:val="TableGrid"/>
        <w:tblW w:w="9179" w:type="dxa"/>
        <w:tblInd w:w="-35" w:type="dxa"/>
        <w:tblCellMar>
          <w:top w:w="52" w:type="dxa"/>
          <w:left w:w="35" w:type="dxa"/>
          <w:bottom w:w="0" w:type="dxa"/>
          <w:right w:w="33" w:type="dxa"/>
        </w:tblCellMar>
        <w:tblLook w:val="04A0" w:firstRow="1" w:lastRow="0" w:firstColumn="1" w:lastColumn="0" w:noHBand="0" w:noVBand="1"/>
      </w:tblPr>
      <w:tblGrid>
        <w:gridCol w:w="5411"/>
        <w:gridCol w:w="1224"/>
        <w:gridCol w:w="1159"/>
        <w:gridCol w:w="1385"/>
      </w:tblGrid>
      <w:tr w:rsidR="00576F87">
        <w:trPr>
          <w:trHeight w:val="362"/>
        </w:trPr>
        <w:tc>
          <w:tcPr>
            <w:tcW w:w="5411" w:type="dxa"/>
            <w:tcBorders>
              <w:top w:val="single" w:sz="15" w:space="0" w:color="248E89"/>
              <w:left w:val="single" w:sz="12" w:space="0" w:color="248E89"/>
              <w:bottom w:val="single" w:sz="8" w:space="0" w:color="248E89"/>
              <w:right w:val="single" w:sz="8" w:space="0" w:color="248E89"/>
            </w:tcBorders>
            <w:shd w:val="clear" w:color="auto" w:fill="009784"/>
          </w:tcPr>
          <w:p w:rsidR="00576F87" w:rsidRDefault="004165F5">
            <w:pPr>
              <w:spacing w:after="0"/>
              <w:ind w:left="5"/>
            </w:pPr>
            <w:r>
              <w:rPr>
                <w:rFonts w:ascii="Verdana" w:eastAsia="Verdana" w:hAnsi="Verdana" w:cs="Verdana"/>
                <w:b/>
                <w:color w:val="FFFFFF"/>
                <w:sz w:val="18"/>
              </w:rPr>
              <w:t>Greater London Levy</w:t>
            </w:r>
          </w:p>
        </w:tc>
        <w:tc>
          <w:tcPr>
            <w:tcW w:w="1224" w:type="dxa"/>
            <w:tcBorders>
              <w:top w:val="single" w:sz="15" w:space="0" w:color="248E89"/>
              <w:left w:val="single" w:sz="8" w:space="0" w:color="248E89"/>
              <w:bottom w:val="single" w:sz="8" w:space="0" w:color="248E89"/>
              <w:right w:val="single" w:sz="8" w:space="0" w:color="248E89"/>
            </w:tcBorders>
            <w:shd w:val="clear" w:color="auto" w:fill="009784"/>
          </w:tcPr>
          <w:p w:rsidR="00576F87" w:rsidRDefault="004165F5">
            <w:pPr>
              <w:spacing w:after="0"/>
              <w:ind w:right="6"/>
              <w:jc w:val="right"/>
            </w:pPr>
            <w:r>
              <w:rPr>
                <w:rFonts w:ascii="Verdana" w:eastAsia="Verdana" w:hAnsi="Verdana" w:cs="Verdana"/>
                <w:b/>
                <w:color w:val="FFFFFF"/>
                <w:sz w:val="18"/>
              </w:rPr>
              <w:t>Actual</w:t>
            </w:r>
          </w:p>
        </w:tc>
        <w:tc>
          <w:tcPr>
            <w:tcW w:w="1159" w:type="dxa"/>
            <w:tcBorders>
              <w:top w:val="single" w:sz="15" w:space="0" w:color="248E89"/>
              <w:left w:val="single" w:sz="8" w:space="0" w:color="248E89"/>
              <w:bottom w:val="single" w:sz="8" w:space="0" w:color="248E89"/>
              <w:right w:val="single" w:sz="8" w:space="0" w:color="248E89"/>
            </w:tcBorders>
            <w:shd w:val="clear" w:color="auto" w:fill="009784"/>
          </w:tcPr>
          <w:p w:rsidR="00576F87" w:rsidRDefault="004165F5">
            <w:pPr>
              <w:spacing w:after="0"/>
              <w:ind w:right="5"/>
              <w:jc w:val="right"/>
            </w:pPr>
            <w:r>
              <w:rPr>
                <w:rFonts w:ascii="Verdana" w:eastAsia="Verdana" w:hAnsi="Verdana" w:cs="Verdana"/>
                <w:b/>
                <w:color w:val="FFFFFF"/>
                <w:sz w:val="18"/>
              </w:rPr>
              <w:t>Budget</w:t>
            </w:r>
          </w:p>
        </w:tc>
        <w:tc>
          <w:tcPr>
            <w:tcW w:w="1385" w:type="dxa"/>
            <w:tcBorders>
              <w:top w:val="single" w:sz="15" w:space="0" w:color="248E89"/>
              <w:left w:val="single" w:sz="8" w:space="0" w:color="248E89"/>
              <w:bottom w:val="single" w:sz="8" w:space="0" w:color="248E89"/>
              <w:right w:val="single" w:sz="15" w:space="0" w:color="248E89"/>
            </w:tcBorders>
            <w:shd w:val="clear" w:color="auto" w:fill="009784"/>
          </w:tcPr>
          <w:p w:rsidR="00576F87" w:rsidRDefault="004165F5">
            <w:pPr>
              <w:spacing w:after="0"/>
              <w:ind w:right="6"/>
              <w:jc w:val="right"/>
            </w:pPr>
            <w:r>
              <w:rPr>
                <w:rFonts w:ascii="Verdana" w:eastAsia="Verdana" w:hAnsi="Verdana" w:cs="Verdana"/>
                <w:b/>
                <w:color w:val="FFFFFF"/>
                <w:sz w:val="18"/>
              </w:rPr>
              <w:t>Variance</w:t>
            </w:r>
          </w:p>
        </w:tc>
      </w:tr>
      <w:tr w:rsidR="00576F87">
        <w:trPr>
          <w:trHeight w:val="235"/>
        </w:trPr>
        <w:tc>
          <w:tcPr>
            <w:tcW w:w="5411" w:type="dxa"/>
            <w:tcBorders>
              <w:top w:val="single" w:sz="8" w:space="0" w:color="248E89"/>
              <w:left w:val="single" w:sz="12" w:space="0" w:color="248E89"/>
              <w:bottom w:val="single" w:sz="8" w:space="0" w:color="248E89"/>
              <w:right w:val="single" w:sz="8" w:space="0" w:color="248E89"/>
            </w:tcBorders>
            <w:shd w:val="clear" w:color="auto" w:fill="009784"/>
          </w:tcPr>
          <w:p w:rsidR="00576F87" w:rsidRDefault="00576F87"/>
        </w:tc>
        <w:tc>
          <w:tcPr>
            <w:tcW w:w="1224" w:type="dxa"/>
            <w:tcBorders>
              <w:top w:val="single" w:sz="8" w:space="0" w:color="248E89"/>
              <w:left w:val="single" w:sz="8" w:space="0" w:color="248E89"/>
              <w:bottom w:val="single" w:sz="8" w:space="0" w:color="248E89"/>
              <w:right w:val="single" w:sz="8" w:space="0" w:color="248E89"/>
            </w:tcBorders>
            <w:shd w:val="clear" w:color="auto" w:fill="009784"/>
          </w:tcPr>
          <w:p w:rsidR="00576F87" w:rsidRDefault="004165F5">
            <w:pPr>
              <w:spacing w:after="0"/>
              <w:ind w:right="5"/>
              <w:jc w:val="right"/>
            </w:pPr>
            <w:r>
              <w:rPr>
                <w:rFonts w:ascii="Verdana" w:eastAsia="Verdana" w:hAnsi="Verdana" w:cs="Verdana"/>
                <w:b/>
                <w:color w:val="FFFFFF"/>
                <w:sz w:val="18"/>
              </w:rPr>
              <w:t>£000</w:t>
            </w:r>
          </w:p>
        </w:tc>
        <w:tc>
          <w:tcPr>
            <w:tcW w:w="1159" w:type="dxa"/>
            <w:tcBorders>
              <w:top w:val="single" w:sz="8" w:space="0" w:color="248E89"/>
              <w:left w:val="single" w:sz="8" w:space="0" w:color="248E89"/>
              <w:bottom w:val="single" w:sz="8" w:space="0" w:color="248E89"/>
              <w:right w:val="single" w:sz="8" w:space="0" w:color="248E89"/>
            </w:tcBorders>
            <w:shd w:val="clear" w:color="auto" w:fill="009784"/>
          </w:tcPr>
          <w:p w:rsidR="00576F87" w:rsidRDefault="004165F5">
            <w:pPr>
              <w:spacing w:after="0"/>
              <w:ind w:right="5"/>
              <w:jc w:val="right"/>
            </w:pPr>
            <w:r>
              <w:rPr>
                <w:rFonts w:ascii="Verdana" w:eastAsia="Verdana" w:hAnsi="Verdana" w:cs="Verdana"/>
                <w:b/>
                <w:color w:val="FFFFFF"/>
                <w:sz w:val="18"/>
              </w:rPr>
              <w:t>£000</w:t>
            </w:r>
          </w:p>
        </w:tc>
        <w:tc>
          <w:tcPr>
            <w:tcW w:w="1385" w:type="dxa"/>
            <w:tcBorders>
              <w:top w:val="single" w:sz="8" w:space="0" w:color="248E89"/>
              <w:left w:val="single" w:sz="8" w:space="0" w:color="248E89"/>
              <w:bottom w:val="single" w:sz="8" w:space="0" w:color="248E89"/>
              <w:right w:val="single" w:sz="15" w:space="0" w:color="248E89"/>
            </w:tcBorders>
            <w:shd w:val="clear" w:color="auto" w:fill="009784"/>
          </w:tcPr>
          <w:p w:rsidR="00576F87" w:rsidRDefault="004165F5">
            <w:pPr>
              <w:spacing w:after="0"/>
              <w:ind w:right="5"/>
              <w:jc w:val="right"/>
            </w:pPr>
            <w:r>
              <w:rPr>
                <w:rFonts w:ascii="Verdana" w:eastAsia="Verdana" w:hAnsi="Verdana" w:cs="Verdana"/>
                <w:b/>
                <w:color w:val="FFFFFF"/>
                <w:sz w:val="18"/>
              </w:rPr>
              <w:t>£000</w:t>
            </w:r>
          </w:p>
        </w:tc>
      </w:tr>
      <w:tr w:rsidR="00576F87">
        <w:trPr>
          <w:trHeight w:val="336"/>
        </w:trPr>
        <w:tc>
          <w:tcPr>
            <w:tcW w:w="5411" w:type="dxa"/>
            <w:tcBorders>
              <w:top w:val="single" w:sz="8" w:space="0" w:color="248E89"/>
              <w:left w:val="single" w:sz="12" w:space="0" w:color="248E89"/>
              <w:bottom w:val="single" w:sz="8" w:space="0" w:color="248E89"/>
              <w:right w:val="single" w:sz="8" w:space="0" w:color="248E89"/>
            </w:tcBorders>
          </w:tcPr>
          <w:p w:rsidR="00576F87" w:rsidRDefault="004165F5">
            <w:pPr>
              <w:spacing w:after="0"/>
            </w:pPr>
            <w:r>
              <w:rPr>
                <w:rFonts w:ascii="Verdana" w:eastAsia="Verdana" w:hAnsi="Verdana" w:cs="Verdana"/>
                <w:sz w:val="18"/>
              </w:rPr>
              <w:lastRenderedPageBreak/>
              <w:t>Pension Retirement Costs</w:t>
            </w:r>
          </w:p>
        </w:tc>
        <w:tc>
          <w:tcPr>
            <w:tcW w:w="1224" w:type="dxa"/>
            <w:tcBorders>
              <w:top w:val="single" w:sz="8" w:space="0" w:color="248E89"/>
              <w:left w:val="single" w:sz="8" w:space="0" w:color="248E89"/>
              <w:bottom w:val="single" w:sz="8" w:space="0" w:color="248E89"/>
              <w:right w:val="single" w:sz="8" w:space="0" w:color="248E89"/>
            </w:tcBorders>
          </w:tcPr>
          <w:p w:rsidR="00576F87" w:rsidRDefault="004165F5">
            <w:pPr>
              <w:spacing w:after="0"/>
              <w:jc w:val="right"/>
            </w:pPr>
            <w:r>
              <w:rPr>
                <w:rFonts w:ascii="Verdana" w:eastAsia="Verdana" w:hAnsi="Verdana" w:cs="Verdana"/>
                <w:sz w:val="18"/>
              </w:rPr>
              <w:t>(8,927)</w:t>
            </w:r>
          </w:p>
        </w:tc>
        <w:tc>
          <w:tcPr>
            <w:tcW w:w="1159" w:type="dxa"/>
            <w:tcBorders>
              <w:top w:val="single" w:sz="8" w:space="0" w:color="248E89"/>
              <w:left w:val="single" w:sz="8" w:space="0" w:color="248E89"/>
              <w:bottom w:val="single" w:sz="8" w:space="0" w:color="248E89"/>
              <w:right w:val="single" w:sz="8" w:space="0" w:color="248E89"/>
            </w:tcBorders>
          </w:tcPr>
          <w:p w:rsidR="00576F87" w:rsidRDefault="004165F5">
            <w:pPr>
              <w:spacing w:after="0"/>
              <w:jc w:val="right"/>
            </w:pPr>
            <w:r>
              <w:rPr>
                <w:rFonts w:ascii="Verdana" w:eastAsia="Verdana" w:hAnsi="Verdana" w:cs="Verdana"/>
                <w:sz w:val="18"/>
              </w:rPr>
              <w:t>(6,676)</w:t>
            </w:r>
          </w:p>
        </w:tc>
        <w:tc>
          <w:tcPr>
            <w:tcW w:w="1385" w:type="dxa"/>
            <w:tcBorders>
              <w:top w:val="single" w:sz="8" w:space="0" w:color="248E89"/>
              <w:left w:val="single" w:sz="8" w:space="0" w:color="248E89"/>
              <w:bottom w:val="single" w:sz="8" w:space="0" w:color="248E89"/>
              <w:right w:val="single" w:sz="15" w:space="0" w:color="248E89"/>
            </w:tcBorders>
          </w:tcPr>
          <w:p w:rsidR="00576F87" w:rsidRDefault="004165F5">
            <w:pPr>
              <w:spacing w:after="0"/>
              <w:jc w:val="right"/>
            </w:pPr>
            <w:r>
              <w:rPr>
                <w:rFonts w:ascii="Verdana" w:eastAsia="Verdana" w:hAnsi="Verdana" w:cs="Verdana"/>
                <w:sz w:val="18"/>
              </w:rPr>
              <w:t>(2,251)</w:t>
            </w:r>
          </w:p>
        </w:tc>
      </w:tr>
      <w:tr w:rsidR="00576F87">
        <w:trPr>
          <w:trHeight w:val="336"/>
        </w:trPr>
        <w:tc>
          <w:tcPr>
            <w:tcW w:w="5411" w:type="dxa"/>
            <w:tcBorders>
              <w:top w:val="single" w:sz="8" w:space="0" w:color="248E89"/>
              <w:left w:val="single" w:sz="12" w:space="0" w:color="248E89"/>
              <w:bottom w:val="single" w:sz="8" w:space="0" w:color="248E89"/>
              <w:right w:val="single" w:sz="8" w:space="0" w:color="248E89"/>
            </w:tcBorders>
          </w:tcPr>
          <w:p w:rsidR="00576F87" w:rsidRDefault="004165F5">
            <w:pPr>
              <w:spacing w:after="0"/>
            </w:pPr>
            <w:r>
              <w:rPr>
                <w:rFonts w:ascii="Verdana" w:eastAsia="Verdana" w:hAnsi="Verdana" w:cs="Verdana"/>
                <w:sz w:val="18"/>
              </w:rPr>
              <w:t>Management Expenses</w:t>
            </w:r>
          </w:p>
        </w:tc>
        <w:tc>
          <w:tcPr>
            <w:tcW w:w="1224" w:type="dxa"/>
            <w:tcBorders>
              <w:top w:val="single" w:sz="8" w:space="0" w:color="248E89"/>
              <w:left w:val="single" w:sz="8" w:space="0" w:color="248E89"/>
              <w:bottom w:val="single" w:sz="8" w:space="0" w:color="248E89"/>
              <w:right w:val="single" w:sz="8" w:space="0" w:color="248E89"/>
            </w:tcBorders>
          </w:tcPr>
          <w:p w:rsidR="00576F87" w:rsidRDefault="004165F5">
            <w:pPr>
              <w:spacing w:after="0"/>
              <w:jc w:val="right"/>
            </w:pPr>
            <w:r>
              <w:rPr>
                <w:rFonts w:ascii="Verdana" w:eastAsia="Verdana" w:hAnsi="Verdana" w:cs="Verdana"/>
                <w:sz w:val="18"/>
              </w:rPr>
              <w:t>(261)</w:t>
            </w:r>
          </w:p>
        </w:tc>
        <w:tc>
          <w:tcPr>
            <w:tcW w:w="1159" w:type="dxa"/>
            <w:tcBorders>
              <w:top w:val="single" w:sz="8" w:space="0" w:color="248E89"/>
              <w:left w:val="single" w:sz="8" w:space="0" w:color="248E89"/>
              <w:bottom w:val="single" w:sz="8" w:space="0" w:color="248E89"/>
              <w:right w:val="single" w:sz="8" w:space="0" w:color="248E89"/>
            </w:tcBorders>
          </w:tcPr>
          <w:p w:rsidR="00576F87" w:rsidRDefault="004165F5">
            <w:pPr>
              <w:spacing w:after="0"/>
              <w:jc w:val="right"/>
            </w:pPr>
            <w:r>
              <w:rPr>
                <w:rFonts w:ascii="Verdana" w:eastAsia="Verdana" w:hAnsi="Verdana" w:cs="Verdana"/>
                <w:sz w:val="18"/>
              </w:rPr>
              <w:t>(261)</w:t>
            </w:r>
          </w:p>
        </w:tc>
        <w:tc>
          <w:tcPr>
            <w:tcW w:w="1385" w:type="dxa"/>
            <w:tcBorders>
              <w:top w:val="single" w:sz="8" w:space="0" w:color="248E89"/>
              <w:left w:val="single" w:sz="8" w:space="0" w:color="248E89"/>
              <w:bottom w:val="single" w:sz="8" w:space="0" w:color="248E89"/>
              <w:right w:val="single" w:sz="15" w:space="0" w:color="248E89"/>
            </w:tcBorders>
          </w:tcPr>
          <w:p w:rsidR="00576F87" w:rsidRDefault="004165F5">
            <w:pPr>
              <w:spacing w:after="0"/>
              <w:ind w:right="5"/>
              <w:jc w:val="right"/>
            </w:pPr>
            <w:r>
              <w:rPr>
                <w:rFonts w:ascii="Verdana" w:eastAsia="Verdana" w:hAnsi="Verdana" w:cs="Verdana"/>
                <w:sz w:val="18"/>
              </w:rPr>
              <w:t>-</w:t>
            </w:r>
          </w:p>
        </w:tc>
      </w:tr>
      <w:tr w:rsidR="00576F87">
        <w:trPr>
          <w:trHeight w:val="336"/>
        </w:trPr>
        <w:tc>
          <w:tcPr>
            <w:tcW w:w="5411" w:type="dxa"/>
            <w:tcBorders>
              <w:top w:val="single" w:sz="8" w:space="0" w:color="248E89"/>
              <w:left w:val="single" w:sz="12" w:space="0" w:color="248E89"/>
              <w:bottom w:val="single" w:sz="8" w:space="0" w:color="248E89"/>
              <w:right w:val="single" w:sz="8" w:space="0" w:color="248E89"/>
            </w:tcBorders>
          </w:tcPr>
          <w:p w:rsidR="00576F87" w:rsidRDefault="004165F5">
            <w:pPr>
              <w:spacing w:after="0"/>
            </w:pPr>
            <w:r>
              <w:rPr>
                <w:rFonts w:ascii="Verdana" w:eastAsia="Verdana" w:hAnsi="Verdana" w:cs="Verdana"/>
                <w:sz w:val="18"/>
              </w:rPr>
              <w:t>Asbestosis Provision (known cases + direct costs)</w:t>
            </w:r>
          </w:p>
        </w:tc>
        <w:tc>
          <w:tcPr>
            <w:tcW w:w="1224" w:type="dxa"/>
            <w:tcBorders>
              <w:top w:val="single" w:sz="8" w:space="0" w:color="248E89"/>
              <w:left w:val="single" w:sz="8" w:space="0" w:color="248E89"/>
              <w:bottom w:val="single" w:sz="8" w:space="0" w:color="248E89"/>
              <w:right w:val="single" w:sz="8" w:space="0" w:color="248E89"/>
            </w:tcBorders>
          </w:tcPr>
          <w:p w:rsidR="00576F87" w:rsidRDefault="004165F5">
            <w:pPr>
              <w:spacing w:after="0"/>
              <w:ind w:right="5"/>
              <w:jc w:val="right"/>
            </w:pPr>
            <w:r>
              <w:rPr>
                <w:rFonts w:ascii="Verdana" w:eastAsia="Verdana" w:hAnsi="Verdana" w:cs="Verdana"/>
                <w:sz w:val="18"/>
              </w:rPr>
              <w:t>(1,321)</w:t>
            </w:r>
          </w:p>
        </w:tc>
        <w:tc>
          <w:tcPr>
            <w:tcW w:w="1159" w:type="dxa"/>
            <w:tcBorders>
              <w:top w:val="single" w:sz="8" w:space="0" w:color="248E89"/>
              <w:left w:val="single" w:sz="8" w:space="0" w:color="248E89"/>
              <w:bottom w:val="single" w:sz="8" w:space="0" w:color="248E89"/>
              <w:right w:val="single" w:sz="8" w:space="0" w:color="248E89"/>
            </w:tcBorders>
          </w:tcPr>
          <w:p w:rsidR="00576F87" w:rsidRDefault="004165F5">
            <w:pPr>
              <w:spacing w:after="0"/>
              <w:jc w:val="right"/>
            </w:pPr>
            <w:r>
              <w:rPr>
                <w:rFonts w:ascii="Verdana" w:eastAsia="Verdana" w:hAnsi="Verdana" w:cs="Verdana"/>
                <w:sz w:val="18"/>
              </w:rPr>
              <w:t>(2,081)</w:t>
            </w:r>
          </w:p>
        </w:tc>
        <w:tc>
          <w:tcPr>
            <w:tcW w:w="1385" w:type="dxa"/>
            <w:tcBorders>
              <w:top w:val="single" w:sz="8" w:space="0" w:color="248E89"/>
              <w:left w:val="single" w:sz="8" w:space="0" w:color="248E89"/>
              <w:bottom w:val="single" w:sz="8" w:space="0" w:color="248E89"/>
              <w:right w:val="single" w:sz="15" w:space="0" w:color="248E89"/>
            </w:tcBorders>
          </w:tcPr>
          <w:p w:rsidR="00576F87" w:rsidRDefault="004165F5">
            <w:pPr>
              <w:spacing w:after="0"/>
              <w:ind w:right="1"/>
              <w:jc w:val="right"/>
            </w:pPr>
            <w:r>
              <w:rPr>
                <w:rFonts w:ascii="Verdana" w:eastAsia="Verdana" w:hAnsi="Verdana" w:cs="Verdana"/>
                <w:sz w:val="18"/>
              </w:rPr>
              <w:t>760</w:t>
            </w:r>
          </w:p>
        </w:tc>
      </w:tr>
      <w:tr w:rsidR="00576F87">
        <w:trPr>
          <w:trHeight w:val="336"/>
        </w:trPr>
        <w:tc>
          <w:tcPr>
            <w:tcW w:w="5411" w:type="dxa"/>
            <w:tcBorders>
              <w:top w:val="single" w:sz="8" w:space="0" w:color="248E89"/>
              <w:left w:val="single" w:sz="12" w:space="0" w:color="248E89"/>
              <w:bottom w:val="single" w:sz="8" w:space="0" w:color="248E89"/>
              <w:right w:val="single" w:sz="8" w:space="0" w:color="248E89"/>
            </w:tcBorders>
          </w:tcPr>
          <w:p w:rsidR="00576F87" w:rsidRDefault="004165F5">
            <w:pPr>
              <w:spacing w:after="0"/>
            </w:pPr>
            <w:r>
              <w:rPr>
                <w:rFonts w:ascii="Verdana" w:eastAsia="Verdana" w:hAnsi="Verdana" w:cs="Verdana"/>
                <w:sz w:val="18"/>
              </w:rPr>
              <w:t>Interest Payable and Receivable</w:t>
            </w:r>
          </w:p>
        </w:tc>
        <w:tc>
          <w:tcPr>
            <w:tcW w:w="1224" w:type="dxa"/>
            <w:tcBorders>
              <w:top w:val="single" w:sz="8" w:space="0" w:color="248E89"/>
              <w:left w:val="single" w:sz="8" w:space="0" w:color="248E89"/>
              <w:bottom w:val="single" w:sz="8" w:space="0" w:color="248E89"/>
              <w:right w:val="single" w:sz="8" w:space="0" w:color="248E89"/>
            </w:tcBorders>
          </w:tcPr>
          <w:p w:rsidR="00576F87" w:rsidRDefault="004165F5">
            <w:pPr>
              <w:spacing w:after="0"/>
              <w:ind w:right="1"/>
              <w:jc w:val="right"/>
            </w:pPr>
            <w:r>
              <w:rPr>
                <w:rFonts w:ascii="Verdana" w:eastAsia="Verdana" w:hAnsi="Verdana" w:cs="Verdana"/>
                <w:sz w:val="18"/>
              </w:rPr>
              <w:t>65</w:t>
            </w:r>
          </w:p>
        </w:tc>
        <w:tc>
          <w:tcPr>
            <w:tcW w:w="1159" w:type="dxa"/>
            <w:tcBorders>
              <w:top w:val="single" w:sz="8" w:space="0" w:color="248E89"/>
              <w:left w:val="single" w:sz="8" w:space="0" w:color="248E89"/>
              <w:bottom w:val="single" w:sz="8" w:space="0" w:color="248E89"/>
              <w:right w:val="single" w:sz="8" w:space="0" w:color="248E89"/>
            </w:tcBorders>
          </w:tcPr>
          <w:p w:rsidR="00576F87" w:rsidRDefault="004165F5">
            <w:pPr>
              <w:spacing w:after="0"/>
              <w:jc w:val="right"/>
            </w:pPr>
            <w:r>
              <w:rPr>
                <w:rFonts w:ascii="Verdana" w:eastAsia="Verdana" w:hAnsi="Verdana" w:cs="Verdana"/>
                <w:sz w:val="18"/>
              </w:rPr>
              <w:t>(2)</w:t>
            </w:r>
          </w:p>
        </w:tc>
        <w:tc>
          <w:tcPr>
            <w:tcW w:w="1385" w:type="dxa"/>
            <w:tcBorders>
              <w:top w:val="single" w:sz="8" w:space="0" w:color="248E89"/>
              <w:left w:val="single" w:sz="8" w:space="0" w:color="248E89"/>
              <w:bottom w:val="single" w:sz="8" w:space="0" w:color="248E89"/>
              <w:right w:val="single" w:sz="15" w:space="0" w:color="248E89"/>
            </w:tcBorders>
          </w:tcPr>
          <w:p w:rsidR="00576F87" w:rsidRDefault="004165F5">
            <w:pPr>
              <w:spacing w:after="0"/>
              <w:ind w:right="1"/>
              <w:jc w:val="right"/>
            </w:pPr>
            <w:r>
              <w:rPr>
                <w:rFonts w:ascii="Verdana" w:eastAsia="Verdana" w:hAnsi="Verdana" w:cs="Verdana"/>
                <w:sz w:val="18"/>
              </w:rPr>
              <w:t>67</w:t>
            </w:r>
          </w:p>
        </w:tc>
      </w:tr>
      <w:tr w:rsidR="00576F87">
        <w:trPr>
          <w:trHeight w:val="336"/>
        </w:trPr>
        <w:tc>
          <w:tcPr>
            <w:tcW w:w="5411" w:type="dxa"/>
            <w:tcBorders>
              <w:top w:val="single" w:sz="8" w:space="0" w:color="248E89"/>
              <w:left w:val="single" w:sz="12" w:space="0" w:color="248E89"/>
              <w:bottom w:val="single" w:sz="8" w:space="0" w:color="248E89"/>
              <w:right w:val="single" w:sz="8" w:space="0" w:color="248E89"/>
            </w:tcBorders>
          </w:tcPr>
          <w:p w:rsidR="00576F87" w:rsidRDefault="004165F5">
            <w:pPr>
              <w:spacing w:after="0"/>
            </w:pPr>
            <w:r>
              <w:rPr>
                <w:rFonts w:ascii="Verdana" w:eastAsia="Verdana" w:hAnsi="Verdana" w:cs="Verdana"/>
                <w:sz w:val="18"/>
              </w:rPr>
              <w:t>Levy</w:t>
            </w:r>
          </w:p>
        </w:tc>
        <w:tc>
          <w:tcPr>
            <w:tcW w:w="1224" w:type="dxa"/>
            <w:tcBorders>
              <w:top w:val="single" w:sz="8" w:space="0" w:color="248E89"/>
              <w:left w:val="single" w:sz="8" w:space="0" w:color="248E89"/>
              <w:bottom w:val="single" w:sz="8" w:space="0" w:color="248E89"/>
              <w:right w:val="single" w:sz="8" w:space="0" w:color="248E89"/>
            </w:tcBorders>
          </w:tcPr>
          <w:p w:rsidR="00576F87" w:rsidRDefault="004165F5">
            <w:pPr>
              <w:spacing w:after="0"/>
              <w:ind w:right="1"/>
              <w:jc w:val="right"/>
            </w:pPr>
            <w:r>
              <w:rPr>
                <w:rFonts w:ascii="Verdana" w:eastAsia="Verdana" w:hAnsi="Verdana" w:cs="Verdana"/>
                <w:sz w:val="18"/>
              </w:rPr>
              <w:t>10,318</w:t>
            </w:r>
          </w:p>
        </w:tc>
        <w:tc>
          <w:tcPr>
            <w:tcW w:w="1159" w:type="dxa"/>
            <w:tcBorders>
              <w:top w:val="single" w:sz="8" w:space="0" w:color="248E89"/>
              <w:left w:val="single" w:sz="8" w:space="0" w:color="248E89"/>
              <w:bottom w:val="single" w:sz="8" w:space="0" w:color="248E89"/>
              <w:right w:val="single" w:sz="8" w:space="0" w:color="248E89"/>
            </w:tcBorders>
          </w:tcPr>
          <w:p w:rsidR="00576F87" w:rsidRDefault="004165F5">
            <w:pPr>
              <w:spacing w:after="0"/>
              <w:ind w:right="1"/>
              <w:jc w:val="right"/>
            </w:pPr>
            <w:r>
              <w:rPr>
                <w:rFonts w:ascii="Verdana" w:eastAsia="Verdana" w:hAnsi="Verdana" w:cs="Verdana"/>
                <w:sz w:val="18"/>
              </w:rPr>
              <w:t>10,318</w:t>
            </w:r>
          </w:p>
        </w:tc>
        <w:tc>
          <w:tcPr>
            <w:tcW w:w="1385" w:type="dxa"/>
            <w:tcBorders>
              <w:top w:val="single" w:sz="8" w:space="0" w:color="248E89"/>
              <w:left w:val="single" w:sz="8" w:space="0" w:color="248E89"/>
              <w:bottom w:val="single" w:sz="8" w:space="0" w:color="248E89"/>
              <w:right w:val="single" w:sz="15" w:space="0" w:color="248E89"/>
            </w:tcBorders>
          </w:tcPr>
          <w:p w:rsidR="00576F87" w:rsidRDefault="004165F5">
            <w:pPr>
              <w:spacing w:after="0"/>
              <w:ind w:right="5"/>
              <w:jc w:val="right"/>
            </w:pPr>
            <w:r>
              <w:rPr>
                <w:rFonts w:ascii="Verdana" w:eastAsia="Verdana" w:hAnsi="Verdana" w:cs="Verdana"/>
                <w:sz w:val="18"/>
              </w:rPr>
              <w:t>-</w:t>
            </w:r>
          </w:p>
        </w:tc>
      </w:tr>
      <w:tr w:rsidR="00576F87">
        <w:trPr>
          <w:trHeight w:val="391"/>
        </w:trPr>
        <w:tc>
          <w:tcPr>
            <w:tcW w:w="5411" w:type="dxa"/>
            <w:tcBorders>
              <w:top w:val="single" w:sz="8" w:space="0" w:color="248E89"/>
              <w:left w:val="single" w:sz="12" w:space="0" w:color="248E89"/>
              <w:bottom w:val="single" w:sz="15" w:space="0" w:color="248E89"/>
              <w:right w:val="single" w:sz="8" w:space="0" w:color="248E89"/>
            </w:tcBorders>
            <w:shd w:val="clear" w:color="auto" w:fill="009784"/>
          </w:tcPr>
          <w:p w:rsidR="00576F87" w:rsidRDefault="004165F5">
            <w:pPr>
              <w:spacing w:after="0"/>
              <w:ind w:left="5"/>
            </w:pPr>
            <w:r>
              <w:rPr>
                <w:rFonts w:ascii="Verdana" w:eastAsia="Verdana" w:hAnsi="Verdana" w:cs="Verdana"/>
                <w:b/>
                <w:color w:val="FFFFFF"/>
                <w:sz w:val="18"/>
              </w:rPr>
              <w:t>Net inflow/(outflow) to Balances</w:t>
            </w:r>
          </w:p>
        </w:tc>
        <w:tc>
          <w:tcPr>
            <w:tcW w:w="1224" w:type="dxa"/>
            <w:tcBorders>
              <w:top w:val="single" w:sz="8" w:space="0" w:color="248E89"/>
              <w:left w:val="single" w:sz="8" w:space="0" w:color="248E89"/>
              <w:bottom w:val="single" w:sz="15" w:space="0" w:color="248E89"/>
              <w:right w:val="single" w:sz="8" w:space="0" w:color="248E89"/>
            </w:tcBorders>
            <w:shd w:val="clear" w:color="auto" w:fill="009784"/>
          </w:tcPr>
          <w:p w:rsidR="00576F87" w:rsidRDefault="004165F5">
            <w:pPr>
              <w:spacing w:after="0"/>
              <w:ind w:right="6"/>
              <w:jc w:val="right"/>
            </w:pPr>
            <w:r>
              <w:rPr>
                <w:rFonts w:ascii="Verdana" w:eastAsia="Verdana" w:hAnsi="Verdana" w:cs="Verdana"/>
                <w:b/>
                <w:color w:val="FFFFFF"/>
                <w:sz w:val="18"/>
              </w:rPr>
              <w:t>(126)</w:t>
            </w:r>
          </w:p>
        </w:tc>
        <w:tc>
          <w:tcPr>
            <w:tcW w:w="1159" w:type="dxa"/>
            <w:tcBorders>
              <w:top w:val="single" w:sz="8" w:space="0" w:color="248E89"/>
              <w:left w:val="single" w:sz="8" w:space="0" w:color="248E89"/>
              <w:bottom w:val="single" w:sz="15" w:space="0" w:color="248E89"/>
              <w:right w:val="single" w:sz="8" w:space="0" w:color="248E89"/>
            </w:tcBorders>
            <w:shd w:val="clear" w:color="auto" w:fill="009784"/>
          </w:tcPr>
          <w:p w:rsidR="00576F87" w:rsidRDefault="004165F5">
            <w:pPr>
              <w:spacing w:after="0"/>
              <w:ind w:right="5"/>
              <w:jc w:val="right"/>
            </w:pPr>
            <w:r>
              <w:rPr>
                <w:rFonts w:ascii="Verdana" w:eastAsia="Verdana" w:hAnsi="Verdana" w:cs="Verdana"/>
                <w:b/>
                <w:color w:val="FFFFFF"/>
                <w:sz w:val="18"/>
              </w:rPr>
              <w:t>1,298</w:t>
            </w:r>
          </w:p>
        </w:tc>
        <w:tc>
          <w:tcPr>
            <w:tcW w:w="1385" w:type="dxa"/>
            <w:tcBorders>
              <w:top w:val="single" w:sz="8" w:space="0" w:color="248E89"/>
              <w:left w:val="single" w:sz="8" w:space="0" w:color="248E89"/>
              <w:bottom w:val="single" w:sz="15" w:space="0" w:color="248E89"/>
              <w:right w:val="single" w:sz="15" w:space="0" w:color="248E89"/>
            </w:tcBorders>
            <w:shd w:val="clear" w:color="auto" w:fill="009784"/>
          </w:tcPr>
          <w:p w:rsidR="00576F87" w:rsidRDefault="004165F5">
            <w:pPr>
              <w:spacing w:after="0"/>
              <w:ind w:right="6"/>
              <w:jc w:val="right"/>
            </w:pPr>
            <w:r>
              <w:rPr>
                <w:rFonts w:ascii="Verdana" w:eastAsia="Verdana" w:hAnsi="Verdana" w:cs="Verdana"/>
                <w:b/>
                <w:color w:val="FFFFFF"/>
                <w:sz w:val="18"/>
              </w:rPr>
              <w:t>(1,424)</w:t>
            </w:r>
          </w:p>
        </w:tc>
      </w:tr>
    </w:tbl>
    <w:p w:rsidR="00576F87" w:rsidRDefault="004165F5">
      <w:pPr>
        <w:pStyle w:val="Heading2"/>
        <w:spacing w:after="165"/>
        <w:ind w:left="5"/>
      </w:pPr>
      <w:r>
        <w:rPr>
          <w:b/>
          <w:color w:val="99CA3C"/>
          <w:sz w:val="20"/>
        </w:rPr>
        <w:t>Inner London</w:t>
      </w:r>
    </w:p>
    <w:p w:rsidR="00576F87" w:rsidRDefault="004165F5">
      <w:pPr>
        <w:spacing w:after="72" w:line="264" w:lineRule="auto"/>
        <w:ind w:left="2" w:right="653" w:hanging="10"/>
        <w:jc w:val="both"/>
      </w:pPr>
      <w:r>
        <w:rPr>
          <w:rFonts w:ascii="Verdana" w:eastAsia="Verdana" w:hAnsi="Verdana" w:cs="Verdana"/>
          <w:sz w:val="20"/>
        </w:rPr>
        <w:t>The budgeted levy requirement in 2017/18 was £13,065k. As with the Greater London budget pension costs were higher than expected. The asbestosis provision spending was also significantly over budget. However, again as on the Greater London levy, the asbest</w:t>
      </w:r>
      <w:r>
        <w:rPr>
          <w:rFonts w:ascii="Verdana" w:eastAsia="Verdana" w:hAnsi="Verdana" w:cs="Verdana"/>
          <w:sz w:val="20"/>
        </w:rPr>
        <w:t>osis claims remain a significant variable factor and this led to an increase in the asbestosis provision.</w:t>
      </w:r>
    </w:p>
    <w:tbl>
      <w:tblPr>
        <w:tblStyle w:val="TableGrid"/>
        <w:tblW w:w="9179" w:type="dxa"/>
        <w:tblInd w:w="-35" w:type="dxa"/>
        <w:tblCellMar>
          <w:top w:w="78" w:type="dxa"/>
          <w:left w:w="35" w:type="dxa"/>
          <w:bottom w:w="35" w:type="dxa"/>
          <w:right w:w="33" w:type="dxa"/>
        </w:tblCellMar>
        <w:tblLook w:val="04A0" w:firstRow="1" w:lastRow="0" w:firstColumn="1" w:lastColumn="0" w:noHBand="0" w:noVBand="1"/>
      </w:tblPr>
      <w:tblGrid>
        <w:gridCol w:w="5411"/>
        <w:gridCol w:w="1224"/>
        <w:gridCol w:w="1159"/>
        <w:gridCol w:w="1385"/>
      </w:tblGrid>
      <w:tr w:rsidR="00576F87">
        <w:trPr>
          <w:trHeight w:val="420"/>
        </w:trPr>
        <w:tc>
          <w:tcPr>
            <w:tcW w:w="5411" w:type="dxa"/>
            <w:tcBorders>
              <w:top w:val="single" w:sz="15" w:space="0" w:color="209287"/>
              <w:left w:val="single" w:sz="12" w:space="0" w:color="209287"/>
              <w:bottom w:val="single" w:sz="8" w:space="0" w:color="209287"/>
              <w:right w:val="single" w:sz="8" w:space="0" w:color="209287"/>
            </w:tcBorders>
            <w:shd w:val="clear" w:color="auto" w:fill="009784"/>
            <w:vAlign w:val="center"/>
          </w:tcPr>
          <w:p w:rsidR="00576F87" w:rsidRDefault="004165F5">
            <w:pPr>
              <w:spacing w:after="0"/>
              <w:ind w:left="5"/>
            </w:pPr>
            <w:r>
              <w:rPr>
                <w:rFonts w:ascii="Verdana" w:eastAsia="Verdana" w:hAnsi="Verdana" w:cs="Verdana"/>
                <w:b/>
                <w:color w:val="FFFFFF"/>
                <w:sz w:val="18"/>
              </w:rPr>
              <w:t>Inner London Levy</w:t>
            </w:r>
          </w:p>
        </w:tc>
        <w:tc>
          <w:tcPr>
            <w:tcW w:w="1224" w:type="dxa"/>
            <w:tcBorders>
              <w:top w:val="single" w:sz="15" w:space="0" w:color="209287"/>
              <w:left w:val="single" w:sz="8" w:space="0" w:color="209287"/>
              <w:bottom w:val="single" w:sz="8" w:space="0" w:color="209287"/>
              <w:right w:val="single" w:sz="8" w:space="0" w:color="209287"/>
            </w:tcBorders>
            <w:shd w:val="clear" w:color="auto" w:fill="009784"/>
            <w:vAlign w:val="center"/>
          </w:tcPr>
          <w:p w:rsidR="00576F87" w:rsidRDefault="004165F5">
            <w:pPr>
              <w:spacing w:after="0"/>
              <w:ind w:right="6"/>
              <w:jc w:val="right"/>
            </w:pPr>
            <w:r>
              <w:rPr>
                <w:rFonts w:ascii="Verdana" w:eastAsia="Verdana" w:hAnsi="Verdana" w:cs="Verdana"/>
                <w:b/>
                <w:color w:val="FFFFFF"/>
                <w:sz w:val="18"/>
              </w:rPr>
              <w:t>Actual</w:t>
            </w:r>
          </w:p>
        </w:tc>
        <w:tc>
          <w:tcPr>
            <w:tcW w:w="1159" w:type="dxa"/>
            <w:tcBorders>
              <w:top w:val="single" w:sz="15" w:space="0" w:color="209287"/>
              <w:left w:val="single" w:sz="8" w:space="0" w:color="209287"/>
              <w:bottom w:val="single" w:sz="8" w:space="0" w:color="209287"/>
              <w:right w:val="single" w:sz="8" w:space="0" w:color="209287"/>
            </w:tcBorders>
            <w:shd w:val="clear" w:color="auto" w:fill="009784"/>
            <w:vAlign w:val="center"/>
          </w:tcPr>
          <w:p w:rsidR="00576F87" w:rsidRDefault="004165F5">
            <w:pPr>
              <w:spacing w:after="0"/>
              <w:ind w:right="5"/>
              <w:jc w:val="right"/>
            </w:pPr>
            <w:r>
              <w:rPr>
                <w:rFonts w:ascii="Verdana" w:eastAsia="Verdana" w:hAnsi="Verdana" w:cs="Verdana"/>
                <w:b/>
                <w:color w:val="FFFFFF"/>
                <w:sz w:val="18"/>
              </w:rPr>
              <w:t>Budget</w:t>
            </w:r>
          </w:p>
        </w:tc>
        <w:tc>
          <w:tcPr>
            <w:tcW w:w="1385" w:type="dxa"/>
            <w:tcBorders>
              <w:top w:val="single" w:sz="15" w:space="0" w:color="209287"/>
              <w:left w:val="single" w:sz="8" w:space="0" w:color="209287"/>
              <w:bottom w:val="single" w:sz="8" w:space="0" w:color="209287"/>
              <w:right w:val="single" w:sz="15" w:space="0" w:color="209287"/>
            </w:tcBorders>
            <w:shd w:val="clear" w:color="auto" w:fill="009784"/>
            <w:vAlign w:val="center"/>
          </w:tcPr>
          <w:p w:rsidR="00576F87" w:rsidRDefault="004165F5">
            <w:pPr>
              <w:spacing w:after="0"/>
              <w:ind w:right="6"/>
              <w:jc w:val="right"/>
            </w:pPr>
            <w:r>
              <w:rPr>
                <w:rFonts w:ascii="Verdana" w:eastAsia="Verdana" w:hAnsi="Verdana" w:cs="Verdana"/>
                <w:b/>
                <w:color w:val="FFFFFF"/>
                <w:sz w:val="18"/>
              </w:rPr>
              <w:t>Variance</w:t>
            </w:r>
          </w:p>
        </w:tc>
      </w:tr>
      <w:tr w:rsidR="00576F87">
        <w:trPr>
          <w:trHeight w:val="290"/>
        </w:trPr>
        <w:tc>
          <w:tcPr>
            <w:tcW w:w="5411" w:type="dxa"/>
            <w:tcBorders>
              <w:top w:val="single" w:sz="8" w:space="0" w:color="209287"/>
              <w:left w:val="single" w:sz="12" w:space="0" w:color="209287"/>
              <w:bottom w:val="single" w:sz="8" w:space="0" w:color="209287"/>
              <w:right w:val="single" w:sz="8" w:space="0" w:color="209287"/>
            </w:tcBorders>
            <w:shd w:val="clear" w:color="auto" w:fill="009784"/>
          </w:tcPr>
          <w:p w:rsidR="00576F87" w:rsidRDefault="00576F87"/>
        </w:tc>
        <w:tc>
          <w:tcPr>
            <w:tcW w:w="1224" w:type="dxa"/>
            <w:tcBorders>
              <w:top w:val="single" w:sz="8" w:space="0" w:color="209287"/>
              <w:left w:val="single" w:sz="8" w:space="0" w:color="209287"/>
              <w:bottom w:val="single" w:sz="8" w:space="0" w:color="209287"/>
              <w:right w:val="single" w:sz="8" w:space="0" w:color="209287"/>
            </w:tcBorders>
            <w:shd w:val="clear" w:color="auto" w:fill="009784"/>
          </w:tcPr>
          <w:p w:rsidR="00576F87" w:rsidRDefault="004165F5">
            <w:pPr>
              <w:spacing w:after="0"/>
              <w:ind w:right="5"/>
              <w:jc w:val="right"/>
            </w:pPr>
            <w:r>
              <w:rPr>
                <w:rFonts w:ascii="Verdana" w:eastAsia="Verdana" w:hAnsi="Verdana" w:cs="Verdana"/>
                <w:b/>
                <w:color w:val="FFFFFF"/>
                <w:sz w:val="18"/>
              </w:rPr>
              <w:t>£000</w:t>
            </w:r>
          </w:p>
        </w:tc>
        <w:tc>
          <w:tcPr>
            <w:tcW w:w="1159" w:type="dxa"/>
            <w:tcBorders>
              <w:top w:val="single" w:sz="8" w:space="0" w:color="209287"/>
              <w:left w:val="single" w:sz="8" w:space="0" w:color="209287"/>
              <w:bottom w:val="single" w:sz="8" w:space="0" w:color="209287"/>
              <w:right w:val="single" w:sz="8" w:space="0" w:color="209287"/>
            </w:tcBorders>
            <w:shd w:val="clear" w:color="auto" w:fill="009784"/>
          </w:tcPr>
          <w:p w:rsidR="00576F87" w:rsidRDefault="004165F5">
            <w:pPr>
              <w:spacing w:after="0"/>
              <w:ind w:right="5"/>
              <w:jc w:val="right"/>
            </w:pPr>
            <w:r>
              <w:rPr>
                <w:rFonts w:ascii="Verdana" w:eastAsia="Verdana" w:hAnsi="Verdana" w:cs="Verdana"/>
                <w:b/>
                <w:color w:val="FFFFFF"/>
                <w:sz w:val="18"/>
              </w:rPr>
              <w:t>£000</w:t>
            </w:r>
          </w:p>
        </w:tc>
        <w:tc>
          <w:tcPr>
            <w:tcW w:w="1385" w:type="dxa"/>
            <w:tcBorders>
              <w:top w:val="single" w:sz="8" w:space="0" w:color="209287"/>
              <w:left w:val="single" w:sz="8" w:space="0" w:color="209287"/>
              <w:bottom w:val="single" w:sz="8" w:space="0" w:color="209287"/>
              <w:right w:val="single" w:sz="15" w:space="0" w:color="209287"/>
            </w:tcBorders>
            <w:shd w:val="clear" w:color="auto" w:fill="009784"/>
          </w:tcPr>
          <w:p w:rsidR="00576F87" w:rsidRDefault="004165F5">
            <w:pPr>
              <w:spacing w:after="0"/>
              <w:ind w:right="5"/>
              <w:jc w:val="right"/>
            </w:pPr>
            <w:r>
              <w:rPr>
                <w:rFonts w:ascii="Verdana" w:eastAsia="Verdana" w:hAnsi="Verdana" w:cs="Verdana"/>
                <w:b/>
                <w:color w:val="FFFFFF"/>
                <w:sz w:val="18"/>
              </w:rPr>
              <w:t>£000</w:t>
            </w:r>
          </w:p>
        </w:tc>
      </w:tr>
      <w:tr w:rsidR="00576F87">
        <w:trPr>
          <w:trHeight w:val="377"/>
        </w:trPr>
        <w:tc>
          <w:tcPr>
            <w:tcW w:w="5411" w:type="dxa"/>
            <w:tcBorders>
              <w:top w:val="single" w:sz="8" w:space="0" w:color="209287"/>
              <w:left w:val="single" w:sz="12" w:space="0" w:color="209287"/>
              <w:bottom w:val="single" w:sz="8" w:space="0" w:color="209287"/>
              <w:right w:val="single" w:sz="8" w:space="0" w:color="209287"/>
            </w:tcBorders>
          </w:tcPr>
          <w:p w:rsidR="00576F87" w:rsidRDefault="004165F5">
            <w:pPr>
              <w:spacing w:after="0"/>
            </w:pPr>
            <w:r>
              <w:rPr>
                <w:rFonts w:ascii="Verdana" w:eastAsia="Verdana" w:hAnsi="Verdana" w:cs="Verdana"/>
                <w:sz w:val="18"/>
              </w:rPr>
              <w:t>Pension Retirement Costs</w:t>
            </w:r>
          </w:p>
        </w:tc>
        <w:tc>
          <w:tcPr>
            <w:tcW w:w="1224" w:type="dxa"/>
            <w:tcBorders>
              <w:top w:val="single" w:sz="8" w:space="0" w:color="209287"/>
              <w:left w:val="single" w:sz="8" w:space="0" w:color="209287"/>
              <w:bottom w:val="single" w:sz="8" w:space="0" w:color="209287"/>
              <w:right w:val="single" w:sz="8" w:space="0" w:color="209287"/>
            </w:tcBorders>
          </w:tcPr>
          <w:p w:rsidR="00576F87" w:rsidRDefault="004165F5">
            <w:pPr>
              <w:spacing w:after="0"/>
              <w:jc w:val="right"/>
            </w:pPr>
            <w:r>
              <w:rPr>
                <w:rFonts w:ascii="Verdana" w:eastAsia="Verdana" w:hAnsi="Verdana" w:cs="Verdana"/>
                <w:sz w:val="18"/>
              </w:rPr>
              <w:t>(11,833)</w:t>
            </w:r>
          </w:p>
        </w:tc>
        <w:tc>
          <w:tcPr>
            <w:tcW w:w="1159" w:type="dxa"/>
            <w:tcBorders>
              <w:top w:val="single" w:sz="8" w:space="0" w:color="209287"/>
              <w:left w:val="single" w:sz="8" w:space="0" w:color="209287"/>
              <w:bottom w:val="single" w:sz="8" w:space="0" w:color="209287"/>
              <w:right w:val="single" w:sz="8" w:space="0" w:color="209287"/>
            </w:tcBorders>
          </w:tcPr>
          <w:p w:rsidR="00576F87" w:rsidRDefault="004165F5">
            <w:pPr>
              <w:spacing w:after="0"/>
              <w:jc w:val="right"/>
            </w:pPr>
            <w:r>
              <w:rPr>
                <w:rFonts w:ascii="Verdana" w:eastAsia="Verdana" w:hAnsi="Verdana" w:cs="Verdana"/>
                <w:sz w:val="18"/>
              </w:rPr>
              <w:t>(11,099)</w:t>
            </w:r>
          </w:p>
        </w:tc>
        <w:tc>
          <w:tcPr>
            <w:tcW w:w="1385" w:type="dxa"/>
            <w:tcBorders>
              <w:top w:val="single" w:sz="8" w:space="0" w:color="209287"/>
              <w:left w:val="single" w:sz="8" w:space="0" w:color="209287"/>
              <w:bottom w:val="single" w:sz="8" w:space="0" w:color="209287"/>
              <w:right w:val="single" w:sz="15" w:space="0" w:color="209287"/>
            </w:tcBorders>
          </w:tcPr>
          <w:p w:rsidR="00576F87" w:rsidRDefault="004165F5">
            <w:pPr>
              <w:spacing w:after="0"/>
              <w:jc w:val="right"/>
            </w:pPr>
            <w:r>
              <w:rPr>
                <w:rFonts w:ascii="Verdana" w:eastAsia="Verdana" w:hAnsi="Verdana" w:cs="Verdana"/>
                <w:sz w:val="18"/>
              </w:rPr>
              <w:t>(734)</w:t>
            </w:r>
          </w:p>
        </w:tc>
      </w:tr>
      <w:tr w:rsidR="00576F87">
        <w:trPr>
          <w:trHeight w:val="377"/>
        </w:trPr>
        <w:tc>
          <w:tcPr>
            <w:tcW w:w="5411" w:type="dxa"/>
            <w:tcBorders>
              <w:top w:val="single" w:sz="8" w:space="0" w:color="209287"/>
              <w:left w:val="single" w:sz="12" w:space="0" w:color="209287"/>
              <w:bottom w:val="single" w:sz="8" w:space="0" w:color="209287"/>
              <w:right w:val="single" w:sz="8" w:space="0" w:color="209287"/>
            </w:tcBorders>
          </w:tcPr>
          <w:p w:rsidR="00576F87" w:rsidRDefault="004165F5">
            <w:pPr>
              <w:spacing w:after="0"/>
            </w:pPr>
            <w:r>
              <w:rPr>
                <w:rFonts w:ascii="Verdana" w:eastAsia="Verdana" w:hAnsi="Verdana" w:cs="Verdana"/>
                <w:sz w:val="18"/>
              </w:rPr>
              <w:t>Management Expenses</w:t>
            </w:r>
          </w:p>
        </w:tc>
        <w:tc>
          <w:tcPr>
            <w:tcW w:w="1224" w:type="dxa"/>
            <w:tcBorders>
              <w:top w:val="single" w:sz="8" w:space="0" w:color="209287"/>
              <w:left w:val="single" w:sz="8" w:space="0" w:color="209287"/>
              <w:bottom w:val="single" w:sz="8" w:space="0" w:color="209287"/>
              <w:right w:val="single" w:sz="8" w:space="0" w:color="209287"/>
            </w:tcBorders>
          </w:tcPr>
          <w:p w:rsidR="00576F87" w:rsidRDefault="004165F5">
            <w:pPr>
              <w:spacing w:after="0"/>
              <w:jc w:val="right"/>
            </w:pPr>
            <w:r>
              <w:rPr>
                <w:rFonts w:ascii="Verdana" w:eastAsia="Verdana" w:hAnsi="Verdana" w:cs="Verdana"/>
                <w:sz w:val="18"/>
              </w:rPr>
              <w:t>(434)</w:t>
            </w:r>
          </w:p>
        </w:tc>
        <w:tc>
          <w:tcPr>
            <w:tcW w:w="1159" w:type="dxa"/>
            <w:tcBorders>
              <w:top w:val="single" w:sz="8" w:space="0" w:color="209287"/>
              <w:left w:val="single" w:sz="8" w:space="0" w:color="209287"/>
              <w:bottom w:val="single" w:sz="8" w:space="0" w:color="209287"/>
              <w:right w:val="single" w:sz="8" w:space="0" w:color="209287"/>
            </w:tcBorders>
          </w:tcPr>
          <w:p w:rsidR="00576F87" w:rsidRDefault="004165F5">
            <w:pPr>
              <w:spacing w:after="0"/>
              <w:jc w:val="right"/>
            </w:pPr>
            <w:r>
              <w:rPr>
                <w:rFonts w:ascii="Verdana" w:eastAsia="Verdana" w:hAnsi="Verdana" w:cs="Verdana"/>
                <w:sz w:val="18"/>
              </w:rPr>
              <w:t>(352)</w:t>
            </w:r>
          </w:p>
        </w:tc>
        <w:tc>
          <w:tcPr>
            <w:tcW w:w="1385" w:type="dxa"/>
            <w:tcBorders>
              <w:top w:val="single" w:sz="8" w:space="0" w:color="209287"/>
              <w:left w:val="single" w:sz="8" w:space="0" w:color="209287"/>
              <w:bottom w:val="single" w:sz="8" w:space="0" w:color="209287"/>
              <w:right w:val="single" w:sz="15" w:space="0" w:color="209287"/>
            </w:tcBorders>
          </w:tcPr>
          <w:p w:rsidR="00576F87" w:rsidRDefault="004165F5">
            <w:pPr>
              <w:spacing w:after="0"/>
              <w:jc w:val="right"/>
            </w:pPr>
            <w:r>
              <w:rPr>
                <w:rFonts w:ascii="Verdana" w:eastAsia="Verdana" w:hAnsi="Verdana" w:cs="Verdana"/>
                <w:sz w:val="18"/>
              </w:rPr>
              <w:t>(82)</w:t>
            </w:r>
          </w:p>
        </w:tc>
      </w:tr>
      <w:tr w:rsidR="00576F87">
        <w:trPr>
          <w:trHeight w:val="377"/>
        </w:trPr>
        <w:tc>
          <w:tcPr>
            <w:tcW w:w="5411" w:type="dxa"/>
            <w:tcBorders>
              <w:top w:val="single" w:sz="8" w:space="0" w:color="209287"/>
              <w:left w:val="single" w:sz="12" w:space="0" w:color="209287"/>
              <w:bottom w:val="single" w:sz="8" w:space="0" w:color="209287"/>
              <w:right w:val="single" w:sz="8" w:space="0" w:color="209287"/>
            </w:tcBorders>
          </w:tcPr>
          <w:p w:rsidR="00576F87" w:rsidRDefault="004165F5">
            <w:pPr>
              <w:spacing w:after="0"/>
            </w:pPr>
            <w:r>
              <w:rPr>
                <w:rFonts w:ascii="Verdana" w:eastAsia="Verdana" w:hAnsi="Verdana" w:cs="Verdana"/>
                <w:sz w:val="18"/>
              </w:rPr>
              <w:t>Asbestosis Provision (known cases + direct costs)</w:t>
            </w:r>
          </w:p>
        </w:tc>
        <w:tc>
          <w:tcPr>
            <w:tcW w:w="1224" w:type="dxa"/>
            <w:tcBorders>
              <w:top w:val="single" w:sz="8" w:space="0" w:color="209287"/>
              <w:left w:val="single" w:sz="8" w:space="0" w:color="209287"/>
              <w:bottom w:val="single" w:sz="8" w:space="0" w:color="209287"/>
              <w:right w:val="single" w:sz="8" w:space="0" w:color="209287"/>
            </w:tcBorders>
            <w:vAlign w:val="bottom"/>
          </w:tcPr>
          <w:p w:rsidR="00576F87" w:rsidRDefault="004165F5">
            <w:pPr>
              <w:spacing w:after="0"/>
              <w:ind w:right="5"/>
              <w:jc w:val="right"/>
            </w:pPr>
            <w:r>
              <w:rPr>
                <w:rFonts w:ascii="Verdana" w:eastAsia="Verdana" w:hAnsi="Verdana" w:cs="Verdana"/>
                <w:sz w:val="18"/>
              </w:rPr>
              <w:t>(19)</w:t>
            </w:r>
          </w:p>
        </w:tc>
        <w:tc>
          <w:tcPr>
            <w:tcW w:w="1159" w:type="dxa"/>
            <w:tcBorders>
              <w:top w:val="single" w:sz="8" w:space="0" w:color="209287"/>
              <w:left w:val="single" w:sz="8" w:space="0" w:color="209287"/>
              <w:bottom w:val="single" w:sz="8" w:space="0" w:color="209287"/>
              <w:right w:val="single" w:sz="8" w:space="0" w:color="209287"/>
            </w:tcBorders>
          </w:tcPr>
          <w:p w:rsidR="00576F87" w:rsidRDefault="004165F5">
            <w:pPr>
              <w:spacing w:after="0"/>
              <w:jc w:val="right"/>
            </w:pPr>
            <w:r>
              <w:rPr>
                <w:rFonts w:ascii="Verdana" w:eastAsia="Verdana" w:hAnsi="Verdana" w:cs="Verdana"/>
                <w:sz w:val="18"/>
              </w:rPr>
              <w:t>(200)</w:t>
            </w:r>
          </w:p>
        </w:tc>
        <w:tc>
          <w:tcPr>
            <w:tcW w:w="1385" w:type="dxa"/>
            <w:tcBorders>
              <w:top w:val="single" w:sz="8" w:space="0" w:color="209287"/>
              <w:left w:val="single" w:sz="8" w:space="0" w:color="209287"/>
              <w:bottom w:val="single" w:sz="8" w:space="0" w:color="209287"/>
              <w:right w:val="single" w:sz="15" w:space="0" w:color="209287"/>
            </w:tcBorders>
          </w:tcPr>
          <w:p w:rsidR="00576F87" w:rsidRDefault="004165F5">
            <w:pPr>
              <w:spacing w:after="0"/>
              <w:ind w:right="1"/>
              <w:jc w:val="right"/>
            </w:pPr>
            <w:r>
              <w:rPr>
                <w:rFonts w:ascii="Verdana" w:eastAsia="Verdana" w:hAnsi="Verdana" w:cs="Verdana"/>
                <w:sz w:val="18"/>
              </w:rPr>
              <w:t>181</w:t>
            </w:r>
          </w:p>
        </w:tc>
      </w:tr>
      <w:tr w:rsidR="00576F87">
        <w:trPr>
          <w:trHeight w:val="377"/>
        </w:trPr>
        <w:tc>
          <w:tcPr>
            <w:tcW w:w="5411" w:type="dxa"/>
            <w:tcBorders>
              <w:top w:val="single" w:sz="8" w:space="0" w:color="209287"/>
              <w:left w:val="single" w:sz="12" w:space="0" w:color="209287"/>
              <w:bottom w:val="single" w:sz="8" w:space="0" w:color="209287"/>
              <w:right w:val="single" w:sz="8" w:space="0" w:color="209287"/>
            </w:tcBorders>
          </w:tcPr>
          <w:p w:rsidR="00576F87" w:rsidRDefault="004165F5">
            <w:pPr>
              <w:spacing w:after="0"/>
            </w:pPr>
            <w:r>
              <w:rPr>
                <w:rFonts w:ascii="Verdana" w:eastAsia="Verdana" w:hAnsi="Verdana" w:cs="Verdana"/>
                <w:sz w:val="18"/>
              </w:rPr>
              <w:t>Interest Payable and Receivable</w:t>
            </w:r>
          </w:p>
        </w:tc>
        <w:tc>
          <w:tcPr>
            <w:tcW w:w="1224" w:type="dxa"/>
            <w:tcBorders>
              <w:top w:val="single" w:sz="8" w:space="0" w:color="209287"/>
              <w:left w:val="single" w:sz="8" w:space="0" w:color="209287"/>
              <w:bottom w:val="single" w:sz="8" w:space="0" w:color="209287"/>
              <w:right w:val="single" w:sz="8" w:space="0" w:color="209287"/>
            </w:tcBorders>
            <w:vAlign w:val="bottom"/>
          </w:tcPr>
          <w:p w:rsidR="00576F87" w:rsidRDefault="004165F5">
            <w:pPr>
              <w:spacing w:after="0"/>
              <w:ind w:right="5"/>
              <w:jc w:val="right"/>
            </w:pPr>
            <w:r>
              <w:rPr>
                <w:rFonts w:ascii="Verdana" w:eastAsia="Verdana" w:hAnsi="Verdana" w:cs="Verdana"/>
                <w:sz w:val="18"/>
              </w:rPr>
              <w:t>-</w:t>
            </w:r>
          </w:p>
        </w:tc>
        <w:tc>
          <w:tcPr>
            <w:tcW w:w="1159" w:type="dxa"/>
            <w:tcBorders>
              <w:top w:val="single" w:sz="8" w:space="0" w:color="209287"/>
              <w:left w:val="single" w:sz="8" w:space="0" w:color="209287"/>
              <w:bottom w:val="single" w:sz="8" w:space="0" w:color="209287"/>
              <w:right w:val="single" w:sz="8" w:space="0" w:color="209287"/>
            </w:tcBorders>
          </w:tcPr>
          <w:p w:rsidR="00576F87" w:rsidRDefault="004165F5">
            <w:pPr>
              <w:spacing w:after="0"/>
              <w:ind w:right="1"/>
              <w:jc w:val="right"/>
            </w:pPr>
            <w:r>
              <w:rPr>
                <w:rFonts w:ascii="Verdana" w:eastAsia="Verdana" w:hAnsi="Verdana" w:cs="Verdana"/>
                <w:sz w:val="18"/>
              </w:rPr>
              <w:t>23</w:t>
            </w:r>
          </w:p>
        </w:tc>
        <w:tc>
          <w:tcPr>
            <w:tcW w:w="1385" w:type="dxa"/>
            <w:tcBorders>
              <w:top w:val="single" w:sz="8" w:space="0" w:color="209287"/>
              <w:left w:val="single" w:sz="8" w:space="0" w:color="209287"/>
              <w:bottom w:val="single" w:sz="8" w:space="0" w:color="209287"/>
              <w:right w:val="single" w:sz="15" w:space="0" w:color="209287"/>
            </w:tcBorders>
          </w:tcPr>
          <w:p w:rsidR="00576F87" w:rsidRDefault="004165F5">
            <w:pPr>
              <w:spacing w:after="0"/>
              <w:jc w:val="right"/>
            </w:pPr>
            <w:r>
              <w:rPr>
                <w:rFonts w:ascii="Verdana" w:eastAsia="Verdana" w:hAnsi="Verdana" w:cs="Verdana"/>
                <w:sz w:val="18"/>
              </w:rPr>
              <w:t>(23)</w:t>
            </w:r>
          </w:p>
        </w:tc>
      </w:tr>
      <w:tr w:rsidR="00576F87">
        <w:trPr>
          <w:trHeight w:val="290"/>
        </w:trPr>
        <w:tc>
          <w:tcPr>
            <w:tcW w:w="5411" w:type="dxa"/>
            <w:tcBorders>
              <w:top w:val="single" w:sz="8" w:space="0" w:color="209287"/>
              <w:left w:val="single" w:sz="12" w:space="0" w:color="209287"/>
              <w:bottom w:val="single" w:sz="8" w:space="0" w:color="209287"/>
              <w:right w:val="single" w:sz="8" w:space="0" w:color="209287"/>
            </w:tcBorders>
          </w:tcPr>
          <w:p w:rsidR="00576F87" w:rsidRDefault="004165F5">
            <w:pPr>
              <w:spacing w:after="0"/>
            </w:pPr>
            <w:r>
              <w:rPr>
                <w:rFonts w:ascii="Verdana" w:eastAsia="Verdana" w:hAnsi="Verdana" w:cs="Verdana"/>
                <w:sz w:val="18"/>
              </w:rPr>
              <w:t>Levy</w:t>
            </w:r>
          </w:p>
        </w:tc>
        <w:tc>
          <w:tcPr>
            <w:tcW w:w="1224" w:type="dxa"/>
            <w:tcBorders>
              <w:top w:val="single" w:sz="8" w:space="0" w:color="209287"/>
              <w:left w:val="single" w:sz="8" w:space="0" w:color="209287"/>
              <w:bottom w:val="single" w:sz="8" w:space="0" w:color="209287"/>
              <w:right w:val="single" w:sz="8" w:space="0" w:color="209287"/>
            </w:tcBorders>
          </w:tcPr>
          <w:p w:rsidR="00576F87" w:rsidRDefault="004165F5">
            <w:pPr>
              <w:spacing w:after="0"/>
              <w:ind w:right="1"/>
              <w:jc w:val="right"/>
            </w:pPr>
            <w:r>
              <w:rPr>
                <w:rFonts w:ascii="Verdana" w:eastAsia="Verdana" w:hAnsi="Verdana" w:cs="Verdana"/>
                <w:sz w:val="18"/>
              </w:rPr>
              <w:t>13,065</w:t>
            </w:r>
          </w:p>
        </w:tc>
        <w:tc>
          <w:tcPr>
            <w:tcW w:w="1159" w:type="dxa"/>
            <w:tcBorders>
              <w:top w:val="single" w:sz="8" w:space="0" w:color="209287"/>
              <w:left w:val="single" w:sz="8" w:space="0" w:color="209287"/>
              <w:bottom w:val="single" w:sz="8" w:space="0" w:color="209287"/>
              <w:right w:val="single" w:sz="8" w:space="0" w:color="209287"/>
            </w:tcBorders>
          </w:tcPr>
          <w:p w:rsidR="00576F87" w:rsidRDefault="004165F5">
            <w:pPr>
              <w:spacing w:after="0"/>
              <w:ind w:right="1"/>
              <w:jc w:val="right"/>
            </w:pPr>
            <w:r>
              <w:rPr>
                <w:rFonts w:ascii="Verdana" w:eastAsia="Verdana" w:hAnsi="Verdana" w:cs="Verdana"/>
                <w:sz w:val="18"/>
              </w:rPr>
              <w:t>13,065</w:t>
            </w:r>
          </w:p>
        </w:tc>
        <w:tc>
          <w:tcPr>
            <w:tcW w:w="1385" w:type="dxa"/>
            <w:tcBorders>
              <w:top w:val="single" w:sz="8" w:space="0" w:color="209287"/>
              <w:left w:val="single" w:sz="8" w:space="0" w:color="209287"/>
              <w:bottom w:val="single" w:sz="8" w:space="0" w:color="209287"/>
              <w:right w:val="single" w:sz="15" w:space="0" w:color="209287"/>
            </w:tcBorders>
          </w:tcPr>
          <w:p w:rsidR="00576F87" w:rsidRDefault="004165F5">
            <w:pPr>
              <w:spacing w:after="0"/>
              <w:jc w:val="right"/>
            </w:pPr>
            <w:r>
              <w:rPr>
                <w:rFonts w:ascii="Verdana" w:eastAsia="Verdana" w:hAnsi="Verdana" w:cs="Verdana"/>
                <w:sz w:val="18"/>
              </w:rPr>
              <w:t>-</w:t>
            </w:r>
          </w:p>
        </w:tc>
      </w:tr>
      <w:tr w:rsidR="00576F87">
        <w:trPr>
          <w:trHeight w:val="348"/>
        </w:trPr>
        <w:tc>
          <w:tcPr>
            <w:tcW w:w="5411" w:type="dxa"/>
            <w:tcBorders>
              <w:top w:val="single" w:sz="8" w:space="0" w:color="209287"/>
              <w:left w:val="single" w:sz="12" w:space="0" w:color="209287"/>
              <w:bottom w:val="single" w:sz="15" w:space="0" w:color="209287"/>
              <w:right w:val="single" w:sz="8" w:space="0" w:color="209287"/>
            </w:tcBorders>
            <w:shd w:val="clear" w:color="auto" w:fill="009784"/>
          </w:tcPr>
          <w:p w:rsidR="00576F87" w:rsidRDefault="004165F5">
            <w:pPr>
              <w:spacing w:after="0"/>
              <w:ind w:left="5"/>
            </w:pPr>
            <w:r>
              <w:rPr>
                <w:rFonts w:ascii="Verdana" w:eastAsia="Verdana" w:hAnsi="Verdana" w:cs="Verdana"/>
                <w:b/>
                <w:color w:val="FFFFFF"/>
                <w:sz w:val="18"/>
              </w:rPr>
              <w:t>Net inflow/(Outflow) to Balances</w:t>
            </w:r>
          </w:p>
        </w:tc>
        <w:tc>
          <w:tcPr>
            <w:tcW w:w="1224" w:type="dxa"/>
            <w:tcBorders>
              <w:top w:val="single" w:sz="8" w:space="0" w:color="209287"/>
              <w:left w:val="single" w:sz="8" w:space="0" w:color="209287"/>
              <w:bottom w:val="single" w:sz="15" w:space="0" w:color="209287"/>
              <w:right w:val="single" w:sz="8" w:space="0" w:color="209287"/>
            </w:tcBorders>
            <w:shd w:val="clear" w:color="auto" w:fill="009784"/>
          </w:tcPr>
          <w:p w:rsidR="00576F87" w:rsidRDefault="004165F5">
            <w:pPr>
              <w:spacing w:after="0"/>
              <w:ind w:right="5"/>
              <w:jc w:val="right"/>
            </w:pPr>
            <w:r>
              <w:rPr>
                <w:rFonts w:ascii="Verdana" w:eastAsia="Verdana" w:hAnsi="Verdana" w:cs="Verdana"/>
                <w:b/>
                <w:color w:val="FFFFFF"/>
                <w:sz w:val="18"/>
              </w:rPr>
              <w:t>779</w:t>
            </w:r>
          </w:p>
        </w:tc>
        <w:tc>
          <w:tcPr>
            <w:tcW w:w="1159" w:type="dxa"/>
            <w:tcBorders>
              <w:top w:val="single" w:sz="8" w:space="0" w:color="209287"/>
              <w:left w:val="single" w:sz="8" w:space="0" w:color="209287"/>
              <w:bottom w:val="single" w:sz="15" w:space="0" w:color="209287"/>
              <w:right w:val="single" w:sz="8" w:space="0" w:color="209287"/>
            </w:tcBorders>
            <w:shd w:val="clear" w:color="auto" w:fill="009784"/>
          </w:tcPr>
          <w:p w:rsidR="00576F87" w:rsidRDefault="004165F5">
            <w:pPr>
              <w:spacing w:after="0"/>
              <w:ind w:right="5"/>
              <w:jc w:val="right"/>
            </w:pPr>
            <w:r>
              <w:rPr>
                <w:rFonts w:ascii="Verdana" w:eastAsia="Verdana" w:hAnsi="Verdana" w:cs="Verdana"/>
                <w:b/>
                <w:color w:val="FFFFFF"/>
                <w:sz w:val="18"/>
              </w:rPr>
              <w:t>1,437</w:t>
            </w:r>
          </w:p>
        </w:tc>
        <w:tc>
          <w:tcPr>
            <w:tcW w:w="1385" w:type="dxa"/>
            <w:tcBorders>
              <w:top w:val="single" w:sz="8" w:space="0" w:color="209287"/>
              <w:left w:val="single" w:sz="8" w:space="0" w:color="209287"/>
              <w:bottom w:val="single" w:sz="15" w:space="0" w:color="209287"/>
              <w:right w:val="single" w:sz="15" w:space="0" w:color="209287"/>
            </w:tcBorders>
            <w:shd w:val="clear" w:color="auto" w:fill="009784"/>
          </w:tcPr>
          <w:p w:rsidR="00576F87" w:rsidRDefault="004165F5">
            <w:pPr>
              <w:spacing w:after="0"/>
              <w:ind w:right="6"/>
              <w:jc w:val="right"/>
            </w:pPr>
            <w:r>
              <w:rPr>
                <w:rFonts w:ascii="Verdana" w:eastAsia="Verdana" w:hAnsi="Verdana" w:cs="Verdana"/>
                <w:b/>
                <w:color w:val="FFFFFF"/>
                <w:sz w:val="18"/>
              </w:rPr>
              <w:t>(658)</w:t>
            </w:r>
          </w:p>
        </w:tc>
      </w:tr>
    </w:tbl>
    <w:p w:rsidR="00576F87" w:rsidRDefault="004165F5">
      <w:pPr>
        <w:pStyle w:val="Heading2"/>
        <w:spacing w:after="39"/>
        <w:ind w:left="9"/>
      </w:pPr>
      <w:r>
        <w:rPr>
          <w:b/>
          <w:color w:val="3F977F"/>
          <w:sz w:val="24"/>
        </w:rPr>
        <w:t>Retirement Benefits</w:t>
      </w:r>
    </w:p>
    <w:p w:rsidR="00576F87" w:rsidRDefault="004165F5">
      <w:pPr>
        <w:spacing w:after="3" w:line="264" w:lineRule="auto"/>
        <w:ind w:left="2" w:right="730" w:hanging="10"/>
        <w:jc w:val="both"/>
      </w:pPr>
      <w:r>
        <w:rPr>
          <w:rFonts w:ascii="Verdana" w:eastAsia="Verdana" w:hAnsi="Verdana" w:cs="Verdana"/>
          <w:sz w:val="20"/>
        </w:rPr>
        <w:t>The Fund financial statements disclose the liability to pay retirement benefits under IAS 26. The Fund's pension liabilities relate to the obligation to pay retirement benefits to its pensioners, active and deferred members. IAS19 liabilities are disclosed</w:t>
      </w:r>
      <w:r>
        <w:rPr>
          <w:rFonts w:ascii="Verdana" w:eastAsia="Verdana" w:hAnsi="Verdana" w:cs="Verdana"/>
          <w:sz w:val="20"/>
        </w:rPr>
        <w:t xml:space="preserve"> in both the</w:t>
      </w:r>
    </w:p>
    <w:p w:rsidR="00576F87" w:rsidRDefault="004165F5">
      <w:pPr>
        <w:spacing w:after="423" w:line="264" w:lineRule="auto"/>
        <w:ind w:left="2" w:right="12" w:hanging="10"/>
        <w:jc w:val="both"/>
      </w:pPr>
      <w:r>
        <w:rPr>
          <w:rFonts w:ascii="Verdana" w:eastAsia="Verdana" w:hAnsi="Verdana" w:cs="Verdana"/>
          <w:sz w:val="20"/>
        </w:rPr>
        <w:t>Operational and Residual Liabilities statements.</w:t>
      </w:r>
    </w:p>
    <w:p w:rsidR="00576F87" w:rsidRDefault="004165F5">
      <w:pPr>
        <w:pStyle w:val="Heading2"/>
        <w:spacing w:after="39"/>
        <w:ind w:left="9"/>
      </w:pPr>
      <w:r>
        <w:rPr>
          <w:b/>
          <w:color w:val="3F977F"/>
          <w:sz w:val="24"/>
        </w:rPr>
        <w:t>Date the Statement of Accounts were authorised for issue</w:t>
      </w:r>
    </w:p>
    <w:p w:rsidR="00576F87" w:rsidRDefault="004165F5">
      <w:pPr>
        <w:spacing w:after="474" w:line="264" w:lineRule="auto"/>
        <w:ind w:left="2" w:right="731" w:hanging="10"/>
        <w:jc w:val="both"/>
      </w:pPr>
      <w:r>
        <w:rPr>
          <w:rFonts w:ascii="Verdana" w:eastAsia="Verdana" w:hAnsi="Verdana" w:cs="Verdana"/>
          <w:sz w:val="20"/>
        </w:rPr>
        <w:t xml:space="preserve">The Statement of Accounts were authorised for issue by the Audit and Risk Committee on 17 July 2018. Post balance sheet events have been considered up to the date the accounts were signed off by the auditor. </w:t>
      </w:r>
    </w:p>
    <w:p w:rsidR="00576F87" w:rsidRDefault="004165F5">
      <w:pPr>
        <w:pStyle w:val="Heading2"/>
        <w:spacing w:after="39"/>
        <w:ind w:left="9"/>
      </w:pPr>
      <w:r>
        <w:rPr>
          <w:b/>
          <w:color w:val="3F977F"/>
          <w:sz w:val="24"/>
        </w:rPr>
        <w:t>Further Information</w:t>
      </w:r>
    </w:p>
    <w:p w:rsidR="00576F87" w:rsidRDefault="004165F5">
      <w:pPr>
        <w:spacing w:after="3" w:line="264" w:lineRule="auto"/>
        <w:ind w:left="2" w:right="731" w:hanging="10"/>
        <w:jc w:val="both"/>
      </w:pPr>
      <w:r>
        <w:rPr>
          <w:rFonts w:ascii="Verdana" w:eastAsia="Verdana" w:hAnsi="Verdana" w:cs="Verdana"/>
          <w:sz w:val="20"/>
        </w:rPr>
        <w:t>Further information about t</w:t>
      </w:r>
      <w:r>
        <w:rPr>
          <w:rFonts w:ascii="Verdana" w:eastAsia="Verdana" w:hAnsi="Verdana" w:cs="Verdana"/>
          <w:sz w:val="20"/>
        </w:rPr>
        <w:t>hese accounts is available from Local Pensions Partnership Ltd, 2nd Floor, 169 Union Street, London SE1 0LL. In addition further information on the LPFA performance in service and corporate areas can be seen alongside a summarised version of the accounts i</w:t>
      </w:r>
      <w:r>
        <w:rPr>
          <w:rFonts w:ascii="Verdana" w:eastAsia="Verdana" w:hAnsi="Verdana" w:cs="Verdana"/>
          <w:sz w:val="20"/>
        </w:rPr>
        <w:t>n the LPFA Annual Report, which can be requested at the address above.</w:t>
      </w:r>
      <w:r>
        <w:br w:type="page"/>
      </w:r>
    </w:p>
    <w:p w:rsidR="00576F87" w:rsidRDefault="004165F5">
      <w:pPr>
        <w:pStyle w:val="Heading2"/>
        <w:spacing w:after="236"/>
        <w:ind w:left="17"/>
      </w:pPr>
      <w:r>
        <w:rPr>
          <w:b/>
          <w:color w:val="009784"/>
        </w:rPr>
        <w:lastRenderedPageBreak/>
        <w:t xml:space="preserve">2 </w:t>
      </w:r>
      <w:r>
        <w:t>Statement of Responsibilities for the Statement of Accounts</w:t>
      </w:r>
    </w:p>
    <w:p w:rsidR="00576F87" w:rsidRDefault="004165F5">
      <w:pPr>
        <w:pStyle w:val="Heading3"/>
        <w:spacing w:after="264"/>
        <w:ind w:left="9"/>
      </w:pPr>
      <w:r>
        <w:rPr>
          <w:color w:val="3F977F"/>
          <w:sz w:val="24"/>
        </w:rPr>
        <w:t>LPFA’s responsibilities</w:t>
      </w:r>
    </w:p>
    <w:p w:rsidR="00576F87" w:rsidRDefault="004165F5">
      <w:pPr>
        <w:spacing w:after="118" w:line="264" w:lineRule="auto"/>
        <w:ind w:left="2" w:right="12" w:hanging="10"/>
        <w:jc w:val="both"/>
      </w:pPr>
      <w:r>
        <w:rPr>
          <w:rFonts w:ascii="Verdana" w:eastAsia="Verdana" w:hAnsi="Verdana" w:cs="Verdana"/>
          <w:sz w:val="20"/>
        </w:rPr>
        <w:t>LPFA is required to:</w:t>
      </w:r>
    </w:p>
    <w:p w:rsidR="00576F87" w:rsidRDefault="004165F5">
      <w:pPr>
        <w:framePr w:dropCap="drop" w:lines="3" w:wrap="around" w:vAnchor="text" w:hAnchor="text"/>
        <w:spacing w:after="0" w:line="784" w:lineRule="exact"/>
        <w:ind w:left="-8"/>
      </w:pPr>
      <w:r>
        <w:rPr>
          <w:position w:val="-3"/>
          <w:sz w:val="52"/>
        </w:rPr>
        <w:t>·  </w:t>
      </w:r>
    </w:p>
    <w:p w:rsidR="00576F87" w:rsidRDefault="004165F5">
      <w:pPr>
        <w:spacing w:line="264" w:lineRule="auto"/>
        <w:ind w:left="2" w:right="522" w:hanging="10"/>
        <w:jc w:val="both"/>
      </w:pPr>
      <w:r>
        <w:rPr>
          <w:rFonts w:ascii="Verdana" w:eastAsia="Verdana" w:hAnsi="Verdana" w:cs="Verdana"/>
          <w:sz w:val="20"/>
        </w:rPr>
        <w:t>Make arrangements for the proper administration of its financial affairs and to ensure that one of its officers has responsibility for the administration of those affairs (the “Section 151 officer”).</w:t>
      </w:r>
    </w:p>
    <w:p w:rsidR="00576F87" w:rsidRDefault="004165F5">
      <w:pPr>
        <w:framePr w:dropCap="drop" w:lines="2" w:wrap="around" w:vAnchor="text" w:hAnchor="text"/>
        <w:spacing w:after="0" w:line="499" w:lineRule="exact"/>
        <w:ind w:left="-8"/>
      </w:pPr>
      <w:r>
        <w:rPr>
          <w:position w:val="1"/>
          <w:sz w:val="52"/>
        </w:rPr>
        <w:t>·  </w:t>
      </w:r>
    </w:p>
    <w:p w:rsidR="00576F87" w:rsidRDefault="004165F5">
      <w:pPr>
        <w:spacing w:after="273" w:line="264" w:lineRule="auto"/>
        <w:ind w:left="2" w:right="12" w:hanging="10"/>
        <w:jc w:val="both"/>
      </w:pPr>
      <w:r>
        <w:rPr>
          <w:rFonts w:ascii="Verdana" w:eastAsia="Verdana" w:hAnsi="Verdana" w:cs="Verdana"/>
          <w:sz w:val="20"/>
        </w:rPr>
        <w:t>Manage its affairs to secure economic, efficient and</w:t>
      </w:r>
      <w:r>
        <w:rPr>
          <w:rFonts w:ascii="Verdana" w:eastAsia="Verdana" w:hAnsi="Verdana" w:cs="Verdana"/>
          <w:sz w:val="20"/>
        </w:rPr>
        <w:t xml:space="preserve"> effective use of resources and safeguard its assets</w:t>
      </w:r>
    </w:p>
    <w:p w:rsidR="00576F87" w:rsidRDefault="004165F5">
      <w:pPr>
        <w:spacing w:after="3" w:line="264" w:lineRule="auto"/>
        <w:ind w:left="2" w:right="12" w:hanging="10"/>
        <w:jc w:val="both"/>
      </w:pPr>
      <w:r>
        <w:rPr>
          <w:sz w:val="52"/>
        </w:rPr>
        <w:t xml:space="preserve">·  </w:t>
      </w:r>
      <w:r>
        <w:rPr>
          <w:rFonts w:ascii="Verdana" w:eastAsia="Verdana" w:hAnsi="Verdana" w:cs="Verdana"/>
          <w:sz w:val="20"/>
        </w:rPr>
        <w:t>Approve the Statement of Accounts</w:t>
      </w:r>
    </w:p>
    <w:p w:rsidR="00576F87" w:rsidRDefault="004165F5">
      <w:pPr>
        <w:spacing w:after="221"/>
        <w:ind w:left="12"/>
      </w:pPr>
      <w:r>
        <w:rPr>
          <w:rFonts w:ascii="Verdana" w:eastAsia="Verdana" w:hAnsi="Verdana" w:cs="Verdana"/>
          <w:b/>
          <w:color w:val="2F9582"/>
          <w:sz w:val="24"/>
        </w:rPr>
        <w:t>The Section 151</w:t>
      </w:r>
      <w:r>
        <w:rPr>
          <w:b/>
          <w:color w:val="2F9582"/>
          <w:sz w:val="24"/>
        </w:rPr>
        <w:t xml:space="preserve"> </w:t>
      </w:r>
      <w:r>
        <w:rPr>
          <w:rFonts w:ascii="Verdana" w:eastAsia="Verdana" w:hAnsi="Verdana" w:cs="Verdana"/>
          <w:b/>
          <w:color w:val="2F9582"/>
          <w:sz w:val="24"/>
        </w:rPr>
        <w:t>Officer’s responsibilities</w:t>
      </w:r>
    </w:p>
    <w:p w:rsidR="00576F87" w:rsidRDefault="004165F5">
      <w:pPr>
        <w:spacing w:after="207" w:line="264" w:lineRule="auto"/>
        <w:ind w:left="2" w:right="12" w:hanging="10"/>
        <w:jc w:val="both"/>
      </w:pPr>
      <w:r>
        <w:rPr>
          <w:rFonts w:ascii="Verdana" w:eastAsia="Verdana" w:hAnsi="Verdana" w:cs="Verdana"/>
          <w:sz w:val="20"/>
        </w:rPr>
        <w:t>At LPFA the Section 151 Officer is responsible for:</w:t>
      </w:r>
    </w:p>
    <w:p w:rsidR="00576F87" w:rsidRDefault="004165F5">
      <w:pPr>
        <w:framePr w:dropCap="drop" w:lines="2" w:wrap="around" w:vAnchor="text" w:hAnchor="text"/>
        <w:spacing w:after="0" w:line="499" w:lineRule="exact"/>
        <w:ind w:left="-8"/>
      </w:pPr>
      <w:r>
        <w:rPr>
          <w:position w:val="1"/>
          <w:sz w:val="52"/>
        </w:rPr>
        <w:t>·  </w:t>
      </w:r>
    </w:p>
    <w:p w:rsidR="00576F87" w:rsidRDefault="004165F5">
      <w:pPr>
        <w:spacing w:after="3" w:line="264" w:lineRule="auto"/>
        <w:ind w:left="2" w:right="12" w:hanging="10"/>
        <w:jc w:val="both"/>
      </w:pPr>
      <w:r>
        <w:rPr>
          <w:rFonts w:ascii="Verdana" w:eastAsia="Verdana" w:hAnsi="Verdana" w:cs="Verdana"/>
          <w:sz w:val="20"/>
        </w:rPr>
        <w:t>The preparation of the LPFA’s Statement of Accounts in accordance with proper accounting practices as set out in the CIPFA/LASAAC Code of Practice on Local</w:t>
      </w:r>
    </w:p>
    <w:p w:rsidR="00576F87" w:rsidRDefault="004165F5">
      <w:pPr>
        <w:spacing w:after="181" w:line="264" w:lineRule="auto"/>
        <w:ind w:left="576" w:right="12" w:hanging="10"/>
        <w:jc w:val="both"/>
      </w:pPr>
      <w:r>
        <w:rPr>
          <w:rFonts w:ascii="Verdana" w:eastAsia="Verdana" w:hAnsi="Verdana" w:cs="Verdana"/>
          <w:sz w:val="20"/>
        </w:rPr>
        <w:t>Authority Accounting in the United Kingdom</w:t>
      </w:r>
    </w:p>
    <w:p w:rsidR="00576F87" w:rsidRDefault="004165F5">
      <w:pPr>
        <w:framePr w:dropCap="drop" w:lines="2" w:wrap="around" w:vAnchor="text" w:hAnchor="text"/>
        <w:spacing w:after="0" w:line="499" w:lineRule="exact"/>
        <w:ind w:left="-8"/>
      </w:pPr>
      <w:r>
        <w:rPr>
          <w:position w:val="1"/>
          <w:sz w:val="52"/>
        </w:rPr>
        <w:t>·  </w:t>
      </w:r>
    </w:p>
    <w:p w:rsidR="00576F87" w:rsidRDefault="004165F5">
      <w:pPr>
        <w:spacing w:after="3" w:line="264" w:lineRule="auto"/>
        <w:ind w:left="2" w:right="12" w:hanging="10"/>
        <w:jc w:val="both"/>
      </w:pPr>
      <w:r>
        <w:rPr>
          <w:rFonts w:ascii="Verdana" w:eastAsia="Verdana" w:hAnsi="Verdana" w:cs="Verdana"/>
          <w:sz w:val="20"/>
        </w:rPr>
        <w:t>Keeping proper financial records and accounts and mai</w:t>
      </w:r>
      <w:r>
        <w:rPr>
          <w:rFonts w:ascii="Verdana" w:eastAsia="Verdana" w:hAnsi="Verdana" w:cs="Verdana"/>
          <w:sz w:val="20"/>
        </w:rPr>
        <w:t>ntaining an effective system of</w:t>
      </w:r>
    </w:p>
    <w:p w:rsidR="00576F87" w:rsidRDefault="004165F5">
      <w:pPr>
        <w:spacing w:after="356" w:line="264" w:lineRule="auto"/>
        <w:ind w:left="2" w:right="12" w:hanging="10"/>
        <w:jc w:val="both"/>
      </w:pPr>
      <w:r>
        <w:rPr>
          <w:rFonts w:ascii="Verdana" w:eastAsia="Verdana" w:hAnsi="Verdana" w:cs="Verdana"/>
          <w:sz w:val="20"/>
        </w:rPr>
        <w:t>financial control</w:t>
      </w:r>
    </w:p>
    <w:p w:rsidR="00576F87" w:rsidRDefault="004165F5">
      <w:pPr>
        <w:spacing w:after="3" w:line="264" w:lineRule="auto"/>
        <w:ind w:left="2" w:right="2461" w:hanging="10"/>
        <w:jc w:val="both"/>
      </w:pPr>
      <w:r>
        <w:rPr>
          <w:rFonts w:ascii="Verdana" w:eastAsia="Verdana" w:hAnsi="Verdana" w:cs="Verdana"/>
          <w:sz w:val="20"/>
        </w:rPr>
        <w:t xml:space="preserve">In preparing this Statement of Accounts, the Section 151 Officer has: </w:t>
      </w:r>
      <w:r>
        <w:rPr>
          <w:sz w:val="52"/>
        </w:rPr>
        <w:t xml:space="preserve">·  </w:t>
      </w:r>
      <w:r>
        <w:rPr>
          <w:rFonts w:ascii="Verdana" w:eastAsia="Verdana" w:hAnsi="Verdana" w:cs="Verdana"/>
          <w:sz w:val="20"/>
        </w:rPr>
        <w:t>Selected suitable accounting policies and applied them consistently</w:t>
      </w:r>
    </w:p>
    <w:p w:rsidR="00576F87" w:rsidRDefault="004165F5">
      <w:pPr>
        <w:spacing w:after="3" w:line="264" w:lineRule="auto"/>
        <w:ind w:left="2" w:right="12" w:hanging="10"/>
        <w:jc w:val="both"/>
      </w:pPr>
      <w:r>
        <w:rPr>
          <w:sz w:val="52"/>
        </w:rPr>
        <w:t xml:space="preserve">·  </w:t>
      </w:r>
      <w:r>
        <w:rPr>
          <w:rFonts w:ascii="Verdana" w:eastAsia="Verdana" w:hAnsi="Verdana" w:cs="Verdana"/>
          <w:sz w:val="20"/>
        </w:rPr>
        <w:t>Made judgments that were reasonable and prudent</w:t>
      </w:r>
    </w:p>
    <w:p w:rsidR="00576F87" w:rsidRDefault="004165F5">
      <w:pPr>
        <w:framePr w:dropCap="drop" w:lines="2" w:wrap="around" w:vAnchor="text" w:hAnchor="text"/>
        <w:spacing w:after="0" w:line="499" w:lineRule="exact"/>
        <w:ind w:left="-8"/>
      </w:pPr>
      <w:r>
        <w:rPr>
          <w:position w:val="1"/>
          <w:sz w:val="52"/>
        </w:rPr>
        <w:t>·  </w:t>
      </w:r>
    </w:p>
    <w:p w:rsidR="00576F87" w:rsidRDefault="004165F5">
      <w:pPr>
        <w:spacing w:after="248" w:line="264" w:lineRule="auto"/>
        <w:ind w:left="2" w:right="12" w:hanging="10"/>
        <w:jc w:val="both"/>
      </w:pPr>
      <w:r>
        <w:rPr>
          <w:rFonts w:ascii="Verdana" w:eastAsia="Verdana" w:hAnsi="Verdana" w:cs="Verdana"/>
          <w:sz w:val="20"/>
        </w:rPr>
        <w:t>Taken reasonable steps for the prevention and/or detection of fraud and/or other irregularities</w:t>
      </w:r>
    </w:p>
    <w:p w:rsidR="00576F87" w:rsidRDefault="004165F5">
      <w:pPr>
        <w:spacing w:after="3" w:line="264" w:lineRule="auto"/>
        <w:ind w:left="2" w:right="12" w:hanging="10"/>
        <w:jc w:val="both"/>
      </w:pPr>
      <w:r>
        <w:rPr>
          <w:sz w:val="52"/>
        </w:rPr>
        <w:t xml:space="preserve">·  </w:t>
      </w:r>
      <w:r>
        <w:rPr>
          <w:rFonts w:ascii="Verdana" w:eastAsia="Verdana" w:hAnsi="Verdana" w:cs="Verdana"/>
          <w:sz w:val="20"/>
        </w:rPr>
        <w:t>Complied with the code</w:t>
      </w:r>
    </w:p>
    <w:p w:rsidR="00576F87" w:rsidRDefault="004165F5">
      <w:pPr>
        <w:pStyle w:val="Heading3"/>
        <w:spacing w:after="39"/>
        <w:ind w:left="9"/>
      </w:pPr>
      <w:r>
        <w:rPr>
          <w:color w:val="3F977F"/>
          <w:sz w:val="24"/>
        </w:rPr>
        <w:t xml:space="preserve">Certificate of Approval </w:t>
      </w:r>
    </w:p>
    <w:p w:rsidR="00576F87" w:rsidRDefault="004165F5">
      <w:pPr>
        <w:spacing w:after="756" w:line="257" w:lineRule="auto"/>
        <w:ind w:left="-3" w:right="446" w:hanging="10"/>
      </w:pPr>
      <w:r>
        <w:rPr>
          <w:rFonts w:ascii="Verdana" w:eastAsia="Verdana" w:hAnsi="Verdana" w:cs="Verdana"/>
          <w:sz w:val="20"/>
        </w:rPr>
        <w:t>I certify that the statement of accounts presents a true and fair view of the financial position of LPFA at 3</w:t>
      </w:r>
      <w:r>
        <w:rPr>
          <w:rFonts w:ascii="Verdana" w:eastAsia="Verdana" w:hAnsi="Verdana" w:cs="Verdana"/>
          <w:sz w:val="20"/>
        </w:rPr>
        <w:t>1 March 2018 and its income and expenditure for the year ended 31 March 2018.</w:t>
      </w:r>
    </w:p>
    <w:p w:rsidR="00576F87" w:rsidRDefault="004165F5">
      <w:pPr>
        <w:spacing w:after="209" w:line="264" w:lineRule="auto"/>
        <w:ind w:left="2" w:right="12" w:hanging="10"/>
        <w:jc w:val="both"/>
      </w:pPr>
      <w:r>
        <w:rPr>
          <w:noProof/>
        </w:rPr>
        <w:drawing>
          <wp:anchor distT="0" distB="0" distL="114300" distR="114300" simplePos="0" relativeHeight="251658240" behindDoc="0" locked="0" layoutInCell="1" allowOverlap="0">
            <wp:simplePos x="0" y="0"/>
            <wp:positionH relativeFrom="column">
              <wp:posOffset>326192</wp:posOffset>
            </wp:positionH>
            <wp:positionV relativeFrom="paragraph">
              <wp:posOffset>-262397</wp:posOffset>
            </wp:positionV>
            <wp:extent cx="1400556" cy="335280"/>
            <wp:effectExtent l="0" t="0" r="0" b="0"/>
            <wp:wrapNone/>
            <wp:docPr id="694" name="Picture 694"/>
            <wp:cNvGraphicFramePr/>
            <a:graphic xmlns:a="http://schemas.openxmlformats.org/drawingml/2006/main">
              <a:graphicData uri="http://schemas.openxmlformats.org/drawingml/2006/picture">
                <pic:pic xmlns:pic="http://schemas.openxmlformats.org/drawingml/2006/picture">
                  <pic:nvPicPr>
                    <pic:cNvPr id="694" name="Picture 694"/>
                    <pic:cNvPicPr/>
                  </pic:nvPicPr>
                  <pic:blipFill>
                    <a:blip r:embed="rId13"/>
                    <a:stretch>
                      <a:fillRect/>
                    </a:stretch>
                  </pic:blipFill>
                  <pic:spPr>
                    <a:xfrm>
                      <a:off x="0" y="0"/>
                      <a:ext cx="1400556" cy="335280"/>
                    </a:xfrm>
                    <a:prstGeom prst="rect">
                      <a:avLst/>
                    </a:prstGeom>
                  </pic:spPr>
                </pic:pic>
              </a:graphicData>
            </a:graphic>
          </wp:anchor>
        </w:drawing>
      </w:r>
      <w:r>
        <w:rPr>
          <w:rFonts w:ascii="Verdana" w:eastAsia="Verdana" w:hAnsi="Verdana" w:cs="Verdana"/>
          <w:sz w:val="20"/>
        </w:rPr>
        <w:t>………………………………………………………..</w:t>
      </w:r>
    </w:p>
    <w:p w:rsidR="00576F87" w:rsidRDefault="004165F5">
      <w:pPr>
        <w:spacing w:after="144" w:line="265" w:lineRule="auto"/>
        <w:ind w:left="5" w:hanging="8"/>
      </w:pPr>
      <w:r>
        <w:rPr>
          <w:rFonts w:ascii="Verdana" w:eastAsia="Verdana" w:hAnsi="Verdana" w:cs="Verdana"/>
          <w:b/>
          <w:sz w:val="20"/>
        </w:rPr>
        <w:t xml:space="preserve">Abigail Leech, Section 151 Officer </w:t>
      </w:r>
    </w:p>
    <w:p w:rsidR="00576F87" w:rsidRDefault="004165F5">
      <w:pPr>
        <w:spacing w:after="22" w:line="265" w:lineRule="auto"/>
        <w:ind w:left="5" w:hanging="8"/>
      </w:pPr>
      <w:r>
        <w:rPr>
          <w:rFonts w:ascii="Verdana" w:eastAsia="Verdana" w:hAnsi="Verdana" w:cs="Verdana"/>
          <w:b/>
          <w:sz w:val="20"/>
        </w:rPr>
        <w:t>Dated:   20 August 2018</w:t>
      </w:r>
    </w:p>
    <w:p w:rsidR="00576F87" w:rsidRDefault="004165F5">
      <w:pPr>
        <w:pStyle w:val="Heading2"/>
        <w:spacing w:after="236"/>
        <w:ind w:left="17"/>
      </w:pPr>
      <w:r>
        <w:rPr>
          <w:b/>
          <w:color w:val="009784"/>
        </w:rPr>
        <w:lastRenderedPageBreak/>
        <w:t xml:space="preserve">3 </w:t>
      </w:r>
      <w:r>
        <w:t>Annual Governance Statement 2017/18</w:t>
      </w:r>
    </w:p>
    <w:p w:rsidR="00576F87" w:rsidRDefault="004165F5">
      <w:pPr>
        <w:pStyle w:val="Heading3"/>
        <w:spacing w:after="526"/>
        <w:ind w:left="9"/>
      </w:pPr>
      <w:r>
        <w:rPr>
          <w:color w:val="3F977F"/>
          <w:sz w:val="24"/>
        </w:rPr>
        <w:t xml:space="preserve">Introduction </w:t>
      </w:r>
    </w:p>
    <w:p w:rsidR="00576F87" w:rsidRDefault="004165F5">
      <w:pPr>
        <w:spacing w:after="324" w:line="268" w:lineRule="auto"/>
        <w:ind w:left="-7" w:hanging="3"/>
        <w:jc w:val="both"/>
      </w:pPr>
      <w:r>
        <w:rPr>
          <w:rFonts w:ascii="Verdana" w:eastAsia="Verdana" w:hAnsi="Verdana" w:cs="Verdana"/>
          <w:sz w:val="18"/>
        </w:rPr>
        <w:t>The London Pensions Fund Authority (LPFA) was established as a stand-alone public body on 31 October 1989 following the abolition of the Greater London Council and the Inner London Education Authority to take on the pension responsibilities under the Local</w:t>
      </w:r>
      <w:r>
        <w:rPr>
          <w:rFonts w:ascii="Verdana" w:eastAsia="Verdana" w:hAnsi="Verdana" w:cs="Verdana"/>
          <w:sz w:val="18"/>
        </w:rPr>
        <w:t xml:space="preserve"> Government Pension Scheme (LGPS). LPFA has sought new employers into its fund to help its sustainability and today it has over 356 employers with 142 of those actively paying contributions into the Fund. LPFA manages the pension fund assets, which total a</w:t>
      </w:r>
      <w:r>
        <w:rPr>
          <w:rFonts w:ascii="Verdana" w:eastAsia="Verdana" w:hAnsi="Verdana" w:cs="Verdana"/>
          <w:sz w:val="18"/>
        </w:rPr>
        <w:t>pproximately £5.6bn, and administers the LGPS for its members, which total around 80,000. From 8 April 2016, the majority of LPFA’s functions have been delegated to the Local Pensions Partnership Ltd (LPP) under a Service Level Agreement (SLA). LPP is a bu</w:t>
      </w:r>
      <w:r>
        <w:rPr>
          <w:rFonts w:ascii="Verdana" w:eastAsia="Verdana" w:hAnsi="Verdana" w:cs="Verdana"/>
          <w:sz w:val="18"/>
        </w:rPr>
        <w:t>siness which is owned jointly with Lancashire County Council and was established to deliver benefits of scale and cost reduction in the management of LGPS. As a shareholder and a client, the LPFA has an important role in ensuring that the LPP remains accou</w:t>
      </w:r>
      <w:r>
        <w:rPr>
          <w:rFonts w:ascii="Verdana" w:eastAsia="Verdana" w:hAnsi="Verdana" w:cs="Verdana"/>
          <w:sz w:val="18"/>
        </w:rPr>
        <w:t xml:space="preserve">ntable and provides the necessary assurance to the Authority that services are being delivered. </w:t>
      </w:r>
    </w:p>
    <w:p w:rsidR="00576F87" w:rsidRDefault="004165F5">
      <w:pPr>
        <w:spacing w:after="351" w:line="268" w:lineRule="auto"/>
        <w:ind w:left="-7" w:hanging="3"/>
        <w:jc w:val="both"/>
      </w:pPr>
      <w:r>
        <w:rPr>
          <w:rFonts w:ascii="Verdana" w:eastAsia="Verdana" w:hAnsi="Verdana" w:cs="Verdana"/>
          <w:sz w:val="18"/>
        </w:rPr>
        <w:t xml:space="preserve">As an LGPS administering authority and a statutory corporation, the statutory and regulatory responsibilities of the Board remain. LPFA is responsible for the strategic aspect of pension fund management; however, the implementation of the Board’s strategy </w:t>
      </w:r>
      <w:r>
        <w:rPr>
          <w:rFonts w:ascii="Verdana" w:eastAsia="Verdana" w:hAnsi="Verdana" w:cs="Verdana"/>
          <w:sz w:val="18"/>
        </w:rPr>
        <w:t>and policies is being carried out by LPP. This is a new approach for LPFA and one which requires detailed reporting and monitoring of LPP, to ensure the efficiencies, savings, improvement of investment returns, efficient administration services and deficit</w:t>
      </w:r>
      <w:r>
        <w:rPr>
          <w:rFonts w:ascii="Verdana" w:eastAsia="Verdana" w:hAnsi="Verdana" w:cs="Verdana"/>
          <w:sz w:val="18"/>
        </w:rPr>
        <w:t xml:space="preserve"> reductions are appropriately delivered.  </w:t>
      </w:r>
    </w:p>
    <w:p w:rsidR="00576F87" w:rsidRDefault="004165F5">
      <w:pPr>
        <w:spacing w:after="55" w:line="268" w:lineRule="auto"/>
        <w:ind w:left="-7" w:hanging="3"/>
        <w:jc w:val="both"/>
      </w:pPr>
      <w:r>
        <w:rPr>
          <w:rFonts w:ascii="Verdana" w:eastAsia="Verdana" w:hAnsi="Verdana" w:cs="Verdana"/>
          <w:sz w:val="18"/>
        </w:rPr>
        <w:t>LPFA has historically used the expertise gained in administering its own scheme to provide pension administration services to other local authorities. All of LPFA’s third party clients have agreed to subcontractin</w:t>
      </w:r>
      <w:r>
        <w:rPr>
          <w:rFonts w:ascii="Verdana" w:eastAsia="Verdana" w:hAnsi="Verdana" w:cs="Verdana"/>
          <w:sz w:val="18"/>
        </w:rPr>
        <w:t>g arrangements to be put in place with LPP so that they can continue to benefit from the high levels of services provided by LPP. These are comprised of: two London boroughs, a county council and three fire authorities. With these third party contracts, th</w:t>
      </w:r>
      <w:r>
        <w:rPr>
          <w:rFonts w:ascii="Verdana" w:eastAsia="Verdana" w:hAnsi="Verdana" w:cs="Verdana"/>
          <w:sz w:val="18"/>
        </w:rPr>
        <w:t>e LPP provides administration services to just over 260,000 members of the LGPS or Fire Pension Scheme on behalf of LPFA. In total and with the addition of Lancashire County Pension Fund members, LPP administers scheme pension benefits on behalf of 520,000</w:t>
      </w:r>
      <w:r>
        <w:rPr>
          <w:rFonts w:ascii="Verdana" w:eastAsia="Verdana" w:hAnsi="Verdana" w:cs="Verdana"/>
          <w:sz w:val="18"/>
        </w:rPr>
        <w:t xml:space="preserve"> scheme members. There will be opportunities for improved efficiencies, savings and levels of service provided as LPP optimises service delivery through a comprehensive transition and transformation plan.</w:t>
      </w:r>
    </w:p>
    <w:p w:rsidR="00576F87" w:rsidRDefault="004165F5">
      <w:pPr>
        <w:spacing w:after="38"/>
        <w:ind w:left="5"/>
      </w:pPr>
      <w:r>
        <w:rPr>
          <w:rFonts w:ascii="Verdana" w:eastAsia="Verdana" w:hAnsi="Verdana" w:cs="Verdana"/>
          <w:sz w:val="20"/>
        </w:rPr>
        <w:t xml:space="preserve">   </w:t>
      </w:r>
    </w:p>
    <w:p w:rsidR="00576F87" w:rsidRDefault="004165F5">
      <w:pPr>
        <w:pStyle w:val="Heading3"/>
        <w:spacing w:after="355"/>
        <w:ind w:left="9"/>
      </w:pPr>
      <w:r>
        <w:rPr>
          <w:color w:val="3F977F"/>
          <w:sz w:val="24"/>
        </w:rPr>
        <w:t>Scope of Responsibility</w:t>
      </w:r>
    </w:p>
    <w:p w:rsidR="00576F87" w:rsidRDefault="004165F5">
      <w:pPr>
        <w:spacing w:after="267" w:line="268" w:lineRule="auto"/>
        <w:ind w:left="-7" w:hanging="3"/>
        <w:jc w:val="both"/>
      </w:pPr>
      <w:r>
        <w:rPr>
          <w:rFonts w:ascii="Verdana" w:eastAsia="Verdana" w:hAnsi="Verdana" w:cs="Verdana"/>
          <w:sz w:val="18"/>
        </w:rPr>
        <w:t>LPFA remains responsibl</w:t>
      </w:r>
      <w:r>
        <w:rPr>
          <w:rFonts w:ascii="Verdana" w:eastAsia="Verdana" w:hAnsi="Verdana" w:cs="Verdana"/>
          <w:sz w:val="18"/>
        </w:rPr>
        <w:t xml:space="preserve">e for ensuring that its business is conducted in accordance with the law and proper standards, and that public money is safeguarded and properly accounted for, and used economically, efficiently and effectively. The Board is informed of regulatory changes </w:t>
      </w:r>
      <w:r>
        <w:rPr>
          <w:rFonts w:ascii="Verdana" w:eastAsia="Verdana" w:hAnsi="Verdana" w:cs="Verdana"/>
          <w:sz w:val="18"/>
        </w:rPr>
        <w:t>prior to decisions being made, often with the input of LPP as a key service provider to LPFA. LPFA also has a duty under the Local Government Act 1999 to make arrangements to secure continuous improvement in the way in which its functions are exercised, ha</w:t>
      </w:r>
      <w:r>
        <w:rPr>
          <w:rFonts w:ascii="Verdana" w:eastAsia="Verdana" w:hAnsi="Verdana" w:cs="Verdana"/>
          <w:sz w:val="18"/>
        </w:rPr>
        <w:t>ving regard to a combination of economic, efficient and effective factors.</w:t>
      </w:r>
    </w:p>
    <w:p w:rsidR="00576F87" w:rsidRDefault="004165F5">
      <w:pPr>
        <w:spacing w:after="500" w:line="268" w:lineRule="auto"/>
        <w:ind w:left="-7" w:hanging="3"/>
        <w:jc w:val="both"/>
      </w:pPr>
      <w:r>
        <w:rPr>
          <w:rFonts w:ascii="Verdana" w:eastAsia="Verdana" w:hAnsi="Verdana" w:cs="Verdana"/>
          <w:sz w:val="18"/>
        </w:rPr>
        <w:t>In discharging this overall responsibility, LPFA is responsible for ensuring that its functions are exercised within an effective risk management framework and that strong governanc</w:t>
      </w:r>
      <w:r>
        <w:rPr>
          <w:rFonts w:ascii="Verdana" w:eastAsia="Verdana" w:hAnsi="Verdana" w:cs="Verdana"/>
          <w:sz w:val="18"/>
        </w:rPr>
        <w:t xml:space="preserve">e controls are in place. The operational aspects of this have been outsourced to LPP but the LPFA Board remains responsible for monitoring the robustness of these arrangements. </w:t>
      </w:r>
    </w:p>
    <w:p w:rsidR="00576F87" w:rsidRDefault="004165F5">
      <w:pPr>
        <w:spacing w:after="5" w:line="268" w:lineRule="auto"/>
        <w:ind w:left="-7" w:hanging="3"/>
        <w:jc w:val="both"/>
      </w:pPr>
      <w:r>
        <w:rPr>
          <w:rFonts w:ascii="Verdana" w:eastAsia="Verdana" w:hAnsi="Verdana" w:cs="Verdana"/>
          <w:sz w:val="18"/>
        </w:rPr>
        <w:t>As a shareholder, LPFA will maintain its proactive engagement with LPP to ensu</w:t>
      </w:r>
      <w:r>
        <w:rPr>
          <w:rFonts w:ascii="Verdana" w:eastAsia="Verdana" w:hAnsi="Verdana" w:cs="Verdana"/>
          <w:sz w:val="18"/>
        </w:rPr>
        <w:t xml:space="preserve">re that the Fund continues to deliver benefits of scale and that it is serviced as per the terms set out in the Shareholder Agreement. </w:t>
      </w:r>
    </w:p>
    <w:p w:rsidR="00576F87" w:rsidRDefault="004165F5">
      <w:pPr>
        <w:pStyle w:val="Heading4"/>
        <w:spacing w:after="41"/>
        <w:ind w:left="3"/>
      </w:pPr>
      <w:r>
        <w:lastRenderedPageBreak/>
        <w:t>LPFA’s Governance Framework</w:t>
      </w:r>
    </w:p>
    <w:p w:rsidR="00576F87" w:rsidRDefault="004165F5">
      <w:pPr>
        <w:spacing w:after="413" w:line="268" w:lineRule="auto"/>
        <w:ind w:left="-7" w:hanging="3"/>
        <w:jc w:val="both"/>
      </w:pPr>
      <w:r>
        <w:rPr>
          <w:rFonts w:ascii="Verdana" w:eastAsia="Verdana" w:hAnsi="Verdana" w:cs="Verdana"/>
          <w:sz w:val="18"/>
        </w:rPr>
        <w:t>The LPFA’s governance framework comprises the systems, processes, culture and values, by whi</w:t>
      </w:r>
      <w:r>
        <w:rPr>
          <w:rFonts w:ascii="Verdana" w:eastAsia="Verdana" w:hAnsi="Verdana" w:cs="Verdana"/>
          <w:sz w:val="18"/>
        </w:rPr>
        <w:t>ch LPFA is directed and controlled, and the activities for which it is accountable. It enables the Authority to monitor the achievement of strategic objectives and to consider whether those objectives have led to the delivery of appropriate, cost-effective</w:t>
      </w:r>
      <w:r>
        <w:rPr>
          <w:rFonts w:ascii="Verdana" w:eastAsia="Verdana" w:hAnsi="Verdana" w:cs="Verdana"/>
          <w:sz w:val="18"/>
        </w:rPr>
        <w:t xml:space="preserve"> services. </w:t>
      </w:r>
    </w:p>
    <w:p w:rsidR="00576F87" w:rsidRDefault="004165F5">
      <w:pPr>
        <w:pStyle w:val="Heading4"/>
        <w:ind w:left="3"/>
      </w:pPr>
      <w:r>
        <w:t>LPFA’s Risk Management Framework</w:t>
      </w:r>
    </w:p>
    <w:p w:rsidR="00576F87" w:rsidRDefault="004165F5">
      <w:pPr>
        <w:spacing w:after="394" w:line="268" w:lineRule="auto"/>
        <w:ind w:left="-7" w:hanging="3"/>
        <w:jc w:val="both"/>
      </w:pPr>
      <w:r>
        <w:rPr>
          <w:rFonts w:ascii="Verdana" w:eastAsia="Verdana" w:hAnsi="Verdana" w:cs="Verdana"/>
          <w:sz w:val="18"/>
        </w:rPr>
        <w:t>Governance is an essential risk management tool. The LPFA Board promotes a culture of risk management and ensures that this permeates throughout the organisation. The LPFA is supported in its risk oversight by t</w:t>
      </w:r>
      <w:r>
        <w:rPr>
          <w:rFonts w:ascii="Verdana" w:eastAsia="Verdana" w:hAnsi="Verdana" w:cs="Verdana"/>
          <w:sz w:val="18"/>
        </w:rPr>
        <w:t>he Audit and Risk Committee which is responsible for oversight and advice to the Board on current risk exposures and future risk strategy, including the strategy for managing liabilities and the oversight of the embedding and maintenance of a supportive cu</w:t>
      </w:r>
      <w:r>
        <w:rPr>
          <w:rFonts w:ascii="Verdana" w:eastAsia="Verdana" w:hAnsi="Verdana" w:cs="Verdana"/>
          <w:sz w:val="18"/>
        </w:rPr>
        <w:t xml:space="preserve">lture in relation to the management of risk throughout the business.  </w:t>
      </w:r>
    </w:p>
    <w:p w:rsidR="00576F87" w:rsidRDefault="004165F5">
      <w:pPr>
        <w:spacing w:after="436" w:line="268" w:lineRule="auto"/>
        <w:ind w:left="-7" w:hanging="3"/>
        <w:jc w:val="both"/>
      </w:pPr>
      <w:r>
        <w:rPr>
          <w:rFonts w:ascii="Verdana" w:eastAsia="Verdana" w:hAnsi="Verdana" w:cs="Verdana"/>
          <w:sz w:val="18"/>
        </w:rPr>
        <w:t>The risk management system operated by LPFA is designed to:</w:t>
      </w:r>
    </w:p>
    <w:p w:rsidR="00576F87" w:rsidRDefault="004165F5">
      <w:pPr>
        <w:spacing w:after="41"/>
        <w:ind w:left="10" w:right="-13" w:hanging="10"/>
        <w:jc w:val="right"/>
      </w:pPr>
      <w:r>
        <w:rPr>
          <w:rFonts w:ascii="Verdana" w:eastAsia="Verdana" w:hAnsi="Verdana" w:cs="Verdana"/>
          <w:sz w:val="18"/>
        </w:rPr>
        <w:t>Identify and prioritise the risks to the achievement of LPFA’s policies, aims and objectives:</w:t>
      </w:r>
    </w:p>
    <w:p w:rsidR="00576F87" w:rsidRDefault="004165F5">
      <w:pPr>
        <w:numPr>
          <w:ilvl w:val="0"/>
          <w:numId w:val="2"/>
        </w:numPr>
        <w:spacing w:after="177" w:line="268" w:lineRule="auto"/>
        <w:ind w:hanging="600"/>
        <w:jc w:val="both"/>
      </w:pPr>
      <w:r>
        <w:rPr>
          <w:rFonts w:ascii="Verdana" w:eastAsia="Verdana" w:hAnsi="Verdana" w:cs="Verdana"/>
          <w:sz w:val="18"/>
        </w:rPr>
        <w:t>LPFA identifies and mitigates a range of risks arising from the external environment (immediate and longer term). It reviews a register which encompasses administrative, management and investment risks. Any new risks identified in light of the evolving sta</w:t>
      </w:r>
      <w:r>
        <w:rPr>
          <w:rFonts w:ascii="Verdana" w:eastAsia="Verdana" w:hAnsi="Verdana" w:cs="Verdana"/>
          <w:sz w:val="18"/>
        </w:rPr>
        <w:t>tutory and regulatory landscape are added to this register and controls put in place to effectively mitigate them.</w:t>
      </w:r>
    </w:p>
    <w:p w:rsidR="00576F87" w:rsidRDefault="004165F5">
      <w:pPr>
        <w:spacing w:after="0"/>
        <w:ind w:left="10" w:right="-13" w:hanging="10"/>
        <w:jc w:val="right"/>
      </w:pPr>
      <w:r>
        <w:rPr>
          <w:rFonts w:ascii="Verdana" w:eastAsia="Verdana" w:hAnsi="Verdana" w:cs="Verdana"/>
          <w:sz w:val="18"/>
        </w:rPr>
        <w:t>Evaluate the likelihood of those risks being realised and the impact should they be realised: the</w:t>
      </w:r>
    </w:p>
    <w:p w:rsidR="00576F87" w:rsidRDefault="004165F5">
      <w:pPr>
        <w:numPr>
          <w:ilvl w:val="0"/>
          <w:numId w:val="2"/>
        </w:numPr>
        <w:spacing w:after="0"/>
        <w:ind w:hanging="600"/>
        <w:jc w:val="both"/>
      </w:pPr>
      <w:r>
        <w:rPr>
          <w:rFonts w:ascii="Verdana" w:eastAsia="Verdana" w:hAnsi="Verdana" w:cs="Verdana"/>
          <w:sz w:val="18"/>
        </w:rPr>
        <w:t>methodology used for the assessment and mit</w:t>
      </w:r>
      <w:r>
        <w:rPr>
          <w:rFonts w:ascii="Verdana" w:eastAsia="Verdana" w:hAnsi="Verdana" w:cs="Verdana"/>
          <w:sz w:val="18"/>
        </w:rPr>
        <w:t>igation of risks has been endorsed by the</w:t>
      </w:r>
    </w:p>
    <w:p w:rsidR="00576F87" w:rsidRDefault="004165F5">
      <w:pPr>
        <w:spacing w:after="308" w:line="268" w:lineRule="auto"/>
        <w:ind w:left="1035" w:hanging="3"/>
        <w:jc w:val="both"/>
      </w:pPr>
      <w:r>
        <w:rPr>
          <w:rFonts w:ascii="Verdana" w:eastAsia="Verdana" w:hAnsi="Verdana" w:cs="Verdana"/>
          <w:sz w:val="18"/>
        </w:rPr>
        <w:t>Chartered Institute of Risk Management.</w:t>
      </w:r>
    </w:p>
    <w:p w:rsidR="00576F87" w:rsidRDefault="004165F5">
      <w:pPr>
        <w:spacing w:after="42" w:line="268" w:lineRule="auto"/>
        <w:ind w:left="1035" w:hanging="3"/>
        <w:jc w:val="both"/>
      </w:pPr>
      <w:r>
        <w:rPr>
          <w:rFonts w:ascii="Verdana" w:eastAsia="Verdana" w:hAnsi="Verdana" w:cs="Verdana"/>
          <w:sz w:val="18"/>
        </w:rPr>
        <w:t>Manage them efficiently, effectively and economically: the risk register is reviewed by risk professionals who devise adequate controls in light of the macro environment in w</w:t>
      </w:r>
      <w:r>
        <w:rPr>
          <w:rFonts w:ascii="Verdana" w:eastAsia="Verdana" w:hAnsi="Verdana" w:cs="Verdana"/>
          <w:sz w:val="18"/>
        </w:rPr>
        <w:t>hich the Fund</w:t>
      </w:r>
    </w:p>
    <w:p w:rsidR="00576F87" w:rsidRDefault="004165F5">
      <w:pPr>
        <w:numPr>
          <w:ilvl w:val="0"/>
          <w:numId w:val="2"/>
        </w:numPr>
        <w:spacing w:after="343" w:line="268" w:lineRule="auto"/>
        <w:ind w:hanging="600"/>
        <w:jc w:val="both"/>
      </w:pPr>
      <w:r>
        <w:rPr>
          <w:rFonts w:ascii="Verdana" w:eastAsia="Verdana" w:hAnsi="Verdana" w:cs="Verdana"/>
          <w:sz w:val="18"/>
        </w:rPr>
        <w:t>is operating and the adequacy of these controls is monitored by the Board. The key controls in place are also stress tested on a regular basis to ensure that they are sufficiently resilient to enable the Fund to meet its strategic objectives.</w:t>
      </w:r>
    </w:p>
    <w:p w:rsidR="00576F87" w:rsidRDefault="004165F5">
      <w:pPr>
        <w:spacing w:after="139" w:line="268" w:lineRule="auto"/>
        <w:ind w:left="-7" w:hanging="3"/>
        <w:jc w:val="both"/>
      </w:pPr>
      <w:r>
        <w:rPr>
          <w:rFonts w:ascii="Verdana" w:eastAsia="Verdana" w:hAnsi="Verdana" w:cs="Verdana"/>
          <w:sz w:val="18"/>
        </w:rPr>
        <w:t>The above process is designed to manage risk to a reasonable level. It cannot eliminate all risk of failure to achieve policies, aims and objectives and can therefore only provide reasonable (not absolute) assurance of effectiveness. The Fund's assets are</w:t>
      </w:r>
      <w:r>
        <w:rPr>
          <w:rFonts w:ascii="Verdana" w:eastAsia="Verdana" w:hAnsi="Verdana" w:cs="Verdana"/>
          <w:sz w:val="18"/>
        </w:rPr>
        <w:t xml:space="preserve"> audited annually by both external and internal auditors. As part of the audit process, the robustness of LPFA’s internal controls system and procedures are also checked.</w:t>
      </w:r>
    </w:p>
    <w:p w:rsidR="00576F87" w:rsidRDefault="004165F5">
      <w:pPr>
        <w:spacing w:after="5" w:line="268" w:lineRule="auto"/>
        <w:ind w:left="-7" w:hanging="3"/>
        <w:jc w:val="both"/>
      </w:pPr>
      <w:r>
        <w:rPr>
          <w:rFonts w:ascii="Verdana" w:eastAsia="Verdana" w:hAnsi="Verdana" w:cs="Verdana"/>
          <w:sz w:val="18"/>
        </w:rPr>
        <w:t xml:space="preserve">Any enhancements made to the governance framework during the year have been reflected in the Code and actions taken and planned are identified below. </w:t>
      </w:r>
    </w:p>
    <w:p w:rsidR="00576F87" w:rsidRDefault="004165F5">
      <w:pPr>
        <w:pStyle w:val="Heading4"/>
        <w:spacing w:after="130"/>
        <w:ind w:left="3"/>
      </w:pPr>
      <w:r>
        <w:t>Local Code of Corporate Governance</w:t>
      </w:r>
    </w:p>
    <w:p w:rsidR="00576F87" w:rsidRDefault="004165F5">
      <w:pPr>
        <w:spacing w:after="305" w:line="268" w:lineRule="auto"/>
        <w:ind w:left="-7" w:hanging="3"/>
        <w:jc w:val="both"/>
      </w:pPr>
      <w:r>
        <w:rPr>
          <w:rFonts w:ascii="Verdana" w:eastAsia="Verdana" w:hAnsi="Verdana" w:cs="Verdana"/>
          <w:sz w:val="18"/>
        </w:rPr>
        <w:t>A key component of the LPFA’s governance framework is the Local Code o</w:t>
      </w:r>
      <w:r>
        <w:rPr>
          <w:rFonts w:ascii="Verdana" w:eastAsia="Verdana" w:hAnsi="Verdana" w:cs="Verdana"/>
          <w:sz w:val="18"/>
        </w:rPr>
        <w:t>f Corporate Governance (the “Code”), which has been approved and adopted in July 2017. This Code is consistent with the principles of the CIPFA (Chartered Institute of Public Finance and Accountancy) and SOLACE (The Society of Local Authority Chief Executi</w:t>
      </w:r>
      <w:r>
        <w:rPr>
          <w:rFonts w:ascii="Verdana" w:eastAsia="Verdana" w:hAnsi="Verdana" w:cs="Verdana"/>
          <w:sz w:val="18"/>
        </w:rPr>
        <w:t>ves and Senior Managers) guidance contained in “Delivering Good Governance in Local Government”.</w:t>
      </w:r>
    </w:p>
    <w:p w:rsidR="00576F87" w:rsidRDefault="004165F5">
      <w:pPr>
        <w:spacing w:after="344" w:line="268" w:lineRule="auto"/>
        <w:ind w:left="-7" w:hanging="3"/>
        <w:jc w:val="both"/>
      </w:pPr>
      <w:r>
        <w:rPr>
          <w:rFonts w:ascii="Verdana" w:eastAsia="Verdana" w:hAnsi="Verdana" w:cs="Verdana"/>
          <w:sz w:val="18"/>
        </w:rPr>
        <w:t>This Code sets out the governance systems, processes and controls used by LPFA in the delivery of its functions and encompasses the following:</w:t>
      </w:r>
    </w:p>
    <w:p w:rsidR="00576F87" w:rsidRDefault="004165F5">
      <w:pPr>
        <w:numPr>
          <w:ilvl w:val="0"/>
          <w:numId w:val="3"/>
        </w:numPr>
        <w:spacing w:after="412" w:line="268" w:lineRule="auto"/>
        <w:ind w:hanging="595"/>
        <w:jc w:val="both"/>
      </w:pPr>
      <w:r>
        <w:rPr>
          <w:rFonts w:ascii="Verdana" w:eastAsia="Verdana" w:hAnsi="Verdana" w:cs="Verdana"/>
          <w:sz w:val="18"/>
        </w:rPr>
        <w:t>LPFA’s vision, o</w:t>
      </w:r>
      <w:r>
        <w:rPr>
          <w:rFonts w:ascii="Verdana" w:eastAsia="Verdana" w:hAnsi="Verdana" w:cs="Verdana"/>
          <w:sz w:val="18"/>
        </w:rPr>
        <w:t>bjectives and decision making process</w:t>
      </w:r>
    </w:p>
    <w:p w:rsidR="00576F87" w:rsidRDefault="004165F5">
      <w:pPr>
        <w:spacing w:after="5" w:line="268" w:lineRule="auto"/>
        <w:ind w:left="440" w:hanging="3"/>
        <w:jc w:val="both"/>
      </w:pPr>
      <w:r>
        <w:rPr>
          <w:rFonts w:ascii="Verdana" w:eastAsia="Verdana" w:hAnsi="Verdana" w:cs="Verdana"/>
          <w:sz w:val="18"/>
        </w:rPr>
        <w:lastRenderedPageBreak/>
        <w:t>•</w:t>
      </w:r>
    </w:p>
    <w:p w:rsidR="00576F87" w:rsidRDefault="004165F5">
      <w:pPr>
        <w:spacing w:after="287" w:line="268" w:lineRule="auto"/>
        <w:ind w:left="1035" w:hanging="3"/>
        <w:jc w:val="both"/>
      </w:pPr>
      <w:r>
        <w:rPr>
          <w:rFonts w:ascii="Verdana" w:eastAsia="Verdana" w:hAnsi="Verdana" w:cs="Verdana"/>
          <w:sz w:val="18"/>
        </w:rPr>
        <w:t>Committee structures, performance measurement and how the use of resources are monitored</w:t>
      </w:r>
    </w:p>
    <w:p w:rsidR="00576F87" w:rsidRDefault="004165F5">
      <w:pPr>
        <w:spacing w:after="5" w:line="268" w:lineRule="auto"/>
        <w:ind w:left="1035" w:hanging="3"/>
        <w:jc w:val="both"/>
      </w:pPr>
      <w:r>
        <w:rPr>
          <w:rFonts w:ascii="Verdana" w:eastAsia="Verdana" w:hAnsi="Verdana" w:cs="Verdana"/>
          <w:sz w:val="18"/>
        </w:rPr>
        <w:t>How fraud, risk management and conflicts of interest policies are managed, including the</w:t>
      </w:r>
    </w:p>
    <w:p w:rsidR="00576F87" w:rsidRDefault="004165F5">
      <w:pPr>
        <w:numPr>
          <w:ilvl w:val="0"/>
          <w:numId w:val="3"/>
        </w:numPr>
        <w:spacing w:after="270" w:line="216" w:lineRule="auto"/>
        <w:ind w:hanging="595"/>
        <w:jc w:val="both"/>
      </w:pPr>
      <w:r>
        <w:rPr>
          <w:rFonts w:ascii="Verdana" w:eastAsia="Verdana" w:hAnsi="Verdana" w:cs="Verdana"/>
          <w:sz w:val="18"/>
        </w:rPr>
        <w:t>division of responsibilities between L</w:t>
      </w:r>
      <w:r>
        <w:rPr>
          <w:rFonts w:ascii="Verdana" w:eastAsia="Verdana" w:hAnsi="Verdana" w:cs="Verdana"/>
          <w:sz w:val="18"/>
        </w:rPr>
        <w:t xml:space="preserve">PFA and LPP </w:t>
      </w:r>
    </w:p>
    <w:p w:rsidR="00576F87" w:rsidRDefault="004165F5">
      <w:pPr>
        <w:spacing w:after="5" w:line="268" w:lineRule="auto"/>
        <w:ind w:left="1035" w:hanging="3"/>
        <w:jc w:val="both"/>
      </w:pPr>
      <w:r>
        <w:rPr>
          <w:rFonts w:ascii="Verdana" w:eastAsia="Verdana" w:hAnsi="Verdana" w:cs="Verdana"/>
          <w:sz w:val="18"/>
        </w:rPr>
        <w:t>Officer -specific functions, including the roles of both the s151 Officer and the Monitoring</w:t>
      </w:r>
    </w:p>
    <w:p w:rsidR="00576F87" w:rsidRDefault="004165F5">
      <w:pPr>
        <w:spacing w:after="5" w:line="268" w:lineRule="auto"/>
        <w:ind w:left="440" w:hanging="3"/>
        <w:jc w:val="both"/>
      </w:pPr>
      <w:r>
        <w:rPr>
          <w:rFonts w:ascii="Verdana" w:eastAsia="Verdana" w:hAnsi="Verdana" w:cs="Verdana"/>
          <w:sz w:val="18"/>
        </w:rPr>
        <w:t>•</w:t>
      </w:r>
    </w:p>
    <w:p w:rsidR="00576F87" w:rsidRDefault="004165F5">
      <w:pPr>
        <w:spacing w:after="379" w:line="268" w:lineRule="auto"/>
        <w:ind w:left="1035" w:hanging="3"/>
        <w:jc w:val="both"/>
      </w:pPr>
      <w:r>
        <w:rPr>
          <w:rFonts w:ascii="Verdana" w:eastAsia="Verdana" w:hAnsi="Verdana" w:cs="Verdana"/>
          <w:sz w:val="18"/>
        </w:rPr>
        <w:t>Officer</w:t>
      </w:r>
    </w:p>
    <w:p w:rsidR="00576F87" w:rsidRDefault="004165F5">
      <w:pPr>
        <w:numPr>
          <w:ilvl w:val="0"/>
          <w:numId w:val="3"/>
        </w:numPr>
        <w:spacing w:after="324" w:line="268" w:lineRule="auto"/>
        <w:ind w:hanging="595"/>
        <w:jc w:val="both"/>
      </w:pPr>
      <w:r>
        <w:rPr>
          <w:rFonts w:ascii="Verdana" w:eastAsia="Verdana" w:hAnsi="Verdana" w:cs="Verdana"/>
          <w:sz w:val="18"/>
        </w:rPr>
        <w:t>Arrangements to ensure the effective financial monitoring and use of resources</w:t>
      </w:r>
    </w:p>
    <w:p w:rsidR="00576F87" w:rsidRDefault="004165F5">
      <w:pPr>
        <w:numPr>
          <w:ilvl w:val="0"/>
          <w:numId w:val="3"/>
        </w:numPr>
        <w:spacing w:after="260" w:line="268" w:lineRule="auto"/>
        <w:ind w:hanging="595"/>
        <w:jc w:val="both"/>
      </w:pPr>
      <w:r>
        <w:rPr>
          <w:rFonts w:ascii="Verdana" w:eastAsia="Verdana" w:hAnsi="Verdana" w:cs="Verdana"/>
          <w:sz w:val="18"/>
        </w:rPr>
        <w:t>The role of the Audit &amp; Risk Committee and whistleblowing procedures</w:t>
      </w:r>
    </w:p>
    <w:p w:rsidR="00576F87" w:rsidRDefault="004165F5">
      <w:pPr>
        <w:numPr>
          <w:ilvl w:val="0"/>
          <w:numId w:val="3"/>
        </w:numPr>
        <w:spacing w:after="246" w:line="268" w:lineRule="auto"/>
        <w:ind w:hanging="595"/>
        <w:jc w:val="both"/>
      </w:pPr>
      <w:r>
        <w:rPr>
          <w:rFonts w:ascii="Verdana" w:eastAsia="Verdana" w:hAnsi="Verdana" w:cs="Verdana"/>
          <w:sz w:val="18"/>
        </w:rPr>
        <w:t>The Local Pension Board and its remit</w:t>
      </w:r>
    </w:p>
    <w:p w:rsidR="00576F87" w:rsidRDefault="004165F5">
      <w:pPr>
        <w:spacing w:after="5" w:line="268" w:lineRule="auto"/>
        <w:ind w:left="1035" w:hanging="3"/>
        <w:jc w:val="both"/>
      </w:pPr>
      <w:r>
        <w:rPr>
          <w:rFonts w:ascii="Verdana" w:eastAsia="Verdana" w:hAnsi="Verdana" w:cs="Verdana"/>
          <w:sz w:val="18"/>
        </w:rPr>
        <w:t>How LPFA meets the requirements of the Accounts and Audit Regulations 2003, 2006 and 2011</w:t>
      </w:r>
    </w:p>
    <w:p w:rsidR="00576F87" w:rsidRDefault="004165F5">
      <w:pPr>
        <w:spacing w:after="5" w:line="268" w:lineRule="auto"/>
        <w:ind w:left="440" w:hanging="3"/>
        <w:jc w:val="both"/>
      </w:pPr>
      <w:r>
        <w:rPr>
          <w:rFonts w:ascii="Verdana" w:eastAsia="Verdana" w:hAnsi="Verdana" w:cs="Verdana"/>
          <w:sz w:val="18"/>
        </w:rPr>
        <w:t>•</w:t>
      </w:r>
    </w:p>
    <w:p w:rsidR="00576F87" w:rsidRDefault="004165F5">
      <w:pPr>
        <w:spacing w:after="397" w:line="268" w:lineRule="auto"/>
        <w:ind w:left="1035" w:hanging="3"/>
        <w:jc w:val="both"/>
      </w:pPr>
      <w:r>
        <w:rPr>
          <w:rFonts w:ascii="Verdana" w:eastAsia="Verdana" w:hAnsi="Verdana" w:cs="Verdana"/>
          <w:sz w:val="18"/>
        </w:rPr>
        <w:t>in relation to the publication of a statement on internal</w:t>
      </w:r>
      <w:r>
        <w:rPr>
          <w:rFonts w:ascii="Verdana" w:eastAsia="Verdana" w:hAnsi="Verdana" w:cs="Verdana"/>
          <w:sz w:val="18"/>
        </w:rPr>
        <w:t xml:space="preserve"> control.</w:t>
      </w:r>
    </w:p>
    <w:p w:rsidR="00576F87" w:rsidRDefault="004165F5">
      <w:pPr>
        <w:spacing w:after="255" w:line="268" w:lineRule="auto"/>
        <w:ind w:left="-7" w:hanging="3"/>
        <w:jc w:val="both"/>
      </w:pPr>
      <w:r>
        <w:rPr>
          <w:rFonts w:ascii="Verdana" w:eastAsia="Verdana" w:hAnsi="Verdana" w:cs="Verdana"/>
          <w:sz w:val="18"/>
        </w:rPr>
        <w:t>LPFA employs a s151 Officer, whose responsibility include monitoring financial processes, liaising with external and internal audit and maintaining links with the Society of London Treasurers. LPFA seeks to comply with the principles set out in C</w:t>
      </w:r>
      <w:r>
        <w:rPr>
          <w:rFonts w:ascii="Verdana" w:eastAsia="Verdana" w:hAnsi="Verdana" w:cs="Verdana"/>
          <w:sz w:val="18"/>
        </w:rPr>
        <w:t xml:space="preserve">IPFA’s guidance on ‘The Role of the Chief Finance Officer in Local Government’. The Authority also employs a Monitoring Officer under an agreement with the Greater London Authority who is responsible for monitoring statutory and regulatory compliance, and </w:t>
      </w:r>
      <w:r>
        <w:rPr>
          <w:rFonts w:ascii="Verdana" w:eastAsia="Verdana" w:hAnsi="Verdana" w:cs="Verdana"/>
          <w:sz w:val="18"/>
        </w:rPr>
        <w:t>any conflicts of interest.</w:t>
      </w:r>
    </w:p>
    <w:p w:rsidR="00576F87" w:rsidRDefault="004165F5">
      <w:pPr>
        <w:spacing w:after="5" w:line="268" w:lineRule="auto"/>
        <w:ind w:left="-7" w:hanging="3"/>
        <w:jc w:val="both"/>
      </w:pPr>
      <w:r>
        <w:rPr>
          <w:rFonts w:ascii="Verdana" w:eastAsia="Verdana" w:hAnsi="Verdana" w:cs="Verdana"/>
          <w:sz w:val="18"/>
        </w:rPr>
        <w:t>LPFA will continue to control its governance affairs, with the operational aspects outsourced to LPP under an SLA. The Local Code of Corporate Governance was updated in July 2017 to reflect the enhancements implemented during the</w:t>
      </w:r>
      <w:r>
        <w:rPr>
          <w:rFonts w:ascii="Verdana" w:eastAsia="Verdana" w:hAnsi="Verdana" w:cs="Verdana"/>
          <w:sz w:val="18"/>
        </w:rPr>
        <w:t xml:space="preserve"> year. It will be further reviewed by the LPFA Audit &amp; Risk Committee in May 2018.</w:t>
      </w:r>
    </w:p>
    <w:p w:rsidR="00576F87" w:rsidRDefault="004165F5">
      <w:pPr>
        <w:spacing w:after="5" w:line="268" w:lineRule="auto"/>
        <w:ind w:left="-7" w:hanging="3"/>
        <w:jc w:val="both"/>
      </w:pPr>
      <w:r>
        <w:rPr>
          <w:rFonts w:ascii="Verdana" w:eastAsia="Verdana" w:hAnsi="Verdana" w:cs="Verdana"/>
          <w:sz w:val="18"/>
        </w:rPr>
        <w:t>The Code is available on LPFA’s website: www.lpfa.org.uk</w:t>
      </w:r>
    </w:p>
    <w:p w:rsidR="00576F87" w:rsidRDefault="00576F87">
      <w:pPr>
        <w:sectPr w:rsidR="00576F87">
          <w:headerReference w:type="even" r:id="rId14"/>
          <w:headerReference w:type="default" r:id="rId15"/>
          <w:footerReference w:type="even" r:id="rId16"/>
          <w:footerReference w:type="default" r:id="rId17"/>
          <w:headerReference w:type="first" r:id="rId18"/>
          <w:footerReference w:type="first" r:id="rId19"/>
          <w:pgSz w:w="11900" w:h="16840"/>
          <w:pgMar w:top="1830" w:right="1069" w:bottom="1427" w:left="1070" w:header="1149" w:footer="510" w:gutter="0"/>
          <w:cols w:space="720"/>
        </w:sectPr>
      </w:pPr>
    </w:p>
    <w:p w:rsidR="00576F87" w:rsidRDefault="004165F5">
      <w:pPr>
        <w:spacing w:after="0"/>
        <w:ind w:left="-1440" w:right="10466"/>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-3</wp:posOffset>
            </wp:positionV>
            <wp:extent cx="10691999" cy="7560001"/>
            <wp:effectExtent l="0" t="0" r="0" b="0"/>
            <wp:wrapTopAndBottom/>
            <wp:docPr id="877" name="Picture 877"/>
            <wp:cNvGraphicFramePr/>
            <a:graphic xmlns:a="http://schemas.openxmlformats.org/drawingml/2006/main">
              <a:graphicData uri="http://schemas.openxmlformats.org/drawingml/2006/picture">
                <pic:pic xmlns:pic="http://schemas.openxmlformats.org/drawingml/2006/picture">
                  <pic:nvPicPr>
                    <pic:cNvPr id="877" name="Picture 877"/>
                    <pic:cNvPicPr/>
                  </pic:nvPicPr>
                  <pic:blipFill>
                    <a:blip r:embed="rId20"/>
                    <a:stretch>
                      <a:fillRect/>
                    </a:stretch>
                  </pic:blipFill>
                  <pic:spPr>
                    <a:xfrm rot="-5399998">
                      <a:off x="0" y="0"/>
                      <a:ext cx="10691999" cy="7560001"/>
                    </a:xfrm>
                    <a:prstGeom prst="rect">
                      <a:avLst/>
                    </a:prstGeom>
                  </pic:spPr>
                </pic:pic>
              </a:graphicData>
            </a:graphic>
          </wp:anchor>
        </w:drawing>
      </w:r>
    </w:p>
    <w:p w:rsidR="00576F87" w:rsidRDefault="00576F87">
      <w:pPr>
        <w:sectPr w:rsidR="00576F87">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20" w:footer="720" w:gutter="0"/>
          <w:cols w:space="720"/>
        </w:sectPr>
      </w:pPr>
    </w:p>
    <w:p w:rsidR="00576F87" w:rsidRDefault="004165F5">
      <w:pPr>
        <w:pStyle w:val="Heading5"/>
        <w:spacing w:after="234" w:line="259" w:lineRule="auto"/>
        <w:ind w:left="18" w:hanging="10"/>
      </w:pPr>
      <w:r>
        <w:rPr>
          <w:rFonts w:ascii="Arial" w:eastAsia="Arial" w:hAnsi="Arial" w:cs="Arial"/>
          <w:color w:val="7030A0"/>
        </w:rPr>
        <w:lastRenderedPageBreak/>
        <w:t>Report on the Audit of the Pension Fund Financial Statements</w:t>
      </w:r>
    </w:p>
    <w:p w:rsidR="00576F87" w:rsidRDefault="004165F5">
      <w:pPr>
        <w:pStyle w:val="Heading6"/>
        <w:spacing w:after="620"/>
        <w:ind w:left="45"/>
      </w:pPr>
      <w:r>
        <w:rPr>
          <w:sz w:val="18"/>
        </w:rPr>
        <w:t>Opinion</w:t>
      </w:r>
    </w:p>
    <w:p w:rsidR="00576F87" w:rsidRDefault="004165F5">
      <w:pPr>
        <w:pStyle w:val="Heading7"/>
        <w:pBdr>
          <w:top w:val="single" w:sz="23" w:space="0" w:color="5F497A"/>
          <w:left w:val="single" w:sz="23" w:space="0" w:color="5F497A"/>
          <w:bottom w:val="single" w:sz="23" w:space="0" w:color="5F497A"/>
          <w:right w:val="single" w:sz="20" w:space="0" w:color="5F497A"/>
        </w:pBdr>
        <w:spacing w:after="14"/>
        <w:ind w:left="110" w:right="55"/>
      </w:pPr>
      <w:r>
        <w:rPr>
          <w:sz w:val="18"/>
        </w:rPr>
        <w:t xml:space="preserve">Our opinion on the financial statements is unmodified </w:t>
      </w:r>
    </w:p>
    <w:p w:rsidR="00576F87" w:rsidRDefault="004165F5">
      <w:pPr>
        <w:pBdr>
          <w:top w:val="single" w:sz="23" w:space="0" w:color="5F497A"/>
          <w:left w:val="single" w:sz="23" w:space="0" w:color="5F497A"/>
          <w:bottom w:val="single" w:sz="23" w:space="0" w:color="5F497A"/>
          <w:right w:val="single" w:sz="20" w:space="0" w:color="5F497A"/>
        </w:pBdr>
        <w:spacing w:after="0" w:line="248" w:lineRule="auto"/>
        <w:ind w:left="120" w:right="55" w:hanging="10"/>
      </w:pPr>
      <w:r>
        <w:rPr>
          <w:rFonts w:ascii="Garamond" w:eastAsia="Garamond" w:hAnsi="Garamond" w:cs="Garamond"/>
          <w:sz w:val="21"/>
        </w:rPr>
        <w:t xml:space="preserve">We have audited the pension fund financial statements of London Pensions Fund Authority (the ‘Authority’) for the year ended 31 March 2018 which comprise the Fund Account, the Net Assets Statement and the Notes to the Fund Accounts, including a summary of </w:t>
      </w:r>
      <w:r>
        <w:rPr>
          <w:rFonts w:ascii="Garamond" w:eastAsia="Garamond" w:hAnsi="Garamond" w:cs="Garamond"/>
          <w:sz w:val="21"/>
        </w:rPr>
        <w:t xml:space="preserve">significant accounting policies. The financial reporting framework that has been applied in their preparation is applicable law and the CIPFA/LASAAC code of practice on local authority accounting in the United Kingdom 2017/18. </w:t>
      </w:r>
    </w:p>
    <w:p w:rsidR="00576F87" w:rsidRDefault="004165F5">
      <w:pPr>
        <w:pBdr>
          <w:top w:val="single" w:sz="23" w:space="0" w:color="5F497A"/>
          <w:left w:val="single" w:sz="23" w:space="0" w:color="5F497A"/>
          <w:bottom w:val="single" w:sz="23" w:space="0" w:color="5F497A"/>
          <w:right w:val="single" w:sz="20" w:space="0" w:color="5F497A"/>
        </w:pBdr>
        <w:spacing w:after="0"/>
        <w:ind w:left="110" w:right="55"/>
      </w:pPr>
      <w:r>
        <w:rPr>
          <w:rFonts w:ascii="Garamond" w:eastAsia="Garamond" w:hAnsi="Garamond" w:cs="Garamond"/>
          <w:sz w:val="21"/>
        </w:rPr>
        <w:t xml:space="preserve"> </w:t>
      </w:r>
    </w:p>
    <w:p w:rsidR="00576F87" w:rsidRDefault="004165F5">
      <w:pPr>
        <w:pBdr>
          <w:top w:val="single" w:sz="23" w:space="0" w:color="5F497A"/>
          <w:left w:val="single" w:sz="23" w:space="0" w:color="5F497A"/>
          <w:bottom w:val="single" w:sz="23" w:space="0" w:color="5F497A"/>
          <w:right w:val="single" w:sz="20" w:space="0" w:color="5F497A"/>
        </w:pBdr>
        <w:spacing w:after="81" w:line="248" w:lineRule="auto"/>
        <w:ind w:left="120" w:right="55" w:hanging="10"/>
      </w:pPr>
      <w:r>
        <w:rPr>
          <w:rFonts w:ascii="Garamond" w:eastAsia="Garamond" w:hAnsi="Garamond" w:cs="Garamond"/>
          <w:sz w:val="21"/>
        </w:rPr>
        <w:t>In our opinion the pension</w:t>
      </w:r>
      <w:r>
        <w:rPr>
          <w:rFonts w:ascii="Garamond" w:eastAsia="Garamond" w:hAnsi="Garamond" w:cs="Garamond"/>
          <w:sz w:val="21"/>
        </w:rPr>
        <w:t xml:space="preserve"> fund financial statements: </w:t>
      </w:r>
    </w:p>
    <w:p w:rsidR="00576F87" w:rsidRDefault="004165F5">
      <w:pPr>
        <w:numPr>
          <w:ilvl w:val="0"/>
          <w:numId w:val="4"/>
        </w:numPr>
        <w:pBdr>
          <w:top w:val="single" w:sz="23" w:space="0" w:color="5F497A"/>
          <w:left w:val="single" w:sz="23" w:space="0" w:color="5F497A"/>
          <w:bottom w:val="single" w:sz="23" w:space="0" w:color="5F497A"/>
          <w:right w:val="single" w:sz="20" w:space="0" w:color="5F497A"/>
        </w:pBdr>
        <w:spacing w:after="81" w:line="248" w:lineRule="auto"/>
        <w:ind w:right="55" w:hanging="257"/>
      </w:pPr>
      <w:r>
        <w:rPr>
          <w:rFonts w:ascii="Garamond" w:eastAsia="Garamond" w:hAnsi="Garamond" w:cs="Garamond"/>
          <w:sz w:val="21"/>
        </w:rPr>
        <w:t xml:space="preserve">give a true and fair view of the financial transactions of the pension fund during the year ended 31 March 2018 and of the amount and disposition at that date of the fund’s assets and liabilities; </w:t>
      </w:r>
    </w:p>
    <w:p w:rsidR="00576F87" w:rsidRDefault="004165F5">
      <w:pPr>
        <w:numPr>
          <w:ilvl w:val="0"/>
          <w:numId w:val="4"/>
        </w:numPr>
        <w:pBdr>
          <w:top w:val="single" w:sz="23" w:space="0" w:color="5F497A"/>
          <w:left w:val="single" w:sz="23" w:space="0" w:color="5F497A"/>
          <w:bottom w:val="single" w:sz="23" w:space="0" w:color="5F497A"/>
          <w:right w:val="single" w:sz="20" w:space="0" w:color="5F497A"/>
        </w:pBdr>
        <w:spacing w:after="81" w:line="248" w:lineRule="auto"/>
        <w:ind w:right="55" w:hanging="257"/>
      </w:pPr>
      <w:r>
        <w:rPr>
          <w:rFonts w:ascii="Garamond" w:eastAsia="Garamond" w:hAnsi="Garamond" w:cs="Garamond"/>
          <w:sz w:val="21"/>
        </w:rPr>
        <w:t xml:space="preserve">have been prepared properly in accordance with the CIPFA/LASAAC code of practice on local authority accounting in the United Kingdom 2017/18; and  </w:t>
      </w:r>
    </w:p>
    <w:p w:rsidR="00576F87" w:rsidRDefault="004165F5">
      <w:pPr>
        <w:numPr>
          <w:ilvl w:val="0"/>
          <w:numId w:val="4"/>
        </w:numPr>
        <w:pBdr>
          <w:top w:val="single" w:sz="23" w:space="0" w:color="5F497A"/>
          <w:left w:val="single" w:sz="23" w:space="0" w:color="5F497A"/>
          <w:bottom w:val="single" w:sz="23" w:space="0" w:color="5F497A"/>
          <w:right w:val="single" w:sz="20" w:space="0" w:color="5F497A"/>
        </w:pBdr>
        <w:spacing w:after="10" w:line="248" w:lineRule="auto"/>
        <w:ind w:right="55" w:hanging="257"/>
      </w:pPr>
      <w:r>
        <w:rPr>
          <w:rFonts w:ascii="Garamond" w:eastAsia="Garamond" w:hAnsi="Garamond" w:cs="Garamond"/>
          <w:sz w:val="21"/>
        </w:rPr>
        <w:t xml:space="preserve">have been prepared in accordance with the requirements of the Local Audit and Accountability Act 2014. </w:t>
      </w:r>
    </w:p>
    <w:p w:rsidR="00576F87" w:rsidRDefault="004165F5">
      <w:pPr>
        <w:spacing w:after="197"/>
      </w:pPr>
      <w:r>
        <w:rPr>
          <w:rFonts w:ascii="Garamond" w:eastAsia="Garamond" w:hAnsi="Garamond" w:cs="Garamond"/>
          <w:sz w:val="21"/>
        </w:rPr>
        <w:t xml:space="preserve"> </w:t>
      </w:r>
    </w:p>
    <w:p w:rsidR="00576F87" w:rsidRDefault="004165F5">
      <w:pPr>
        <w:pStyle w:val="Heading6"/>
        <w:spacing w:after="171"/>
        <w:ind w:left="45"/>
      </w:pPr>
      <w:r>
        <w:rPr>
          <w:sz w:val="18"/>
        </w:rPr>
        <w:t>Ba</w:t>
      </w:r>
      <w:r>
        <w:rPr>
          <w:sz w:val="18"/>
        </w:rPr>
        <w:t>sis for opinion</w:t>
      </w:r>
    </w:p>
    <w:p w:rsidR="00576F87" w:rsidRDefault="004165F5">
      <w:pPr>
        <w:spacing w:after="278" w:line="265" w:lineRule="auto"/>
        <w:ind w:left="38" w:hanging="10"/>
        <w:jc w:val="both"/>
      </w:pPr>
      <w:r>
        <w:rPr>
          <w:rFonts w:ascii="Garamond" w:eastAsia="Garamond" w:hAnsi="Garamond" w:cs="Garamond"/>
          <w:sz w:val="20"/>
        </w:rPr>
        <w:t xml:space="preserve">We conducted our audit in accordance with International Standards on Auditing (UK) (ISAs (UK)) and applicable law. Our responsibilities under those standards are further described in the Auditor’s responsibilities for the audit of the financial statements </w:t>
      </w:r>
      <w:r>
        <w:rPr>
          <w:rFonts w:ascii="Garamond" w:eastAsia="Garamond" w:hAnsi="Garamond" w:cs="Garamond"/>
          <w:sz w:val="20"/>
        </w:rPr>
        <w:t>section of our report. We are independent of the pension fund of the Authority in accordance with the ethical requirements that are relevant to our audit of the pension fund financial statements in the UK, including the FRC’s Ethical Standard as applied to</w:t>
      </w:r>
      <w:r>
        <w:rPr>
          <w:rFonts w:ascii="Garamond" w:eastAsia="Garamond" w:hAnsi="Garamond" w:cs="Garamond"/>
          <w:sz w:val="20"/>
        </w:rPr>
        <w:t xml:space="preserve"> public interest entities, and we have fulfilled our other ethical responsibilities in accordance with these requirements. We believe that the audit evidence we have obtained is sufficient and appropriate to provide a basis for our opinion.</w:t>
      </w:r>
    </w:p>
    <w:p w:rsidR="00576F87" w:rsidRDefault="004165F5">
      <w:pPr>
        <w:pStyle w:val="Heading6"/>
        <w:spacing w:after="212"/>
        <w:ind w:left="45"/>
      </w:pPr>
      <w:r>
        <w:rPr>
          <w:sz w:val="18"/>
        </w:rPr>
        <w:t>Who we are repo</w:t>
      </w:r>
      <w:r>
        <w:rPr>
          <w:sz w:val="18"/>
        </w:rPr>
        <w:t>rting to</w:t>
      </w:r>
    </w:p>
    <w:p w:rsidR="00576F87" w:rsidRDefault="004165F5">
      <w:pPr>
        <w:spacing w:after="5" w:line="265" w:lineRule="auto"/>
        <w:ind w:left="38" w:hanging="10"/>
        <w:jc w:val="both"/>
      </w:pPr>
      <w:r>
        <w:rPr>
          <w:rFonts w:ascii="Garamond" w:eastAsia="Garamond" w:hAnsi="Garamond" w:cs="Garamond"/>
          <w:sz w:val="20"/>
        </w:rPr>
        <w:t>This report is made solely to the members of the Authority, as a body, in accordance with Part 5 of the Local Audit and Accountability Act 2014 and as set out in paragraph 43 of the Statement of Responsibilities of Auditors and Audited Bodies publ</w:t>
      </w:r>
      <w:r>
        <w:rPr>
          <w:rFonts w:ascii="Garamond" w:eastAsia="Garamond" w:hAnsi="Garamond" w:cs="Garamond"/>
          <w:sz w:val="20"/>
        </w:rPr>
        <w:t>ished by Public Sector Audit Appointments Limited. Our audit work has been undertaken so that we might state to the Authority’s members those matters we are required to state to them in an auditor's report and for no other purpose. To the fullest extent pe</w:t>
      </w:r>
      <w:r>
        <w:rPr>
          <w:rFonts w:ascii="Garamond" w:eastAsia="Garamond" w:hAnsi="Garamond" w:cs="Garamond"/>
          <w:sz w:val="20"/>
        </w:rPr>
        <w:t>rmitted by law, we do not accept or assume responsibility to anyone other than the Authority and the</w:t>
      </w:r>
    </w:p>
    <w:p w:rsidR="00576F87" w:rsidRDefault="004165F5">
      <w:pPr>
        <w:spacing w:after="275" w:line="265" w:lineRule="auto"/>
        <w:ind w:left="38" w:hanging="10"/>
        <w:jc w:val="both"/>
      </w:pPr>
      <w:r>
        <w:rPr>
          <w:rFonts w:ascii="Garamond" w:eastAsia="Garamond" w:hAnsi="Garamond" w:cs="Garamond"/>
          <w:sz w:val="20"/>
        </w:rPr>
        <w:t>Authority's members as a body, for our audit work, for this report, or for the opinions we have formed.</w:t>
      </w:r>
    </w:p>
    <w:p w:rsidR="00576F87" w:rsidRDefault="004165F5">
      <w:pPr>
        <w:pStyle w:val="Heading6"/>
        <w:spacing w:after="87"/>
        <w:ind w:left="45"/>
      </w:pPr>
      <w:r>
        <w:rPr>
          <w:sz w:val="18"/>
        </w:rPr>
        <w:t>Conclusions relating to going concern</w:t>
      </w:r>
    </w:p>
    <w:p w:rsidR="00576F87" w:rsidRDefault="004165F5">
      <w:pPr>
        <w:spacing w:after="34" w:line="265" w:lineRule="auto"/>
        <w:ind w:left="38" w:hanging="10"/>
        <w:jc w:val="both"/>
      </w:pPr>
      <w:r>
        <w:rPr>
          <w:rFonts w:ascii="Garamond" w:eastAsia="Garamond" w:hAnsi="Garamond" w:cs="Garamond"/>
          <w:sz w:val="20"/>
        </w:rPr>
        <w:t>We have nothing to report in respect of the following matters in relation to which the ISAs (UK) require us to report to you where:</w:t>
      </w:r>
    </w:p>
    <w:p w:rsidR="00576F87" w:rsidRDefault="004165F5">
      <w:pPr>
        <w:numPr>
          <w:ilvl w:val="0"/>
          <w:numId w:val="5"/>
        </w:numPr>
        <w:spacing w:after="77" w:line="265" w:lineRule="auto"/>
        <w:ind w:hanging="10"/>
      </w:pPr>
      <w:r>
        <w:rPr>
          <w:rFonts w:ascii="Garamond" w:eastAsia="Garamond" w:hAnsi="Garamond" w:cs="Garamond"/>
          <w:sz w:val="20"/>
        </w:rPr>
        <w:t>the Section 151 Officer’s use of the going concern basis of accounting in the preparation of the pension fund financial stat</w:t>
      </w:r>
      <w:r>
        <w:rPr>
          <w:rFonts w:ascii="Garamond" w:eastAsia="Garamond" w:hAnsi="Garamond" w:cs="Garamond"/>
          <w:sz w:val="20"/>
        </w:rPr>
        <w:t>ements is not appropriate; or</w:t>
      </w:r>
    </w:p>
    <w:p w:rsidR="00576F87" w:rsidRDefault="004165F5">
      <w:pPr>
        <w:numPr>
          <w:ilvl w:val="0"/>
          <w:numId w:val="5"/>
        </w:numPr>
        <w:spacing w:after="53" w:line="254" w:lineRule="auto"/>
        <w:ind w:hanging="10"/>
      </w:pPr>
      <w:r>
        <w:rPr>
          <w:rFonts w:ascii="Garamond" w:eastAsia="Garamond" w:hAnsi="Garamond" w:cs="Garamond"/>
          <w:sz w:val="20"/>
        </w:rPr>
        <w:t>the Section 151 Officer has not disclosed in the pension fund financial statements any identified material uncertainties that may cast significant doubt about the Authority’s ability to continue to adopt the going concern basi</w:t>
      </w:r>
      <w:r>
        <w:rPr>
          <w:rFonts w:ascii="Garamond" w:eastAsia="Garamond" w:hAnsi="Garamond" w:cs="Garamond"/>
          <w:sz w:val="20"/>
        </w:rPr>
        <w:t>s of accounting for a period of at least twelve months from the date when the pension fund financial statements are authorised for issue.</w:t>
      </w:r>
    </w:p>
    <w:p w:rsidR="00576F87" w:rsidRDefault="004165F5">
      <w:pPr>
        <w:spacing w:after="50"/>
      </w:pPr>
      <w:r>
        <w:rPr>
          <w:noProof/>
        </w:rPr>
        <w:lastRenderedPageBreak/>
        <mc:AlternateContent>
          <mc:Choice Requires="wpg">
            <w:drawing>
              <wp:inline distT="0" distB="0" distL="0" distR="0">
                <wp:extent cx="4994148" cy="1722120"/>
                <wp:effectExtent l="0" t="0" r="0" b="0"/>
                <wp:docPr id="168346" name="Group 168346"/>
                <wp:cNvGraphicFramePr/>
                <a:graphic xmlns:a="http://schemas.openxmlformats.org/drawingml/2006/main">
                  <a:graphicData uri="http://schemas.microsoft.com/office/word/2010/wordprocessingGroup">
                    <wpg:wgp>
                      <wpg:cNvGrpSpPr/>
                      <wpg:grpSpPr>
                        <a:xfrm>
                          <a:off x="0" y="0"/>
                          <a:ext cx="4994148" cy="1722120"/>
                          <a:chOff x="0" y="0"/>
                          <a:chExt cx="4994148" cy="1722120"/>
                        </a:xfrm>
                      </wpg:grpSpPr>
                      <wps:wsp>
                        <wps:cNvPr id="970" name="Rectangle 970"/>
                        <wps:cNvSpPr/>
                        <wps:spPr>
                          <a:xfrm>
                            <a:off x="32004" y="1577543"/>
                            <a:ext cx="1473744" cy="140693"/>
                          </a:xfrm>
                          <a:prstGeom prst="rect">
                            <a:avLst/>
                          </a:prstGeom>
                          <a:ln>
                            <a:noFill/>
                          </a:ln>
                        </wps:spPr>
                        <wps:txbx>
                          <w:txbxContent>
                            <w:p w:rsidR="00576F87" w:rsidRDefault="004165F5">
                              <w:r>
                                <w:rPr>
                                  <w:rFonts w:ascii="Arial" w:eastAsia="Arial" w:hAnsi="Arial" w:cs="Arial"/>
                                  <w:b/>
                                  <w:color w:val="7030A0"/>
                                  <w:sz w:val="18"/>
                                </w:rPr>
                                <w:t>Key audit matters</w:t>
                              </w:r>
                            </w:p>
                          </w:txbxContent>
                        </wps:txbx>
                        <wps:bodyPr horzOverflow="overflow" vert="horz" lIns="0" tIns="0" rIns="0" bIns="0" rtlCol="0">
                          <a:noAutofit/>
                        </wps:bodyPr>
                      </wps:wsp>
                      <pic:pic xmlns:pic="http://schemas.openxmlformats.org/drawingml/2006/picture">
                        <pic:nvPicPr>
                          <pic:cNvPr id="251526" name="Picture 251526"/>
                          <pic:cNvPicPr/>
                        </pic:nvPicPr>
                        <pic:blipFill>
                          <a:blip r:embed="rId27"/>
                          <a:stretch>
                            <a:fillRect/>
                          </a:stretch>
                        </pic:blipFill>
                        <pic:spPr>
                          <a:xfrm>
                            <a:off x="-4571" y="-3043"/>
                            <a:ext cx="4998721" cy="1725168"/>
                          </a:xfrm>
                          <a:prstGeom prst="rect">
                            <a:avLst/>
                          </a:prstGeom>
                        </pic:spPr>
                      </pic:pic>
                    </wpg:wgp>
                  </a:graphicData>
                </a:graphic>
              </wp:inline>
            </w:drawing>
          </mc:Choice>
          <mc:Fallback>
            <w:pict>
              <v:group id="Group 168346" o:spid="_x0000_s1026" style="width:393.25pt;height:135.6pt;mso-position-horizontal-relative:char;mso-position-vertical-relative:line" coordsize="49941,17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">
                <v:rect id="Rectangle 970" o:spid="_x0000_s1027" style="position:absolute;left:320;top:15775;width:14737;height: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rsidR="00576F87" w:rsidRDefault="004165F5">
                        <w:r>
                          <w:rPr>
                            <w:rFonts w:ascii="Arial" w:eastAsia="Arial" w:hAnsi="Arial" w:cs="Arial"/>
                            <w:b/>
                            <w:color w:val="7030A0"/>
                            <w:sz w:val="18"/>
                          </w:rPr>
                          <w:t>Key audit matters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526" o:spid="_x0000_s1028" type="#_x0000_t75" style="position:absolute;left:-45;top:-30;width:49986;height:1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">
                  <v:imagedata r:id="rId28" o:title=""/>
                </v:shape>
                <w10:anchorlock/>
              </v:group>
            </w:pict>
          </mc:Fallback>
        </mc:AlternateContent>
      </w:r>
    </w:p>
    <w:p w:rsidR="00576F87" w:rsidRDefault="004165F5">
      <w:pPr>
        <w:spacing w:after="5" w:line="265" w:lineRule="auto"/>
        <w:ind w:left="38" w:hanging="10"/>
        <w:jc w:val="both"/>
      </w:pPr>
      <w:r>
        <w:rPr>
          <w:rFonts w:ascii="Garamond" w:eastAsia="Garamond" w:hAnsi="Garamond" w:cs="Garamond"/>
          <w:sz w:val="20"/>
        </w:rPr>
        <w:t xml:space="preserve">The graph below depicts the audit risks identified and their relative significance based on the </w:t>
      </w:r>
      <w:r>
        <w:rPr>
          <w:rFonts w:ascii="Garamond" w:eastAsia="Garamond" w:hAnsi="Garamond" w:cs="Garamond"/>
          <w:sz w:val="20"/>
        </w:rPr>
        <w:t xml:space="preserve">extent of the financial statement impact and the extent of management judgement. </w:t>
      </w:r>
    </w:p>
    <w:p w:rsidR="00576F87" w:rsidRDefault="004165F5">
      <w:pPr>
        <w:spacing w:after="314"/>
      </w:pPr>
      <w:r>
        <w:rPr>
          <w:noProof/>
        </w:rPr>
        <w:drawing>
          <wp:inline distT="0" distB="0" distL="0" distR="0">
            <wp:extent cx="4910328" cy="2581656"/>
            <wp:effectExtent l="0" t="0" r="0" b="0"/>
            <wp:docPr id="251527" name="Picture 251527"/>
            <wp:cNvGraphicFramePr/>
            <a:graphic xmlns:a="http://schemas.openxmlformats.org/drawingml/2006/main">
              <a:graphicData uri="http://schemas.openxmlformats.org/drawingml/2006/picture">
                <pic:pic xmlns:pic="http://schemas.openxmlformats.org/drawingml/2006/picture">
                  <pic:nvPicPr>
                    <pic:cNvPr id="251527" name="Picture 251527"/>
                    <pic:cNvPicPr/>
                  </pic:nvPicPr>
                  <pic:blipFill>
                    <a:blip r:embed="rId29"/>
                    <a:stretch>
                      <a:fillRect/>
                    </a:stretch>
                  </pic:blipFill>
                  <pic:spPr>
                    <a:xfrm>
                      <a:off x="0" y="0"/>
                      <a:ext cx="4910328" cy="2581656"/>
                    </a:xfrm>
                    <a:prstGeom prst="rect">
                      <a:avLst/>
                    </a:prstGeom>
                  </pic:spPr>
                </pic:pic>
              </a:graphicData>
            </a:graphic>
          </wp:inline>
        </w:drawing>
      </w:r>
    </w:p>
    <w:p w:rsidR="00576F87" w:rsidRDefault="004165F5">
      <w:pPr>
        <w:spacing w:after="5" w:line="265" w:lineRule="auto"/>
        <w:ind w:left="38" w:hanging="10"/>
        <w:jc w:val="both"/>
      </w:pPr>
      <w:r>
        <w:rPr>
          <w:rFonts w:ascii="Garamond" w:eastAsia="Garamond" w:hAnsi="Garamond" w:cs="Garamond"/>
          <w:sz w:val="20"/>
        </w:rPr>
        <w:t>Key audit matters are those matters that, in our professional judgment, were of most significance in our audit of the financial statements of the current year and include t</w:t>
      </w:r>
      <w:r>
        <w:rPr>
          <w:rFonts w:ascii="Garamond" w:eastAsia="Garamond" w:hAnsi="Garamond" w:cs="Garamond"/>
          <w:sz w:val="20"/>
        </w:rPr>
        <w:t xml:space="preserve">he most significant assessed risks of material misstatement (whether or not due to fraud) that we identified. These matters included those that had the greatest effect on: the overall audit strategy; the allocation of resources in the audit; and directing </w:t>
      </w:r>
      <w:r>
        <w:rPr>
          <w:rFonts w:ascii="Garamond" w:eastAsia="Garamond" w:hAnsi="Garamond" w:cs="Garamond"/>
          <w:sz w:val="20"/>
        </w:rPr>
        <w:t>the efforts of the engagement team. These matters were addressed in the context of our audit of the financial statements as a whole, and in forming our opinion thereon, and we do not provide a separate opinion on these matters.</w:t>
      </w:r>
    </w:p>
    <w:p w:rsidR="00576F87" w:rsidRDefault="00576F87">
      <w:pPr>
        <w:spacing w:after="0"/>
        <w:ind w:left="-1020" w:right="588"/>
      </w:pPr>
    </w:p>
    <w:tbl>
      <w:tblPr>
        <w:tblStyle w:val="TableGrid"/>
        <w:tblW w:w="9157" w:type="dxa"/>
        <w:tblInd w:w="97" w:type="dxa"/>
        <w:tblCellMar>
          <w:top w:w="68" w:type="dxa"/>
          <w:left w:w="6" w:type="dxa"/>
          <w:bottom w:w="0" w:type="dxa"/>
          <w:right w:w="115" w:type="dxa"/>
        </w:tblCellMar>
        <w:tblLook w:val="04A0" w:firstRow="1" w:lastRow="0" w:firstColumn="1" w:lastColumn="0" w:noHBand="0" w:noVBand="1"/>
      </w:tblPr>
      <w:tblGrid>
        <w:gridCol w:w="9157"/>
      </w:tblGrid>
      <w:tr w:rsidR="00576F87">
        <w:trPr>
          <w:trHeight w:val="10883"/>
        </w:trPr>
        <w:tc>
          <w:tcPr>
            <w:tcW w:w="9157" w:type="dxa"/>
            <w:tcBorders>
              <w:top w:val="single" w:sz="5" w:space="0" w:color="000000"/>
              <w:left w:val="single" w:sz="5" w:space="0" w:color="000000"/>
              <w:bottom w:val="single" w:sz="6" w:space="0" w:color="000000"/>
              <w:right w:val="single" w:sz="6" w:space="0" w:color="000000"/>
            </w:tcBorders>
          </w:tcPr>
          <w:p w:rsidR="00576F87" w:rsidRDefault="004165F5">
            <w:pPr>
              <w:spacing w:after="0" w:line="320" w:lineRule="auto"/>
              <w:ind w:left="211" w:right="145"/>
            </w:pPr>
            <w:r>
              <w:rPr>
                <w:rFonts w:ascii="Arial" w:eastAsia="Arial" w:hAnsi="Arial" w:cs="Arial"/>
                <w:b/>
                <w:color w:val="7030A0"/>
                <w:sz w:val="17"/>
              </w:rPr>
              <w:lastRenderedPageBreak/>
              <w:t xml:space="preserve">Key Audit Matter – pension fund </w:t>
            </w:r>
            <w:r>
              <w:rPr>
                <w:rFonts w:ascii="Arial" w:eastAsia="Arial" w:hAnsi="Arial" w:cs="Arial"/>
                <w:b/>
                <w:color w:val="7030A0"/>
                <w:sz w:val="17"/>
              </w:rPr>
              <w:tab/>
              <w:t xml:space="preserve">How the matter was addressed in the financial statements </w:t>
            </w:r>
            <w:r>
              <w:rPr>
                <w:rFonts w:ascii="Arial" w:eastAsia="Arial" w:hAnsi="Arial" w:cs="Arial"/>
                <w:b/>
                <w:color w:val="7030A0"/>
                <w:sz w:val="17"/>
              </w:rPr>
              <w:tab/>
              <w:t xml:space="preserve">audit – pension fund financial statements </w:t>
            </w:r>
          </w:p>
          <w:p w:rsidR="00576F87" w:rsidRDefault="004165F5">
            <w:pPr>
              <w:spacing w:after="44"/>
              <w:ind w:left="106"/>
            </w:pPr>
            <w:r>
              <w:rPr>
                <w:noProof/>
              </w:rPr>
              <mc:AlternateContent>
                <mc:Choice Requires="wpg">
                  <w:drawing>
                    <wp:inline distT="0" distB="0" distL="0" distR="0">
                      <wp:extent cx="5327904" cy="6096"/>
                      <wp:effectExtent l="0" t="0" r="0" b="0"/>
                      <wp:docPr id="169272" name="Group 169272"/>
                      <wp:cNvGraphicFramePr/>
                      <a:graphic xmlns:a="http://schemas.openxmlformats.org/drawingml/2006/main">
                        <a:graphicData uri="http://schemas.microsoft.com/office/word/2010/wordprocessingGroup">
                          <wpg:wgp>
                            <wpg:cNvGrpSpPr/>
                            <wpg:grpSpPr>
                              <a:xfrm>
                                <a:off x="0" y="0"/>
                                <a:ext cx="5327904" cy="6096"/>
                                <a:chOff x="0" y="0"/>
                                <a:chExt cx="5327904" cy="6096"/>
                              </a:xfrm>
                            </wpg:grpSpPr>
                            <wps:wsp>
                              <wps:cNvPr id="271120" name="Shape 271120"/>
                              <wps:cNvSpPr/>
                              <wps:spPr>
                                <a:xfrm>
                                  <a:off x="0" y="1524"/>
                                  <a:ext cx="2476500" cy="9144"/>
                                </a:xfrm>
                                <a:custGeom>
                                  <a:avLst/>
                                  <a:gdLst/>
                                  <a:ahLst/>
                                  <a:cxnLst/>
                                  <a:rect l="0" t="0" r="0" b="0"/>
                                  <a:pathLst>
                                    <a:path w="2476500" h="9144">
                                      <a:moveTo>
                                        <a:pt x="0" y="0"/>
                                      </a:moveTo>
                                      <a:lnTo>
                                        <a:pt x="2476500" y="0"/>
                                      </a:lnTo>
                                      <a:lnTo>
                                        <a:pt x="2476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3" name="Shape 1073"/>
                              <wps:cNvSpPr/>
                              <wps:spPr>
                                <a:xfrm>
                                  <a:off x="0" y="0"/>
                                  <a:ext cx="2476500" cy="0"/>
                                </a:xfrm>
                                <a:custGeom>
                                  <a:avLst/>
                                  <a:gdLst/>
                                  <a:ahLst/>
                                  <a:cxnLst/>
                                  <a:rect l="0" t="0" r="0" b="0"/>
                                  <a:pathLst>
                                    <a:path w="2476500">
                                      <a:moveTo>
                                        <a:pt x="0" y="0"/>
                                      </a:moveTo>
                                      <a:lnTo>
                                        <a:pt x="2476500"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71121" name="Shape 271121"/>
                              <wps:cNvSpPr/>
                              <wps:spPr>
                                <a:xfrm>
                                  <a:off x="2476500"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5" name="Shape 1075"/>
                              <wps:cNvSpPr/>
                              <wps:spPr>
                                <a:xfrm>
                                  <a:off x="2476500" y="0"/>
                                  <a:ext cx="6096" cy="0"/>
                                </a:xfrm>
                                <a:custGeom>
                                  <a:avLst/>
                                  <a:gdLst/>
                                  <a:ahLst/>
                                  <a:cxnLst/>
                                  <a:rect l="0" t="0" r="0" b="0"/>
                                  <a:pathLst>
                                    <a:path w="6096">
                                      <a:moveTo>
                                        <a:pt x="0" y="0"/>
                                      </a:moveTo>
                                      <a:lnTo>
                                        <a:pt x="6096"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1076" name="Shape 1076"/>
                              <wps:cNvSpPr/>
                              <wps:spPr>
                                <a:xfrm>
                                  <a:off x="2476500" y="0"/>
                                  <a:ext cx="0" cy="6096"/>
                                </a:xfrm>
                                <a:custGeom>
                                  <a:avLst/>
                                  <a:gdLst/>
                                  <a:ahLst/>
                                  <a:cxnLst/>
                                  <a:rect l="0" t="0" r="0" b="0"/>
                                  <a:pathLst>
                                    <a:path h="6096">
                                      <a:moveTo>
                                        <a:pt x="0" y="0"/>
                                      </a:moveTo>
                                      <a:lnTo>
                                        <a:pt x="0" y="6096"/>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71122" name="Shape 271122"/>
                              <wps:cNvSpPr/>
                              <wps:spPr>
                                <a:xfrm>
                                  <a:off x="2482596" y="1524"/>
                                  <a:ext cx="2845308" cy="9144"/>
                                </a:xfrm>
                                <a:custGeom>
                                  <a:avLst/>
                                  <a:gdLst/>
                                  <a:ahLst/>
                                  <a:cxnLst/>
                                  <a:rect l="0" t="0" r="0" b="0"/>
                                  <a:pathLst>
                                    <a:path w="2845308" h="9144">
                                      <a:moveTo>
                                        <a:pt x="0" y="0"/>
                                      </a:moveTo>
                                      <a:lnTo>
                                        <a:pt x="2845308" y="0"/>
                                      </a:lnTo>
                                      <a:lnTo>
                                        <a:pt x="28453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8" name="Shape 1078"/>
                              <wps:cNvSpPr/>
                              <wps:spPr>
                                <a:xfrm>
                                  <a:off x="2482596" y="0"/>
                                  <a:ext cx="2843784" cy="0"/>
                                </a:xfrm>
                                <a:custGeom>
                                  <a:avLst/>
                                  <a:gdLst/>
                                  <a:ahLst/>
                                  <a:cxnLst/>
                                  <a:rect l="0" t="0" r="0" b="0"/>
                                  <a:pathLst>
                                    <a:path w="2843784">
                                      <a:moveTo>
                                        <a:pt x="0" y="0"/>
                                      </a:moveTo>
                                      <a:lnTo>
                                        <a:pt x="2843784"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272" style="width:419.52pt;height:0.47998pt;mso-position-horizontal-relative:char;mso-position-vertical-relative:line" coordsize="53279,60">
                      <v:shape id="Shape 271123" style="position:absolute;width:24765;height:91;left:0;top:15;" coordsize="2476500,9144" path="m0,0l2476500,0l2476500,9144l0,9144l0,0">
                        <v:stroke weight="0pt" endcap="flat" joinstyle="miter" miterlimit="10" on="false" color="#000000" opacity="0"/>
                        <v:fill on="true" color="#000000"/>
                      </v:shape>
                      <v:shape id="Shape 1073" style="position:absolute;width:24765;height:0;left:0;top:0;" coordsize="2476500,0" path="m0,0l2476500,0">
                        <v:stroke weight="0.12pt" endcap="flat" joinstyle="miter" miterlimit="10" on="true" color="#000000"/>
                        <v:fill on="false" color="#000000" opacity="0"/>
                      </v:shape>
                      <v:shape id="Shape 271124" style="position:absolute;width:91;height:91;left:24765;top:15;" coordsize="9144,9144" path="m0,0l9144,0l9144,9144l0,9144l0,0">
                        <v:stroke weight="0pt" endcap="flat" joinstyle="miter" miterlimit="10" on="false" color="#000000" opacity="0"/>
                        <v:fill on="true" color="#000000"/>
                      </v:shape>
                      <v:shape id="Shape 1075" style="position:absolute;width:60;height:0;left:24765;top:0;" coordsize="6096,0" path="m0,0l6096,0">
                        <v:stroke weight="0.12pt" endcap="flat" joinstyle="miter" miterlimit="10" on="true" color="#000000"/>
                        <v:fill on="false" color="#000000" opacity="0"/>
                      </v:shape>
                      <v:shape id="Shape 1076" style="position:absolute;width:0;height:60;left:24765;top:0;" coordsize="0,6096" path="m0,0l0,6096">
                        <v:stroke weight="0.12pt" endcap="flat" joinstyle="miter" miterlimit="10" on="true" color="#000000"/>
                        <v:fill on="false" color="#000000" opacity="0"/>
                      </v:shape>
                      <v:shape id="Shape 271125" style="position:absolute;width:28453;height:91;left:24825;top:15;" coordsize="2845308,9144" path="m0,0l2845308,0l2845308,9144l0,9144l0,0">
                        <v:stroke weight="0pt" endcap="flat" joinstyle="miter" miterlimit="10" on="false" color="#000000" opacity="0"/>
                        <v:fill on="true" color="#000000"/>
                      </v:shape>
                      <v:shape id="Shape 1078" style="position:absolute;width:28437;height:0;left:24825;top:0;" coordsize="2843784,0" path="m0,0l2843784,0">
                        <v:stroke weight="0.12pt" endcap="flat" joinstyle="miter" miterlimit="10" on="true" color="#000000"/>
                        <v:fill on="false" color="#000000" opacity="0"/>
                      </v:shape>
                    </v:group>
                  </w:pict>
                </mc:Fallback>
              </mc:AlternateContent>
            </w:r>
          </w:p>
          <w:p w:rsidR="00576F87" w:rsidRDefault="004165F5">
            <w:pPr>
              <w:spacing w:after="0" w:line="216" w:lineRule="auto"/>
              <w:ind w:left="211"/>
            </w:pPr>
            <w:r>
              <w:rPr>
                <w:rFonts w:ascii="Arial" w:eastAsia="Arial" w:hAnsi="Arial" w:cs="Arial"/>
                <w:b/>
                <w:color w:val="7030A0"/>
                <w:sz w:val="17"/>
              </w:rPr>
              <w:t xml:space="preserve">Risk 1 </w:t>
            </w:r>
            <w:r>
              <w:rPr>
                <w:rFonts w:ascii="Garamond" w:eastAsia="Garamond" w:hAnsi="Garamond" w:cs="Garamond"/>
                <w:b/>
                <w:sz w:val="20"/>
              </w:rPr>
              <w:t xml:space="preserve">The valuation of level 3 </w:t>
            </w:r>
            <w:r>
              <w:rPr>
                <w:rFonts w:ascii="Garamond" w:eastAsia="Garamond" w:hAnsi="Garamond" w:cs="Garamond"/>
                <w:b/>
                <w:sz w:val="20"/>
              </w:rPr>
              <w:tab/>
            </w:r>
            <w:r>
              <w:rPr>
                <w:rFonts w:ascii="Garamond" w:eastAsia="Garamond" w:hAnsi="Garamond" w:cs="Garamond"/>
                <w:sz w:val="20"/>
              </w:rPr>
              <w:t xml:space="preserve">Our audit work included, but was not restricted to:  </w:t>
            </w:r>
            <w:r>
              <w:rPr>
                <w:rFonts w:ascii="Garamond" w:eastAsia="Garamond" w:hAnsi="Garamond" w:cs="Garamond"/>
                <w:b/>
                <w:sz w:val="20"/>
              </w:rPr>
              <w:t xml:space="preserve">investments is incorrect  </w:t>
            </w:r>
            <w:r>
              <w:rPr>
                <w:rFonts w:ascii="Garamond" w:eastAsia="Garamond" w:hAnsi="Garamond" w:cs="Garamond"/>
                <w:b/>
                <w:sz w:val="20"/>
              </w:rPr>
              <w:tab/>
            </w:r>
            <w:r>
              <w:rPr>
                <w:rFonts w:ascii="Segoe UI Symbol" w:eastAsia="Segoe UI Symbol" w:hAnsi="Segoe UI Symbol" w:cs="Segoe UI Symbol"/>
                <w:sz w:val="30"/>
                <w:vertAlign w:val="superscript"/>
              </w:rPr>
              <w:t>•</w:t>
            </w:r>
            <w:r>
              <w:rPr>
                <w:rFonts w:ascii="Arial" w:eastAsia="Arial" w:hAnsi="Arial" w:cs="Arial"/>
                <w:sz w:val="20"/>
              </w:rPr>
              <w:t xml:space="preserve"> </w:t>
            </w:r>
            <w:r>
              <w:rPr>
                <w:rFonts w:ascii="Arial" w:eastAsia="Arial" w:hAnsi="Arial" w:cs="Arial"/>
                <w:sz w:val="20"/>
              </w:rPr>
              <w:tab/>
            </w:r>
            <w:r>
              <w:rPr>
                <w:rFonts w:ascii="Garamond" w:eastAsia="Garamond" w:hAnsi="Garamond" w:cs="Garamond"/>
                <w:sz w:val="20"/>
              </w:rPr>
              <w:t>Docu</w:t>
            </w:r>
            <w:r>
              <w:rPr>
                <w:rFonts w:ascii="Garamond" w:eastAsia="Garamond" w:hAnsi="Garamond" w:cs="Garamond"/>
                <w:sz w:val="20"/>
              </w:rPr>
              <w:t xml:space="preserve">menting our understanding of </w:t>
            </w:r>
          </w:p>
          <w:p w:rsidR="00576F87" w:rsidRDefault="004165F5">
            <w:pPr>
              <w:tabs>
                <w:tab w:val="center" w:pos="211"/>
                <w:tab w:val="center" w:pos="6540"/>
              </w:tabs>
              <w:spacing w:after="10"/>
            </w:pPr>
            <w:r>
              <w:tab/>
            </w:r>
            <w:r>
              <w:rPr>
                <w:rFonts w:ascii="Garamond" w:eastAsia="Garamond" w:hAnsi="Garamond" w:cs="Garamond"/>
                <w:sz w:val="20"/>
              </w:rPr>
              <w:t xml:space="preserve"> </w:t>
            </w:r>
            <w:r>
              <w:rPr>
                <w:rFonts w:ascii="Garamond" w:eastAsia="Garamond" w:hAnsi="Garamond" w:cs="Garamond"/>
                <w:sz w:val="20"/>
              </w:rPr>
              <w:tab/>
              <w:t xml:space="preserve">management’s processes for valuing level </w:t>
            </w:r>
          </w:p>
          <w:p w:rsidR="00576F87" w:rsidRDefault="004165F5">
            <w:pPr>
              <w:spacing w:after="79" w:line="291" w:lineRule="auto"/>
              <w:ind w:left="211" w:right="482"/>
            </w:pPr>
            <w:r>
              <w:rPr>
                <w:rFonts w:ascii="Garamond" w:eastAsia="Garamond" w:hAnsi="Garamond" w:cs="Garamond"/>
                <w:sz w:val="20"/>
              </w:rPr>
              <w:t xml:space="preserve">Level 3 investments by their very nature </w:t>
            </w:r>
            <w:r>
              <w:rPr>
                <w:rFonts w:ascii="Garamond" w:eastAsia="Garamond" w:hAnsi="Garamond" w:cs="Garamond"/>
                <w:sz w:val="20"/>
              </w:rPr>
              <w:tab/>
              <w:t xml:space="preserve">3 investments and evaluated the design require a significant degree of judgement by </w:t>
            </w:r>
            <w:r>
              <w:rPr>
                <w:rFonts w:ascii="Garamond" w:eastAsia="Garamond" w:hAnsi="Garamond" w:cs="Garamond"/>
                <w:sz w:val="20"/>
              </w:rPr>
              <w:tab/>
              <w:t>effectiveness of the associated controls; management t</w:t>
            </w:r>
            <w:r>
              <w:rPr>
                <w:rFonts w:ascii="Garamond" w:eastAsia="Garamond" w:hAnsi="Garamond" w:cs="Garamond"/>
                <w:sz w:val="20"/>
              </w:rPr>
              <w:t xml:space="preserve">o reach an appropriate </w:t>
            </w:r>
            <w:r>
              <w:rPr>
                <w:rFonts w:ascii="Garamond" w:eastAsia="Garamond" w:hAnsi="Garamond" w:cs="Garamond"/>
                <w:sz w:val="20"/>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Garamond" w:eastAsia="Garamond" w:hAnsi="Garamond" w:cs="Garamond"/>
                <w:sz w:val="20"/>
              </w:rPr>
              <w:t xml:space="preserve">Evaluating the nature and basis of the valuation at year end. There is a large range </w:t>
            </w:r>
            <w:r>
              <w:rPr>
                <w:rFonts w:ascii="Garamond" w:eastAsia="Garamond" w:hAnsi="Garamond" w:cs="Garamond"/>
                <w:sz w:val="20"/>
              </w:rPr>
              <w:tab/>
              <w:t xml:space="preserve">accounting estimate and considering what of estimation uncertainty in the valuation </w:t>
            </w:r>
            <w:r>
              <w:rPr>
                <w:rFonts w:ascii="Garamond" w:eastAsia="Garamond" w:hAnsi="Garamond" w:cs="Garamond"/>
                <w:sz w:val="20"/>
              </w:rPr>
              <w:tab/>
              <w:t>assurance management has over the yearand the valuation of</w:t>
            </w:r>
            <w:r>
              <w:rPr>
                <w:rFonts w:ascii="Garamond" w:eastAsia="Garamond" w:hAnsi="Garamond" w:cs="Garamond"/>
                <w:sz w:val="20"/>
              </w:rPr>
              <w:t xml:space="preserve"> level 3 investments are </w:t>
            </w:r>
            <w:r>
              <w:rPr>
                <w:rFonts w:ascii="Garamond" w:eastAsia="Garamond" w:hAnsi="Garamond" w:cs="Garamond"/>
                <w:sz w:val="20"/>
              </w:rPr>
              <w:tab/>
              <w:t xml:space="preserve">end valuations provided for these types of significant. </w:t>
            </w:r>
            <w:r>
              <w:rPr>
                <w:rFonts w:ascii="Garamond" w:eastAsia="Garamond" w:hAnsi="Garamond" w:cs="Garamond"/>
                <w:sz w:val="20"/>
              </w:rPr>
              <w:tab/>
              <w:t xml:space="preserve">investment by management’s experts; </w:t>
            </w:r>
          </w:p>
          <w:p w:rsidR="00576F87" w:rsidRDefault="004165F5">
            <w:pPr>
              <w:numPr>
                <w:ilvl w:val="0"/>
                <w:numId w:val="19"/>
              </w:numPr>
              <w:spacing w:after="0"/>
              <w:ind w:right="412" w:hanging="353"/>
            </w:pPr>
            <w:r>
              <w:rPr>
                <w:rFonts w:ascii="Garamond" w:eastAsia="Garamond" w:hAnsi="Garamond" w:cs="Garamond"/>
                <w:sz w:val="20"/>
              </w:rPr>
              <w:t xml:space="preserve">Evaluating the competence, capabilities </w:t>
            </w:r>
          </w:p>
          <w:p w:rsidR="00576F87" w:rsidRDefault="004165F5">
            <w:pPr>
              <w:spacing w:after="46" w:line="340" w:lineRule="auto"/>
              <w:ind w:left="211" w:right="538"/>
            </w:pPr>
            <w:r>
              <w:rPr>
                <w:rFonts w:ascii="Garamond" w:eastAsia="Garamond" w:hAnsi="Garamond" w:cs="Garamond"/>
                <w:sz w:val="20"/>
              </w:rPr>
              <w:t xml:space="preserve">We therefore identified the valuation of </w:t>
            </w:r>
            <w:r>
              <w:rPr>
                <w:rFonts w:ascii="Garamond" w:eastAsia="Garamond" w:hAnsi="Garamond" w:cs="Garamond"/>
                <w:sz w:val="20"/>
              </w:rPr>
              <w:tab/>
              <w:t>and objectivity of management experts level 3 investm</w:t>
            </w:r>
            <w:r>
              <w:rPr>
                <w:rFonts w:ascii="Garamond" w:eastAsia="Garamond" w:hAnsi="Garamond" w:cs="Garamond"/>
                <w:sz w:val="20"/>
              </w:rPr>
              <w:t xml:space="preserve">ents as a significant risk, </w:t>
            </w:r>
            <w:r>
              <w:rPr>
                <w:rFonts w:ascii="Garamond" w:eastAsia="Garamond" w:hAnsi="Garamond" w:cs="Garamond"/>
                <w:sz w:val="20"/>
              </w:rPr>
              <w:tab/>
              <w:t xml:space="preserve">(valuation expert) used; </w:t>
            </w:r>
          </w:p>
          <w:p w:rsidR="00576F87" w:rsidRDefault="004165F5">
            <w:pPr>
              <w:spacing w:after="56" w:line="326" w:lineRule="auto"/>
              <w:ind w:left="211" w:right="131"/>
            </w:pPr>
            <w:r>
              <w:rPr>
                <w:rFonts w:ascii="Garamond" w:eastAsia="Garamond" w:hAnsi="Garamond" w:cs="Garamond"/>
                <w:sz w:val="20"/>
              </w:rPr>
              <w:t xml:space="preserve">which was one of the most significant </w:t>
            </w:r>
            <w:r>
              <w:rPr>
                <w:rFonts w:ascii="Garamond" w:eastAsia="Garamond" w:hAnsi="Garamond" w:cs="Garamond"/>
                <w:sz w:val="20"/>
              </w:rP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Garamond" w:eastAsia="Garamond" w:hAnsi="Garamond" w:cs="Garamond"/>
                <w:sz w:val="20"/>
              </w:rPr>
              <w:t xml:space="preserve">Agreeing the investment balances in the assessed risks of material misstatement. </w:t>
            </w:r>
            <w:r>
              <w:rPr>
                <w:rFonts w:ascii="Garamond" w:eastAsia="Garamond" w:hAnsi="Garamond" w:cs="Garamond"/>
                <w:sz w:val="20"/>
              </w:rPr>
              <w:tab/>
              <w:t xml:space="preserve">pension fund financial statements to </w:t>
            </w:r>
          </w:p>
          <w:p w:rsidR="00576F87" w:rsidRDefault="004165F5">
            <w:pPr>
              <w:tabs>
                <w:tab w:val="center" w:pos="211"/>
                <w:tab w:val="center" w:pos="6586"/>
              </w:tabs>
              <w:spacing w:after="0"/>
            </w:pPr>
            <w:r>
              <w:tab/>
            </w:r>
            <w:r>
              <w:rPr>
                <w:rFonts w:ascii="Arial" w:eastAsia="Arial" w:hAnsi="Arial" w:cs="Arial"/>
                <w:b/>
                <w:color w:val="403152"/>
                <w:sz w:val="26"/>
                <w:vertAlign w:val="superscript"/>
              </w:rPr>
              <w:t xml:space="preserve"> </w:t>
            </w:r>
            <w:r>
              <w:rPr>
                <w:rFonts w:ascii="Arial" w:eastAsia="Arial" w:hAnsi="Arial" w:cs="Arial"/>
                <w:b/>
                <w:color w:val="403152"/>
                <w:sz w:val="26"/>
                <w:vertAlign w:val="superscript"/>
              </w:rPr>
              <w:tab/>
            </w:r>
            <w:r>
              <w:rPr>
                <w:rFonts w:ascii="Garamond" w:eastAsia="Garamond" w:hAnsi="Garamond" w:cs="Garamond"/>
                <w:sz w:val="20"/>
              </w:rPr>
              <w:t xml:space="preserve">independently obtained fund manager and </w:t>
            </w:r>
          </w:p>
          <w:p w:rsidR="00576F87" w:rsidRDefault="004165F5">
            <w:pPr>
              <w:spacing w:after="67"/>
              <w:ind w:left="2463"/>
              <w:jc w:val="center"/>
            </w:pPr>
            <w:r>
              <w:rPr>
                <w:rFonts w:ascii="Garamond" w:eastAsia="Garamond" w:hAnsi="Garamond" w:cs="Garamond"/>
                <w:sz w:val="20"/>
              </w:rPr>
              <w:t xml:space="preserve">custodian reports; and </w:t>
            </w:r>
          </w:p>
          <w:p w:rsidR="00576F87" w:rsidRDefault="004165F5">
            <w:pPr>
              <w:numPr>
                <w:ilvl w:val="0"/>
                <w:numId w:val="19"/>
              </w:numPr>
              <w:spacing w:after="253" w:line="238" w:lineRule="auto"/>
              <w:ind w:right="412" w:hanging="353"/>
            </w:pPr>
            <w:r>
              <w:rPr>
                <w:rFonts w:ascii="Garamond" w:eastAsia="Garamond" w:hAnsi="Garamond" w:cs="Garamond"/>
                <w:sz w:val="20"/>
              </w:rPr>
              <w:t xml:space="preserve">Testing a sample of the valuations by agreeing the latest audited accounts for these investments to the fund manager reports at that date. Where required, we also reconciled those valuations </w:t>
            </w:r>
            <w:r>
              <w:rPr>
                <w:rFonts w:ascii="Garamond" w:eastAsia="Garamond" w:hAnsi="Garamond" w:cs="Garamond"/>
                <w:sz w:val="20"/>
              </w:rPr>
              <w:t xml:space="preserve">to the valuations included in the pension fund financial statements by agreement of known movements in the intervening period to relevant source documentation.  </w:t>
            </w:r>
          </w:p>
          <w:p w:rsidR="00576F87" w:rsidRDefault="004165F5">
            <w:pPr>
              <w:spacing w:after="4" w:line="237" w:lineRule="auto"/>
              <w:ind w:left="4109" w:right="590"/>
            </w:pPr>
            <w:r>
              <w:rPr>
                <w:rFonts w:ascii="Garamond" w:eastAsia="Garamond" w:hAnsi="Garamond" w:cs="Garamond"/>
                <w:sz w:val="20"/>
              </w:rPr>
              <w:t xml:space="preserve">The pension fund's accounting policy on the valuation of level 3 Investments is shown in note </w:t>
            </w:r>
            <w:r>
              <w:rPr>
                <w:rFonts w:ascii="Garamond" w:eastAsia="Garamond" w:hAnsi="Garamond" w:cs="Garamond"/>
                <w:sz w:val="20"/>
              </w:rPr>
              <w:t>4 to the pension fund financial statements and related disclosures are included in notes 14 and 16</w:t>
            </w:r>
            <w:r>
              <w:rPr>
                <w:rFonts w:ascii="Garamond" w:eastAsia="Garamond" w:hAnsi="Garamond" w:cs="Garamond"/>
                <w:b/>
                <w:sz w:val="20"/>
              </w:rPr>
              <w:t xml:space="preserve"> </w:t>
            </w:r>
            <w:r>
              <w:rPr>
                <w:rFonts w:ascii="Garamond" w:eastAsia="Garamond" w:hAnsi="Garamond" w:cs="Garamond"/>
                <w:sz w:val="20"/>
              </w:rPr>
              <w:t xml:space="preserve">to the pension fund financial statements. </w:t>
            </w:r>
          </w:p>
          <w:p w:rsidR="00576F87" w:rsidRDefault="004165F5">
            <w:pPr>
              <w:spacing w:after="0"/>
              <w:ind w:right="654"/>
              <w:jc w:val="center"/>
            </w:pPr>
            <w:r>
              <w:rPr>
                <w:rFonts w:ascii="Garamond" w:eastAsia="Garamond" w:hAnsi="Garamond" w:cs="Garamond"/>
                <w:sz w:val="20"/>
              </w:rPr>
              <w:t xml:space="preserve">   </w:t>
            </w:r>
          </w:p>
          <w:p w:rsidR="00576F87" w:rsidRDefault="004165F5">
            <w:pPr>
              <w:spacing w:after="12"/>
              <w:ind w:left="954"/>
              <w:jc w:val="center"/>
            </w:pPr>
            <w:r>
              <w:rPr>
                <w:rFonts w:ascii="Arial" w:eastAsia="Arial" w:hAnsi="Arial" w:cs="Arial"/>
                <w:b/>
                <w:color w:val="7030A0"/>
                <w:sz w:val="17"/>
              </w:rPr>
              <w:t xml:space="preserve">Key observations </w:t>
            </w:r>
          </w:p>
          <w:p w:rsidR="00576F87" w:rsidRDefault="004165F5">
            <w:pPr>
              <w:spacing w:after="88" w:line="238" w:lineRule="auto"/>
              <w:ind w:left="4109" w:right="240"/>
            </w:pPr>
            <w:r>
              <w:rPr>
                <w:rFonts w:ascii="Garamond" w:eastAsia="Garamond" w:hAnsi="Garamond" w:cs="Garamond"/>
                <w:sz w:val="20"/>
              </w:rPr>
              <w:t xml:space="preserve">We obtained sufficient audit assurance to conclude that:  </w:t>
            </w:r>
          </w:p>
          <w:p w:rsidR="00576F87" w:rsidRDefault="004165F5">
            <w:pPr>
              <w:numPr>
                <w:ilvl w:val="0"/>
                <w:numId w:val="19"/>
              </w:numPr>
              <w:spacing w:after="87" w:line="238" w:lineRule="auto"/>
              <w:ind w:right="412" w:hanging="353"/>
            </w:pPr>
            <w:r>
              <w:rPr>
                <w:rFonts w:ascii="Garamond" w:eastAsia="Garamond" w:hAnsi="Garamond" w:cs="Garamond"/>
                <w:sz w:val="20"/>
              </w:rPr>
              <w:t>the basis of the valuation was ap</w:t>
            </w:r>
            <w:r>
              <w:rPr>
                <w:rFonts w:ascii="Garamond" w:eastAsia="Garamond" w:hAnsi="Garamond" w:cs="Garamond"/>
                <w:sz w:val="20"/>
              </w:rPr>
              <w:t xml:space="preserve">propriate and the assumptions and processes used by management in determining the estimate were reasonable; </w:t>
            </w:r>
          </w:p>
          <w:p w:rsidR="00576F87" w:rsidRDefault="004165F5">
            <w:pPr>
              <w:numPr>
                <w:ilvl w:val="0"/>
                <w:numId w:val="19"/>
              </w:numPr>
              <w:spacing w:after="0" w:line="239" w:lineRule="auto"/>
              <w:ind w:right="412" w:hanging="353"/>
            </w:pPr>
            <w:r>
              <w:rPr>
                <w:rFonts w:ascii="Garamond" w:eastAsia="Garamond" w:hAnsi="Garamond" w:cs="Garamond"/>
                <w:sz w:val="20"/>
              </w:rPr>
              <w:t xml:space="preserve">the valuation of level 3 investments recognised in the pension fund financial statements were not materially misstated. </w:t>
            </w:r>
          </w:p>
          <w:p w:rsidR="00576F87" w:rsidRDefault="004165F5">
            <w:pPr>
              <w:spacing w:after="0"/>
              <w:ind w:right="449"/>
              <w:jc w:val="center"/>
            </w:pPr>
            <w:r>
              <w:rPr>
                <w:noProof/>
              </w:rPr>
              <mc:AlternateContent>
                <mc:Choice Requires="wpg">
                  <w:drawing>
                    <wp:inline distT="0" distB="0" distL="0" distR="0">
                      <wp:extent cx="5337048" cy="6096"/>
                      <wp:effectExtent l="0" t="0" r="0" b="0"/>
                      <wp:docPr id="169273" name="Group 169273"/>
                      <wp:cNvGraphicFramePr/>
                      <a:graphic xmlns:a="http://schemas.openxmlformats.org/drawingml/2006/main">
                        <a:graphicData uri="http://schemas.microsoft.com/office/word/2010/wordprocessingGroup">
                          <wpg:wgp>
                            <wpg:cNvGrpSpPr/>
                            <wpg:grpSpPr>
                              <a:xfrm>
                                <a:off x="0" y="0"/>
                                <a:ext cx="5337048" cy="6096"/>
                                <a:chOff x="0" y="0"/>
                                <a:chExt cx="5337048" cy="6096"/>
                              </a:xfrm>
                            </wpg:grpSpPr>
                            <wps:wsp>
                              <wps:cNvPr id="271126" name="Shape 271126"/>
                              <wps:cNvSpPr/>
                              <wps:spPr>
                                <a:xfrm>
                                  <a:off x="0" y="1524"/>
                                  <a:ext cx="2485644" cy="9144"/>
                                </a:xfrm>
                                <a:custGeom>
                                  <a:avLst/>
                                  <a:gdLst/>
                                  <a:ahLst/>
                                  <a:cxnLst/>
                                  <a:rect l="0" t="0" r="0" b="0"/>
                                  <a:pathLst>
                                    <a:path w="2485644" h="9144">
                                      <a:moveTo>
                                        <a:pt x="0" y="0"/>
                                      </a:moveTo>
                                      <a:lnTo>
                                        <a:pt x="2485644" y="0"/>
                                      </a:lnTo>
                                      <a:lnTo>
                                        <a:pt x="2485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0" name="Shape 1080"/>
                              <wps:cNvSpPr/>
                              <wps:spPr>
                                <a:xfrm>
                                  <a:off x="0" y="0"/>
                                  <a:ext cx="2485644" cy="0"/>
                                </a:xfrm>
                                <a:custGeom>
                                  <a:avLst/>
                                  <a:gdLst/>
                                  <a:ahLst/>
                                  <a:cxnLst/>
                                  <a:rect l="0" t="0" r="0" b="0"/>
                                  <a:pathLst>
                                    <a:path w="2485644">
                                      <a:moveTo>
                                        <a:pt x="0" y="0"/>
                                      </a:moveTo>
                                      <a:lnTo>
                                        <a:pt x="2485644"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71127" name="Shape 271127"/>
                              <wps:cNvSpPr/>
                              <wps:spPr>
                                <a:xfrm>
                                  <a:off x="2476500" y="15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2" name="Shape 1082"/>
                              <wps:cNvSpPr/>
                              <wps:spPr>
                                <a:xfrm>
                                  <a:off x="2476500" y="0"/>
                                  <a:ext cx="6096" cy="0"/>
                                </a:xfrm>
                                <a:custGeom>
                                  <a:avLst/>
                                  <a:gdLst/>
                                  <a:ahLst/>
                                  <a:cxnLst/>
                                  <a:rect l="0" t="0" r="0" b="0"/>
                                  <a:pathLst>
                                    <a:path w="6096">
                                      <a:moveTo>
                                        <a:pt x="0" y="0"/>
                                      </a:moveTo>
                                      <a:lnTo>
                                        <a:pt x="6096"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1083" name="Shape 1083"/>
                              <wps:cNvSpPr/>
                              <wps:spPr>
                                <a:xfrm>
                                  <a:off x="2476500" y="0"/>
                                  <a:ext cx="0" cy="6096"/>
                                </a:xfrm>
                                <a:custGeom>
                                  <a:avLst/>
                                  <a:gdLst/>
                                  <a:ahLst/>
                                  <a:cxnLst/>
                                  <a:rect l="0" t="0" r="0" b="0"/>
                                  <a:pathLst>
                                    <a:path h="6096">
                                      <a:moveTo>
                                        <a:pt x="0" y="0"/>
                                      </a:moveTo>
                                      <a:lnTo>
                                        <a:pt x="0" y="6096"/>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271128" name="Shape 271128"/>
                              <wps:cNvSpPr/>
                              <wps:spPr>
                                <a:xfrm>
                                  <a:off x="2482596" y="1524"/>
                                  <a:ext cx="2854452" cy="9144"/>
                                </a:xfrm>
                                <a:custGeom>
                                  <a:avLst/>
                                  <a:gdLst/>
                                  <a:ahLst/>
                                  <a:cxnLst/>
                                  <a:rect l="0" t="0" r="0" b="0"/>
                                  <a:pathLst>
                                    <a:path w="2854452" h="9144">
                                      <a:moveTo>
                                        <a:pt x="0" y="0"/>
                                      </a:moveTo>
                                      <a:lnTo>
                                        <a:pt x="2854452" y="0"/>
                                      </a:lnTo>
                                      <a:lnTo>
                                        <a:pt x="28544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 name="Shape 1085"/>
                              <wps:cNvSpPr/>
                              <wps:spPr>
                                <a:xfrm>
                                  <a:off x="2482596" y="0"/>
                                  <a:ext cx="2852928" cy="0"/>
                                </a:xfrm>
                                <a:custGeom>
                                  <a:avLst/>
                                  <a:gdLst/>
                                  <a:ahLst/>
                                  <a:cxnLst/>
                                  <a:rect l="0" t="0" r="0" b="0"/>
                                  <a:pathLst>
                                    <a:path w="2852928">
                                      <a:moveTo>
                                        <a:pt x="0" y="0"/>
                                      </a:moveTo>
                                      <a:lnTo>
                                        <a:pt x="2852928"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9273" style="width:420.24pt;height:0.47998pt;mso-position-horizontal-relative:char;mso-position-vertical-relative:line" coordsize="53370,60">
                      <v:shape id="Shape 271129" style="position:absolute;width:24856;height:91;left:0;top:15;" coordsize="2485644,9144" path="m0,0l2485644,0l2485644,9144l0,9144l0,0">
                        <v:stroke weight="0pt" endcap="flat" joinstyle="miter" miterlimit="10" on="false" color="#000000" opacity="0"/>
                        <v:fill on="true" color="#000000"/>
                      </v:shape>
                      <v:shape id="Shape 1080" style="position:absolute;width:24856;height:0;left:0;top:0;" coordsize="2485644,0" path="m0,0l2485644,0">
                        <v:stroke weight="0.12pt" endcap="flat" joinstyle="miter" miterlimit="10" on="true" color="#000000"/>
                        <v:fill on="false" color="#000000" opacity="0"/>
                      </v:shape>
                      <v:shape id="Shape 271130" style="position:absolute;width:91;height:91;left:24765;top:15;" coordsize="9144,9144" path="m0,0l9144,0l9144,9144l0,9144l0,0">
                        <v:stroke weight="0pt" endcap="flat" joinstyle="miter" miterlimit="10" on="false" color="#000000" opacity="0"/>
                        <v:fill on="true" color="#000000"/>
                      </v:shape>
                      <v:shape id="Shape 1082" style="position:absolute;width:60;height:0;left:24765;top:0;" coordsize="6096,0" path="m0,0l6096,0">
                        <v:stroke weight="0.12pt" endcap="flat" joinstyle="miter" miterlimit="10" on="true" color="#000000"/>
                        <v:fill on="false" color="#000000" opacity="0"/>
                      </v:shape>
                      <v:shape id="Shape 1083" style="position:absolute;width:0;height:60;left:24765;top:0;" coordsize="0,6096" path="m0,0l0,6096">
                        <v:stroke weight="0.12pt" endcap="flat" joinstyle="miter" miterlimit="10" on="true" color="#000000"/>
                        <v:fill on="false" color="#000000" opacity="0"/>
                      </v:shape>
                      <v:shape id="Shape 271131" style="position:absolute;width:28544;height:91;left:24825;top:15;" coordsize="2854452,9144" path="m0,0l2854452,0l2854452,9144l0,9144l0,0">
                        <v:stroke weight="0pt" endcap="flat" joinstyle="miter" miterlimit="10" on="false" color="#000000" opacity="0"/>
                        <v:fill on="true" color="#000000"/>
                      </v:shape>
                      <v:shape id="Shape 1085" style="position:absolute;width:28529;height:0;left:24825;top:0;" coordsize="2852928,0" path="m0,0l2852928,0">
                        <v:stroke weight="0.12pt" endcap="flat" joinstyle="miter" miterlimit="10" on="true" color="#000000"/>
                        <v:fill on="false" color="#000000" opacity="0"/>
                      </v:shape>
                    </v:group>
                  </w:pict>
                </mc:Fallback>
              </mc:AlternateContent>
            </w:r>
            <w:r>
              <w:rPr>
                <w:rFonts w:ascii="Garamond" w:eastAsia="Garamond" w:hAnsi="Garamond" w:cs="Garamond"/>
                <w:sz w:val="20"/>
              </w:rPr>
              <w:t xml:space="preserve"> </w:t>
            </w:r>
          </w:p>
          <w:p w:rsidR="00576F87" w:rsidRDefault="004165F5">
            <w:pPr>
              <w:spacing w:after="0"/>
            </w:pPr>
            <w:r>
              <w:rPr>
                <w:rFonts w:ascii="Arial" w:eastAsia="Arial" w:hAnsi="Arial" w:cs="Arial"/>
                <w:b/>
                <w:color w:val="4F2D7F"/>
                <w:sz w:val="17"/>
              </w:rPr>
              <w:t xml:space="preserve"> </w:t>
            </w:r>
          </w:p>
        </w:tc>
      </w:tr>
    </w:tbl>
    <w:p w:rsidR="00576F87" w:rsidRDefault="004165F5">
      <w:pPr>
        <w:pStyle w:val="Heading6"/>
        <w:spacing w:after="87"/>
        <w:ind w:left="45"/>
      </w:pPr>
      <w:r>
        <w:rPr>
          <w:sz w:val="18"/>
        </w:rPr>
        <w:t>Our application of materiality</w:t>
      </w:r>
    </w:p>
    <w:p w:rsidR="00576F87" w:rsidRDefault="004165F5">
      <w:pPr>
        <w:spacing w:after="276" w:line="265" w:lineRule="auto"/>
        <w:ind w:left="38" w:hanging="10"/>
        <w:jc w:val="both"/>
      </w:pPr>
      <w:r>
        <w:rPr>
          <w:rFonts w:ascii="Garamond" w:eastAsia="Garamond" w:hAnsi="Garamond" w:cs="Garamond"/>
          <w:sz w:val="20"/>
        </w:rPr>
        <w:t xml:space="preserve">We define materiality as the magnitude of misstatement in the financial statements that makes it probable that the economic decisions of a reasonably knowledgeable person would be changed or influenced. We use materiality in </w:t>
      </w:r>
      <w:r>
        <w:rPr>
          <w:rFonts w:ascii="Garamond" w:eastAsia="Garamond" w:hAnsi="Garamond" w:cs="Garamond"/>
          <w:sz w:val="20"/>
        </w:rPr>
        <w:t>determining the nature, timing and extent of our work and in evaluating the results of that work.</w:t>
      </w:r>
    </w:p>
    <w:p w:rsidR="00576F87" w:rsidRDefault="004165F5">
      <w:pPr>
        <w:spacing w:after="5" w:line="265" w:lineRule="auto"/>
        <w:ind w:left="38" w:hanging="10"/>
        <w:jc w:val="both"/>
      </w:pPr>
      <w:r>
        <w:rPr>
          <w:rFonts w:ascii="Garamond" w:eastAsia="Garamond" w:hAnsi="Garamond" w:cs="Garamond"/>
          <w:sz w:val="20"/>
        </w:rPr>
        <w:lastRenderedPageBreak/>
        <w:t>Materiality was determined as follows:</w:t>
      </w:r>
    </w:p>
    <w:tbl>
      <w:tblPr>
        <w:tblStyle w:val="TableGrid"/>
        <w:tblW w:w="8210" w:type="dxa"/>
        <w:tblInd w:w="63" w:type="dxa"/>
        <w:tblCellMar>
          <w:top w:w="37" w:type="dxa"/>
          <w:left w:w="107" w:type="dxa"/>
          <w:bottom w:w="0" w:type="dxa"/>
          <w:right w:w="88" w:type="dxa"/>
        </w:tblCellMar>
        <w:tblLook w:val="04A0" w:firstRow="1" w:lastRow="0" w:firstColumn="1" w:lastColumn="0" w:noHBand="0" w:noVBand="1"/>
      </w:tblPr>
      <w:tblGrid>
        <w:gridCol w:w="1916"/>
        <w:gridCol w:w="6294"/>
      </w:tblGrid>
      <w:tr w:rsidR="00576F87">
        <w:trPr>
          <w:trHeight w:val="449"/>
        </w:trPr>
        <w:tc>
          <w:tcPr>
            <w:tcW w:w="1916" w:type="dxa"/>
            <w:tcBorders>
              <w:top w:val="single" w:sz="4" w:space="0" w:color="000000"/>
              <w:left w:val="single" w:sz="4" w:space="0" w:color="000000"/>
              <w:bottom w:val="single" w:sz="4" w:space="0" w:color="000000"/>
              <w:right w:val="single" w:sz="5" w:space="0" w:color="000000"/>
            </w:tcBorders>
          </w:tcPr>
          <w:p w:rsidR="00576F87" w:rsidRDefault="004165F5">
            <w:pPr>
              <w:spacing w:after="0"/>
            </w:pPr>
            <w:r>
              <w:rPr>
                <w:rFonts w:ascii="Garamond" w:eastAsia="Garamond" w:hAnsi="Garamond" w:cs="Garamond"/>
                <w:b/>
                <w:color w:val="7030A0"/>
                <w:sz w:val="20"/>
              </w:rPr>
              <w:t xml:space="preserve">Materiality measure </w:t>
            </w:r>
          </w:p>
        </w:tc>
        <w:tc>
          <w:tcPr>
            <w:tcW w:w="6294" w:type="dxa"/>
            <w:tcBorders>
              <w:top w:val="single" w:sz="4" w:space="0" w:color="000000"/>
              <w:left w:val="single" w:sz="5" w:space="0" w:color="000000"/>
              <w:bottom w:val="single" w:sz="4" w:space="0" w:color="000000"/>
              <w:right w:val="single" w:sz="4" w:space="0" w:color="000000"/>
            </w:tcBorders>
          </w:tcPr>
          <w:p w:rsidR="00576F87" w:rsidRDefault="004165F5">
            <w:pPr>
              <w:spacing w:after="0"/>
              <w:ind w:left="1"/>
            </w:pPr>
            <w:r>
              <w:rPr>
                <w:rFonts w:ascii="Garamond" w:eastAsia="Garamond" w:hAnsi="Garamond" w:cs="Garamond"/>
                <w:b/>
                <w:color w:val="7030A0"/>
                <w:sz w:val="20"/>
              </w:rPr>
              <w:t xml:space="preserve">Authority </w:t>
            </w:r>
          </w:p>
        </w:tc>
      </w:tr>
      <w:tr w:rsidR="00576F87">
        <w:trPr>
          <w:trHeight w:val="1982"/>
        </w:trPr>
        <w:tc>
          <w:tcPr>
            <w:tcW w:w="1916" w:type="dxa"/>
            <w:tcBorders>
              <w:top w:val="single" w:sz="4" w:space="0" w:color="000000"/>
              <w:left w:val="single" w:sz="4" w:space="0" w:color="000000"/>
              <w:bottom w:val="single" w:sz="4" w:space="0" w:color="000000"/>
              <w:right w:val="single" w:sz="5" w:space="0" w:color="000000"/>
            </w:tcBorders>
          </w:tcPr>
          <w:p w:rsidR="00576F87" w:rsidRDefault="004165F5">
            <w:pPr>
              <w:spacing w:after="0"/>
              <w:ind w:right="70"/>
              <w:jc w:val="both"/>
            </w:pPr>
            <w:r>
              <w:rPr>
                <w:rFonts w:ascii="Garamond" w:eastAsia="Garamond" w:hAnsi="Garamond" w:cs="Garamond"/>
                <w:sz w:val="20"/>
              </w:rPr>
              <w:t xml:space="preserve">Pension fund financial statements as a whole </w:t>
            </w:r>
          </w:p>
        </w:tc>
        <w:tc>
          <w:tcPr>
            <w:tcW w:w="6294" w:type="dxa"/>
            <w:tcBorders>
              <w:top w:val="single" w:sz="4" w:space="0" w:color="000000"/>
              <w:left w:val="single" w:sz="5" w:space="0" w:color="000000"/>
              <w:bottom w:val="single" w:sz="4" w:space="0" w:color="000000"/>
              <w:right w:val="single" w:sz="4" w:space="0" w:color="000000"/>
            </w:tcBorders>
          </w:tcPr>
          <w:p w:rsidR="00576F87" w:rsidRDefault="004165F5">
            <w:pPr>
              <w:spacing w:after="0" w:line="237" w:lineRule="auto"/>
              <w:ind w:left="2"/>
            </w:pPr>
            <w:r>
              <w:rPr>
                <w:rFonts w:ascii="Garamond" w:eastAsia="Garamond" w:hAnsi="Garamond" w:cs="Garamond"/>
                <w:sz w:val="20"/>
              </w:rPr>
              <w:t>£56,400,000 which is 1% of the pension fund net assets. This benchmark is considered the most appropriate because we consider users of the pension fund financial statements to be most interested in the value of pension fund assets that finance their future</w:t>
            </w:r>
            <w:r>
              <w:rPr>
                <w:rFonts w:ascii="Garamond" w:eastAsia="Garamond" w:hAnsi="Garamond" w:cs="Garamond"/>
                <w:sz w:val="20"/>
              </w:rPr>
              <w:t xml:space="preserve"> pensions. </w:t>
            </w:r>
          </w:p>
          <w:p w:rsidR="00576F87" w:rsidRDefault="004165F5">
            <w:pPr>
              <w:spacing w:after="0"/>
              <w:ind w:left="2"/>
            </w:pPr>
            <w:r>
              <w:rPr>
                <w:rFonts w:ascii="Garamond" w:eastAsia="Garamond" w:hAnsi="Garamond" w:cs="Garamond"/>
                <w:sz w:val="20"/>
              </w:rPr>
              <w:t xml:space="preserve"> </w:t>
            </w:r>
          </w:p>
          <w:p w:rsidR="00576F87" w:rsidRDefault="004165F5">
            <w:pPr>
              <w:spacing w:after="0"/>
              <w:ind w:left="2"/>
            </w:pPr>
            <w:r>
              <w:rPr>
                <w:rFonts w:ascii="Garamond" w:eastAsia="Garamond" w:hAnsi="Garamond" w:cs="Garamond"/>
                <w:sz w:val="20"/>
              </w:rPr>
              <w:t xml:space="preserve">Materiality for the current year is at the same percentage level of net assets as we determined for the year ended 31 March 2017 as we did not identify any significant changes in the pension fund or the environment in which it operates.  </w:t>
            </w:r>
          </w:p>
        </w:tc>
      </w:tr>
      <w:tr w:rsidR="00576F87">
        <w:trPr>
          <w:trHeight w:val="886"/>
        </w:trPr>
        <w:tc>
          <w:tcPr>
            <w:tcW w:w="1916" w:type="dxa"/>
            <w:tcBorders>
              <w:top w:val="single" w:sz="4" w:space="0" w:color="000000"/>
              <w:left w:val="single" w:sz="4" w:space="0" w:color="000000"/>
              <w:bottom w:val="single" w:sz="4" w:space="0" w:color="000000"/>
              <w:right w:val="single" w:sz="5" w:space="0" w:color="000000"/>
            </w:tcBorders>
          </w:tcPr>
          <w:p w:rsidR="00576F87" w:rsidRDefault="004165F5">
            <w:pPr>
              <w:spacing w:after="0"/>
            </w:pPr>
            <w:r>
              <w:rPr>
                <w:rFonts w:ascii="Garamond" w:eastAsia="Garamond" w:hAnsi="Garamond" w:cs="Garamond"/>
                <w:sz w:val="20"/>
              </w:rPr>
              <w:t xml:space="preserve">Performance materiality used to drive the extent of our testing </w:t>
            </w:r>
          </w:p>
        </w:tc>
        <w:tc>
          <w:tcPr>
            <w:tcW w:w="6294" w:type="dxa"/>
            <w:tcBorders>
              <w:top w:val="single" w:sz="4" w:space="0" w:color="000000"/>
              <w:left w:val="single" w:sz="5" w:space="0" w:color="000000"/>
              <w:bottom w:val="single" w:sz="4" w:space="0" w:color="000000"/>
              <w:right w:val="single" w:sz="4" w:space="0" w:color="000000"/>
            </w:tcBorders>
          </w:tcPr>
          <w:p w:rsidR="00576F87" w:rsidRDefault="004165F5">
            <w:pPr>
              <w:spacing w:after="0"/>
              <w:ind w:left="2"/>
            </w:pPr>
            <w:r>
              <w:rPr>
                <w:rFonts w:ascii="Garamond" w:eastAsia="Garamond" w:hAnsi="Garamond" w:cs="Garamond"/>
                <w:sz w:val="20"/>
              </w:rPr>
              <w:t xml:space="preserve">70% of pension fund financial statement materiality. </w:t>
            </w:r>
          </w:p>
        </w:tc>
      </w:tr>
      <w:tr w:rsidR="00576F87">
        <w:trPr>
          <w:trHeight w:val="888"/>
        </w:trPr>
        <w:tc>
          <w:tcPr>
            <w:tcW w:w="1916" w:type="dxa"/>
            <w:tcBorders>
              <w:top w:val="single" w:sz="4" w:space="0" w:color="000000"/>
              <w:left w:val="single" w:sz="4" w:space="0" w:color="000000"/>
              <w:bottom w:val="single" w:sz="4" w:space="0" w:color="000000"/>
              <w:right w:val="single" w:sz="5" w:space="0" w:color="000000"/>
            </w:tcBorders>
          </w:tcPr>
          <w:p w:rsidR="00576F87" w:rsidRDefault="004165F5">
            <w:pPr>
              <w:spacing w:after="0"/>
            </w:pPr>
            <w:r>
              <w:rPr>
                <w:rFonts w:ascii="Garamond" w:eastAsia="Garamond" w:hAnsi="Garamond" w:cs="Garamond"/>
                <w:sz w:val="20"/>
              </w:rPr>
              <w:t xml:space="preserve">Communication of misstatements to the Audit and Risk Committee </w:t>
            </w:r>
          </w:p>
        </w:tc>
        <w:tc>
          <w:tcPr>
            <w:tcW w:w="6294" w:type="dxa"/>
            <w:tcBorders>
              <w:top w:val="single" w:sz="4" w:space="0" w:color="000000"/>
              <w:left w:val="single" w:sz="5" w:space="0" w:color="000000"/>
              <w:bottom w:val="single" w:sz="4" w:space="0" w:color="000000"/>
              <w:right w:val="single" w:sz="4" w:space="0" w:color="000000"/>
            </w:tcBorders>
          </w:tcPr>
          <w:p w:rsidR="00576F87" w:rsidRDefault="004165F5">
            <w:pPr>
              <w:spacing w:after="0"/>
              <w:ind w:left="1"/>
              <w:jc w:val="both"/>
            </w:pPr>
            <w:r>
              <w:rPr>
                <w:rFonts w:ascii="Garamond" w:eastAsia="Garamond" w:hAnsi="Garamond" w:cs="Garamond"/>
                <w:sz w:val="20"/>
              </w:rPr>
              <w:t xml:space="preserve">£2,820,000 and misstatements below that threshold that, in our view, warrant reporting on qualitative grounds. </w:t>
            </w:r>
          </w:p>
        </w:tc>
      </w:tr>
    </w:tbl>
    <w:p w:rsidR="00576F87" w:rsidRDefault="004165F5">
      <w:pPr>
        <w:spacing w:after="190"/>
        <w:ind w:left="60"/>
      </w:pPr>
      <w:r>
        <w:rPr>
          <w:rFonts w:ascii="Garamond" w:eastAsia="Garamond" w:hAnsi="Garamond" w:cs="Garamond"/>
          <w:sz w:val="20"/>
        </w:rPr>
        <w:t xml:space="preserve"> </w:t>
      </w:r>
    </w:p>
    <w:p w:rsidR="00576F87" w:rsidRDefault="004165F5">
      <w:pPr>
        <w:spacing w:after="158" w:line="265" w:lineRule="auto"/>
        <w:ind w:left="38" w:hanging="10"/>
        <w:jc w:val="both"/>
      </w:pPr>
      <w:r>
        <w:rPr>
          <w:rFonts w:ascii="Garamond" w:eastAsia="Garamond" w:hAnsi="Garamond" w:cs="Garamond"/>
          <w:sz w:val="20"/>
        </w:rPr>
        <w:t>The graph below illustrates how performance materiality interacts with our overall materiality and the tolerance for potential uncorrected mi</w:t>
      </w:r>
      <w:r>
        <w:rPr>
          <w:rFonts w:ascii="Garamond" w:eastAsia="Garamond" w:hAnsi="Garamond" w:cs="Garamond"/>
          <w:sz w:val="20"/>
        </w:rPr>
        <w:t>sstatements.</w:t>
      </w:r>
    </w:p>
    <w:p w:rsidR="00576F87" w:rsidRDefault="004165F5">
      <w:pPr>
        <w:spacing w:after="0"/>
        <w:ind w:left="262"/>
      </w:pPr>
      <w:r>
        <w:rPr>
          <w:noProof/>
        </w:rPr>
        <w:drawing>
          <wp:inline distT="0" distB="0" distL="0" distR="0">
            <wp:extent cx="4998720" cy="1463040"/>
            <wp:effectExtent l="0" t="0" r="0" b="0"/>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30"/>
                    <a:stretch>
                      <a:fillRect/>
                    </a:stretch>
                  </pic:blipFill>
                  <pic:spPr>
                    <a:xfrm>
                      <a:off x="0" y="0"/>
                      <a:ext cx="4998720" cy="1463040"/>
                    </a:xfrm>
                    <a:prstGeom prst="rect">
                      <a:avLst/>
                    </a:prstGeom>
                  </pic:spPr>
                </pic:pic>
              </a:graphicData>
            </a:graphic>
          </wp:inline>
        </w:drawing>
      </w:r>
    </w:p>
    <w:p w:rsidR="00576F87" w:rsidRDefault="004165F5">
      <w:pPr>
        <w:pStyle w:val="Heading6"/>
        <w:spacing w:after="51"/>
        <w:ind w:left="45"/>
      </w:pPr>
      <w:r>
        <w:rPr>
          <w:sz w:val="18"/>
        </w:rPr>
        <w:t>Overview of the scope of our audit</w:t>
      </w:r>
    </w:p>
    <w:p w:rsidR="00576F87" w:rsidRDefault="004165F5">
      <w:pPr>
        <w:spacing w:after="49" w:line="265" w:lineRule="auto"/>
        <w:ind w:left="38" w:hanging="10"/>
        <w:jc w:val="both"/>
      </w:pPr>
      <w:r>
        <w:rPr>
          <w:rFonts w:ascii="Garamond" w:eastAsia="Garamond" w:hAnsi="Garamond" w:cs="Garamond"/>
          <w:sz w:val="20"/>
        </w:rPr>
        <w:t>Our audit approach was a risk-based approach founded on a thorough understanding of the pension fund's business, its environment and risk profile and in particular included:</w:t>
      </w:r>
    </w:p>
    <w:p w:rsidR="00576F87" w:rsidRDefault="004165F5">
      <w:pPr>
        <w:numPr>
          <w:ilvl w:val="0"/>
          <w:numId w:val="6"/>
        </w:numPr>
        <w:spacing w:after="46" w:line="265" w:lineRule="auto"/>
        <w:ind w:hanging="10"/>
        <w:jc w:val="both"/>
      </w:pPr>
      <w:r>
        <w:rPr>
          <w:rFonts w:ascii="Garamond" w:eastAsia="Garamond" w:hAnsi="Garamond" w:cs="Garamond"/>
          <w:sz w:val="20"/>
        </w:rPr>
        <w:t>Gaining an understanding of and evaluating the pension fund’s internal control environment, including its financial and IT systems and controls;</w:t>
      </w:r>
    </w:p>
    <w:p w:rsidR="00576F87" w:rsidRDefault="004165F5">
      <w:pPr>
        <w:numPr>
          <w:ilvl w:val="0"/>
          <w:numId w:val="6"/>
        </w:numPr>
        <w:spacing w:after="53" w:line="254" w:lineRule="auto"/>
        <w:ind w:hanging="10"/>
        <w:jc w:val="both"/>
      </w:pPr>
      <w:r>
        <w:rPr>
          <w:rFonts w:ascii="Garamond" w:eastAsia="Garamond" w:hAnsi="Garamond" w:cs="Garamond"/>
          <w:sz w:val="20"/>
        </w:rPr>
        <w:t xml:space="preserve">Documenting our understanding of the processes applied by management over contributions, pension benefits payable, pension fund membership data and transfer of data to the pension fund actuary and evaluating the operational effectiveness of the associated </w:t>
      </w:r>
      <w:r>
        <w:rPr>
          <w:rFonts w:ascii="Garamond" w:eastAsia="Garamond" w:hAnsi="Garamond" w:cs="Garamond"/>
          <w:sz w:val="20"/>
        </w:rPr>
        <w:t>controls;</w:t>
      </w:r>
    </w:p>
    <w:p w:rsidR="00576F87" w:rsidRDefault="004165F5">
      <w:pPr>
        <w:numPr>
          <w:ilvl w:val="0"/>
          <w:numId w:val="6"/>
        </w:numPr>
        <w:spacing w:after="34" w:line="265" w:lineRule="auto"/>
        <w:ind w:hanging="10"/>
        <w:jc w:val="both"/>
      </w:pPr>
      <w:r>
        <w:rPr>
          <w:rFonts w:ascii="Garamond" w:eastAsia="Garamond" w:hAnsi="Garamond" w:cs="Garamond"/>
          <w:sz w:val="20"/>
        </w:rPr>
        <w:t>Gaining an understanding of the pension fund and obtaining supporting evidence to corroborate significant accounting transactions and disclosures within the pension fund financial statements; and</w:t>
      </w:r>
    </w:p>
    <w:p w:rsidR="00576F87" w:rsidRDefault="004165F5">
      <w:pPr>
        <w:numPr>
          <w:ilvl w:val="0"/>
          <w:numId w:val="6"/>
        </w:numPr>
        <w:spacing w:after="286" w:line="265" w:lineRule="auto"/>
        <w:ind w:hanging="10"/>
        <w:jc w:val="both"/>
      </w:pPr>
      <w:r>
        <w:rPr>
          <w:rFonts w:ascii="Garamond" w:eastAsia="Garamond" w:hAnsi="Garamond" w:cs="Garamond"/>
          <w:sz w:val="20"/>
        </w:rPr>
        <w:t>Substantive testing of the income, expenditure and</w:t>
      </w:r>
      <w:r>
        <w:rPr>
          <w:rFonts w:ascii="Garamond" w:eastAsia="Garamond" w:hAnsi="Garamond" w:cs="Garamond"/>
          <w:sz w:val="20"/>
        </w:rPr>
        <w:t xml:space="preserve"> net assets of the pension fund. Testing undertaken covered all material and significant transactions and balances.</w:t>
      </w:r>
    </w:p>
    <w:p w:rsidR="00576F87" w:rsidRDefault="004165F5">
      <w:pPr>
        <w:spacing w:after="5" w:line="265" w:lineRule="auto"/>
        <w:ind w:left="38" w:hanging="10"/>
        <w:jc w:val="both"/>
      </w:pPr>
      <w:r>
        <w:rPr>
          <w:rFonts w:ascii="Garamond" w:eastAsia="Garamond" w:hAnsi="Garamond" w:cs="Garamond"/>
          <w:sz w:val="20"/>
        </w:rPr>
        <w:t>There were no significant changes in the scope of the audit or procedures performed in respect of the key audit matters identified as compar</w:t>
      </w:r>
      <w:r>
        <w:rPr>
          <w:rFonts w:ascii="Garamond" w:eastAsia="Garamond" w:hAnsi="Garamond" w:cs="Garamond"/>
          <w:sz w:val="20"/>
        </w:rPr>
        <w:t>ed to the prior year.</w:t>
      </w:r>
    </w:p>
    <w:p w:rsidR="00576F87" w:rsidRDefault="004165F5">
      <w:pPr>
        <w:pStyle w:val="Heading6"/>
        <w:spacing w:after="128"/>
        <w:ind w:left="45"/>
      </w:pPr>
      <w:r>
        <w:rPr>
          <w:sz w:val="18"/>
        </w:rPr>
        <w:t>Other information</w:t>
      </w:r>
    </w:p>
    <w:p w:rsidR="00576F87" w:rsidRDefault="004165F5">
      <w:pPr>
        <w:spacing w:after="434" w:line="265" w:lineRule="auto"/>
        <w:ind w:left="38" w:hanging="10"/>
        <w:jc w:val="both"/>
      </w:pPr>
      <w:r>
        <w:rPr>
          <w:rFonts w:ascii="Garamond" w:eastAsia="Garamond" w:hAnsi="Garamond" w:cs="Garamond"/>
          <w:sz w:val="20"/>
        </w:rPr>
        <w:t xml:space="preserve">The Section 151 Officer is responsible for the other information. The other information comprises the information included in the Statement of Accounts other than the pension fund financial statements, our auditor’s </w:t>
      </w:r>
      <w:r>
        <w:rPr>
          <w:rFonts w:ascii="Garamond" w:eastAsia="Garamond" w:hAnsi="Garamond" w:cs="Garamond"/>
          <w:sz w:val="20"/>
        </w:rPr>
        <w:t xml:space="preserve">report thereon and our auditor’s </w:t>
      </w:r>
      <w:r>
        <w:rPr>
          <w:rFonts w:ascii="Garamond" w:eastAsia="Garamond" w:hAnsi="Garamond" w:cs="Garamond"/>
          <w:sz w:val="20"/>
        </w:rPr>
        <w:lastRenderedPageBreak/>
        <w:t>report on the group’s and Authority’s financial statements. Our opinion on the pension fund financial statements does not cover the other information and, except to the extent otherwise explicitly stated in our report, we d</w:t>
      </w:r>
      <w:r>
        <w:rPr>
          <w:rFonts w:ascii="Garamond" w:eastAsia="Garamond" w:hAnsi="Garamond" w:cs="Garamond"/>
          <w:sz w:val="20"/>
        </w:rPr>
        <w:t xml:space="preserve">o not express any form of assurance conclusion thereon. </w:t>
      </w:r>
    </w:p>
    <w:p w:rsidR="00576F87" w:rsidRDefault="004165F5">
      <w:pPr>
        <w:spacing w:after="249" w:line="265" w:lineRule="auto"/>
        <w:ind w:left="38" w:hanging="10"/>
        <w:jc w:val="both"/>
      </w:pPr>
      <w:r>
        <w:rPr>
          <w:rFonts w:ascii="Garamond" w:eastAsia="Garamond" w:hAnsi="Garamond" w:cs="Garamond"/>
          <w:sz w:val="20"/>
        </w:rPr>
        <w:t>In connection with our audit of the pension fund financial statements, our responsibility is to read the other information and, in doing so, consider whether the other information is materially incon</w:t>
      </w:r>
      <w:r>
        <w:rPr>
          <w:rFonts w:ascii="Garamond" w:eastAsia="Garamond" w:hAnsi="Garamond" w:cs="Garamond"/>
          <w:sz w:val="20"/>
        </w:rPr>
        <w:t>sistent with the pension fund financial statements or our knowledge of the pension fund of the Authority obtained in the course of our work or otherwise appears to be materially misstated. If we identify such material inconsistencies or apparent material m</w:t>
      </w:r>
      <w:r>
        <w:rPr>
          <w:rFonts w:ascii="Garamond" w:eastAsia="Garamond" w:hAnsi="Garamond" w:cs="Garamond"/>
          <w:sz w:val="20"/>
        </w:rPr>
        <w:t xml:space="preserve">isstatements, we are required to determine whether there is a material misstatement in the pension fund financial statements or a material misstatement of the other information. If, based on the work we have performed, we conclude that there is a material </w:t>
      </w:r>
      <w:r>
        <w:rPr>
          <w:rFonts w:ascii="Garamond" w:eastAsia="Garamond" w:hAnsi="Garamond" w:cs="Garamond"/>
          <w:sz w:val="20"/>
        </w:rPr>
        <w:t>misstatement of this other information, we are required to report that fact. We have nothing to report in this regard.</w:t>
      </w:r>
    </w:p>
    <w:p w:rsidR="00576F87" w:rsidRDefault="004165F5">
      <w:pPr>
        <w:pStyle w:val="Heading7"/>
        <w:ind w:right="290"/>
      </w:pPr>
      <w:r>
        <w:t xml:space="preserve">Our opinion on other matter required by the Code of Audit Practice is unmodified </w:t>
      </w:r>
    </w:p>
    <w:p w:rsidR="00576F87" w:rsidRDefault="004165F5">
      <w:pPr>
        <w:pBdr>
          <w:top w:val="single" w:sz="19" w:space="0" w:color="7030A0"/>
          <w:left w:val="single" w:sz="24" w:space="0" w:color="7030A0"/>
          <w:bottom w:val="single" w:sz="19" w:space="0" w:color="7030A0"/>
          <w:right w:val="single" w:sz="25" w:space="0" w:color="7030A0"/>
        </w:pBdr>
        <w:spacing w:after="325" w:line="236" w:lineRule="auto"/>
        <w:ind w:left="139" w:right="290"/>
      </w:pPr>
      <w:r>
        <w:rPr>
          <w:rFonts w:ascii="Garamond" w:eastAsia="Garamond" w:hAnsi="Garamond" w:cs="Garamond"/>
          <w:sz w:val="18"/>
        </w:rPr>
        <w:t>In our opinion, based on the work undertaken in the cou</w:t>
      </w:r>
      <w:r>
        <w:rPr>
          <w:rFonts w:ascii="Garamond" w:eastAsia="Garamond" w:hAnsi="Garamond" w:cs="Garamond"/>
          <w:sz w:val="18"/>
        </w:rPr>
        <w:t>rse of the audit of the pension fund financial statements the other information published together with the pension fund financial statements in the Statement of Accounts for the financial year for which the pension fund financial statements are prepared i</w:t>
      </w:r>
      <w:r>
        <w:rPr>
          <w:rFonts w:ascii="Garamond" w:eastAsia="Garamond" w:hAnsi="Garamond" w:cs="Garamond"/>
          <w:sz w:val="18"/>
        </w:rPr>
        <w:t xml:space="preserve">s consistent with the pension fund financial statements. </w:t>
      </w:r>
    </w:p>
    <w:p w:rsidR="00576F87" w:rsidRDefault="004165F5">
      <w:pPr>
        <w:spacing w:after="308"/>
      </w:pPr>
      <w:r>
        <w:rPr>
          <w:rFonts w:ascii="Garamond" w:eastAsia="Garamond" w:hAnsi="Garamond" w:cs="Garamond"/>
          <w:sz w:val="18"/>
        </w:rPr>
        <w:t xml:space="preserve"> </w:t>
      </w:r>
    </w:p>
    <w:p w:rsidR="00576F87" w:rsidRDefault="004165F5">
      <w:pPr>
        <w:pStyle w:val="Heading6"/>
        <w:spacing w:after="87"/>
        <w:ind w:left="45"/>
      </w:pPr>
      <w:r>
        <w:rPr>
          <w:sz w:val="18"/>
        </w:rPr>
        <w:t>Matters on which we are required to report by exception</w:t>
      </w:r>
    </w:p>
    <w:p w:rsidR="00576F87" w:rsidRDefault="004165F5">
      <w:pPr>
        <w:spacing w:after="39" w:line="265" w:lineRule="auto"/>
        <w:ind w:left="38" w:hanging="10"/>
        <w:jc w:val="both"/>
      </w:pPr>
      <w:r>
        <w:rPr>
          <w:rFonts w:ascii="Garamond" w:eastAsia="Garamond" w:hAnsi="Garamond" w:cs="Garamond"/>
          <w:sz w:val="20"/>
        </w:rPr>
        <w:t>Under the Code of Audit Practice we are required to report to you if:</w:t>
      </w:r>
    </w:p>
    <w:p w:rsidR="00576F87" w:rsidRDefault="004165F5">
      <w:pPr>
        <w:numPr>
          <w:ilvl w:val="0"/>
          <w:numId w:val="7"/>
        </w:numPr>
        <w:spacing w:after="34" w:line="265" w:lineRule="auto"/>
        <w:ind w:hanging="427"/>
        <w:jc w:val="both"/>
      </w:pPr>
      <w:r>
        <w:rPr>
          <w:rFonts w:ascii="Garamond" w:eastAsia="Garamond" w:hAnsi="Garamond" w:cs="Garamond"/>
          <w:sz w:val="20"/>
        </w:rPr>
        <w:t>we have reported a matter in the public interest under section 24 of the Local Audit and Accountability Act 2014  in the course of, or at the conclusion of the audit; or</w:t>
      </w:r>
    </w:p>
    <w:p w:rsidR="00576F87" w:rsidRDefault="004165F5">
      <w:pPr>
        <w:numPr>
          <w:ilvl w:val="0"/>
          <w:numId w:val="7"/>
        </w:numPr>
        <w:spacing w:after="5" w:line="265" w:lineRule="auto"/>
        <w:ind w:hanging="427"/>
        <w:jc w:val="both"/>
      </w:pPr>
      <w:r>
        <w:rPr>
          <w:rFonts w:ascii="Garamond" w:eastAsia="Garamond" w:hAnsi="Garamond" w:cs="Garamond"/>
          <w:sz w:val="20"/>
        </w:rPr>
        <w:t>we have made a written recommendation to the Authority under section 24 of the Local A</w:t>
      </w:r>
      <w:r>
        <w:rPr>
          <w:rFonts w:ascii="Garamond" w:eastAsia="Garamond" w:hAnsi="Garamond" w:cs="Garamond"/>
          <w:sz w:val="20"/>
        </w:rPr>
        <w:t xml:space="preserve">udit and </w:t>
      </w:r>
    </w:p>
    <w:p w:rsidR="00576F87" w:rsidRDefault="004165F5">
      <w:pPr>
        <w:spacing w:after="5" w:line="265" w:lineRule="auto"/>
        <w:ind w:left="466" w:hanging="10"/>
        <w:jc w:val="both"/>
      </w:pPr>
      <w:r>
        <w:rPr>
          <w:rFonts w:ascii="Garamond" w:eastAsia="Garamond" w:hAnsi="Garamond" w:cs="Garamond"/>
          <w:sz w:val="20"/>
        </w:rPr>
        <w:t>Accountability Act 2014  in the course of, or at the conclusion of the audit; or</w:t>
      </w:r>
    </w:p>
    <w:p w:rsidR="00576F87" w:rsidRDefault="004165F5">
      <w:pPr>
        <w:numPr>
          <w:ilvl w:val="0"/>
          <w:numId w:val="7"/>
        </w:numPr>
        <w:spacing w:after="5" w:line="538" w:lineRule="auto"/>
        <w:ind w:hanging="427"/>
        <w:jc w:val="both"/>
      </w:pPr>
      <w:r>
        <w:rPr>
          <w:rFonts w:ascii="Garamond" w:eastAsia="Garamond" w:hAnsi="Garamond" w:cs="Garamond"/>
          <w:sz w:val="20"/>
        </w:rPr>
        <w:t>we have exercised any other special powers of the auditor under the Local Audit and Accountability Act 2014. We have nothing to report in respect of the above matter</w:t>
      </w:r>
      <w:r>
        <w:rPr>
          <w:rFonts w:ascii="Garamond" w:eastAsia="Garamond" w:hAnsi="Garamond" w:cs="Garamond"/>
          <w:sz w:val="20"/>
        </w:rPr>
        <w:t>s</w:t>
      </w:r>
      <w:r>
        <w:rPr>
          <w:rFonts w:ascii="Garamond" w:eastAsia="Garamond" w:hAnsi="Garamond" w:cs="Garamond"/>
          <w:b/>
          <w:sz w:val="20"/>
        </w:rPr>
        <w:t>.</w:t>
      </w:r>
    </w:p>
    <w:p w:rsidR="00576F87" w:rsidRDefault="004165F5">
      <w:pPr>
        <w:pStyle w:val="Heading6"/>
        <w:spacing w:after="87" w:line="333" w:lineRule="auto"/>
        <w:ind w:left="45"/>
      </w:pPr>
      <w:r>
        <w:rPr>
          <w:sz w:val="18"/>
        </w:rPr>
        <w:t>Responsibilities of the Authority, the Section 151 officer and Those Charged with Governance for the pension fund financial statements</w:t>
      </w:r>
    </w:p>
    <w:p w:rsidR="00576F87" w:rsidRDefault="004165F5">
      <w:pPr>
        <w:spacing w:after="5" w:line="265" w:lineRule="auto"/>
        <w:ind w:left="38" w:hanging="10"/>
        <w:jc w:val="both"/>
      </w:pPr>
      <w:r>
        <w:rPr>
          <w:rFonts w:ascii="Garamond" w:eastAsia="Garamond" w:hAnsi="Garamond" w:cs="Garamond"/>
          <w:sz w:val="20"/>
        </w:rPr>
        <w:t>As explained more fully in the Statement of Responsibilities for the Statement of Accounts set out on page 10, the Aut</w:t>
      </w:r>
      <w:r>
        <w:rPr>
          <w:rFonts w:ascii="Garamond" w:eastAsia="Garamond" w:hAnsi="Garamond" w:cs="Garamond"/>
          <w:sz w:val="20"/>
        </w:rPr>
        <w:t>hority is required to make arrangements for the proper administration of its financial affairs and to secure that one of its officers has the responsibility for the administration of those affairs. In this authority, that officer is the Section 151 Officer</w:t>
      </w:r>
      <w:r>
        <w:rPr>
          <w:rFonts w:ascii="Garamond" w:eastAsia="Garamond" w:hAnsi="Garamond" w:cs="Garamond"/>
          <w:sz w:val="20"/>
        </w:rPr>
        <w:t>. The Section 151 Officer is responsible for the preparation of the Statement of Accounts, which includes the pension fund financial statements, in accordance with proper practices as set out in the CIPFA/LASAAC code of practice on local authority accounti</w:t>
      </w:r>
      <w:r>
        <w:rPr>
          <w:rFonts w:ascii="Garamond" w:eastAsia="Garamond" w:hAnsi="Garamond" w:cs="Garamond"/>
          <w:sz w:val="20"/>
        </w:rPr>
        <w:t>ng in the United Kingdom 2017/18, which give a true and fair view, and for such internal control as the Section 151 Officer determines is necessary to enable the preparation of pension fund financial statements that are free from material misstatement, whe</w:t>
      </w:r>
      <w:r>
        <w:rPr>
          <w:rFonts w:ascii="Garamond" w:eastAsia="Garamond" w:hAnsi="Garamond" w:cs="Garamond"/>
          <w:sz w:val="20"/>
        </w:rPr>
        <w:t xml:space="preserve">ther due to fraud or error. </w:t>
      </w:r>
    </w:p>
    <w:p w:rsidR="00576F87" w:rsidRDefault="004165F5">
      <w:pPr>
        <w:spacing w:after="235" w:line="265" w:lineRule="auto"/>
        <w:ind w:left="38" w:hanging="10"/>
        <w:jc w:val="both"/>
      </w:pPr>
      <w:r>
        <w:rPr>
          <w:rFonts w:ascii="Garamond" w:eastAsia="Garamond" w:hAnsi="Garamond" w:cs="Garamond"/>
          <w:sz w:val="20"/>
        </w:rPr>
        <w:t>In preparing the pension fund financial statements, the Section 151 Officer is responsible for assessing the pension fund’s ability to continue as a going concern, disclosing, as applicable, matters related to going concern and</w:t>
      </w:r>
      <w:r>
        <w:rPr>
          <w:rFonts w:ascii="Garamond" w:eastAsia="Garamond" w:hAnsi="Garamond" w:cs="Garamond"/>
          <w:sz w:val="20"/>
        </w:rPr>
        <w:t xml:space="preserve"> using the going concern basis of accounting unless the pension fund lacks funding for its continued existence or when policy decisions have been made that affect the services provided by the pension fund.</w:t>
      </w:r>
    </w:p>
    <w:p w:rsidR="00576F87" w:rsidRDefault="004165F5">
      <w:pPr>
        <w:spacing w:after="199" w:line="265" w:lineRule="auto"/>
        <w:ind w:left="38" w:hanging="10"/>
        <w:jc w:val="both"/>
      </w:pPr>
      <w:r>
        <w:rPr>
          <w:rFonts w:ascii="Garamond" w:eastAsia="Garamond" w:hAnsi="Garamond" w:cs="Garamond"/>
          <w:sz w:val="20"/>
        </w:rPr>
        <w:t>The Audit and Risk Committee is Those Charged with Governance.</w:t>
      </w:r>
    </w:p>
    <w:p w:rsidR="00576F87" w:rsidRDefault="004165F5">
      <w:pPr>
        <w:pStyle w:val="Heading6"/>
        <w:spacing w:after="137"/>
        <w:ind w:left="45"/>
      </w:pPr>
      <w:r>
        <w:rPr>
          <w:sz w:val="18"/>
        </w:rPr>
        <w:t>Auditor’s responsibilities for the audit of the financial statements</w:t>
      </w:r>
    </w:p>
    <w:p w:rsidR="00576F87" w:rsidRDefault="004165F5">
      <w:pPr>
        <w:spacing w:after="336" w:line="265" w:lineRule="auto"/>
        <w:ind w:left="38" w:hanging="10"/>
        <w:jc w:val="both"/>
      </w:pPr>
      <w:r>
        <w:rPr>
          <w:rFonts w:ascii="Garamond" w:eastAsia="Garamond" w:hAnsi="Garamond" w:cs="Garamond"/>
          <w:sz w:val="20"/>
        </w:rPr>
        <w:t>Our objectives are to obtain reasonable assurance about whether the pension fund financial statements as a whole are free fr</w:t>
      </w:r>
      <w:r>
        <w:rPr>
          <w:rFonts w:ascii="Garamond" w:eastAsia="Garamond" w:hAnsi="Garamond" w:cs="Garamond"/>
          <w:sz w:val="20"/>
        </w:rPr>
        <w:t xml:space="preserve">om material misstatement, whether due to fraud or error, and to issue an auditor’s report that includes our opinion. Reasonable assurance is a high level of assurance, but is not a guarantee that an audit conducted in accordance with ISAs (UK) will always </w:t>
      </w:r>
      <w:r>
        <w:rPr>
          <w:rFonts w:ascii="Garamond" w:eastAsia="Garamond" w:hAnsi="Garamond" w:cs="Garamond"/>
          <w:sz w:val="20"/>
        </w:rPr>
        <w:t xml:space="preserve">detect a material misstatement when it exists. Misstatements can arise from fraud or error and are considered material if, </w:t>
      </w:r>
      <w:r>
        <w:rPr>
          <w:rFonts w:ascii="Garamond" w:eastAsia="Garamond" w:hAnsi="Garamond" w:cs="Garamond"/>
          <w:sz w:val="20"/>
        </w:rPr>
        <w:lastRenderedPageBreak/>
        <w:t>individually or in the aggregate, they could reasonably be expected to influence the economic decisions of users taken on the basis o</w:t>
      </w:r>
      <w:r>
        <w:rPr>
          <w:rFonts w:ascii="Garamond" w:eastAsia="Garamond" w:hAnsi="Garamond" w:cs="Garamond"/>
          <w:sz w:val="20"/>
        </w:rPr>
        <w:t>f these pension fund financial statements.</w:t>
      </w:r>
    </w:p>
    <w:p w:rsidR="00576F87" w:rsidRDefault="004165F5">
      <w:pPr>
        <w:spacing w:after="5" w:line="265" w:lineRule="auto"/>
        <w:ind w:left="38" w:hanging="10"/>
        <w:jc w:val="both"/>
      </w:pPr>
      <w:r>
        <w:rPr>
          <w:rFonts w:ascii="Garamond" w:eastAsia="Garamond" w:hAnsi="Garamond" w:cs="Garamond"/>
          <w:sz w:val="20"/>
        </w:rPr>
        <w:t>We are responsible for obtaining reasonable assurance that the financial statements taken as a whole are free from material misstatement, whether caused by fraud or error. Owing to the inherent limitations of an a</w:t>
      </w:r>
      <w:r>
        <w:rPr>
          <w:rFonts w:ascii="Garamond" w:eastAsia="Garamond" w:hAnsi="Garamond" w:cs="Garamond"/>
          <w:sz w:val="20"/>
        </w:rPr>
        <w:t>udit, there is an unavoidable risk that material misstatements of the pension fund financial statements may not be detected, even though the audit is properly planned and performed in accordance with the ISAs (UK). Our audit approach is a risk-based approa</w:t>
      </w:r>
      <w:r>
        <w:rPr>
          <w:rFonts w:ascii="Garamond" w:eastAsia="Garamond" w:hAnsi="Garamond" w:cs="Garamond"/>
          <w:sz w:val="20"/>
        </w:rPr>
        <w:t>ch and is explained</w:t>
      </w:r>
    </w:p>
    <w:p w:rsidR="00576F87" w:rsidRDefault="004165F5">
      <w:pPr>
        <w:spacing w:after="299" w:line="265" w:lineRule="auto"/>
        <w:ind w:left="38" w:hanging="10"/>
        <w:jc w:val="both"/>
      </w:pPr>
      <w:r>
        <w:rPr>
          <w:rFonts w:ascii="Garamond" w:eastAsia="Garamond" w:hAnsi="Garamond" w:cs="Garamond"/>
          <w:sz w:val="20"/>
        </w:rPr>
        <w:t>more fully in the ‘An overview of the scope of our audit’ section of our audit report</w:t>
      </w:r>
    </w:p>
    <w:p w:rsidR="00576F87" w:rsidRDefault="004165F5">
      <w:pPr>
        <w:spacing w:after="5" w:line="265" w:lineRule="auto"/>
        <w:ind w:left="38" w:hanging="10"/>
        <w:jc w:val="both"/>
      </w:pPr>
      <w:r>
        <w:rPr>
          <w:rFonts w:ascii="Garamond" w:eastAsia="Garamond" w:hAnsi="Garamond" w:cs="Garamond"/>
          <w:sz w:val="20"/>
        </w:rPr>
        <w:t>A further description of our responsibilities for the audit of the pension fund financial statements is located on the Financial Reporting Council’s w</w:t>
      </w:r>
      <w:r>
        <w:rPr>
          <w:rFonts w:ascii="Garamond" w:eastAsia="Garamond" w:hAnsi="Garamond" w:cs="Garamond"/>
          <w:sz w:val="20"/>
        </w:rPr>
        <w:t xml:space="preserve">ebsite at: </w:t>
      </w:r>
    </w:p>
    <w:p w:rsidR="00576F87" w:rsidRDefault="004165F5">
      <w:pPr>
        <w:spacing w:after="16"/>
        <w:ind w:left="43"/>
      </w:pPr>
      <w:r>
        <w:rPr>
          <w:rFonts w:ascii="Garamond" w:eastAsia="Garamond" w:hAnsi="Garamond" w:cs="Garamond"/>
          <w:color w:val="0000FF"/>
          <w:sz w:val="20"/>
          <w:u w:val="single" w:color="0000FF"/>
        </w:rPr>
        <w:t>www.frc.org.uk/auditorsresponsibilities.</w:t>
      </w:r>
    </w:p>
    <w:p w:rsidR="00576F87" w:rsidRDefault="004165F5">
      <w:pPr>
        <w:spacing w:after="273" w:line="265" w:lineRule="auto"/>
        <w:ind w:left="38" w:hanging="10"/>
        <w:jc w:val="both"/>
      </w:pPr>
      <w:r>
        <w:rPr>
          <w:rFonts w:ascii="Garamond" w:eastAsia="Garamond" w:hAnsi="Garamond" w:cs="Garamond"/>
          <w:sz w:val="20"/>
        </w:rPr>
        <w:t>This description forms part of our auditor’s report</w:t>
      </w:r>
    </w:p>
    <w:p w:rsidR="00576F87" w:rsidRDefault="004165F5">
      <w:pPr>
        <w:pStyle w:val="Heading6"/>
        <w:spacing w:after="87"/>
        <w:ind w:left="45"/>
      </w:pPr>
      <w:r>
        <w:rPr>
          <w:sz w:val="18"/>
        </w:rPr>
        <w:t>Other matters which we are required to address</w:t>
      </w:r>
    </w:p>
    <w:p w:rsidR="00576F87" w:rsidRDefault="004165F5">
      <w:pPr>
        <w:spacing w:after="218" w:line="265" w:lineRule="auto"/>
        <w:ind w:left="38" w:hanging="10"/>
        <w:jc w:val="both"/>
      </w:pPr>
      <w:r>
        <w:rPr>
          <w:rFonts w:ascii="Garamond" w:eastAsia="Garamond" w:hAnsi="Garamond" w:cs="Garamond"/>
          <w:sz w:val="20"/>
        </w:rPr>
        <w:t xml:space="preserve">We were appointed by the Audit Commission on 26 July 2012. The period of total uninterrupted engagement </w:t>
      </w:r>
      <w:r>
        <w:rPr>
          <w:rFonts w:ascii="Garamond" w:eastAsia="Garamond" w:hAnsi="Garamond" w:cs="Garamond"/>
          <w:sz w:val="20"/>
        </w:rPr>
        <w:t>including previous renewals and reappointments of the firm is six years.</w:t>
      </w:r>
    </w:p>
    <w:p w:rsidR="00576F87" w:rsidRDefault="004165F5">
      <w:pPr>
        <w:spacing w:after="5" w:line="265" w:lineRule="auto"/>
        <w:ind w:left="38" w:hanging="10"/>
        <w:jc w:val="both"/>
      </w:pPr>
      <w:r>
        <w:rPr>
          <w:rFonts w:ascii="Garamond" w:eastAsia="Garamond" w:hAnsi="Garamond" w:cs="Garamond"/>
          <w:sz w:val="20"/>
        </w:rPr>
        <w:t>The non-audit services prohibited by the FRC’s Ethical Standard were not provided to the Authority and we remain independent of the Authority in conducting our audit.</w:t>
      </w:r>
    </w:p>
    <w:p w:rsidR="00576F87" w:rsidRDefault="004165F5">
      <w:pPr>
        <w:spacing w:after="5" w:line="265" w:lineRule="auto"/>
        <w:ind w:left="38" w:hanging="10"/>
        <w:jc w:val="both"/>
      </w:pPr>
      <w:r>
        <w:rPr>
          <w:rFonts w:ascii="Garamond" w:eastAsia="Garamond" w:hAnsi="Garamond" w:cs="Garamond"/>
          <w:sz w:val="20"/>
        </w:rPr>
        <w:t>Our audit opinio</w:t>
      </w:r>
      <w:r>
        <w:rPr>
          <w:rFonts w:ascii="Garamond" w:eastAsia="Garamond" w:hAnsi="Garamond" w:cs="Garamond"/>
          <w:sz w:val="20"/>
        </w:rPr>
        <w:t>n is consistent with the additional report to the Audit and Risk Committee.</w:t>
      </w:r>
    </w:p>
    <w:p w:rsidR="00576F87" w:rsidRDefault="004165F5">
      <w:pPr>
        <w:spacing w:after="67"/>
        <w:ind w:left="43"/>
      </w:pPr>
      <w:r>
        <w:rPr>
          <w:rFonts w:ascii="Garamond" w:eastAsia="Garamond" w:hAnsi="Garamond" w:cs="Garamond"/>
          <w:sz w:val="20"/>
        </w:rPr>
        <w:t xml:space="preserve"> </w:t>
      </w:r>
    </w:p>
    <w:p w:rsidR="00576F87" w:rsidRDefault="004165F5">
      <w:pPr>
        <w:spacing w:after="209"/>
        <w:ind w:left="28"/>
      </w:pPr>
      <w:r>
        <w:rPr>
          <w:rFonts w:ascii="Garamond" w:eastAsia="Garamond" w:hAnsi="Garamond" w:cs="Garamond"/>
          <w:b/>
          <w:sz w:val="28"/>
        </w:rPr>
        <w:t>Ciaran McLaughlin</w:t>
      </w:r>
    </w:p>
    <w:p w:rsidR="00576F87" w:rsidRDefault="004165F5">
      <w:pPr>
        <w:spacing w:after="158" w:line="265" w:lineRule="auto"/>
        <w:ind w:left="38" w:right="4513" w:hanging="10"/>
        <w:jc w:val="both"/>
      </w:pPr>
      <w:r>
        <w:rPr>
          <w:rFonts w:ascii="Garamond" w:eastAsia="Garamond" w:hAnsi="Garamond" w:cs="Garamond"/>
          <w:b/>
          <w:sz w:val="20"/>
        </w:rPr>
        <w:t xml:space="preserve">Ciaran McLaughlin </w:t>
      </w:r>
      <w:r>
        <w:rPr>
          <w:rFonts w:ascii="Garamond" w:eastAsia="Garamond" w:hAnsi="Garamond" w:cs="Garamond"/>
          <w:sz w:val="20"/>
        </w:rPr>
        <w:t>for and on behalf of Grant Thornton UK LLP, Appointed Auditor</w:t>
      </w:r>
    </w:p>
    <w:p w:rsidR="00576F87" w:rsidRDefault="004165F5">
      <w:pPr>
        <w:spacing w:after="5" w:line="265" w:lineRule="auto"/>
        <w:ind w:left="38" w:hanging="10"/>
        <w:jc w:val="both"/>
      </w:pPr>
      <w:r>
        <w:rPr>
          <w:rFonts w:ascii="Garamond" w:eastAsia="Garamond" w:hAnsi="Garamond" w:cs="Garamond"/>
          <w:sz w:val="20"/>
        </w:rPr>
        <w:t>30 Finsbury Square</w:t>
      </w:r>
    </w:p>
    <w:p w:rsidR="00576F87" w:rsidRDefault="004165F5">
      <w:pPr>
        <w:spacing w:after="5" w:line="265" w:lineRule="auto"/>
        <w:ind w:left="38" w:hanging="10"/>
        <w:jc w:val="both"/>
      </w:pPr>
      <w:r>
        <w:rPr>
          <w:rFonts w:ascii="Garamond" w:eastAsia="Garamond" w:hAnsi="Garamond" w:cs="Garamond"/>
          <w:sz w:val="20"/>
        </w:rPr>
        <w:t>London</w:t>
      </w:r>
    </w:p>
    <w:p w:rsidR="00576F87" w:rsidRDefault="004165F5">
      <w:pPr>
        <w:spacing w:after="211" w:line="265" w:lineRule="auto"/>
        <w:ind w:left="38" w:hanging="10"/>
        <w:jc w:val="both"/>
      </w:pPr>
      <w:r>
        <w:rPr>
          <w:rFonts w:ascii="Garamond" w:eastAsia="Garamond" w:hAnsi="Garamond" w:cs="Garamond"/>
          <w:sz w:val="20"/>
        </w:rPr>
        <w:t>EC2A 1AG</w:t>
      </w:r>
    </w:p>
    <w:p w:rsidR="00576F87" w:rsidRDefault="004165F5">
      <w:pPr>
        <w:spacing w:after="5" w:line="265" w:lineRule="auto"/>
        <w:ind w:left="38" w:hanging="10"/>
        <w:jc w:val="both"/>
      </w:pPr>
      <w:r>
        <w:rPr>
          <w:rFonts w:ascii="Garamond" w:eastAsia="Garamond" w:hAnsi="Garamond" w:cs="Garamond"/>
          <w:sz w:val="20"/>
        </w:rPr>
        <w:t>20 August 2018</w:t>
      </w:r>
    </w:p>
    <w:p w:rsidR="00576F87" w:rsidRDefault="00576F87">
      <w:pPr>
        <w:sectPr w:rsidR="00576F87">
          <w:headerReference w:type="even" r:id="rId31"/>
          <w:headerReference w:type="default" r:id="rId32"/>
          <w:footerReference w:type="even" r:id="rId33"/>
          <w:footerReference w:type="default" r:id="rId34"/>
          <w:headerReference w:type="first" r:id="rId35"/>
          <w:footerReference w:type="first" r:id="rId36"/>
          <w:pgSz w:w="11900" w:h="16840"/>
          <w:pgMar w:top="1921" w:right="1038" w:bottom="1544" w:left="1020" w:header="1090" w:footer="510" w:gutter="0"/>
          <w:cols w:space="720"/>
        </w:sectPr>
      </w:pPr>
    </w:p>
    <w:p w:rsidR="00576F87" w:rsidRDefault="004165F5">
      <w:pPr>
        <w:pStyle w:val="Heading5"/>
        <w:spacing w:after="312"/>
        <w:ind w:left="21" w:hanging="10"/>
        <w:jc w:val="both"/>
      </w:pPr>
      <w:r>
        <w:rPr>
          <w:rFonts w:ascii="Arial" w:eastAsia="Arial" w:hAnsi="Arial" w:cs="Arial"/>
          <w:color w:val="7030A0"/>
          <w:sz w:val="22"/>
        </w:rPr>
        <w:lastRenderedPageBreak/>
        <w:t>Report on the Audit of the Financial Statements</w:t>
      </w:r>
    </w:p>
    <w:p w:rsidR="00576F87" w:rsidRDefault="004165F5">
      <w:pPr>
        <w:pStyle w:val="Heading6"/>
        <w:spacing w:after="0"/>
        <w:ind w:left="16"/>
      </w:pPr>
      <w:r>
        <w:t>Opinion</w:t>
      </w:r>
    </w:p>
    <w:tbl>
      <w:tblPr>
        <w:tblStyle w:val="TableGrid"/>
        <w:tblW w:w="9856" w:type="dxa"/>
        <w:tblInd w:w="-11" w:type="dxa"/>
        <w:tblCellMar>
          <w:top w:w="0" w:type="dxa"/>
          <w:left w:w="27" w:type="dxa"/>
          <w:bottom w:w="0" w:type="dxa"/>
          <w:right w:w="29" w:type="dxa"/>
        </w:tblCellMar>
        <w:tblLook w:val="04A0" w:firstRow="1" w:lastRow="0" w:firstColumn="1" w:lastColumn="0" w:noHBand="0" w:noVBand="1"/>
      </w:tblPr>
      <w:tblGrid>
        <w:gridCol w:w="9856"/>
      </w:tblGrid>
      <w:tr w:rsidR="00576F87">
        <w:trPr>
          <w:trHeight w:val="4529"/>
        </w:trPr>
        <w:tc>
          <w:tcPr>
            <w:tcW w:w="9856" w:type="dxa"/>
            <w:tcBorders>
              <w:top w:val="single" w:sz="23" w:space="0" w:color="5F497A"/>
              <w:left w:val="single" w:sz="16" w:space="0" w:color="5F497A"/>
              <w:bottom w:val="single" w:sz="23" w:space="0" w:color="5F497A"/>
              <w:right w:val="single" w:sz="23" w:space="0" w:color="5F497A"/>
            </w:tcBorders>
            <w:vAlign w:val="center"/>
          </w:tcPr>
          <w:p w:rsidR="00576F87" w:rsidRDefault="004165F5">
            <w:pPr>
              <w:spacing w:after="564"/>
              <w:ind w:left="5"/>
            </w:pPr>
            <w:r>
              <w:rPr>
                <w:rFonts w:ascii="Arial" w:eastAsia="Arial" w:hAnsi="Arial" w:cs="Arial"/>
                <w:b/>
                <w:color w:val="7030A0"/>
                <w:sz w:val="19"/>
              </w:rPr>
              <w:t>Our opinion on the financial statements is unmodified</w:t>
            </w:r>
          </w:p>
          <w:p w:rsidR="00576F87" w:rsidRDefault="004165F5">
            <w:pPr>
              <w:spacing w:after="296" w:line="265" w:lineRule="auto"/>
              <w:jc w:val="both"/>
            </w:pPr>
            <w:r>
              <w:rPr>
                <w:rFonts w:ascii="Garamond" w:eastAsia="Garamond" w:hAnsi="Garamond" w:cs="Garamond"/>
              </w:rPr>
              <w:t xml:space="preserve">We have audited the pension fund financial statements of London Pensions Fund Authority (the ‘Authority’) for the year ended 31 March 2018 which comprise the Fund Account, the Net Assets Statement and the Notes to the Fund Accounts, including a summary of </w:t>
            </w:r>
            <w:r>
              <w:rPr>
                <w:rFonts w:ascii="Garamond" w:eastAsia="Garamond" w:hAnsi="Garamond" w:cs="Garamond"/>
              </w:rPr>
              <w:t>significant accounting policies. The financial reporting framework that has been applied in their preparation is applicable law and the CIPFA/LASAAC code of practice on local authority accounting in the United Kingdom 2017/18.</w:t>
            </w:r>
          </w:p>
          <w:p w:rsidR="00576F87" w:rsidRDefault="004165F5">
            <w:pPr>
              <w:spacing w:after="43"/>
            </w:pPr>
            <w:r>
              <w:rPr>
                <w:rFonts w:ascii="Garamond" w:eastAsia="Garamond" w:hAnsi="Garamond" w:cs="Garamond"/>
              </w:rPr>
              <w:t>In our opinion the pension fu</w:t>
            </w:r>
            <w:r>
              <w:rPr>
                <w:rFonts w:ascii="Garamond" w:eastAsia="Garamond" w:hAnsi="Garamond" w:cs="Garamond"/>
              </w:rPr>
              <w:t>nd financial statements:</w:t>
            </w:r>
          </w:p>
          <w:p w:rsidR="00576F87" w:rsidRDefault="004165F5">
            <w:pPr>
              <w:spacing w:after="0"/>
              <w:ind w:right="108"/>
              <w:jc w:val="center"/>
            </w:pPr>
            <w:r>
              <w:rPr>
                <w:rFonts w:ascii="Segoe UI Symbol" w:eastAsia="Segoe UI Symbol" w:hAnsi="Segoe UI Symbol" w:cs="Segoe UI Symbol"/>
              </w:rPr>
              <w:t>•</w:t>
            </w:r>
            <w:r>
              <w:rPr>
                <w:rFonts w:ascii="Times New Roman" w:eastAsia="Times New Roman" w:hAnsi="Times New Roman" w:cs="Times New Roman"/>
                <w:sz w:val="14"/>
              </w:rPr>
              <w:t xml:space="preserve">      </w:t>
            </w:r>
            <w:r>
              <w:rPr>
                <w:rFonts w:ascii="Garamond" w:eastAsia="Garamond" w:hAnsi="Garamond" w:cs="Garamond"/>
              </w:rPr>
              <w:t xml:space="preserve">give a true and fair view of the financial transactions of the pension fund during the year ended 31 March </w:t>
            </w:r>
          </w:p>
          <w:p w:rsidR="00576F87" w:rsidRDefault="004165F5">
            <w:pPr>
              <w:spacing w:after="38"/>
              <w:ind w:left="291"/>
            </w:pPr>
            <w:r>
              <w:rPr>
                <w:rFonts w:ascii="Garamond" w:eastAsia="Garamond" w:hAnsi="Garamond" w:cs="Garamond"/>
              </w:rPr>
              <w:t>2018 and of the amount and disposition at that date of the fund’s assets and liabilities;</w:t>
            </w:r>
          </w:p>
          <w:p w:rsidR="00576F87" w:rsidRDefault="004165F5">
            <w:pPr>
              <w:numPr>
                <w:ilvl w:val="0"/>
                <w:numId w:val="20"/>
              </w:numPr>
              <w:spacing w:after="176" w:line="260" w:lineRule="auto"/>
            </w:pPr>
            <w:r>
              <w:rPr>
                <w:rFonts w:ascii="Garamond" w:eastAsia="Garamond" w:hAnsi="Garamond" w:cs="Garamond"/>
              </w:rPr>
              <w:t xml:space="preserve">have been prepared properly in accordance with the CIPFA/LASAAC code of practice on local authority accounting in the United Kingdom 2017/18; and </w:t>
            </w:r>
          </w:p>
          <w:p w:rsidR="00576F87" w:rsidRDefault="004165F5">
            <w:pPr>
              <w:numPr>
                <w:ilvl w:val="0"/>
                <w:numId w:val="20"/>
              </w:numPr>
              <w:spacing w:after="0"/>
            </w:pPr>
            <w:r>
              <w:rPr>
                <w:rFonts w:ascii="Garamond" w:eastAsia="Garamond" w:hAnsi="Garamond" w:cs="Garamond"/>
              </w:rPr>
              <w:t>have been prepared in accordance with the requirements of the Local Audit and Accountability Act 2014.</w:t>
            </w:r>
          </w:p>
        </w:tc>
      </w:tr>
    </w:tbl>
    <w:p w:rsidR="00576F87" w:rsidRDefault="004165F5">
      <w:pPr>
        <w:pStyle w:val="Heading6"/>
        <w:spacing w:after="171"/>
        <w:ind w:left="16"/>
      </w:pPr>
      <w:r>
        <w:t>Basis for opinion</w:t>
      </w:r>
    </w:p>
    <w:p w:rsidR="00576F87" w:rsidRDefault="004165F5">
      <w:pPr>
        <w:spacing w:after="168" w:line="268" w:lineRule="auto"/>
        <w:ind w:left="14" w:hanging="10"/>
        <w:jc w:val="both"/>
      </w:pPr>
      <w:r>
        <w:rPr>
          <w:rFonts w:ascii="Garamond" w:eastAsia="Garamond" w:hAnsi="Garamond" w:cs="Garamond"/>
        </w:rPr>
        <w:t>We conducted our audit in accordance with International Standards on Auditing (UK) (ISAs (UK)) and applicable law. Our responsibilities under those standards are further described in the Auditor’s responsibilities for the audit of the fin</w:t>
      </w:r>
      <w:r>
        <w:rPr>
          <w:rFonts w:ascii="Garamond" w:eastAsia="Garamond" w:hAnsi="Garamond" w:cs="Garamond"/>
        </w:rPr>
        <w:t xml:space="preserve">ancial statements section of our report. We are independent of the group and the Authority in accordance with the ethical requirements that are relevant to our audit of the financial statements in the UK, including the FRC’s Ethical Standard as applied to </w:t>
      </w:r>
      <w:r>
        <w:rPr>
          <w:rFonts w:ascii="Garamond" w:eastAsia="Garamond" w:hAnsi="Garamond" w:cs="Garamond"/>
        </w:rPr>
        <w:t>public interest entities, and we have fulfilled our other ethical responsibilities in accordance with these requirements. We believe that the audit evidence we have obtained is sufficient and appropriate to provide a basis for our opinion.</w:t>
      </w:r>
    </w:p>
    <w:p w:rsidR="00576F87" w:rsidRDefault="004165F5">
      <w:pPr>
        <w:pStyle w:val="Heading6"/>
        <w:spacing w:after="120"/>
        <w:ind w:left="16"/>
      </w:pPr>
      <w:r>
        <w:t>Who we are repor</w:t>
      </w:r>
      <w:r>
        <w:t>ting to</w:t>
      </w:r>
    </w:p>
    <w:p w:rsidR="00576F87" w:rsidRDefault="004165F5">
      <w:pPr>
        <w:spacing w:after="240"/>
        <w:ind w:left="14" w:hanging="10"/>
      </w:pPr>
      <w:r>
        <w:rPr>
          <w:rFonts w:ascii="Garamond" w:eastAsia="Garamond" w:hAnsi="Garamond" w:cs="Garamond"/>
        </w:rPr>
        <w:t>This report is made solely to the members of the Authority, as a body, in accordance with Part 5 of the Local Audit and Accountability Act 2014 and as set out in paragraph 43 of the Statement of Responsibilities of Auditors and Audited bodies publi</w:t>
      </w:r>
      <w:r>
        <w:rPr>
          <w:rFonts w:ascii="Garamond" w:eastAsia="Garamond" w:hAnsi="Garamond" w:cs="Garamond"/>
        </w:rPr>
        <w:t>shed by Public Sector Audit Appointments Limited. Our audit work has been undertaken so that we might state to the Authority’s members those matters we are required to state to them in an auditor’s report and for no other purpose. To the fullest extent per</w:t>
      </w:r>
      <w:r>
        <w:rPr>
          <w:rFonts w:ascii="Garamond" w:eastAsia="Garamond" w:hAnsi="Garamond" w:cs="Garamond"/>
        </w:rPr>
        <w:t>mitted by law, we do not accept or assume responsibility to anyone other than the Authority and the Authority’s members as a body, for our audit work, for this report, or for the opinions we have formed.</w:t>
      </w:r>
    </w:p>
    <w:p w:rsidR="00576F87" w:rsidRDefault="004165F5">
      <w:pPr>
        <w:pStyle w:val="Heading6"/>
        <w:ind w:left="16"/>
      </w:pPr>
      <w:r>
        <w:t>Conclusions relating to going concern</w:t>
      </w:r>
    </w:p>
    <w:p w:rsidR="00576F87" w:rsidRDefault="004165F5">
      <w:pPr>
        <w:spacing w:after="72" w:line="268" w:lineRule="auto"/>
        <w:ind w:left="14" w:hanging="10"/>
        <w:jc w:val="both"/>
      </w:pPr>
      <w:r>
        <w:rPr>
          <w:rFonts w:ascii="Garamond" w:eastAsia="Garamond" w:hAnsi="Garamond" w:cs="Garamond"/>
        </w:rPr>
        <w:t>We have nothin</w:t>
      </w:r>
      <w:r>
        <w:rPr>
          <w:rFonts w:ascii="Garamond" w:eastAsia="Garamond" w:hAnsi="Garamond" w:cs="Garamond"/>
        </w:rPr>
        <w:t>g to report in respect of the following matters in relation to which the ISAs (UK) require us to report to you where:</w:t>
      </w:r>
    </w:p>
    <w:p w:rsidR="00576F87" w:rsidRDefault="004165F5">
      <w:pPr>
        <w:numPr>
          <w:ilvl w:val="0"/>
          <w:numId w:val="8"/>
        </w:numPr>
        <w:spacing w:after="55" w:line="268" w:lineRule="auto"/>
        <w:ind w:right="235" w:hanging="10"/>
      </w:pPr>
      <w:r>
        <w:rPr>
          <w:rFonts w:ascii="Garamond" w:eastAsia="Garamond" w:hAnsi="Garamond" w:cs="Garamond"/>
        </w:rPr>
        <w:t>the Section 151 Officer’s use of the going concern basis of accounting in the preparation of the financial          statements is not appr</w:t>
      </w:r>
      <w:r>
        <w:rPr>
          <w:rFonts w:ascii="Garamond" w:eastAsia="Garamond" w:hAnsi="Garamond" w:cs="Garamond"/>
        </w:rPr>
        <w:t>opriate; or</w:t>
      </w:r>
    </w:p>
    <w:p w:rsidR="00576F87" w:rsidRDefault="004165F5">
      <w:pPr>
        <w:numPr>
          <w:ilvl w:val="0"/>
          <w:numId w:val="8"/>
        </w:numPr>
        <w:spacing w:after="40"/>
        <w:ind w:right="235" w:hanging="10"/>
      </w:pPr>
      <w:r>
        <w:rPr>
          <w:rFonts w:ascii="Garamond" w:eastAsia="Garamond" w:hAnsi="Garamond" w:cs="Garamond"/>
        </w:rPr>
        <w:t>the Section 151 Officer has not disclosed in the financial statements any identified material uncertainties          that may cast significant doubt about the group’s or the  Authority’s ability to continue to adopt the          going concern b</w:t>
      </w:r>
      <w:r>
        <w:rPr>
          <w:rFonts w:ascii="Garamond" w:eastAsia="Garamond" w:hAnsi="Garamond" w:cs="Garamond"/>
        </w:rPr>
        <w:t>asis of accounting for a period of at least twelve months from the date when the          financial statements are authorised for issue.</w:t>
      </w:r>
    </w:p>
    <w:p w:rsidR="00576F87" w:rsidRDefault="004165F5">
      <w:pPr>
        <w:spacing w:after="358"/>
        <w:ind w:left="-32"/>
      </w:pPr>
      <w:r>
        <w:rPr>
          <w:noProof/>
        </w:rPr>
        <w:lastRenderedPageBreak/>
        <w:drawing>
          <wp:inline distT="0" distB="0" distL="0" distR="0">
            <wp:extent cx="5958840" cy="1982724"/>
            <wp:effectExtent l="0" t="0" r="0" b="0"/>
            <wp:docPr id="1477" name="Picture 1477"/>
            <wp:cNvGraphicFramePr/>
            <a:graphic xmlns:a="http://schemas.openxmlformats.org/drawingml/2006/main">
              <a:graphicData uri="http://schemas.openxmlformats.org/drawingml/2006/picture">
                <pic:pic xmlns:pic="http://schemas.openxmlformats.org/drawingml/2006/picture">
                  <pic:nvPicPr>
                    <pic:cNvPr id="1477" name="Picture 1477"/>
                    <pic:cNvPicPr/>
                  </pic:nvPicPr>
                  <pic:blipFill>
                    <a:blip r:embed="rId37"/>
                    <a:stretch>
                      <a:fillRect/>
                    </a:stretch>
                  </pic:blipFill>
                  <pic:spPr>
                    <a:xfrm>
                      <a:off x="0" y="0"/>
                      <a:ext cx="5958840" cy="1982724"/>
                    </a:xfrm>
                    <a:prstGeom prst="rect">
                      <a:avLst/>
                    </a:prstGeom>
                  </pic:spPr>
                </pic:pic>
              </a:graphicData>
            </a:graphic>
          </wp:inline>
        </w:drawing>
      </w:r>
    </w:p>
    <w:p w:rsidR="00576F87" w:rsidRDefault="004165F5">
      <w:pPr>
        <w:pStyle w:val="Heading6"/>
        <w:spacing w:after="56"/>
        <w:ind w:left="16"/>
      </w:pPr>
      <w:r>
        <w:t>Key audit matters</w:t>
      </w:r>
    </w:p>
    <w:p w:rsidR="00576F87" w:rsidRDefault="004165F5">
      <w:pPr>
        <w:spacing w:after="11" w:line="268" w:lineRule="auto"/>
        <w:ind w:left="14" w:hanging="10"/>
        <w:jc w:val="both"/>
      </w:pPr>
      <w:r>
        <w:rPr>
          <w:rFonts w:ascii="Garamond" w:eastAsia="Garamond" w:hAnsi="Garamond" w:cs="Garamond"/>
        </w:rPr>
        <w:t xml:space="preserve">The graph below depicts the audit risks identified and their relative significance based on the extent of the financial statement impact and the extent of management judgement. </w:t>
      </w:r>
    </w:p>
    <w:p w:rsidR="00576F87" w:rsidRDefault="004165F5">
      <w:pPr>
        <w:spacing w:after="402"/>
        <w:ind w:left="-32"/>
      </w:pPr>
      <w:r>
        <w:rPr>
          <w:noProof/>
        </w:rPr>
        <w:drawing>
          <wp:inline distT="0" distB="0" distL="0" distR="0">
            <wp:extent cx="5346193" cy="2819401"/>
            <wp:effectExtent l="0" t="0" r="0" b="0"/>
            <wp:docPr id="251531" name="Picture 251531"/>
            <wp:cNvGraphicFramePr/>
            <a:graphic xmlns:a="http://schemas.openxmlformats.org/drawingml/2006/main">
              <a:graphicData uri="http://schemas.openxmlformats.org/drawingml/2006/picture">
                <pic:pic xmlns:pic="http://schemas.openxmlformats.org/drawingml/2006/picture">
                  <pic:nvPicPr>
                    <pic:cNvPr id="251531" name="Picture 251531"/>
                    <pic:cNvPicPr/>
                  </pic:nvPicPr>
                  <pic:blipFill>
                    <a:blip r:embed="rId38"/>
                    <a:stretch>
                      <a:fillRect/>
                    </a:stretch>
                  </pic:blipFill>
                  <pic:spPr>
                    <a:xfrm>
                      <a:off x="0" y="0"/>
                      <a:ext cx="5346193" cy="2819401"/>
                    </a:xfrm>
                    <a:prstGeom prst="rect">
                      <a:avLst/>
                    </a:prstGeom>
                  </pic:spPr>
                </pic:pic>
              </a:graphicData>
            </a:graphic>
          </wp:inline>
        </w:drawing>
      </w:r>
    </w:p>
    <w:p w:rsidR="00576F87" w:rsidRDefault="004165F5">
      <w:pPr>
        <w:spacing w:after="11" w:line="268" w:lineRule="auto"/>
        <w:ind w:left="14" w:hanging="10"/>
        <w:jc w:val="both"/>
      </w:pPr>
      <w:r>
        <w:rPr>
          <w:rFonts w:ascii="Garamond" w:eastAsia="Garamond" w:hAnsi="Garamond" w:cs="Garamond"/>
        </w:rPr>
        <w:t>Key audit matters are those matters that, in our professional judgment, were</w:t>
      </w:r>
      <w:r>
        <w:rPr>
          <w:rFonts w:ascii="Garamond" w:eastAsia="Garamond" w:hAnsi="Garamond" w:cs="Garamond"/>
        </w:rPr>
        <w:t xml:space="preserve"> of most significance in our audit of the financial statements of the current year and include the most significant assessed risks of material misstatement (whether or not due to fraud) that we identified. These matters included those that had the greatest</w:t>
      </w:r>
      <w:r>
        <w:rPr>
          <w:rFonts w:ascii="Garamond" w:eastAsia="Garamond" w:hAnsi="Garamond" w:cs="Garamond"/>
        </w:rPr>
        <w:t xml:space="preserve"> effect on: the overall audit strategy; the allocation of resources in the audit; and directing the efforts of the engagement team. These matters were addressed in the context of our audit of the financial statements as a whole, and in forming our opinion </w:t>
      </w:r>
      <w:r>
        <w:rPr>
          <w:rFonts w:ascii="Garamond" w:eastAsia="Garamond" w:hAnsi="Garamond" w:cs="Garamond"/>
        </w:rPr>
        <w:t>thereon, and we do not provide a separate opinion on these matters.</w:t>
      </w:r>
    </w:p>
    <w:p w:rsidR="00576F87" w:rsidRDefault="004165F5">
      <w:pPr>
        <w:spacing w:after="524"/>
        <w:ind w:left="232"/>
      </w:pPr>
      <w:r>
        <w:rPr>
          <w:noProof/>
        </w:rPr>
        <w:lastRenderedPageBreak/>
        <w:drawing>
          <wp:inline distT="0" distB="0" distL="0" distR="0">
            <wp:extent cx="5891784" cy="7089648"/>
            <wp:effectExtent l="0" t="0" r="0" b="0"/>
            <wp:docPr id="1492" name="Picture 1492"/>
            <wp:cNvGraphicFramePr/>
            <a:graphic xmlns:a="http://schemas.openxmlformats.org/drawingml/2006/main">
              <a:graphicData uri="http://schemas.openxmlformats.org/drawingml/2006/picture">
                <pic:pic xmlns:pic="http://schemas.openxmlformats.org/drawingml/2006/picture">
                  <pic:nvPicPr>
                    <pic:cNvPr id="1492" name="Picture 1492"/>
                    <pic:cNvPicPr/>
                  </pic:nvPicPr>
                  <pic:blipFill>
                    <a:blip r:embed="rId39"/>
                    <a:stretch>
                      <a:fillRect/>
                    </a:stretch>
                  </pic:blipFill>
                  <pic:spPr>
                    <a:xfrm>
                      <a:off x="0" y="0"/>
                      <a:ext cx="5891784" cy="7089648"/>
                    </a:xfrm>
                    <a:prstGeom prst="rect">
                      <a:avLst/>
                    </a:prstGeom>
                  </pic:spPr>
                </pic:pic>
              </a:graphicData>
            </a:graphic>
          </wp:inline>
        </w:drawing>
      </w:r>
    </w:p>
    <w:p w:rsidR="00576F87" w:rsidRDefault="004165F5">
      <w:pPr>
        <w:spacing w:after="304" w:line="268" w:lineRule="auto"/>
        <w:ind w:left="14" w:hanging="10"/>
        <w:jc w:val="both"/>
      </w:pPr>
      <w:r>
        <w:rPr>
          <w:rFonts w:ascii="Garamond" w:eastAsia="Garamond" w:hAnsi="Garamond" w:cs="Garamond"/>
        </w:rPr>
        <w:t>We have determined that there are no key audit matters relating to the Group Operational Account to communicate in our report.</w:t>
      </w:r>
    </w:p>
    <w:p w:rsidR="00576F87" w:rsidRDefault="004165F5">
      <w:pPr>
        <w:pStyle w:val="Heading6"/>
        <w:spacing w:after="154"/>
        <w:ind w:left="16"/>
      </w:pPr>
      <w:r>
        <w:t>Our application of materiality</w:t>
      </w:r>
    </w:p>
    <w:p w:rsidR="00576F87" w:rsidRDefault="004165F5">
      <w:pPr>
        <w:spacing w:after="11" w:line="268" w:lineRule="auto"/>
        <w:ind w:left="14" w:hanging="10"/>
        <w:jc w:val="both"/>
      </w:pPr>
      <w:r>
        <w:rPr>
          <w:rFonts w:ascii="Garamond" w:eastAsia="Garamond" w:hAnsi="Garamond" w:cs="Garamond"/>
        </w:rPr>
        <w:t>We define materiality as the</w:t>
      </w:r>
      <w:r>
        <w:rPr>
          <w:rFonts w:ascii="Garamond" w:eastAsia="Garamond" w:hAnsi="Garamond" w:cs="Garamond"/>
        </w:rPr>
        <w:t xml:space="preserve"> magnitude of misstatement in the financial statements that makes it probable that the economic decisions of a reasonably knowledgeable person would be changed or influenced. We use materiality in determining the nature, timing and extent of our work and i</w:t>
      </w:r>
      <w:r>
        <w:rPr>
          <w:rFonts w:ascii="Garamond" w:eastAsia="Garamond" w:hAnsi="Garamond" w:cs="Garamond"/>
        </w:rPr>
        <w:t>n evaluating the results of that work.</w:t>
      </w:r>
    </w:p>
    <w:tbl>
      <w:tblPr>
        <w:tblStyle w:val="TableGrid"/>
        <w:tblW w:w="9476" w:type="dxa"/>
        <w:tblInd w:w="-29" w:type="dxa"/>
        <w:tblCellMar>
          <w:top w:w="38" w:type="dxa"/>
          <w:left w:w="0" w:type="dxa"/>
          <w:bottom w:w="0" w:type="dxa"/>
          <w:right w:w="21" w:type="dxa"/>
        </w:tblCellMar>
        <w:tblLook w:val="04A0" w:firstRow="1" w:lastRow="0" w:firstColumn="1" w:lastColumn="0" w:noHBand="0" w:noVBand="1"/>
      </w:tblPr>
      <w:tblGrid>
        <w:gridCol w:w="2118"/>
        <w:gridCol w:w="3538"/>
        <w:gridCol w:w="3820"/>
      </w:tblGrid>
      <w:tr w:rsidR="00576F87">
        <w:trPr>
          <w:trHeight w:val="475"/>
        </w:trPr>
        <w:tc>
          <w:tcPr>
            <w:tcW w:w="2118" w:type="dxa"/>
            <w:tcBorders>
              <w:top w:val="single" w:sz="4" w:space="0" w:color="000000"/>
              <w:left w:val="single" w:sz="4" w:space="0" w:color="000000"/>
              <w:bottom w:val="single" w:sz="5" w:space="0" w:color="000000"/>
              <w:right w:val="single" w:sz="5" w:space="0" w:color="000000"/>
            </w:tcBorders>
          </w:tcPr>
          <w:p w:rsidR="00576F87" w:rsidRDefault="004165F5">
            <w:pPr>
              <w:spacing w:after="0"/>
              <w:ind w:left="45"/>
              <w:jc w:val="both"/>
            </w:pPr>
            <w:r>
              <w:rPr>
                <w:rFonts w:ascii="Garamond" w:eastAsia="Garamond" w:hAnsi="Garamond" w:cs="Garamond"/>
              </w:rPr>
              <w:lastRenderedPageBreak/>
              <w:t>Materiality was determin</w:t>
            </w:r>
            <w:r>
              <w:rPr>
                <w:rFonts w:ascii="Garamond" w:eastAsia="Garamond" w:hAnsi="Garamond" w:cs="Garamond"/>
                <w:b/>
                <w:color w:val="7030A0"/>
                <w:sz w:val="21"/>
              </w:rPr>
              <w:t xml:space="preserve">Materiality </w:t>
            </w:r>
          </w:p>
          <w:p w:rsidR="00576F87" w:rsidRDefault="004165F5">
            <w:pPr>
              <w:spacing w:after="0"/>
              <w:ind w:left="119"/>
            </w:pPr>
            <w:r>
              <w:rPr>
                <w:rFonts w:ascii="Garamond" w:eastAsia="Garamond" w:hAnsi="Garamond" w:cs="Garamond"/>
                <w:b/>
                <w:color w:val="7030A0"/>
                <w:sz w:val="21"/>
              </w:rPr>
              <w:t xml:space="preserve">Measure </w:t>
            </w:r>
          </w:p>
        </w:tc>
        <w:tc>
          <w:tcPr>
            <w:tcW w:w="3538" w:type="dxa"/>
            <w:tcBorders>
              <w:top w:val="single" w:sz="4" w:space="0" w:color="000000"/>
              <w:left w:val="single" w:sz="5" w:space="0" w:color="000000"/>
              <w:bottom w:val="single" w:sz="5" w:space="0" w:color="000000"/>
              <w:right w:val="single" w:sz="5" w:space="0" w:color="000000"/>
            </w:tcBorders>
          </w:tcPr>
          <w:p w:rsidR="00576F87" w:rsidRDefault="004165F5">
            <w:pPr>
              <w:spacing w:after="0"/>
              <w:ind w:left="-20"/>
            </w:pPr>
            <w:r>
              <w:rPr>
                <w:rFonts w:ascii="Garamond" w:eastAsia="Garamond" w:hAnsi="Garamond" w:cs="Garamond"/>
              </w:rPr>
              <w:t>ed as follows:</w:t>
            </w:r>
            <w:r>
              <w:rPr>
                <w:rFonts w:ascii="Garamond" w:eastAsia="Garamond" w:hAnsi="Garamond" w:cs="Garamond"/>
                <w:b/>
                <w:color w:val="7030A0"/>
                <w:sz w:val="21"/>
              </w:rPr>
              <w:t xml:space="preserve">Operational Accounts </w:t>
            </w:r>
          </w:p>
        </w:tc>
        <w:tc>
          <w:tcPr>
            <w:tcW w:w="3821" w:type="dxa"/>
            <w:tcBorders>
              <w:top w:val="single" w:sz="4" w:space="0" w:color="000000"/>
              <w:left w:val="single" w:sz="5" w:space="0" w:color="000000"/>
              <w:bottom w:val="single" w:sz="5" w:space="0" w:color="000000"/>
              <w:right w:val="single" w:sz="5" w:space="0" w:color="000000"/>
            </w:tcBorders>
          </w:tcPr>
          <w:p w:rsidR="00576F87" w:rsidRDefault="004165F5">
            <w:pPr>
              <w:spacing w:after="0"/>
              <w:ind w:left="121"/>
            </w:pPr>
            <w:r>
              <w:rPr>
                <w:rFonts w:ascii="Garamond" w:eastAsia="Garamond" w:hAnsi="Garamond" w:cs="Garamond"/>
                <w:b/>
                <w:color w:val="7030A0"/>
                <w:sz w:val="21"/>
              </w:rPr>
              <w:t xml:space="preserve">Residual Liabilities Accounts </w:t>
            </w:r>
          </w:p>
        </w:tc>
      </w:tr>
      <w:tr w:rsidR="00576F87">
        <w:trPr>
          <w:trHeight w:val="4210"/>
        </w:trPr>
        <w:tc>
          <w:tcPr>
            <w:tcW w:w="2118" w:type="dxa"/>
            <w:tcBorders>
              <w:top w:val="single" w:sz="5" w:space="0" w:color="000000"/>
              <w:left w:val="single" w:sz="4" w:space="0" w:color="000000"/>
              <w:bottom w:val="single" w:sz="4" w:space="0" w:color="000000"/>
              <w:right w:val="single" w:sz="5" w:space="0" w:color="000000"/>
            </w:tcBorders>
          </w:tcPr>
          <w:p w:rsidR="00576F87" w:rsidRDefault="004165F5">
            <w:pPr>
              <w:spacing w:after="0"/>
              <w:ind w:left="119"/>
            </w:pPr>
            <w:r>
              <w:rPr>
                <w:rFonts w:ascii="Garamond" w:eastAsia="Garamond" w:hAnsi="Garamond" w:cs="Garamond"/>
                <w:sz w:val="21"/>
              </w:rPr>
              <w:t xml:space="preserve">Financial statements as a whole </w:t>
            </w:r>
          </w:p>
        </w:tc>
        <w:tc>
          <w:tcPr>
            <w:tcW w:w="3538" w:type="dxa"/>
            <w:tcBorders>
              <w:top w:val="single" w:sz="5" w:space="0" w:color="000000"/>
              <w:left w:val="single" w:sz="5" w:space="0" w:color="000000"/>
              <w:bottom w:val="single" w:sz="4" w:space="0" w:color="000000"/>
              <w:right w:val="single" w:sz="5" w:space="0" w:color="000000"/>
            </w:tcBorders>
          </w:tcPr>
          <w:p w:rsidR="00576F87" w:rsidRDefault="004165F5">
            <w:pPr>
              <w:spacing w:after="0" w:line="237" w:lineRule="auto"/>
              <w:ind w:left="121"/>
            </w:pPr>
            <w:r>
              <w:rPr>
                <w:rFonts w:ascii="Garamond" w:eastAsia="Garamond" w:hAnsi="Garamond" w:cs="Garamond"/>
                <w:sz w:val="21"/>
              </w:rPr>
              <w:t>£112,000, which is 2%</w:t>
            </w:r>
            <w:r>
              <w:rPr>
                <w:rFonts w:ascii="Garamond" w:eastAsia="Garamond" w:hAnsi="Garamond" w:cs="Garamond"/>
                <w:b/>
                <w:sz w:val="21"/>
              </w:rPr>
              <w:t xml:space="preserve"> </w:t>
            </w:r>
            <w:r>
              <w:rPr>
                <w:rFonts w:ascii="Garamond" w:eastAsia="Garamond" w:hAnsi="Garamond" w:cs="Garamond"/>
                <w:sz w:val="21"/>
              </w:rPr>
              <w:t xml:space="preserve">of </w:t>
            </w:r>
            <w:r>
              <w:rPr>
                <w:rFonts w:ascii="Garamond" w:eastAsia="Garamond" w:hAnsi="Garamond" w:cs="Garamond"/>
                <w:sz w:val="21"/>
              </w:rPr>
              <w:t xml:space="preserve">the Operational Accounts gross expenditure. This benchmark is considered the most appropriate because we consider users of the financial statements to be most interested in how the Group has expended its revenue and other funding. </w:t>
            </w:r>
          </w:p>
          <w:p w:rsidR="00576F87" w:rsidRDefault="004165F5">
            <w:pPr>
              <w:spacing w:after="0"/>
              <w:ind w:left="121"/>
            </w:pPr>
            <w:r>
              <w:rPr>
                <w:rFonts w:ascii="Garamond" w:eastAsia="Garamond" w:hAnsi="Garamond" w:cs="Garamond"/>
                <w:sz w:val="21"/>
              </w:rPr>
              <w:t xml:space="preserve"> </w:t>
            </w:r>
          </w:p>
          <w:p w:rsidR="00576F87" w:rsidRDefault="004165F5">
            <w:pPr>
              <w:spacing w:after="2" w:line="237" w:lineRule="auto"/>
              <w:ind w:left="121" w:right="39"/>
            </w:pPr>
            <w:r>
              <w:rPr>
                <w:rFonts w:ascii="Garamond" w:eastAsia="Garamond" w:hAnsi="Garamond" w:cs="Garamond"/>
                <w:sz w:val="21"/>
              </w:rPr>
              <w:t>Materiality for the cu</w:t>
            </w:r>
            <w:r>
              <w:rPr>
                <w:rFonts w:ascii="Garamond" w:eastAsia="Garamond" w:hAnsi="Garamond" w:cs="Garamond"/>
                <w:sz w:val="21"/>
              </w:rPr>
              <w:t xml:space="preserve">rrent year is at the same percentage level of gross expenditure as we determined for the year ended 31 March 2017 as we did not identify any significant changes in the Group or the environment in which it operates. </w:t>
            </w:r>
          </w:p>
          <w:p w:rsidR="00576F87" w:rsidRDefault="004165F5">
            <w:pPr>
              <w:spacing w:after="0"/>
              <w:ind w:left="121"/>
            </w:pPr>
            <w:r>
              <w:rPr>
                <w:rFonts w:ascii="Garamond" w:eastAsia="Garamond" w:hAnsi="Garamond" w:cs="Garamond"/>
                <w:sz w:val="21"/>
              </w:rPr>
              <w:t xml:space="preserve"> </w:t>
            </w:r>
          </w:p>
        </w:tc>
        <w:tc>
          <w:tcPr>
            <w:tcW w:w="3821" w:type="dxa"/>
            <w:tcBorders>
              <w:top w:val="single" w:sz="5" w:space="0" w:color="000000"/>
              <w:left w:val="single" w:sz="5" w:space="0" w:color="000000"/>
              <w:bottom w:val="single" w:sz="4" w:space="0" w:color="000000"/>
              <w:right w:val="single" w:sz="5" w:space="0" w:color="000000"/>
            </w:tcBorders>
          </w:tcPr>
          <w:p w:rsidR="00576F87" w:rsidRDefault="004165F5">
            <w:pPr>
              <w:spacing w:after="0" w:line="237" w:lineRule="auto"/>
              <w:ind w:left="121"/>
            </w:pPr>
            <w:r>
              <w:rPr>
                <w:rFonts w:ascii="Garamond" w:eastAsia="Garamond" w:hAnsi="Garamond" w:cs="Garamond"/>
                <w:sz w:val="21"/>
              </w:rPr>
              <w:t xml:space="preserve">£579,000 which is 2% of </w:t>
            </w:r>
            <w:r>
              <w:rPr>
                <w:rFonts w:ascii="Garamond" w:eastAsia="Garamond" w:hAnsi="Garamond" w:cs="Garamond"/>
                <w:sz w:val="21"/>
              </w:rPr>
              <w:t xml:space="preserve">the Residual Liabilities Accounts total gross expenditure. This benchmark is considered the most appropriate because we consider users of the financial statements to be most interested in how the Authority has expended its revenue and other funding. </w:t>
            </w:r>
          </w:p>
          <w:p w:rsidR="00576F87" w:rsidRDefault="004165F5">
            <w:pPr>
              <w:spacing w:after="0"/>
              <w:ind w:left="121"/>
            </w:pPr>
            <w:r>
              <w:rPr>
                <w:rFonts w:ascii="Garamond" w:eastAsia="Garamond" w:hAnsi="Garamond" w:cs="Garamond"/>
                <w:sz w:val="21"/>
              </w:rPr>
              <w:t xml:space="preserve"> </w:t>
            </w:r>
          </w:p>
          <w:p w:rsidR="00576F87" w:rsidRDefault="004165F5">
            <w:pPr>
              <w:spacing w:after="0"/>
              <w:ind w:left="121" w:right="70"/>
            </w:pPr>
            <w:r>
              <w:rPr>
                <w:rFonts w:ascii="Garamond" w:eastAsia="Garamond" w:hAnsi="Garamond" w:cs="Garamond"/>
                <w:sz w:val="21"/>
              </w:rPr>
              <w:t xml:space="preserve">Materiality for the current year is at the same percentage level of gross expenditure as we determined for the year ended 31 March 2017 as we did not identify any significant changes in the residual accounts of the Authority or the environment in which it </w:t>
            </w:r>
            <w:r>
              <w:rPr>
                <w:rFonts w:ascii="Garamond" w:eastAsia="Garamond" w:hAnsi="Garamond" w:cs="Garamond"/>
                <w:sz w:val="21"/>
              </w:rPr>
              <w:t xml:space="preserve">operates </w:t>
            </w:r>
          </w:p>
        </w:tc>
      </w:tr>
      <w:tr w:rsidR="00576F87">
        <w:trPr>
          <w:trHeight w:val="943"/>
        </w:trPr>
        <w:tc>
          <w:tcPr>
            <w:tcW w:w="2118" w:type="dxa"/>
            <w:tcBorders>
              <w:top w:val="single" w:sz="4" w:space="0" w:color="000000"/>
              <w:left w:val="single" w:sz="4" w:space="0" w:color="000000"/>
              <w:bottom w:val="single" w:sz="4" w:space="0" w:color="000000"/>
              <w:right w:val="single" w:sz="5" w:space="0" w:color="000000"/>
            </w:tcBorders>
          </w:tcPr>
          <w:p w:rsidR="00576F87" w:rsidRDefault="004165F5">
            <w:pPr>
              <w:spacing w:after="0"/>
              <w:ind w:left="119"/>
            </w:pPr>
            <w:r>
              <w:rPr>
                <w:rFonts w:ascii="Garamond" w:eastAsia="Garamond" w:hAnsi="Garamond" w:cs="Garamond"/>
                <w:sz w:val="21"/>
              </w:rPr>
              <w:t xml:space="preserve">Performance materiality used to drive the extent of our testing </w:t>
            </w:r>
          </w:p>
        </w:tc>
        <w:tc>
          <w:tcPr>
            <w:tcW w:w="3538" w:type="dxa"/>
            <w:tcBorders>
              <w:top w:val="single" w:sz="4" w:space="0" w:color="000000"/>
              <w:left w:val="single" w:sz="5" w:space="0" w:color="000000"/>
              <w:bottom w:val="single" w:sz="4" w:space="0" w:color="000000"/>
              <w:right w:val="single" w:sz="5" w:space="0" w:color="000000"/>
            </w:tcBorders>
          </w:tcPr>
          <w:p w:rsidR="00576F87" w:rsidRDefault="004165F5">
            <w:pPr>
              <w:spacing w:after="0"/>
              <w:ind w:left="121"/>
            </w:pPr>
            <w:r>
              <w:rPr>
                <w:rFonts w:ascii="Garamond" w:eastAsia="Garamond" w:hAnsi="Garamond" w:cs="Garamond"/>
                <w:sz w:val="21"/>
              </w:rPr>
              <w:t xml:space="preserve">70% of financial statement materiality </w:t>
            </w:r>
          </w:p>
        </w:tc>
        <w:tc>
          <w:tcPr>
            <w:tcW w:w="3821" w:type="dxa"/>
            <w:tcBorders>
              <w:top w:val="single" w:sz="4" w:space="0" w:color="000000"/>
              <w:left w:val="single" w:sz="5" w:space="0" w:color="000000"/>
              <w:bottom w:val="single" w:sz="4" w:space="0" w:color="000000"/>
              <w:right w:val="single" w:sz="5" w:space="0" w:color="000000"/>
            </w:tcBorders>
          </w:tcPr>
          <w:p w:rsidR="00576F87" w:rsidRDefault="004165F5">
            <w:pPr>
              <w:spacing w:after="0"/>
              <w:ind w:left="121"/>
            </w:pPr>
            <w:r>
              <w:rPr>
                <w:rFonts w:ascii="Garamond" w:eastAsia="Garamond" w:hAnsi="Garamond" w:cs="Garamond"/>
                <w:sz w:val="21"/>
              </w:rPr>
              <w:t xml:space="preserve">75% of financial statement materiality </w:t>
            </w:r>
          </w:p>
        </w:tc>
      </w:tr>
      <w:tr w:rsidR="00576F87">
        <w:trPr>
          <w:trHeight w:val="1176"/>
        </w:trPr>
        <w:tc>
          <w:tcPr>
            <w:tcW w:w="2118" w:type="dxa"/>
            <w:tcBorders>
              <w:top w:val="single" w:sz="4" w:space="0" w:color="000000"/>
              <w:left w:val="single" w:sz="4" w:space="0" w:color="000000"/>
              <w:bottom w:val="single" w:sz="4" w:space="0" w:color="000000"/>
              <w:right w:val="single" w:sz="5" w:space="0" w:color="000000"/>
            </w:tcBorders>
          </w:tcPr>
          <w:p w:rsidR="00576F87" w:rsidRDefault="004165F5">
            <w:pPr>
              <w:spacing w:after="0" w:line="238" w:lineRule="auto"/>
              <w:ind w:left="119" w:right="216"/>
              <w:jc w:val="both"/>
            </w:pPr>
            <w:r>
              <w:rPr>
                <w:rFonts w:ascii="Garamond" w:eastAsia="Garamond" w:hAnsi="Garamond" w:cs="Garamond"/>
                <w:sz w:val="21"/>
              </w:rPr>
              <w:t xml:space="preserve">Communication of misstatements to the Audit and Risk </w:t>
            </w:r>
          </w:p>
          <w:p w:rsidR="00576F87" w:rsidRDefault="004165F5">
            <w:pPr>
              <w:spacing w:after="0"/>
              <w:ind w:left="119"/>
            </w:pPr>
            <w:r>
              <w:rPr>
                <w:rFonts w:ascii="Garamond" w:eastAsia="Garamond" w:hAnsi="Garamond" w:cs="Garamond"/>
                <w:sz w:val="21"/>
              </w:rPr>
              <w:t xml:space="preserve">Committee </w:t>
            </w:r>
          </w:p>
        </w:tc>
        <w:tc>
          <w:tcPr>
            <w:tcW w:w="3538" w:type="dxa"/>
            <w:tcBorders>
              <w:top w:val="single" w:sz="4" w:space="0" w:color="000000"/>
              <w:left w:val="single" w:sz="5" w:space="0" w:color="000000"/>
              <w:bottom w:val="single" w:sz="4" w:space="0" w:color="000000"/>
              <w:right w:val="single" w:sz="5" w:space="0" w:color="000000"/>
            </w:tcBorders>
          </w:tcPr>
          <w:p w:rsidR="00576F87" w:rsidRDefault="004165F5">
            <w:pPr>
              <w:spacing w:after="0" w:line="237" w:lineRule="auto"/>
              <w:ind w:left="121"/>
            </w:pPr>
            <w:r>
              <w:rPr>
                <w:rFonts w:ascii="Garamond" w:eastAsia="Garamond" w:hAnsi="Garamond" w:cs="Garamond"/>
                <w:sz w:val="21"/>
              </w:rPr>
              <w:t>£6,</w:t>
            </w:r>
            <w:r>
              <w:rPr>
                <w:rFonts w:ascii="Garamond" w:eastAsia="Garamond" w:hAnsi="Garamond" w:cs="Garamond"/>
                <w:sz w:val="21"/>
              </w:rPr>
              <w:t xml:space="preserve">000 and misstatements below that threshold that, in our view, warrant reporting on qualitative grounds. </w:t>
            </w:r>
          </w:p>
          <w:p w:rsidR="00576F87" w:rsidRDefault="004165F5">
            <w:pPr>
              <w:spacing w:after="0"/>
              <w:ind w:left="121"/>
            </w:pPr>
            <w:r>
              <w:rPr>
                <w:rFonts w:ascii="Garamond" w:eastAsia="Garamond" w:hAnsi="Garamond" w:cs="Garamond"/>
                <w:sz w:val="21"/>
              </w:rPr>
              <w:t xml:space="preserve"> </w:t>
            </w:r>
          </w:p>
        </w:tc>
        <w:tc>
          <w:tcPr>
            <w:tcW w:w="3821" w:type="dxa"/>
            <w:tcBorders>
              <w:top w:val="single" w:sz="4" w:space="0" w:color="000000"/>
              <w:left w:val="single" w:sz="5" w:space="0" w:color="000000"/>
              <w:bottom w:val="single" w:sz="4" w:space="0" w:color="000000"/>
              <w:right w:val="single" w:sz="5" w:space="0" w:color="000000"/>
            </w:tcBorders>
          </w:tcPr>
          <w:p w:rsidR="00576F87" w:rsidRDefault="004165F5">
            <w:pPr>
              <w:spacing w:after="0"/>
              <w:ind w:left="121"/>
            </w:pPr>
            <w:r>
              <w:rPr>
                <w:rFonts w:ascii="Garamond" w:eastAsia="Garamond" w:hAnsi="Garamond" w:cs="Garamond"/>
                <w:sz w:val="21"/>
              </w:rPr>
              <w:t xml:space="preserve">£29,000 and misstatements below that threshold that, in our view, warrant reporting on qualitative grounds. </w:t>
            </w:r>
          </w:p>
        </w:tc>
      </w:tr>
    </w:tbl>
    <w:p w:rsidR="00576F87" w:rsidRDefault="004165F5">
      <w:pPr>
        <w:spacing w:after="11" w:line="268" w:lineRule="auto"/>
        <w:ind w:left="14" w:hanging="10"/>
        <w:jc w:val="both"/>
      </w:pPr>
      <w:r>
        <w:rPr>
          <w:rFonts w:ascii="Garamond" w:eastAsia="Garamond" w:hAnsi="Garamond" w:cs="Garamond"/>
          <w:sz w:val="21"/>
        </w:rPr>
        <w:t xml:space="preserve"> </w:t>
      </w:r>
      <w:r>
        <w:rPr>
          <w:rFonts w:ascii="Garamond" w:eastAsia="Garamond" w:hAnsi="Garamond" w:cs="Garamond"/>
        </w:rPr>
        <w:t>The graph below illustrates how performance materiality interacts with our overall materiality and the tolerance for potential uncorrected misstatements.</w:t>
      </w:r>
    </w:p>
    <w:p w:rsidR="00576F87" w:rsidRDefault="004165F5">
      <w:pPr>
        <w:spacing w:after="3"/>
        <w:ind w:left="-32"/>
      </w:pPr>
      <w:r>
        <w:rPr>
          <w:noProof/>
        </w:rPr>
        <w:drawing>
          <wp:inline distT="0" distB="0" distL="0" distR="0">
            <wp:extent cx="5949696" cy="1847088"/>
            <wp:effectExtent l="0" t="0" r="0" b="0"/>
            <wp:docPr id="251532" name="Picture 251532"/>
            <wp:cNvGraphicFramePr/>
            <a:graphic xmlns:a="http://schemas.openxmlformats.org/drawingml/2006/main">
              <a:graphicData uri="http://schemas.openxmlformats.org/drawingml/2006/picture">
                <pic:pic xmlns:pic="http://schemas.openxmlformats.org/drawingml/2006/picture">
                  <pic:nvPicPr>
                    <pic:cNvPr id="251532" name="Picture 251532"/>
                    <pic:cNvPicPr/>
                  </pic:nvPicPr>
                  <pic:blipFill>
                    <a:blip r:embed="rId40"/>
                    <a:stretch>
                      <a:fillRect/>
                    </a:stretch>
                  </pic:blipFill>
                  <pic:spPr>
                    <a:xfrm>
                      <a:off x="0" y="0"/>
                      <a:ext cx="5949696" cy="1847088"/>
                    </a:xfrm>
                    <a:prstGeom prst="rect">
                      <a:avLst/>
                    </a:prstGeom>
                  </pic:spPr>
                </pic:pic>
              </a:graphicData>
            </a:graphic>
          </wp:inline>
        </w:drawing>
      </w:r>
    </w:p>
    <w:p w:rsidR="00576F87" w:rsidRDefault="004165F5">
      <w:pPr>
        <w:pStyle w:val="Heading6"/>
        <w:spacing w:after="65"/>
        <w:ind w:left="16"/>
      </w:pPr>
      <w:r>
        <w:t>An overview of the scope of our audit</w:t>
      </w:r>
    </w:p>
    <w:p w:rsidR="00576F87" w:rsidRDefault="004165F5">
      <w:pPr>
        <w:spacing w:after="62" w:line="268" w:lineRule="auto"/>
        <w:ind w:left="14" w:hanging="10"/>
        <w:jc w:val="both"/>
      </w:pPr>
      <w:r>
        <w:rPr>
          <w:rFonts w:ascii="Garamond" w:eastAsia="Garamond" w:hAnsi="Garamond" w:cs="Garamond"/>
        </w:rPr>
        <w:t>Our audit approach was a risk-based approach founded on a thor</w:t>
      </w:r>
      <w:r>
        <w:rPr>
          <w:rFonts w:ascii="Garamond" w:eastAsia="Garamond" w:hAnsi="Garamond" w:cs="Garamond"/>
        </w:rPr>
        <w:t>ough understanding of the group's business, its environment and risk profile and in particular included:</w:t>
      </w:r>
    </w:p>
    <w:p w:rsidR="00576F87" w:rsidRDefault="004165F5">
      <w:pPr>
        <w:numPr>
          <w:ilvl w:val="0"/>
          <w:numId w:val="9"/>
        </w:numPr>
        <w:spacing w:after="119" w:line="268" w:lineRule="auto"/>
        <w:ind w:right="470" w:hanging="10"/>
      </w:pPr>
      <w:r>
        <w:rPr>
          <w:rFonts w:ascii="Garamond" w:eastAsia="Garamond" w:hAnsi="Garamond" w:cs="Garamond"/>
        </w:rPr>
        <w:t xml:space="preserve">Gaining an understanding of significant changes to the group structure and obtaining supporting evidence    to corroborate accounting transactions and </w:t>
      </w:r>
      <w:r>
        <w:rPr>
          <w:rFonts w:ascii="Garamond" w:eastAsia="Garamond" w:hAnsi="Garamond" w:cs="Garamond"/>
        </w:rPr>
        <w:t>disclosures within the financial statements;</w:t>
      </w:r>
    </w:p>
    <w:p w:rsidR="00576F87" w:rsidRDefault="004165F5">
      <w:pPr>
        <w:numPr>
          <w:ilvl w:val="0"/>
          <w:numId w:val="9"/>
        </w:numPr>
        <w:spacing w:after="40"/>
        <w:ind w:right="470" w:hanging="10"/>
      </w:pPr>
      <w:r>
        <w:rPr>
          <w:rFonts w:ascii="Garamond" w:eastAsia="Garamond" w:hAnsi="Garamond" w:cs="Garamond"/>
        </w:rPr>
        <w:t>Evaluation of identified components to assess the significance of each component and to determine the    planned audit response based on a measure of the materiality and significance of the component as a    per</w:t>
      </w:r>
      <w:r>
        <w:rPr>
          <w:rFonts w:ascii="Garamond" w:eastAsia="Garamond" w:hAnsi="Garamond" w:cs="Garamond"/>
        </w:rPr>
        <w:t>centage of the group’s current assets, total assets, current liabilities, total liabilities, equity, income and    expenditure. A full scope, targeted or analytical approach was taken for each component based on their    relative materiality to the group a</w:t>
      </w:r>
      <w:r>
        <w:rPr>
          <w:rFonts w:ascii="Garamond" w:eastAsia="Garamond" w:hAnsi="Garamond" w:cs="Garamond"/>
        </w:rPr>
        <w:t>nd our assessment of audit risk;</w:t>
      </w:r>
    </w:p>
    <w:p w:rsidR="00576F87" w:rsidRDefault="004165F5">
      <w:pPr>
        <w:numPr>
          <w:ilvl w:val="0"/>
          <w:numId w:val="9"/>
        </w:numPr>
        <w:spacing w:after="11" w:line="268" w:lineRule="auto"/>
        <w:ind w:right="470" w:hanging="10"/>
      </w:pPr>
      <w:r>
        <w:rPr>
          <w:rFonts w:ascii="Garamond" w:eastAsia="Garamond" w:hAnsi="Garamond" w:cs="Garamond"/>
        </w:rPr>
        <w:lastRenderedPageBreak/>
        <w:t>Gaining an understanding of and evaluating the Authority’s internal control environment, including its    financial and IT systems and controls;</w:t>
      </w:r>
    </w:p>
    <w:p w:rsidR="00576F87" w:rsidRDefault="004165F5">
      <w:pPr>
        <w:numPr>
          <w:ilvl w:val="0"/>
          <w:numId w:val="9"/>
        </w:numPr>
        <w:spacing w:after="40"/>
        <w:ind w:right="470" w:hanging="10"/>
      </w:pPr>
      <w:r>
        <w:rPr>
          <w:rFonts w:ascii="Garamond" w:eastAsia="Garamond" w:hAnsi="Garamond" w:cs="Garamond"/>
        </w:rPr>
        <w:t>Full scope audit procedures on the Authority, including substantive testing of the income, expenditure and     net liabilities of each of the Operational Accounts. The Joint Venture has been equity accounted and the     Authority’s fifty percent share of t</w:t>
      </w:r>
      <w:r>
        <w:rPr>
          <w:rFonts w:ascii="Garamond" w:eastAsia="Garamond" w:hAnsi="Garamond" w:cs="Garamond"/>
        </w:rPr>
        <w:t>he Joint Venture’s results are included, in the Group and Entity     Comprehensive Income and Expenditure Statement and in the Group and Entity Balance Sheet; and</w:t>
      </w:r>
    </w:p>
    <w:p w:rsidR="00576F87" w:rsidRDefault="004165F5">
      <w:pPr>
        <w:numPr>
          <w:ilvl w:val="0"/>
          <w:numId w:val="9"/>
        </w:numPr>
        <w:spacing w:after="210" w:line="261" w:lineRule="auto"/>
        <w:ind w:right="470" w:hanging="10"/>
      </w:pPr>
      <w:r>
        <w:rPr>
          <w:rFonts w:ascii="Garamond" w:eastAsia="Garamond" w:hAnsi="Garamond" w:cs="Garamond"/>
          <w:sz w:val="21"/>
        </w:rPr>
        <w:t>Issuing group instructions to the auditors of the Local Pensions Partnership Limited in respe</w:t>
      </w:r>
      <w:r>
        <w:rPr>
          <w:rFonts w:ascii="Garamond" w:eastAsia="Garamond" w:hAnsi="Garamond" w:cs="Garamond"/>
          <w:sz w:val="21"/>
        </w:rPr>
        <w:t>ct of their full     scope audit procedures for</w:t>
      </w:r>
      <w:r>
        <w:rPr>
          <w:rFonts w:ascii="Garamond" w:eastAsia="Garamond" w:hAnsi="Garamond" w:cs="Garamond"/>
        </w:rPr>
        <w:t xml:space="preserve"> the year ended 31 March 2018.</w:t>
      </w:r>
    </w:p>
    <w:p w:rsidR="00576F87" w:rsidRDefault="004165F5">
      <w:pPr>
        <w:spacing w:after="304" w:line="268" w:lineRule="auto"/>
        <w:ind w:left="14" w:hanging="10"/>
        <w:jc w:val="both"/>
      </w:pPr>
      <w:r>
        <w:rPr>
          <w:rFonts w:ascii="Garamond" w:eastAsia="Garamond" w:hAnsi="Garamond" w:cs="Garamond"/>
        </w:rPr>
        <w:t>There were no significant changes in the scope of the audit or procedures performed in respect of the key audit matters identified as compared to the prior year.</w:t>
      </w:r>
    </w:p>
    <w:p w:rsidR="00576F87" w:rsidRDefault="004165F5">
      <w:pPr>
        <w:pStyle w:val="Heading6"/>
        <w:ind w:left="16"/>
      </w:pPr>
      <w:r>
        <w:t>Other informatio</w:t>
      </w:r>
      <w:r>
        <w:t>n</w:t>
      </w:r>
    </w:p>
    <w:p w:rsidR="00576F87" w:rsidRDefault="004165F5">
      <w:pPr>
        <w:spacing w:after="222" w:line="268" w:lineRule="auto"/>
        <w:ind w:left="14" w:hanging="10"/>
        <w:jc w:val="both"/>
      </w:pPr>
      <w:r>
        <w:rPr>
          <w:rFonts w:ascii="Garamond" w:eastAsia="Garamond" w:hAnsi="Garamond" w:cs="Garamond"/>
        </w:rPr>
        <w:t>The Section 151 Officer is responsible for the other information. The other information comprises the information included in the Statement of Accounts, other than the group and Authority financial statements, our auditor’s report thereon and our auditor</w:t>
      </w:r>
      <w:r>
        <w:rPr>
          <w:rFonts w:ascii="Garamond" w:eastAsia="Garamond" w:hAnsi="Garamond" w:cs="Garamond"/>
        </w:rPr>
        <w:t>’s report on the pension fund financial statements. Our opinion on the financial statements does not cover the other information and, except to the extent otherwise explicitly stated in our report, we do not express any form of assurance conclusion thereon</w:t>
      </w:r>
      <w:r>
        <w:rPr>
          <w:rFonts w:ascii="Garamond" w:eastAsia="Garamond" w:hAnsi="Garamond" w:cs="Garamond"/>
        </w:rPr>
        <w:t>.</w:t>
      </w:r>
    </w:p>
    <w:p w:rsidR="00576F87" w:rsidRDefault="004165F5">
      <w:pPr>
        <w:spacing w:after="184" w:line="268" w:lineRule="auto"/>
        <w:ind w:left="14" w:hanging="10"/>
        <w:jc w:val="both"/>
      </w:pPr>
      <w:r>
        <w:rPr>
          <w:rFonts w:ascii="Garamond" w:eastAsia="Garamond" w:hAnsi="Garamond" w:cs="Garamond"/>
        </w:rPr>
        <w:t xml:space="preserve">In connection with our audit of the financial statements, our responsibility is to read the other information and, in doing so, consider whether the other information is materially inconsistent with the financial statements or our knowledge of the group </w:t>
      </w:r>
      <w:r>
        <w:rPr>
          <w:rFonts w:ascii="Garamond" w:eastAsia="Garamond" w:hAnsi="Garamond" w:cs="Garamond"/>
        </w:rPr>
        <w:t>and Authority obtained in the course of our work including that gained through work in relation to the Authority’s arrangements for securing value for money through economy, efficiency and effectiveness in the use of its resources or otherwise appears to b</w:t>
      </w:r>
      <w:r>
        <w:rPr>
          <w:rFonts w:ascii="Garamond" w:eastAsia="Garamond" w:hAnsi="Garamond" w:cs="Garamond"/>
        </w:rPr>
        <w:t xml:space="preserve">e materially misstated. If we identify such material inconsistencies or apparent material misstatements, we are required to determine whether there is a material misstatement in the financial statements or a material misstatement of the other information. </w:t>
      </w:r>
      <w:r>
        <w:rPr>
          <w:rFonts w:ascii="Garamond" w:eastAsia="Garamond" w:hAnsi="Garamond" w:cs="Garamond"/>
        </w:rPr>
        <w:t xml:space="preserve">If, based on the work we have performed, we conclude that there is a material misstatement of this other information, we are required to report that fact. </w:t>
      </w:r>
    </w:p>
    <w:p w:rsidR="00576F87" w:rsidRDefault="004165F5">
      <w:pPr>
        <w:spacing w:after="152" w:line="268" w:lineRule="auto"/>
        <w:ind w:left="14" w:hanging="10"/>
        <w:jc w:val="both"/>
      </w:pPr>
      <w:r>
        <w:rPr>
          <w:rFonts w:ascii="Garamond" w:eastAsia="Garamond" w:hAnsi="Garamond" w:cs="Garamond"/>
        </w:rPr>
        <w:t>We have nothing to report in this regard.</w:t>
      </w:r>
    </w:p>
    <w:p w:rsidR="00576F87" w:rsidRDefault="004165F5">
      <w:pPr>
        <w:pStyle w:val="Heading6"/>
        <w:spacing w:after="327"/>
        <w:ind w:left="16"/>
      </w:pPr>
      <w:r>
        <w:t>Other information we are required to report on by exceptio</w:t>
      </w:r>
      <w:r>
        <w:t>n under the Code of Audit Practice</w:t>
      </w:r>
    </w:p>
    <w:p w:rsidR="00576F87" w:rsidRDefault="004165F5">
      <w:pPr>
        <w:spacing w:after="234" w:line="268" w:lineRule="auto"/>
        <w:ind w:left="14" w:hanging="10"/>
        <w:jc w:val="both"/>
      </w:pPr>
      <w:r>
        <w:rPr>
          <w:rFonts w:ascii="Garamond" w:eastAsia="Garamond" w:hAnsi="Garamond" w:cs="Garamond"/>
        </w:rPr>
        <w:t>Under the Code of Audit Practice published by the National Audit Office on behalf of the Comptroller and Auditor General (the Code of Audit Practice) we are required to consider whether the Annual Governance Statement doe</w:t>
      </w:r>
      <w:r>
        <w:rPr>
          <w:rFonts w:ascii="Garamond" w:eastAsia="Garamond" w:hAnsi="Garamond" w:cs="Garamond"/>
        </w:rPr>
        <w:t>s not comply with the ‘Delivering Good Governance in Local Government: Framework (2016)’ published by CIPFA and SOLACE or is misleading or inconsistent with the information of which we are aware from our audit. We are not required to consider whether the A</w:t>
      </w:r>
      <w:r>
        <w:rPr>
          <w:rFonts w:ascii="Garamond" w:eastAsia="Garamond" w:hAnsi="Garamond" w:cs="Garamond"/>
        </w:rPr>
        <w:t xml:space="preserve">nnual Governance Statement addresses all risks and controls or that risks are satisfactorily addressed by internal controls. </w:t>
      </w:r>
    </w:p>
    <w:p w:rsidR="00576F87" w:rsidRDefault="004165F5">
      <w:pPr>
        <w:spacing w:after="11" w:line="268" w:lineRule="auto"/>
        <w:ind w:left="14" w:hanging="10"/>
        <w:jc w:val="both"/>
      </w:pPr>
      <w:r>
        <w:rPr>
          <w:rFonts w:ascii="Garamond" w:eastAsia="Garamond" w:hAnsi="Garamond" w:cs="Garamond"/>
        </w:rPr>
        <w:t>We have nothing to report in this regard.</w:t>
      </w:r>
    </w:p>
    <w:p w:rsidR="00576F87" w:rsidRDefault="004165F5">
      <w:pPr>
        <w:spacing w:after="152"/>
        <w:ind w:left="232"/>
      </w:pPr>
      <w:r>
        <w:rPr>
          <w:noProof/>
        </w:rPr>
        <w:drawing>
          <wp:inline distT="0" distB="0" distL="0" distR="0">
            <wp:extent cx="5858256" cy="1542288"/>
            <wp:effectExtent l="0" t="0" r="0" b="0"/>
            <wp:docPr id="1798" name="Picture 1798"/>
            <wp:cNvGraphicFramePr/>
            <a:graphic xmlns:a="http://schemas.openxmlformats.org/drawingml/2006/main">
              <a:graphicData uri="http://schemas.openxmlformats.org/drawingml/2006/picture">
                <pic:pic xmlns:pic="http://schemas.openxmlformats.org/drawingml/2006/picture">
                  <pic:nvPicPr>
                    <pic:cNvPr id="1798" name="Picture 1798"/>
                    <pic:cNvPicPr/>
                  </pic:nvPicPr>
                  <pic:blipFill>
                    <a:blip r:embed="rId41"/>
                    <a:stretch>
                      <a:fillRect/>
                    </a:stretch>
                  </pic:blipFill>
                  <pic:spPr>
                    <a:xfrm>
                      <a:off x="0" y="0"/>
                      <a:ext cx="5858256" cy="1542288"/>
                    </a:xfrm>
                    <a:prstGeom prst="rect">
                      <a:avLst/>
                    </a:prstGeom>
                  </pic:spPr>
                </pic:pic>
              </a:graphicData>
            </a:graphic>
          </wp:inline>
        </w:drawing>
      </w:r>
    </w:p>
    <w:p w:rsidR="00576F87" w:rsidRDefault="004165F5">
      <w:pPr>
        <w:pStyle w:val="Heading6"/>
        <w:spacing w:after="46"/>
        <w:ind w:left="16"/>
      </w:pPr>
      <w:r>
        <w:lastRenderedPageBreak/>
        <w:t>Matters on which we are required to report by exception</w:t>
      </w:r>
    </w:p>
    <w:p w:rsidR="00576F87" w:rsidRDefault="004165F5">
      <w:pPr>
        <w:spacing w:after="187" w:line="268" w:lineRule="auto"/>
        <w:ind w:left="14" w:hanging="10"/>
        <w:jc w:val="both"/>
      </w:pPr>
      <w:r>
        <w:rPr>
          <w:rFonts w:ascii="Garamond" w:eastAsia="Garamond" w:hAnsi="Garamond" w:cs="Garamond"/>
        </w:rPr>
        <w:t>Under the Code of Audit Practice we are required to report to you if:</w:t>
      </w:r>
    </w:p>
    <w:p w:rsidR="00576F87" w:rsidRDefault="004165F5">
      <w:pPr>
        <w:numPr>
          <w:ilvl w:val="0"/>
          <w:numId w:val="10"/>
        </w:numPr>
        <w:spacing w:after="11" w:line="268" w:lineRule="auto"/>
        <w:ind w:right="223" w:hanging="10"/>
        <w:jc w:val="both"/>
      </w:pPr>
      <w:r>
        <w:rPr>
          <w:rFonts w:ascii="Garamond" w:eastAsia="Garamond" w:hAnsi="Garamond" w:cs="Garamond"/>
        </w:rPr>
        <w:t>we have reported a matter in the public interest under section 24 of the Local Audit and Accountability       Act 2014 in the course of, or at the conclusion of the audit; or</w:t>
      </w:r>
    </w:p>
    <w:p w:rsidR="00576F87" w:rsidRDefault="004165F5">
      <w:pPr>
        <w:numPr>
          <w:ilvl w:val="0"/>
          <w:numId w:val="10"/>
        </w:numPr>
        <w:spacing w:after="45" w:line="268" w:lineRule="auto"/>
        <w:ind w:right="223" w:hanging="10"/>
        <w:jc w:val="both"/>
      </w:pPr>
      <w:r>
        <w:rPr>
          <w:rFonts w:ascii="Garamond" w:eastAsia="Garamond" w:hAnsi="Garamond" w:cs="Garamond"/>
        </w:rPr>
        <w:t>we have mad</w:t>
      </w:r>
      <w:r>
        <w:rPr>
          <w:rFonts w:ascii="Garamond" w:eastAsia="Garamond" w:hAnsi="Garamond" w:cs="Garamond"/>
        </w:rPr>
        <w:t>e a written recommendation to the Authority under section 24 of the Local Audit and       Accountability Act 2014 in the course of, or at the conclusion of the audit; or</w:t>
      </w:r>
    </w:p>
    <w:p w:rsidR="00576F87" w:rsidRDefault="004165F5">
      <w:pPr>
        <w:numPr>
          <w:ilvl w:val="0"/>
          <w:numId w:val="10"/>
        </w:numPr>
        <w:spacing w:after="138" w:line="268" w:lineRule="auto"/>
        <w:ind w:right="223" w:hanging="10"/>
        <w:jc w:val="both"/>
      </w:pPr>
      <w:r>
        <w:rPr>
          <w:rFonts w:ascii="Garamond" w:eastAsia="Garamond" w:hAnsi="Garamond" w:cs="Garamond"/>
        </w:rPr>
        <w:t>we have exercised any other special powers of the auditor under the Local Audit and Ac</w:t>
      </w:r>
      <w:r>
        <w:rPr>
          <w:rFonts w:ascii="Garamond" w:eastAsia="Garamond" w:hAnsi="Garamond" w:cs="Garamond"/>
        </w:rPr>
        <w:t>countability Act       2014.</w:t>
      </w:r>
    </w:p>
    <w:p w:rsidR="00576F87" w:rsidRDefault="004165F5">
      <w:pPr>
        <w:spacing w:after="248" w:line="268" w:lineRule="auto"/>
        <w:ind w:left="14" w:hanging="10"/>
        <w:jc w:val="both"/>
      </w:pPr>
      <w:r>
        <w:rPr>
          <w:rFonts w:ascii="Garamond" w:eastAsia="Garamond" w:hAnsi="Garamond" w:cs="Garamond"/>
        </w:rPr>
        <w:t>We have nothing to report in respect of the above matters</w:t>
      </w:r>
      <w:r>
        <w:rPr>
          <w:rFonts w:ascii="Garamond" w:eastAsia="Garamond" w:hAnsi="Garamond" w:cs="Garamond"/>
          <w:b/>
        </w:rPr>
        <w:t>.</w:t>
      </w:r>
    </w:p>
    <w:p w:rsidR="00576F87" w:rsidRDefault="004165F5">
      <w:pPr>
        <w:pStyle w:val="Heading6"/>
        <w:spacing w:after="138" w:line="344" w:lineRule="auto"/>
        <w:ind w:left="16"/>
      </w:pPr>
      <w:r>
        <w:t>Responsibilities of the Authority, the Section 151 Officer and Those Charged with Governance for the financial statements</w:t>
      </w:r>
    </w:p>
    <w:p w:rsidR="00576F87" w:rsidRDefault="004165F5">
      <w:pPr>
        <w:spacing w:after="259" w:line="268" w:lineRule="auto"/>
        <w:ind w:left="14" w:hanging="10"/>
        <w:jc w:val="both"/>
      </w:pPr>
      <w:r>
        <w:rPr>
          <w:rFonts w:ascii="Garamond" w:eastAsia="Garamond" w:hAnsi="Garamond" w:cs="Garamond"/>
        </w:rPr>
        <w:t>As explained more fully in the Statement of Re</w:t>
      </w:r>
      <w:r>
        <w:rPr>
          <w:rFonts w:ascii="Garamond" w:eastAsia="Garamond" w:hAnsi="Garamond" w:cs="Garamond"/>
        </w:rPr>
        <w:t>sponsibilities for the Statement of Accounts, the Authority is required to make arrangements for the proper administration of its financial affairs and to secure that one of its officers has the responsibility for the administration of those affairs. In th</w:t>
      </w:r>
      <w:r>
        <w:rPr>
          <w:rFonts w:ascii="Garamond" w:eastAsia="Garamond" w:hAnsi="Garamond" w:cs="Garamond"/>
        </w:rPr>
        <w:t>is authority, that officer is the Section 151 Officer. The Section 151 Officer is responsible for the preparation of the Statement of Accounts, which includes the financial statements, in accordance with proper practices as set out in the CIPFA/LASAAC code</w:t>
      </w:r>
      <w:r>
        <w:rPr>
          <w:rFonts w:ascii="Garamond" w:eastAsia="Garamond" w:hAnsi="Garamond" w:cs="Garamond"/>
        </w:rPr>
        <w:t xml:space="preserve"> of practice on local authority accounting in the United Kingdom 2017/18, which give a true and fair view, and for such internal control as the Section 151 Officer determines is necessary to enable the preparation of financial statements that are free from</w:t>
      </w:r>
      <w:r>
        <w:rPr>
          <w:rFonts w:ascii="Garamond" w:eastAsia="Garamond" w:hAnsi="Garamond" w:cs="Garamond"/>
        </w:rPr>
        <w:t xml:space="preserve"> material misstatement, whether due to fraud or error.</w:t>
      </w:r>
    </w:p>
    <w:p w:rsidR="00576F87" w:rsidRDefault="004165F5">
      <w:pPr>
        <w:spacing w:after="173" w:line="268" w:lineRule="auto"/>
        <w:ind w:left="14" w:hanging="10"/>
        <w:jc w:val="both"/>
      </w:pPr>
      <w:r>
        <w:rPr>
          <w:rFonts w:ascii="Garamond" w:eastAsia="Garamond" w:hAnsi="Garamond" w:cs="Garamond"/>
        </w:rPr>
        <w:t>In preparing the financial statements, the Section 151 Officer is responsible for assessing the group’s and the Authority’s ability to continue as a going concern, disclosing, as applicable, matters related to going concern and using the going concern basi</w:t>
      </w:r>
      <w:r>
        <w:rPr>
          <w:rFonts w:ascii="Garamond" w:eastAsia="Garamond" w:hAnsi="Garamond" w:cs="Garamond"/>
        </w:rPr>
        <w:t>s of accounting unless the group or the Authority lacks funding for its continued existence or when policy decisions have been made that affect the services provided by group or the Authority.</w:t>
      </w:r>
    </w:p>
    <w:p w:rsidR="00576F87" w:rsidRDefault="004165F5">
      <w:pPr>
        <w:spacing w:after="152" w:line="268" w:lineRule="auto"/>
        <w:ind w:left="14" w:hanging="10"/>
        <w:jc w:val="both"/>
      </w:pPr>
      <w:r>
        <w:rPr>
          <w:rFonts w:ascii="Garamond" w:eastAsia="Garamond" w:hAnsi="Garamond" w:cs="Garamond"/>
        </w:rPr>
        <w:t>The Audit and Risk Committee is Those Charged with Governance.</w:t>
      </w:r>
    </w:p>
    <w:p w:rsidR="00576F87" w:rsidRDefault="004165F5">
      <w:pPr>
        <w:pStyle w:val="Heading6"/>
        <w:ind w:left="16"/>
      </w:pPr>
      <w:r>
        <w:t>Auditor’s responsibilities for the audit of the financial statements</w:t>
      </w:r>
    </w:p>
    <w:p w:rsidR="00576F87" w:rsidRDefault="004165F5">
      <w:pPr>
        <w:spacing w:after="167" w:line="268" w:lineRule="auto"/>
        <w:ind w:left="14" w:hanging="10"/>
        <w:jc w:val="both"/>
      </w:pPr>
      <w:r>
        <w:rPr>
          <w:rFonts w:ascii="Garamond" w:eastAsia="Garamond" w:hAnsi="Garamond" w:cs="Garamond"/>
        </w:rPr>
        <w:t>Our objectives are to obtain reasonable assurance about whether the financial statements as a whole are free from material misstatement, whether due to fraud or error, and to issue an aud</w:t>
      </w:r>
      <w:r>
        <w:rPr>
          <w:rFonts w:ascii="Garamond" w:eastAsia="Garamond" w:hAnsi="Garamond" w:cs="Garamond"/>
        </w:rPr>
        <w:t xml:space="preserve">itor’s report that includes our opinion. Reasonable assurance is a high level of assurance, but is not a guarantee that an audit conducted in accordance with ISAs (UK) will always detect a material misstatement when it exists. Misstatements can arise from </w:t>
      </w:r>
      <w:r>
        <w:rPr>
          <w:rFonts w:ascii="Garamond" w:eastAsia="Garamond" w:hAnsi="Garamond" w:cs="Garamond"/>
        </w:rPr>
        <w:t>fraud or error and are considered material if, individually or in the aggregate, they could reasonably be expected to influence the economic decisions of users taken on the basis of these financial statements.</w:t>
      </w:r>
    </w:p>
    <w:p w:rsidR="00576F87" w:rsidRDefault="004165F5">
      <w:pPr>
        <w:spacing w:after="272" w:line="268" w:lineRule="auto"/>
        <w:ind w:left="14" w:hanging="10"/>
        <w:jc w:val="both"/>
      </w:pPr>
      <w:r>
        <w:rPr>
          <w:rFonts w:ascii="Garamond" w:eastAsia="Garamond" w:hAnsi="Garamond" w:cs="Garamond"/>
        </w:rPr>
        <w:t>We are responsible for obtaining reasonable as</w:t>
      </w:r>
      <w:r>
        <w:rPr>
          <w:rFonts w:ascii="Garamond" w:eastAsia="Garamond" w:hAnsi="Garamond" w:cs="Garamond"/>
        </w:rPr>
        <w:t>surance that the financial statements taken as a whole are free from material misstatement, whether caused by fraud or error. Owing to the inherent limitations of an audit, there is an unavoidable risk that material misstatements of the financial statement</w:t>
      </w:r>
      <w:r>
        <w:rPr>
          <w:rFonts w:ascii="Garamond" w:eastAsia="Garamond" w:hAnsi="Garamond" w:cs="Garamond"/>
        </w:rPr>
        <w:t>s may not be detected, even though the audit is properly planned and performed in accordance with the ISAs (UK). Our audit approach is a risk-based approach and is explained more fully in the ‘An overview of the scope of our audit’ section of our audit rep</w:t>
      </w:r>
      <w:r>
        <w:rPr>
          <w:rFonts w:ascii="Garamond" w:eastAsia="Garamond" w:hAnsi="Garamond" w:cs="Garamond"/>
        </w:rPr>
        <w:t>ort</w:t>
      </w:r>
      <w:r>
        <w:rPr>
          <w:rFonts w:ascii="Garamond" w:eastAsia="Garamond" w:hAnsi="Garamond" w:cs="Garamond"/>
          <w:b/>
        </w:rPr>
        <w:t>.</w:t>
      </w:r>
    </w:p>
    <w:p w:rsidR="00576F87" w:rsidRDefault="004165F5">
      <w:pPr>
        <w:spacing w:after="11" w:line="268" w:lineRule="auto"/>
        <w:ind w:left="14" w:hanging="10"/>
        <w:jc w:val="both"/>
      </w:pPr>
      <w:r>
        <w:rPr>
          <w:rFonts w:ascii="Garamond" w:eastAsia="Garamond" w:hAnsi="Garamond" w:cs="Garamond"/>
        </w:rPr>
        <w:t>on the Financial Reporting Authority’s website at:</w:t>
      </w:r>
    </w:p>
    <w:p w:rsidR="00576F87" w:rsidRDefault="004165F5">
      <w:pPr>
        <w:spacing w:after="83"/>
        <w:ind w:left="16"/>
      </w:pPr>
      <w:r>
        <w:rPr>
          <w:rFonts w:ascii="Garamond" w:eastAsia="Garamond" w:hAnsi="Garamond" w:cs="Garamond"/>
          <w:color w:val="0000FF"/>
          <w:u w:val="single" w:color="0000FF"/>
        </w:rPr>
        <w:t>www.frc.org.uk/auditorsresponsibilities.</w:t>
      </w:r>
    </w:p>
    <w:p w:rsidR="00576F87" w:rsidRDefault="004165F5">
      <w:pPr>
        <w:spacing w:after="299" w:line="268" w:lineRule="auto"/>
        <w:ind w:left="14" w:hanging="10"/>
        <w:jc w:val="both"/>
      </w:pPr>
      <w:r>
        <w:rPr>
          <w:rFonts w:ascii="Garamond" w:eastAsia="Garamond" w:hAnsi="Garamond" w:cs="Garamond"/>
        </w:rPr>
        <w:t>This description forms part of our auditor’s report.</w:t>
      </w:r>
    </w:p>
    <w:p w:rsidR="00576F87" w:rsidRDefault="004165F5">
      <w:pPr>
        <w:pStyle w:val="Heading6"/>
        <w:ind w:left="16"/>
      </w:pPr>
      <w:r>
        <w:lastRenderedPageBreak/>
        <w:t>Other matters which we are required to address</w:t>
      </w:r>
    </w:p>
    <w:p w:rsidR="00576F87" w:rsidRDefault="004165F5">
      <w:pPr>
        <w:spacing w:after="11" w:line="268" w:lineRule="auto"/>
        <w:ind w:left="14" w:hanging="10"/>
        <w:jc w:val="both"/>
      </w:pPr>
      <w:r>
        <w:rPr>
          <w:rFonts w:ascii="Garamond" w:eastAsia="Garamond" w:hAnsi="Garamond" w:cs="Garamond"/>
        </w:rPr>
        <w:t xml:space="preserve">We were appointed by the Audit Commission on 26 July 2012. </w:t>
      </w:r>
      <w:r>
        <w:rPr>
          <w:rFonts w:ascii="Garamond" w:eastAsia="Garamond" w:hAnsi="Garamond" w:cs="Garamond"/>
        </w:rPr>
        <w:t>The period of total uninterrupted engagement including previous renewals and reappointments of the firm is six years.</w:t>
      </w:r>
    </w:p>
    <w:p w:rsidR="00576F87" w:rsidRDefault="004165F5">
      <w:pPr>
        <w:spacing w:after="11" w:line="268" w:lineRule="auto"/>
        <w:ind w:left="14" w:hanging="10"/>
        <w:jc w:val="both"/>
      </w:pPr>
      <w:r>
        <w:rPr>
          <w:rFonts w:ascii="Garamond" w:eastAsia="Garamond" w:hAnsi="Garamond" w:cs="Garamond"/>
        </w:rPr>
        <w:t xml:space="preserve">The non-audit services prohibited by the FRC’s Ethical Standard were not provided to the group or the Authority and we remain independent </w:t>
      </w:r>
      <w:r>
        <w:rPr>
          <w:rFonts w:ascii="Garamond" w:eastAsia="Garamond" w:hAnsi="Garamond" w:cs="Garamond"/>
        </w:rPr>
        <w:t>of the group and the Authority in conducting our audit.</w:t>
      </w:r>
    </w:p>
    <w:p w:rsidR="00576F87" w:rsidRDefault="004165F5">
      <w:pPr>
        <w:spacing w:after="11" w:line="268" w:lineRule="auto"/>
        <w:ind w:left="14" w:hanging="10"/>
        <w:jc w:val="both"/>
      </w:pPr>
      <w:r>
        <w:rPr>
          <w:rFonts w:ascii="Garamond" w:eastAsia="Garamond" w:hAnsi="Garamond" w:cs="Garamond"/>
        </w:rPr>
        <w:t>Our audit opinion is consistent with the additional report to the Audit and Risk Committee.</w:t>
      </w:r>
    </w:p>
    <w:p w:rsidR="00576F87" w:rsidRDefault="004165F5">
      <w:pPr>
        <w:pStyle w:val="Heading5"/>
        <w:spacing w:after="239" w:line="337" w:lineRule="auto"/>
        <w:ind w:left="21" w:hanging="10"/>
        <w:jc w:val="both"/>
      </w:pPr>
      <w:r>
        <w:rPr>
          <w:rFonts w:ascii="Arial" w:eastAsia="Arial" w:hAnsi="Arial" w:cs="Arial"/>
          <w:color w:val="7030A0"/>
          <w:sz w:val="22"/>
        </w:rPr>
        <w:t xml:space="preserve">Report on other legal and regulatory requirements - Conclusion on the Authority’s arrangements for securing </w:t>
      </w:r>
      <w:r>
        <w:rPr>
          <w:rFonts w:ascii="Arial" w:eastAsia="Arial" w:hAnsi="Arial" w:cs="Arial"/>
          <w:color w:val="7030A0"/>
          <w:sz w:val="22"/>
        </w:rPr>
        <w:t>economy, efficiency and effectiveness in its use of resources</w:t>
      </w:r>
    </w:p>
    <w:p w:rsidR="00576F87" w:rsidRDefault="004165F5">
      <w:pPr>
        <w:pStyle w:val="Heading6"/>
        <w:spacing w:after="87" w:line="259" w:lineRule="auto"/>
        <w:ind w:left="18"/>
      </w:pPr>
      <w:r>
        <w:rPr>
          <w:sz w:val="20"/>
        </w:rPr>
        <w:t xml:space="preserve">Conclusion </w:t>
      </w:r>
    </w:p>
    <w:p w:rsidR="00576F87" w:rsidRDefault="004165F5">
      <w:pPr>
        <w:spacing w:after="244" w:line="268" w:lineRule="auto"/>
        <w:ind w:left="14" w:hanging="10"/>
        <w:jc w:val="both"/>
      </w:pPr>
      <w:r>
        <w:rPr>
          <w:rFonts w:ascii="Garamond" w:eastAsia="Garamond" w:hAnsi="Garamond" w:cs="Garamond"/>
        </w:rPr>
        <w:t xml:space="preserve">On the basis of our work, having regard to the guidance on the specified criterion issued by the Comptroller and Auditor General in November 2017, we are satisfied that </w:t>
      </w:r>
      <w:r>
        <w:rPr>
          <w:rFonts w:ascii="Garamond" w:eastAsia="Garamond" w:hAnsi="Garamond" w:cs="Garamond"/>
          <w:i/>
        </w:rPr>
        <w:t xml:space="preserve">the Authority </w:t>
      </w:r>
      <w:r>
        <w:rPr>
          <w:rFonts w:ascii="Garamond" w:eastAsia="Garamond" w:hAnsi="Garamond" w:cs="Garamond"/>
        </w:rPr>
        <w:t>put in place proper arrangements for securing economy, efficiency and effectiveness in its use of resources for the year ended 31 March 2018.</w:t>
      </w:r>
    </w:p>
    <w:p w:rsidR="00576F87" w:rsidRDefault="004165F5">
      <w:pPr>
        <w:pStyle w:val="Heading6"/>
        <w:spacing w:after="87" w:line="259" w:lineRule="auto"/>
        <w:ind w:left="18"/>
      </w:pPr>
      <w:r>
        <w:rPr>
          <w:sz w:val="20"/>
        </w:rPr>
        <w:t xml:space="preserve">Responsibilities of the Authority </w:t>
      </w:r>
    </w:p>
    <w:p w:rsidR="00576F87" w:rsidRDefault="004165F5">
      <w:pPr>
        <w:spacing w:after="218" w:line="268" w:lineRule="auto"/>
        <w:ind w:left="14" w:hanging="10"/>
        <w:jc w:val="both"/>
      </w:pPr>
      <w:r>
        <w:rPr>
          <w:rFonts w:ascii="Garamond" w:eastAsia="Garamond" w:hAnsi="Garamond" w:cs="Garamond"/>
        </w:rPr>
        <w:t>The Authority is responsible for putting in place proper arrangem</w:t>
      </w:r>
      <w:r>
        <w:rPr>
          <w:rFonts w:ascii="Garamond" w:eastAsia="Garamond" w:hAnsi="Garamond" w:cs="Garamond"/>
        </w:rPr>
        <w:t>ents for securing economy, efficiency and effectiveness in its use of resources, to ensure proper stewardship and governance, and to review regularly the adequacy and effectiveness of these arrangements.</w:t>
      </w:r>
    </w:p>
    <w:p w:rsidR="00576F87" w:rsidRDefault="004165F5">
      <w:pPr>
        <w:pStyle w:val="Heading6"/>
        <w:spacing w:after="168" w:line="340" w:lineRule="auto"/>
        <w:ind w:left="18"/>
      </w:pPr>
      <w:r>
        <w:rPr>
          <w:sz w:val="20"/>
        </w:rPr>
        <w:t>Auditor’s responsibilities for the review of the Aut</w:t>
      </w:r>
      <w:r>
        <w:rPr>
          <w:sz w:val="20"/>
        </w:rPr>
        <w:t>hority’s arrangements for securing economy, efficiency and effectiveness in its use of resources</w:t>
      </w:r>
    </w:p>
    <w:p w:rsidR="00576F87" w:rsidRDefault="004165F5">
      <w:pPr>
        <w:spacing w:after="109" w:line="268" w:lineRule="auto"/>
        <w:ind w:left="14" w:hanging="10"/>
        <w:jc w:val="both"/>
      </w:pPr>
      <w:r>
        <w:rPr>
          <w:rFonts w:ascii="Garamond" w:eastAsia="Garamond" w:hAnsi="Garamond" w:cs="Garamond"/>
        </w:rPr>
        <w:t>We are required under Section 20(1)(c) of the Local Audit and Accountability Act 2014 to be satisfied that the Authority has made proper arrangements for secur</w:t>
      </w:r>
      <w:r>
        <w:rPr>
          <w:rFonts w:ascii="Garamond" w:eastAsia="Garamond" w:hAnsi="Garamond" w:cs="Garamond"/>
        </w:rPr>
        <w:t>ing economy, efficiency and effectiveness in its use of resources. We are not required to consider, nor have we considered, whether all aspects of the Authority's arrangements for securing economy, efficiency and effectiveness in its use of resources are o</w:t>
      </w:r>
      <w:r>
        <w:rPr>
          <w:rFonts w:ascii="Garamond" w:eastAsia="Garamond" w:hAnsi="Garamond" w:cs="Garamond"/>
        </w:rPr>
        <w:t>perating effectively.</w:t>
      </w:r>
    </w:p>
    <w:p w:rsidR="00576F87" w:rsidRDefault="004165F5">
      <w:pPr>
        <w:spacing w:after="49" w:line="268" w:lineRule="auto"/>
        <w:ind w:left="14" w:hanging="10"/>
        <w:jc w:val="both"/>
      </w:pPr>
      <w:r>
        <w:rPr>
          <w:rFonts w:ascii="Garamond" w:eastAsia="Garamond" w:hAnsi="Garamond" w:cs="Garamond"/>
        </w:rPr>
        <w:t>We have undertaken our review in accordance with the Code of Audit Practice having regard to the guidance on the specified criterion issued by the Comptroller and Auditor General in November 2017, as to whether in all significant resp</w:t>
      </w:r>
      <w:r>
        <w:rPr>
          <w:rFonts w:ascii="Garamond" w:eastAsia="Garamond" w:hAnsi="Garamond" w:cs="Garamond"/>
        </w:rPr>
        <w:t>ects the Authority had proper arrangements to ensure it took properly informed decisions and deployed resources to achieve planned and sustainable outcomes for taxpayers and local people. The Comptroller and Auditor General determined this criterion as tha</w:t>
      </w:r>
      <w:r>
        <w:rPr>
          <w:rFonts w:ascii="Garamond" w:eastAsia="Garamond" w:hAnsi="Garamond" w:cs="Garamond"/>
        </w:rPr>
        <w:t>t necessary for us to consider under the Code of Audit Practice in satisfying ourselves whether the Authority put in place proper arrangements for securing economy, efficiency and effectiveness in its use of resources for the year ended 31 March 2018.</w:t>
      </w:r>
    </w:p>
    <w:p w:rsidR="00576F87" w:rsidRDefault="004165F5">
      <w:pPr>
        <w:spacing w:after="259" w:line="268" w:lineRule="auto"/>
        <w:ind w:left="14" w:hanging="10"/>
        <w:jc w:val="both"/>
      </w:pPr>
      <w:r>
        <w:rPr>
          <w:rFonts w:ascii="Garamond" w:eastAsia="Garamond" w:hAnsi="Garamond" w:cs="Garamond"/>
        </w:rPr>
        <w:t>We p</w:t>
      </w:r>
      <w:r>
        <w:rPr>
          <w:rFonts w:ascii="Garamond" w:eastAsia="Garamond" w:hAnsi="Garamond" w:cs="Garamond"/>
        </w:rPr>
        <w:t>lanned our work in accordance with the Code of Audit Practice. Based on our risk assessment, we undertook such work as we considered necessary to be satisfied that the Authority has put in place proper arrangements for securing economy, efficiency and effe</w:t>
      </w:r>
      <w:r>
        <w:rPr>
          <w:rFonts w:ascii="Garamond" w:eastAsia="Garamond" w:hAnsi="Garamond" w:cs="Garamond"/>
        </w:rPr>
        <w:t>ctiveness in its use of resources.</w:t>
      </w:r>
    </w:p>
    <w:p w:rsidR="00576F87" w:rsidRDefault="004165F5">
      <w:pPr>
        <w:pStyle w:val="Heading5"/>
        <w:spacing w:after="89"/>
        <w:ind w:left="21" w:hanging="10"/>
        <w:jc w:val="both"/>
      </w:pPr>
      <w:r>
        <w:rPr>
          <w:rFonts w:ascii="Arial" w:eastAsia="Arial" w:hAnsi="Arial" w:cs="Arial"/>
          <w:color w:val="7030A0"/>
          <w:sz w:val="22"/>
        </w:rPr>
        <w:t>Report on other legal and regulatory requirements - Certificate</w:t>
      </w:r>
    </w:p>
    <w:p w:rsidR="00576F87" w:rsidRDefault="004165F5">
      <w:pPr>
        <w:spacing w:after="241" w:line="268" w:lineRule="auto"/>
        <w:ind w:left="14" w:hanging="10"/>
        <w:jc w:val="both"/>
      </w:pPr>
      <w:r>
        <w:rPr>
          <w:rFonts w:ascii="Garamond" w:eastAsia="Garamond" w:hAnsi="Garamond" w:cs="Garamond"/>
        </w:rPr>
        <w:t>We certify that we have completed the audit of the financial statements of the Authority in accordance with the requirements of the Local Audit and Accountab</w:t>
      </w:r>
      <w:r>
        <w:rPr>
          <w:rFonts w:ascii="Garamond" w:eastAsia="Garamond" w:hAnsi="Garamond" w:cs="Garamond"/>
        </w:rPr>
        <w:t>ility Act 2014 and the Code of Audit Practice.</w:t>
      </w:r>
    </w:p>
    <w:p w:rsidR="00576F87" w:rsidRDefault="004165F5">
      <w:pPr>
        <w:spacing w:after="69"/>
        <w:ind w:left="16"/>
      </w:pPr>
      <w:r>
        <w:rPr>
          <w:rFonts w:ascii="Garamond" w:eastAsia="Garamond" w:hAnsi="Garamond" w:cs="Garamond"/>
        </w:rPr>
        <w:t xml:space="preserve"> </w:t>
      </w:r>
    </w:p>
    <w:p w:rsidR="00576F87" w:rsidRDefault="004165F5">
      <w:pPr>
        <w:spacing w:after="231"/>
      </w:pPr>
      <w:r>
        <w:rPr>
          <w:rFonts w:ascii="Garamond" w:eastAsia="Garamond" w:hAnsi="Garamond" w:cs="Garamond"/>
          <w:b/>
          <w:sz w:val="29"/>
        </w:rPr>
        <w:t>Ciaran McLaughlin</w:t>
      </w:r>
    </w:p>
    <w:p w:rsidR="00576F87" w:rsidRDefault="004165F5">
      <w:pPr>
        <w:spacing w:after="248" w:line="268" w:lineRule="auto"/>
        <w:ind w:left="14" w:right="4164" w:hanging="10"/>
        <w:jc w:val="both"/>
      </w:pPr>
      <w:r>
        <w:rPr>
          <w:rFonts w:ascii="Garamond" w:eastAsia="Garamond" w:hAnsi="Garamond" w:cs="Garamond"/>
          <w:b/>
        </w:rPr>
        <w:t xml:space="preserve">Ciaran McLaughlin </w:t>
      </w:r>
      <w:r>
        <w:rPr>
          <w:rFonts w:ascii="Garamond" w:eastAsia="Garamond" w:hAnsi="Garamond" w:cs="Garamond"/>
        </w:rPr>
        <w:t>for and on behalf of Grant Thornton UK LLP, Appointed Auditor</w:t>
      </w:r>
    </w:p>
    <w:p w:rsidR="00576F87" w:rsidRDefault="004165F5">
      <w:pPr>
        <w:spacing w:after="11" w:line="268" w:lineRule="auto"/>
        <w:ind w:left="14" w:hanging="10"/>
        <w:jc w:val="both"/>
      </w:pPr>
      <w:r>
        <w:rPr>
          <w:rFonts w:ascii="Garamond" w:eastAsia="Garamond" w:hAnsi="Garamond" w:cs="Garamond"/>
        </w:rPr>
        <w:t>30 Finsbury Square</w:t>
      </w:r>
    </w:p>
    <w:p w:rsidR="00576F87" w:rsidRDefault="004165F5">
      <w:pPr>
        <w:spacing w:after="11" w:line="268" w:lineRule="auto"/>
        <w:ind w:left="14" w:hanging="10"/>
        <w:jc w:val="both"/>
      </w:pPr>
      <w:r>
        <w:rPr>
          <w:rFonts w:ascii="Garamond" w:eastAsia="Garamond" w:hAnsi="Garamond" w:cs="Garamond"/>
        </w:rPr>
        <w:lastRenderedPageBreak/>
        <w:t>London</w:t>
      </w:r>
    </w:p>
    <w:p w:rsidR="00576F87" w:rsidRDefault="004165F5">
      <w:pPr>
        <w:spacing w:after="251" w:line="268" w:lineRule="auto"/>
        <w:ind w:left="14" w:hanging="10"/>
        <w:jc w:val="both"/>
      </w:pPr>
      <w:r>
        <w:rPr>
          <w:rFonts w:ascii="Garamond" w:eastAsia="Garamond" w:hAnsi="Garamond" w:cs="Garamond"/>
        </w:rPr>
        <w:t>EC2A 1AG</w:t>
      </w:r>
    </w:p>
    <w:p w:rsidR="00576F87" w:rsidRDefault="004165F5">
      <w:pPr>
        <w:spacing w:after="11" w:line="268" w:lineRule="auto"/>
        <w:ind w:left="14" w:hanging="10"/>
        <w:jc w:val="both"/>
      </w:pPr>
      <w:r>
        <w:rPr>
          <w:rFonts w:ascii="Garamond" w:eastAsia="Garamond" w:hAnsi="Garamond" w:cs="Garamond"/>
        </w:rPr>
        <w:t>20 August 2018</w:t>
      </w:r>
    </w:p>
    <w:p w:rsidR="00576F87" w:rsidRDefault="00576F87">
      <w:pPr>
        <w:sectPr w:rsidR="00576F87">
          <w:headerReference w:type="even" r:id="rId42"/>
          <w:headerReference w:type="default" r:id="rId43"/>
          <w:footerReference w:type="even" r:id="rId44"/>
          <w:footerReference w:type="default" r:id="rId45"/>
          <w:headerReference w:type="first" r:id="rId46"/>
          <w:footerReference w:type="first" r:id="rId47"/>
          <w:pgSz w:w="11900" w:h="16840"/>
          <w:pgMar w:top="1757" w:right="1035" w:bottom="1164" w:left="1049" w:header="870" w:footer="510" w:gutter="0"/>
          <w:cols w:space="720"/>
        </w:sectPr>
      </w:pPr>
    </w:p>
    <w:p w:rsidR="00576F87" w:rsidRDefault="004165F5">
      <w:pPr>
        <w:pStyle w:val="Heading1"/>
        <w:spacing w:after="494"/>
        <w:ind w:left="19"/>
      </w:pPr>
      <w:r>
        <w:lastRenderedPageBreak/>
        <w:t>LPFA Accounts 31 March 2018</w:t>
      </w:r>
    </w:p>
    <w:p w:rsidR="00576F87" w:rsidRDefault="004165F5">
      <w:pPr>
        <w:tabs>
          <w:tab w:val="center" w:pos="2619"/>
        </w:tabs>
        <w:spacing w:after="0"/>
      </w:pPr>
      <w:r>
        <w:rPr>
          <w:rFonts w:ascii="Verdana" w:eastAsia="Verdana" w:hAnsi="Verdana" w:cs="Verdana"/>
          <w:b/>
          <w:color w:val="16365C"/>
          <w:sz w:val="28"/>
        </w:rPr>
        <w:t>5</w:t>
      </w:r>
      <w:r>
        <w:rPr>
          <w:rFonts w:ascii="Verdana" w:eastAsia="Verdana" w:hAnsi="Verdana" w:cs="Verdana"/>
          <w:b/>
          <w:color w:val="16365C"/>
          <w:sz w:val="28"/>
        </w:rPr>
        <w:tab/>
      </w:r>
      <w:r>
        <w:rPr>
          <w:rFonts w:ascii="Verdana" w:eastAsia="Verdana" w:hAnsi="Verdana" w:cs="Verdana"/>
          <w:color w:val="16365C"/>
          <w:sz w:val="28"/>
        </w:rPr>
        <w:t>Fund Account</w:t>
      </w:r>
    </w:p>
    <w:tbl>
      <w:tblPr>
        <w:tblStyle w:val="TableGrid"/>
        <w:tblW w:w="8878" w:type="dxa"/>
        <w:tblInd w:w="-34" w:type="dxa"/>
        <w:tblCellMar>
          <w:top w:w="40" w:type="dxa"/>
          <w:left w:w="36" w:type="dxa"/>
          <w:bottom w:w="0" w:type="dxa"/>
          <w:right w:w="38" w:type="dxa"/>
        </w:tblCellMar>
        <w:tblLook w:val="04A0" w:firstRow="1" w:lastRow="0" w:firstColumn="1" w:lastColumn="0" w:noHBand="0" w:noVBand="1"/>
      </w:tblPr>
      <w:tblGrid>
        <w:gridCol w:w="1642"/>
        <w:gridCol w:w="4495"/>
        <w:gridCol w:w="1210"/>
        <w:gridCol w:w="1531"/>
      </w:tblGrid>
      <w:tr w:rsidR="00576F87">
        <w:trPr>
          <w:trHeight w:val="348"/>
        </w:trPr>
        <w:tc>
          <w:tcPr>
            <w:tcW w:w="1642" w:type="dxa"/>
            <w:tcBorders>
              <w:top w:val="single" w:sz="8" w:space="0" w:color="009784"/>
              <w:left w:val="single" w:sz="8" w:space="0" w:color="009784"/>
              <w:bottom w:val="single" w:sz="15" w:space="0" w:color="009784"/>
              <w:right w:val="single" w:sz="15" w:space="0" w:color="009784"/>
            </w:tcBorders>
            <w:shd w:val="clear" w:color="auto" w:fill="009784"/>
          </w:tcPr>
          <w:p w:rsidR="00576F87" w:rsidRDefault="004165F5">
            <w:pPr>
              <w:spacing w:after="0"/>
              <w:jc w:val="right"/>
            </w:pPr>
            <w:r>
              <w:rPr>
                <w:rFonts w:ascii="Verdana" w:eastAsia="Verdana" w:hAnsi="Verdana" w:cs="Verdana"/>
                <w:b/>
                <w:color w:val="FFFFFF"/>
                <w:sz w:val="18"/>
              </w:rPr>
              <w:t>2016/17</w:t>
            </w:r>
          </w:p>
        </w:tc>
        <w:tc>
          <w:tcPr>
            <w:tcW w:w="4495" w:type="dxa"/>
            <w:tcBorders>
              <w:top w:val="single" w:sz="8" w:space="0" w:color="009784"/>
              <w:left w:val="single" w:sz="15" w:space="0" w:color="009784"/>
              <w:bottom w:val="single" w:sz="15" w:space="0" w:color="009784"/>
              <w:right w:val="single" w:sz="15" w:space="0" w:color="009784"/>
            </w:tcBorders>
            <w:shd w:val="clear" w:color="auto" w:fill="009784"/>
          </w:tcPr>
          <w:p w:rsidR="00576F87" w:rsidRDefault="00576F87"/>
        </w:tc>
        <w:tc>
          <w:tcPr>
            <w:tcW w:w="1210" w:type="dxa"/>
            <w:tcBorders>
              <w:top w:val="single" w:sz="8" w:space="0" w:color="009784"/>
              <w:left w:val="single" w:sz="15" w:space="0" w:color="009784"/>
              <w:bottom w:val="single" w:sz="15" w:space="0" w:color="009784"/>
              <w:right w:val="single" w:sz="15" w:space="0" w:color="009784"/>
            </w:tcBorders>
            <w:shd w:val="clear" w:color="auto" w:fill="009784"/>
          </w:tcPr>
          <w:p w:rsidR="00576F87" w:rsidRDefault="004165F5">
            <w:pPr>
              <w:spacing w:after="0"/>
              <w:ind w:left="5"/>
              <w:jc w:val="center"/>
            </w:pPr>
            <w:r>
              <w:rPr>
                <w:rFonts w:ascii="Verdana" w:eastAsia="Verdana" w:hAnsi="Verdana" w:cs="Verdana"/>
                <w:b/>
                <w:color w:val="FFFFFF"/>
                <w:sz w:val="18"/>
              </w:rPr>
              <w:t>Notes</w:t>
            </w:r>
          </w:p>
        </w:tc>
        <w:tc>
          <w:tcPr>
            <w:tcW w:w="1531" w:type="dxa"/>
            <w:tcBorders>
              <w:top w:val="single" w:sz="8" w:space="0" w:color="009784"/>
              <w:left w:val="single" w:sz="15" w:space="0" w:color="009784"/>
              <w:bottom w:val="single" w:sz="15" w:space="0" w:color="009784"/>
              <w:right w:val="single" w:sz="8" w:space="0" w:color="009784"/>
            </w:tcBorders>
            <w:shd w:val="clear" w:color="auto" w:fill="009784"/>
          </w:tcPr>
          <w:p w:rsidR="00576F87" w:rsidRDefault="004165F5">
            <w:pPr>
              <w:spacing w:after="0"/>
              <w:jc w:val="right"/>
            </w:pPr>
            <w:r>
              <w:rPr>
                <w:rFonts w:ascii="Verdana" w:eastAsia="Verdana" w:hAnsi="Verdana" w:cs="Verdana"/>
                <w:b/>
                <w:color w:val="FFFFFF"/>
                <w:sz w:val="18"/>
              </w:rPr>
              <w:t>2017/18</w:t>
            </w:r>
          </w:p>
        </w:tc>
      </w:tr>
      <w:tr w:rsidR="00576F87">
        <w:trPr>
          <w:trHeight w:val="586"/>
        </w:trPr>
        <w:tc>
          <w:tcPr>
            <w:tcW w:w="1642" w:type="dxa"/>
            <w:vMerge w:val="restart"/>
            <w:tcBorders>
              <w:top w:val="single" w:sz="15" w:space="0" w:color="009784"/>
              <w:left w:val="single" w:sz="8" w:space="0" w:color="009784"/>
              <w:bottom w:val="nil"/>
              <w:right w:val="single" w:sz="8" w:space="0" w:color="009784"/>
            </w:tcBorders>
            <w:vAlign w:val="bottom"/>
          </w:tcPr>
          <w:p w:rsidR="00576F87" w:rsidRDefault="004165F5">
            <w:pPr>
              <w:spacing w:after="419"/>
              <w:ind w:right="5"/>
              <w:jc w:val="right"/>
            </w:pPr>
            <w:r>
              <w:rPr>
                <w:rFonts w:ascii="Verdana" w:eastAsia="Verdana" w:hAnsi="Verdana" w:cs="Verdana"/>
                <w:b/>
                <w:sz w:val="18"/>
              </w:rPr>
              <w:t>£'000</w:t>
            </w:r>
          </w:p>
          <w:p w:rsidR="00576F87" w:rsidRDefault="004165F5">
            <w:pPr>
              <w:spacing w:after="0"/>
              <w:ind w:right="1"/>
              <w:jc w:val="right"/>
            </w:pPr>
            <w:r>
              <w:rPr>
                <w:rFonts w:ascii="Verdana" w:eastAsia="Verdana" w:hAnsi="Verdana" w:cs="Verdana"/>
                <w:sz w:val="18"/>
              </w:rPr>
              <w:t>165,685</w:t>
            </w:r>
          </w:p>
        </w:tc>
        <w:tc>
          <w:tcPr>
            <w:tcW w:w="4495" w:type="dxa"/>
            <w:tcBorders>
              <w:top w:val="single" w:sz="15" w:space="0" w:color="009784"/>
              <w:left w:val="single" w:sz="8" w:space="0" w:color="009784"/>
              <w:bottom w:val="nil"/>
              <w:right w:val="single" w:sz="8" w:space="0" w:color="009784"/>
            </w:tcBorders>
            <w:shd w:val="clear" w:color="auto" w:fill="FFFFFF"/>
            <w:vAlign w:val="bottom"/>
          </w:tcPr>
          <w:p w:rsidR="00576F87" w:rsidRDefault="004165F5">
            <w:pPr>
              <w:spacing w:after="0" w:line="263" w:lineRule="auto"/>
              <w:ind w:left="7"/>
            </w:pPr>
            <w:r>
              <w:rPr>
                <w:rFonts w:ascii="Verdana" w:eastAsia="Verdana" w:hAnsi="Verdana" w:cs="Verdana"/>
                <w:b/>
                <w:sz w:val="18"/>
              </w:rPr>
              <w:t>Dealing with members, employers and others directly involved in the Fund</w:t>
            </w:r>
          </w:p>
          <w:p w:rsidR="00576F87" w:rsidRDefault="004165F5">
            <w:pPr>
              <w:spacing w:after="0"/>
              <w:ind w:left="2"/>
            </w:pPr>
            <w:r>
              <w:rPr>
                <w:rFonts w:ascii="Arial" w:eastAsia="Arial" w:hAnsi="Arial" w:cs="Arial"/>
                <w:b/>
                <w:sz w:val="20"/>
              </w:rPr>
              <w:t xml:space="preserve"> </w:t>
            </w:r>
          </w:p>
        </w:tc>
        <w:tc>
          <w:tcPr>
            <w:tcW w:w="1210" w:type="dxa"/>
            <w:tcBorders>
              <w:top w:val="single" w:sz="15" w:space="0" w:color="009784"/>
              <w:left w:val="single" w:sz="8" w:space="0" w:color="009784"/>
              <w:bottom w:val="nil"/>
              <w:right w:val="single" w:sz="8" w:space="0" w:color="009784"/>
            </w:tcBorders>
            <w:shd w:val="clear" w:color="auto" w:fill="FFFFFF"/>
          </w:tcPr>
          <w:p w:rsidR="00576F87" w:rsidRDefault="00576F87"/>
        </w:tc>
        <w:tc>
          <w:tcPr>
            <w:tcW w:w="1531" w:type="dxa"/>
            <w:vMerge w:val="restart"/>
            <w:tcBorders>
              <w:top w:val="single" w:sz="15" w:space="0" w:color="009784"/>
              <w:left w:val="single" w:sz="8" w:space="0" w:color="009784"/>
              <w:bottom w:val="nil"/>
              <w:right w:val="single" w:sz="8" w:space="0" w:color="009784"/>
            </w:tcBorders>
            <w:vAlign w:val="bottom"/>
          </w:tcPr>
          <w:p w:rsidR="00576F87" w:rsidRDefault="004165F5">
            <w:pPr>
              <w:spacing w:after="419"/>
              <w:ind w:right="5"/>
              <w:jc w:val="right"/>
            </w:pPr>
            <w:r>
              <w:rPr>
                <w:rFonts w:ascii="Verdana" w:eastAsia="Verdana" w:hAnsi="Verdana" w:cs="Verdana"/>
                <w:b/>
                <w:sz w:val="18"/>
              </w:rPr>
              <w:t>£'000</w:t>
            </w:r>
          </w:p>
          <w:p w:rsidR="00576F87" w:rsidRDefault="004165F5">
            <w:pPr>
              <w:spacing w:after="0"/>
              <w:ind w:right="1"/>
              <w:jc w:val="right"/>
            </w:pPr>
            <w:r>
              <w:rPr>
                <w:rFonts w:ascii="Verdana" w:eastAsia="Verdana" w:hAnsi="Verdana" w:cs="Verdana"/>
                <w:sz w:val="18"/>
              </w:rPr>
              <w:t>180,904</w:t>
            </w:r>
          </w:p>
        </w:tc>
      </w:tr>
      <w:tr w:rsidR="00576F87">
        <w:trPr>
          <w:trHeight w:val="527"/>
        </w:trPr>
        <w:tc>
          <w:tcPr>
            <w:tcW w:w="0" w:type="auto"/>
            <w:vMerge/>
            <w:tcBorders>
              <w:top w:val="nil"/>
              <w:left w:val="single" w:sz="8" w:space="0" w:color="009784"/>
              <w:bottom w:val="nil"/>
              <w:right w:val="single" w:sz="8" w:space="0" w:color="009784"/>
            </w:tcBorders>
          </w:tcPr>
          <w:p w:rsidR="00576F87" w:rsidRDefault="00576F87"/>
        </w:tc>
        <w:tc>
          <w:tcPr>
            <w:tcW w:w="4495" w:type="dxa"/>
            <w:tcBorders>
              <w:top w:val="nil"/>
              <w:left w:val="single" w:sz="8" w:space="0" w:color="009784"/>
              <w:bottom w:val="nil"/>
              <w:right w:val="single" w:sz="8" w:space="0" w:color="009784"/>
            </w:tcBorders>
            <w:vAlign w:val="bottom"/>
          </w:tcPr>
          <w:p w:rsidR="00576F87" w:rsidRDefault="004165F5">
            <w:pPr>
              <w:spacing w:after="0"/>
              <w:ind w:left="3"/>
            </w:pPr>
            <w:r>
              <w:rPr>
                <w:rFonts w:ascii="Verdana" w:eastAsia="Verdana" w:hAnsi="Verdana" w:cs="Verdana"/>
                <w:sz w:val="18"/>
              </w:rPr>
              <w:t>Contributions</w:t>
            </w:r>
          </w:p>
        </w:tc>
        <w:tc>
          <w:tcPr>
            <w:tcW w:w="1210" w:type="dxa"/>
            <w:tcBorders>
              <w:top w:val="nil"/>
              <w:left w:val="single" w:sz="8" w:space="0" w:color="009784"/>
              <w:bottom w:val="nil"/>
              <w:right w:val="single" w:sz="8" w:space="0" w:color="009784"/>
            </w:tcBorders>
            <w:vAlign w:val="bottom"/>
          </w:tcPr>
          <w:p w:rsidR="00576F87" w:rsidRDefault="004165F5">
            <w:pPr>
              <w:spacing w:after="0"/>
              <w:ind w:left="20"/>
              <w:jc w:val="center"/>
            </w:pPr>
            <w:r>
              <w:rPr>
                <w:rFonts w:ascii="Verdana" w:eastAsia="Verdana" w:hAnsi="Verdana" w:cs="Verdana"/>
                <w:sz w:val="18"/>
              </w:rPr>
              <w:t>6</w:t>
            </w:r>
          </w:p>
        </w:tc>
        <w:tc>
          <w:tcPr>
            <w:tcW w:w="0" w:type="auto"/>
            <w:vMerge/>
            <w:tcBorders>
              <w:top w:val="nil"/>
              <w:left w:val="single" w:sz="8" w:space="0" w:color="009784"/>
              <w:bottom w:val="nil"/>
              <w:right w:val="single" w:sz="8" w:space="0" w:color="009784"/>
            </w:tcBorders>
          </w:tcPr>
          <w:p w:rsidR="00576F87" w:rsidRDefault="00576F87"/>
        </w:tc>
      </w:tr>
      <w:tr w:rsidR="00576F87">
        <w:trPr>
          <w:trHeight w:val="436"/>
        </w:trPr>
        <w:tc>
          <w:tcPr>
            <w:tcW w:w="1642" w:type="dxa"/>
            <w:tcBorders>
              <w:top w:val="nil"/>
              <w:left w:val="single" w:sz="8" w:space="0" w:color="009784"/>
              <w:bottom w:val="nil"/>
              <w:right w:val="single" w:sz="8" w:space="0" w:color="009784"/>
            </w:tcBorders>
          </w:tcPr>
          <w:p w:rsidR="00576F87" w:rsidRDefault="004165F5">
            <w:pPr>
              <w:spacing w:after="0"/>
              <w:ind w:right="1"/>
              <w:jc w:val="right"/>
            </w:pPr>
            <w:r>
              <w:rPr>
                <w:rFonts w:ascii="Verdana" w:eastAsia="Verdana" w:hAnsi="Verdana" w:cs="Verdana"/>
                <w:sz w:val="18"/>
              </w:rPr>
              <w:t>8,071</w:t>
            </w:r>
          </w:p>
        </w:tc>
        <w:tc>
          <w:tcPr>
            <w:tcW w:w="4495" w:type="dxa"/>
            <w:tcBorders>
              <w:top w:val="nil"/>
              <w:left w:val="single" w:sz="8" w:space="0" w:color="009784"/>
              <w:bottom w:val="nil"/>
              <w:right w:val="single" w:sz="8" w:space="0" w:color="009784"/>
            </w:tcBorders>
          </w:tcPr>
          <w:p w:rsidR="00576F87" w:rsidRDefault="004165F5">
            <w:pPr>
              <w:spacing w:after="0"/>
              <w:ind w:left="3"/>
            </w:pPr>
            <w:r>
              <w:rPr>
                <w:rFonts w:ascii="Verdana" w:eastAsia="Verdana" w:hAnsi="Verdana" w:cs="Verdana"/>
                <w:sz w:val="18"/>
              </w:rPr>
              <w:t>Transfer from other Pension Funds</w:t>
            </w:r>
          </w:p>
        </w:tc>
        <w:tc>
          <w:tcPr>
            <w:tcW w:w="1210" w:type="dxa"/>
            <w:tcBorders>
              <w:top w:val="nil"/>
              <w:left w:val="single" w:sz="8" w:space="0" w:color="009784"/>
              <w:bottom w:val="nil"/>
              <w:right w:val="single" w:sz="8" w:space="0" w:color="009784"/>
            </w:tcBorders>
          </w:tcPr>
          <w:p w:rsidR="00576F87" w:rsidRDefault="004165F5">
            <w:pPr>
              <w:spacing w:after="0"/>
              <w:ind w:left="23"/>
              <w:jc w:val="center"/>
            </w:pPr>
            <w:r>
              <w:rPr>
                <w:rFonts w:ascii="Verdana" w:eastAsia="Verdana" w:hAnsi="Verdana" w:cs="Verdana"/>
                <w:sz w:val="18"/>
              </w:rPr>
              <w:t>7</w:t>
            </w:r>
          </w:p>
        </w:tc>
        <w:tc>
          <w:tcPr>
            <w:tcW w:w="1531" w:type="dxa"/>
            <w:tcBorders>
              <w:top w:val="nil"/>
              <w:left w:val="single" w:sz="8" w:space="0" w:color="009784"/>
              <w:bottom w:val="nil"/>
              <w:right w:val="single" w:sz="8" w:space="0" w:color="009784"/>
            </w:tcBorders>
          </w:tcPr>
          <w:p w:rsidR="00576F87" w:rsidRDefault="004165F5">
            <w:pPr>
              <w:spacing w:after="0"/>
              <w:jc w:val="right"/>
            </w:pPr>
            <w:r>
              <w:rPr>
                <w:rFonts w:ascii="Verdana" w:eastAsia="Verdana" w:hAnsi="Verdana" w:cs="Verdana"/>
                <w:sz w:val="18"/>
              </w:rPr>
              <w:t>165,434</w:t>
            </w:r>
          </w:p>
        </w:tc>
      </w:tr>
      <w:tr w:rsidR="00576F87">
        <w:trPr>
          <w:trHeight w:val="435"/>
        </w:trPr>
        <w:tc>
          <w:tcPr>
            <w:tcW w:w="1642" w:type="dxa"/>
            <w:tcBorders>
              <w:top w:val="nil"/>
              <w:left w:val="single" w:sz="8" w:space="0" w:color="009784"/>
              <w:bottom w:val="nil"/>
              <w:right w:val="single" w:sz="8" w:space="0" w:color="009784"/>
            </w:tcBorders>
            <w:vAlign w:val="bottom"/>
          </w:tcPr>
          <w:p w:rsidR="00576F87" w:rsidRDefault="004165F5">
            <w:pPr>
              <w:spacing w:after="0"/>
              <w:ind w:right="5"/>
              <w:jc w:val="right"/>
            </w:pPr>
            <w:r>
              <w:rPr>
                <w:rFonts w:ascii="Verdana" w:eastAsia="Verdana" w:hAnsi="Verdana" w:cs="Verdana"/>
                <w:b/>
                <w:sz w:val="18"/>
              </w:rPr>
              <w:t>173,756</w:t>
            </w:r>
          </w:p>
        </w:tc>
        <w:tc>
          <w:tcPr>
            <w:tcW w:w="4495" w:type="dxa"/>
            <w:tcBorders>
              <w:top w:val="nil"/>
              <w:left w:val="single" w:sz="8" w:space="0" w:color="009784"/>
              <w:bottom w:val="nil"/>
              <w:right w:val="single" w:sz="8" w:space="0" w:color="009784"/>
            </w:tcBorders>
          </w:tcPr>
          <w:p w:rsidR="00576F87" w:rsidRDefault="00576F87"/>
        </w:tc>
        <w:tc>
          <w:tcPr>
            <w:tcW w:w="1210" w:type="dxa"/>
            <w:tcBorders>
              <w:top w:val="nil"/>
              <w:left w:val="single" w:sz="8" w:space="0" w:color="009784"/>
              <w:bottom w:val="nil"/>
              <w:right w:val="single" w:sz="8" w:space="0" w:color="009784"/>
            </w:tcBorders>
          </w:tcPr>
          <w:p w:rsidR="00576F87" w:rsidRDefault="00576F87"/>
        </w:tc>
        <w:tc>
          <w:tcPr>
            <w:tcW w:w="1531" w:type="dxa"/>
            <w:tcBorders>
              <w:top w:val="nil"/>
              <w:left w:val="single" w:sz="8" w:space="0" w:color="009784"/>
              <w:bottom w:val="nil"/>
              <w:right w:val="single" w:sz="8" w:space="0" w:color="009784"/>
            </w:tcBorders>
            <w:vAlign w:val="bottom"/>
          </w:tcPr>
          <w:p w:rsidR="00576F87" w:rsidRDefault="004165F5">
            <w:pPr>
              <w:spacing w:after="0"/>
              <w:ind w:right="5"/>
              <w:jc w:val="right"/>
            </w:pPr>
            <w:r>
              <w:rPr>
                <w:rFonts w:ascii="Verdana" w:eastAsia="Verdana" w:hAnsi="Verdana" w:cs="Verdana"/>
                <w:b/>
                <w:sz w:val="18"/>
              </w:rPr>
              <w:t>346,338</w:t>
            </w:r>
          </w:p>
        </w:tc>
      </w:tr>
      <w:tr w:rsidR="00576F87">
        <w:trPr>
          <w:trHeight w:val="290"/>
        </w:trPr>
        <w:tc>
          <w:tcPr>
            <w:tcW w:w="1642" w:type="dxa"/>
            <w:tcBorders>
              <w:top w:val="nil"/>
              <w:left w:val="single" w:sz="8" w:space="0" w:color="009784"/>
              <w:bottom w:val="nil"/>
              <w:right w:val="single" w:sz="8" w:space="0" w:color="009784"/>
            </w:tcBorders>
          </w:tcPr>
          <w:p w:rsidR="00576F87" w:rsidRDefault="004165F5">
            <w:pPr>
              <w:spacing w:after="0"/>
              <w:jc w:val="right"/>
            </w:pPr>
            <w:r>
              <w:rPr>
                <w:rFonts w:ascii="Verdana" w:eastAsia="Verdana" w:hAnsi="Verdana" w:cs="Verdana"/>
                <w:sz w:val="18"/>
              </w:rPr>
              <w:t>(245,749)</w:t>
            </w:r>
          </w:p>
        </w:tc>
        <w:tc>
          <w:tcPr>
            <w:tcW w:w="4495" w:type="dxa"/>
            <w:tcBorders>
              <w:top w:val="nil"/>
              <w:left w:val="single" w:sz="8" w:space="0" w:color="009784"/>
              <w:bottom w:val="nil"/>
              <w:right w:val="single" w:sz="8" w:space="0" w:color="009784"/>
            </w:tcBorders>
          </w:tcPr>
          <w:p w:rsidR="00576F87" w:rsidRDefault="004165F5">
            <w:pPr>
              <w:spacing w:after="0"/>
              <w:ind w:left="3"/>
            </w:pPr>
            <w:r>
              <w:rPr>
                <w:rFonts w:ascii="Verdana" w:eastAsia="Verdana" w:hAnsi="Verdana" w:cs="Verdana"/>
                <w:sz w:val="18"/>
              </w:rPr>
              <w:t>Benefits</w:t>
            </w:r>
          </w:p>
        </w:tc>
        <w:tc>
          <w:tcPr>
            <w:tcW w:w="1210" w:type="dxa"/>
            <w:tcBorders>
              <w:top w:val="nil"/>
              <w:left w:val="single" w:sz="8" w:space="0" w:color="009784"/>
              <w:bottom w:val="nil"/>
              <w:right w:val="single" w:sz="8" w:space="0" w:color="009784"/>
            </w:tcBorders>
          </w:tcPr>
          <w:p w:rsidR="00576F87" w:rsidRDefault="004165F5">
            <w:pPr>
              <w:spacing w:after="0"/>
              <w:ind w:left="20"/>
              <w:jc w:val="center"/>
            </w:pPr>
            <w:r>
              <w:rPr>
                <w:rFonts w:ascii="Verdana" w:eastAsia="Verdana" w:hAnsi="Verdana" w:cs="Verdana"/>
                <w:sz w:val="18"/>
              </w:rPr>
              <w:t>8</w:t>
            </w:r>
          </w:p>
        </w:tc>
        <w:tc>
          <w:tcPr>
            <w:tcW w:w="1531" w:type="dxa"/>
            <w:tcBorders>
              <w:top w:val="nil"/>
              <w:left w:val="single" w:sz="8" w:space="0" w:color="009784"/>
              <w:bottom w:val="nil"/>
              <w:right w:val="single" w:sz="8" w:space="0" w:color="009784"/>
            </w:tcBorders>
          </w:tcPr>
          <w:p w:rsidR="00576F87" w:rsidRDefault="004165F5">
            <w:pPr>
              <w:spacing w:after="0"/>
              <w:jc w:val="right"/>
            </w:pPr>
            <w:r>
              <w:rPr>
                <w:rFonts w:ascii="Verdana" w:eastAsia="Verdana" w:hAnsi="Verdana" w:cs="Verdana"/>
                <w:sz w:val="18"/>
              </w:rPr>
              <w:t>(245,692)</w:t>
            </w:r>
          </w:p>
        </w:tc>
      </w:tr>
      <w:tr w:rsidR="00576F87">
        <w:trPr>
          <w:trHeight w:val="290"/>
        </w:trPr>
        <w:tc>
          <w:tcPr>
            <w:tcW w:w="1642" w:type="dxa"/>
            <w:tcBorders>
              <w:top w:val="nil"/>
              <w:left w:val="single" w:sz="8" w:space="0" w:color="009784"/>
              <w:bottom w:val="nil"/>
              <w:right w:val="single" w:sz="8" w:space="0" w:color="009784"/>
            </w:tcBorders>
          </w:tcPr>
          <w:p w:rsidR="00576F87" w:rsidRDefault="004165F5">
            <w:pPr>
              <w:spacing w:after="0"/>
              <w:ind w:right="1"/>
              <w:jc w:val="right"/>
            </w:pPr>
            <w:r>
              <w:rPr>
                <w:rFonts w:ascii="Verdana" w:eastAsia="Verdana" w:hAnsi="Verdana" w:cs="Verdana"/>
                <w:sz w:val="18"/>
              </w:rPr>
              <w:t>(13,066)</w:t>
            </w:r>
          </w:p>
        </w:tc>
        <w:tc>
          <w:tcPr>
            <w:tcW w:w="4495" w:type="dxa"/>
            <w:tcBorders>
              <w:top w:val="nil"/>
              <w:left w:val="single" w:sz="8" w:space="0" w:color="009784"/>
              <w:bottom w:val="nil"/>
              <w:right w:val="single" w:sz="8" w:space="0" w:color="009784"/>
            </w:tcBorders>
          </w:tcPr>
          <w:p w:rsidR="00576F87" w:rsidRDefault="004165F5">
            <w:pPr>
              <w:spacing w:after="0"/>
              <w:ind w:left="3"/>
            </w:pPr>
            <w:r>
              <w:rPr>
                <w:rFonts w:ascii="Verdana" w:eastAsia="Verdana" w:hAnsi="Verdana" w:cs="Verdana"/>
                <w:sz w:val="18"/>
              </w:rPr>
              <w:t>Payments to and on account of leavers</w:t>
            </w:r>
          </w:p>
        </w:tc>
        <w:tc>
          <w:tcPr>
            <w:tcW w:w="1210" w:type="dxa"/>
            <w:tcBorders>
              <w:top w:val="nil"/>
              <w:left w:val="single" w:sz="8" w:space="0" w:color="009784"/>
              <w:bottom w:val="nil"/>
              <w:right w:val="single" w:sz="8" w:space="0" w:color="009784"/>
            </w:tcBorders>
          </w:tcPr>
          <w:p w:rsidR="00576F87" w:rsidRDefault="004165F5">
            <w:pPr>
              <w:spacing w:after="0"/>
              <w:ind w:left="23"/>
              <w:jc w:val="center"/>
            </w:pPr>
            <w:r>
              <w:rPr>
                <w:rFonts w:ascii="Verdana" w:eastAsia="Verdana" w:hAnsi="Verdana" w:cs="Verdana"/>
                <w:sz w:val="18"/>
              </w:rPr>
              <w:t>9</w:t>
            </w:r>
          </w:p>
        </w:tc>
        <w:tc>
          <w:tcPr>
            <w:tcW w:w="1531" w:type="dxa"/>
            <w:tcBorders>
              <w:top w:val="nil"/>
              <w:left w:val="single" w:sz="8" w:space="0" w:color="009784"/>
              <w:bottom w:val="nil"/>
              <w:right w:val="single" w:sz="8" w:space="0" w:color="009784"/>
            </w:tcBorders>
          </w:tcPr>
          <w:p w:rsidR="00576F87" w:rsidRDefault="004165F5">
            <w:pPr>
              <w:spacing w:after="0"/>
              <w:ind w:right="1"/>
              <w:jc w:val="right"/>
            </w:pPr>
            <w:r>
              <w:rPr>
                <w:rFonts w:ascii="Verdana" w:eastAsia="Verdana" w:hAnsi="Verdana" w:cs="Verdana"/>
                <w:sz w:val="18"/>
              </w:rPr>
              <w:t>(16,828)</w:t>
            </w:r>
          </w:p>
        </w:tc>
      </w:tr>
      <w:tr w:rsidR="00576F87">
        <w:trPr>
          <w:trHeight w:val="291"/>
        </w:trPr>
        <w:tc>
          <w:tcPr>
            <w:tcW w:w="1642" w:type="dxa"/>
            <w:tcBorders>
              <w:top w:val="nil"/>
              <w:left w:val="single" w:sz="8" w:space="0" w:color="009784"/>
              <w:bottom w:val="nil"/>
              <w:right w:val="single" w:sz="8" w:space="0" w:color="009784"/>
            </w:tcBorders>
          </w:tcPr>
          <w:p w:rsidR="00576F87" w:rsidRDefault="004165F5">
            <w:pPr>
              <w:spacing w:after="0"/>
              <w:ind w:right="2"/>
              <w:jc w:val="right"/>
            </w:pPr>
            <w:r>
              <w:rPr>
                <w:rFonts w:ascii="Verdana" w:eastAsia="Verdana" w:hAnsi="Verdana" w:cs="Verdana"/>
                <w:sz w:val="18"/>
              </w:rPr>
              <w:t>187</w:t>
            </w:r>
          </w:p>
        </w:tc>
        <w:tc>
          <w:tcPr>
            <w:tcW w:w="4495" w:type="dxa"/>
            <w:tcBorders>
              <w:top w:val="nil"/>
              <w:left w:val="single" w:sz="8" w:space="0" w:color="009784"/>
              <w:bottom w:val="nil"/>
              <w:right w:val="single" w:sz="8" w:space="0" w:color="009784"/>
            </w:tcBorders>
          </w:tcPr>
          <w:p w:rsidR="00576F87" w:rsidRDefault="004165F5">
            <w:pPr>
              <w:spacing w:after="0"/>
              <w:ind w:left="3"/>
            </w:pPr>
            <w:r>
              <w:rPr>
                <w:rFonts w:ascii="Verdana" w:eastAsia="Verdana" w:hAnsi="Verdana" w:cs="Verdana"/>
                <w:sz w:val="18"/>
              </w:rPr>
              <w:t>Capital Funding costs</w:t>
            </w:r>
          </w:p>
        </w:tc>
        <w:tc>
          <w:tcPr>
            <w:tcW w:w="1210" w:type="dxa"/>
            <w:tcBorders>
              <w:top w:val="nil"/>
              <w:left w:val="single" w:sz="8" w:space="0" w:color="009784"/>
              <w:bottom w:val="nil"/>
              <w:right w:val="single" w:sz="8" w:space="0" w:color="009784"/>
            </w:tcBorders>
          </w:tcPr>
          <w:p w:rsidR="00576F87" w:rsidRDefault="00576F87"/>
        </w:tc>
        <w:tc>
          <w:tcPr>
            <w:tcW w:w="1531" w:type="dxa"/>
            <w:tcBorders>
              <w:top w:val="nil"/>
              <w:left w:val="single" w:sz="8" w:space="0" w:color="009784"/>
              <w:bottom w:val="nil"/>
              <w:right w:val="single" w:sz="8" w:space="0" w:color="009784"/>
            </w:tcBorders>
          </w:tcPr>
          <w:p w:rsidR="00576F87" w:rsidRDefault="004165F5">
            <w:pPr>
              <w:spacing w:after="0"/>
              <w:ind w:right="1"/>
              <w:jc w:val="right"/>
            </w:pPr>
            <w:r>
              <w:rPr>
                <w:rFonts w:ascii="Verdana" w:eastAsia="Verdana" w:hAnsi="Verdana" w:cs="Verdana"/>
                <w:sz w:val="18"/>
              </w:rPr>
              <w:t>-</w:t>
            </w:r>
          </w:p>
        </w:tc>
      </w:tr>
      <w:tr w:rsidR="00576F87">
        <w:trPr>
          <w:trHeight w:val="572"/>
        </w:trPr>
        <w:tc>
          <w:tcPr>
            <w:tcW w:w="1642" w:type="dxa"/>
            <w:tcBorders>
              <w:top w:val="nil"/>
              <w:left w:val="single" w:sz="8" w:space="0" w:color="009784"/>
              <w:bottom w:val="single" w:sz="15" w:space="0" w:color="009784"/>
              <w:right w:val="single" w:sz="8" w:space="0" w:color="009784"/>
            </w:tcBorders>
          </w:tcPr>
          <w:p w:rsidR="00576F87" w:rsidRDefault="004165F5">
            <w:pPr>
              <w:spacing w:after="0"/>
              <w:ind w:right="6"/>
              <w:jc w:val="right"/>
            </w:pPr>
            <w:r>
              <w:rPr>
                <w:rFonts w:ascii="Verdana" w:eastAsia="Verdana" w:hAnsi="Verdana" w:cs="Verdana"/>
                <w:b/>
                <w:sz w:val="18"/>
              </w:rPr>
              <w:t>(258,628)</w:t>
            </w:r>
          </w:p>
        </w:tc>
        <w:tc>
          <w:tcPr>
            <w:tcW w:w="4495" w:type="dxa"/>
            <w:tcBorders>
              <w:top w:val="nil"/>
              <w:left w:val="single" w:sz="8" w:space="0" w:color="009784"/>
              <w:bottom w:val="single" w:sz="15" w:space="0" w:color="009784"/>
              <w:right w:val="single" w:sz="8" w:space="0" w:color="009784"/>
            </w:tcBorders>
          </w:tcPr>
          <w:p w:rsidR="00576F87" w:rsidRDefault="00576F87"/>
        </w:tc>
        <w:tc>
          <w:tcPr>
            <w:tcW w:w="1210" w:type="dxa"/>
            <w:tcBorders>
              <w:top w:val="nil"/>
              <w:left w:val="single" w:sz="8" w:space="0" w:color="009784"/>
              <w:bottom w:val="single" w:sz="15" w:space="0" w:color="009784"/>
              <w:right w:val="single" w:sz="8" w:space="0" w:color="009784"/>
            </w:tcBorders>
          </w:tcPr>
          <w:p w:rsidR="00576F87" w:rsidRDefault="00576F87"/>
        </w:tc>
        <w:tc>
          <w:tcPr>
            <w:tcW w:w="1531" w:type="dxa"/>
            <w:tcBorders>
              <w:top w:val="nil"/>
              <w:left w:val="single" w:sz="8" w:space="0" w:color="009784"/>
              <w:bottom w:val="single" w:sz="15" w:space="0" w:color="009784"/>
              <w:right w:val="single" w:sz="8" w:space="0" w:color="009784"/>
            </w:tcBorders>
          </w:tcPr>
          <w:p w:rsidR="00576F87" w:rsidRDefault="004165F5">
            <w:pPr>
              <w:spacing w:after="0"/>
              <w:ind w:right="6"/>
              <w:jc w:val="right"/>
            </w:pPr>
            <w:r>
              <w:rPr>
                <w:rFonts w:ascii="Verdana" w:eastAsia="Verdana" w:hAnsi="Verdana" w:cs="Verdana"/>
                <w:b/>
                <w:sz w:val="18"/>
              </w:rPr>
              <w:t>(262,520)</w:t>
            </w:r>
          </w:p>
        </w:tc>
      </w:tr>
      <w:tr w:rsidR="00576F87">
        <w:trPr>
          <w:trHeight w:val="449"/>
        </w:trPr>
        <w:tc>
          <w:tcPr>
            <w:tcW w:w="8878" w:type="dxa"/>
            <w:gridSpan w:val="4"/>
            <w:tcBorders>
              <w:top w:val="single" w:sz="15" w:space="0" w:color="009784"/>
              <w:left w:val="single" w:sz="8" w:space="0" w:color="009784"/>
              <w:bottom w:val="single" w:sz="15" w:space="0" w:color="009784"/>
              <w:right w:val="single" w:sz="8" w:space="0" w:color="009784"/>
            </w:tcBorders>
            <w:shd w:val="clear" w:color="auto" w:fill="009784"/>
          </w:tcPr>
          <w:p w:rsidR="00576F87" w:rsidRDefault="004165F5">
            <w:pPr>
              <w:spacing w:after="0"/>
              <w:ind w:left="1649"/>
            </w:pPr>
            <w:r>
              <w:rPr>
                <w:rFonts w:ascii="Verdana" w:eastAsia="Verdana" w:hAnsi="Verdana" w:cs="Verdana"/>
                <w:b/>
                <w:color w:val="FFFFFF"/>
                <w:sz w:val="18"/>
              </w:rPr>
              <w:t xml:space="preserve">Net additions/(withdrawals) from dealings </w:t>
            </w:r>
          </w:p>
          <w:p w:rsidR="00576F87" w:rsidRDefault="004165F5">
            <w:pPr>
              <w:tabs>
                <w:tab w:val="center" w:pos="1118"/>
                <w:tab w:val="right" w:pos="8804"/>
              </w:tabs>
              <w:spacing w:after="0"/>
            </w:pPr>
            <w:r>
              <w:tab/>
            </w:r>
            <w:r>
              <w:rPr>
                <w:rFonts w:ascii="Verdana" w:eastAsia="Verdana" w:hAnsi="Verdana" w:cs="Verdana"/>
                <w:b/>
                <w:color w:val="FFFFFF"/>
                <w:sz w:val="18"/>
              </w:rPr>
              <w:t>(84,872)</w:t>
            </w:r>
            <w:r>
              <w:rPr>
                <w:rFonts w:ascii="Verdana" w:eastAsia="Verdana" w:hAnsi="Verdana" w:cs="Verdana"/>
                <w:b/>
                <w:color w:val="FFFFFF"/>
                <w:sz w:val="18"/>
              </w:rPr>
              <w:tab/>
              <w:t>83,818</w:t>
            </w:r>
          </w:p>
          <w:p w:rsidR="00576F87" w:rsidRDefault="004165F5">
            <w:pPr>
              <w:spacing w:after="0"/>
              <w:ind w:left="1649"/>
            </w:pPr>
            <w:r>
              <w:rPr>
                <w:rFonts w:ascii="Verdana" w:eastAsia="Verdana" w:hAnsi="Verdana" w:cs="Verdana"/>
                <w:b/>
                <w:color w:val="FFFFFF"/>
                <w:sz w:val="18"/>
              </w:rPr>
              <w:t>with members</w:t>
            </w:r>
          </w:p>
        </w:tc>
      </w:tr>
      <w:tr w:rsidR="00576F87">
        <w:trPr>
          <w:trHeight w:val="595"/>
        </w:trPr>
        <w:tc>
          <w:tcPr>
            <w:tcW w:w="1642" w:type="dxa"/>
            <w:tcBorders>
              <w:top w:val="single" w:sz="15" w:space="0" w:color="009784"/>
              <w:left w:val="single" w:sz="8" w:space="0" w:color="009784"/>
              <w:bottom w:val="single" w:sz="15" w:space="0" w:color="009784"/>
              <w:right w:val="single" w:sz="8" w:space="0" w:color="009784"/>
            </w:tcBorders>
            <w:shd w:val="clear" w:color="auto" w:fill="FFFFFF"/>
          </w:tcPr>
          <w:p w:rsidR="00576F87" w:rsidRDefault="004165F5">
            <w:pPr>
              <w:spacing w:after="0"/>
              <w:ind w:right="6"/>
              <w:jc w:val="right"/>
            </w:pPr>
            <w:r>
              <w:rPr>
                <w:rFonts w:ascii="Verdana" w:eastAsia="Verdana" w:hAnsi="Verdana" w:cs="Verdana"/>
                <w:b/>
                <w:sz w:val="18"/>
              </w:rPr>
              <w:t>(52,743)</w:t>
            </w:r>
          </w:p>
        </w:tc>
        <w:tc>
          <w:tcPr>
            <w:tcW w:w="4495" w:type="dxa"/>
            <w:tcBorders>
              <w:top w:val="single" w:sz="15" w:space="0" w:color="009784"/>
              <w:left w:val="single" w:sz="8" w:space="0" w:color="009784"/>
              <w:bottom w:val="single" w:sz="15" w:space="0" w:color="009784"/>
              <w:right w:val="single" w:sz="8" w:space="0" w:color="009784"/>
            </w:tcBorders>
            <w:shd w:val="clear" w:color="auto" w:fill="FFFFFF"/>
          </w:tcPr>
          <w:p w:rsidR="00576F87" w:rsidRDefault="004165F5">
            <w:pPr>
              <w:spacing w:after="0"/>
              <w:ind w:left="7"/>
            </w:pPr>
            <w:r>
              <w:rPr>
                <w:rFonts w:ascii="Verdana" w:eastAsia="Verdana" w:hAnsi="Verdana" w:cs="Verdana"/>
                <w:b/>
                <w:sz w:val="18"/>
              </w:rPr>
              <w:t>Management Expenses</w:t>
            </w:r>
          </w:p>
        </w:tc>
        <w:tc>
          <w:tcPr>
            <w:tcW w:w="1210" w:type="dxa"/>
            <w:tcBorders>
              <w:top w:val="single" w:sz="15" w:space="0" w:color="009784"/>
              <w:left w:val="single" w:sz="8" w:space="0" w:color="009784"/>
              <w:bottom w:val="single" w:sz="15" w:space="0" w:color="009784"/>
              <w:right w:val="single" w:sz="8" w:space="0" w:color="009784"/>
            </w:tcBorders>
            <w:shd w:val="clear" w:color="auto" w:fill="FFFFFF"/>
          </w:tcPr>
          <w:p w:rsidR="00576F87" w:rsidRDefault="004165F5">
            <w:pPr>
              <w:spacing w:after="0"/>
              <w:ind w:left="20"/>
              <w:jc w:val="center"/>
            </w:pPr>
            <w:r>
              <w:rPr>
                <w:rFonts w:ascii="Verdana" w:eastAsia="Verdana" w:hAnsi="Verdana" w:cs="Verdana"/>
                <w:b/>
                <w:sz w:val="18"/>
              </w:rPr>
              <w:t>10a</w:t>
            </w:r>
          </w:p>
        </w:tc>
        <w:tc>
          <w:tcPr>
            <w:tcW w:w="1531" w:type="dxa"/>
            <w:tcBorders>
              <w:top w:val="single" w:sz="15" w:space="0" w:color="009784"/>
              <w:left w:val="single" w:sz="8" w:space="0" w:color="009784"/>
              <w:bottom w:val="single" w:sz="15" w:space="0" w:color="009784"/>
              <w:right w:val="single" w:sz="8" w:space="0" w:color="009784"/>
            </w:tcBorders>
            <w:shd w:val="clear" w:color="auto" w:fill="FFFFFF"/>
          </w:tcPr>
          <w:p w:rsidR="00576F87" w:rsidRDefault="004165F5">
            <w:pPr>
              <w:spacing w:after="0"/>
              <w:ind w:right="7"/>
              <w:jc w:val="right"/>
            </w:pPr>
            <w:r>
              <w:rPr>
                <w:rFonts w:ascii="Verdana" w:eastAsia="Verdana" w:hAnsi="Verdana" w:cs="Verdana"/>
                <w:b/>
                <w:sz w:val="18"/>
              </w:rPr>
              <w:t>(47,779)</w:t>
            </w:r>
          </w:p>
        </w:tc>
      </w:tr>
      <w:tr w:rsidR="00576F87">
        <w:trPr>
          <w:trHeight w:val="449"/>
        </w:trPr>
        <w:tc>
          <w:tcPr>
            <w:tcW w:w="1642" w:type="dxa"/>
            <w:tcBorders>
              <w:top w:val="single" w:sz="15" w:space="0" w:color="009784"/>
              <w:left w:val="single" w:sz="8" w:space="0" w:color="009784"/>
              <w:bottom w:val="single" w:sz="15" w:space="0" w:color="009784"/>
              <w:right w:val="single" w:sz="15" w:space="0" w:color="009784"/>
            </w:tcBorders>
            <w:shd w:val="clear" w:color="auto" w:fill="009784"/>
            <w:vAlign w:val="center"/>
          </w:tcPr>
          <w:p w:rsidR="00576F87" w:rsidRDefault="004165F5">
            <w:pPr>
              <w:spacing w:after="0"/>
              <w:ind w:right="2"/>
              <w:jc w:val="right"/>
            </w:pPr>
            <w:r>
              <w:rPr>
                <w:rFonts w:ascii="Verdana" w:eastAsia="Verdana" w:hAnsi="Verdana" w:cs="Verdana"/>
                <w:b/>
                <w:color w:val="FFFFFF"/>
                <w:sz w:val="18"/>
              </w:rPr>
              <w:t>(137,615)</w:t>
            </w:r>
          </w:p>
        </w:tc>
        <w:tc>
          <w:tcPr>
            <w:tcW w:w="7236" w:type="dxa"/>
            <w:gridSpan w:val="3"/>
            <w:tcBorders>
              <w:top w:val="single" w:sz="15" w:space="0" w:color="009784"/>
              <w:left w:val="single" w:sz="15" w:space="0" w:color="009784"/>
              <w:bottom w:val="single" w:sz="15" w:space="0" w:color="009784"/>
              <w:right w:val="single" w:sz="8" w:space="0" w:color="009784"/>
            </w:tcBorders>
            <w:shd w:val="clear" w:color="auto" w:fill="009784"/>
          </w:tcPr>
          <w:p w:rsidR="00576F87" w:rsidRDefault="004165F5">
            <w:pPr>
              <w:spacing w:after="0"/>
              <w:ind w:left="7"/>
            </w:pPr>
            <w:r>
              <w:rPr>
                <w:rFonts w:ascii="Verdana" w:eastAsia="Verdana" w:hAnsi="Verdana" w:cs="Verdana"/>
                <w:b/>
                <w:color w:val="FFFFFF"/>
                <w:sz w:val="18"/>
              </w:rPr>
              <w:t xml:space="preserve">Net additions/(withdrawals) including </w:t>
            </w:r>
          </w:p>
          <w:p w:rsidR="00576F87" w:rsidRDefault="004165F5">
            <w:pPr>
              <w:spacing w:after="0"/>
              <w:ind w:left="7"/>
              <w:jc w:val="right"/>
            </w:pPr>
            <w:r>
              <w:rPr>
                <w:rFonts w:ascii="Verdana" w:eastAsia="Verdana" w:hAnsi="Verdana" w:cs="Verdana"/>
                <w:b/>
                <w:color w:val="FFFFFF"/>
                <w:sz w:val="18"/>
              </w:rPr>
              <w:t>36,040 fund management expenses</w:t>
            </w:r>
          </w:p>
        </w:tc>
      </w:tr>
      <w:tr w:rsidR="00576F87">
        <w:trPr>
          <w:trHeight w:val="313"/>
        </w:trPr>
        <w:tc>
          <w:tcPr>
            <w:tcW w:w="1642" w:type="dxa"/>
            <w:tcBorders>
              <w:top w:val="single" w:sz="15" w:space="0" w:color="009784"/>
              <w:left w:val="single" w:sz="8" w:space="0" w:color="009784"/>
              <w:bottom w:val="nil"/>
              <w:right w:val="single" w:sz="8" w:space="0" w:color="009784"/>
            </w:tcBorders>
            <w:shd w:val="clear" w:color="auto" w:fill="FFFFFF"/>
          </w:tcPr>
          <w:p w:rsidR="00576F87" w:rsidRDefault="00576F87"/>
        </w:tc>
        <w:tc>
          <w:tcPr>
            <w:tcW w:w="4495" w:type="dxa"/>
            <w:tcBorders>
              <w:top w:val="single" w:sz="15" w:space="0" w:color="009784"/>
              <w:left w:val="single" w:sz="8" w:space="0" w:color="009784"/>
              <w:bottom w:val="nil"/>
              <w:right w:val="single" w:sz="8" w:space="0" w:color="009784"/>
            </w:tcBorders>
            <w:shd w:val="clear" w:color="auto" w:fill="FFFFFF"/>
          </w:tcPr>
          <w:p w:rsidR="00576F87" w:rsidRDefault="004165F5">
            <w:pPr>
              <w:spacing w:after="0"/>
              <w:ind w:left="7"/>
            </w:pPr>
            <w:r>
              <w:rPr>
                <w:rFonts w:ascii="Verdana" w:eastAsia="Verdana" w:hAnsi="Verdana" w:cs="Verdana"/>
                <w:b/>
                <w:sz w:val="18"/>
              </w:rPr>
              <w:t>Returns on investments</w:t>
            </w:r>
          </w:p>
        </w:tc>
        <w:tc>
          <w:tcPr>
            <w:tcW w:w="1210" w:type="dxa"/>
            <w:tcBorders>
              <w:top w:val="single" w:sz="15" w:space="0" w:color="009784"/>
              <w:left w:val="single" w:sz="8" w:space="0" w:color="009784"/>
              <w:bottom w:val="nil"/>
              <w:right w:val="single" w:sz="8" w:space="0" w:color="009784"/>
            </w:tcBorders>
            <w:shd w:val="clear" w:color="auto" w:fill="FFFFFF"/>
          </w:tcPr>
          <w:p w:rsidR="00576F87" w:rsidRDefault="00576F87"/>
        </w:tc>
        <w:tc>
          <w:tcPr>
            <w:tcW w:w="1531" w:type="dxa"/>
            <w:tcBorders>
              <w:top w:val="single" w:sz="15" w:space="0" w:color="009784"/>
              <w:left w:val="single" w:sz="8" w:space="0" w:color="009784"/>
              <w:bottom w:val="nil"/>
              <w:right w:val="single" w:sz="8" w:space="0" w:color="009784"/>
            </w:tcBorders>
            <w:shd w:val="clear" w:color="auto" w:fill="FFFFFF"/>
          </w:tcPr>
          <w:p w:rsidR="00576F87" w:rsidRDefault="00576F87"/>
        </w:tc>
      </w:tr>
      <w:tr w:rsidR="00576F87">
        <w:trPr>
          <w:trHeight w:val="290"/>
        </w:trPr>
        <w:tc>
          <w:tcPr>
            <w:tcW w:w="1642" w:type="dxa"/>
            <w:tcBorders>
              <w:top w:val="nil"/>
              <w:left w:val="single" w:sz="8" w:space="0" w:color="009784"/>
              <w:bottom w:val="nil"/>
              <w:right w:val="single" w:sz="8" w:space="0" w:color="009784"/>
            </w:tcBorders>
            <w:shd w:val="clear" w:color="auto" w:fill="FFFFFF"/>
          </w:tcPr>
          <w:p w:rsidR="00576F87" w:rsidRDefault="004165F5">
            <w:pPr>
              <w:spacing w:after="0"/>
              <w:ind w:right="1"/>
              <w:jc w:val="right"/>
            </w:pPr>
            <w:r>
              <w:rPr>
                <w:rFonts w:ascii="Verdana" w:eastAsia="Verdana" w:hAnsi="Verdana" w:cs="Verdana"/>
                <w:sz w:val="18"/>
              </w:rPr>
              <w:t>48,258</w:t>
            </w:r>
          </w:p>
        </w:tc>
        <w:tc>
          <w:tcPr>
            <w:tcW w:w="4495" w:type="dxa"/>
            <w:tcBorders>
              <w:top w:val="nil"/>
              <w:left w:val="single" w:sz="8" w:space="0" w:color="009784"/>
              <w:bottom w:val="nil"/>
              <w:right w:val="single" w:sz="8" w:space="0" w:color="009784"/>
            </w:tcBorders>
            <w:shd w:val="clear" w:color="auto" w:fill="FFFFFF"/>
          </w:tcPr>
          <w:p w:rsidR="00576F87" w:rsidRDefault="004165F5">
            <w:pPr>
              <w:spacing w:after="0"/>
              <w:ind w:left="3"/>
            </w:pPr>
            <w:r>
              <w:rPr>
                <w:rFonts w:ascii="Verdana" w:eastAsia="Verdana" w:hAnsi="Verdana" w:cs="Verdana"/>
                <w:sz w:val="18"/>
              </w:rPr>
              <w:t>Investment Income</w:t>
            </w:r>
          </w:p>
        </w:tc>
        <w:tc>
          <w:tcPr>
            <w:tcW w:w="1210" w:type="dxa"/>
            <w:tcBorders>
              <w:top w:val="nil"/>
              <w:left w:val="single" w:sz="8" w:space="0" w:color="009784"/>
              <w:bottom w:val="nil"/>
              <w:right w:val="single" w:sz="8" w:space="0" w:color="009784"/>
            </w:tcBorders>
            <w:shd w:val="clear" w:color="auto" w:fill="FFFFFF"/>
          </w:tcPr>
          <w:p w:rsidR="00576F87" w:rsidRDefault="004165F5">
            <w:pPr>
              <w:spacing w:after="0"/>
              <w:ind w:left="19"/>
              <w:jc w:val="center"/>
            </w:pPr>
            <w:r>
              <w:rPr>
                <w:rFonts w:ascii="Verdana" w:eastAsia="Verdana" w:hAnsi="Verdana" w:cs="Verdana"/>
                <w:sz w:val="18"/>
              </w:rPr>
              <w:t>12a</w:t>
            </w:r>
          </w:p>
        </w:tc>
        <w:tc>
          <w:tcPr>
            <w:tcW w:w="1531" w:type="dxa"/>
            <w:tcBorders>
              <w:top w:val="nil"/>
              <w:left w:val="single" w:sz="8" w:space="0" w:color="009784"/>
              <w:bottom w:val="nil"/>
              <w:right w:val="single" w:sz="8" w:space="0" w:color="009784"/>
            </w:tcBorders>
            <w:shd w:val="clear" w:color="auto" w:fill="FFFFFF"/>
          </w:tcPr>
          <w:p w:rsidR="00576F87" w:rsidRDefault="004165F5">
            <w:pPr>
              <w:spacing w:after="0"/>
              <w:ind w:right="1"/>
              <w:jc w:val="right"/>
            </w:pPr>
            <w:r>
              <w:rPr>
                <w:rFonts w:ascii="Verdana" w:eastAsia="Verdana" w:hAnsi="Verdana" w:cs="Verdana"/>
                <w:sz w:val="18"/>
              </w:rPr>
              <w:t>95,158</w:t>
            </w:r>
          </w:p>
        </w:tc>
      </w:tr>
      <w:tr w:rsidR="00576F87">
        <w:trPr>
          <w:trHeight w:val="350"/>
        </w:trPr>
        <w:tc>
          <w:tcPr>
            <w:tcW w:w="1642" w:type="dxa"/>
            <w:tcBorders>
              <w:top w:val="nil"/>
              <w:left w:val="single" w:sz="8" w:space="0" w:color="009784"/>
              <w:bottom w:val="nil"/>
              <w:right w:val="single" w:sz="8" w:space="0" w:color="009784"/>
            </w:tcBorders>
            <w:shd w:val="clear" w:color="auto" w:fill="FFFFFF"/>
          </w:tcPr>
          <w:p w:rsidR="00576F87" w:rsidRDefault="004165F5">
            <w:pPr>
              <w:spacing w:after="0"/>
              <w:ind w:right="1"/>
              <w:jc w:val="right"/>
            </w:pPr>
            <w:r>
              <w:rPr>
                <w:rFonts w:ascii="Verdana" w:eastAsia="Verdana" w:hAnsi="Verdana" w:cs="Verdana"/>
                <w:sz w:val="18"/>
              </w:rPr>
              <w:t>(209)</w:t>
            </w:r>
          </w:p>
        </w:tc>
        <w:tc>
          <w:tcPr>
            <w:tcW w:w="4495" w:type="dxa"/>
            <w:tcBorders>
              <w:top w:val="nil"/>
              <w:left w:val="single" w:sz="8" w:space="0" w:color="009784"/>
              <w:bottom w:val="nil"/>
              <w:right w:val="single" w:sz="8" w:space="0" w:color="009784"/>
            </w:tcBorders>
            <w:shd w:val="clear" w:color="auto" w:fill="FFFFFF"/>
          </w:tcPr>
          <w:p w:rsidR="00576F87" w:rsidRDefault="004165F5">
            <w:pPr>
              <w:spacing w:after="0"/>
              <w:ind w:left="3"/>
            </w:pPr>
            <w:r>
              <w:rPr>
                <w:rFonts w:ascii="Verdana" w:eastAsia="Verdana" w:hAnsi="Verdana" w:cs="Verdana"/>
                <w:sz w:val="18"/>
              </w:rPr>
              <w:t>Taxes on Income</w:t>
            </w:r>
          </w:p>
        </w:tc>
        <w:tc>
          <w:tcPr>
            <w:tcW w:w="1210" w:type="dxa"/>
            <w:tcBorders>
              <w:top w:val="nil"/>
              <w:left w:val="single" w:sz="8" w:space="0" w:color="009784"/>
              <w:bottom w:val="nil"/>
              <w:right w:val="single" w:sz="8" w:space="0" w:color="009784"/>
            </w:tcBorders>
            <w:shd w:val="clear" w:color="auto" w:fill="FFFFFF"/>
          </w:tcPr>
          <w:p w:rsidR="00576F87" w:rsidRDefault="004165F5">
            <w:pPr>
              <w:spacing w:after="0"/>
              <w:ind w:left="20"/>
              <w:jc w:val="center"/>
            </w:pPr>
            <w:r>
              <w:rPr>
                <w:rFonts w:ascii="Verdana" w:eastAsia="Verdana" w:hAnsi="Verdana" w:cs="Verdana"/>
                <w:sz w:val="18"/>
              </w:rPr>
              <w:t>13</w:t>
            </w:r>
          </w:p>
        </w:tc>
        <w:tc>
          <w:tcPr>
            <w:tcW w:w="1531" w:type="dxa"/>
            <w:tcBorders>
              <w:top w:val="nil"/>
              <w:left w:val="single" w:sz="8" w:space="0" w:color="009784"/>
              <w:bottom w:val="nil"/>
              <w:right w:val="single" w:sz="8" w:space="0" w:color="009784"/>
            </w:tcBorders>
            <w:shd w:val="clear" w:color="auto" w:fill="FFFFFF"/>
          </w:tcPr>
          <w:p w:rsidR="00576F87" w:rsidRDefault="004165F5">
            <w:pPr>
              <w:spacing w:after="0"/>
              <w:ind w:right="1"/>
              <w:jc w:val="right"/>
            </w:pPr>
            <w:r>
              <w:rPr>
                <w:rFonts w:ascii="Verdana" w:eastAsia="Verdana" w:hAnsi="Verdana" w:cs="Verdana"/>
                <w:sz w:val="18"/>
              </w:rPr>
              <w:t>(44)</w:t>
            </w:r>
          </w:p>
        </w:tc>
      </w:tr>
      <w:tr w:rsidR="00576F87">
        <w:trPr>
          <w:trHeight w:val="630"/>
        </w:trPr>
        <w:tc>
          <w:tcPr>
            <w:tcW w:w="1642" w:type="dxa"/>
            <w:tcBorders>
              <w:top w:val="nil"/>
              <w:left w:val="single" w:sz="8" w:space="0" w:color="009784"/>
              <w:bottom w:val="single" w:sz="15" w:space="0" w:color="009784"/>
              <w:right w:val="single" w:sz="8" w:space="0" w:color="009784"/>
            </w:tcBorders>
            <w:shd w:val="clear" w:color="auto" w:fill="FFFFFF"/>
            <w:vAlign w:val="bottom"/>
          </w:tcPr>
          <w:p w:rsidR="00576F87" w:rsidRDefault="004165F5">
            <w:pPr>
              <w:spacing w:after="0"/>
              <w:ind w:right="1"/>
              <w:jc w:val="right"/>
            </w:pPr>
            <w:r>
              <w:rPr>
                <w:rFonts w:ascii="Verdana" w:eastAsia="Verdana" w:hAnsi="Verdana" w:cs="Verdana"/>
                <w:sz w:val="18"/>
              </w:rPr>
              <w:t>877,080</w:t>
            </w:r>
          </w:p>
        </w:tc>
        <w:tc>
          <w:tcPr>
            <w:tcW w:w="4495" w:type="dxa"/>
            <w:tcBorders>
              <w:top w:val="nil"/>
              <w:left w:val="single" w:sz="8" w:space="0" w:color="009784"/>
              <w:bottom w:val="single" w:sz="15" w:space="0" w:color="009784"/>
              <w:right w:val="single" w:sz="8" w:space="0" w:color="009784"/>
            </w:tcBorders>
            <w:shd w:val="clear" w:color="auto" w:fill="FFFFFF"/>
          </w:tcPr>
          <w:p w:rsidR="00576F87" w:rsidRDefault="004165F5">
            <w:pPr>
              <w:spacing w:after="0"/>
              <w:ind w:left="2"/>
            </w:pPr>
            <w:r>
              <w:rPr>
                <w:rFonts w:ascii="Verdana" w:eastAsia="Verdana" w:hAnsi="Verdana" w:cs="Verdana"/>
                <w:sz w:val="18"/>
              </w:rPr>
              <w:t>Profit and Loss on disposal and change in market value</w:t>
            </w:r>
          </w:p>
        </w:tc>
        <w:tc>
          <w:tcPr>
            <w:tcW w:w="1210" w:type="dxa"/>
            <w:tcBorders>
              <w:top w:val="nil"/>
              <w:left w:val="single" w:sz="8" w:space="0" w:color="009784"/>
              <w:bottom w:val="single" w:sz="15" w:space="0" w:color="009784"/>
              <w:right w:val="single" w:sz="8" w:space="0" w:color="009784"/>
            </w:tcBorders>
            <w:shd w:val="clear" w:color="auto" w:fill="FFFFFF"/>
            <w:vAlign w:val="bottom"/>
          </w:tcPr>
          <w:p w:rsidR="00576F87" w:rsidRDefault="004165F5">
            <w:pPr>
              <w:spacing w:after="0"/>
              <w:ind w:left="19"/>
              <w:jc w:val="center"/>
            </w:pPr>
            <w:r>
              <w:rPr>
                <w:rFonts w:ascii="Verdana" w:eastAsia="Verdana" w:hAnsi="Verdana" w:cs="Verdana"/>
                <w:sz w:val="18"/>
              </w:rPr>
              <w:t>14a</w:t>
            </w:r>
          </w:p>
        </w:tc>
        <w:tc>
          <w:tcPr>
            <w:tcW w:w="1531" w:type="dxa"/>
            <w:tcBorders>
              <w:top w:val="nil"/>
              <w:left w:val="single" w:sz="8" w:space="0" w:color="009784"/>
              <w:bottom w:val="single" w:sz="15" w:space="0" w:color="009784"/>
              <w:right w:val="single" w:sz="8" w:space="0" w:color="009784"/>
            </w:tcBorders>
            <w:shd w:val="clear" w:color="auto" w:fill="FFFFFF"/>
            <w:vAlign w:val="bottom"/>
          </w:tcPr>
          <w:p w:rsidR="00576F87" w:rsidRDefault="004165F5">
            <w:pPr>
              <w:spacing w:after="0"/>
              <w:ind w:right="1"/>
              <w:jc w:val="right"/>
            </w:pPr>
            <w:r>
              <w:rPr>
                <w:rFonts w:ascii="Verdana" w:eastAsia="Verdana" w:hAnsi="Verdana" w:cs="Verdana"/>
                <w:sz w:val="18"/>
              </w:rPr>
              <w:t>185,999</w:t>
            </w:r>
          </w:p>
        </w:tc>
      </w:tr>
      <w:tr w:rsidR="00576F87">
        <w:trPr>
          <w:trHeight w:val="305"/>
        </w:trPr>
        <w:tc>
          <w:tcPr>
            <w:tcW w:w="8878" w:type="dxa"/>
            <w:gridSpan w:val="4"/>
            <w:tcBorders>
              <w:top w:val="single" w:sz="15" w:space="0" w:color="009784"/>
              <w:left w:val="single" w:sz="8" w:space="0" w:color="009784"/>
              <w:bottom w:val="single" w:sz="15" w:space="0" w:color="009784"/>
              <w:right w:val="single" w:sz="8" w:space="0" w:color="009784"/>
            </w:tcBorders>
            <w:shd w:val="clear" w:color="auto" w:fill="009784"/>
          </w:tcPr>
          <w:p w:rsidR="00576F87" w:rsidRDefault="004165F5">
            <w:pPr>
              <w:tabs>
                <w:tab w:val="center" w:pos="2582"/>
                <w:tab w:val="right" w:pos="8804"/>
              </w:tabs>
              <w:spacing w:after="0"/>
            </w:pPr>
            <w:r>
              <w:tab/>
            </w:r>
            <w:r>
              <w:rPr>
                <w:rFonts w:ascii="Verdana" w:eastAsia="Verdana" w:hAnsi="Verdana" w:cs="Verdana"/>
                <w:b/>
                <w:color w:val="FFFFFF"/>
                <w:sz w:val="18"/>
              </w:rPr>
              <w:t>925,129 Net returns on investments</w:t>
            </w:r>
            <w:r>
              <w:rPr>
                <w:rFonts w:ascii="Verdana" w:eastAsia="Verdana" w:hAnsi="Verdana" w:cs="Verdana"/>
                <w:b/>
                <w:color w:val="FFFFFF"/>
                <w:sz w:val="18"/>
              </w:rPr>
              <w:tab/>
              <w:t>281,113</w:t>
            </w:r>
          </w:p>
        </w:tc>
      </w:tr>
      <w:tr w:rsidR="00576F87">
        <w:trPr>
          <w:trHeight w:val="305"/>
        </w:trPr>
        <w:tc>
          <w:tcPr>
            <w:tcW w:w="1642" w:type="dxa"/>
            <w:tcBorders>
              <w:top w:val="single" w:sz="15" w:space="0" w:color="009784"/>
              <w:left w:val="single" w:sz="8" w:space="0" w:color="009784"/>
              <w:bottom w:val="single" w:sz="15" w:space="0" w:color="009784"/>
              <w:right w:val="single" w:sz="8" w:space="0" w:color="009784"/>
            </w:tcBorders>
            <w:shd w:val="clear" w:color="auto" w:fill="FFFFFF"/>
          </w:tcPr>
          <w:p w:rsidR="00576F87" w:rsidRDefault="00576F87"/>
        </w:tc>
        <w:tc>
          <w:tcPr>
            <w:tcW w:w="4495" w:type="dxa"/>
            <w:tcBorders>
              <w:top w:val="single" w:sz="15" w:space="0" w:color="009784"/>
              <w:left w:val="single" w:sz="8" w:space="0" w:color="009784"/>
              <w:bottom w:val="single" w:sz="15" w:space="0" w:color="009784"/>
              <w:right w:val="single" w:sz="8" w:space="0" w:color="009784"/>
            </w:tcBorders>
            <w:shd w:val="clear" w:color="auto" w:fill="FFFFFF"/>
          </w:tcPr>
          <w:p w:rsidR="00576F87" w:rsidRDefault="00576F87"/>
        </w:tc>
        <w:tc>
          <w:tcPr>
            <w:tcW w:w="1210" w:type="dxa"/>
            <w:tcBorders>
              <w:top w:val="single" w:sz="15" w:space="0" w:color="009784"/>
              <w:left w:val="single" w:sz="8" w:space="0" w:color="009784"/>
              <w:bottom w:val="single" w:sz="15" w:space="0" w:color="009784"/>
              <w:right w:val="single" w:sz="8" w:space="0" w:color="009784"/>
            </w:tcBorders>
            <w:shd w:val="clear" w:color="auto" w:fill="FFFFFF"/>
          </w:tcPr>
          <w:p w:rsidR="00576F87" w:rsidRDefault="00576F87"/>
        </w:tc>
        <w:tc>
          <w:tcPr>
            <w:tcW w:w="1531" w:type="dxa"/>
            <w:tcBorders>
              <w:top w:val="single" w:sz="15" w:space="0" w:color="009784"/>
              <w:left w:val="single" w:sz="8" w:space="0" w:color="009784"/>
              <w:bottom w:val="single" w:sz="15" w:space="0" w:color="009784"/>
              <w:right w:val="single" w:sz="8" w:space="0" w:color="009784"/>
            </w:tcBorders>
            <w:shd w:val="clear" w:color="auto" w:fill="FFFFFF"/>
          </w:tcPr>
          <w:p w:rsidR="00576F87" w:rsidRDefault="00576F87"/>
        </w:tc>
      </w:tr>
      <w:tr w:rsidR="00576F87">
        <w:trPr>
          <w:trHeight w:val="583"/>
        </w:trPr>
        <w:tc>
          <w:tcPr>
            <w:tcW w:w="1642" w:type="dxa"/>
            <w:tcBorders>
              <w:top w:val="single" w:sz="15" w:space="0" w:color="009784"/>
              <w:left w:val="single" w:sz="8" w:space="0" w:color="009784"/>
              <w:bottom w:val="single" w:sz="15" w:space="0" w:color="009784"/>
              <w:right w:val="single" w:sz="15" w:space="0" w:color="009784"/>
            </w:tcBorders>
            <w:shd w:val="clear" w:color="auto" w:fill="009784"/>
            <w:vAlign w:val="center"/>
          </w:tcPr>
          <w:p w:rsidR="00576F87" w:rsidRDefault="004165F5">
            <w:pPr>
              <w:spacing w:after="0"/>
              <w:jc w:val="right"/>
            </w:pPr>
            <w:r>
              <w:rPr>
                <w:rFonts w:ascii="Verdana" w:eastAsia="Verdana" w:hAnsi="Verdana" w:cs="Verdana"/>
                <w:b/>
                <w:color w:val="FFFFFF"/>
                <w:sz w:val="18"/>
              </w:rPr>
              <w:t>787,514</w:t>
            </w:r>
          </w:p>
        </w:tc>
        <w:tc>
          <w:tcPr>
            <w:tcW w:w="4495" w:type="dxa"/>
            <w:tcBorders>
              <w:top w:val="single" w:sz="15" w:space="0" w:color="009784"/>
              <w:left w:val="single" w:sz="15" w:space="0" w:color="009784"/>
              <w:bottom w:val="single" w:sz="15" w:space="0" w:color="009784"/>
              <w:right w:val="single" w:sz="15" w:space="0" w:color="009784"/>
            </w:tcBorders>
            <w:shd w:val="clear" w:color="auto" w:fill="009784"/>
          </w:tcPr>
          <w:p w:rsidR="00576F87" w:rsidRDefault="004165F5">
            <w:pPr>
              <w:spacing w:after="0"/>
              <w:ind w:left="7"/>
            </w:pPr>
            <w:r>
              <w:rPr>
                <w:rFonts w:ascii="Verdana" w:eastAsia="Verdana" w:hAnsi="Verdana" w:cs="Verdana"/>
                <w:b/>
                <w:color w:val="FFFFFF"/>
                <w:sz w:val="18"/>
              </w:rPr>
              <w:t>Net increase/(decrease) in net assets available for benefits during the year</w:t>
            </w:r>
          </w:p>
        </w:tc>
        <w:tc>
          <w:tcPr>
            <w:tcW w:w="1210" w:type="dxa"/>
            <w:tcBorders>
              <w:top w:val="single" w:sz="15" w:space="0" w:color="009784"/>
              <w:left w:val="single" w:sz="15" w:space="0" w:color="009784"/>
              <w:bottom w:val="single" w:sz="15" w:space="0" w:color="009784"/>
              <w:right w:val="single" w:sz="15" w:space="0" w:color="009784"/>
            </w:tcBorders>
            <w:shd w:val="clear" w:color="auto" w:fill="009784"/>
          </w:tcPr>
          <w:p w:rsidR="00576F87" w:rsidRDefault="00576F87"/>
        </w:tc>
        <w:tc>
          <w:tcPr>
            <w:tcW w:w="1531" w:type="dxa"/>
            <w:tcBorders>
              <w:top w:val="single" w:sz="15" w:space="0" w:color="009784"/>
              <w:left w:val="single" w:sz="15" w:space="0" w:color="009784"/>
              <w:bottom w:val="single" w:sz="15" w:space="0" w:color="009784"/>
              <w:right w:val="single" w:sz="8" w:space="0" w:color="009784"/>
            </w:tcBorders>
            <w:shd w:val="clear" w:color="auto" w:fill="009784"/>
            <w:vAlign w:val="center"/>
          </w:tcPr>
          <w:p w:rsidR="00576F87" w:rsidRDefault="004165F5">
            <w:pPr>
              <w:spacing w:after="0"/>
              <w:jc w:val="right"/>
            </w:pPr>
            <w:r>
              <w:rPr>
                <w:rFonts w:ascii="Verdana" w:eastAsia="Verdana" w:hAnsi="Verdana" w:cs="Verdana"/>
                <w:b/>
                <w:color w:val="FFFFFF"/>
                <w:sz w:val="18"/>
              </w:rPr>
              <w:t>317,152</w:t>
            </w:r>
          </w:p>
        </w:tc>
      </w:tr>
      <w:tr w:rsidR="00576F87">
        <w:trPr>
          <w:trHeight w:val="305"/>
        </w:trPr>
        <w:tc>
          <w:tcPr>
            <w:tcW w:w="1642" w:type="dxa"/>
            <w:tcBorders>
              <w:top w:val="single" w:sz="15" w:space="0" w:color="009784"/>
              <w:left w:val="single" w:sz="8" w:space="0" w:color="009784"/>
              <w:bottom w:val="single" w:sz="15" w:space="0" w:color="009784"/>
              <w:right w:val="single" w:sz="8" w:space="0" w:color="009784"/>
            </w:tcBorders>
            <w:shd w:val="clear" w:color="auto" w:fill="FFFFFF"/>
          </w:tcPr>
          <w:p w:rsidR="00576F87" w:rsidRDefault="00576F87"/>
        </w:tc>
        <w:tc>
          <w:tcPr>
            <w:tcW w:w="4495" w:type="dxa"/>
            <w:tcBorders>
              <w:top w:val="single" w:sz="15" w:space="0" w:color="009784"/>
              <w:left w:val="single" w:sz="8" w:space="0" w:color="009784"/>
              <w:bottom w:val="single" w:sz="8" w:space="0" w:color="009784"/>
              <w:right w:val="single" w:sz="8" w:space="0" w:color="009784"/>
            </w:tcBorders>
            <w:shd w:val="clear" w:color="auto" w:fill="FFFFFF"/>
          </w:tcPr>
          <w:p w:rsidR="00576F87" w:rsidRDefault="00576F87"/>
        </w:tc>
        <w:tc>
          <w:tcPr>
            <w:tcW w:w="1210" w:type="dxa"/>
            <w:tcBorders>
              <w:top w:val="single" w:sz="15" w:space="0" w:color="009784"/>
              <w:left w:val="single" w:sz="8" w:space="0" w:color="009784"/>
              <w:bottom w:val="single" w:sz="8" w:space="0" w:color="009784"/>
              <w:right w:val="single" w:sz="8" w:space="0" w:color="009784"/>
            </w:tcBorders>
            <w:shd w:val="clear" w:color="auto" w:fill="FFFFFF"/>
          </w:tcPr>
          <w:p w:rsidR="00576F87" w:rsidRDefault="00576F87"/>
        </w:tc>
        <w:tc>
          <w:tcPr>
            <w:tcW w:w="1531" w:type="dxa"/>
            <w:tcBorders>
              <w:top w:val="single" w:sz="15" w:space="0" w:color="009784"/>
              <w:left w:val="single" w:sz="8" w:space="0" w:color="009784"/>
              <w:bottom w:val="single" w:sz="15" w:space="0" w:color="009784"/>
              <w:right w:val="single" w:sz="8" w:space="0" w:color="009784"/>
            </w:tcBorders>
            <w:shd w:val="clear" w:color="auto" w:fill="FFFFFF"/>
          </w:tcPr>
          <w:p w:rsidR="00576F87" w:rsidRDefault="00576F87"/>
        </w:tc>
      </w:tr>
      <w:tr w:rsidR="00576F87">
        <w:trPr>
          <w:trHeight w:val="305"/>
        </w:trPr>
        <w:tc>
          <w:tcPr>
            <w:tcW w:w="6137" w:type="dxa"/>
            <w:gridSpan w:val="2"/>
            <w:tcBorders>
              <w:top w:val="single" w:sz="12" w:space="0" w:color="009784"/>
              <w:left w:val="single" w:sz="8" w:space="0" w:color="009784"/>
              <w:bottom w:val="single" w:sz="12" w:space="0" w:color="009784"/>
              <w:right w:val="single" w:sz="8" w:space="0" w:color="009784"/>
            </w:tcBorders>
            <w:shd w:val="clear" w:color="auto" w:fill="009784"/>
          </w:tcPr>
          <w:p w:rsidR="00576F87" w:rsidRDefault="004165F5">
            <w:pPr>
              <w:spacing w:after="0"/>
              <w:ind w:left="547"/>
            </w:pPr>
            <w:r>
              <w:rPr>
                <w:rFonts w:ascii="Verdana" w:eastAsia="Verdana" w:hAnsi="Verdana" w:cs="Verdana"/>
                <w:b/>
                <w:color w:val="FFFFFF"/>
                <w:sz w:val="18"/>
              </w:rPr>
              <w:t>4,549,608 Opening net assets of the scheme</w:t>
            </w:r>
          </w:p>
        </w:tc>
        <w:tc>
          <w:tcPr>
            <w:tcW w:w="2741" w:type="dxa"/>
            <w:gridSpan w:val="2"/>
            <w:tcBorders>
              <w:top w:val="single" w:sz="12" w:space="0" w:color="009784"/>
              <w:left w:val="single" w:sz="8" w:space="0" w:color="009784"/>
              <w:bottom w:val="single" w:sz="12" w:space="0" w:color="009784"/>
              <w:right w:val="single" w:sz="8" w:space="0" w:color="009784"/>
            </w:tcBorders>
            <w:shd w:val="clear" w:color="auto" w:fill="009784"/>
          </w:tcPr>
          <w:p w:rsidR="00576F87" w:rsidRDefault="004165F5">
            <w:pPr>
              <w:spacing w:after="0"/>
              <w:ind w:right="1"/>
              <w:jc w:val="right"/>
            </w:pPr>
            <w:r>
              <w:rPr>
                <w:rFonts w:ascii="Verdana" w:eastAsia="Verdana" w:hAnsi="Verdana" w:cs="Verdana"/>
                <w:b/>
                <w:color w:val="FFFFFF"/>
                <w:sz w:val="18"/>
              </w:rPr>
              <w:t>5,337,122</w:t>
            </w:r>
          </w:p>
        </w:tc>
      </w:tr>
      <w:tr w:rsidR="00576F87">
        <w:trPr>
          <w:trHeight w:val="305"/>
        </w:trPr>
        <w:tc>
          <w:tcPr>
            <w:tcW w:w="1642" w:type="dxa"/>
            <w:tcBorders>
              <w:top w:val="single" w:sz="15" w:space="0" w:color="009784"/>
              <w:left w:val="single" w:sz="8" w:space="0" w:color="009784"/>
              <w:bottom w:val="single" w:sz="15" w:space="0" w:color="009784"/>
              <w:right w:val="single" w:sz="8" w:space="0" w:color="009784"/>
            </w:tcBorders>
            <w:shd w:val="clear" w:color="auto" w:fill="FFFFFF"/>
          </w:tcPr>
          <w:p w:rsidR="00576F87" w:rsidRDefault="00576F87"/>
        </w:tc>
        <w:tc>
          <w:tcPr>
            <w:tcW w:w="4495" w:type="dxa"/>
            <w:tcBorders>
              <w:top w:val="single" w:sz="8" w:space="0" w:color="009784"/>
              <w:left w:val="single" w:sz="8" w:space="0" w:color="009784"/>
              <w:bottom w:val="single" w:sz="15" w:space="0" w:color="009784"/>
              <w:right w:val="single" w:sz="8" w:space="0" w:color="009784"/>
            </w:tcBorders>
            <w:shd w:val="clear" w:color="auto" w:fill="FFFFFF"/>
          </w:tcPr>
          <w:p w:rsidR="00576F87" w:rsidRDefault="00576F87"/>
        </w:tc>
        <w:tc>
          <w:tcPr>
            <w:tcW w:w="1210" w:type="dxa"/>
            <w:tcBorders>
              <w:top w:val="single" w:sz="8" w:space="0" w:color="009784"/>
              <w:left w:val="single" w:sz="8" w:space="0" w:color="009784"/>
              <w:bottom w:val="single" w:sz="15" w:space="0" w:color="009784"/>
              <w:right w:val="single" w:sz="8" w:space="0" w:color="009784"/>
            </w:tcBorders>
            <w:shd w:val="clear" w:color="auto" w:fill="FFFFFF"/>
          </w:tcPr>
          <w:p w:rsidR="00576F87" w:rsidRDefault="00576F87"/>
        </w:tc>
        <w:tc>
          <w:tcPr>
            <w:tcW w:w="1531" w:type="dxa"/>
            <w:tcBorders>
              <w:top w:val="single" w:sz="15" w:space="0" w:color="009784"/>
              <w:left w:val="single" w:sz="8" w:space="0" w:color="009784"/>
              <w:bottom w:val="single" w:sz="15" w:space="0" w:color="009784"/>
              <w:right w:val="single" w:sz="8" w:space="0" w:color="009784"/>
            </w:tcBorders>
            <w:shd w:val="clear" w:color="auto" w:fill="FFFFFF"/>
          </w:tcPr>
          <w:p w:rsidR="00576F87" w:rsidRDefault="00576F87"/>
        </w:tc>
      </w:tr>
      <w:tr w:rsidR="00576F87">
        <w:trPr>
          <w:trHeight w:val="290"/>
        </w:trPr>
        <w:tc>
          <w:tcPr>
            <w:tcW w:w="1642" w:type="dxa"/>
            <w:tcBorders>
              <w:top w:val="single" w:sz="15" w:space="0" w:color="009784"/>
              <w:left w:val="single" w:sz="8" w:space="0" w:color="009784"/>
              <w:bottom w:val="single" w:sz="8" w:space="0" w:color="009784"/>
              <w:right w:val="single" w:sz="15" w:space="0" w:color="009784"/>
            </w:tcBorders>
            <w:shd w:val="clear" w:color="auto" w:fill="009784"/>
          </w:tcPr>
          <w:p w:rsidR="00576F87" w:rsidRDefault="004165F5">
            <w:pPr>
              <w:spacing w:after="0"/>
              <w:jc w:val="right"/>
            </w:pPr>
            <w:r>
              <w:rPr>
                <w:rFonts w:ascii="Verdana" w:eastAsia="Verdana" w:hAnsi="Verdana" w:cs="Verdana"/>
                <w:b/>
                <w:color w:val="FFFFFF"/>
                <w:sz w:val="18"/>
              </w:rPr>
              <w:t>5,337,122</w:t>
            </w:r>
          </w:p>
        </w:tc>
        <w:tc>
          <w:tcPr>
            <w:tcW w:w="4495" w:type="dxa"/>
            <w:tcBorders>
              <w:top w:val="single" w:sz="15" w:space="0" w:color="009784"/>
              <w:left w:val="single" w:sz="15" w:space="0" w:color="009784"/>
              <w:bottom w:val="single" w:sz="8" w:space="0" w:color="009784"/>
              <w:right w:val="single" w:sz="15" w:space="0" w:color="009784"/>
            </w:tcBorders>
            <w:shd w:val="clear" w:color="auto" w:fill="009784"/>
          </w:tcPr>
          <w:p w:rsidR="00576F87" w:rsidRDefault="004165F5">
            <w:pPr>
              <w:spacing w:after="0"/>
              <w:ind w:left="7"/>
            </w:pPr>
            <w:r>
              <w:rPr>
                <w:rFonts w:ascii="Verdana" w:eastAsia="Verdana" w:hAnsi="Verdana" w:cs="Verdana"/>
                <w:b/>
                <w:color w:val="FFFFFF"/>
                <w:sz w:val="18"/>
              </w:rPr>
              <w:t>Closing net assets of the scheme</w:t>
            </w:r>
          </w:p>
        </w:tc>
        <w:tc>
          <w:tcPr>
            <w:tcW w:w="1210" w:type="dxa"/>
            <w:tcBorders>
              <w:top w:val="single" w:sz="15" w:space="0" w:color="009784"/>
              <w:left w:val="single" w:sz="15" w:space="0" w:color="009784"/>
              <w:bottom w:val="single" w:sz="8" w:space="0" w:color="009784"/>
              <w:right w:val="single" w:sz="15" w:space="0" w:color="009784"/>
            </w:tcBorders>
            <w:shd w:val="clear" w:color="auto" w:fill="009784"/>
          </w:tcPr>
          <w:p w:rsidR="00576F87" w:rsidRDefault="00576F87"/>
        </w:tc>
        <w:tc>
          <w:tcPr>
            <w:tcW w:w="1531" w:type="dxa"/>
            <w:tcBorders>
              <w:top w:val="single" w:sz="15" w:space="0" w:color="009784"/>
              <w:left w:val="single" w:sz="15" w:space="0" w:color="009784"/>
              <w:bottom w:val="single" w:sz="8" w:space="0" w:color="009784"/>
              <w:right w:val="single" w:sz="8" w:space="0" w:color="009784"/>
            </w:tcBorders>
            <w:shd w:val="clear" w:color="auto" w:fill="009784"/>
          </w:tcPr>
          <w:p w:rsidR="00576F87" w:rsidRDefault="004165F5">
            <w:pPr>
              <w:spacing w:after="0"/>
              <w:jc w:val="right"/>
            </w:pPr>
            <w:r>
              <w:rPr>
                <w:rFonts w:ascii="Verdana" w:eastAsia="Verdana" w:hAnsi="Verdana" w:cs="Verdana"/>
                <w:b/>
                <w:color w:val="FFFFFF"/>
                <w:sz w:val="18"/>
              </w:rPr>
              <w:t>5,654,274</w:t>
            </w:r>
          </w:p>
        </w:tc>
      </w:tr>
      <w:tr w:rsidR="00576F87">
        <w:trPr>
          <w:trHeight w:val="1164"/>
        </w:trPr>
        <w:tc>
          <w:tcPr>
            <w:tcW w:w="8878" w:type="dxa"/>
            <w:gridSpan w:val="4"/>
            <w:tcBorders>
              <w:top w:val="single" w:sz="8" w:space="0" w:color="009784"/>
              <w:left w:val="nil"/>
              <w:bottom w:val="nil"/>
              <w:right w:val="nil"/>
            </w:tcBorders>
            <w:shd w:val="clear" w:color="auto" w:fill="FFFFFF"/>
            <w:vAlign w:val="bottom"/>
          </w:tcPr>
          <w:p w:rsidR="00576F87" w:rsidRDefault="004165F5">
            <w:pPr>
              <w:spacing w:after="0"/>
            </w:pPr>
            <w:r>
              <w:t>Forward currency contracts amounting to £1,496,621 (2017- £1,285,649) have been netted off in investment assets and investment liabilities, to reflect the legal right to offset the contacts on settlement.</w:t>
            </w:r>
          </w:p>
        </w:tc>
      </w:tr>
    </w:tbl>
    <w:p w:rsidR="00576F87" w:rsidRDefault="004165F5">
      <w:pPr>
        <w:pStyle w:val="Heading1"/>
        <w:spacing w:after="490"/>
        <w:ind w:left="19"/>
      </w:pPr>
      <w:r>
        <w:t>LPFA Accounts 31 March 2018</w:t>
      </w:r>
    </w:p>
    <w:p w:rsidR="00576F87" w:rsidRDefault="004165F5">
      <w:pPr>
        <w:spacing w:after="0"/>
        <w:ind w:left="12"/>
      </w:pPr>
      <w:r>
        <w:rPr>
          <w:rFonts w:ascii="Verdana" w:eastAsia="Verdana" w:hAnsi="Verdana" w:cs="Verdana"/>
          <w:b/>
        </w:rPr>
        <w:t>Net Assets Statement as at 31 March 2018</w:t>
      </w:r>
    </w:p>
    <w:tbl>
      <w:tblPr>
        <w:tblStyle w:val="TableGrid"/>
        <w:tblW w:w="8587" w:type="dxa"/>
        <w:tblInd w:w="-36" w:type="dxa"/>
        <w:tblCellMar>
          <w:top w:w="57" w:type="dxa"/>
          <w:left w:w="38" w:type="dxa"/>
          <w:bottom w:w="54" w:type="dxa"/>
          <w:right w:w="33" w:type="dxa"/>
        </w:tblCellMar>
        <w:tblLook w:val="04A0" w:firstRow="1" w:lastRow="0" w:firstColumn="1" w:lastColumn="0" w:noHBand="0" w:noVBand="1"/>
      </w:tblPr>
      <w:tblGrid>
        <w:gridCol w:w="1560"/>
        <w:gridCol w:w="4238"/>
        <w:gridCol w:w="1241"/>
        <w:gridCol w:w="1548"/>
      </w:tblGrid>
      <w:tr w:rsidR="00576F87">
        <w:trPr>
          <w:trHeight w:val="439"/>
        </w:trPr>
        <w:tc>
          <w:tcPr>
            <w:tcW w:w="1560" w:type="dxa"/>
            <w:tcBorders>
              <w:top w:val="single" w:sz="8" w:space="0" w:color="009784"/>
              <w:left w:val="single" w:sz="8" w:space="0" w:color="009784"/>
              <w:bottom w:val="single" w:sz="15" w:space="0" w:color="009784"/>
              <w:right w:val="single" w:sz="8" w:space="0" w:color="009784"/>
            </w:tcBorders>
            <w:shd w:val="clear" w:color="auto" w:fill="2F9582"/>
            <w:vAlign w:val="bottom"/>
          </w:tcPr>
          <w:p w:rsidR="00576F87" w:rsidRDefault="004165F5">
            <w:pPr>
              <w:spacing w:after="0"/>
              <w:ind w:right="6"/>
              <w:jc w:val="right"/>
            </w:pPr>
            <w:r>
              <w:rPr>
                <w:rFonts w:ascii="Verdana" w:eastAsia="Verdana" w:hAnsi="Verdana" w:cs="Verdana"/>
                <w:b/>
                <w:color w:val="FFFFFF"/>
                <w:sz w:val="18"/>
              </w:rPr>
              <w:t>31-Mar-17</w:t>
            </w:r>
          </w:p>
        </w:tc>
        <w:tc>
          <w:tcPr>
            <w:tcW w:w="4238" w:type="dxa"/>
            <w:tcBorders>
              <w:top w:val="single" w:sz="8" w:space="0" w:color="009784"/>
              <w:left w:val="single" w:sz="8" w:space="0" w:color="009784"/>
              <w:bottom w:val="single" w:sz="15" w:space="0" w:color="009784"/>
              <w:right w:val="single" w:sz="8" w:space="0" w:color="009784"/>
            </w:tcBorders>
            <w:shd w:val="clear" w:color="auto" w:fill="2F9582"/>
          </w:tcPr>
          <w:p w:rsidR="00576F87" w:rsidRDefault="00576F87"/>
        </w:tc>
        <w:tc>
          <w:tcPr>
            <w:tcW w:w="1241" w:type="dxa"/>
            <w:tcBorders>
              <w:top w:val="single" w:sz="8" w:space="0" w:color="009784"/>
              <w:left w:val="single" w:sz="8" w:space="0" w:color="009784"/>
              <w:bottom w:val="single" w:sz="15" w:space="0" w:color="009784"/>
              <w:right w:val="single" w:sz="8" w:space="0" w:color="009784"/>
            </w:tcBorders>
            <w:shd w:val="clear" w:color="auto" w:fill="2F9582"/>
            <w:vAlign w:val="center"/>
          </w:tcPr>
          <w:p w:rsidR="00576F87" w:rsidRDefault="004165F5">
            <w:pPr>
              <w:spacing w:after="0"/>
              <w:ind w:left="10"/>
              <w:jc w:val="center"/>
            </w:pPr>
            <w:r>
              <w:rPr>
                <w:rFonts w:ascii="Verdana" w:eastAsia="Verdana" w:hAnsi="Verdana" w:cs="Verdana"/>
                <w:b/>
                <w:color w:val="FFFFFF"/>
                <w:sz w:val="18"/>
              </w:rPr>
              <w:t>Notes</w:t>
            </w:r>
          </w:p>
        </w:tc>
        <w:tc>
          <w:tcPr>
            <w:tcW w:w="1548" w:type="dxa"/>
            <w:tcBorders>
              <w:top w:val="single" w:sz="8" w:space="0" w:color="009784"/>
              <w:left w:val="single" w:sz="8" w:space="0" w:color="009784"/>
              <w:bottom w:val="single" w:sz="15" w:space="0" w:color="009784"/>
              <w:right w:val="single" w:sz="8" w:space="0" w:color="009784"/>
            </w:tcBorders>
            <w:shd w:val="clear" w:color="auto" w:fill="2F9582"/>
            <w:vAlign w:val="bottom"/>
          </w:tcPr>
          <w:p w:rsidR="00576F87" w:rsidRDefault="004165F5">
            <w:pPr>
              <w:spacing w:after="0"/>
              <w:ind w:right="6"/>
              <w:jc w:val="right"/>
            </w:pPr>
            <w:r>
              <w:rPr>
                <w:rFonts w:ascii="Verdana" w:eastAsia="Verdana" w:hAnsi="Verdana" w:cs="Verdana"/>
                <w:b/>
                <w:color w:val="FFFFFF"/>
                <w:sz w:val="18"/>
              </w:rPr>
              <w:t>31-Mar-18</w:t>
            </w:r>
          </w:p>
        </w:tc>
      </w:tr>
      <w:tr w:rsidR="00576F87">
        <w:trPr>
          <w:trHeight w:val="628"/>
        </w:trPr>
        <w:tc>
          <w:tcPr>
            <w:tcW w:w="1560" w:type="dxa"/>
            <w:tcBorders>
              <w:top w:val="single" w:sz="15" w:space="0" w:color="009784"/>
              <w:left w:val="single" w:sz="8" w:space="0" w:color="009784"/>
              <w:bottom w:val="nil"/>
              <w:right w:val="single" w:sz="8" w:space="0" w:color="009784"/>
            </w:tcBorders>
          </w:tcPr>
          <w:p w:rsidR="00576F87" w:rsidRDefault="004165F5">
            <w:pPr>
              <w:spacing w:after="0"/>
              <w:ind w:right="7"/>
              <w:jc w:val="right"/>
            </w:pPr>
            <w:r>
              <w:rPr>
                <w:rFonts w:ascii="Verdana" w:eastAsia="Verdana" w:hAnsi="Verdana" w:cs="Verdana"/>
                <w:b/>
                <w:sz w:val="18"/>
              </w:rPr>
              <w:t>£'000</w:t>
            </w:r>
          </w:p>
        </w:tc>
        <w:tc>
          <w:tcPr>
            <w:tcW w:w="4238" w:type="dxa"/>
            <w:tcBorders>
              <w:top w:val="single" w:sz="15" w:space="0" w:color="009784"/>
              <w:left w:val="single" w:sz="8" w:space="0" w:color="009784"/>
              <w:bottom w:val="nil"/>
              <w:right w:val="single" w:sz="8" w:space="0" w:color="009784"/>
            </w:tcBorders>
            <w:vAlign w:val="bottom"/>
          </w:tcPr>
          <w:p w:rsidR="00576F87" w:rsidRDefault="004165F5">
            <w:pPr>
              <w:spacing w:after="0"/>
            </w:pPr>
            <w:r>
              <w:rPr>
                <w:b/>
              </w:rPr>
              <w:t>Investment assets</w:t>
            </w:r>
          </w:p>
        </w:tc>
        <w:tc>
          <w:tcPr>
            <w:tcW w:w="1241" w:type="dxa"/>
            <w:tcBorders>
              <w:top w:val="single" w:sz="15" w:space="0" w:color="009784"/>
              <w:left w:val="single" w:sz="8" w:space="0" w:color="009784"/>
              <w:bottom w:val="nil"/>
              <w:right w:val="single" w:sz="8" w:space="0" w:color="009784"/>
            </w:tcBorders>
          </w:tcPr>
          <w:p w:rsidR="00576F87" w:rsidRDefault="00576F87"/>
        </w:tc>
        <w:tc>
          <w:tcPr>
            <w:tcW w:w="1548" w:type="dxa"/>
            <w:tcBorders>
              <w:top w:val="single" w:sz="15" w:space="0" w:color="009784"/>
              <w:left w:val="single" w:sz="8" w:space="0" w:color="009784"/>
              <w:bottom w:val="nil"/>
              <w:right w:val="single" w:sz="8" w:space="0" w:color="009784"/>
            </w:tcBorders>
          </w:tcPr>
          <w:p w:rsidR="00576F87" w:rsidRDefault="004165F5">
            <w:pPr>
              <w:spacing w:after="0"/>
              <w:ind w:right="7"/>
              <w:jc w:val="right"/>
            </w:pPr>
            <w:r>
              <w:rPr>
                <w:rFonts w:ascii="Verdana" w:eastAsia="Verdana" w:hAnsi="Verdana" w:cs="Verdana"/>
                <w:b/>
                <w:sz w:val="18"/>
              </w:rPr>
              <w:t>£'000</w:t>
            </w:r>
          </w:p>
        </w:tc>
      </w:tr>
      <w:tr w:rsidR="00576F87">
        <w:trPr>
          <w:trHeight w:val="311"/>
        </w:trPr>
        <w:tc>
          <w:tcPr>
            <w:tcW w:w="1560" w:type="dxa"/>
            <w:tcBorders>
              <w:top w:val="nil"/>
              <w:left w:val="single" w:sz="8" w:space="0" w:color="009784"/>
              <w:bottom w:val="nil"/>
              <w:right w:val="single" w:sz="8" w:space="0" w:color="009784"/>
            </w:tcBorders>
          </w:tcPr>
          <w:p w:rsidR="00576F87" w:rsidRDefault="004165F5">
            <w:pPr>
              <w:spacing w:after="0"/>
              <w:ind w:right="9"/>
              <w:jc w:val="right"/>
            </w:pPr>
            <w:r>
              <w:rPr>
                <w:rFonts w:ascii="Verdana" w:eastAsia="Verdana" w:hAnsi="Verdana" w:cs="Verdana"/>
                <w:sz w:val="18"/>
              </w:rPr>
              <w:t>4,987,045</w:t>
            </w:r>
          </w:p>
        </w:tc>
        <w:tc>
          <w:tcPr>
            <w:tcW w:w="4238" w:type="dxa"/>
            <w:tcBorders>
              <w:top w:val="nil"/>
              <w:left w:val="single" w:sz="8" w:space="0" w:color="009784"/>
              <w:bottom w:val="nil"/>
              <w:right w:val="single" w:sz="8" w:space="0" w:color="009784"/>
            </w:tcBorders>
          </w:tcPr>
          <w:p w:rsidR="00576F87" w:rsidRDefault="004165F5">
            <w:pPr>
              <w:spacing w:after="0"/>
            </w:pPr>
            <w:r>
              <w:rPr>
                <w:rFonts w:ascii="Verdana" w:eastAsia="Verdana" w:hAnsi="Verdana" w:cs="Verdana"/>
                <w:sz w:val="18"/>
              </w:rPr>
              <w:t>Investment assets</w:t>
            </w:r>
          </w:p>
        </w:tc>
        <w:tc>
          <w:tcPr>
            <w:tcW w:w="1241" w:type="dxa"/>
            <w:tcBorders>
              <w:top w:val="nil"/>
              <w:left w:val="single" w:sz="8" w:space="0" w:color="009784"/>
              <w:bottom w:val="nil"/>
              <w:right w:val="single" w:sz="8" w:space="0" w:color="009784"/>
            </w:tcBorders>
          </w:tcPr>
          <w:p w:rsidR="00576F87" w:rsidRDefault="004165F5">
            <w:pPr>
              <w:spacing w:after="0"/>
              <w:ind w:left="10"/>
              <w:jc w:val="center"/>
            </w:pPr>
            <w:r>
              <w:rPr>
                <w:rFonts w:ascii="Verdana" w:eastAsia="Verdana" w:hAnsi="Verdana" w:cs="Verdana"/>
                <w:sz w:val="18"/>
              </w:rPr>
              <w:t>14</w:t>
            </w:r>
          </w:p>
        </w:tc>
        <w:tc>
          <w:tcPr>
            <w:tcW w:w="1548" w:type="dxa"/>
            <w:tcBorders>
              <w:top w:val="nil"/>
              <w:left w:val="single" w:sz="8" w:space="0" w:color="009784"/>
              <w:bottom w:val="nil"/>
              <w:right w:val="single" w:sz="8" w:space="0" w:color="009784"/>
            </w:tcBorders>
          </w:tcPr>
          <w:p w:rsidR="00576F87" w:rsidRDefault="004165F5">
            <w:pPr>
              <w:spacing w:after="0"/>
              <w:ind w:right="9"/>
              <w:jc w:val="right"/>
            </w:pPr>
            <w:r>
              <w:rPr>
                <w:rFonts w:ascii="Verdana" w:eastAsia="Verdana" w:hAnsi="Verdana" w:cs="Verdana"/>
                <w:sz w:val="18"/>
              </w:rPr>
              <w:t>5,375,018</w:t>
            </w:r>
          </w:p>
        </w:tc>
      </w:tr>
      <w:tr w:rsidR="00576F87">
        <w:trPr>
          <w:trHeight w:val="435"/>
        </w:trPr>
        <w:tc>
          <w:tcPr>
            <w:tcW w:w="1560" w:type="dxa"/>
            <w:tcBorders>
              <w:top w:val="nil"/>
              <w:left w:val="single" w:sz="8" w:space="0" w:color="009784"/>
              <w:bottom w:val="nil"/>
              <w:right w:val="single" w:sz="8" w:space="0" w:color="009784"/>
            </w:tcBorders>
          </w:tcPr>
          <w:p w:rsidR="00576F87" w:rsidRDefault="004165F5">
            <w:pPr>
              <w:spacing w:after="0"/>
              <w:ind w:right="5"/>
              <w:jc w:val="right"/>
            </w:pPr>
            <w:r>
              <w:rPr>
                <w:rFonts w:ascii="Verdana" w:eastAsia="Verdana" w:hAnsi="Verdana" w:cs="Verdana"/>
                <w:b/>
                <w:sz w:val="18"/>
              </w:rPr>
              <w:t>4,987,045</w:t>
            </w:r>
          </w:p>
        </w:tc>
        <w:tc>
          <w:tcPr>
            <w:tcW w:w="4238" w:type="dxa"/>
            <w:tcBorders>
              <w:top w:val="nil"/>
              <w:left w:val="single" w:sz="8" w:space="0" w:color="009784"/>
              <w:bottom w:val="nil"/>
              <w:right w:val="single" w:sz="8" w:space="0" w:color="009784"/>
            </w:tcBorders>
          </w:tcPr>
          <w:p w:rsidR="00576F87" w:rsidRDefault="004165F5">
            <w:pPr>
              <w:spacing w:after="0"/>
              <w:ind w:left="5"/>
            </w:pPr>
            <w:r>
              <w:rPr>
                <w:rFonts w:ascii="Verdana" w:eastAsia="Verdana" w:hAnsi="Verdana" w:cs="Verdana"/>
                <w:b/>
                <w:sz w:val="18"/>
              </w:rPr>
              <w:t>Total net investments</w:t>
            </w:r>
          </w:p>
        </w:tc>
        <w:tc>
          <w:tcPr>
            <w:tcW w:w="1241" w:type="dxa"/>
            <w:tcBorders>
              <w:top w:val="nil"/>
              <w:left w:val="single" w:sz="8" w:space="0" w:color="009784"/>
              <w:bottom w:val="nil"/>
              <w:right w:val="single" w:sz="8" w:space="0" w:color="009784"/>
            </w:tcBorders>
          </w:tcPr>
          <w:p w:rsidR="00576F87" w:rsidRDefault="00576F87"/>
        </w:tc>
        <w:tc>
          <w:tcPr>
            <w:tcW w:w="1548" w:type="dxa"/>
            <w:tcBorders>
              <w:top w:val="nil"/>
              <w:left w:val="single" w:sz="8" w:space="0" w:color="009784"/>
              <w:bottom w:val="nil"/>
              <w:right w:val="single" w:sz="8" w:space="0" w:color="009784"/>
            </w:tcBorders>
          </w:tcPr>
          <w:p w:rsidR="00576F87" w:rsidRDefault="004165F5">
            <w:pPr>
              <w:spacing w:after="0"/>
              <w:ind w:right="5"/>
              <w:jc w:val="right"/>
            </w:pPr>
            <w:r>
              <w:rPr>
                <w:rFonts w:ascii="Verdana" w:eastAsia="Verdana" w:hAnsi="Verdana" w:cs="Verdana"/>
                <w:b/>
                <w:sz w:val="18"/>
              </w:rPr>
              <w:t>5,375,018</w:t>
            </w:r>
          </w:p>
        </w:tc>
      </w:tr>
      <w:tr w:rsidR="00576F87">
        <w:trPr>
          <w:trHeight w:val="436"/>
        </w:trPr>
        <w:tc>
          <w:tcPr>
            <w:tcW w:w="1560" w:type="dxa"/>
            <w:tcBorders>
              <w:top w:val="nil"/>
              <w:left w:val="single" w:sz="8" w:space="0" w:color="009784"/>
              <w:bottom w:val="nil"/>
              <w:right w:val="single" w:sz="8" w:space="0" w:color="009784"/>
            </w:tcBorders>
            <w:vAlign w:val="bottom"/>
          </w:tcPr>
          <w:p w:rsidR="00576F87" w:rsidRDefault="004165F5">
            <w:pPr>
              <w:spacing w:after="0"/>
              <w:ind w:right="9"/>
              <w:jc w:val="right"/>
            </w:pPr>
            <w:r>
              <w:rPr>
                <w:rFonts w:ascii="Verdana" w:eastAsia="Verdana" w:hAnsi="Verdana" w:cs="Verdana"/>
                <w:color w:val="002060"/>
                <w:sz w:val="18"/>
              </w:rPr>
              <w:t>346,765</w:t>
            </w:r>
          </w:p>
        </w:tc>
        <w:tc>
          <w:tcPr>
            <w:tcW w:w="4238" w:type="dxa"/>
            <w:tcBorders>
              <w:top w:val="nil"/>
              <w:left w:val="single" w:sz="8" w:space="0" w:color="009784"/>
              <w:bottom w:val="nil"/>
              <w:right w:val="single" w:sz="8" w:space="0" w:color="009784"/>
            </w:tcBorders>
            <w:vAlign w:val="bottom"/>
          </w:tcPr>
          <w:p w:rsidR="00576F87" w:rsidRDefault="004165F5">
            <w:pPr>
              <w:spacing w:after="0"/>
            </w:pPr>
            <w:r>
              <w:rPr>
                <w:rFonts w:ascii="Verdana" w:eastAsia="Verdana" w:hAnsi="Verdana" w:cs="Verdana"/>
                <w:sz w:val="18"/>
              </w:rPr>
              <w:t>Cash balances</w:t>
            </w:r>
          </w:p>
        </w:tc>
        <w:tc>
          <w:tcPr>
            <w:tcW w:w="1241" w:type="dxa"/>
            <w:tcBorders>
              <w:top w:val="nil"/>
              <w:left w:val="single" w:sz="8" w:space="0" w:color="009784"/>
              <w:bottom w:val="nil"/>
              <w:right w:val="single" w:sz="8" w:space="0" w:color="009784"/>
            </w:tcBorders>
            <w:vAlign w:val="bottom"/>
          </w:tcPr>
          <w:p w:rsidR="00576F87" w:rsidRDefault="004165F5">
            <w:pPr>
              <w:spacing w:after="0"/>
              <w:ind w:left="10"/>
              <w:jc w:val="center"/>
            </w:pPr>
            <w:r>
              <w:rPr>
                <w:rFonts w:ascii="Verdana" w:eastAsia="Verdana" w:hAnsi="Verdana" w:cs="Verdana"/>
                <w:sz w:val="18"/>
              </w:rPr>
              <w:t>17</w:t>
            </w:r>
          </w:p>
        </w:tc>
        <w:tc>
          <w:tcPr>
            <w:tcW w:w="1548" w:type="dxa"/>
            <w:tcBorders>
              <w:top w:val="nil"/>
              <w:left w:val="single" w:sz="8" w:space="0" w:color="009784"/>
              <w:bottom w:val="nil"/>
              <w:right w:val="single" w:sz="8" w:space="0" w:color="009784"/>
            </w:tcBorders>
            <w:vAlign w:val="bottom"/>
          </w:tcPr>
          <w:p w:rsidR="00576F87" w:rsidRDefault="004165F5">
            <w:pPr>
              <w:spacing w:after="0"/>
              <w:ind w:right="9"/>
              <w:jc w:val="right"/>
            </w:pPr>
            <w:r>
              <w:rPr>
                <w:rFonts w:ascii="Verdana" w:eastAsia="Verdana" w:hAnsi="Verdana" w:cs="Verdana"/>
                <w:sz w:val="18"/>
              </w:rPr>
              <w:t>176,792</w:t>
            </w:r>
          </w:p>
        </w:tc>
      </w:tr>
      <w:tr w:rsidR="00576F87">
        <w:trPr>
          <w:trHeight w:val="290"/>
        </w:trPr>
        <w:tc>
          <w:tcPr>
            <w:tcW w:w="1560" w:type="dxa"/>
            <w:tcBorders>
              <w:top w:val="nil"/>
              <w:left w:val="single" w:sz="8" w:space="0" w:color="009784"/>
              <w:bottom w:val="nil"/>
              <w:right w:val="single" w:sz="8" w:space="0" w:color="009784"/>
            </w:tcBorders>
          </w:tcPr>
          <w:p w:rsidR="00576F87" w:rsidRDefault="004165F5">
            <w:pPr>
              <w:spacing w:after="0"/>
              <w:ind w:right="8"/>
              <w:jc w:val="right"/>
            </w:pPr>
            <w:r>
              <w:rPr>
                <w:rFonts w:ascii="Verdana" w:eastAsia="Verdana" w:hAnsi="Verdana" w:cs="Verdana"/>
                <w:sz w:val="18"/>
              </w:rPr>
              <w:t>12,541</w:t>
            </w:r>
          </w:p>
        </w:tc>
        <w:tc>
          <w:tcPr>
            <w:tcW w:w="4238" w:type="dxa"/>
            <w:tcBorders>
              <w:top w:val="nil"/>
              <w:left w:val="single" w:sz="8" w:space="0" w:color="009784"/>
              <w:bottom w:val="nil"/>
              <w:right w:val="single" w:sz="8" w:space="0" w:color="009784"/>
            </w:tcBorders>
          </w:tcPr>
          <w:p w:rsidR="00576F87" w:rsidRDefault="004165F5">
            <w:pPr>
              <w:spacing w:after="0"/>
            </w:pPr>
            <w:r>
              <w:rPr>
                <w:rFonts w:ascii="Verdana" w:eastAsia="Verdana" w:hAnsi="Verdana" w:cs="Verdana"/>
                <w:sz w:val="18"/>
              </w:rPr>
              <w:t>Current assets</w:t>
            </w:r>
          </w:p>
        </w:tc>
        <w:tc>
          <w:tcPr>
            <w:tcW w:w="1241" w:type="dxa"/>
            <w:tcBorders>
              <w:top w:val="nil"/>
              <w:left w:val="single" w:sz="8" w:space="0" w:color="009784"/>
              <w:bottom w:val="nil"/>
              <w:right w:val="single" w:sz="8" w:space="0" w:color="009784"/>
            </w:tcBorders>
          </w:tcPr>
          <w:p w:rsidR="00576F87" w:rsidRDefault="004165F5">
            <w:pPr>
              <w:spacing w:after="0"/>
              <w:ind w:left="10"/>
              <w:jc w:val="center"/>
            </w:pPr>
            <w:r>
              <w:rPr>
                <w:rFonts w:ascii="Verdana" w:eastAsia="Verdana" w:hAnsi="Verdana" w:cs="Verdana"/>
                <w:sz w:val="18"/>
              </w:rPr>
              <w:t>19</w:t>
            </w:r>
          </w:p>
        </w:tc>
        <w:tc>
          <w:tcPr>
            <w:tcW w:w="1548" w:type="dxa"/>
            <w:tcBorders>
              <w:top w:val="nil"/>
              <w:left w:val="single" w:sz="8" w:space="0" w:color="009784"/>
              <w:bottom w:val="nil"/>
              <w:right w:val="single" w:sz="8" w:space="0" w:color="009784"/>
            </w:tcBorders>
          </w:tcPr>
          <w:p w:rsidR="00576F87" w:rsidRDefault="004165F5">
            <w:pPr>
              <w:spacing w:after="0"/>
              <w:ind w:right="9"/>
              <w:jc w:val="right"/>
            </w:pPr>
            <w:r>
              <w:rPr>
                <w:rFonts w:ascii="Verdana" w:eastAsia="Verdana" w:hAnsi="Verdana" w:cs="Verdana"/>
                <w:sz w:val="18"/>
              </w:rPr>
              <w:t>115,959</w:t>
            </w:r>
          </w:p>
        </w:tc>
      </w:tr>
      <w:tr w:rsidR="00576F87">
        <w:trPr>
          <w:trHeight w:val="573"/>
        </w:trPr>
        <w:tc>
          <w:tcPr>
            <w:tcW w:w="1560" w:type="dxa"/>
            <w:tcBorders>
              <w:top w:val="nil"/>
              <w:left w:val="single" w:sz="8" w:space="0" w:color="009784"/>
              <w:bottom w:val="single" w:sz="15" w:space="0" w:color="009784"/>
              <w:right w:val="single" w:sz="8" w:space="0" w:color="009784"/>
            </w:tcBorders>
          </w:tcPr>
          <w:p w:rsidR="00576F87" w:rsidRDefault="004165F5">
            <w:pPr>
              <w:spacing w:after="0"/>
              <w:ind w:right="8"/>
              <w:jc w:val="right"/>
            </w:pPr>
            <w:r>
              <w:rPr>
                <w:rFonts w:ascii="Verdana" w:eastAsia="Verdana" w:hAnsi="Verdana" w:cs="Verdana"/>
                <w:sz w:val="18"/>
              </w:rPr>
              <w:t>(9,229)</w:t>
            </w:r>
          </w:p>
        </w:tc>
        <w:tc>
          <w:tcPr>
            <w:tcW w:w="4238" w:type="dxa"/>
            <w:tcBorders>
              <w:top w:val="nil"/>
              <w:left w:val="single" w:sz="8" w:space="0" w:color="009784"/>
              <w:bottom w:val="single" w:sz="15" w:space="0" w:color="009784"/>
              <w:right w:val="single" w:sz="8" w:space="0" w:color="009784"/>
            </w:tcBorders>
          </w:tcPr>
          <w:p w:rsidR="00576F87" w:rsidRDefault="004165F5">
            <w:pPr>
              <w:spacing w:after="0"/>
            </w:pPr>
            <w:r>
              <w:rPr>
                <w:rFonts w:ascii="Verdana" w:eastAsia="Verdana" w:hAnsi="Verdana" w:cs="Verdana"/>
                <w:sz w:val="18"/>
              </w:rPr>
              <w:t>Current liabilities</w:t>
            </w:r>
          </w:p>
        </w:tc>
        <w:tc>
          <w:tcPr>
            <w:tcW w:w="1241" w:type="dxa"/>
            <w:tcBorders>
              <w:top w:val="nil"/>
              <w:left w:val="single" w:sz="8" w:space="0" w:color="009784"/>
              <w:bottom w:val="single" w:sz="15" w:space="0" w:color="009784"/>
              <w:right w:val="single" w:sz="8" w:space="0" w:color="009784"/>
            </w:tcBorders>
          </w:tcPr>
          <w:p w:rsidR="00576F87" w:rsidRDefault="004165F5">
            <w:pPr>
              <w:spacing w:after="0"/>
              <w:ind w:left="10"/>
              <w:jc w:val="center"/>
            </w:pPr>
            <w:r>
              <w:rPr>
                <w:rFonts w:ascii="Verdana" w:eastAsia="Verdana" w:hAnsi="Verdana" w:cs="Verdana"/>
                <w:sz w:val="18"/>
              </w:rPr>
              <w:t>20</w:t>
            </w:r>
          </w:p>
        </w:tc>
        <w:tc>
          <w:tcPr>
            <w:tcW w:w="1548" w:type="dxa"/>
            <w:tcBorders>
              <w:top w:val="nil"/>
              <w:left w:val="single" w:sz="8" w:space="0" w:color="009784"/>
              <w:bottom w:val="single" w:sz="15" w:space="0" w:color="009784"/>
              <w:right w:val="single" w:sz="8" w:space="0" w:color="009784"/>
            </w:tcBorders>
          </w:tcPr>
          <w:p w:rsidR="00576F87" w:rsidRDefault="004165F5">
            <w:pPr>
              <w:spacing w:after="0"/>
              <w:ind w:right="8"/>
              <w:jc w:val="right"/>
            </w:pPr>
            <w:r>
              <w:rPr>
                <w:rFonts w:ascii="Verdana" w:eastAsia="Verdana" w:hAnsi="Verdana" w:cs="Verdana"/>
                <w:sz w:val="18"/>
              </w:rPr>
              <w:t>(13,495)</w:t>
            </w:r>
          </w:p>
        </w:tc>
      </w:tr>
      <w:tr w:rsidR="00576F87">
        <w:trPr>
          <w:trHeight w:val="566"/>
        </w:trPr>
        <w:tc>
          <w:tcPr>
            <w:tcW w:w="1560" w:type="dxa"/>
            <w:tcBorders>
              <w:top w:val="single" w:sz="15"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jc w:val="right"/>
            </w:pPr>
            <w:r>
              <w:rPr>
                <w:rFonts w:ascii="Verdana" w:eastAsia="Verdana" w:hAnsi="Verdana" w:cs="Verdana"/>
                <w:b/>
                <w:color w:val="FFFFFF"/>
                <w:sz w:val="18"/>
              </w:rPr>
              <w:t>5,337,122</w:t>
            </w:r>
          </w:p>
        </w:tc>
        <w:tc>
          <w:tcPr>
            <w:tcW w:w="5479" w:type="dxa"/>
            <w:gridSpan w:val="2"/>
            <w:tcBorders>
              <w:top w:val="single" w:sz="15" w:space="0" w:color="009784"/>
              <w:left w:val="single" w:sz="8" w:space="0" w:color="009784"/>
              <w:bottom w:val="single" w:sz="8" w:space="0" w:color="009784"/>
              <w:right w:val="single" w:sz="8" w:space="0" w:color="009784"/>
            </w:tcBorders>
            <w:shd w:val="clear" w:color="auto" w:fill="009784"/>
          </w:tcPr>
          <w:p w:rsidR="00576F87" w:rsidRDefault="004165F5">
            <w:pPr>
              <w:spacing w:after="0"/>
              <w:ind w:left="5"/>
              <w:jc w:val="both"/>
            </w:pPr>
            <w:r>
              <w:rPr>
                <w:rFonts w:ascii="Verdana" w:eastAsia="Verdana" w:hAnsi="Verdana" w:cs="Verdana"/>
                <w:b/>
                <w:color w:val="FFFFFF"/>
                <w:sz w:val="18"/>
              </w:rPr>
              <w:t>Net assets of the Fund available to fund benefits at the period end</w:t>
            </w:r>
          </w:p>
        </w:tc>
        <w:tc>
          <w:tcPr>
            <w:tcW w:w="1548" w:type="dxa"/>
            <w:tcBorders>
              <w:top w:val="single" w:sz="15"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jc w:val="right"/>
            </w:pPr>
            <w:r>
              <w:rPr>
                <w:rFonts w:ascii="Verdana" w:eastAsia="Verdana" w:hAnsi="Verdana" w:cs="Verdana"/>
                <w:b/>
                <w:color w:val="FFFFFF"/>
                <w:sz w:val="18"/>
              </w:rPr>
              <w:t>5,654,274</w:t>
            </w:r>
          </w:p>
        </w:tc>
      </w:tr>
      <w:tr w:rsidR="00576F87">
        <w:trPr>
          <w:trHeight w:val="583"/>
        </w:trPr>
        <w:tc>
          <w:tcPr>
            <w:tcW w:w="7039" w:type="dxa"/>
            <w:gridSpan w:val="3"/>
            <w:tcBorders>
              <w:top w:val="single" w:sz="8" w:space="0" w:color="009784"/>
              <w:left w:val="nil"/>
              <w:bottom w:val="nil"/>
              <w:right w:val="nil"/>
            </w:tcBorders>
            <w:shd w:val="clear" w:color="auto" w:fill="FFFFFF"/>
          </w:tcPr>
          <w:p w:rsidR="00576F87" w:rsidRDefault="00576F87"/>
        </w:tc>
        <w:tc>
          <w:tcPr>
            <w:tcW w:w="1548" w:type="dxa"/>
            <w:tcBorders>
              <w:top w:val="single" w:sz="8" w:space="0" w:color="009784"/>
              <w:left w:val="nil"/>
              <w:bottom w:val="nil"/>
              <w:right w:val="nil"/>
            </w:tcBorders>
            <w:shd w:val="clear" w:color="auto" w:fill="FFFFFF"/>
          </w:tcPr>
          <w:p w:rsidR="00576F87" w:rsidRDefault="00576F87"/>
        </w:tc>
      </w:tr>
    </w:tbl>
    <w:p w:rsidR="00576F87" w:rsidRDefault="004165F5">
      <w:pPr>
        <w:spacing w:after="3" w:line="264" w:lineRule="auto"/>
        <w:ind w:left="2" w:right="12" w:hanging="10"/>
        <w:jc w:val="both"/>
      </w:pPr>
      <w:r>
        <w:rPr>
          <w:noProof/>
        </w:rPr>
        <w:drawing>
          <wp:anchor distT="0" distB="0" distL="114300" distR="114300" simplePos="0" relativeHeight="251660288" behindDoc="0" locked="0" layoutInCell="1" allowOverlap="0">
            <wp:simplePos x="0" y="0"/>
            <wp:positionH relativeFrom="column">
              <wp:posOffset>53340</wp:posOffset>
            </wp:positionH>
            <wp:positionV relativeFrom="paragraph">
              <wp:posOffset>-280686</wp:posOffset>
            </wp:positionV>
            <wp:extent cx="1287780" cy="347472"/>
            <wp:effectExtent l="0" t="0" r="0" b="0"/>
            <wp:wrapNone/>
            <wp:docPr id="2207" name="Picture 2207"/>
            <wp:cNvGraphicFramePr/>
            <a:graphic xmlns:a="http://schemas.openxmlformats.org/drawingml/2006/main">
              <a:graphicData uri="http://schemas.openxmlformats.org/drawingml/2006/picture">
                <pic:pic xmlns:pic="http://schemas.openxmlformats.org/drawingml/2006/picture">
                  <pic:nvPicPr>
                    <pic:cNvPr id="2207" name="Picture 2207"/>
                    <pic:cNvPicPr/>
                  </pic:nvPicPr>
                  <pic:blipFill>
                    <a:blip r:embed="rId13"/>
                    <a:stretch>
                      <a:fillRect/>
                    </a:stretch>
                  </pic:blipFill>
                  <pic:spPr>
                    <a:xfrm>
                      <a:off x="0" y="0"/>
                      <a:ext cx="1287780" cy="347472"/>
                    </a:xfrm>
                    <a:prstGeom prst="rect">
                      <a:avLst/>
                    </a:prstGeom>
                  </pic:spPr>
                </pic:pic>
              </a:graphicData>
            </a:graphic>
          </wp:anchor>
        </w:drawing>
      </w:r>
      <w:r>
        <w:rPr>
          <w:rFonts w:ascii="Verdana" w:eastAsia="Verdana" w:hAnsi="Verdana" w:cs="Verdana"/>
          <w:sz w:val="20"/>
        </w:rPr>
        <w:t xml:space="preserve">.............................................     </w:t>
      </w:r>
    </w:p>
    <w:p w:rsidR="00576F87" w:rsidRDefault="004165F5">
      <w:pPr>
        <w:spacing w:after="22" w:line="265" w:lineRule="auto"/>
        <w:ind w:left="5" w:hanging="8"/>
      </w:pPr>
      <w:r>
        <w:rPr>
          <w:rFonts w:ascii="Verdana" w:eastAsia="Verdana" w:hAnsi="Verdana" w:cs="Verdana"/>
          <w:b/>
          <w:sz w:val="20"/>
        </w:rPr>
        <w:t>Abigail Leech, Section 151 Officer Dated:   20 August 2018</w:t>
      </w:r>
    </w:p>
    <w:p w:rsidR="00576F87" w:rsidRDefault="004165F5">
      <w:pPr>
        <w:spacing w:after="248"/>
        <w:ind w:left="22"/>
      </w:pPr>
      <w:r>
        <w:rPr>
          <w:rFonts w:ascii="Verdana" w:eastAsia="Verdana" w:hAnsi="Verdana" w:cs="Verdana"/>
          <w:b/>
          <w:color w:val="009784"/>
          <w:sz w:val="27"/>
        </w:rPr>
        <w:t xml:space="preserve">6 </w:t>
      </w:r>
      <w:r>
        <w:rPr>
          <w:rFonts w:ascii="Verdana" w:eastAsia="Verdana" w:hAnsi="Verdana" w:cs="Verdana"/>
          <w:color w:val="35437C"/>
          <w:sz w:val="27"/>
        </w:rPr>
        <w:t>Notes to the Fund Accounts for the year ended 31 March 2018</w:t>
      </w:r>
    </w:p>
    <w:p w:rsidR="00576F87" w:rsidRDefault="004165F5">
      <w:pPr>
        <w:pStyle w:val="Heading2"/>
        <w:spacing w:after="176" w:line="259" w:lineRule="auto"/>
        <w:ind w:left="3" w:hanging="8"/>
      </w:pPr>
      <w:r>
        <w:rPr>
          <w:sz w:val="24"/>
        </w:rPr>
        <w:t>1 General information</w:t>
      </w:r>
    </w:p>
    <w:p w:rsidR="00576F87" w:rsidRDefault="004165F5">
      <w:pPr>
        <w:spacing w:after="140" w:line="268" w:lineRule="auto"/>
        <w:ind w:left="-7" w:hanging="3"/>
        <w:jc w:val="both"/>
      </w:pPr>
      <w:r>
        <w:rPr>
          <w:rFonts w:ascii="Verdana" w:eastAsia="Verdana" w:hAnsi="Verdana" w:cs="Verdana"/>
          <w:sz w:val="18"/>
        </w:rPr>
        <w:t>The scheme is governed by the Public Service Pensions Act 2013. The Fund is administered in accordance with the following secondary legislation:</w:t>
      </w:r>
    </w:p>
    <w:p w:rsidR="00576F87" w:rsidRDefault="004165F5">
      <w:pPr>
        <w:numPr>
          <w:ilvl w:val="0"/>
          <w:numId w:val="11"/>
        </w:numPr>
        <w:spacing w:after="197" w:line="268" w:lineRule="auto"/>
        <w:ind w:hanging="413"/>
        <w:jc w:val="both"/>
      </w:pPr>
      <w:r>
        <w:rPr>
          <w:rFonts w:ascii="Verdana" w:eastAsia="Verdana" w:hAnsi="Verdana" w:cs="Verdana"/>
          <w:sz w:val="18"/>
        </w:rPr>
        <w:lastRenderedPageBreak/>
        <w:t xml:space="preserve">the Local Government Pension </w:t>
      </w:r>
      <w:r>
        <w:rPr>
          <w:rFonts w:ascii="Verdana" w:eastAsia="Verdana" w:hAnsi="Verdana" w:cs="Verdana"/>
          <w:sz w:val="18"/>
        </w:rPr>
        <w:t>Scheme Regulations 2013 (as amended)</w:t>
      </w:r>
    </w:p>
    <w:p w:rsidR="00576F87" w:rsidRDefault="004165F5">
      <w:pPr>
        <w:numPr>
          <w:ilvl w:val="0"/>
          <w:numId w:val="11"/>
        </w:numPr>
        <w:spacing w:after="300" w:line="268" w:lineRule="auto"/>
        <w:ind w:hanging="413"/>
        <w:jc w:val="both"/>
      </w:pPr>
      <w:r>
        <w:rPr>
          <w:rFonts w:ascii="Verdana" w:eastAsia="Verdana" w:hAnsi="Verdana" w:cs="Verdana"/>
          <w:sz w:val="18"/>
        </w:rPr>
        <w:t>the Local Government Pension Scheme (Transitional Provisions, Savings and Amendment) Regulations        2014 (as amended)</w:t>
      </w:r>
    </w:p>
    <w:p w:rsidR="00576F87" w:rsidRDefault="004165F5">
      <w:pPr>
        <w:numPr>
          <w:ilvl w:val="0"/>
          <w:numId w:val="11"/>
        </w:numPr>
        <w:spacing w:after="163" w:line="268" w:lineRule="auto"/>
        <w:ind w:hanging="413"/>
        <w:jc w:val="both"/>
      </w:pPr>
      <w:r>
        <w:rPr>
          <w:rFonts w:ascii="Verdana" w:eastAsia="Verdana" w:hAnsi="Verdana" w:cs="Verdana"/>
          <w:sz w:val="18"/>
        </w:rPr>
        <w:t>the Local Government Pension Scheme (Management and Investment of Funds) Regulations 2016.</w:t>
      </w:r>
    </w:p>
    <w:p w:rsidR="00576F87" w:rsidRDefault="004165F5">
      <w:pPr>
        <w:numPr>
          <w:ilvl w:val="0"/>
          <w:numId w:val="11"/>
        </w:numPr>
        <w:spacing w:after="5" w:line="268" w:lineRule="auto"/>
        <w:ind w:hanging="413"/>
        <w:jc w:val="both"/>
      </w:pPr>
      <w:r>
        <w:rPr>
          <w:rFonts w:ascii="Verdana" w:eastAsia="Verdana" w:hAnsi="Verdana" w:cs="Verdana"/>
          <w:sz w:val="18"/>
        </w:rPr>
        <w:t>the Lo</w:t>
      </w:r>
      <w:r>
        <w:rPr>
          <w:rFonts w:ascii="Verdana" w:eastAsia="Verdana" w:hAnsi="Verdana" w:cs="Verdana"/>
          <w:sz w:val="18"/>
        </w:rPr>
        <w:t>cal Government Pension Scheme (Amendment) Regulations 2018.</w:t>
      </w:r>
    </w:p>
    <w:p w:rsidR="00576F87" w:rsidRDefault="004165F5">
      <w:pPr>
        <w:spacing w:after="173" w:line="268" w:lineRule="auto"/>
        <w:ind w:left="-7" w:hanging="3"/>
        <w:jc w:val="both"/>
      </w:pPr>
      <w:r>
        <w:rPr>
          <w:rFonts w:ascii="Verdana" w:eastAsia="Verdana" w:hAnsi="Verdana" w:cs="Verdana"/>
          <w:sz w:val="18"/>
        </w:rPr>
        <w:t>The LPFA is registered with the Register of Occupational and Personal Pension Schemes -Reference 100016237.</w:t>
      </w:r>
    </w:p>
    <w:p w:rsidR="00576F87" w:rsidRDefault="004165F5">
      <w:pPr>
        <w:spacing w:after="451" w:line="268" w:lineRule="auto"/>
        <w:ind w:left="-7" w:hanging="3"/>
        <w:jc w:val="both"/>
      </w:pPr>
      <w:r>
        <w:rPr>
          <w:rFonts w:ascii="Verdana" w:eastAsia="Verdana" w:hAnsi="Verdana" w:cs="Verdana"/>
          <w:sz w:val="18"/>
        </w:rPr>
        <w:t>The Pension Fund is subject to triennial valuations by an independent actuary. Employers’ contributions are determined by the actuary to ensure that in the long term the Pension Fund’s assets match its liabilities. The LPFA’s Actuary is Barnett Waddingham,</w:t>
      </w:r>
      <w:r>
        <w:rPr>
          <w:rFonts w:ascii="Verdana" w:eastAsia="Verdana" w:hAnsi="Verdana" w:cs="Verdana"/>
          <w:sz w:val="18"/>
        </w:rPr>
        <w:t xml:space="preserve"> who have supplied an actuarial statement. This is shown in Section 7 and should be read in conjunction with these accounts.</w:t>
      </w:r>
    </w:p>
    <w:p w:rsidR="00576F87" w:rsidRDefault="004165F5">
      <w:pPr>
        <w:pStyle w:val="Heading2"/>
        <w:spacing w:after="176" w:line="259" w:lineRule="auto"/>
        <w:ind w:left="3" w:hanging="8"/>
      </w:pPr>
      <w:r>
        <w:rPr>
          <w:sz w:val="24"/>
        </w:rPr>
        <w:t>2 Accounting standards issued, but not yet adopted</w:t>
      </w:r>
    </w:p>
    <w:p w:rsidR="00576F87" w:rsidRDefault="004165F5">
      <w:pPr>
        <w:spacing w:after="125" w:line="268" w:lineRule="auto"/>
        <w:ind w:left="-7" w:hanging="3"/>
        <w:jc w:val="both"/>
      </w:pPr>
      <w:r>
        <w:rPr>
          <w:rFonts w:ascii="Verdana" w:eastAsia="Verdana" w:hAnsi="Verdana" w:cs="Verdana"/>
          <w:sz w:val="18"/>
        </w:rPr>
        <w:t>IFRS 9 Financial instruments - Includes changes to the classification of financi</w:t>
      </w:r>
      <w:r>
        <w:rPr>
          <w:rFonts w:ascii="Verdana" w:eastAsia="Verdana" w:hAnsi="Verdana" w:cs="Verdana"/>
          <w:sz w:val="18"/>
        </w:rPr>
        <w:t>al assets and a forward looking 'expected loss' model for impairment rather than the 'incurred loss' model under IAS 39.</w:t>
      </w:r>
    </w:p>
    <w:p w:rsidR="00576F87" w:rsidRDefault="004165F5">
      <w:pPr>
        <w:spacing w:after="185" w:line="268" w:lineRule="auto"/>
        <w:ind w:left="-7" w:hanging="3"/>
        <w:jc w:val="both"/>
      </w:pPr>
      <w:r>
        <w:rPr>
          <w:rFonts w:ascii="Verdana" w:eastAsia="Verdana" w:hAnsi="Verdana" w:cs="Verdana"/>
          <w:sz w:val="18"/>
        </w:rPr>
        <w:t>IFRS 16 Leases - It replaces IAS17 and requires lessees to recognise both assets and liabilities on the balance sheet, for all leases (</w:t>
      </w:r>
      <w:r>
        <w:rPr>
          <w:rFonts w:ascii="Verdana" w:eastAsia="Verdana" w:hAnsi="Verdana" w:cs="Verdana"/>
          <w:sz w:val="18"/>
        </w:rPr>
        <w:t>now including operating leases).</w:t>
      </w:r>
    </w:p>
    <w:p w:rsidR="00576F87" w:rsidRDefault="004165F5">
      <w:pPr>
        <w:spacing w:after="343" w:line="268" w:lineRule="auto"/>
        <w:ind w:left="-7" w:hanging="3"/>
        <w:jc w:val="both"/>
      </w:pPr>
      <w:r>
        <w:rPr>
          <w:rFonts w:ascii="Verdana" w:eastAsia="Verdana" w:hAnsi="Verdana" w:cs="Verdana"/>
          <w:sz w:val="18"/>
        </w:rPr>
        <w:t>The impact of the standards issued but not yet adopted cannot yet be quantified.</w:t>
      </w:r>
    </w:p>
    <w:p w:rsidR="00576F87" w:rsidRDefault="004165F5">
      <w:pPr>
        <w:pStyle w:val="Heading2"/>
        <w:spacing w:after="176" w:line="259" w:lineRule="auto"/>
        <w:ind w:left="3" w:hanging="8"/>
      </w:pPr>
      <w:r>
        <w:rPr>
          <w:sz w:val="24"/>
        </w:rPr>
        <w:t>3 Summary of Significant Accounting Policies</w:t>
      </w:r>
    </w:p>
    <w:p w:rsidR="00576F87" w:rsidRDefault="004165F5">
      <w:pPr>
        <w:pStyle w:val="Heading3"/>
        <w:spacing w:after="93"/>
        <w:ind w:left="0"/>
      </w:pPr>
      <w:r>
        <w:rPr>
          <w:sz w:val="18"/>
        </w:rPr>
        <w:t>General Principles</w:t>
      </w:r>
    </w:p>
    <w:p w:rsidR="00576F87" w:rsidRDefault="004165F5">
      <w:pPr>
        <w:spacing w:after="5" w:line="268" w:lineRule="auto"/>
        <w:ind w:left="-7" w:hanging="3"/>
        <w:jc w:val="both"/>
      </w:pPr>
      <w:r>
        <w:rPr>
          <w:rFonts w:ascii="Verdana" w:eastAsia="Verdana" w:hAnsi="Verdana" w:cs="Verdana"/>
          <w:sz w:val="18"/>
        </w:rPr>
        <w:t>The Pension Fund Statement of Accounts summarise Fund transactions for the 201</w:t>
      </w:r>
      <w:r>
        <w:rPr>
          <w:rFonts w:ascii="Verdana" w:eastAsia="Verdana" w:hAnsi="Verdana" w:cs="Verdana"/>
          <w:sz w:val="18"/>
        </w:rPr>
        <w:t>7/18 financial year and its position as at 31 March 2018. It has been prepared in accordance with the Code of Practice on Local</w:t>
      </w:r>
    </w:p>
    <w:p w:rsidR="00576F87" w:rsidRDefault="004165F5">
      <w:pPr>
        <w:spacing w:after="46" w:line="268" w:lineRule="auto"/>
        <w:ind w:left="-7" w:hanging="3"/>
        <w:jc w:val="both"/>
      </w:pPr>
      <w:r>
        <w:rPr>
          <w:rFonts w:ascii="Verdana" w:eastAsia="Verdana" w:hAnsi="Verdana" w:cs="Verdana"/>
          <w:sz w:val="18"/>
        </w:rPr>
        <w:t xml:space="preserve">Authority Accounting in the United Kingdom based on International Financial Reporting Standards (IFRS). </w:t>
      </w:r>
    </w:p>
    <w:p w:rsidR="00576F87" w:rsidRDefault="004165F5">
      <w:pPr>
        <w:spacing w:after="5" w:line="268" w:lineRule="auto"/>
        <w:ind w:left="-7" w:hanging="3"/>
        <w:jc w:val="both"/>
      </w:pPr>
      <w:r>
        <w:rPr>
          <w:rFonts w:ascii="Verdana" w:eastAsia="Verdana" w:hAnsi="Verdana" w:cs="Verdana"/>
          <w:sz w:val="18"/>
        </w:rPr>
        <w:t>The accounts summarise the transactions of the Fund and report on the net assets at the disposal of LPFA. They do not take account of obligations to pay pensions and benefits which fall due after the end of the fund</w:t>
      </w:r>
    </w:p>
    <w:p w:rsidR="00576F87" w:rsidRDefault="004165F5">
      <w:pPr>
        <w:spacing w:after="230" w:line="268" w:lineRule="auto"/>
        <w:ind w:left="-7" w:hanging="3"/>
        <w:jc w:val="both"/>
      </w:pPr>
      <w:r>
        <w:rPr>
          <w:rFonts w:ascii="Verdana" w:eastAsia="Verdana" w:hAnsi="Verdana" w:cs="Verdana"/>
          <w:sz w:val="18"/>
        </w:rPr>
        <w:t>year. The actuarial position of the Fund</w:t>
      </w:r>
      <w:r>
        <w:rPr>
          <w:rFonts w:ascii="Verdana" w:eastAsia="Verdana" w:hAnsi="Verdana" w:cs="Verdana"/>
          <w:sz w:val="18"/>
        </w:rPr>
        <w:t xml:space="preserve">, which does take account of such obligations, is dealt with in note 25 and actuarial statement. </w:t>
      </w:r>
    </w:p>
    <w:p w:rsidR="00576F87" w:rsidRDefault="004165F5">
      <w:pPr>
        <w:spacing w:after="5" w:line="268" w:lineRule="auto"/>
        <w:ind w:left="-7" w:hanging="3"/>
        <w:jc w:val="both"/>
      </w:pPr>
      <w:r>
        <w:rPr>
          <w:rFonts w:ascii="Verdana" w:eastAsia="Verdana" w:hAnsi="Verdana" w:cs="Verdana"/>
          <w:sz w:val="18"/>
        </w:rPr>
        <w:t xml:space="preserve">The financial statements and accounts have been prepared on a going concern basis. </w:t>
      </w:r>
    </w:p>
    <w:p w:rsidR="00576F87" w:rsidRDefault="00576F87">
      <w:pPr>
        <w:sectPr w:rsidR="00576F87">
          <w:headerReference w:type="even" r:id="rId48"/>
          <w:headerReference w:type="default" r:id="rId49"/>
          <w:footerReference w:type="even" r:id="rId50"/>
          <w:footerReference w:type="default" r:id="rId51"/>
          <w:headerReference w:type="first" r:id="rId52"/>
          <w:footerReference w:type="first" r:id="rId53"/>
          <w:pgSz w:w="11900" w:h="16840"/>
          <w:pgMar w:top="1146" w:right="1039" w:bottom="3782" w:left="1068" w:header="720" w:footer="510" w:gutter="0"/>
          <w:cols w:space="720"/>
          <w:titlePg/>
        </w:sectPr>
      </w:pPr>
    </w:p>
    <w:p w:rsidR="00576F87" w:rsidRDefault="004165F5">
      <w:pPr>
        <w:pStyle w:val="Heading3"/>
        <w:spacing w:after="93"/>
        <w:ind w:left="0"/>
      </w:pPr>
      <w:r>
        <w:rPr>
          <w:sz w:val="18"/>
        </w:rPr>
        <w:lastRenderedPageBreak/>
        <w:t>Contributions</w:t>
      </w:r>
    </w:p>
    <w:p w:rsidR="00576F87" w:rsidRDefault="004165F5">
      <w:pPr>
        <w:spacing w:after="62" w:line="268" w:lineRule="auto"/>
        <w:ind w:left="-7" w:hanging="3"/>
        <w:jc w:val="both"/>
      </w:pPr>
      <w:r>
        <w:rPr>
          <w:rFonts w:ascii="Verdana" w:eastAsia="Verdana" w:hAnsi="Verdana" w:cs="Verdana"/>
          <w:sz w:val="18"/>
        </w:rPr>
        <w:t>Normal contributions, both from the members and from the employers, are accounted for on an accruals basis at the percentage rate recommended by the Actuary in the payrol</w:t>
      </w:r>
      <w:r>
        <w:rPr>
          <w:rFonts w:ascii="Verdana" w:eastAsia="Verdana" w:hAnsi="Verdana" w:cs="Verdana"/>
          <w:sz w:val="18"/>
        </w:rPr>
        <w:t>l period to which they relate.</w:t>
      </w:r>
    </w:p>
    <w:p w:rsidR="00576F87" w:rsidRDefault="004165F5">
      <w:pPr>
        <w:spacing w:after="185" w:line="268" w:lineRule="auto"/>
        <w:ind w:left="-7" w:hanging="3"/>
        <w:jc w:val="both"/>
      </w:pPr>
      <w:r>
        <w:rPr>
          <w:rFonts w:ascii="Verdana" w:eastAsia="Verdana" w:hAnsi="Verdana" w:cs="Verdana"/>
          <w:sz w:val="18"/>
        </w:rPr>
        <w:t xml:space="preserve">Employers’ augmentation contributions and capital cost contributions from the employer are accounted for in accordance with the regulations under which they are paid, or in the absence of such an agreement, when received.  </w:t>
      </w:r>
    </w:p>
    <w:p w:rsidR="00576F87" w:rsidRDefault="004165F5">
      <w:pPr>
        <w:spacing w:after="343" w:line="268" w:lineRule="auto"/>
        <w:ind w:left="-7" w:hanging="3"/>
        <w:jc w:val="both"/>
      </w:pPr>
      <w:r>
        <w:rPr>
          <w:rFonts w:ascii="Verdana" w:eastAsia="Verdana" w:hAnsi="Verdana" w:cs="Verdana"/>
          <w:sz w:val="18"/>
        </w:rPr>
        <w:t>E</w:t>
      </w:r>
      <w:r>
        <w:rPr>
          <w:rFonts w:ascii="Verdana" w:eastAsia="Verdana" w:hAnsi="Verdana" w:cs="Verdana"/>
          <w:sz w:val="18"/>
        </w:rPr>
        <w:t>mployers’ deficit funding contributions are accounted for in accordance with the agreement under which they are being paid, or in the absence of an agreement on a receipt basis.</w:t>
      </w:r>
    </w:p>
    <w:p w:rsidR="00576F87" w:rsidRDefault="004165F5">
      <w:pPr>
        <w:pStyle w:val="Heading3"/>
        <w:spacing w:after="93"/>
        <w:ind w:left="0"/>
      </w:pPr>
      <w:r>
        <w:rPr>
          <w:sz w:val="18"/>
        </w:rPr>
        <w:t>Transfers to and from Other Schemes</w:t>
      </w:r>
    </w:p>
    <w:p w:rsidR="00576F87" w:rsidRDefault="004165F5">
      <w:pPr>
        <w:spacing w:after="253" w:line="268" w:lineRule="auto"/>
        <w:ind w:left="-7" w:hanging="3"/>
        <w:jc w:val="both"/>
      </w:pPr>
      <w:r>
        <w:rPr>
          <w:rFonts w:ascii="Verdana" w:eastAsia="Verdana" w:hAnsi="Verdana" w:cs="Verdana"/>
          <w:sz w:val="18"/>
        </w:rPr>
        <w:t xml:space="preserve">Individual transfers in/out are accounted </w:t>
      </w:r>
      <w:r>
        <w:rPr>
          <w:rFonts w:ascii="Verdana" w:eastAsia="Verdana" w:hAnsi="Verdana" w:cs="Verdana"/>
          <w:sz w:val="18"/>
        </w:rPr>
        <w:t>for when the receiving scheme agrees to accept the liability. The liability normally transfers when a payment is made, unless the receiving scheme has agreed to accept liability in advance of the receipt of funds.</w:t>
      </w:r>
    </w:p>
    <w:p w:rsidR="00576F87" w:rsidRDefault="004165F5">
      <w:pPr>
        <w:spacing w:after="281" w:line="268" w:lineRule="auto"/>
        <w:ind w:left="-7" w:hanging="3"/>
        <w:jc w:val="both"/>
      </w:pPr>
      <w:r>
        <w:rPr>
          <w:rFonts w:ascii="Verdana" w:eastAsia="Verdana" w:hAnsi="Verdana" w:cs="Verdana"/>
          <w:sz w:val="18"/>
        </w:rPr>
        <w:t>Transfers in from members wishing to use t</w:t>
      </w:r>
      <w:r>
        <w:rPr>
          <w:rFonts w:ascii="Verdana" w:eastAsia="Verdana" w:hAnsi="Verdana" w:cs="Verdana"/>
          <w:sz w:val="18"/>
        </w:rPr>
        <w:t>he proceeds of their additional voluntary contributions to purchase scheme benefits are accounted for on a receipts basis and included in Transfers in.</w:t>
      </w:r>
    </w:p>
    <w:p w:rsidR="00576F87" w:rsidRDefault="004165F5">
      <w:pPr>
        <w:spacing w:after="240" w:line="268" w:lineRule="auto"/>
        <w:ind w:left="-7" w:hanging="3"/>
        <w:jc w:val="both"/>
      </w:pPr>
      <w:r>
        <w:rPr>
          <w:rFonts w:ascii="Verdana" w:eastAsia="Verdana" w:hAnsi="Verdana" w:cs="Verdana"/>
          <w:sz w:val="18"/>
        </w:rPr>
        <w:t>Bulk transfers in/out, where the receiving scheme has agreed to accept the liability prior to receipt and the necessary employee consents have been obtained, are accounted for in accordance with the bulk transfer terms signed by qualified actuaries appoint</w:t>
      </w:r>
      <w:r>
        <w:rPr>
          <w:rFonts w:ascii="Verdana" w:eastAsia="Verdana" w:hAnsi="Verdana" w:cs="Verdana"/>
          <w:sz w:val="18"/>
        </w:rPr>
        <w:t>ed by the two pension schemes involved in the bulk transfer.</w:t>
      </w:r>
    </w:p>
    <w:p w:rsidR="00576F87" w:rsidRDefault="004165F5">
      <w:pPr>
        <w:spacing w:after="105"/>
        <w:ind w:left="5"/>
      </w:pPr>
      <w:r>
        <w:rPr>
          <w:rFonts w:ascii="Verdana" w:eastAsia="Verdana" w:hAnsi="Verdana" w:cs="Verdana"/>
          <w:b/>
          <w:color w:val="B8C42C"/>
          <w:sz w:val="18"/>
        </w:rPr>
        <w:t xml:space="preserve">Investment Income </w:t>
      </w:r>
    </w:p>
    <w:p w:rsidR="00576F87" w:rsidRDefault="004165F5">
      <w:pPr>
        <w:spacing w:after="98" w:line="268" w:lineRule="auto"/>
        <w:ind w:left="-7" w:hanging="3"/>
        <w:jc w:val="both"/>
      </w:pPr>
      <w:r>
        <w:rPr>
          <w:rFonts w:ascii="Verdana" w:eastAsia="Verdana" w:hAnsi="Verdana" w:cs="Verdana"/>
          <w:sz w:val="18"/>
        </w:rPr>
        <w:t>All investment income receipts and payments are accounted for on an accruals basis.</w:t>
      </w:r>
    </w:p>
    <w:p w:rsidR="00576F87" w:rsidRDefault="004165F5">
      <w:pPr>
        <w:spacing w:after="98" w:line="268" w:lineRule="auto"/>
        <w:ind w:left="-7" w:hanging="3"/>
        <w:jc w:val="both"/>
      </w:pPr>
      <w:r>
        <w:rPr>
          <w:rFonts w:ascii="Verdana" w:eastAsia="Verdana" w:hAnsi="Verdana" w:cs="Verdana"/>
          <w:sz w:val="18"/>
        </w:rPr>
        <w:t>Income from pooled investment vehicles accumulation units is not paid but is reinvested auto</w:t>
      </w:r>
      <w:r>
        <w:rPr>
          <w:rFonts w:ascii="Verdana" w:eastAsia="Verdana" w:hAnsi="Verdana" w:cs="Verdana"/>
          <w:sz w:val="18"/>
        </w:rPr>
        <w:t>matically.</w:t>
      </w:r>
    </w:p>
    <w:p w:rsidR="00576F87" w:rsidRDefault="004165F5">
      <w:pPr>
        <w:spacing w:after="98" w:line="268" w:lineRule="auto"/>
        <w:ind w:left="-7" w:hanging="3"/>
        <w:jc w:val="both"/>
      </w:pPr>
      <w:r>
        <w:rPr>
          <w:rFonts w:ascii="Verdana" w:eastAsia="Verdana" w:hAnsi="Verdana" w:cs="Verdana"/>
          <w:sz w:val="18"/>
        </w:rPr>
        <w:t>Investment market value changes comprise all realised and unrealised profits/losses during the year.</w:t>
      </w:r>
    </w:p>
    <w:p w:rsidR="00576F87" w:rsidRDefault="004165F5">
      <w:pPr>
        <w:spacing w:after="98" w:line="268" w:lineRule="auto"/>
        <w:ind w:left="-7" w:hanging="3"/>
        <w:jc w:val="both"/>
      </w:pPr>
      <w:r>
        <w:rPr>
          <w:rFonts w:ascii="Verdana" w:eastAsia="Verdana" w:hAnsi="Verdana" w:cs="Verdana"/>
          <w:sz w:val="18"/>
        </w:rPr>
        <w:t>Dividends and interest on quoted investments are accounted for when received or quoted ex dividend.</w:t>
      </w:r>
    </w:p>
    <w:p w:rsidR="00576F87" w:rsidRDefault="004165F5">
      <w:pPr>
        <w:spacing w:after="169" w:line="268" w:lineRule="auto"/>
        <w:ind w:left="-7" w:hanging="3"/>
        <w:jc w:val="both"/>
      </w:pPr>
      <w:r>
        <w:rPr>
          <w:rFonts w:ascii="Verdana" w:eastAsia="Verdana" w:hAnsi="Verdana" w:cs="Verdana"/>
          <w:sz w:val="18"/>
        </w:rPr>
        <w:t>Property-related income consists primarily o</w:t>
      </w:r>
      <w:r>
        <w:rPr>
          <w:rFonts w:ascii="Verdana" w:eastAsia="Verdana" w:hAnsi="Verdana" w:cs="Verdana"/>
          <w:sz w:val="18"/>
        </w:rPr>
        <w:t>f rental income.</w:t>
      </w:r>
    </w:p>
    <w:p w:rsidR="00576F87" w:rsidRDefault="004165F5">
      <w:pPr>
        <w:spacing w:after="290" w:line="268" w:lineRule="auto"/>
        <w:ind w:left="-7" w:hanging="3"/>
        <w:jc w:val="both"/>
      </w:pPr>
      <w:r>
        <w:rPr>
          <w:rFonts w:ascii="Verdana" w:eastAsia="Verdana" w:hAnsi="Verdana" w:cs="Verdana"/>
          <w:sz w:val="18"/>
        </w:rPr>
        <w:t>Rental income from operating leases on properties owned by the Fund is recognised on a straight line basis over the term of the lease. Any lease incentives granted are recognised as an integral part of the total rental income, over the ter</w:t>
      </w:r>
      <w:r>
        <w:rPr>
          <w:rFonts w:ascii="Verdana" w:eastAsia="Verdana" w:hAnsi="Verdana" w:cs="Verdana"/>
          <w:sz w:val="18"/>
        </w:rPr>
        <w:t>m of the lease.</w:t>
      </w:r>
    </w:p>
    <w:p w:rsidR="00576F87" w:rsidRDefault="004165F5">
      <w:pPr>
        <w:pStyle w:val="Heading3"/>
        <w:spacing w:after="93"/>
        <w:ind w:left="0"/>
      </w:pPr>
      <w:r>
        <w:rPr>
          <w:sz w:val="18"/>
        </w:rPr>
        <w:t>Taxation</w:t>
      </w:r>
    </w:p>
    <w:p w:rsidR="00576F87" w:rsidRDefault="004165F5">
      <w:pPr>
        <w:spacing w:after="5" w:line="268" w:lineRule="auto"/>
        <w:ind w:left="-7" w:hanging="3"/>
        <w:jc w:val="both"/>
      </w:pPr>
      <w:r>
        <w:rPr>
          <w:rFonts w:ascii="Verdana" w:eastAsia="Verdana" w:hAnsi="Verdana" w:cs="Verdana"/>
          <w:sz w:val="18"/>
        </w:rPr>
        <w:t xml:space="preserve">The Pension Fund is a registered public service scheme under Chapter 2 of Part 4 of the Finance Act 2004 and as such is exempt from UK income tax on interest received and from capital gains tax on the proceeds of investments sold. </w:t>
      </w:r>
      <w:r>
        <w:rPr>
          <w:rFonts w:ascii="Verdana" w:eastAsia="Verdana" w:hAnsi="Verdana" w:cs="Verdana"/>
          <w:sz w:val="18"/>
        </w:rPr>
        <w:t xml:space="preserve">Income from overseas investments suffers a withholding tax in the country of origin, unless exemption is permitted. Tax deducted in some European countries is recovered. </w:t>
      </w:r>
    </w:p>
    <w:p w:rsidR="00576F87" w:rsidRDefault="004165F5">
      <w:pPr>
        <w:pStyle w:val="Heading3"/>
        <w:spacing w:after="161"/>
        <w:ind w:left="0"/>
      </w:pPr>
      <w:r>
        <w:rPr>
          <w:sz w:val="18"/>
        </w:rPr>
        <w:t>Benefits</w:t>
      </w:r>
    </w:p>
    <w:p w:rsidR="00576F87" w:rsidRDefault="004165F5">
      <w:pPr>
        <w:spacing w:after="5" w:line="268" w:lineRule="auto"/>
        <w:ind w:left="-7" w:hanging="3"/>
        <w:jc w:val="both"/>
      </w:pPr>
      <w:r>
        <w:rPr>
          <w:rFonts w:ascii="Verdana" w:eastAsia="Verdana" w:hAnsi="Verdana" w:cs="Verdana"/>
          <w:sz w:val="18"/>
        </w:rPr>
        <w:t>Where members can choose whether to take their benefits as a full pension or</w:t>
      </w:r>
      <w:r>
        <w:rPr>
          <w:rFonts w:ascii="Verdana" w:eastAsia="Verdana" w:hAnsi="Verdana" w:cs="Verdana"/>
          <w:sz w:val="18"/>
        </w:rPr>
        <w:t xml:space="preserve"> as a lump sum with reduced pension, retirement benefits are accounted for on an accruals basis on the later of the date of retirement and the date the option is exercised.  </w:t>
      </w:r>
    </w:p>
    <w:p w:rsidR="00576F87" w:rsidRDefault="004165F5">
      <w:pPr>
        <w:spacing w:after="299" w:line="268" w:lineRule="auto"/>
        <w:ind w:left="-7" w:hanging="3"/>
        <w:jc w:val="both"/>
      </w:pPr>
      <w:r>
        <w:rPr>
          <w:rFonts w:ascii="Verdana" w:eastAsia="Verdana" w:hAnsi="Verdana" w:cs="Verdana"/>
          <w:sz w:val="18"/>
        </w:rPr>
        <w:t xml:space="preserve">Other benefits are accounted for on an accruals basis on the date of retirement, </w:t>
      </w:r>
      <w:r>
        <w:rPr>
          <w:rFonts w:ascii="Verdana" w:eastAsia="Verdana" w:hAnsi="Verdana" w:cs="Verdana"/>
          <w:sz w:val="18"/>
        </w:rPr>
        <w:t>death or leaving the Fund as appropriate.</w:t>
      </w:r>
    </w:p>
    <w:p w:rsidR="00576F87" w:rsidRDefault="004165F5">
      <w:pPr>
        <w:pStyle w:val="Heading3"/>
        <w:spacing w:after="117"/>
        <w:ind w:left="0"/>
      </w:pPr>
      <w:r>
        <w:rPr>
          <w:sz w:val="18"/>
        </w:rPr>
        <w:t>Management Expenses</w:t>
      </w:r>
    </w:p>
    <w:p w:rsidR="00576F87" w:rsidRDefault="004165F5">
      <w:pPr>
        <w:spacing w:after="224" w:line="268" w:lineRule="auto"/>
        <w:ind w:left="-7" w:hanging="3"/>
        <w:jc w:val="both"/>
      </w:pPr>
      <w:r>
        <w:rPr>
          <w:rFonts w:ascii="Verdana" w:eastAsia="Verdana" w:hAnsi="Verdana" w:cs="Verdana"/>
          <w:sz w:val="18"/>
        </w:rPr>
        <w:t>Although not a requirement of the code, pension fund administrative expenses are broken down to enhance transparency in accordance with the CIPFA guidance "Accounting for Local Government Pension Scheme Management Expenses (2016)", into the following categ</w:t>
      </w:r>
      <w:r>
        <w:rPr>
          <w:rFonts w:ascii="Verdana" w:eastAsia="Verdana" w:hAnsi="Verdana" w:cs="Verdana"/>
          <w:sz w:val="18"/>
        </w:rPr>
        <w:t>ories:</w:t>
      </w:r>
    </w:p>
    <w:p w:rsidR="00576F87" w:rsidRDefault="004165F5">
      <w:pPr>
        <w:numPr>
          <w:ilvl w:val="0"/>
          <w:numId w:val="12"/>
        </w:numPr>
        <w:spacing w:after="5" w:line="268" w:lineRule="auto"/>
        <w:ind w:hanging="396"/>
        <w:jc w:val="both"/>
      </w:pPr>
      <w:r>
        <w:rPr>
          <w:rFonts w:ascii="Verdana" w:eastAsia="Verdana" w:hAnsi="Verdana" w:cs="Verdana"/>
          <w:sz w:val="18"/>
        </w:rPr>
        <w:t>Administrative expenses</w:t>
      </w:r>
    </w:p>
    <w:p w:rsidR="00576F87" w:rsidRDefault="004165F5">
      <w:pPr>
        <w:numPr>
          <w:ilvl w:val="0"/>
          <w:numId w:val="12"/>
        </w:numPr>
        <w:spacing w:after="26" w:line="268" w:lineRule="auto"/>
        <w:ind w:hanging="396"/>
        <w:jc w:val="both"/>
      </w:pPr>
      <w:r>
        <w:rPr>
          <w:rFonts w:ascii="Verdana" w:eastAsia="Verdana" w:hAnsi="Verdana" w:cs="Verdana"/>
          <w:sz w:val="18"/>
        </w:rPr>
        <w:t>Oversight and governance costs</w:t>
      </w:r>
    </w:p>
    <w:p w:rsidR="00576F87" w:rsidRDefault="004165F5">
      <w:pPr>
        <w:numPr>
          <w:ilvl w:val="0"/>
          <w:numId w:val="12"/>
        </w:numPr>
        <w:spacing w:after="311" w:line="268" w:lineRule="auto"/>
        <w:ind w:hanging="396"/>
        <w:jc w:val="both"/>
      </w:pPr>
      <w:r>
        <w:rPr>
          <w:rFonts w:ascii="Verdana" w:eastAsia="Verdana" w:hAnsi="Verdana" w:cs="Verdana"/>
          <w:sz w:val="18"/>
        </w:rPr>
        <w:lastRenderedPageBreak/>
        <w:t>Investment management expenses</w:t>
      </w:r>
    </w:p>
    <w:p w:rsidR="00576F87" w:rsidRDefault="004165F5">
      <w:pPr>
        <w:spacing w:after="65" w:line="268" w:lineRule="auto"/>
        <w:ind w:left="-7" w:hanging="3"/>
        <w:jc w:val="both"/>
      </w:pPr>
      <w:r>
        <w:rPr>
          <w:rFonts w:ascii="Verdana" w:eastAsia="Verdana" w:hAnsi="Verdana" w:cs="Verdana"/>
          <w:sz w:val="18"/>
        </w:rPr>
        <w:t>Administration expenses consist of the following:</w:t>
      </w:r>
    </w:p>
    <w:p w:rsidR="00576F87" w:rsidRDefault="004165F5">
      <w:pPr>
        <w:numPr>
          <w:ilvl w:val="0"/>
          <w:numId w:val="12"/>
        </w:numPr>
        <w:spacing w:after="29" w:line="268" w:lineRule="auto"/>
        <w:ind w:hanging="396"/>
        <w:jc w:val="both"/>
      </w:pPr>
      <w:r>
        <w:rPr>
          <w:rFonts w:ascii="Verdana" w:eastAsia="Verdana" w:hAnsi="Verdana" w:cs="Verdana"/>
          <w:sz w:val="18"/>
        </w:rPr>
        <w:t>Expenses related to LGPS members and pensioners. These include all activities the pension scheme must perform to administer entitlements and provide members with scheme and benefit entitlement information. Examples of this include pension allocations, bene</w:t>
      </w:r>
      <w:r>
        <w:rPr>
          <w:rFonts w:ascii="Verdana" w:eastAsia="Verdana" w:hAnsi="Verdana" w:cs="Verdana"/>
          <w:sz w:val="18"/>
        </w:rPr>
        <w:t xml:space="preserve">fit estimates, payment of benefits, processing of the transfer of assets, commutation, communications with members and pensioners, and annual benefit statements; </w:t>
      </w:r>
    </w:p>
    <w:p w:rsidR="00576F87" w:rsidRDefault="004165F5">
      <w:pPr>
        <w:numPr>
          <w:ilvl w:val="0"/>
          <w:numId w:val="12"/>
        </w:numPr>
        <w:spacing w:after="307" w:line="268" w:lineRule="auto"/>
        <w:ind w:hanging="396"/>
        <w:jc w:val="both"/>
      </w:pPr>
      <w:r>
        <w:rPr>
          <w:rFonts w:ascii="Verdana" w:eastAsia="Verdana" w:hAnsi="Verdana" w:cs="Verdana"/>
          <w:sz w:val="18"/>
        </w:rPr>
        <w:t xml:space="preserve">Expenses related to interaction with scheme employers e.g. data collection and verification, </w:t>
      </w:r>
      <w:r>
        <w:rPr>
          <w:rFonts w:ascii="Verdana" w:eastAsia="Verdana" w:hAnsi="Verdana" w:cs="Verdana"/>
          <w:sz w:val="18"/>
        </w:rPr>
        <w:t xml:space="preserve">contributions collection and reconciliation, the employer’s help desk or other employer support, and communications with employers; and </w:t>
      </w:r>
    </w:p>
    <w:p w:rsidR="00576F87" w:rsidRDefault="004165F5">
      <w:pPr>
        <w:numPr>
          <w:ilvl w:val="0"/>
          <w:numId w:val="12"/>
        </w:numPr>
        <w:spacing w:after="155" w:line="268" w:lineRule="auto"/>
        <w:ind w:hanging="396"/>
        <w:jc w:val="both"/>
      </w:pPr>
      <w:r>
        <w:rPr>
          <w:rFonts w:ascii="Verdana" w:eastAsia="Verdana" w:hAnsi="Verdana" w:cs="Verdana"/>
          <w:sz w:val="18"/>
        </w:rPr>
        <w:t xml:space="preserve">Associated project expenses. </w:t>
      </w:r>
    </w:p>
    <w:p w:rsidR="00576F87" w:rsidRDefault="004165F5">
      <w:pPr>
        <w:spacing w:after="154" w:line="268" w:lineRule="auto"/>
        <w:ind w:left="-7" w:hanging="3"/>
        <w:jc w:val="both"/>
      </w:pPr>
      <w:r>
        <w:rPr>
          <w:rFonts w:ascii="Verdana" w:eastAsia="Verdana" w:hAnsi="Verdana" w:cs="Verdana"/>
          <w:sz w:val="18"/>
        </w:rPr>
        <w:t xml:space="preserve">Oversight and governance expenses include the following costs: </w:t>
      </w:r>
    </w:p>
    <w:p w:rsidR="00576F87" w:rsidRDefault="004165F5">
      <w:pPr>
        <w:numPr>
          <w:ilvl w:val="0"/>
          <w:numId w:val="12"/>
        </w:numPr>
        <w:spacing w:after="38" w:line="268" w:lineRule="auto"/>
        <w:ind w:hanging="396"/>
        <w:jc w:val="both"/>
      </w:pPr>
      <w:r>
        <w:rPr>
          <w:rFonts w:ascii="Verdana" w:eastAsia="Verdana" w:hAnsi="Verdana" w:cs="Verdana"/>
          <w:sz w:val="18"/>
        </w:rPr>
        <w:t xml:space="preserve">Investment advisory services (strategic allocation, manager monitoring etc.); </w:t>
      </w:r>
    </w:p>
    <w:p w:rsidR="00576F87" w:rsidRDefault="004165F5">
      <w:pPr>
        <w:numPr>
          <w:ilvl w:val="0"/>
          <w:numId w:val="12"/>
        </w:numPr>
        <w:spacing w:after="35" w:line="268" w:lineRule="auto"/>
        <w:ind w:hanging="396"/>
        <w:jc w:val="both"/>
      </w:pPr>
      <w:r>
        <w:rPr>
          <w:rFonts w:ascii="Verdana" w:eastAsia="Verdana" w:hAnsi="Verdana" w:cs="Verdana"/>
          <w:sz w:val="18"/>
        </w:rPr>
        <w:t xml:space="preserve">Independent advisors to the pension fund; </w:t>
      </w:r>
    </w:p>
    <w:p w:rsidR="00576F87" w:rsidRDefault="004165F5">
      <w:pPr>
        <w:numPr>
          <w:ilvl w:val="0"/>
          <w:numId w:val="12"/>
        </w:numPr>
        <w:spacing w:after="122" w:line="268" w:lineRule="auto"/>
        <w:ind w:hanging="396"/>
        <w:jc w:val="both"/>
      </w:pPr>
      <w:r>
        <w:rPr>
          <w:rFonts w:ascii="Verdana" w:eastAsia="Verdana" w:hAnsi="Verdana" w:cs="Verdana"/>
          <w:sz w:val="18"/>
        </w:rPr>
        <w:t>Operation and support of the pensions committee (i.e. those charged with governance of the pension fund), local pensions board, or any</w:t>
      </w:r>
      <w:r>
        <w:rPr>
          <w:rFonts w:ascii="Verdana" w:eastAsia="Verdana" w:hAnsi="Verdana" w:cs="Verdana"/>
          <w:sz w:val="18"/>
        </w:rPr>
        <w:t xml:space="preserve"> other oversight body; </w:t>
      </w:r>
    </w:p>
    <w:p w:rsidR="00576F87" w:rsidRDefault="004165F5">
      <w:pPr>
        <w:numPr>
          <w:ilvl w:val="0"/>
          <w:numId w:val="12"/>
        </w:numPr>
        <w:spacing w:after="5" w:line="268" w:lineRule="auto"/>
        <w:ind w:hanging="396"/>
        <w:jc w:val="both"/>
      </w:pPr>
      <w:r>
        <w:rPr>
          <w:rFonts w:ascii="Verdana" w:eastAsia="Verdana" w:hAnsi="Verdana" w:cs="Verdana"/>
          <w:sz w:val="18"/>
        </w:rPr>
        <w:t xml:space="preserve">Governance and voting services; </w:t>
      </w:r>
    </w:p>
    <w:p w:rsidR="00576F87" w:rsidRDefault="004165F5">
      <w:pPr>
        <w:numPr>
          <w:ilvl w:val="0"/>
          <w:numId w:val="12"/>
        </w:numPr>
        <w:spacing w:after="325" w:line="268" w:lineRule="auto"/>
        <w:ind w:hanging="396"/>
        <w:jc w:val="both"/>
      </w:pPr>
      <w:r>
        <w:rPr>
          <w:rFonts w:ascii="Verdana" w:eastAsia="Verdana" w:hAnsi="Verdana" w:cs="Verdana"/>
          <w:sz w:val="18"/>
        </w:rPr>
        <w:t xml:space="preserve">Costs of compliance with statutory or non-statutory internal or external reporting (annual reports and accounts, etc.); </w:t>
      </w:r>
    </w:p>
    <w:p w:rsidR="00576F87" w:rsidRDefault="004165F5">
      <w:pPr>
        <w:spacing w:after="29"/>
      </w:pPr>
      <w:r>
        <w:rPr>
          <w:rFonts w:ascii="Verdana" w:eastAsia="Verdana" w:hAnsi="Verdana" w:cs="Verdana"/>
          <w:i/>
          <w:sz w:val="18"/>
        </w:rPr>
        <w:t>Investment management fees</w:t>
      </w:r>
    </w:p>
    <w:p w:rsidR="00576F87" w:rsidRDefault="004165F5">
      <w:pPr>
        <w:spacing w:after="5" w:line="268" w:lineRule="auto"/>
        <w:ind w:left="-7" w:hanging="3"/>
        <w:jc w:val="both"/>
      </w:pPr>
      <w:r>
        <w:rPr>
          <w:rFonts w:ascii="Verdana" w:eastAsia="Verdana" w:hAnsi="Verdana" w:cs="Verdana"/>
          <w:sz w:val="18"/>
        </w:rPr>
        <w:t>Investment management expenses are expenses incurre</w:t>
      </w:r>
      <w:r>
        <w:rPr>
          <w:rFonts w:ascii="Verdana" w:eastAsia="Verdana" w:hAnsi="Verdana" w:cs="Verdana"/>
          <w:sz w:val="18"/>
        </w:rPr>
        <w:t>d in relation to the management of pension fund assets and financial instruments entered into in relation to the management of fund assets. In accordance with the CIPFA guide local government pension management expenses 2016, this includes expenses directl</w:t>
      </w:r>
      <w:r>
        <w:rPr>
          <w:rFonts w:ascii="Verdana" w:eastAsia="Verdana" w:hAnsi="Verdana" w:cs="Verdana"/>
          <w:sz w:val="18"/>
        </w:rPr>
        <w:t>y invoiced by investment managers and any fees payable to fund managers which are deducted from fund assets. Transaction costs for all categories of investment, other than directly held property, are included within investment management expenses.</w:t>
      </w:r>
    </w:p>
    <w:p w:rsidR="00576F87" w:rsidRDefault="004165F5">
      <w:pPr>
        <w:spacing w:after="5" w:line="268" w:lineRule="auto"/>
        <w:ind w:left="-7" w:hanging="3"/>
        <w:jc w:val="both"/>
      </w:pPr>
      <w:r>
        <w:rPr>
          <w:rFonts w:ascii="Verdana" w:eastAsia="Verdana" w:hAnsi="Verdana" w:cs="Verdana"/>
          <w:sz w:val="18"/>
        </w:rPr>
        <w:t>Local Pe</w:t>
      </w:r>
      <w:r>
        <w:rPr>
          <w:rFonts w:ascii="Verdana" w:eastAsia="Verdana" w:hAnsi="Verdana" w:cs="Verdana"/>
          <w:sz w:val="18"/>
        </w:rPr>
        <w:t>nsions Partnership Investments Limited is responsible for managing all investment managers. Fees of the investment managers and custodian are agreed in the respective mandates governing their appointments. Broadly these are based on the market value of the</w:t>
      </w:r>
      <w:r>
        <w:rPr>
          <w:rFonts w:ascii="Verdana" w:eastAsia="Verdana" w:hAnsi="Verdana" w:cs="Verdana"/>
          <w:sz w:val="18"/>
        </w:rPr>
        <w:t xml:space="preserve"> investments under management and there is also a fee payable based on a percentage of out-performance against an agreed benchmark, for some managers.</w:t>
      </w:r>
    </w:p>
    <w:p w:rsidR="00576F87" w:rsidRDefault="004165F5">
      <w:pPr>
        <w:pStyle w:val="Heading3"/>
        <w:spacing w:after="20"/>
        <w:ind w:left="0"/>
      </w:pPr>
      <w:r>
        <w:rPr>
          <w:sz w:val="18"/>
        </w:rPr>
        <w:t>Financial Assets</w:t>
      </w:r>
    </w:p>
    <w:p w:rsidR="00576F87" w:rsidRDefault="004165F5">
      <w:pPr>
        <w:spacing w:after="50" w:line="268" w:lineRule="auto"/>
        <w:ind w:left="-7" w:hanging="3"/>
        <w:jc w:val="both"/>
      </w:pPr>
      <w:r>
        <w:rPr>
          <w:rFonts w:ascii="Verdana" w:eastAsia="Verdana" w:hAnsi="Verdana" w:cs="Verdana"/>
          <w:sz w:val="18"/>
        </w:rPr>
        <w:t>Financial assets are included in the net asset statement on a fair value basis as at the</w:t>
      </w:r>
      <w:r>
        <w:rPr>
          <w:rFonts w:ascii="Verdana" w:eastAsia="Verdana" w:hAnsi="Verdana" w:cs="Verdana"/>
          <w:sz w:val="18"/>
        </w:rPr>
        <w:t xml:space="preserve"> reporting date. The asset is recognised in the net assets statement on the date the fund becomes party to the contractual acquisition of the asset. From this date any gains or losses arising from changes in the fair value are recognised by the Fund.</w:t>
      </w:r>
    </w:p>
    <w:p w:rsidR="00576F87" w:rsidRDefault="004165F5">
      <w:pPr>
        <w:spacing w:after="5" w:line="268" w:lineRule="auto"/>
        <w:ind w:left="-7" w:hanging="3"/>
        <w:jc w:val="both"/>
      </w:pPr>
      <w:r>
        <w:rPr>
          <w:rFonts w:ascii="Verdana" w:eastAsia="Verdana" w:hAnsi="Verdana" w:cs="Verdana"/>
          <w:sz w:val="18"/>
        </w:rPr>
        <w:t>The f</w:t>
      </w:r>
      <w:r>
        <w:rPr>
          <w:rFonts w:ascii="Verdana" w:eastAsia="Verdana" w:hAnsi="Verdana" w:cs="Verdana"/>
          <w:sz w:val="18"/>
        </w:rPr>
        <w:t>air value is established in accordance with IFRS 13 for each category of investment by obtaining sufficient data as follows:</w:t>
      </w:r>
    </w:p>
    <w:p w:rsidR="00576F87" w:rsidRDefault="004165F5">
      <w:pPr>
        <w:spacing w:after="157" w:line="268" w:lineRule="auto"/>
        <w:ind w:left="-7" w:hanging="3"/>
        <w:jc w:val="both"/>
      </w:pPr>
      <w:r>
        <w:rPr>
          <w:rFonts w:ascii="Verdana" w:eastAsia="Verdana" w:hAnsi="Verdana" w:cs="Verdana"/>
          <w:sz w:val="18"/>
        </w:rPr>
        <w:t>Market-quoted investments are valued on the basis of the bid price (or, if unavailable, most recent transaction) on the relevant st</w:t>
      </w:r>
      <w:r>
        <w:rPr>
          <w:rFonts w:ascii="Verdana" w:eastAsia="Verdana" w:hAnsi="Verdana" w:cs="Verdana"/>
          <w:sz w:val="18"/>
        </w:rPr>
        <w:t xml:space="preserve">ock market. </w:t>
      </w:r>
    </w:p>
    <w:p w:rsidR="00576F87" w:rsidRDefault="004165F5">
      <w:pPr>
        <w:spacing w:after="69" w:line="268" w:lineRule="auto"/>
        <w:ind w:left="-7" w:hanging="3"/>
        <w:jc w:val="both"/>
      </w:pPr>
      <w:r>
        <w:rPr>
          <w:rFonts w:ascii="Verdana" w:eastAsia="Verdana" w:hAnsi="Verdana" w:cs="Verdana"/>
          <w:sz w:val="18"/>
        </w:rPr>
        <w:t>Fixed interest securities are recorded at net market value based on their current yields.</w:t>
      </w:r>
    </w:p>
    <w:p w:rsidR="00576F87" w:rsidRDefault="004165F5">
      <w:pPr>
        <w:spacing w:after="192" w:line="268" w:lineRule="auto"/>
        <w:ind w:left="-7" w:hanging="3"/>
        <w:jc w:val="both"/>
      </w:pPr>
      <w:r>
        <w:rPr>
          <w:rFonts w:ascii="Verdana" w:eastAsia="Verdana" w:hAnsi="Verdana" w:cs="Verdana"/>
          <w:sz w:val="18"/>
        </w:rPr>
        <w:t>Unquoted securities are valued by the fund managers at the year-end in accordance with generally accepted guidelines. Unquoted private equities are valued by the investment managers using guidelines of the British Venture Capital Association. This includes</w:t>
      </w:r>
      <w:r>
        <w:rPr>
          <w:rFonts w:ascii="Verdana" w:eastAsia="Verdana" w:hAnsi="Verdana" w:cs="Verdana"/>
          <w:sz w:val="18"/>
        </w:rPr>
        <w:t xml:space="preserve"> the use of discounted cash flow models which are independently audited.  </w:t>
      </w:r>
    </w:p>
    <w:p w:rsidR="00576F87" w:rsidRDefault="004165F5">
      <w:pPr>
        <w:spacing w:after="269" w:line="268" w:lineRule="auto"/>
        <w:ind w:left="-7" w:hanging="3"/>
        <w:jc w:val="both"/>
      </w:pPr>
      <w:r>
        <w:rPr>
          <w:rFonts w:ascii="Verdana" w:eastAsia="Verdana" w:hAnsi="Verdana" w:cs="Verdana"/>
          <w:sz w:val="18"/>
        </w:rPr>
        <w:t>Pooled investment vehicles are valued at the closing price under single pricing system, or bid price under dual pricing system, as advised by the respective fund manager.</w:t>
      </w:r>
    </w:p>
    <w:p w:rsidR="00576F87" w:rsidRDefault="004165F5">
      <w:pPr>
        <w:spacing w:after="199" w:line="268" w:lineRule="auto"/>
        <w:ind w:left="-7" w:hanging="3"/>
        <w:jc w:val="both"/>
      </w:pPr>
      <w:r>
        <w:rPr>
          <w:rFonts w:ascii="Verdana" w:eastAsia="Verdana" w:hAnsi="Verdana" w:cs="Verdana"/>
          <w:sz w:val="18"/>
        </w:rPr>
        <w:lastRenderedPageBreak/>
        <w:t>Investment</w:t>
      </w:r>
      <w:r>
        <w:rPr>
          <w:rFonts w:ascii="Verdana" w:eastAsia="Verdana" w:hAnsi="Verdana" w:cs="Verdana"/>
          <w:sz w:val="18"/>
        </w:rPr>
        <w:t xml:space="preserve"> assets are allocated and disclosed within the fair value hierarchy, being within levels 1, 2 or 3.</w:t>
      </w:r>
    </w:p>
    <w:p w:rsidR="00576F87" w:rsidRDefault="004165F5">
      <w:pPr>
        <w:pStyle w:val="Heading3"/>
        <w:spacing w:after="93"/>
        <w:ind w:left="0"/>
      </w:pPr>
      <w:r>
        <w:rPr>
          <w:sz w:val="18"/>
        </w:rPr>
        <w:t>Property valuation</w:t>
      </w:r>
    </w:p>
    <w:p w:rsidR="00576F87" w:rsidRDefault="004165F5">
      <w:pPr>
        <w:spacing w:after="69" w:line="268" w:lineRule="auto"/>
        <w:ind w:left="-7" w:hanging="3"/>
        <w:jc w:val="both"/>
      </w:pPr>
      <w:r>
        <w:rPr>
          <w:rFonts w:ascii="Verdana" w:eastAsia="Verdana" w:hAnsi="Verdana" w:cs="Verdana"/>
          <w:sz w:val="18"/>
        </w:rPr>
        <w:t>Directly held freehold properties are included at the open market value as at the year-end. The directly held property was valued at open</w:t>
      </w:r>
      <w:r>
        <w:rPr>
          <w:rFonts w:ascii="Verdana" w:eastAsia="Verdana" w:hAnsi="Verdana" w:cs="Verdana"/>
          <w:sz w:val="18"/>
        </w:rPr>
        <w:t xml:space="preserve"> market value at 31 March 2018 by an independent valuer, GVA Grimely Limited ('GVA'). The Properties have been valued individually on the basis of Fair Value, in accordance with the RICS Valuation – Global Standards 2017. VPGA 1 - Valuations for inclusion </w:t>
      </w:r>
      <w:r>
        <w:rPr>
          <w:rFonts w:ascii="Verdana" w:eastAsia="Verdana" w:hAnsi="Verdana" w:cs="Verdana"/>
          <w:sz w:val="18"/>
        </w:rPr>
        <w:t xml:space="preserve">in financial statements which adopts the definition of Fair Value adopted by the International Accounting Standards Board (IASB) in IFRS 13. This is an internationally recognised basis and is defined as: “The price that would be received to sell an asset, </w:t>
      </w:r>
      <w:r>
        <w:rPr>
          <w:rFonts w:ascii="Verdana" w:eastAsia="Verdana" w:hAnsi="Verdana" w:cs="Verdana"/>
          <w:sz w:val="18"/>
        </w:rPr>
        <w:t>or paid to transfer a liability, in an orderly transaction between market participants at the measurement date.”</w:t>
      </w:r>
    </w:p>
    <w:p w:rsidR="00576F87" w:rsidRDefault="004165F5">
      <w:pPr>
        <w:spacing w:after="5" w:line="268" w:lineRule="auto"/>
        <w:ind w:left="-7" w:hanging="3"/>
        <w:jc w:val="both"/>
      </w:pPr>
      <w:r>
        <w:rPr>
          <w:rFonts w:ascii="Verdana" w:eastAsia="Verdana" w:hAnsi="Verdana" w:cs="Verdana"/>
          <w:sz w:val="18"/>
        </w:rPr>
        <w:t>GVA regards Fair Value as Identical to Market Value, defined within the Global Valuation Standards as:-</w:t>
      </w:r>
    </w:p>
    <w:p w:rsidR="00576F87" w:rsidRDefault="004165F5">
      <w:pPr>
        <w:spacing w:after="273" w:line="268" w:lineRule="auto"/>
        <w:ind w:left="-7" w:hanging="3"/>
        <w:jc w:val="both"/>
      </w:pPr>
      <w:r>
        <w:rPr>
          <w:rFonts w:ascii="Verdana" w:eastAsia="Verdana" w:hAnsi="Verdana" w:cs="Verdana"/>
          <w:sz w:val="18"/>
        </w:rPr>
        <w:t>The estimated amount for which a proper</w:t>
      </w:r>
      <w:r>
        <w:rPr>
          <w:rFonts w:ascii="Verdana" w:eastAsia="Verdana" w:hAnsi="Verdana" w:cs="Verdana"/>
          <w:sz w:val="18"/>
        </w:rPr>
        <w:t>ty should exchange on the date of valuation between a willing buyer and willing seller in an arm’s length transaction after proper marketing wherein the parties had each acted knowledgeably, prudently and without compulsion.</w:t>
      </w:r>
    </w:p>
    <w:p w:rsidR="00576F87" w:rsidRDefault="004165F5">
      <w:pPr>
        <w:pStyle w:val="Heading3"/>
        <w:spacing w:after="54"/>
        <w:ind w:left="0"/>
      </w:pPr>
      <w:r>
        <w:rPr>
          <w:sz w:val="18"/>
        </w:rPr>
        <w:t>Cash and Cash Equivalents</w:t>
      </w:r>
    </w:p>
    <w:p w:rsidR="00576F87" w:rsidRDefault="004165F5">
      <w:pPr>
        <w:spacing w:after="201" w:line="268" w:lineRule="auto"/>
        <w:ind w:left="-7" w:hanging="3"/>
        <w:jc w:val="both"/>
      </w:pPr>
      <w:r>
        <w:rPr>
          <w:rFonts w:ascii="Verdana" w:eastAsia="Verdana" w:hAnsi="Verdana" w:cs="Verdana"/>
          <w:sz w:val="18"/>
        </w:rPr>
        <w:t>notic</w:t>
      </w:r>
      <w:r>
        <w:rPr>
          <w:rFonts w:ascii="Verdana" w:eastAsia="Verdana" w:hAnsi="Verdana" w:cs="Verdana"/>
          <w:sz w:val="18"/>
        </w:rPr>
        <w:t>e of not more than 24 hours. Cash equivalents are investments that mature in three months or less from the date of acquisition and that are readily convertible to known amounts of cash without significant risk of change in value.</w:t>
      </w:r>
    </w:p>
    <w:p w:rsidR="00576F87" w:rsidRDefault="004165F5">
      <w:pPr>
        <w:pStyle w:val="Heading3"/>
        <w:spacing w:after="61"/>
        <w:ind w:left="0"/>
      </w:pPr>
      <w:r>
        <w:rPr>
          <w:sz w:val="18"/>
        </w:rPr>
        <w:t xml:space="preserve">Foreign Currencies </w:t>
      </w:r>
    </w:p>
    <w:p w:rsidR="00576F87" w:rsidRDefault="004165F5">
      <w:pPr>
        <w:spacing w:after="63" w:line="268" w:lineRule="auto"/>
        <w:ind w:left="-7" w:hanging="3"/>
        <w:jc w:val="both"/>
      </w:pPr>
      <w:r>
        <w:rPr>
          <w:rFonts w:ascii="Verdana" w:eastAsia="Verdana" w:hAnsi="Verdana" w:cs="Verdana"/>
          <w:sz w:val="18"/>
        </w:rPr>
        <w:t xml:space="preserve">Assets and liabilities in foreign currencies are expressed in sterling at the rates of exchange ruling at the year-end. </w:t>
      </w:r>
    </w:p>
    <w:p w:rsidR="00576F87" w:rsidRDefault="004165F5">
      <w:pPr>
        <w:spacing w:after="158" w:line="268" w:lineRule="auto"/>
        <w:ind w:left="-7" w:hanging="3"/>
        <w:jc w:val="both"/>
      </w:pPr>
      <w:r>
        <w:rPr>
          <w:rFonts w:ascii="Verdana" w:eastAsia="Verdana" w:hAnsi="Verdana" w:cs="Verdana"/>
          <w:sz w:val="18"/>
        </w:rPr>
        <w:t>Foreign currency transactions are translated to sterling at the spot exchange rate at the date of the transaction.</w:t>
      </w:r>
    </w:p>
    <w:p w:rsidR="00576F87" w:rsidRDefault="004165F5">
      <w:pPr>
        <w:spacing w:after="5" w:line="268" w:lineRule="auto"/>
        <w:ind w:left="-7" w:hanging="3"/>
        <w:jc w:val="both"/>
      </w:pPr>
      <w:r>
        <w:rPr>
          <w:rFonts w:ascii="Verdana" w:eastAsia="Verdana" w:hAnsi="Verdana" w:cs="Verdana"/>
          <w:sz w:val="18"/>
        </w:rPr>
        <w:t>Gains and losses ari</w:t>
      </w:r>
      <w:r>
        <w:rPr>
          <w:rFonts w:ascii="Verdana" w:eastAsia="Verdana" w:hAnsi="Verdana" w:cs="Verdana"/>
          <w:sz w:val="18"/>
        </w:rPr>
        <w:t xml:space="preserve">sing on conversion or translation are dealt with as part of the change in market value. </w:t>
      </w:r>
    </w:p>
    <w:p w:rsidR="00576F87" w:rsidRDefault="004165F5">
      <w:pPr>
        <w:pStyle w:val="Heading3"/>
        <w:ind w:left="5"/>
      </w:pPr>
      <w:r>
        <w:t>Derivatives</w:t>
      </w:r>
    </w:p>
    <w:p w:rsidR="00576F87" w:rsidRDefault="004165F5">
      <w:pPr>
        <w:spacing w:after="42" w:line="268" w:lineRule="auto"/>
        <w:ind w:left="-7" w:hanging="3"/>
        <w:jc w:val="both"/>
      </w:pPr>
      <w:r>
        <w:rPr>
          <w:rFonts w:ascii="Verdana" w:eastAsia="Verdana" w:hAnsi="Verdana" w:cs="Verdana"/>
          <w:sz w:val="18"/>
        </w:rPr>
        <w:t>Derivative contract assets are fair valued at bid prices and liabilities are fair valued at offer prices. Derivative contracts’ changes in fair value are i</w:t>
      </w:r>
      <w:r>
        <w:rPr>
          <w:rFonts w:ascii="Verdana" w:eastAsia="Verdana" w:hAnsi="Verdana" w:cs="Verdana"/>
          <w:sz w:val="18"/>
        </w:rPr>
        <w:t>ncluded in change in market value.</w:t>
      </w:r>
    </w:p>
    <w:p w:rsidR="00576F87" w:rsidRDefault="004165F5">
      <w:pPr>
        <w:spacing w:after="5" w:line="268" w:lineRule="auto"/>
        <w:ind w:left="-7" w:hanging="3"/>
        <w:jc w:val="both"/>
      </w:pPr>
      <w:r>
        <w:rPr>
          <w:rFonts w:ascii="Verdana" w:eastAsia="Verdana" w:hAnsi="Verdana" w:cs="Verdana"/>
          <w:sz w:val="18"/>
        </w:rPr>
        <w:t xml:space="preserve">Futures contracts’ value is determined using exchange prices at the reporting date.  </w:t>
      </w:r>
    </w:p>
    <w:p w:rsidR="00576F87" w:rsidRDefault="004165F5">
      <w:pPr>
        <w:spacing w:after="86" w:line="268" w:lineRule="auto"/>
        <w:ind w:left="-7" w:hanging="3"/>
        <w:jc w:val="both"/>
      </w:pPr>
      <w:r>
        <w:rPr>
          <w:rFonts w:ascii="Verdana" w:eastAsia="Verdana" w:hAnsi="Verdana" w:cs="Verdana"/>
          <w:sz w:val="18"/>
        </w:rPr>
        <w:t>Exchange traded options’ value is determined using the exchange price for closing out the option at the reporting date. Over the counte</w:t>
      </w:r>
      <w:r>
        <w:rPr>
          <w:rFonts w:ascii="Verdana" w:eastAsia="Verdana" w:hAnsi="Verdana" w:cs="Verdana"/>
          <w:sz w:val="18"/>
        </w:rPr>
        <w:t>r (OTC) contract options’ value is determined by the investment manager using the Black Scholes pricing model.</w:t>
      </w:r>
    </w:p>
    <w:p w:rsidR="00576F87" w:rsidRDefault="004165F5">
      <w:pPr>
        <w:spacing w:after="50" w:line="268" w:lineRule="auto"/>
        <w:ind w:left="-7" w:hanging="3"/>
        <w:jc w:val="both"/>
      </w:pPr>
      <w:r>
        <w:rPr>
          <w:rFonts w:ascii="Verdana" w:eastAsia="Verdana" w:hAnsi="Verdana" w:cs="Verdana"/>
          <w:sz w:val="18"/>
        </w:rPr>
        <w:t xml:space="preserve">The future value of forward currency contracts is based on market forward exchange rates at the year-end date and determined as the gain or loss </w:t>
      </w:r>
      <w:r>
        <w:rPr>
          <w:rFonts w:ascii="Verdana" w:eastAsia="Verdana" w:hAnsi="Verdana" w:cs="Verdana"/>
          <w:sz w:val="18"/>
        </w:rPr>
        <w:t xml:space="preserve">that would arise if the outstanding contract were matched at the year end with an equal and opposite contract.  </w:t>
      </w:r>
    </w:p>
    <w:p w:rsidR="00576F87" w:rsidRDefault="004165F5">
      <w:pPr>
        <w:spacing w:after="342" w:line="268" w:lineRule="auto"/>
        <w:ind w:left="-7" w:hanging="3"/>
        <w:jc w:val="both"/>
      </w:pPr>
      <w:r>
        <w:rPr>
          <w:rFonts w:ascii="Verdana" w:eastAsia="Verdana" w:hAnsi="Verdana" w:cs="Verdana"/>
          <w:sz w:val="18"/>
        </w:rPr>
        <w:t>Fund managers invest on behalf of the LPFA in accordance with the Investment Management Agreement and the Statement of Investment Principles, s</w:t>
      </w:r>
      <w:r>
        <w:rPr>
          <w:rFonts w:ascii="Verdana" w:eastAsia="Verdana" w:hAnsi="Verdana" w:cs="Verdana"/>
          <w:sz w:val="18"/>
        </w:rPr>
        <w:t>ubject to the Local Government Pension Scheme (“LGPS”) guidelines (England and Wales).</w:t>
      </w:r>
    </w:p>
    <w:p w:rsidR="00576F87" w:rsidRDefault="004165F5">
      <w:pPr>
        <w:pStyle w:val="Heading3"/>
        <w:ind w:left="5"/>
      </w:pPr>
      <w:r>
        <w:t xml:space="preserve">Additional Voluntary Contributions (AVCs) </w:t>
      </w:r>
    </w:p>
    <w:p w:rsidR="00576F87" w:rsidRDefault="004165F5">
      <w:pPr>
        <w:spacing w:after="285" w:line="268" w:lineRule="auto"/>
        <w:ind w:left="-7" w:hanging="3"/>
        <w:jc w:val="both"/>
      </w:pPr>
      <w:r>
        <w:rPr>
          <w:rFonts w:ascii="Verdana" w:eastAsia="Verdana" w:hAnsi="Verdana" w:cs="Verdana"/>
          <w:sz w:val="18"/>
        </w:rPr>
        <w:t>AVCs are not included in the accounts in accordance with 4(2)(b) of The Local Government Pension Scheme (Management and Invest</w:t>
      </w:r>
      <w:r>
        <w:rPr>
          <w:rFonts w:ascii="Verdana" w:eastAsia="Verdana" w:hAnsi="Verdana" w:cs="Verdana"/>
          <w:sz w:val="18"/>
        </w:rPr>
        <w:t>ment of Funds) Regulations 2009 (SI 2009/3093) but are disclosed as a note only (Note 18). Contributions to AVCs are paid to the AVC providers by employers or contributors and are specifically for the provision of additional benefits for individual contrib</w:t>
      </w:r>
      <w:r>
        <w:rPr>
          <w:rFonts w:ascii="Verdana" w:eastAsia="Verdana" w:hAnsi="Verdana" w:cs="Verdana"/>
          <w:sz w:val="18"/>
        </w:rPr>
        <w:t xml:space="preserve">utors. </w:t>
      </w:r>
    </w:p>
    <w:p w:rsidR="00576F87" w:rsidRDefault="004165F5">
      <w:pPr>
        <w:pStyle w:val="Heading3"/>
        <w:spacing w:after="18"/>
        <w:ind w:left="5"/>
      </w:pPr>
      <w:r>
        <w:t>Financial liabilities</w:t>
      </w:r>
    </w:p>
    <w:p w:rsidR="00576F87" w:rsidRDefault="004165F5">
      <w:pPr>
        <w:spacing w:after="332" w:line="268" w:lineRule="auto"/>
        <w:ind w:left="-7" w:hanging="3"/>
        <w:jc w:val="both"/>
      </w:pPr>
      <w:r>
        <w:rPr>
          <w:rFonts w:ascii="Verdana" w:eastAsia="Verdana" w:hAnsi="Verdana" w:cs="Verdana"/>
          <w:sz w:val="18"/>
        </w:rPr>
        <w:t xml:space="preserve">Financial liabilities are included in the Fund account at fair value if they exist at the reporting date. A financial liability is recognised in the net assets statement on the date the Fund becomes party to a liability. From this date any gains or losses </w:t>
      </w:r>
      <w:r>
        <w:rPr>
          <w:rFonts w:ascii="Verdana" w:eastAsia="Verdana" w:hAnsi="Verdana" w:cs="Verdana"/>
          <w:sz w:val="18"/>
        </w:rPr>
        <w:t>arising from changes in the fair value of the liability are recognised by the Fund.</w:t>
      </w:r>
    </w:p>
    <w:p w:rsidR="00576F87" w:rsidRDefault="004165F5">
      <w:pPr>
        <w:pStyle w:val="Heading3"/>
        <w:ind w:left="5"/>
      </w:pPr>
      <w:r>
        <w:lastRenderedPageBreak/>
        <w:t>Actuarial present value of promised retirement benefits</w:t>
      </w:r>
    </w:p>
    <w:p w:rsidR="00576F87" w:rsidRDefault="004165F5">
      <w:pPr>
        <w:spacing w:after="169" w:line="268" w:lineRule="auto"/>
        <w:ind w:left="-7" w:hanging="3"/>
        <w:jc w:val="both"/>
      </w:pPr>
      <w:r>
        <w:rPr>
          <w:rFonts w:ascii="Verdana" w:eastAsia="Verdana" w:hAnsi="Verdana" w:cs="Verdana"/>
          <w:sz w:val="18"/>
        </w:rPr>
        <w:t>The actuarial value of promised retirement benefits is calculated in accordance with IAS 26, every year using the re</w:t>
      </w:r>
      <w:r>
        <w:rPr>
          <w:rFonts w:ascii="Verdana" w:eastAsia="Verdana" w:hAnsi="Verdana" w:cs="Verdana"/>
          <w:sz w:val="18"/>
        </w:rPr>
        <w:t>sults of the last Triennial Actuarial Valuation, estimated income and expenditure for the year, fund returns for the year and details of any new retirements for the year that have been paid out on an unreduced basis, which are not anticipated in the normal</w:t>
      </w:r>
      <w:r>
        <w:rPr>
          <w:rFonts w:ascii="Verdana" w:eastAsia="Verdana" w:hAnsi="Verdana" w:cs="Verdana"/>
          <w:sz w:val="18"/>
        </w:rPr>
        <w:t xml:space="preserve"> employer service cost.</w:t>
      </w:r>
    </w:p>
    <w:p w:rsidR="00576F87" w:rsidRDefault="004165F5">
      <w:pPr>
        <w:spacing w:after="354" w:line="268" w:lineRule="auto"/>
        <w:ind w:left="-7" w:hanging="3"/>
        <w:jc w:val="both"/>
      </w:pPr>
      <w:r>
        <w:rPr>
          <w:rFonts w:ascii="Verdana" w:eastAsia="Verdana" w:hAnsi="Verdana" w:cs="Verdana"/>
          <w:sz w:val="18"/>
        </w:rPr>
        <w:t>As permitted under the Code, the Fund has opted to disclose the actuarial present value of promised retirement benefits by way of a note to the net assets statement (note 26).</w:t>
      </w:r>
    </w:p>
    <w:p w:rsidR="00576F87" w:rsidRDefault="004165F5">
      <w:pPr>
        <w:pStyle w:val="Heading2"/>
        <w:spacing w:after="176" w:line="259" w:lineRule="auto"/>
        <w:ind w:left="3" w:hanging="8"/>
      </w:pPr>
      <w:r>
        <w:rPr>
          <w:sz w:val="24"/>
        </w:rPr>
        <w:t>4 Critical Accounting Estimates and Judgment</w:t>
      </w:r>
    </w:p>
    <w:p w:rsidR="00576F87" w:rsidRDefault="004165F5">
      <w:pPr>
        <w:pStyle w:val="Heading3"/>
        <w:spacing w:after="25"/>
        <w:ind w:left="0"/>
      </w:pPr>
      <w:r>
        <w:rPr>
          <w:sz w:val="18"/>
        </w:rPr>
        <w:t>Unquoted Private Equity, Hedge Funds, Property Funds and Infrastructure Investments</w:t>
      </w:r>
    </w:p>
    <w:p w:rsidR="00576F87" w:rsidRDefault="004165F5">
      <w:pPr>
        <w:spacing w:after="340" w:line="268" w:lineRule="auto"/>
        <w:ind w:left="-7" w:hanging="3"/>
        <w:jc w:val="both"/>
      </w:pPr>
      <w:r>
        <w:rPr>
          <w:rFonts w:ascii="Verdana" w:eastAsia="Verdana" w:hAnsi="Verdana" w:cs="Verdana"/>
          <w:sz w:val="18"/>
        </w:rPr>
        <w:t>It is important to recognise the highly subjective nature of determining the fair value of private equity and infrastructure investments. They are inherently based on forwa</w:t>
      </w:r>
      <w:r>
        <w:rPr>
          <w:rFonts w:ascii="Verdana" w:eastAsia="Verdana" w:hAnsi="Verdana" w:cs="Verdana"/>
          <w:sz w:val="18"/>
        </w:rPr>
        <w:t>rd-looking estimates and judgements involving factors which include the valuations of companies deemed comparable to the asset being valued, the future cash flow expectations and discount factors used. Unquoted private equities and infrastructure investmen</w:t>
      </w:r>
      <w:r>
        <w:rPr>
          <w:rFonts w:ascii="Verdana" w:eastAsia="Verdana" w:hAnsi="Verdana" w:cs="Verdana"/>
          <w:sz w:val="18"/>
        </w:rPr>
        <w:t xml:space="preserve">ts are valued by the investment managers using guidelines set out by the British Venture Capital Association or Institutional Limited Partners Association. Most private equity and infrastructure assets were transferred to a pooled vehicle during the year. </w:t>
      </w:r>
      <w:r>
        <w:rPr>
          <w:rFonts w:ascii="Verdana" w:eastAsia="Verdana" w:hAnsi="Verdana" w:cs="Verdana"/>
          <w:sz w:val="18"/>
        </w:rPr>
        <w:t>The value of unquoted private equities and infrastructure at 31 March 2018 was £1,104m (1,147m at 31 March 2017). There is a risk that these investments may be under or overstated in the accounts, although it is considered unlikely to have a material impac</w:t>
      </w:r>
      <w:r>
        <w:rPr>
          <w:rFonts w:ascii="Verdana" w:eastAsia="Verdana" w:hAnsi="Verdana" w:cs="Verdana"/>
          <w:sz w:val="18"/>
        </w:rPr>
        <w:t xml:space="preserve">t on the value of the Fund.    </w:t>
      </w:r>
    </w:p>
    <w:p w:rsidR="00576F87" w:rsidRDefault="004165F5">
      <w:pPr>
        <w:pStyle w:val="Heading3"/>
        <w:spacing w:after="48"/>
        <w:ind w:left="0"/>
      </w:pPr>
      <w:r>
        <w:rPr>
          <w:sz w:val="18"/>
        </w:rPr>
        <w:t>Pension Fund Liability</w:t>
      </w:r>
    </w:p>
    <w:p w:rsidR="00576F87" w:rsidRDefault="004165F5">
      <w:pPr>
        <w:spacing w:after="5" w:line="268" w:lineRule="auto"/>
        <w:ind w:left="-7" w:hanging="3"/>
        <w:jc w:val="both"/>
      </w:pPr>
      <w:r>
        <w:rPr>
          <w:rFonts w:ascii="Verdana" w:eastAsia="Verdana" w:hAnsi="Verdana" w:cs="Verdana"/>
          <w:sz w:val="18"/>
        </w:rPr>
        <w:t>The pension fund liability is calculated every three years by the appointed Actuary, with annual updates in the intervening years. The methodology used is in line with accepted guidelines and in accord</w:t>
      </w:r>
      <w:r>
        <w:rPr>
          <w:rFonts w:ascii="Verdana" w:eastAsia="Verdana" w:hAnsi="Verdana" w:cs="Verdana"/>
          <w:sz w:val="18"/>
        </w:rPr>
        <w:t>ance with IAS19 and IAS26. Assumptions underpinning the valuations are agreed with the Actuary and are summarised in the Actuarial Statement on page 56 of this report. This estimate is subject to significant variances based on changes to the underlying ass</w:t>
      </w:r>
      <w:r>
        <w:rPr>
          <w:rFonts w:ascii="Verdana" w:eastAsia="Verdana" w:hAnsi="Verdana" w:cs="Verdana"/>
          <w:sz w:val="18"/>
        </w:rPr>
        <w:t xml:space="preserve">umptions. </w:t>
      </w:r>
    </w:p>
    <w:p w:rsidR="00576F87" w:rsidRDefault="00576F87">
      <w:pPr>
        <w:sectPr w:rsidR="00576F87">
          <w:headerReference w:type="even" r:id="rId54"/>
          <w:headerReference w:type="default" r:id="rId55"/>
          <w:footerReference w:type="even" r:id="rId56"/>
          <w:footerReference w:type="default" r:id="rId57"/>
          <w:headerReference w:type="first" r:id="rId58"/>
          <w:footerReference w:type="first" r:id="rId59"/>
          <w:pgSz w:w="11900" w:h="16840"/>
          <w:pgMar w:top="1657" w:right="1038" w:bottom="1259" w:left="1068" w:header="1145" w:footer="510" w:gutter="0"/>
          <w:cols w:space="720"/>
        </w:sectPr>
      </w:pPr>
    </w:p>
    <w:p w:rsidR="00576F87" w:rsidRDefault="004165F5">
      <w:pPr>
        <w:pStyle w:val="Heading3"/>
        <w:spacing w:after="0"/>
        <w:ind w:left="5" w:hanging="8"/>
      </w:pPr>
      <w:r>
        <w:rPr>
          <w:color w:val="000000"/>
        </w:rPr>
        <w:lastRenderedPageBreak/>
        <w:t>5 Pension Fund Information</w:t>
      </w:r>
    </w:p>
    <w:p w:rsidR="00576F87" w:rsidRDefault="004165F5">
      <w:pPr>
        <w:spacing w:after="211" w:line="268" w:lineRule="auto"/>
        <w:ind w:left="-7" w:hanging="3"/>
        <w:jc w:val="both"/>
      </w:pPr>
      <w:r>
        <w:rPr>
          <w:rFonts w:ascii="Verdana" w:eastAsia="Verdana" w:hAnsi="Verdana" w:cs="Verdana"/>
          <w:sz w:val="18"/>
        </w:rPr>
        <w:t xml:space="preserve">The last full triennial valuation of the LPFA Fund was carried as at 31 March 2016 in accordance with the Funding Strategy Statement of the fund. The funding level was 96%. New contribution rates for employers following analysis of the 2016 valuation came </w:t>
      </w:r>
      <w:r>
        <w:rPr>
          <w:rFonts w:ascii="Verdana" w:eastAsia="Verdana" w:hAnsi="Verdana" w:cs="Verdana"/>
          <w:sz w:val="18"/>
        </w:rPr>
        <w:t>into effect from 1 April 2017. The rates are determined for each employer by the actuary to be sufficient to fund the annual cost of benefits and to clear the deficit.</w:t>
      </w:r>
    </w:p>
    <w:p w:rsidR="00576F87" w:rsidRDefault="004165F5">
      <w:pPr>
        <w:spacing w:after="406" w:line="268" w:lineRule="auto"/>
        <w:ind w:left="-7" w:hanging="3"/>
        <w:jc w:val="both"/>
      </w:pPr>
      <w:r>
        <w:rPr>
          <w:rFonts w:ascii="Verdana" w:eastAsia="Verdana" w:hAnsi="Verdana" w:cs="Verdana"/>
          <w:sz w:val="18"/>
        </w:rPr>
        <w:t>Details of the participating employer bodies and their individual contribution rates for</w:t>
      </w:r>
      <w:r>
        <w:rPr>
          <w:rFonts w:ascii="Verdana" w:eastAsia="Verdana" w:hAnsi="Verdana" w:cs="Verdana"/>
          <w:sz w:val="18"/>
        </w:rPr>
        <w:t xml:space="preserve"> the year ended 31 March 2018 are set out on pages 58-65. </w:t>
      </w:r>
    </w:p>
    <w:p w:rsidR="00576F87" w:rsidRDefault="004165F5">
      <w:pPr>
        <w:spacing w:after="5" w:line="268" w:lineRule="auto"/>
        <w:ind w:left="-7" w:hanging="3"/>
        <w:jc w:val="both"/>
      </w:pPr>
      <w:r>
        <w:rPr>
          <w:rFonts w:ascii="Verdana" w:eastAsia="Verdana" w:hAnsi="Verdana" w:cs="Verdana"/>
          <w:sz w:val="18"/>
        </w:rPr>
        <w:t>Employees pay contributions determined by their full time equivalent pay at the rates set out below:</w:t>
      </w:r>
    </w:p>
    <w:tbl>
      <w:tblPr>
        <w:tblStyle w:val="TableGrid"/>
        <w:tblW w:w="9553" w:type="dxa"/>
        <w:tblInd w:w="-32" w:type="dxa"/>
        <w:tblCellMar>
          <w:top w:w="0" w:type="dxa"/>
          <w:left w:w="35" w:type="dxa"/>
          <w:bottom w:w="0" w:type="dxa"/>
          <w:right w:w="115" w:type="dxa"/>
        </w:tblCellMar>
        <w:tblLook w:val="04A0" w:firstRow="1" w:lastRow="0" w:firstColumn="1" w:lastColumn="0" w:noHBand="0" w:noVBand="1"/>
      </w:tblPr>
      <w:tblGrid>
        <w:gridCol w:w="2461"/>
        <w:gridCol w:w="3578"/>
        <w:gridCol w:w="1757"/>
        <w:gridCol w:w="1757"/>
      </w:tblGrid>
      <w:tr w:rsidR="00576F87">
        <w:trPr>
          <w:trHeight w:val="667"/>
        </w:trPr>
        <w:tc>
          <w:tcPr>
            <w:tcW w:w="2461" w:type="dxa"/>
            <w:tcBorders>
              <w:top w:val="single" w:sz="15" w:space="0" w:color="000070"/>
              <w:left w:val="single" w:sz="12" w:space="0" w:color="000070"/>
              <w:bottom w:val="single" w:sz="8" w:space="0" w:color="000070"/>
              <w:right w:val="single" w:sz="8" w:space="0" w:color="000070"/>
            </w:tcBorders>
            <w:shd w:val="clear" w:color="auto" w:fill="003399"/>
            <w:vAlign w:val="center"/>
          </w:tcPr>
          <w:p w:rsidR="00576F87" w:rsidRDefault="004165F5">
            <w:pPr>
              <w:spacing w:after="0"/>
              <w:ind w:left="5"/>
            </w:pPr>
            <w:r>
              <w:rPr>
                <w:rFonts w:ascii="Verdana" w:eastAsia="Verdana" w:hAnsi="Verdana" w:cs="Verdana"/>
                <w:b/>
                <w:color w:val="FFFFFF"/>
                <w:sz w:val="18"/>
              </w:rPr>
              <w:t>Pay Range  2016/17</w:t>
            </w:r>
          </w:p>
        </w:tc>
        <w:tc>
          <w:tcPr>
            <w:tcW w:w="3578" w:type="dxa"/>
            <w:tcBorders>
              <w:top w:val="single" w:sz="15" w:space="0" w:color="000070"/>
              <w:left w:val="single" w:sz="8" w:space="0" w:color="000070"/>
              <w:bottom w:val="single" w:sz="8" w:space="0" w:color="000070"/>
              <w:right w:val="single" w:sz="8" w:space="0" w:color="000070"/>
            </w:tcBorders>
            <w:shd w:val="clear" w:color="auto" w:fill="003399"/>
            <w:vAlign w:val="center"/>
          </w:tcPr>
          <w:p w:rsidR="00576F87" w:rsidRDefault="004165F5">
            <w:pPr>
              <w:spacing w:after="0"/>
              <w:ind w:left="8"/>
            </w:pPr>
            <w:r>
              <w:rPr>
                <w:rFonts w:ascii="Verdana" w:eastAsia="Verdana" w:hAnsi="Verdana" w:cs="Verdana"/>
                <w:b/>
                <w:color w:val="FFFFFF"/>
                <w:sz w:val="18"/>
              </w:rPr>
              <w:t>Pay Range 2017/18</w:t>
            </w:r>
          </w:p>
        </w:tc>
        <w:tc>
          <w:tcPr>
            <w:tcW w:w="1757" w:type="dxa"/>
            <w:tcBorders>
              <w:top w:val="single" w:sz="15" w:space="0" w:color="000070"/>
              <w:left w:val="single" w:sz="8" w:space="0" w:color="000070"/>
              <w:bottom w:val="single" w:sz="8" w:space="0" w:color="000070"/>
              <w:right w:val="single" w:sz="8" w:space="0" w:color="000070"/>
            </w:tcBorders>
            <w:shd w:val="clear" w:color="auto" w:fill="003399"/>
            <w:vAlign w:val="center"/>
          </w:tcPr>
          <w:p w:rsidR="00576F87" w:rsidRDefault="004165F5">
            <w:pPr>
              <w:spacing w:after="3"/>
              <w:ind w:left="86"/>
              <w:jc w:val="center"/>
            </w:pPr>
            <w:r>
              <w:rPr>
                <w:rFonts w:ascii="Verdana" w:eastAsia="Verdana" w:hAnsi="Verdana" w:cs="Verdana"/>
                <w:b/>
                <w:color w:val="FFFFFF"/>
                <w:sz w:val="18"/>
              </w:rPr>
              <w:t xml:space="preserve">Contribution </w:t>
            </w:r>
          </w:p>
          <w:p w:rsidR="00576F87" w:rsidRDefault="004165F5">
            <w:pPr>
              <w:spacing w:after="0"/>
              <w:ind w:left="87"/>
              <w:jc w:val="center"/>
            </w:pPr>
            <w:r>
              <w:rPr>
                <w:rFonts w:ascii="Verdana" w:eastAsia="Verdana" w:hAnsi="Verdana" w:cs="Verdana"/>
                <w:b/>
                <w:color w:val="FFFFFF"/>
                <w:sz w:val="18"/>
              </w:rPr>
              <w:t>Rate</w:t>
            </w:r>
          </w:p>
        </w:tc>
        <w:tc>
          <w:tcPr>
            <w:tcW w:w="1757" w:type="dxa"/>
            <w:tcBorders>
              <w:top w:val="single" w:sz="15" w:space="0" w:color="000070"/>
              <w:left w:val="single" w:sz="8" w:space="0" w:color="000070"/>
              <w:bottom w:val="single" w:sz="8" w:space="0" w:color="000070"/>
              <w:right w:val="single" w:sz="8" w:space="0" w:color="000070"/>
            </w:tcBorders>
            <w:shd w:val="clear" w:color="auto" w:fill="003399"/>
            <w:vAlign w:val="center"/>
          </w:tcPr>
          <w:p w:rsidR="00576F87" w:rsidRDefault="004165F5">
            <w:pPr>
              <w:spacing w:after="0"/>
              <w:ind w:left="124"/>
            </w:pPr>
            <w:r>
              <w:rPr>
                <w:rFonts w:ascii="Verdana" w:eastAsia="Verdana" w:hAnsi="Verdana" w:cs="Verdana"/>
                <w:b/>
                <w:color w:val="FFFFFF"/>
                <w:sz w:val="18"/>
              </w:rPr>
              <w:t>50/50 Section</w:t>
            </w:r>
          </w:p>
        </w:tc>
      </w:tr>
      <w:tr w:rsidR="00576F87">
        <w:trPr>
          <w:trHeight w:val="454"/>
        </w:trPr>
        <w:tc>
          <w:tcPr>
            <w:tcW w:w="2461" w:type="dxa"/>
            <w:tcBorders>
              <w:top w:val="single" w:sz="8" w:space="0" w:color="000070"/>
              <w:left w:val="single" w:sz="12" w:space="0" w:color="000070"/>
              <w:bottom w:val="single" w:sz="8" w:space="0" w:color="000070"/>
              <w:right w:val="single" w:sz="8" w:space="0" w:color="000070"/>
            </w:tcBorders>
            <w:shd w:val="clear" w:color="auto" w:fill="FFFFFF"/>
            <w:vAlign w:val="center"/>
          </w:tcPr>
          <w:p w:rsidR="00576F87" w:rsidRDefault="004165F5">
            <w:pPr>
              <w:spacing w:after="0"/>
            </w:pPr>
            <w:r>
              <w:rPr>
                <w:rFonts w:ascii="Verdana" w:eastAsia="Verdana" w:hAnsi="Verdana" w:cs="Verdana"/>
                <w:sz w:val="18"/>
              </w:rPr>
              <w:t>£0 - £13,600</w:t>
            </w:r>
          </w:p>
        </w:tc>
        <w:tc>
          <w:tcPr>
            <w:tcW w:w="3578"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4"/>
            </w:pPr>
            <w:r>
              <w:rPr>
                <w:rFonts w:ascii="Verdana" w:eastAsia="Verdana" w:hAnsi="Verdana" w:cs="Verdana"/>
                <w:sz w:val="18"/>
              </w:rPr>
              <w:t>£0 - £13,700</w:t>
            </w:r>
          </w:p>
        </w:tc>
        <w:tc>
          <w:tcPr>
            <w:tcW w:w="1757"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85"/>
              <w:jc w:val="center"/>
            </w:pPr>
            <w:r>
              <w:rPr>
                <w:rFonts w:ascii="Verdana" w:eastAsia="Verdana" w:hAnsi="Verdana" w:cs="Verdana"/>
                <w:sz w:val="18"/>
              </w:rPr>
              <w:t>5.50%</w:t>
            </w:r>
          </w:p>
        </w:tc>
        <w:tc>
          <w:tcPr>
            <w:tcW w:w="1757" w:type="dxa"/>
            <w:tcBorders>
              <w:top w:val="single" w:sz="8" w:space="0" w:color="000070"/>
              <w:left w:val="single" w:sz="8" w:space="0" w:color="000070"/>
              <w:bottom w:val="single" w:sz="8" w:space="0" w:color="000070"/>
              <w:right w:val="single" w:sz="15" w:space="0" w:color="000070"/>
            </w:tcBorders>
            <w:shd w:val="clear" w:color="auto" w:fill="FFFFFF"/>
            <w:vAlign w:val="center"/>
          </w:tcPr>
          <w:p w:rsidR="00576F87" w:rsidRDefault="004165F5">
            <w:pPr>
              <w:spacing w:after="0"/>
              <w:ind w:left="85"/>
              <w:jc w:val="center"/>
            </w:pPr>
            <w:r>
              <w:rPr>
                <w:rFonts w:ascii="Verdana" w:eastAsia="Verdana" w:hAnsi="Verdana" w:cs="Verdana"/>
                <w:sz w:val="18"/>
              </w:rPr>
              <w:t>2.75%</w:t>
            </w:r>
          </w:p>
        </w:tc>
      </w:tr>
      <w:tr w:rsidR="00576F87">
        <w:trPr>
          <w:trHeight w:val="454"/>
        </w:trPr>
        <w:tc>
          <w:tcPr>
            <w:tcW w:w="2461" w:type="dxa"/>
            <w:tcBorders>
              <w:top w:val="single" w:sz="8" w:space="0" w:color="000070"/>
              <w:left w:val="single" w:sz="12" w:space="0" w:color="000070"/>
              <w:bottom w:val="single" w:sz="8" w:space="0" w:color="000070"/>
              <w:right w:val="single" w:sz="8" w:space="0" w:color="000070"/>
            </w:tcBorders>
            <w:shd w:val="clear" w:color="auto" w:fill="FFFFFF"/>
            <w:vAlign w:val="center"/>
          </w:tcPr>
          <w:p w:rsidR="00576F87" w:rsidRDefault="004165F5">
            <w:pPr>
              <w:spacing w:after="0"/>
            </w:pPr>
            <w:r>
              <w:rPr>
                <w:rFonts w:ascii="Verdana" w:eastAsia="Verdana" w:hAnsi="Verdana" w:cs="Verdana"/>
                <w:sz w:val="18"/>
              </w:rPr>
              <w:t>£13,601 - £21,200</w:t>
            </w:r>
          </w:p>
        </w:tc>
        <w:tc>
          <w:tcPr>
            <w:tcW w:w="3578"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4"/>
            </w:pPr>
            <w:r>
              <w:rPr>
                <w:rFonts w:ascii="Verdana" w:eastAsia="Verdana" w:hAnsi="Verdana" w:cs="Verdana"/>
                <w:sz w:val="18"/>
              </w:rPr>
              <w:t>£13,701 - £21,400</w:t>
            </w:r>
          </w:p>
        </w:tc>
        <w:tc>
          <w:tcPr>
            <w:tcW w:w="1757"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5.80%</w:t>
            </w:r>
          </w:p>
        </w:tc>
        <w:tc>
          <w:tcPr>
            <w:tcW w:w="1757" w:type="dxa"/>
            <w:tcBorders>
              <w:top w:val="single" w:sz="8" w:space="0" w:color="000070"/>
              <w:left w:val="single" w:sz="8" w:space="0" w:color="000070"/>
              <w:bottom w:val="single" w:sz="8" w:space="0" w:color="000070"/>
              <w:right w:val="single" w:sz="15"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2.90%</w:t>
            </w:r>
          </w:p>
        </w:tc>
      </w:tr>
      <w:tr w:rsidR="00576F87">
        <w:trPr>
          <w:trHeight w:val="454"/>
        </w:trPr>
        <w:tc>
          <w:tcPr>
            <w:tcW w:w="2461" w:type="dxa"/>
            <w:tcBorders>
              <w:top w:val="single" w:sz="8" w:space="0" w:color="000070"/>
              <w:left w:val="single" w:sz="12" w:space="0" w:color="000070"/>
              <w:bottom w:val="single" w:sz="8" w:space="0" w:color="000070"/>
              <w:right w:val="single" w:sz="8" w:space="0" w:color="000070"/>
            </w:tcBorders>
            <w:shd w:val="clear" w:color="auto" w:fill="FFFFFF"/>
            <w:vAlign w:val="center"/>
          </w:tcPr>
          <w:p w:rsidR="00576F87" w:rsidRDefault="004165F5">
            <w:pPr>
              <w:spacing w:after="0"/>
            </w:pPr>
            <w:r>
              <w:rPr>
                <w:rFonts w:ascii="Verdana" w:eastAsia="Verdana" w:hAnsi="Verdana" w:cs="Verdana"/>
                <w:sz w:val="18"/>
              </w:rPr>
              <w:t>£21,201 - £34,400</w:t>
            </w:r>
          </w:p>
        </w:tc>
        <w:tc>
          <w:tcPr>
            <w:tcW w:w="3578"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4"/>
            </w:pPr>
            <w:r>
              <w:rPr>
                <w:rFonts w:ascii="Verdana" w:eastAsia="Verdana" w:hAnsi="Verdana" w:cs="Verdana"/>
                <w:sz w:val="18"/>
              </w:rPr>
              <w:t>£21,401 - £34,700</w:t>
            </w:r>
          </w:p>
        </w:tc>
        <w:tc>
          <w:tcPr>
            <w:tcW w:w="1757"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6.50%</w:t>
            </w:r>
          </w:p>
        </w:tc>
        <w:tc>
          <w:tcPr>
            <w:tcW w:w="1757" w:type="dxa"/>
            <w:tcBorders>
              <w:top w:val="single" w:sz="8" w:space="0" w:color="000070"/>
              <w:left w:val="single" w:sz="8" w:space="0" w:color="000070"/>
              <w:bottom w:val="single" w:sz="8" w:space="0" w:color="000070"/>
              <w:right w:val="single" w:sz="15"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3.25%</w:t>
            </w:r>
          </w:p>
        </w:tc>
      </w:tr>
      <w:tr w:rsidR="00576F87">
        <w:trPr>
          <w:trHeight w:val="454"/>
        </w:trPr>
        <w:tc>
          <w:tcPr>
            <w:tcW w:w="2461" w:type="dxa"/>
            <w:tcBorders>
              <w:top w:val="single" w:sz="8" w:space="0" w:color="000070"/>
              <w:left w:val="single" w:sz="12" w:space="0" w:color="000070"/>
              <w:bottom w:val="single" w:sz="8" w:space="0" w:color="000070"/>
              <w:right w:val="single" w:sz="8" w:space="0" w:color="000070"/>
            </w:tcBorders>
            <w:shd w:val="clear" w:color="auto" w:fill="FFFFFF"/>
            <w:vAlign w:val="center"/>
          </w:tcPr>
          <w:p w:rsidR="00576F87" w:rsidRDefault="004165F5">
            <w:pPr>
              <w:spacing w:after="0"/>
            </w:pPr>
            <w:r>
              <w:rPr>
                <w:rFonts w:ascii="Verdana" w:eastAsia="Verdana" w:hAnsi="Verdana" w:cs="Verdana"/>
                <w:sz w:val="18"/>
              </w:rPr>
              <w:t>£34,401 - £43,500</w:t>
            </w:r>
          </w:p>
        </w:tc>
        <w:tc>
          <w:tcPr>
            <w:tcW w:w="3578"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4"/>
            </w:pPr>
            <w:r>
              <w:rPr>
                <w:rFonts w:ascii="Verdana" w:eastAsia="Verdana" w:hAnsi="Verdana" w:cs="Verdana"/>
                <w:sz w:val="18"/>
              </w:rPr>
              <w:t>£34,701 - £43,900</w:t>
            </w:r>
          </w:p>
        </w:tc>
        <w:tc>
          <w:tcPr>
            <w:tcW w:w="1757"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6.80%</w:t>
            </w:r>
          </w:p>
        </w:tc>
        <w:tc>
          <w:tcPr>
            <w:tcW w:w="1757" w:type="dxa"/>
            <w:tcBorders>
              <w:top w:val="single" w:sz="8" w:space="0" w:color="000070"/>
              <w:left w:val="single" w:sz="8" w:space="0" w:color="000070"/>
              <w:bottom w:val="single" w:sz="8" w:space="0" w:color="000070"/>
              <w:right w:val="single" w:sz="15"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3.40%</w:t>
            </w:r>
          </w:p>
        </w:tc>
      </w:tr>
      <w:tr w:rsidR="00576F87">
        <w:trPr>
          <w:trHeight w:val="454"/>
        </w:trPr>
        <w:tc>
          <w:tcPr>
            <w:tcW w:w="2461" w:type="dxa"/>
            <w:tcBorders>
              <w:top w:val="single" w:sz="8" w:space="0" w:color="000070"/>
              <w:left w:val="single" w:sz="12" w:space="0" w:color="000070"/>
              <w:bottom w:val="single" w:sz="8" w:space="0" w:color="000070"/>
              <w:right w:val="single" w:sz="8" w:space="0" w:color="000070"/>
            </w:tcBorders>
            <w:shd w:val="clear" w:color="auto" w:fill="FFFFFF"/>
            <w:vAlign w:val="center"/>
          </w:tcPr>
          <w:p w:rsidR="00576F87" w:rsidRDefault="004165F5">
            <w:pPr>
              <w:spacing w:after="0"/>
            </w:pPr>
            <w:r>
              <w:rPr>
                <w:rFonts w:ascii="Verdana" w:eastAsia="Verdana" w:hAnsi="Verdana" w:cs="Verdana"/>
                <w:sz w:val="18"/>
              </w:rPr>
              <w:t>£43,501 - £60,700</w:t>
            </w:r>
          </w:p>
        </w:tc>
        <w:tc>
          <w:tcPr>
            <w:tcW w:w="3578"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4"/>
            </w:pPr>
            <w:r>
              <w:rPr>
                <w:rFonts w:ascii="Verdana" w:eastAsia="Verdana" w:hAnsi="Verdana" w:cs="Verdana"/>
                <w:sz w:val="18"/>
              </w:rPr>
              <w:t>£43,901 - £61,300</w:t>
            </w:r>
          </w:p>
        </w:tc>
        <w:tc>
          <w:tcPr>
            <w:tcW w:w="1757"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8.50%</w:t>
            </w:r>
          </w:p>
        </w:tc>
        <w:tc>
          <w:tcPr>
            <w:tcW w:w="1757" w:type="dxa"/>
            <w:tcBorders>
              <w:top w:val="single" w:sz="8" w:space="0" w:color="000070"/>
              <w:left w:val="single" w:sz="8" w:space="0" w:color="000070"/>
              <w:bottom w:val="single" w:sz="8" w:space="0" w:color="000070"/>
              <w:right w:val="single" w:sz="15"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4.25%</w:t>
            </w:r>
          </w:p>
        </w:tc>
      </w:tr>
      <w:tr w:rsidR="00576F87">
        <w:trPr>
          <w:trHeight w:val="454"/>
        </w:trPr>
        <w:tc>
          <w:tcPr>
            <w:tcW w:w="2461" w:type="dxa"/>
            <w:tcBorders>
              <w:top w:val="single" w:sz="8" w:space="0" w:color="000070"/>
              <w:left w:val="single" w:sz="12" w:space="0" w:color="000070"/>
              <w:bottom w:val="single" w:sz="8" w:space="0" w:color="000070"/>
              <w:right w:val="single" w:sz="8" w:space="0" w:color="000070"/>
            </w:tcBorders>
            <w:shd w:val="clear" w:color="auto" w:fill="FFFFFF"/>
            <w:vAlign w:val="center"/>
          </w:tcPr>
          <w:p w:rsidR="00576F87" w:rsidRDefault="004165F5">
            <w:pPr>
              <w:spacing w:after="0"/>
            </w:pPr>
            <w:r>
              <w:rPr>
                <w:rFonts w:ascii="Verdana" w:eastAsia="Verdana" w:hAnsi="Verdana" w:cs="Verdana"/>
                <w:sz w:val="18"/>
              </w:rPr>
              <w:t>£60,701 - £86,000</w:t>
            </w:r>
          </w:p>
        </w:tc>
        <w:tc>
          <w:tcPr>
            <w:tcW w:w="3578"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4"/>
            </w:pPr>
            <w:r>
              <w:rPr>
                <w:rFonts w:ascii="Verdana" w:eastAsia="Verdana" w:hAnsi="Verdana" w:cs="Verdana"/>
                <w:sz w:val="18"/>
              </w:rPr>
              <w:t>£61,301 - £86,800</w:t>
            </w:r>
          </w:p>
        </w:tc>
        <w:tc>
          <w:tcPr>
            <w:tcW w:w="1757"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9.90%</w:t>
            </w:r>
          </w:p>
        </w:tc>
        <w:tc>
          <w:tcPr>
            <w:tcW w:w="1757" w:type="dxa"/>
            <w:tcBorders>
              <w:top w:val="single" w:sz="8" w:space="0" w:color="000070"/>
              <w:left w:val="single" w:sz="8" w:space="0" w:color="000070"/>
              <w:bottom w:val="single" w:sz="8" w:space="0" w:color="000070"/>
              <w:right w:val="single" w:sz="15"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4.95%</w:t>
            </w:r>
          </w:p>
        </w:tc>
      </w:tr>
      <w:tr w:rsidR="00576F87">
        <w:trPr>
          <w:trHeight w:val="454"/>
        </w:trPr>
        <w:tc>
          <w:tcPr>
            <w:tcW w:w="2461" w:type="dxa"/>
            <w:tcBorders>
              <w:top w:val="single" w:sz="8" w:space="0" w:color="000070"/>
              <w:left w:val="single" w:sz="12" w:space="0" w:color="000070"/>
              <w:bottom w:val="single" w:sz="8" w:space="0" w:color="000070"/>
              <w:right w:val="single" w:sz="8" w:space="0" w:color="000070"/>
            </w:tcBorders>
            <w:shd w:val="clear" w:color="auto" w:fill="FFFFFF"/>
            <w:vAlign w:val="center"/>
          </w:tcPr>
          <w:p w:rsidR="00576F87" w:rsidRDefault="004165F5">
            <w:pPr>
              <w:spacing w:after="0"/>
            </w:pPr>
            <w:r>
              <w:rPr>
                <w:rFonts w:ascii="Verdana" w:eastAsia="Verdana" w:hAnsi="Verdana" w:cs="Verdana"/>
                <w:sz w:val="18"/>
              </w:rPr>
              <w:t>£86,001 - £101,200</w:t>
            </w:r>
          </w:p>
        </w:tc>
        <w:tc>
          <w:tcPr>
            <w:tcW w:w="3578"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4"/>
            </w:pPr>
            <w:r>
              <w:rPr>
                <w:rFonts w:ascii="Verdana" w:eastAsia="Verdana" w:hAnsi="Verdana" w:cs="Verdana"/>
                <w:sz w:val="18"/>
              </w:rPr>
              <w:t>£86,801 - £102,200</w:t>
            </w:r>
          </w:p>
        </w:tc>
        <w:tc>
          <w:tcPr>
            <w:tcW w:w="1757"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10.50%</w:t>
            </w:r>
          </w:p>
        </w:tc>
        <w:tc>
          <w:tcPr>
            <w:tcW w:w="1757" w:type="dxa"/>
            <w:tcBorders>
              <w:top w:val="single" w:sz="8" w:space="0" w:color="000070"/>
              <w:left w:val="single" w:sz="8" w:space="0" w:color="000070"/>
              <w:bottom w:val="single" w:sz="8" w:space="0" w:color="000070"/>
              <w:right w:val="single" w:sz="15"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5.25%</w:t>
            </w:r>
          </w:p>
        </w:tc>
      </w:tr>
      <w:tr w:rsidR="00576F87">
        <w:trPr>
          <w:trHeight w:val="454"/>
        </w:trPr>
        <w:tc>
          <w:tcPr>
            <w:tcW w:w="2461" w:type="dxa"/>
            <w:tcBorders>
              <w:top w:val="single" w:sz="8" w:space="0" w:color="000070"/>
              <w:left w:val="single" w:sz="12" w:space="0" w:color="000070"/>
              <w:bottom w:val="single" w:sz="8" w:space="0" w:color="000070"/>
              <w:right w:val="single" w:sz="8" w:space="0" w:color="000070"/>
            </w:tcBorders>
            <w:shd w:val="clear" w:color="auto" w:fill="FFFFFF"/>
            <w:vAlign w:val="center"/>
          </w:tcPr>
          <w:p w:rsidR="00576F87" w:rsidRDefault="004165F5">
            <w:pPr>
              <w:spacing w:after="0"/>
            </w:pPr>
            <w:r>
              <w:rPr>
                <w:rFonts w:ascii="Verdana" w:eastAsia="Verdana" w:hAnsi="Verdana" w:cs="Verdana"/>
                <w:sz w:val="18"/>
              </w:rPr>
              <w:t>£101,201 - £151,800</w:t>
            </w:r>
          </w:p>
        </w:tc>
        <w:tc>
          <w:tcPr>
            <w:tcW w:w="3578"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4"/>
            </w:pPr>
            <w:r>
              <w:rPr>
                <w:rFonts w:ascii="Verdana" w:eastAsia="Verdana" w:hAnsi="Verdana" w:cs="Verdana"/>
                <w:sz w:val="18"/>
              </w:rPr>
              <w:t>£102,201 - £153,300</w:t>
            </w:r>
          </w:p>
        </w:tc>
        <w:tc>
          <w:tcPr>
            <w:tcW w:w="1757" w:type="dxa"/>
            <w:tcBorders>
              <w:top w:val="single" w:sz="8" w:space="0" w:color="000070"/>
              <w:left w:val="single" w:sz="8" w:space="0" w:color="000070"/>
              <w:bottom w:val="single" w:sz="8" w:space="0" w:color="000070"/>
              <w:right w:val="single" w:sz="8"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11.40%</w:t>
            </w:r>
          </w:p>
        </w:tc>
        <w:tc>
          <w:tcPr>
            <w:tcW w:w="1757" w:type="dxa"/>
            <w:tcBorders>
              <w:top w:val="single" w:sz="8" w:space="0" w:color="000070"/>
              <w:left w:val="single" w:sz="8" w:space="0" w:color="000070"/>
              <w:bottom w:val="single" w:sz="8" w:space="0" w:color="000070"/>
              <w:right w:val="single" w:sz="15"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5.70%</w:t>
            </w:r>
          </w:p>
        </w:tc>
      </w:tr>
      <w:tr w:rsidR="00576F87">
        <w:trPr>
          <w:trHeight w:val="454"/>
        </w:trPr>
        <w:tc>
          <w:tcPr>
            <w:tcW w:w="2461" w:type="dxa"/>
            <w:tcBorders>
              <w:top w:val="single" w:sz="8" w:space="0" w:color="000070"/>
              <w:left w:val="single" w:sz="12" w:space="0" w:color="000070"/>
              <w:bottom w:val="single" w:sz="15" w:space="0" w:color="000070"/>
              <w:right w:val="single" w:sz="8" w:space="0" w:color="000070"/>
            </w:tcBorders>
            <w:shd w:val="clear" w:color="auto" w:fill="FFFFFF"/>
            <w:vAlign w:val="center"/>
          </w:tcPr>
          <w:p w:rsidR="00576F87" w:rsidRDefault="004165F5">
            <w:pPr>
              <w:spacing w:after="0"/>
            </w:pPr>
            <w:r>
              <w:rPr>
                <w:rFonts w:ascii="Verdana" w:eastAsia="Verdana" w:hAnsi="Verdana" w:cs="Verdana"/>
                <w:sz w:val="18"/>
              </w:rPr>
              <w:t>£151,801 and above</w:t>
            </w:r>
          </w:p>
        </w:tc>
        <w:tc>
          <w:tcPr>
            <w:tcW w:w="3578" w:type="dxa"/>
            <w:tcBorders>
              <w:top w:val="single" w:sz="8" w:space="0" w:color="000070"/>
              <w:left w:val="single" w:sz="8" w:space="0" w:color="000070"/>
              <w:bottom w:val="single" w:sz="15" w:space="0" w:color="000070"/>
              <w:right w:val="single" w:sz="8" w:space="0" w:color="000070"/>
            </w:tcBorders>
            <w:shd w:val="clear" w:color="auto" w:fill="FFFFFF"/>
            <w:vAlign w:val="center"/>
          </w:tcPr>
          <w:p w:rsidR="00576F87" w:rsidRDefault="004165F5">
            <w:pPr>
              <w:spacing w:after="0"/>
              <w:ind w:left="4"/>
            </w:pPr>
            <w:r>
              <w:rPr>
                <w:rFonts w:ascii="Verdana" w:eastAsia="Verdana" w:hAnsi="Verdana" w:cs="Verdana"/>
                <w:sz w:val="18"/>
              </w:rPr>
              <w:t>£153,301 and above</w:t>
            </w:r>
          </w:p>
        </w:tc>
        <w:tc>
          <w:tcPr>
            <w:tcW w:w="1757" w:type="dxa"/>
            <w:tcBorders>
              <w:top w:val="single" w:sz="8" w:space="0" w:color="000070"/>
              <w:left w:val="single" w:sz="8" w:space="0" w:color="000070"/>
              <w:bottom w:val="single" w:sz="15" w:space="0" w:color="000070"/>
              <w:right w:val="single" w:sz="8"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12.50%</w:t>
            </w:r>
          </w:p>
        </w:tc>
        <w:tc>
          <w:tcPr>
            <w:tcW w:w="1757" w:type="dxa"/>
            <w:tcBorders>
              <w:top w:val="single" w:sz="8" w:space="0" w:color="000070"/>
              <w:left w:val="single" w:sz="8" w:space="0" w:color="000070"/>
              <w:bottom w:val="single" w:sz="15" w:space="0" w:color="000070"/>
              <w:right w:val="single" w:sz="15" w:space="0" w:color="000070"/>
            </w:tcBorders>
            <w:shd w:val="clear" w:color="auto" w:fill="FFFFFF"/>
            <w:vAlign w:val="center"/>
          </w:tcPr>
          <w:p w:rsidR="00576F87" w:rsidRDefault="004165F5">
            <w:pPr>
              <w:spacing w:after="0"/>
              <w:ind w:left="88"/>
              <w:jc w:val="center"/>
            </w:pPr>
            <w:r>
              <w:rPr>
                <w:rFonts w:ascii="Verdana" w:eastAsia="Verdana" w:hAnsi="Verdana" w:cs="Verdana"/>
                <w:sz w:val="18"/>
              </w:rPr>
              <w:t>6.25%</w:t>
            </w:r>
          </w:p>
        </w:tc>
      </w:tr>
      <w:tr w:rsidR="00576F87">
        <w:trPr>
          <w:trHeight w:val="293"/>
        </w:trPr>
        <w:tc>
          <w:tcPr>
            <w:tcW w:w="6040" w:type="dxa"/>
            <w:gridSpan w:val="2"/>
            <w:tcBorders>
              <w:top w:val="single" w:sz="15" w:space="0" w:color="000070"/>
              <w:left w:val="nil"/>
              <w:bottom w:val="nil"/>
              <w:right w:val="nil"/>
            </w:tcBorders>
            <w:shd w:val="clear" w:color="auto" w:fill="FFFFFF"/>
          </w:tcPr>
          <w:p w:rsidR="00576F87" w:rsidRDefault="00576F87"/>
        </w:tc>
        <w:tc>
          <w:tcPr>
            <w:tcW w:w="1757" w:type="dxa"/>
            <w:tcBorders>
              <w:top w:val="single" w:sz="15" w:space="0" w:color="000070"/>
              <w:left w:val="nil"/>
              <w:bottom w:val="nil"/>
              <w:right w:val="nil"/>
            </w:tcBorders>
            <w:shd w:val="clear" w:color="auto" w:fill="FFFFFF"/>
          </w:tcPr>
          <w:p w:rsidR="00576F87" w:rsidRDefault="00576F87"/>
        </w:tc>
        <w:tc>
          <w:tcPr>
            <w:tcW w:w="1757" w:type="dxa"/>
            <w:tcBorders>
              <w:top w:val="single" w:sz="15" w:space="0" w:color="000070"/>
              <w:left w:val="nil"/>
              <w:bottom w:val="nil"/>
              <w:right w:val="nil"/>
            </w:tcBorders>
            <w:shd w:val="clear" w:color="auto" w:fill="FFFFFF"/>
          </w:tcPr>
          <w:p w:rsidR="00576F87" w:rsidRDefault="00576F87"/>
        </w:tc>
      </w:tr>
    </w:tbl>
    <w:p w:rsidR="00576F87" w:rsidRDefault="004165F5">
      <w:pPr>
        <w:spacing w:after="56" w:line="264" w:lineRule="auto"/>
        <w:ind w:left="2" w:right="12" w:hanging="10"/>
        <w:jc w:val="both"/>
      </w:pPr>
      <w:r>
        <w:rPr>
          <w:rFonts w:ascii="Verdana" w:eastAsia="Verdana" w:hAnsi="Verdana" w:cs="Verdana"/>
          <w:sz w:val="20"/>
        </w:rPr>
        <w:t>The fund membership was as follows:</w:t>
      </w:r>
    </w:p>
    <w:tbl>
      <w:tblPr>
        <w:tblStyle w:val="TableGrid"/>
        <w:tblW w:w="9553" w:type="dxa"/>
        <w:tblInd w:w="-33" w:type="dxa"/>
        <w:tblCellMar>
          <w:top w:w="68" w:type="dxa"/>
          <w:left w:w="38" w:type="dxa"/>
          <w:bottom w:w="0" w:type="dxa"/>
          <w:right w:w="33" w:type="dxa"/>
        </w:tblCellMar>
        <w:tblLook w:val="04A0" w:firstRow="1" w:lastRow="0" w:firstColumn="1" w:lastColumn="0" w:noHBand="0" w:noVBand="1"/>
      </w:tblPr>
      <w:tblGrid>
        <w:gridCol w:w="2462"/>
        <w:gridCol w:w="5334"/>
        <w:gridCol w:w="1757"/>
      </w:tblGrid>
      <w:tr w:rsidR="00576F87">
        <w:trPr>
          <w:trHeight w:val="595"/>
        </w:trPr>
        <w:tc>
          <w:tcPr>
            <w:tcW w:w="2462" w:type="dxa"/>
            <w:tcBorders>
              <w:top w:val="single" w:sz="8" w:space="0" w:color="35437C"/>
              <w:left w:val="single" w:sz="8" w:space="0" w:color="000000"/>
              <w:bottom w:val="single" w:sz="15" w:space="0" w:color="000070"/>
              <w:right w:val="single" w:sz="15" w:space="0" w:color="35437C"/>
            </w:tcBorders>
            <w:shd w:val="clear" w:color="auto" w:fill="35437C"/>
            <w:vAlign w:val="center"/>
          </w:tcPr>
          <w:p w:rsidR="00576F87" w:rsidRDefault="004165F5">
            <w:pPr>
              <w:spacing w:after="0"/>
              <w:ind w:right="4"/>
              <w:jc w:val="right"/>
            </w:pPr>
            <w:r>
              <w:rPr>
                <w:rFonts w:ascii="Verdana" w:eastAsia="Verdana" w:hAnsi="Verdana" w:cs="Verdana"/>
                <w:b/>
                <w:color w:val="FFFFFF"/>
                <w:sz w:val="18"/>
              </w:rPr>
              <w:t>2016/17</w:t>
            </w:r>
          </w:p>
        </w:tc>
        <w:tc>
          <w:tcPr>
            <w:tcW w:w="5335" w:type="dxa"/>
            <w:tcBorders>
              <w:top w:val="single" w:sz="8" w:space="0" w:color="35437C"/>
              <w:left w:val="single" w:sz="15" w:space="0" w:color="35437C"/>
              <w:bottom w:val="single" w:sz="15" w:space="0" w:color="000070"/>
              <w:right w:val="single" w:sz="15" w:space="0" w:color="35437C"/>
            </w:tcBorders>
            <w:shd w:val="clear" w:color="auto" w:fill="35437C"/>
            <w:vAlign w:val="center"/>
          </w:tcPr>
          <w:p w:rsidR="00576F87" w:rsidRDefault="004165F5">
            <w:pPr>
              <w:spacing w:after="0"/>
              <w:ind w:right="2"/>
              <w:jc w:val="center"/>
            </w:pPr>
            <w:r>
              <w:rPr>
                <w:rFonts w:ascii="Verdana" w:eastAsia="Verdana" w:hAnsi="Verdana" w:cs="Verdana"/>
                <w:b/>
                <w:color w:val="FFFFFF"/>
                <w:sz w:val="18"/>
              </w:rPr>
              <w:t>Fund Membership</w:t>
            </w:r>
          </w:p>
        </w:tc>
        <w:tc>
          <w:tcPr>
            <w:tcW w:w="1757" w:type="dxa"/>
            <w:tcBorders>
              <w:top w:val="single" w:sz="8" w:space="0" w:color="35437C"/>
              <w:left w:val="single" w:sz="15" w:space="0" w:color="35437C"/>
              <w:bottom w:val="single" w:sz="15" w:space="0" w:color="000070"/>
              <w:right w:val="single" w:sz="8" w:space="0" w:color="35437C"/>
            </w:tcBorders>
            <w:shd w:val="clear" w:color="auto" w:fill="35437C"/>
            <w:vAlign w:val="center"/>
          </w:tcPr>
          <w:p w:rsidR="00576F87" w:rsidRDefault="004165F5">
            <w:pPr>
              <w:spacing w:after="0"/>
              <w:ind w:right="4"/>
              <w:jc w:val="right"/>
            </w:pPr>
            <w:r>
              <w:rPr>
                <w:rFonts w:ascii="Verdana" w:eastAsia="Verdana" w:hAnsi="Verdana" w:cs="Verdana"/>
                <w:b/>
                <w:color w:val="FFFFFF"/>
                <w:sz w:val="18"/>
              </w:rPr>
              <w:t>2017/18</w:t>
            </w:r>
          </w:p>
        </w:tc>
      </w:tr>
      <w:tr w:rsidR="00576F87">
        <w:trPr>
          <w:trHeight w:val="290"/>
        </w:trPr>
        <w:tc>
          <w:tcPr>
            <w:tcW w:w="2462" w:type="dxa"/>
            <w:tcBorders>
              <w:top w:val="single" w:sz="15" w:space="0" w:color="000070"/>
              <w:left w:val="single" w:sz="12" w:space="0" w:color="000070"/>
              <w:bottom w:val="single" w:sz="8" w:space="0" w:color="000070"/>
              <w:right w:val="single" w:sz="8" w:space="0" w:color="000070"/>
            </w:tcBorders>
          </w:tcPr>
          <w:p w:rsidR="00576F87" w:rsidRDefault="004165F5">
            <w:pPr>
              <w:spacing w:after="0"/>
              <w:jc w:val="right"/>
            </w:pPr>
            <w:r>
              <w:rPr>
                <w:rFonts w:ascii="Verdana" w:eastAsia="Verdana" w:hAnsi="Verdana" w:cs="Verdana"/>
                <w:sz w:val="18"/>
              </w:rPr>
              <w:t>Numbers</w:t>
            </w:r>
          </w:p>
        </w:tc>
        <w:tc>
          <w:tcPr>
            <w:tcW w:w="5335" w:type="dxa"/>
            <w:tcBorders>
              <w:top w:val="single" w:sz="15" w:space="0" w:color="000070"/>
              <w:left w:val="single" w:sz="8" w:space="0" w:color="000070"/>
              <w:bottom w:val="single" w:sz="8" w:space="0" w:color="000070"/>
              <w:right w:val="single" w:sz="8" w:space="0" w:color="000070"/>
            </w:tcBorders>
          </w:tcPr>
          <w:p w:rsidR="00576F87" w:rsidRDefault="00576F87"/>
        </w:tc>
        <w:tc>
          <w:tcPr>
            <w:tcW w:w="1757" w:type="dxa"/>
            <w:tcBorders>
              <w:top w:val="single" w:sz="15"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18"/>
              </w:rPr>
              <w:t>Numbers</w:t>
            </w:r>
          </w:p>
        </w:tc>
      </w:tr>
      <w:tr w:rsidR="00576F87">
        <w:trPr>
          <w:trHeight w:val="290"/>
        </w:trPr>
        <w:tc>
          <w:tcPr>
            <w:tcW w:w="2462"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right="1"/>
              <w:jc w:val="right"/>
            </w:pPr>
            <w:r>
              <w:rPr>
                <w:rFonts w:ascii="Verdana" w:eastAsia="Verdana" w:hAnsi="Verdana" w:cs="Verdana"/>
                <w:sz w:val="18"/>
              </w:rPr>
              <w:t>17,776</w:t>
            </w:r>
          </w:p>
        </w:tc>
        <w:tc>
          <w:tcPr>
            <w:tcW w:w="5335" w:type="dxa"/>
            <w:tcBorders>
              <w:top w:val="single" w:sz="8" w:space="0" w:color="000070"/>
              <w:left w:val="single" w:sz="8"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Active members</w:t>
            </w:r>
          </w:p>
        </w:tc>
        <w:tc>
          <w:tcPr>
            <w:tcW w:w="1757"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1"/>
              <w:jc w:val="right"/>
            </w:pPr>
            <w:r>
              <w:rPr>
                <w:rFonts w:ascii="Verdana" w:eastAsia="Verdana" w:hAnsi="Verdana" w:cs="Verdana"/>
                <w:sz w:val="18"/>
              </w:rPr>
              <w:t>18,537</w:t>
            </w:r>
          </w:p>
        </w:tc>
      </w:tr>
      <w:tr w:rsidR="00576F87">
        <w:trPr>
          <w:trHeight w:val="290"/>
        </w:trPr>
        <w:tc>
          <w:tcPr>
            <w:tcW w:w="2462"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right="1"/>
              <w:jc w:val="right"/>
            </w:pPr>
            <w:r>
              <w:rPr>
                <w:rFonts w:ascii="Verdana" w:eastAsia="Verdana" w:hAnsi="Verdana" w:cs="Verdana"/>
                <w:sz w:val="18"/>
              </w:rPr>
              <w:t>26,370</w:t>
            </w:r>
          </w:p>
        </w:tc>
        <w:tc>
          <w:tcPr>
            <w:tcW w:w="5335" w:type="dxa"/>
            <w:tcBorders>
              <w:top w:val="single" w:sz="8" w:space="0" w:color="000070"/>
              <w:left w:val="single" w:sz="8"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Deferred beneficiaries</w:t>
            </w:r>
          </w:p>
        </w:tc>
        <w:tc>
          <w:tcPr>
            <w:tcW w:w="1757"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1"/>
              <w:jc w:val="right"/>
            </w:pPr>
            <w:r>
              <w:rPr>
                <w:rFonts w:ascii="Verdana" w:eastAsia="Verdana" w:hAnsi="Verdana" w:cs="Verdana"/>
                <w:sz w:val="18"/>
              </w:rPr>
              <w:t>26,911</w:t>
            </w:r>
          </w:p>
        </w:tc>
      </w:tr>
      <w:tr w:rsidR="00576F87">
        <w:trPr>
          <w:trHeight w:val="290"/>
        </w:trPr>
        <w:tc>
          <w:tcPr>
            <w:tcW w:w="2462"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right="1"/>
              <w:jc w:val="right"/>
            </w:pPr>
            <w:r>
              <w:rPr>
                <w:rFonts w:ascii="Verdana" w:eastAsia="Verdana" w:hAnsi="Verdana" w:cs="Verdana"/>
                <w:sz w:val="18"/>
              </w:rPr>
              <w:t>34,321</w:t>
            </w:r>
          </w:p>
        </w:tc>
        <w:tc>
          <w:tcPr>
            <w:tcW w:w="5335" w:type="dxa"/>
            <w:tcBorders>
              <w:top w:val="single" w:sz="8" w:space="0" w:color="000070"/>
              <w:left w:val="single" w:sz="8"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Pensioner / Dependents</w:t>
            </w:r>
          </w:p>
        </w:tc>
        <w:tc>
          <w:tcPr>
            <w:tcW w:w="1757"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1"/>
              <w:jc w:val="right"/>
            </w:pPr>
            <w:r>
              <w:rPr>
                <w:rFonts w:ascii="Verdana" w:eastAsia="Verdana" w:hAnsi="Verdana" w:cs="Verdana"/>
                <w:sz w:val="18"/>
              </w:rPr>
              <w:t>34,625</w:t>
            </w:r>
          </w:p>
        </w:tc>
      </w:tr>
      <w:tr w:rsidR="00576F87">
        <w:trPr>
          <w:trHeight w:val="305"/>
        </w:trPr>
        <w:tc>
          <w:tcPr>
            <w:tcW w:w="2462" w:type="dxa"/>
            <w:tcBorders>
              <w:top w:val="single" w:sz="8" w:space="0" w:color="000070"/>
              <w:left w:val="single" w:sz="12" w:space="0" w:color="000070"/>
              <w:bottom w:val="single" w:sz="15" w:space="0" w:color="000070"/>
              <w:right w:val="single" w:sz="8" w:space="0" w:color="000070"/>
            </w:tcBorders>
          </w:tcPr>
          <w:p w:rsidR="00576F87" w:rsidRDefault="004165F5">
            <w:pPr>
              <w:spacing w:after="0"/>
              <w:ind w:right="1"/>
              <w:jc w:val="right"/>
            </w:pPr>
            <w:r>
              <w:rPr>
                <w:rFonts w:ascii="Verdana" w:eastAsia="Verdana" w:hAnsi="Verdana" w:cs="Verdana"/>
                <w:sz w:val="18"/>
              </w:rPr>
              <w:t>3,596</w:t>
            </w:r>
          </w:p>
        </w:tc>
        <w:tc>
          <w:tcPr>
            <w:tcW w:w="5335" w:type="dxa"/>
            <w:tcBorders>
              <w:top w:val="single" w:sz="8" w:space="0" w:color="000070"/>
              <w:left w:val="single" w:sz="8" w:space="0" w:color="000070"/>
              <w:bottom w:val="single" w:sz="15" w:space="0" w:color="000070"/>
              <w:right w:val="single" w:sz="8" w:space="0" w:color="000070"/>
            </w:tcBorders>
          </w:tcPr>
          <w:p w:rsidR="00576F87" w:rsidRDefault="004165F5">
            <w:pPr>
              <w:spacing w:after="0"/>
            </w:pPr>
            <w:r>
              <w:rPr>
                <w:rFonts w:ascii="Verdana" w:eastAsia="Verdana" w:hAnsi="Verdana" w:cs="Verdana"/>
                <w:sz w:val="18"/>
              </w:rPr>
              <w:t>Undecided leavers and Frozen refunds</w:t>
            </w:r>
          </w:p>
        </w:tc>
        <w:tc>
          <w:tcPr>
            <w:tcW w:w="1757" w:type="dxa"/>
            <w:tcBorders>
              <w:top w:val="single" w:sz="8" w:space="0" w:color="000070"/>
              <w:left w:val="single" w:sz="8" w:space="0" w:color="000070"/>
              <w:bottom w:val="single" w:sz="15" w:space="0" w:color="000070"/>
              <w:right w:val="single" w:sz="15" w:space="0" w:color="000070"/>
            </w:tcBorders>
          </w:tcPr>
          <w:p w:rsidR="00576F87" w:rsidRDefault="004165F5">
            <w:pPr>
              <w:spacing w:after="0"/>
              <w:ind w:right="1"/>
              <w:jc w:val="right"/>
            </w:pPr>
            <w:r>
              <w:rPr>
                <w:rFonts w:ascii="Verdana" w:eastAsia="Verdana" w:hAnsi="Verdana" w:cs="Verdana"/>
                <w:sz w:val="18"/>
              </w:rPr>
              <w:t>4,393</w:t>
            </w:r>
          </w:p>
        </w:tc>
      </w:tr>
      <w:tr w:rsidR="00576F87">
        <w:trPr>
          <w:trHeight w:val="290"/>
        </w:trPr>
        <w:tc>
          <w:tcPr>
            <w:tcW w:w="2462" w:type="dxa"/>
            <w:tcBorders>
              <w:top w:val="single" w:sz="15" w:space="0" w:color="000070"/>
              <w:left w:val="single" w:sz="8" w:space="0" w:color="000000"/>
              <w:bottom w:val="single" w:sz="8" w:space="0" w:color="35437C"/>
              <w:right w:val="single" w:sz="15"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82,063</w:t>
            </w:r>
          </w:p>
        </w:tc>
        <w:tc>
          <w:tcPr>
            <w:tcW w:w="5335" w:type="dxa"/>
            <w:tcBorders>
              <w:top w:val="single" w:sz="15" w:space="0" w:color="000070"/>
              <w:left w:val="single" w:sz="15" w:space="0" w:color="35437C"/>
              <w:bottom w:val="single" w:sz="8" w:space="0" w:color="35437C"/>
              <w:right w:val="nil"/>
            </w:tcBorders>
            <w:shd w:val="clear" w:color="auto" w:fill="35437C"/>
          </w:tcPr>
          <w:p w:rsidR="00576F87" w:rsidRDefault="00576F87"/>
        </w:tc>
        <w:tc>
          <w:tcPr>
            <w:tcW w:w="1757" w:type="dxa"/>
            <w:tcBorders>
              <w:top w:val="single" w:sz="15" w:space="0" w:color="000070"/>
              <w:left w:val="nil"/>
              <w:bottom w:val="single" w:sz="8" w:space="0" w:color="35437C"/>
              <w:right w:val="single" w:sz="8"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84,466</w:t>
            </w:r>
          </w:p>
        </w:tc>
      </w:tr>
    </w:tbl>
    <w:p w:rsidR="00576F87" w:rsidRDefault="004165F5">
      <w:pPr>
        <w:spacing w:after="5" w:line="268" w:lineRule="auto"/>
        <w:ind w:left="-7" w:hanging="3"/>
        <w:jc w:val="both"/>
      </w:pPr>
      <w:r>
        <w:rPr>
          <w:rFonts w:ascii="Verdana" w:eastAsia="Verdana" w:hAnsi="Verdana" w:cs="Verdana"/>
          <w:sz w:val="18"/>
        </w:rPr>
        <w:t>The number of participating employers as at 31 March 2018 was 142 (2017 - 142).</w:t>
      </w:r>
    </w:p>
    <w:p w:rsidR="00576F87" w:rsidRDefault="004165F5">
      <w:pPr>
        <w:pStyle w:val="Heading3"/>
        <w:spacing w:after="81"/>
        <w:ind w:left="5" w:hanging="8"/>
      </w:pPr>
      <w:r>
        <w:rPr>
          <w:color w:val="000000"/>
        </w:rPr>
        <w:t>6. Contributions</w:t>
      </w:r>
    </w:p>
    <w:p w:rsidR="00576F87" w:rsidRDefault="004165F5">
      <w:pPr>
        <w:spacing w:after="3" w:line="264" w:lineRule="auto"/>
        <w:ind w:left="2" w:right="12" w:hanging="10"/>
        <w:jc w:val="both"/>
      </w:pPr>
      <w:r>
        <w:rPr>
          <w:rFonts w:ascii="Verdana" w:eastAsia="Verdana" w:hAnsi="Verdana" w:cs="Verdana"/>
          <w:sz w:val="20"/>
        </w:rPr>
        <w:t>By Category</w:t>
      </w:r>
    </w:p>
    <w:tbl>
      <w:tblPr>
        <w:tblStyle w:val="TableGrid"/>
        <w:tblW w:w="9250" w:type="dxa"/>
        <w:tblInd w:w="-34" w:type="dxa"/>
        <w:tblCellMar>
          <w:top w:w="34" w:type="dxa"/>
          <w:left w:w="43" w:type="dxa"/>
          <w:bottom w:w="0" w:type="dxa"/>
          <w:right w:w="38" w:type="dxa"/>
        </w:tblCellMar>
        <w:tblLook w:val="04A0" w:firstRow="1" w:lastRow="0" w:firstColumn="1" w:lastColumn="0" w:noHBand="0" w:noVBand="1"/>
      </w:tblPr>
      <w:tblGrid>
        <w:gridCol w:w="1754"/>
        <w:gridCol w:w="5722"/>
        <w:gridCol w:w="1774"/>
      </w:tblGrid>
      <w:tr w:rsidR="00576F87">
        <w:trPr>
          <w:trHeight w:val="410"/>
        </w:trPr>
        <w:tc>
          <w:tcPr>
            <w:tcW w:w="175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2016/17</w:t>
            </w:r>
          </w:p>
        </w:tc>
        <w:tc>
          <w:tcPr>
            <w:tcW w:w="572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jc w:val="center"/>
            </w:pPr>
            <w:r>
              <w:rPr>
                <w:rFonts w:ascii="Verdana" w:eastAsia="Verdana" w:hAnsi="Verdana" w:cs="Verdana"/>
                <w:b/>
                <w:color w:val="FFFFFF"/>
                <w:sz w:val="18"/>
              </w:rPr>
              <w:t>Fund Membership</w:t>
            </w:r>
          </w:p>
        </w:tc>
        <w:tc>
          <w:tcPr>
            <w:tcW w:w="177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2017/18</w:t>
            </w:r>
          </w:p>
        </w:tc>
      </w:tr>
      <w:tr w:rsidR="00576F87">
        <w:trPr>
          <w:trHeight w:val="305"/>
        </w:trPr>
        <w:tc>
          <w:tcPr>
            <w:tcW w:w="175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8"/>
              <w:jc w:val="right"/>
            </w:pPr>
            <w:r>
              <w:rPr>
                <w:rFonts w:ascii="Verdana" w:eastAsia="Verdana" w:hAnsi="Verdana" w:cs="Verdana"/>
                <w:b/>
                <w:sz w:val="20"/>
              </w:rPr>
              <w:t>£000</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2"/>
              <w:jc w:val="center"/>
            </w:pPr>
            <w:r>
              <w:rPr>
                <w:rFonts w:ascii="Verdana" w:eastAsia="Verdana" w:hAnsi="Verdana" w:cs="Verdana"/>
                <w:b/>
                <w:color w:val="FFFFFF"/>
                <w:sz w:val="18"/>
              </w:rPr>
              <w:t>23211</w:t>
            </w:r>
          </w:p>
        </w:tc>
        <w:tc>
          <w:tcPr>
            <w:tcW w:w="177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8"/>
              <w:jc w:val="right"/>
            </w:pPr>
            <w:r>
              <w:rPr>
                <w:rFonts w:ascii="Verdana" w:eastAsia="Verdana" w:hAnsi="Verdana" w:cs="Verdana"/>
                <w:b/>
                <w:sz w:val="20"/>
              </w:rPr>
              <w:t>£000</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77,801</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Employers - normal</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71,051</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lastRenderedPageBreak/>
              <w:t>42,456</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Employers - additional</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30,801</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6,826</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Employers - one off deficit payment</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38,429</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36,657</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Members - normal</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39,096</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1,945</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Cessation valuations</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1,527</w:t>
            </w:r>
          </w:p>
        </w:tc>
      </w:tr>
      <w:tr w:rsidR="00576F87">
        <w:trPr>
          <w:trHeight w:val="276"/>
        </w:trPr>
        <w:tc>
          <w:tcPr>
            <w:tcW w:w="175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165,685</w:t>
            </w:r>
          </w:p>
        </w:tc>
        <w:tc>
          <w:tcPr>
            <w:tcW w:w="572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180,904</w:t>
            </w:r>
          </w:p>
        </w:tc>
      </w:tr>
    </w:tbl>
    <w:p w:rsidR="00576F87" w:rsidRDefault="004165F5">
      <w:pPr>
        <w:spacing w:after="3" w:line="264" w:lineRule="auto"/>
        <w:ind w:left="2" w:right="12" w:hanging="10"/>
        <w:jc w:val="both"/>
      </w:pPr>
      <w:r>
        <w:rPr>
          <w:rFonts w:ascii="Verdana" w:eastAsia="Verdana" w:hAnsi="Verdana" w:cs="Verdana"/>
          <w:sz w:val="20"/>
        </w:rPr>
        <w:t>By Authority</w:t>
      </w:r>
    </w:p>
    <w:tbl>
      <w:tblPr>
        <w:tblStyle w:val="TableGrid"/>
        <w:tblW w:w="9250" w:type="dxa"/>
        <w:tblInd w:w="-34" w:type="dxa"/>
        <w:tblCellMar>
          <w:top w:w="34" w:type="dxa"/>
          <w:left w:w="36" w:type="dxa"/>
          <w:bottom w:w="13" w:type="dxa"/>
          <w:right w:w="33" w:type="dxa"/>
        </w:tblCellMar>
        <w:tblLook w:val="04A0" w:firstRow="1" w:lastRow="0" w:firstColumn="1" w:lastColumn="0" w:noHBand="0" w:noVBand="1"/>
      </w:tblPr>
      <w:tblGrid>
        <w:gridCol w:w="1754"/>
        <w:gridCol w:w="5722"/>
        <w:gridCol w:w="1774"/>
      </w:tblGrid>
      <w:tr w:rsidR="00576F87">
        <w:trPr>
          <w:trHeight w:val="377"/>
        </w:trPr>
        <w:tc>
          <w:tcPr>
            <w:tcW w:w="175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5"/>
              <w:jc w:val="right"/>
            </w:pPr>
            <w:r>
              <w:rPr>
                <w:rFonts w:ascii="Verdana" w:eastAsia="Verdana" w:hAnsi="Verdana" w:cs="Verdana"/>
                <w:b/>
                <w:color w:val="FFFFFF"/>
                <w:sz w:val="18"/>
              </w:rPr>
              <w:t>2016/17</w:t>
            </w:r>
          </w:p>
        </w:tc>
        <w:tc>
          <w:tcPr>
            <w:tcW w:w="572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5"/>
              <w:jc w:val="right"/>
            </w:pPr>
            <w:r>
              <w:rPr>
                <w:rFonts w:ascii="Verdana" w:eastAsia="Verdana" w:hAnsi="Verdana" w:cs="Verdana"/>
                <w:b/>
                <w:color w:val="FFFFFF"/>
                <w:sz w:val="18"/>
              </w:rPr>
              <w:t>2017/18</w:t>
            </w:r>
          </w:p>
        </w:tc>
      </w:tr>
      <w:tr w:rsidR="00576F87">
        <w:trPr>
          <w:trHeight w:val="319"/>
        </w:trPr>
        <w:tc>
          <w:tcPr>
            <w:tcW w:w="175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2"/>
              <w:jc w:val="right"/>
            </w:pPr>
            <w:r>
              <w:rPr>
                <w:rFonts w:ascii="Verdana" w:eastAsia="Verdana" w:hAnsi="Verdana" w:cs="Verdana"/>
                <w:b/>
                <w:sz w:val="20"/>
              </w:rPr>
              <w:t>£000</w:t>
            </w:r>
          </w:p>
        </w:tc>
        <w:tc>
          <w:tcPr>
            <w:tcW w:w="5722" w:type="dxa"/>
            <w:tcBorders>
              <w:top w:val="single" w:sz="8" w:space="0" w:color="35437C"/>
              <w:left w:val="single" w:sz="8" w:space="0" w:color="35437C"/>
              <w:bottom w:val="single" w:sz="8" w:space="0" w:color="35437C"/>
              <w:right w:val="single" w:sz="8" w:space="0" w:color="35437C"/>
            </w:tcBorders>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2"/>
              <w:jc w:val="right"/>
            </w:pPr>
            <w:r>
              <w:rPr>
                <w:rFonts w:ascii="Verdana" w:eastAsia="Verdana" w:hAnsi="Verdana" w:cs="Verdana"/>
                <w:b/>
                <w:sz w:val="20"/>
              </w:rPr>
              <w:t>£000</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0"/>
              <w:jc w:val="right"/>
            </w:pPr>
            <w:r>
              <w:rPr>
                <w:rFonts w:ascii="Verdana" w:eastAsia="Verdana" w:hAnsi="Verdana" w:cs="Verdana"/>
                <w:sz w:val="20"/>
              </w:rPr>
              <w:t>76,965</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7"/>
            </w:pPr>
            <w:r>
              <w:rPr>
                <w:rFonts w:ascii="Verdana" w:eastAsia="Verdana" w:hAnsi="Verdana" w:cs="Verdana"/>
                <w:sz w:val="20"/>
              </w:rPr>
              <w:t>Scheduled bodies</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0"/>
              <w:jc w:val="right"/>
            </w:pPr>
            <w:r>
              <w:rPr>
                <w:rFonts w:ascii="Verdana" w:eastAsia="Verdana" w:hAnsi="Verdana" w:cs="Verdana"/>
                <w:sz w:val="20"/>
              </w:rPr>
              <w:t>58,855</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0"/>
              <w:jc w:val="right"/>
            </w:pPr>
            <w:r>
              <w:rPr>
                <w:rFonts w:ascii="Verdana" w:eastAsia="Verdana" w:hAnsi="Verdana" w:cs="Verdana"/>
                <w:sz w:val="20"/>
              </w:rPr>
              <w:t>86,728</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7"/>
            </w:pPr>
            <w:r>
              <w:rPr>
                <w:rFonts w:ascii="Verdana" w:eastAsia="Verdana" w:hAnsi="Verdana" w:cs="Verdana"/>
                <w:sz w:val="20"/>
              </w:rPr>
              <w:t>Admitted bodies</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0"/>
              <w:jc w:val="right"/>
            </w:pPr>
            <w:r>
              <w:rPr>
                <w:rFonts w:ascii="Verdana" w:eastAsia="Verdana" w:hAnsi="Verdana" w:cs="Verdana"/>
                <w:sz w:val="20"/>
              </w:rPr>
              <w:t>120,282</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0"/>
              <w:jc w:val="right"/>
            </w:pPr>
            <w:r>
              <w:rPr>
                <w:rFonts w:ascii="Verdana" w:eastAsia="Verdana" w:hAnsi="Verdana" w:cs="Verdana"/>
                <w:sz w:val="20"/>
              </w:rPr>
              <w:t>380</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7"/>
            </w:pPr>
            <w:r>
              <w:rPr>
                <w:rFonts w:ascii="Verdana" w:eastAsia="Verdana" w:hAnsi="Verdana" w:cs="Verdana"/>
                <w:sz w:val="20"/>
              </w:rPr>
              <w:t>Community admission body</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0"/>
              <w:jc w:val="right"/>
            </w:pPr>
            <w:r>
              <w:rPr>
                <w:rFonts w:ascii="Verdana" w:eastAsia="Verdana" w:hAnsi="Verdana" w:cs="Verdana"/>
                <w:sz w:val="20"/>
              </w:rPr>
              <w:t>419</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0"/>
              <w:jc w:val="right"/>
            </w:pPr>
            <w:r>
              <w:rPr>
                <w:rFonts w:ascii="Verdana" w:eastAsia="Verdana" w:hAnsi="Verdana" w:cs="Verdana"/>
                <w:sz w:val="20"/>
              </w:rPr>
              <w:t>1,612</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7"/>
            </w:pPr>
            <w:r>
              <w:rPr>
                <w:rFonts w:ascii="Verdana" w:eastAsia="Verdana" w:hAnsi="Verdana" w:cs="Verdana"/>
                <w:sz w:val="20"/>
              </w:rPr>
              <w:t>Transferee admission body</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0"/>
              <w:jc w:val="right"/>
            </w:pPr>
            <w:r>
              <w:rPr>
                <w:rFonts w:ascii="Verdana" w:eastAsia="Verdana" w:hAnsi="Verdana" w:cs="Verdana"/>
                <w:sz w:val="20"/>
              </w:rPr>
              <w:t>1,348</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5"/>
              <w:jc w:val="right"/>
            </w:pPr>
            <w:r>
              <w:rPr>
                <w:rFonts w:ascii="Verdana" w:eastAsia="Verdana" w:hAnsi="Verdana" w:cs="Verdana"/>
                <w:b/>
                <w:color w:val="FFFFFF"/>
                <w:sz w:val="18"/>
              </w:rPr>
              <w:t>165,685</w:t>
            </w:r>
          </w:p>
        </w:tc>
        <w:tc>
          <w:tcPr>
            <w:tcW w:w="572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5"/>
              <w:jc w:val="right"/>
            </w:pPr>
            <w:r>
              <w:rPr>
                <w:rFonts w:ascii="Verdana" w:eastAsia="Verdana" w:hAnsi="Verdana" w:cs="Verdana"/>
                <w:b/>
                <w:color w:val="FFFFFF"/>
                <w:sz w:val="18"/>
              </w:rPr>
              <w:t>180,904</w:t>
            </w:r>
          </w:p>
        </w:tc>
      </w:tr>
      <w:tr w:rsidR="00576F87">
        <w:trPr>
          <w:trHeight w:val="1421"/>
        </w:trPr>
        <w:tc>
          <w:tcPr>
            <w:tcW w:w="9250" w:type="dxa"/>
            <w:gridSpan w:val="3"/>
            <w:tcBorders>
              <w:top w:val="single" w:sz="8" w:space="0" w:color="35437C"/>
              <w:left w:val="nil"/>
              <w:bottom w:val="nil"/>
              <w:right w:val="nil"/>
            </w:tcBorders>
            <w:shd w:val="clear" w:color="auto" w:fill="FFFFFF"/>
            <w:vAlign w:val="bottom"/>
          </w:tcPr>
          <w:p w:rsidR="00576F87" w:rsidRDefault="004165F5">
            <w:pPr>
              <w:spacing w:after="84"/>
              <w:ind w:left="7"/>
            </w:pPr>
            <w:r>
              <w:rPr>
                <w:rFonts w:ascii="Verdana" w:eastAsia="Verdana" w:hAnsi="Verdana" w:cs="Verdana"/>
                <w:b/>
                <w:sz w:val="20"/>
              </w:rPr>
              <w:t>Additional deficit contribution</w:t>
            </w:r>
          </w:p>
          <w:p w:rsidR="00576F87" w:rsidRDefault="004165F5">
            <w:pPr>
              <w:spacing w:after="0"/>
              <w:jc w:val="both"/>
            </w:pPr>
            <w:r>
              <w:rPr>
                <w:rFonts w:ascii="Verdana" w:eastAsia="Verdana" w:hAnsi="Verdana" w:cs="Verdana"/>
                <w:sz w:val="18"/>
              </w:rPr>
              <w:t>Employers in the fund continue to approach LPFA regarding additional one off contributions to the fund in order to assist in clearing their respective deficit positions LPFA enters into these discussions supported by stateme</w:t>
            </w:r>
            <w:r>
              <w:rPr>
                <w:rFonts w:ascii="Verdana" w:eastAsia="Verdana" w:hAnsi="Verdana" w:cs="Verdana"/>
                <w:sz w:val="18"/>
              </w:rPr>
              <w:t xml:space="preserve">nts from the fund actuary.     </w:t>
            </w:r>
          </w:p>
        </w:tc>
      </w:tr>
    </w:tbl>
    <w:p w:rsidR="00576F87" w:rsidRDefault="004165F5">
      <w:pPr>
        <w:pStyle w:val="Heading3"/>
        <w:spacing w:after="0"/>
        <w:ind w:left="5" w:hanging="8"/>
      </w:pPr>
      <w:r>
        <w:rPr>
          <w:color w:val="000000"/>
        </w:rPr>
        <w:t>7. Transfers in from other pension funds</w:t>
      </w:r>
    </w:p>
    <w:tbl>
      <w:tblPr>
        <w:tblStyle w:val="TableGrid"/>
        <w:tblW w:w="9250" w:type="dxa"/>
        <w:tblInd w:w="-34" w:type="dxa"/>
        <w:tblCellMar>
          <w:top w:w="57" w:type="dxa"/>
          <w:left w:w="36" w:type="dxa"/>
          <w:bottom w:w="13" w:type="dxa"/>
          <w:right w:w="33" w:type="dxa"/>
        </w:tblCellMar>
        <w:tblLook w:val="04A0" w:firstRow="1" w:lastRow="0" w:firstColumn="1" w:lastColumn="0" w:noHBand="0" w:noVBand="1"/>
      </w:tblPr>
      <w:tblGrid>
        <w:gridCol w:w="1754"/>
        <w:gridCol w:w="5722"/>
        <w:gridCol w:w="1774"/>
      </w:tblGrid>
      <w:tr w:rsidR="00576F87">
        <w:trPr>
          <w:trHeight w:val="245"/>
        </w:trPr>
        <w:tc>
          <w:tcPr>
            <w:tcW w:w="175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5"/>
              <w:jc w:val="right"/>
            </w:pPr>
            <w:r>
              <w:rPr>
                <w:rFonts w:ascii="Verdana" w:eastAsia="Verdana" w:hAnsi="Verdana" w:cs="Verdana"/>
                <w:b/>
                <w:color w:val="FFFFFF"/>
                <w:sz w:val="18"/>
              </w:rPr>
              <w:t>2016/17</w:t>
            </w:r>
          </w:p>
        </w:tc>
        <w:tc>
          <w:tcPr>
            <w:tcW w:w="572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5"/>
              <w:jc w:val="right"/>
            </w:pPr>
            <w:r>
              <w:rPr>
                <w:rFonts w:ascii="Verdana" w:eastAsia="Verdana" w:hAnsi="Verdana" w:cs="Verdana"/>
                <w:b/>
                <w:color w:val="FFFFFF"/>
                <w:sz w:val="18"/>
              </w:rPr>
              <w:t>2017/18</w:t>
            </w:r>
          </w:p>
        </w:tc>
      </w:tr>
      <w:tr w:rsidR="00576F87">
        <w:trPr>
          <w:trHeight w:val="319"/>
        </w:trPr>
        <w:tc>
          <w:tcPr>
            <w:tcW w:w="175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3"/>
              <w:jc w:val="right"/>
            </w:pPr>
            <w:r>
              <w:rPr>
                <w:rFonts w:ascii="Verdana" w:eastAsia="Verdana" w:hAnsi="Verdana" w:cs="Verdana"/>
                <w:b/>
                <w:sz w:val="20"/>
              </w:rPr>
              <w:t>£000</w:t>
            </w:r>
          </w:p>
        </w:tc>
        <w:tc>
          <w:tcPr>
            <w:tcW w:w="5722" w:type="dxa"/>
            <w:tcBorders>
              <w:top w:val="single" w:sz="8" w:space="0" w:color="35437C"/>
              <w:left w:val="single" w:sz="8" w:space="0" w:color="35437C"/>
              <w:bottom w:val="single" w:sz="8" w:space="0" w:color="35437C"/>
              <w:right w:val="single" w:sz="8" w:space="0" w:color="35437C"/>
            </w:tcBorders>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3"/>
              <w:jc w:val="right"/>
            </w:pPr>
            <w:r>
              <w:rPr>
                <w:rFonts w:ascii="Verdana" w:eastAsia="Verdana" w:hAnsi="Verdana" w:cs="Verdana"/>
                <w:b/>
                <w:sz w:val="20"/>
              </w:rPr>
              <w:t>£000</w:t>
            </w:r>
          </w:p>
        </w:tc>
      </w:tr>
      <w:tr w:rsidR="00576F87">
        <w:trPr>
          <w:trHeight w:val="290"/>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7"/>
            </w:pPr>
            <w:r>
              <w:rPr>
                <w:rFonts w:ascii="Verdana" w:eastAsia="Verdana" w:hAnsi="Verdana" w:cs="Verdana"/>
                <w:sz w:val="20"/>
              </w:rPr>
              <w:t>Group transfers</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154,685</w:t>
            </w:r>
          </w:p>
        </w:tc>
      </w:tr>
      <w:tr w:rsidR="00576F87">
        <w:trPr>
          <w:trHeight w:val="290"/>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8,071</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7"/>
            </w:pPr>
            <w:r>
              <w:rPr>
                <w:rFonts w:ascii="Verdana" w:eastAsia="Verdana" w:hAnsi="Verdana" w:cs="Verdana"/>
                <w:sz w:val="20"/>
              </w:rPr>
              <w:t>Individual transfers</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10,749</w:t>
            </w:r>
          </w:p>
        </w:tc>
      </w:tr>
      <w:tr w:rsidR="00576F87">
        <w:trPr>
          <w:trHeight w:val="290"/>
        </w:trPr>
        <w:tc>
          <w:tcPr>
            <w:tcW w:w="175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5"/>
              <w:jc w:val="right"/>
            </w:pPr>
            <w:r>
              <w:rPr>
                <w:rFonts w:ascii="Verdana" w:eastAsia="Verdana" w:hAnsi="Verdana" w:cs="Verdana"/>
                <w:b/>
                <w:color w:val="FFFFFF"/>
                <w:sz w:val="18"/>
              </w:rPr>
              <w:t>8,071</w:t>
            </w:r>
          </w:p>
        </w:tc>
        <w:tc>
          <w:tcPr>
            <w:tcW w:w="572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5"/>
              <w:jc w:val="right"/>
            </w:pPr>
            <w:r>
              <w:rPr>
                <w:rFonts w:ascii="Verdana" w:eastAsia="Verdana" w:hAnsi="Verdana" w:cs="Verdana"/>
                <w:b/>
                <w:color w:val="FFFFFF"/>
                <w:sz w:val="18"/>
              </w:rPr>
              <w:t>165,434</w:t>
            </w:r>
          </w:p>
        </w:tc>
      </w:tr>
      <w:tr w:rsidR="00576F87">
        <w:trPr>
          <w:trHeight w:val="862"/>
        </w:trPr>
        <w:tc>
          <w:tcPr>
            <w:tcW w:w="9250" w:type="dxa"/>
            <w:gridSpan w:val="3"/>
            <w:tcBorders>
              <w:top w:val="single" w:sz="8" w:space="0" w:color="35437C"/>
              <w:left w:val="nil"/>
              <w:bottom w:val="nil"/>
              <w:right w:val="nil"/>
            </w:tcBorders>
            <w:shd w:val="clear" w:color="auto" w:fill="FFFFFF"/>
            <w:vAlign w:val="bottom"/>
          </w:tcPr>
          <w:p w:rsidR="00576F87" w:rsidRDefault="004165F5">
            <w:pPr>
              <w:spacing w:after="0"/>
              <w:jc w:val="both"/>
            </w:pPr>
            <w:r>
              <w:rPr>
                <w:rFonts w:ascii="Verdana" w:eastAsia="Verdana" w:hAnsi="Verdana" w:cs="Verdana"/>
                <w:sz w:val="18"/>
              </w:rPr>
              <w:t>The Group transfers related to Redbridge, Kingston College, Carshalton College, Bromley College, Bexley College and North West London College merging their scheme with existing participating employers</w:t>
            </w:r>
          </w:p>
        </w:tc>
      </w:tr>
    </w:tbl>
    <w:p w:rsidR="00576F87" w:rsidRDefault="004165F5">
      <w:pPr>
        <w:pStyle w:val="Heading3"/>
        <w:spacing w:after="0"/>
        <w:ind w:left="5" w:right="8025" w:hanging="8"/>
      </w:pPr>
      <w:r>
        <w:rPr>
          <w:color w:val="000000"/>
        </w:rPr>
        <w:t xml:space="preserve">8. Benefits </w:t>
      </w:r>
      <w:r>
        <w:rPr>
          <w:b w:val="0"/>
          <w:color w:val="000000"/>
        </w:rPr>
        <w:t>By Category</w:t>
      </w:r>
    </w:p>
    <w:tbl>
      <w:tblPr>
        <w:tblStyle w:val="TableGrid"/>
        <w:tblW w:w="9250" w:type="dxa"/>
        <w:tblInd w:w="-34" w:type="dxa"/>
        <w:tblCellMar>
          <w:top w:w="34" w:type="dxa"/>
          <w:left w:w="43" w:type="dxa"/>
          <w:bottom w:w="13" w:type="dxa"/>
          <w:right w:w="38" w:type="dxa"/>
        </w:tblCellMar>
        <w:tblLook w:val="04A0" w:firstRow="1" w:lastRow="0" w:firstColumn="1" w:lastColumn="0" w:noHBand="0" w:noVBand="1"/>
      </w:tblPr>
      <w:tblGrid>
        <w:gridCol w:w="1754"/>
        <w:gridCol w:w="5722"/>
        <w:gridCol w:w="1774"/>
      </w:tblGrid>
      <w:tr w:rsidR="00576F87">
        <w:trPr>
          <w:trHeight w:val="245"/>
        </w:trPr>
        <w:tc>
          <w:tcPr>
            <w:tcW w:w="175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2016/17</w:t>
            </w:r>
          </w:p>
        </w:tc>
        <w:tc>
          <w:tcPr>
            <w:tcW w:w="572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2017/18</w:t>
            </w:r>
          </w:p>
        </w:tc>
      </w:tr>
      <w:tr w:rsidR="00576F87">
        <w:trPr>
          <w:trHeight w:val="336"/>
        </w:trPr>
        <w:tc>
          <w:tcPr>
            <w:tcW w:w="1754" w:type="dxa"/>
            <w:tcBorders>
              <w:top w:val="single" w:sz="8" w:space="0" w:color="35437C"/>
              <w:left w:val="single" w:sz="8" w:space="0" w:color="35437C"/>
              <w:bottom w:val="single" w:sz="8" w:space="0" w:color="35437C"/>
              <w:right w:val="single" w:sz="8" w:space="0" w:color="35437C"/>
            </w:tcBorders>
            <w:shd w:val="clear" w:color="auto" w:fill="FFFFFF"/>
            <w:vAlign w:val="bottom"/>
          </w:tcPr>
          <w:p w:rsidR="00576F87" w:rsidRDefault="004165F5">
            <w:pPr>
              <w:spacing w:after="0"/>
              <w:ind w:right="8"/>
              <w:jc w:val="right"/>
            </w:pPr>
            <w:r>
              <w:rPr>
                <w:rFonts w:ascii="Verdana" w:eastAsia="Verdana" w:hAnsi="Verdana" w:cs="Verdana"/>
                <w:b/>
                <w:sz w:val="20"/>
              </w:rPr>
              <w:t>£000</w:t>
            </w:r>
          </w:p>
        </w:tc>
        <w:tc>
          <w:tcPr>
            <w:tcW w:w="5722" w:type="dxa"/>
            <w:tcBorders>
              <w:top w:val="single" w:sz="8" w:space="0" w:color="35437C"/>
              <w:left w:val="single" w:sz="8" w:space="0" w:color="35437C"/>
              <w:bottom w:val="single" w:sz="8" w:space="0" w:color="35437C"/>
              <w:right w:val="single" w:sz="8" w:space="0" w:color="35437C"/>
            </w:tcBorders>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FFFFFF"/>
            <w:vAlign w:val="bottom"/>
          </w:tcPr>
          <w:p w:rsidR="00576F87" w:rsidRDefault="004165F5">
            <w:pPr>
              <w:spacing w:after="0"/>
              <w:ind w:right="8"/>
              <w:jc w:val="right"/>
            </w:pPr>
            <w:r>
              <w:rPr>
                <w:rFonts w:ascii="Verdana" w:eastAsia="Verdana" w:hAnsi="Verdana" w:cs="Verdana"/>
                <w:b/>
                <w:sz w:val="20"/>
              </w:rPr>
              <w:t>£000</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212,528</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Pensions</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212,289</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30,662</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Commutation and lump sum retirement benefits</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30,562</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2,559</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Lump sum death benefits</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2,841</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245,749</w:t>
            </w:r>
          </w:p>
        </w:tc>
        <w:tc>
          <w:tcPr>
            <w:tcW w:w="572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245,692</w:t>
            </w:r>
          </w:p>
        </w:tc>
      </w:tr>
    </w:tbl>
    <w:p w:rsidR="00576F87" w:rsidRDefault="004165F5">
      <w:pPr>
        <w:spacing w:after="3" w:line="264" w:lineRule="auto"/>
        <w:ind w:left="2" w:right="12" w:hanging="10"/>
        <w:jc w:val="both"/>
      </w:pPr>
      <w:r>
        <w:rPr>
          <w:rFonts w:ascii="Verdana" w:eastAsia="Verdana" w:hAnsi="Verdana" w:cs="Verdana"/>
          <w:sz w:val="20"/>
        </w:rPr>
        <w:t>By Authority</w:t>
      </w:r>
    </w:p>
    <w:tbl>
      <w:tblPr>
        <w:tblStyle w:val="TableGrid"/>
        <w:tblW w:w="9249" w:type="dxa"/>
        <w:tblInd w:w="-33" w:type="dxa"/>
        <w:tblCellMar>
          <w:top w:w="34" w:type="dxa"/>
          <w:left w:w="35" w:type="dxa"/>
          <w:bottom w:w="0" w:type="dxa"/>
          <w:right w:w="32" w:type="dxa"/>
        </w:tblCellMar>
        <w:tblLook w:val="04A0" w:firstRow="1" w:lastRow="0" w:firstColumn="1" w:lastColumn="0" w:noHBand="0" w:noVBand="1"/>
      </w:tblPr>
      <w:tblGrid>
        <w:gridCol w:w="1754"/>
        <w:gridCol w:w="5721"/>
        <w:gridCol w:w="1774"/>
      </w:tblGrid>
      <w:tr w:rsidR="00576F87">
        <w:trPr>
          <w:trHeight w:val="245"/>
        </w:trPr>
        <w:tc>
          <w:tcPr>
            <w:tcW w:w="175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2016/17</w:t>
            </w:r>
          </w:p>
        </w:tc>
        <w:tc>
          <w:tcPr>
            <w:tcW w:w="572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2017/18</w:t>
            </w:r>
          </w:p>
        </w:tc>
      </w:tr>
      <w:tr w:rsidR="00576F87">
        <w:trPr>
          <w:trHeight w:val="305"/>
        </w:trPr>
        <w:tc>
          <w:tcPr>
            <w:tcW w:w="175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3"/>
              <w:jc w:val="right"/>
            </w:pPr>
            <w:r>
              <w:rPr>
                <w:rFonts w:ascii="Verdana" w:eastAsia="Verdana" w:hAnsi="Verdana" w:cs="Verdana"/>
                <w:b/>
                <w:sz w:val="20"/>
              </w:rPr>
              <w:lastRenderedPageBreak/>
              <w:t>£000</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4"/>
              <w:jc w:val="right"/>
            </w:pPr>
            <w:r>
              <w:rPr>
                <w:rFonts w:ascii="Verdana" w:eastAsia="Verdana" w:hAnsi="Verdana" w:cs="Verdana"/>
                <w:b/>
                <w:sz w:val="20"/>
              </w:rPr>
              <w:t>£000</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162,627</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8"/>
            </w:pPr>
            <w:r>
              <w:rPr>
                <w:rFonts w:ascii="Verdana" w:eastAsia="Verdana" w:hAnsi="Verdana" w:cs="Verdana"/>
                <w:sz w:val="20"/>
              </w:rPr>
              <w:t>Scheduled bodies</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159,098</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81,688</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8"/>
            </w:pPr>
            <w:r>
              <w:rPr>
                <w:rFonts w:ascii="Verdana" w:eastAsia="Verdana" w:hAnsi="Verdana" w:cs="Verdana"/>
                <w:sz w:val="20"/>
              </w:rPr>
              <w:t>Admitted bodies</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85,111</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2"/>
              <w:jc w:val="right"/>
            </w:pPr>
            <w:r>
              <w:rPr>
                <w:rFonts w:ascii="Verdana" w:eastAsia="Verdana" w:hAnsi="Verdana" w:cs="Verdana"/>
                <w:sz w:val="20"/>
              </w:rPr>
              <w:t>404</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8"/>
            </w:pPr>
            <w:r>
              <w:rPr>
                <w:rFonts w:ascii="Verdana" w:eastAsia="Verdana" w:hAnsi="Verdana" w:cs="Verdana"/>
                <w:sz w:val="20"/>
              </w:rPr>
              <w:t>Community admission body</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2"/>
              <w:jc w:val="right"/>
            </w:pPr>
            <w:r>
              <w:rPr>
                <w:rFonts w:ascii="Verdana" w:eastAsia="Verdana" w:hAnsi="Verdana" w:cs="Verdana"/>
                <w:sz w:val="20"/>
              </w:rPr>
              <w:t>474</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2"/>
              <w:jc w:val="right"/>
            </w:pPr>
            <w:r>
              <w:rPr>
                <w:rFonts w:ascii="Verdana" w:eastAsia="Verdana" w:hAnsi="Verdana" w:cs="Verdana"/>
                <w:sz w:val="20"/>
              </w:rPr>
              <w:t>990</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8"/>
            </w:pPr>
            <w:r>
              <w:rPr>
                <w:rFonts w:ascii="Verdana" w:eastAsia="Verdana" w:hAnsi="Verdana" w:cs="Verdana"/>
                <w:sz w:val="20"/>
              </w:rPr>
              <w:t>Transferee admission body</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2"/>
              <w:jc w:val="right"/>
            </w:pPr>
            <w:r>
              <w:rPr>
                <w:rFonts w:ascii="Verdana" w:eastAsia="Verdana" w:hAnsi="Verdana" w:cs="Verdana"/>
                <w:sz w:val="20"/>
              </w:rPr>
              <w:t>968</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2"/>
              <w:jc w:val="right"/>
            </w:pPr>
            <w:r>
              <w:rPr>
                <w:rFonts w:ascii="Verdana" w:eastAsia="Verdana" w:hAnsi="Verdana" w:cs="Verdana"/>
                <w:sz w:val="20"/>
              </w:rPr>
              <w:t>40</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8"/>
            </w:pPr>
            <w:r>
              <w:rPr>
                <w:rFonts w:ascii="Verdana" w:eastAsia="Verdana" w:hAnsi="Verdana" w:cs="Verdana"/>
                <w:sz w:val="20"/>
              </w:rPr>
              <w:t>Resolution body</w:t>
            </w:r>
          </w:p>
        </w:tc>
        <w:tc>
          <w:tcPr>
            <w:tcW w:w="177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2"/>
              <w:jc w:val="right"/>
            </w:pPr>
            <w:r>
              <w:rPr>
                <w:rFonts w:ascii="Verdana" w:eastAsia="Verdana" w:hAnsi="Verdana" w:cs="Verdana"/>
                <w:sz w:val="20"/>
              </w:rPr>
              <w:t>41</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245,749</w:t>
            </w:r>
          </w:p>
        </w:tc>
        <w:tc>
          <w:tcPr>
            <w:tcW w:w="572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245,692</w:t>
            </w:r>
          </w:p>
        </w:tc>
      </w:tr>
      <w:tr w:rsidR="00576F87">
        <w:trPr>
          <w:trHeight w:val="662"/>
        </w:trPr>
        <w:tc>
          <w:tcPr>
            <w:tcW w:w="9249" w:type="dxa"/>
            <w:gridSpan w:val="3"/>
            <w:tcBorders>
              <w:top w:val="single" w:sz="8" w:space="0" w:color="35437C"/>
              <w:left w:val="nil"/>
              <w:bottom w:val="single" w:sz="8" w:space="0" w:color="35437C"/>
              <w:right w:val="nil"/>
            </w:tcBorders>
            <w:shd w:val="clear" w:color="auto" w:fill="FFFFFF"/>
            <w:vAlign w:val="center"/>
          </w:tcPr>
          <w:p w:rsidR="00576F87" w:rsidRDefault="004165F5">
            <w:pPr>
              <w:spacing w:after="0"/>
              <w:ind w:left="7"/>
            </w:pPr>
            <w:r>
              <w:rPr>
                <w:rFonts w:ascii="Verdana" w:eastAsia="Verdana" w:hAnsi="Verdana" w:cs="Verdana"/>
                <w:b/>
                <w:sz w:val="20"/>
              </w:rPr>
              <w:t>9. Payments to and on account of leavers</w:t>
            </w:r>
          </w:p>
        </w:tc>
      </w:tr>
      <w:tr w:rsidR="00576F87">
        <w:trPr>
          <w:trHeight w:val="336"/>
        </w:trPr>
        <w:tc>
          <w:tcPr>
            <w:tcW w:w="175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2016/17</w:t>
            </w:r>
          </w:p>
        </w:tc>
        <w:tc>
          <w:tcPr>
            <w:tcW w:w="572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2017/18</w:t>
            </w:r>
          </w:p>
        </w:tc>
      </w:tr>
      <w:tr w:rsidR="00576F87">
        <w:trPr>
          <w:trHeight w:val="319"/>
        </w:trPr>
        <w:tc>
          <w:tcPr>
            <w:tcW w:w="175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3"/>
              <w:jc w:val="right"/>
            </w:pPr>
            <w:r>
              <w:rPr>
                <w:rFonts w:ascii="Verdana" w:eastAsia="Verdana" w:hAnsi="Verdana" w:cs="Verdana"/>
                <w:b/>
                <w:sz w:val="20"/>
              </w:rPr>
              <w:t>£000</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4"/>
              <w:jc w:val="right"/>
            </w:pPr>
            <w:r>
              <w:rPr>
                <w:rFonts w:ascii="Verdana" w:eastAsia="Verdana" w:hAnsi="Verdana" w:cs="Verdana"/>
                <w:b/>
                <w:sz w:val="20"/>
              </w:rPr>
              <w:t>£000</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2"/>
              <w:jc w:val="right"/>
            </w:pPr>
            <w:r>
              <w:rPr>
                <w:rFonts w:ascii="Verdana" w:eastAsia="Verdana" w:hAnsi="Verdana" w:cs="Verdana"/>
                <w:sz w:val="20"/>
              </w:rPr>
              <w:t>687</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8"/>
            </w:pPr>
            <w:r>
              <w:rPr>
                <w:rFonts w:ascii="Verdana" w:eastAsia="Verdana" w:hAnsi="Verdana" w:cs="Verdana"/>
                <w:sz w:val="20"/>
              </w:rPr>
              <w:t>Refunds to members leaving service</w:t>
            </w:r>
          </w:p>
        </w:tc>
        <w:tc>
          <w:tcPr>
            <w:tcW w:w="177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2"/>
              <w:jc w:val="right"/>
            </w:pPr>
            <w:r>
              <w:rPr>
                <w:rFonts w:ascii="Verdana" w:eastAsia="Verdana" w:hAnsi="Verdana" w:cs="Verdana"/>
                <w:sz w:val="20"/>
              </w:rPr>
              <w:t>684</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2"/>
              <w:jc w:val="right"/>
            </w:pPr>
            <w:r>
              <w:rPr>
                <w:rFonts w:ascii="Verdana" w:eastAsia="Verdana" w:hAnsi="Verdana" w:cs="Verdana"/>
                <w:sz w:val="20"/>
              </w:rPr>
              <w:t>(9)</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8"/>
            </w:pPr>
            <w:r>
              <w:rPr>
                <w:rFonts w:ascii="Verdana" w:eastAsia="Verdana" w:hAnsi="Verdana" w:cs="Verdana"/>
                <w:sz w:val="20"/>
              </w:rPr>
              <w:t>Payments for members joining state scheme</w:t>
            </w:r>
          </w:p>
        </w:tc>
        <w:tc>
          <w:tcPr>
            <w:tcW w:w="177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1"/>
              <w:jc w:val="right"/>
            </w:pPr>
            <w:r>
              <w:rPr>
                <w:rFonts w:ascii="Verdana" w:eastAsia="Verdana" w:hAnsi="Verdana" w:cs="Verdana"/>
                <w:sz w:val="20"/>
              </w:rPr>
              <w:t>13,132</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2"/>
              <w:jc w:val="right"/>
            </w:pPr>
            <w:r>
              <w:rPr>
                <w:rFonts w:ascii="Verdana" w:eastAsia="Verdana" w:hAnsi="Verdana" w:cs="Verdana"/>
                <w:sz w:val="20"/>
              </w:rPr>
              <w:t>42</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8"/>
            </w:pPr>
            <w:r>
              <w:rPr>
                <w:rFonts w:ascii="Verdana" w:eastAsia="Verdana" w:hAnsi="Verdana" w:cs="Verdana"/>
                <w:sz w:val="20"/>
              </w:rPr>
              <w:t>Group transfers</w:t>
            </w:r>
          </w:p>
        </w:tc>
        <w:tc>
          <w:tcPr>
            <w:tcW w:w="177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1"/>
              <w:jc w:val="right"/>
            </w:pPr>
            <w:r>
              <w:rPr>
                <w:rFonts w:ascii="Verdana" w:eastAsia="Verdana" w:hAnsi="Verdana" w:cs="Verdana"/>
                <w:sz w:val="20"/>
              </w:rPr>
              <w:t>2,972</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1"/>
              <w:jc w:val="right"/>
            </w:pPr>
            <w:r>
              <w:rPr>
                <w:rFonts w:ascii="Verdana" w:eastAsia="Verdana" w:hAnsi="Verdana" w:cs="Verdana"/>
                <w:sz w:val="20"/>
              </w:rPr>
              <w:t>12,346</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8"/>
            </w:pPr>
            <w:r>
              <w:rPr>
                <w:rFonts w:ascii="Verdana" w:eastAsia="Verdana" w:hAnsi="Verdana" w:cs="Verdana"/>
                <w:sz w:val="20"/>
              </w:rPr>
              <w:t>Individual transfers</w:t>
            </w:r>
          </w:p>
        </w:tc>
        <w:tc>
          <w:tcPr>
            <w:tcW w:w="177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2"/>
              <w:jc w:val="right"/>
            </w:pPr>
            <w:r>
              <w:rPr>
                <w:rFonts w:ascii="Verdana" w:eastAsia="Verdana" w:hAnsi="Verdana" w:cs="Verdana"/>
                <w:sz w:val="20"/>
              </w:rPr>
              <w:t>40</w:t>
            </w:r>
          </w:p>
        </w:tc>
      </w:tr>
      <w:tr w:rsidR="00576F87">
        <w:trPr>
          <w:trHeight w:val="245"/>
        </w:trPr>
        <w:tc>
          <w:tcPr>
            <w:tcW w:w="175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13,066</w:t>
            </w:r>
          </w:p>
        </w:tc>
        <w:tc>
          <w:tcPr>
            <w:tcW w:w="572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16,828</w:t>
            </w:r>
          </w:p>
        </w:tc>
      </w:tr>
      <w:tr w:rsidR="00576F87">
        <w:trPr>
          <w:trHeight w:val="662"/>
        </w:trPr>
        <w:tc>
          <w:tcPr>
            <w:tcW w:w="9249" w:type="dxa"/>
            <w:gridSpan w:val="3"/>
            <w:tcBorders>
              <w:top w:val="single" w:sz="8" w:space="0" w:color="35437C"/>
              <w:left w:val="nil"/>
              <w:bottom w:val="single" w:sz="15" w:space="0" w:color="35437C"/>
              <w:right w:val="nil"/>
            </w:tcBorders>
            <w:shd w:val="clear" w:color="auto" w:fill="FFFFFF"/>
            <w:vAlign w:val="center"/>
          </w:tcPr>
          <w:p w:rsidR="00576F87" w:rsidRDefault="004165F5">
            <w:pPr>
              <w:spacing w:after="0"/>
              <w:ind w:left="7"/>
            </w:pPr>
            <w:r>
              <w:rPr>
                <w:rFonts w:ascii="Verdana" w:eastAsia="Verdana" w:hAnsi="Verdana" w:cs="Verdana"/>
                <w:b/>
                <w:sz w:val="20"/>
              </w:rPr>
              <w:t>10a. Management Expenses</w:t>
            </w:r>
          </w:p>
        </w:tc>
      </w:tr>
      <w:tr w:rsidR="00576F87">
        <w:trPr>
          <w:trHeight w:val="329"/>
        </w:trPr>
        <w:tc>
          <w:tcPr>
            <w:tcW w:w="1754"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2016/17</w:t>
            </w:r>
          </w:p>
        </w:tc>
        <w:tc>
          <w:tcPr>
            <w:tcW w:w="5722"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2017/18</w:t>
            </w:r>
          </w:p>
        </w:tc>
      </w:tr>
      <w:tr w:rsidR="00576F87">
        <w:trPr>
          <w:trHeight w:val="319"/>
        </w:trPr>
        <w:tc>
          <w:tcPr>
            <w:tcW w:w="1754"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3"/>
              <w:jc w:val="right"/>
            </w:pPr>
            <w:r>
              <w:rPr>
                <w:rFonts w:ascii="Verdana" w:eastAsia="Verdana" w:hAnsi="Verdana" w:cs="Verdana"/>
                <w:b/>
                <w:sz w:val="20"/>
              </w:rPr>
              <w:t>£000</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4"/>
              <w:jc w:val="right"/>
            </w:pPr>
            <w:r>
              <w:rPr>
                <w:rFonts w:ascii="Verdana" w:eastAsia="Verdana" w:hAnsi="Verdana" w:cs="Verdana"/>
                <w:b/>
                <w:sz w:val="20"/>
              </w:rPr>
              <w:t>£000</w:t>
            </w:r>
          </w:p>
        </w:tc>
      </w:tr>
      <w:tr w:rsidR="00576F87">
        <w:trPr>
          <w:trHeight w:val="319"/>
        </w:trPr>
        <w:tc>
          <w:tcPr>
            <w:tcW w:w="1754"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1"/>
              <w:jc w:val="right"/>
            </w:pPr>
            <w:r>
              <w:rPr>
                <w:rFonts w:ascii="Verdana" w:eastAsia="Verdana" w:hAnsi="Verdana" w:cs="Verdana"/>
                <w:sz w:val="20"/>
              </w:rPr>
              <w:t>48,005</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8"/>
            </w:pPr>
            <w:r>
              <w:rPr>
                <w:rFonts w:ascii="Verdana" w:eastAsia="Verdana" w:hAnsi="Verdana" w:cs="Verdana"/>
                <w:sz w:val="20"/>
              </w:rPr>
              <w:t>Investment Management</w:t>
            </w:r>
          </w:p>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1"/>
              <w:jc w:val="right"/>
            </w:pPr>
            <w:r>
              <w:rPr>
                <w:rFonts w:ascii="Verdana" w:eastAsia="Verdana" w:hAnsi="Verdana" w:cs="Verdana"/>
                <w:sz w:val="20"/>
              </w:rPr>
              <w:t>44,614</w:t>
            </w:r>
          </w:p>
        </w:tc>
      </w:tr>
      <w:tr w:rsidR="00576F87">
        <w:trPr>
          <w:trHeight w:val="245"/>
        </w:trPr>
        <w:tc>
          <w:tcPr>
            <w:tcW w:w="1754"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1"/>
              <w:jc w:val="right"/>
            </w:pPr>
            <w:r>
              <w:rPr>
                <w:rFonts w:ascii="Verdana" w:eastAsia="Verdana" w:hAnsi="Verdana" w:cs="Verdana"/>
                <w:sz w:val="20"/>
              </w:rPr>
              <w:t>2,044</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8"/>
            </w:pPr>
            <w:r>
              <w:rPr>
                <w:rFonts w:ascii="Verdana" w:eastAsia="Verdana" w:hAnsi="Verdana" w:cs="Verdana"/>
                <w:sz w:val="20"/>
              </w:rPr>
              <w:t>Administration</w:t>
            </w:r>
          </w:p>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1"/>
              <w:jc w:val="right"/>
            </w:pPr>
            <w:r>
              <w:rPr>
                <w:rFonts w:ascii="Verdana" w:eastAsia="Verdana" w:hAnsi="Verdana" w:cs="Verdana"/>
                <w:sz w:val="20"/>
              </w:rPr>
              <w:t>1,806</w:t>
            </w:r>
          </w:p>
        </w:tc>
      </w:tr>
      <w:tr w:rsidR="00576F87">
        <w:trPr>
          <w:trHeight w:val="245"/>
        </w:trPr>
        <w:tc>
          <w:tcPr>
            <w:tcW w:w="1754"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1"/>
              <w:jc w:val="right"/>
            </w:pPr>
            <w:r>
              <w:rPr>
                <w:rFonts w:ascii="Verdana" w:eastAsia="Verdana" w:hAnsi="Verdana" w:cs="Verdana"/>
                <w:sz w:val="20"/>
              </w:rPr>
              <w:t>2,694</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8"/>
            </w:pPr>
            <w:r>
              <w:rPr>
                <w:rFonts w:ascii="Verdana" w:eastAsia="Verdana" w:hAnsi="Verdana" w:cs="Verdana"/>
                <w:sz w:val="20"/>
              </w:rPr>
              <w:t>Oversight &amp; Governance</w:t>
            </w:r>
          </w:p>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1"/>
              <w:jc w:val="right"/>
            </w:pPr>
            <w:r>
              <w:rPr>
                <w:rFonts w:ascii="Verdana" w:eastAsia="Verdana" w:hAnsi="Verdana" w:cs="Verdana"/>
                <w:sz w:val="20"/>
              </w:rPr>
              <w:t>1,359</w:t>
            </w:r>
          </w:p>
        </w:tc>
      </w:tr>
      <w:tr w:rsidR="00576F87">
        <w:trPr>
          <w:trHeight w:val="262"/>
        </w:trPr>
        <w:tc>
          <w:tcPr>
            <w:tcW w:w="1754"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52,743</w:t>
            </w:r>
          </w:p>
        </w:tc>
        <w:tc>
          <w:tcPr>
            <w:tcW w:w="5722"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47,779</w:t>
            </w:r>
          </w:p>
        </w:tc>
      </w:tr>
      <w:tr w:rsidR="00576F87">
        <w:trPr>
          <w:trHeight w:val="691"/>
        </w:trPr>
        <w:tc>
          <w:tcPr>
            <w:tcW w:w="9249" w:type="dxa"/>
            <w:gridSpan w:val="3"/>
            <w:tcBorders>
              <w:top w:val="single" w:sz="15" w:space="0" w:color="35437C"/>
              <w:left w:val="nil"/>
              <w:bottom w:val="single" w:sz="15" w:space="0" w:color="35437C"/>
              <w:right w:val="nil"/>
            </w:tcBorders>
            <w:shd w:val="clear" w:color="auto" w:fill="FFFFFF"/>
            <w:vAlign w:val="center"/>
          </w:tcPr>
          <w:p w:rsidR="00576F87" w:rsidRDefault="004165F5">
            <w:pPr>
              <w:spacing w:after="0"/>
              <w:ind w:left="7"/>
            </w:pPr>
            <w:r>
              <w:rPr>
                <w:rFonts w:ascii="Verdana" w:eastAsia="Verdana" w:hAnsi="Verdana" w:cs="Verdana"/>
                <w:b/>
                <w:sz w:val="20"/>
              </w:rPr>
              <w:t>10b. Investment Expenses</w:t>
            </w:r>
          </w:p>
        </w:tc>
      </w:tr>
      <w:tr w:rsidR="00576F87">
        <w:trPr>
          <w:trHeight w:val="245"/>
        </w:trPr>
        <w:tc>
          <w:tcPr>
            <w:tcW w:w="1754"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2016/17</w:t>
            </w:r>
          </w:p>
        </w:tc>
        <w:tc>
          <w:tcPr>
            <w:tcW w:w="5722"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2017/18</w:t>
            </w:r>
          </w:p>
        </w:tc>
      </w:tr>
      <w:tr w:rsidR="00576F87">
        <w:trPr>
          <w:trHeight w:val="245"/>
        </w:trPr>
        <w:tc>
          <w:tcPr>
            <w:tcW w:w="1754"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b/>
                <w:sz w:val="18"/>
              </w:rPr>
              <w:t>£000</w:t>
            </w:r>
          </w:p>
        </w:tc>
        <w:tc>
          <w:tcPr>
            <w:tcW w:w="5722" w:type="dxa"/>
            <w:tcBorders>
              <w:top w:val="single" w:sz="8" w:space="0" w:color="35437C"/>
              <w:left w:val="single" w:sz="8" w:space="0" w:color="35437C"/>
              <w:bottom w:val="single" w:sz="8" w:space="0" w:color="35437C"/>
              <w:right w:val="single" w:sz="8" w:space="0" w:color="35437C"/>
            </w:tcBorders>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6"/>
              <w:jc w:val="right"/>
            </w:pPr>
            <w:r>
              <w:rPr>
                <w:rFonts w:ascii="Verdana" w:eastAsia="Verdana" w:hAnsi="Verdana" w:cs="Verdana"/>
                <w:b/>
                <w:sz w:val="18"/>
              </w:rPr>
              <w:t>£000</w:t>
            </w:r>
          </w:p>
        </w:tc>
      </w:tr>
      <w:tr w:rsidR="00576F87">
        <w:trPr>
          <w:trHeight w:val="245"/>
        </w:trPr>
        <w:tc>
          <w:tcPr>
            <w:tcW w:w="1754"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42,439</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8"/>
            </w:pPr>
            <w:r>
              <w:rPr>
                <w:rFonts w:ascii="Verdana" w:eastAsia="Verdana" w:hAnsi="Verdana" w:cs="Verdana"/>
                <w:sz w:val="20"/>
              </w:rPr>
              <w:t>Management fees</w:t>
            </w:r>
          </w:p>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1"/>
              <w:jc w:val="right"/>
            </w:pPr>
            <w:r>
              <w:rPr>
                <w:rFonts w:ascii="Verdana" w:eastAsia="Verdana" w:hAnsi="Verdana" w:cs="Verdana"/>
                <w:sz w:val="20"/>
              </w:rPr>
              <w:t>39,976</w:t>
            </w:r>
          </w:p>
        </w:tc>
      </w:tr>
      <w:tr w:rsidR="00576F87">
        <w:trPr>
          <w:trHeight w:val="245"/>
        </w:trPr>
        <w:tc>
          <w:tcPr>
            <w:tcW w:w="1754"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4,777</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8"/>
            </w:pPr>
            <w:r>
              <w:rPr>
                <w:rFonts w:ascii="Verdana" w:eastAsia="Verdana" w:hAnsi="Verdana" w:cs="Verdana"/>
                <w:sz w:val="20"/>
              </w:rPr>
              <w:t>Performance related fees</w:t>
            </w:r>
          </w:p>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1"/>
              <w:jc w:val="right"/>
            </w:pPr>
            <w:r>
              <w:rPr>
                <w:rFonts w:ascii="Verdana" w:eastAsia="Verdana" w:hAnsi="Verdana" w:cs="Verdana"/>
                <w:sz w:val="20"/>
              </w:rPr>
              <w:t>4,167</w:t>
            </w:r>
          </w:p>
        </w:tc>
      </w:tr>
      <w:tr w:rsidR="00576F87">
        <w:trPr>
          <w:trHeight w:val="290"/>
        </w:trPr>
        <w:tc>
          <w:tcPr>
            <w:tcW w:w="1754"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12"/>
              <w:jc w:val="right"/>
            </w:pPr>
            <w:r>
              <w:rPr>
                <w:rFonts w:ascii="Verdana" w:eastAsia="Verdana" w:hAnsi="Verdana" w:cs="Verdana"/>
                <w:sz w:val="20"/>
              </w:rPr>
              <w:t>494</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8"/>
            </w:pPr>
            <w:r>
              <w:rPr>
                <w:rFonts w:ascii="Verdana" w:eastAsia="Verdana" w:hAnsi="Verdana" w:cs="Verdana"/>
                <w:sz w:val="20"/>
              </w:rPr>
              <w:t>Custody fees</w:t>
            </w:r>
          </w:p>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2"/>
              <w:jc w:val="right"/>
            </w:pPr>
            <w:r>
              <w:rPr>
                <w:rFonts w:ascii="Verdana" w:eastAsia="Verdana" w:hAnsi="Verdana" w:cs="Verdana"/>
                <w:sz w:val="20"/>
              </w:rPr>
              <w:t>181</w:t>
            </w:r>
          </w:p>
        </w:tc>
      </w:tr>
      <w:tr w:rsidR="00576F87">
        <w:trPr>
          <w:trHeight w:val="290"/>
        </w:trPr>
        <w:tc>
          <w:tcPr>
            <w:tcW w:w="1754"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12"/>
              <w:jc w:val="right"/>
            </w:pPr>
            <w:r>
              <w:rPr>
                <w:rFonts w:ascii="Verdana" w:eastAsia="Verdana" w:hAnsi="Verdana" w:cs="Verdana"/>
                <w:sz w:val="20"/>
              </w:rPr>
              <w:t>295</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8"/>
            </w:pPr>
            <w:r>
              <w:rPr>
                <w:rFonts w:ascii="Verdana" w:eastAsia="Verdana" w:hAnsi="Verdana" w:cs="Verdana"/>
                <w:sz w:val="20"/>
              </w:rPr>
              <w:t>Transaction fees</w:t>
            </w:r>
          </w:p>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2"/>
              <w:jc w:val="right"/>
            </w:pPr>
            <w:r>
              <w:rPr>
                <w:rFonts w:ascii="Verdana" w:eastAsia="Verdana" w:hAnsi="Verdana" w:cs="Verdana"/>
                <w:sz w:val="20"/>
              </w:rPr>
              <w:t>274</w:t>
            </w:r>
          </w:p>
        </w:tc>
      </w:tr>
      <w:tr w:rsidR="00576F87">
        <w:trPr>
          <w:trHeight w:val="290"/>
        </w:trPr>
        <w:tc>
          <w:tcPr>
            <w:tcW w:w="1754"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12"/>
              <w:jc w:val="right"/>
            </w:pPr>
            <w:r>
              <w:rPr>
                <w:rFonts w:ascii="Verdana" w:eastAsia="Verdana" w:hAnsi="Verdana" w:cs="Verdana"/>
                <w:sz w:val="20"/>
              </w:rPr>
              <w:t>-</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8"/>
            </w:pPr>
            <w:r>
              <w:rPr>
                <w:rFonts w:ascii="Verdana" w:eastAsia="Verdana" w:hAnsi="Verdana" w:cs="Verdana"/>
                <w:sz w:val="20"/>
              </w:rPr>
              <w:t>Other fees</w:t>
            </w:r>
          </w:p>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2"/>
              <w:jc w:val="right"/>
            </w:pPr>
            <w:r>
              <w:rPr>
                <w:rFonts w:ascii="Verdana" w:eastAsia="Verdana" w:hAnsi="Verdana" w:cs="Verdana"/>
                <w:sz w:val="20"/>
              </w:rPr>
              <w:t>16</w:t>
            </w:r>
          </w:p>
        </w:tc>
      </w:tr>
      <w:tr w:rsidR="00576F87">
        <w:trPr>
          <w:trHeight w:val="262"/>
        </w:trPr>
        <w:tc>
          <w:tcPr>
            <w:tcW w:w="1754"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48,005</w:t>
            </w:r>
          </w:p>
        </w:tc>
        <w:tc>
          <w:tcPr>
            <w:tcW w:w="5722"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44,614</w:t>
            </w:r>
          </w:p>
        </w:tc>
      </w:tr>
      <w:tr w:rsidR="00576F87">
        <w:trPr>
          <w:trHeight w:val="1265"/>
        </w:trPr>
        <w:tc>
          <w:tcPr>
            <w:tcW w:w="9249" w:type="dxa"/>
            <w:gridSpan w:val="3"/>
            <w:tcBorders>
              <w:top w:val="single" w:sz="15" w:space="0" w:color="35437C"/>
              <w:left w:val="nil"/>
              <w:bottom w:val="nil"/>
              <w:right w:val="nil"/>
            </w:tcBorders>
            <w:shd w:val="clear" w:color="auto" w:fill="FFFFFF"/>
          </w:tcPr>
          <w:p w:rsidR="00576F87" w:rsidRDefault="004165F5">
            <w:pPr>
              <w:spacing w:after="0"/>
              <w:jc w:val="both"/>
            </w:pPr>
            <w:r>
              <w:rPr>
                <w:rFonts w:ascii="Verdana" w:eastAsia="Verdana" w:hAnsi="Verdana" w:cs="Verdana"/>
                <w:sz w:val="18"/>
              </w:rPr>
              <w:lastRenderedPageBreak/>
              <w:t>The 2016/17 comparatives for management expenses have been restated to include additional fees previously netted off investment value, in line with CIPFA's Accounting for Local Government Pension Scheme Management Expenses (2016) This restatement has an eq</w:t>
            </w:r>
            <w:r>
              <w:rPr>
                <w:rFonts w:ascii="Verdana" w:eastAsia="Verdana" w:hAnsi="Verdana" w:cs="Verdana"/>
                <w:sz w:val="18"/>
              </w:rPr>
              <w:t>ual impact on management expenses and the change in the market value of investments. There is no impact on the overall net assets of the scheme.</w:t>
            </w:r>
          </w:p>
        </w:tc>
      </w:tr>
    </w:tbl>
    <w:p w:rsidR="00576F87" w:rsidRDefault="004165F5">
      <w:pPr>
        <w:pStyle w:val="Heading3"/>
        <w:spacing w:after="0"/>
        <w:ind w:left="5" w:hanging="8"/>
      </w:pPr>
      <w:r>
        <w:rPr>
          <w:color w:val="000000"/>
        </w:rPr>
        <w:t>11. Capital Funding</w:t>
      </w:r>
    </w:p>
    <w:tbl>
      <w:tblPr>
        <w:tblStyle w:val="TableGrid"/>
        <w:tblW w:w="9248" w:type="dxa"/>
        <w:tblInd w:w="-32" w:type="dxa"/>
        <w:tblCellMar>
          <w:top w:w="15" w:type="dxa"/>
          <w:left w:w="39" w:type="dxa"/>
          <w:bottom w:w="13" w:type="dxa"/>
          <w:right w:w="33" w:type="dxa"/>
        </w:tblCellMar>
        <w:tblLook w:val="04A0" w:firstRow="1" w:lastRow="0" w:firstColumn="1" w:lastColumn="0" w:noHBand="0" w:noVBand="1"/>
      </w:tblPr>
      <w:tblGrid>
        <w:gridCol w:w="1753"/>
        <w:gridCol w:w="5721"/>
        <w:gridCol w:w="1774"/>
      </w:tblGrid>
      <w:tr w:rsidR="00576F87">
        <w:trPr>
          <w:trHeight w:val="290"/>
        </w:trPr>
        <w:tc>
          <w:tcPr>
            <w:tcW w:w="1753"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2016/17</w:t>
            </w:r>
          </w:p>
        </w:tc>
        <w:tc>
          <w:tcPr>
            <w:tcW w:w="5722"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2017/18</w:t>
            </w:r>
          </w:p>
        </w:tc>
      </w:tr>
      <w:tr w:rsidR="00576F87">
        <w:trPr>
          <w:trHeight w:val="329"/>
        </w:trPr>
        <w:tc>
          <w:tcPr>
            <w:tcW w:w="1753" w:type="dxa"/>
            <w:tcBorders>
              <w:top w:val="single" w:sz="8" w:space="0" w:color="35437C"/>
              <w:left w:val="single" w:sz="12" w:space="0" w:color="35437C"/>
              <w:bottom w:val="single" w:sz="8" w:space="0" w:color="35437C"/>
              <w:right w:val="single" w:sz="8" w:space="0" w:color="35437C"/>
            </w:tcBorders>
            <w:shd w:val="clear" w:color="auto" w:fill="FFFFFF"/>
            <w:vAlign w:val="bottom"/>
          </w:tcPr>
          <w:p w:rsidR="00576F87" w:rsidRDefault="004165F5">
            <w:pPr>
              <w:spacing w:after="0"/>
              <w:ind w:right="12"/>
              <w:jc w:val="right"/>
            </w:pPr>
            <w:r>
              <w:rPr>
                <w:rFonts w:ascii="Verdana" w:eastAsia="Verdana" w:hAnsi="Verdana" w:cs="Verdana"/>
                <w:b/>
                <w:sz w:val="20"/>
              </w:rPr>
              <w:t>£000</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vAlign w:val="bottom"/>
          </w:tcPr>
          <w:p w:rsidR="00576F87" w:rsidRDefault="004165F5">
            <w:pPr>
              <w:spacing w:after="0"/>
              <w:ind w:right="12"/>
              <w:jc w:val="right"/>
            </w:pPr>
            <w:r>
              <w:rPr>
                <w:rFonts w:ascii="Verdana" w:eastAsia="Verdana" w:hAnsi="Verdana" w:cs="Verdana"/>
                <w:b/>
                <w:sz w:val="20"/>
              </w:rPr>
              <w:t>£000</w:t>
            </w:r>
          </w:p>
        </w:tc>
      </w:tr>
      <w:tr w:rsidR="00576F87">
        <w:trPr>
          <w:trHeight w:val="290"/>
        </w:trPr>
        <w:tc>
          <w:tcPr>
            <w:tcW w:w="1753"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0"/>
              <w:jc w:val="right"/>
            </w:pPr>
            <w:r>
              <w:rPr>
                <w:rFonts w:ascii="Verdana" w:eastAsia="Verdana" w:hAnsi="Verdana" w:cs="Verdana"/>
                <w:sz w:val="20"/>
              </w:rPr>
              <w:t>(187)</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5"/>
            </w:pPr>
            <w:r>
              <w:rPr>
                <w:rFonts w:ascii="Verdana" w:eastAsia="Verdana" w:hAnsi="Verdana" w:cs="Verdana"/>
                <w:sz w:val="20"/>
              </w:rPr>
              <w:t>Capital funding</w:t>
            </w:r>
          </w:p>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1"/>
              <w:jc w:val="right"/>
            </w:pPr>
            <w:r>
              <w:rPr>
                <w:rFonts w:ascii="Verdana" w:eastAsia="Verdana" w:hAnsi="Verdana" w:cs="Verdana"/>
                <w:sz w:val="20"/>
              </w:rPr>
              <w:t>-</w:t>
            </w:r>
          </w:p>
        </w:tc>
      </w:tr>
      <w:tr w:rsidR="00576F87">
        <w:trPr>
          <w:trHeight w:val="262"/>
        </w:trPr>
        <w:tc>
          <w:tcPr>
            <w:tcW w:w="1753"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8"/>
              </w:rPr>
              <w:t>(187)</w:t>
            </w:r>
          </w:p>
        </w:tc>
        <w:tc>
          <w:tcPr>
            <w:tcW w:w="5722"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5"/>
              <w:jc w:val="right"/>
            </w:pPr>
            <w:r>
              <w:rPr>
                <w:rFonts w:ascii="Verdana" w:eastAsia="Verdana" w:hAnsi="Verdana" w:cs="Verdana"/>
                <w:b/>
                <w:color w:val="FFFFFF"/>
                <w:sz w:val="18"/>
              </w:rPr>
              <w:t>-</w:t>
            </w:r>
          </w:p>
        </w:tc>
      </w:tr>
      <w:tr w:rsidR="00576F87">
        <w:trPr>
          <w:trHeight w:val="886"/>
        </w:trPr>
        <w:tc>
          <w:tcPr>
            <w:tcW w:w="7475" w:type="dxa"/>
            <w:gridSpan w:val="2"/>
            <w:tcBorders>
              <w:top w:val="single" w:sz="15" w:space="0" w:color="35437C"/>
              <w:left w:val="nil"/>
              <w:bottom w:val="single" w:sz="15" w:space="0" w:color="35437C"/>
              <w:right w:val="nil"/>
            </w:tcBorders>
            <w:shd w:val="clear" w:color="auto" w:fill="FFFFFF"/>
            <w:vAlign w:val="bottom"/>
          </w:tcPr>
          <w:p w:rsidR="00576F87" w:rsidRDefault="004165F5">
            <w:pPr>
              <w:spacing w:after="0"/>
              <w:ind w:left="3"/>
            </w:pPr>
            <w:r>
              <w:rPr>
                <w:rFonts w:ascii="Verdana" w:eastAsia="Verdana" w:hAnsi="Verdana" w:cs="Verdana"/>
                <w:b/>
                <w:sz w:val="20"/>
              </w:rPr>
              <w:t>12a. Investment Income</w:t>
            </w:r>
          </w:p>
        </w:tc>
        <w:tc>
          <w:tcPr>
            <w:tcW w:w="1774" w:type="dxa"/>
            <w:tcBorders>
              <w:top w:val="single" w:sz="15" w:space="0" w:color="35437C"/>
              <w:left w:val="nil"/>
              <w:bottom w:val="single" w:sz="15" w:space="0" w:color="35437C"/>
              <w:right w:val="nil"/>
            </w:tcBorders>
            <w:shd w:val="clear" w:color="auto" w:fill="FFFFFF"/>
          </w:tcPr>
          <w:p w:rsidR="00576F87" w:rsidRDefault="00576F87"/>
        </w:tc>
      </w:tr>
      <w:tr w:rsidR="00576F87">
        <w:trPr>
          <w:trHeight w:val="245"/>
        </w:trPr>
        <w:tc>
          <w:tcPr>
            <w:tcW w:w="1753"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2016/17</w:t>
            </w:r>
          </w:p>
        </w:tc>
        <w:tc>
          <w:tcPr>
            <w:tcW w:w="5722"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2017/18</w:t>
            </w:r>
          </w:p>
        </w:tc>
      </w:tr>
      <w:tr w:rsidR="00576F87">
        <w:trPr>
          <w:trHeight w:val="394"/>
        </w:trPr>
        <w:tc>
          <w:tcPr>
            <w:tcW w:w="1753" w:type="dxa"/>
            <w:tcBorders>
              <w:top w:val="single" w:sz="8" w:space="0" w:color="35437C"/>
              <w:left w:val="single" w:sz="12" w:space="0" w:color="35437C"/>
              <w:bottom w:val="single" w:sz="8" w:space="0" w:color="35437C"/>
              <w:right w:val="single" w:sz="8" w:space="0" w:color="35437C"/>
            </w:tcBorders>
            <w:shd w:val="clear" w:color="auto" w:fill="FFFFFF"/>
            <w:vAlign w:val="bottom"/>
          </w:tcPr>
          <w:p w:rsidR="00576F87" w:rsidRDefault="004165F5">
            <w:pPr>
              <w:spacing w:after="0"/>
              <w:ind w:right="12"/>
              <w:jc w:val="right"/>
            </w:pPr>
            <w:r>
              <w:rPr>
                <w:rFonts w:ascii="Verdana" w:eastAsia="Verdana" w:hAnsi="Verdana" w:cs="Verdana"/>
                <w:b/>
                <w:sz w:val="20"/>
              </w:rPr>
              <w:t>£000</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vAlign w:val="bottom"/>
          </w:tcPr>
          <w:p w:rsidR="00576F87" w:rsidRDefault="004165F5">
            <w:pPr>
              <w:spacing w:after="0"/>
              <w:ind w:right="12"/>
              <w:jc w:val="right"/>
            </w:pPr>
            <w:r>
              <w:rPr>
                <w:rFonts w:ascii="Verdana" w:eastAsia="Verdana" w:hAnsi="Verdana" w:cs="Verdana"/>
                <w:b/>
                <w:sz w:val="20"/>
              </w:rPr>
              <w:t>£000</w:t>
            </w:r>
          </w:p>
        </w:tc>
      </w:tr>
      <w:tr w:rsidR="00576F87">
        <w:trPr>
          <w:trHeight w:val="245"/>
        </w:trPr>
        <w:tc>
          <w:tcPr>
            <w:tcW w:w="1753"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0"/>
              <w:jc w:val="right"/>
            </w:pPr>
            <w:r>
              <w:rPr>
                <w:rFonts w:ascii="Verdana" w:eastAsia="Verdana" w:hAnsi="Verdana" w:cs="Verdana"/>
                <w:sz w:val="20"/>
              </w:rPr>
              <w:t>28,627</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5"/>
            </w:pPr>
            <w:r>
              <w:rPr>
                <w:rFonts w:ascii="Verdana" w:eastAsia="Verdana" w:hAnsi="Verdana" w:cs="Verdana"/>
                <w:sz w:val="20"/>
              </w:rPr>
              <w:t>Income from equity</w:t>
            </w:r>
          </w:p>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0"/>
              <w:jc w:val="right"/>
            </w:pPr>
            <w:r>
              <w:rPr>
                <w:rFonts w:ascii="Verdana" w:eastAsia="Verdana" w:hAnsi="Verdana" w:cs="Verdana"/>
                <w:sz w:val="20"/>
              </w:rPr>
              <w:t>1,321</w:t>
            </w:r>
          </w:p>
        </w:tc>
      </w:tr>
      <w:tr w:rsidR="00576F87">
        <w:trPr>
          <w:trHeight w:val="319"/>
        </w:trPr>
        <w:tc>
          <w:tcPr>
            <w:tcW w:w="1753"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0"/>
              <w:jc w:val="right"/>
            </w:pPr>
            <w:r>
              <w:rPr>
                <w:rFonts w:ascii="Verdana" w:eastAsia="Verdana" w:hAnsi="Verdana" w:cs="Verdana"/>
                <w:sz w:val="20"/>
              </w:rPr>
              <w:t>2,230</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5"/>
            </w:pPr>
            <w:r>
              <w:rPr>
                <w:rFonts w:ascii="Verdana" w:eastAsia="Verdana" w:hAnsi="Verdana" w:cs="Verdana"/>
                <w:sz w:val="20"/>
              </w:rPr>
              <w:t>Income from bonds</w:t>
            </w:r>
          </w:p>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0"/>
              <w:jc w:val="right"/>
            </w:pPr>
            <w:r>
              <w:rPr>
                <w:rFonts w:ascii="Verdana" w:eastAsia="Verdana" w:hAnsi="Verdana" w:cs="Verdana"/>
                <w:sz w:val="20"/>
              </w:rPr>
              <w:t>450</w:t>
            </w:r>
          </w:p>
        </w:tc>
      </w:tr>
      <w:tr w:rsidR="00576F87">
        <w:trPr>
          <w:trHeight w:val="245"/>
        </w:trPr>
        <w:tc>
          <w:tcPr>
            <w:tcW w:w="1753"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0"/>
              <w:jc w:val="right"/>
            </w:pPr>
            <w:r>
              <w:rPr>
                <w:rFonts w:ascii="Verdana" w:eastAsia="Verdana" w:hAnsi="Verdana" w:cs="Verdana"/>
                <w:sz w:val="20"/>
              </w:rPr>
              <w:t>3,414</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5"/>
            </w:pPr>
            <w:r>
              <w:rPr>
                <w:rFonts w:ascii="Verdana" w:eastAsia="Verdana" w:hAnsi="Verdana" w:cs="Verdana"/>
                <w:sz w:val="20"/>
              </w:rPr>
              <w:t>Private Equity and Infrastructure income</w:t>
            </w:r>
          </w:p>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0"/>
              <w:jc w:val="right"/>
            </w:pPr>
            <w:r>
              <w:rPr>
                <w:rFonts w:ascii="Verdana" w:eastAsia="Verdana" w:hAnsi="Verdana" w:cs="Verdana"/>
                <w:sz w:val="20"/>
              </w:rPr>
              <w:t>42,189</w:t>
            </w:r>
          </w:p>
        </w:tc>
      </w:tr>
      <w:tr w:rsidR="00576F87">
        <w:trPr>
          <w:trHeight w:val="245"/>
        </w:trPr>
        <w:tc>
          <w:tcPr>
            <w:tcW w:w="1753"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0"/>
              <w:jc w:val="right"/>
            </w:pPr>
            <w:r>
              <w:rPr>
                <w:rFonts w:ascii="Verdana" w:eastAsia="Verdana" w:hAnsi="Verdana" w:cs="Verdana"/>
                <w:sz w:val="20"/>
              </w:rPr>
              <w:t>1,957</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5"/>
            </w:pPr>
            <w:r>
              <w:rPr>
                <w:rFonts w:ascii="Verdana" w:eastAsia="Verdana" w:hAnsi="Verdana" w:cs="Verdana"/>
                <w:sz w:val="20"/>
              </w:rPr>
              <w:t>Rents from property</w:t>
            </w:r>
          </w:p>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0"/>
              <w:jc w:val="right"/>
            </w:pPr>
            <w:r>
              <w:rPr>
                <w:rFonts w:ascii="Verdana" w:eastAsia="Verdana" w:hAnsi="Verdana" w:cs="Verdana"/>
                <w:sz w:val="20"/>
              </w:rPr>
              <w:t>5,338</w:t>
            </w:r>
          </w:p>
        </w:tc>
      </w:tr>
      <w:tr w:rsidR="00576F87">
        <w:trPr>
          <w:trHeight w:val="245"/>
        </w:trPr>
        <w:tc>
          <w:tcPr>
            <w:tcW w:w="1753"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0"/>
              <w:jc w:val="right"/>
            </w:pPr>
            <w:r>
              <w:rPr>
                <w:rFonts w:ascii="Verdana" w:eastAsia="Verdana" w:hAnsi="Verdana" w:cs="Verdana"/>
                <w:sz w:val="20"/>
              </w:rPr>
              <w:t>136</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5"/>
            </w:pPr>
            <w:r>
              <w:rPr>
                <w:rFonts w:ascii="Verdana" w:eastAsia="Verdana" w:hAnsi="Verdana" w:cs="Verdana"/>
                <w:sz w:val="20"/>
              </w:rPr>
              <w:t>Pooled property investments</w:t>
            </w:r>
          </w:p>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1"/>
              <w:jc w:val="right"/>
            </w:pPr>
            <w:r>
              <w:rPr>
                <w:rFonts w:ascii="Verdana" w:eastAsia="Verdana" w:hAnsi="Verdana" w:cs="Verdana"/>
                <w:sz w:val="20"/>
              </w:rPr>
              <w:t>-</w:t>
            </w:r>
          </w:p>
        </w:tc>
      </w:tr>
      <w:tr w:rsidR="00576F87">
        <w:trPr>
          <w:trHeight w:val="492"/>
        </w:trPr>
        <w:tc>
          <w:tcPr>
            <w:tcW w:w="1753" w:type="dxa"/>
            <w:tcBorders>
              <w:top w:val="single" w:sz="8" w:space="0" w:color="35437C"/>
              <w:left w:val="single" w:sz="12" w:space="0" w:color="35437C"/>
              <w:bottom w:val="single" w:sz="8" w:space="0" w:color="35437C"/>
              <w:right w:val="single" w:sz="8" w:space="0" w:color="35437C"/>
            </w:tcBorders>
            <w:shd w:val="clear" w:color="auto" w:fill="FFFFFF"/>
            <w:vAlign w:val="bottom"/>
          </w:tcPr>
          <w:p w:rsidR="00576F87" w:rsidRDefault="004165F5">
            <w:pPr>
              <w:spacing w:after="0"/>
              <w:ind w:right="10"/>
              <w:jc w:val="right"/>
            </w:pPr>
            <w:r>
              <w:rPr>
                <w:rFonts w:ascii="Verdana" w:eastAsia="Verdana" w:hAnsi="Verdana" w:cs="Verdana"/>
                <w:sz w:val="20"/>
              </w:rPr>
              <w:t>8,656</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5"/>
            </w:pPr>
            <w:r>
              <w:rPr>
                <w:rFonts w:ascii="Verdana" w:eastAsia="Verdana" w:hAnsi="Verdana" w:cs="Verdana"/>
                <w:sz w:val="20"/>
              </w:rPr>
              <w:t>Pooled Investments - Unit trusts and other managed funds</w:t>
            </w:r>
          </w:p>
        </w:tc>
        <w:tc>
          <w:tcPr>
            <w:tcW w:w="1774" w:type="dxa"/>
            <w:tcBorders>
              <w:top w:val="single" w:sz="8" w:space="0" w:color="35437C"/>
              <w:left w:val="single" w:sz="8" w:space="0" w:color="35437C"/>
              <w:bottom w:val="single" w:sz="8" w:space="0" w:color="35437C"/>
              <w:right w:val="single" w:sz="15" w:space="0" w:color="35437C"/>
            </w:tcBorders>
            <w:shd w:val="clear" w:color="auto" w:fill="FFFFFF"/>
            <w:vAlign w:val="bottom"/>
          </w:tcPr>
          <w:p w:rsidR="00576F87" w:rsidRDefault="004165F5">
            <w:pPr>
              <w:spacing w:after="0"/>
              <w:ind w:right="10"/>
              <w:jc w:val="right"/>
            </w:pPr>
            <w:r>
              <w:rPr>
                <w:rFonts w:ascii="Verdana" w:eastAsia="Verdana" w:hAnsi="Verdana" w:cs="Verdana"/>
                <w:sz w:val="20"/>
              </w:rPr>
              <w:t>43,486</w:t>
            </w:r>
          </w:p>
        </w:tc>
      </w:tr>
      <w:tr w:rsidR="00576F87">
        <w:trPr>
          <w:trHeight w:val="245"/>
        </w:trPr>
        <w:tc>
          <w:tcPr>
            <w:tcW w:w="1753"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0"/>
              <w:jc w:val="right"/>
            </w:pPr>
            <w:r>
              <w:rPr>
                <w:rFonts w:ascii="Verdana" w:eastAsia="Verdana" w:hAnsi="Verdana" w:cs="Verdana"/>
                <w:sz w:val="20"/>
              </w:rPr>
              <w:t>3,238</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5"/>
            </w:pPr>
            <w:r>
              <w:rPr>
                <w:rFonts w:ascii="Verdana" w:eastAsia="Verdana" w:hAnsi="Verdana" w:cs="Verdana"/>
                <w:sz w:val="20"/>
              </w:rPr>
              <w:t>Interest on cash deposits</w:t>
            </w:r>
          </w:p>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0"/>
              <w:jc w:val="right"/>
            </w:pPr>
            <w:r>
              <w:rPr>
                <w:rFonts w:ascii="Verdana" w:eastAsia="Verdana" w:hAnsi="Verdana" w:cs="Verdana"/>
                <w:sz w:val="20"/>
              </w:rPr>
              <w:t>2,021</w:t>
            </w:r>
          </w:p>
        </w:tc>
      </w:tr>
      <w:tr w:rsidR="00576F87">
        <w:trPr>
          <w:trHeight w:val="245"/>
        </w:trPr>
        <w:tc>
          <w:tcPr>
            <w:tcW w:w="1753"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1"/>
              <w:jc w:val="right"/>
            </w:pPr>
            <w:r>
              <w:rPr>
                <w:rFonts w:ascii="Verdana" w:eastAsia="Verdana" w:hAnsi="Verdana" w:cs="Verdana"/>
                <w:sz w:val="20"/>
              </w:rPr>
              <w:t>-</w:t>
            </w:r>
          </w:p>
        </w:tc>
        <w:tc>
          <w:tcPr>
            <w:tcW w:w="57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5"/>
            </w:pPr>
            <w:r>
              <w:rPr>
                <w:rFonts w:ascii="Verdana" w:eastAsia="Verdana" w:hAnsi="Verdana" w:cs="Verdana"/>
                <w:sz w:val="20"/>
              </w:rPr>
              <w:t>Other</w:t>
            </w:r>
          </w:p>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0"/>
              <w:jc w:val="right"/>
            </w:pPr>
            <w:r>
              <w:rPr>
                <w:rFonts w:ascii="Verdana" w:eastAsia="Verdana" w:hAnsi="Verdana" w:cs="Verdana"/>
                <w:sz w:val="20"/>
              </w:rPr>
              <w:t>353</w:t>
            </w:r>
          </w:p>
        </w:tc>
      </w:tr>
      <w:tr w:rsidR="00576F87">
        <w:trPr>
          <w:trHeight w:val="262"/>
        </w:trPr>
        <w:tc>
          <w:tcPr>
            <w:tcW w:w="1753"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48,258</w:t>
            </w:r>
          </w:p>
        </w:tc>
        <w:tc>
          <w:tcPr>
            <w:tcW w:w="5722"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95,158</w:t>
            </w:r>
          </w:p>
        </w:tc>
      </w:tr>
      <w:tr w:rsidR="00576F87">
        <w:trPr>
          <w:trHeight w:val="1042"/>
        </w:trPr>
        <w:tc>
          <w:tcPr>
            <w:tcW w:w="7475" w:type="dxa"/>
            <w:gridSpan w:val="2"/>
            <w:tcBorders>
              <w:top w:val="single" w:sz="15" w:space="0" w:color="35437C"/>
              <w:left w:val="nil"/>
              <w:bottom w:val="single" w:sz="15" w:space="0" w:color="35437C"/>
              <w:right w:val="nil"/>
            </w:tcBorders>
            <w:shd w:val="clear" w:color="auto" w:fill="FFFFFF"/>
            <w:vAlign w:val="bottom"/>
          </w:tcPr>
          <w:p w:rsidR="00576F87" w:rsidRDefault="004165F5">
            <w:pPr>
              <w:spacing w:after="0"/>
              <w:ind w:left="3"/>
            </w:pPr>
            <w:r>
              <w:rPr>
                <w:rFonts w:ascii="Verdana" w:eastAsia="Verdana" w:hAnsi="Verdana" w:cs="Verdana"/>
                <w:b/>
                <w:sz w:val="20"/>
              </w:rPr>
              <w:t>12b. Property income and expenses</w:t>
            </w:r>
          </w:p>
        </w:tc>
        <w:tc>
          <w:tcPr>
            <w:tcW w:w="1774" w:type="dxa"/>
            <w:tcBorders>
              <w:top w:val="single" w:sz="15" w:space="0" w:color="35437C"/>
              <w:left w:val="nil"/>
              <w:bottom w:val="single" w:sz="15" w:space="0" w:color="35437C"/>
              <w:right w:val="nil"/>
            </w:tcBorders>
            <w:shd w:val="clear" w:color="auto" w:fill="FFFFFF"/>
          </w:tcPr>
          <w:p w:rsidR="00576F87" w:rsidRDefault="00576F87"/>
        </w:tc>
      </w:tr>
      <w:tr w:rsidR="00576F87">
        <w:trPr>
          <w:trHeight w:val="278"/>
        </w:trPr>
        <w:tc>
          <w:tcPr>
            <w:tcW w:w="1753"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2016/17</w:t>
            </w:r>
          </w:p>
        </w:tc>
        <w:tc>
          <w:tcPr>
            <w:tcW w:w="5722"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2017/18</w:t>
            </w:r>
          </w:p>
        </w:tc>
      </w:tr>
      <w:tr w:rsidR="00576F87">
        <w:trPr>
          <w:trHeight w:val="394"/>
        </w:trPr>
        <w:tc>
          <w:tcPr>
            <w:tcW w:w="1753"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4"/>
              <w:jc w:val="right"/>
            </w:pPr>
            <w:r>
              <w:rPr>
                <w:rFonts w:ascii="Verdana" w:eastAsia="Verdana" w:hAnsi="Verdana" w:cs="Verdana"/>
                <w:b/>
                <w:sz w:val="18"/>
              </w:rPr>
              <w:t>£000</w:t>
            </w:r>
          </w:p>
        </w:tc>
        <w:tc>
          <w:tcPr>
            <w:tcW w:w="5722" w:type="dxa"/>
            <w:tcBorders>
              <w:top w:val="single" w:sz="8" w:space="0" w:color="35437C"/>
              <w:left w:val="single" w:sz="8" w:space="0" w:color="35437C"/>
              <w:bottom w:val="single" w:sz="8" w:space="0" w:color="35437C"/>
              <w:right w:val="single" w:sz="8" w:space="0" w:color="35437C"/>
            </w:tcBorders>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
              <w:jc w:val="right"/>
            </w:pPr>
            <w:r>
              <w:rPr>
                <w:rFonts w:ascii="Verdana" w:eastAsia="Verdana" w:hAnsi="Verdana" w:cs="Verdana"/>
                <w:b/>
                <w:sz w:val="18"/>
              </w:rPr>
              <w:t>£000</w:t>
            </w:r>
          </w:p>
        </w:tc>
      </w:tr>
      <w:tr w:rsidR="00576F87">
        <w:trPr>
          <w:trHeight w:val="245"/>
        </w:trPr>
        <w:tc>
          <w:tcPr>
            <w:tcW w:w="1753"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2,252</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Property income</w:t>
            </w:r>
          </w:p>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0"/>
              <w:jc w:val="right"/>
            </w:pPr>
            <w:r>
              <w:rPr>
                <w:rFonts w:ascii="Verdana" w:eastAsia="Verdana" w:hAnsi="Verdana" w:cs="Verdana"/>
                <w:sz w:val="20"/>
              </w:rPr>
              <w:t>5,868</w:t>
            </w:r>
          </w:p>
        </w:tc>
      </w:tr>
      <w:tr w:rsidR="00576F87">
        <w:trPr>
          <w:trHeight w:val="245"/>
        </w:trPr>
        <w:tc>
          <w:tcPr>
            <w:tcW w:w="1753" w:type="dxa"/>
            <w:tcBorders>
              <w:top w:val="single" w:sz="8" w:space="0" w:color="35437C"/>
              <w:left w:val="single" w:sz="12"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(295)</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Property expenses</w:t>
            </w:r>
          </w:p>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8"/>
              </w:rPr>
              <w:t>(530)</w:t>
            </w:r>
          </w:p>
        </w:tc>
      </w:tr>
      <w:tr w:rsidR="00576F87">
        <w:trPr>
          <w:trHeight w:val="262"/>
        </w:trPr>
        <w:tc>
          <w:tcPr>
            <w:tcW w:w="1753"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1,957</w:t>
            </w:r>
          </w:p>
        </w:tc>
        <w:tc>
          <w:tcPr>
            <w:tcW w:w="5722"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5,338</w:t>
            </w:r>
          </w:p>
        </w:tc>
      </w:tr>
      <w:tr w:rsidR="00576F87">
        <w:trPr>
          <w:trHeight w:val="583"/>
        </w:trPr>
        <w:tc>
          <w:tcPr>
            <w:tcW w:w="1753" w:type="dxa"/>
            <w:tcBorders>
              <w:top w:val="single" w:sz="15" w:space="0" w:color="35437C"/>
              <w:left w:val="nil"/>
              <w:bottom w:val="nil"/>
              <w:right w:val="nil"/>
            </w:tcBorders>
            <w:shd w:val="clear" w:color="auto" w:fill="FFFFFF"/>
          </w:tcPr>
          <w:p w:rsidR="00576F87" w:rsidRDefault="00576F87"/>
        </w:tc>
        <w:tc>
          <w:tcPr>
            <w:tcW w:w="5722" w:type="dxa"/>
            <w:tcBorders>
              <w:top w:val="single" w:sz="15" w:space="0" w:color="35437C"/>
              <w:left w:val="nil"/>
              <w:bottom w:val="nil"/>
              <w:right w:val="nil"/>
            </w:tcBorders>
          </w:tcPr>
          <w:p w:rsidR="00576F87" w:rsidRDefault="00576F87"/>
        </w:tc>
        <w:tc>
          <w:tcPr>
            <w:tcW w:w="1774" w:type="dxa"/>
            <w:tcBorders>
              <w:top w:val="single" w:sz="15" w:space="0" w:color="35437C"/>
              <w:left w:val="nil"/>
              <w:bottom w:val="nil"/>
              <w:right w:val="nil"/>
            </w:tcBorders>
            <w:shd w:val="clear" w:color="auto" w:fill="FFFFFF"/>
          </w:tcPr>
          <w:p w:rsidR="00576F87" w:rsidRDefault="00576F87"/>
        </w:tc>
      </w:tr>
    </w:tbl>
    <w:p w:rsidR="00576F87" w:rsidRDefault="004165F5">
      <w:pPr>
        <w:pStyle w:val="Heading3"/>
        <w:spacing w:after="22"/>
        <w:ind w:left="5" w:hanging="8"/>
      </w:pPr>
      <w:r>
        <w:rPr>
          <w:color w:val="000000"/>
        </w:rPr>
        <w:t>13. Taxes on income</w:t>
      </w:r>
    </w:p>
    <w:tbl>
      <w:tblPr>
        <w:tblStyle w:val="TableGrid"/>
        <w:tblW w:w="9248" w:type="dxa"/>
        <w:tblInd w:w="-32" w:type="dxa"/>
        <w:tblCellMar>
          <w:top w:w="34" w:type="dxa"/>
          <w:left w:w="43" w:type="dxa"/>
          <w:bottom w:w="0" w:type="dxa"/>
          <w:right w:w="38" w:type="dxa"/>
        </w:tblCellMar>
        <w:tblLook w:val="04A0" w:firstRow="1" w:lastRow="0" w:firstColumn="1" w:lastColumn="0" w:noHBand="0" w:noVBand="1"/>
      </w:tblPr>
      <w:tblGrid>
        <w:gridCol w:w="1753"/>
        <w:gridCol w:w="5721"/>
        <w:gridCol w:w="1774"/>
      </w:tblGrid>
      <w:tr w:rsidR="00576F87">
        <w:trPr>
          <w:trHeight w:val="290"/>
        </w:trPr>
        <w:tc>
          <w:tcPr>
            <w:tcW w:w="1753"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2016/17</w:t>
            </w:r>
          </w:p>
        </w:tc>
        <w:tc>
          <w:tcPr>
            <w:tcW w:w="5722"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2017/18</w:t>
            </w:r>
          </w:p>
        </w:tc>
      </w:tr>
      <w:tr w:rsidR="00576F87">
        <w:trPr>
          <w:trHeight w:val="370"/>
        </w:trPr>
        <w:tc>
          <w:tcPr>
            <w:tcW w:w="1753" w:type="dxa"/>
            <w:tcBorders>
              <w:top w:val="single" w:sz="8" w:space="0" w:color="35437C"/>
              <w:left w:val="single" w:sz="12"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b/>
                <w:sz w:val="18"/>
              </w:rPr>
              <w:t>£000</w:t>
            </w:r>
          </w:p>
        </w:tc>
        <w:tc>
          <w:tcPr>
            <w:tcW w:w="5722" w:type="dxa"/>
            <w:tcBorders>
              <w:top w:val="single" w:sz="8" w:space="0" w:color="35437C"/>
              <w:left w:val="single" w:sz="8" w:space="0" w:color="35437C"/>
              <w:bottom w:val="single" w:sz="8" w:space="0" w:color="35437C"/>
              <w:right w:val="single" w:sz="8" w:space="0" w:color="35437C"/>
            </w:tcBorders>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b/>
                <w:sz w:val="18"/>
              </w:rPr>
              <w:t>£000</w:t>
            </w:r>
          </w:p>
        </w:tc>
      </w:tr>
      <w:tr w:rsidR="00576F87">
        <w:trPr>
          <w:trHeight w:val="245"/>
        </w:trPr>
        <w:tc>
          <w:tcPr>
            <w:tcW w:w="1753"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lastRenderedPageBreak/>
              <w:t>(6)</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Withholding tax - Fixed interest securities</w:t>
            </w:r>
          </w:p>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6"/>
              <w:jc w:val="right"/>
            </w:pPr>
            <w:r>
              <w:rPr>
                <w:rFonts w:ascii="Verdana" w:eastAsia="Verdana" w:hAnsi="Verdana" w:cs="Verdana"/>
                <w:sz w:val="20"/>
              </w:rPr>
              <w:t>-</w:t>
            </w:r>
          </w:p>
        </w:tc>
      </w:tr>
      <w:tr w:rsidR="00576F87">
        <w:trPr>
          <w:trHeight w:val="245"/>
        </w:trPr>
        <w:tc>
          <w:tcPr>
            <w:tcW w:w="1753"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(23)</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Withholding tax - Equities</w:t>
            </w:r>
          </w:p>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6"/>
              <w:jc w:val="right"/>
            </w:pPr>
            <w:r>
              <w:rPr>
                <w:rFonts w:ascii="Verdana" w:eastAsia="Verdana" w:hAnsi="Verdana" w:cs="Verdana"/>
                <w:sz w:val="20"/>
              </w:rPr>
              <w:t>-</w:t>
            </w:r>
          </w:p>
        </w:tc>
      </w:tr>
      <w:tr w:rsidR="00576F87">
        <w:trPr>
          <w:trHeight w:val="245"/>
        </w:trPr>
        <w:tc>
          <w:tcPr>
            <w:tcW w:w="1753"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(181)</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Withholding tax - Pooled investments</w:t>
            </w:r>
          </w:p>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6"/>
              <w:jc w:val="right"/>
            </w:pPr>
            <w:r>
              <w:rPr>
                <w:rFonts w:ascii="Verdana" w:eastAsia="Verdana" w:hAnsi="Verdana" w:cs="Verdana"/>
                <w:sz w:val="20"/>
              </w:rPr>
              <w:t>(44)</w:t>
            </w:r>
          </w:p>
        </w:tc>
      </w:tr>
      <w:tr w:rsidR="00576F87">
        <w:trPr>
          <w:trHeight w:val="245"/>
        </w:trPr>
        <w:tc>
          <w:tcPr>
            <w:tcW w:w="1753"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6"/>
              <w:jc w:val="right"/>
            </w:pPr>
            <w:r>
              <w:rPr>
                <w:rFonts w:ascii="Verdana" w:eastAsia="Verdana" w:hAnsi="Verdana" w:cs="Verdana"/>
                <w:sz w:val="20"/>
              </w:rPr>
              <w:t>1</w:t>
            </w:r>
          </w:p>
        </w:tc>
        <w:tc>
          <w:tcPr>
            <w:tcW w:w="5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Withholding tax - Private equity</w:t>
            </w:r>
          </w:p>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6"/>
              <w:jc w:val="right"/>
            </w:pPr>
            <w:r>
              <w:rPr>
                <w:rFonts w:ascii="Verdana" w:eastAsia="Verdana" w:hAnsi="Verdana" w:cs="Verdana"/>
                <w:sz w:val="20"/>
              </w:rPr>
              <w:t>-</w:t>
            </w:r>
          </w:p>
        </w:tc>
      </w:tr>
      <w:tr w:rsidR="00576F87">
        <w:trPr>
          <w:trHeight w:val="262"/>
        </w:trPr>
        <w:tc>
          <w:tcPr>
            <w:tcW w:w="1753"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right="2"/>
              <w:jc w:val="right"/>
            </w:pPr>
            <w:r>
              <w:rPr>
                <w:rFonts w:ascii="Verdana" w:eastAsia="Verdana" w:hAnsi="Verdana" w:cs="Verdana"/>
                <w:b/>
                <w:color w:val="FFFFFF"/>
                <w:sz w:val="18"/>
              </w:rPr>
              <w:t>(209)</w:t>
            </w:r>
          </w:p>
        </w:tc>
        <w:tc>
          <w:tcPr>
            <w:tcW w:w="5722"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2"/>
              <w:jc w:val="right"/>
            </w:pPr>
            <w:r>
              <w:rPr>
                <w:rFonts w:ascii="Verdana" w:eastAsia="Verdana" w:hAnsi="Verdana" w:cs="Verdana"/>
                <w:b/>
                <w:color w:val="FFFFFF"/>
                <w:sz w:val="18"/>
              </w:rPr>
              <w:t>(44)</w:t>
            </w:r>
          </w:p>
        </w:tc>
      </w:tr>
      <w:tr w:rsidR="00576F87">
        <w:trPr>
          <w:trHeight w:val="449"/>
        </w:trPr>
        <w:tc>
          <w:tcPr>
            <w:tcW w:w="9248" w:type="dxa"/>
            <w:gridSpan w:val="3"/>
            <w:tcBorders>
              <w:top w:val="single" w:sz="15" w:space="0" w:color="35437C"/>
              <w:left w:val="nil"/>
              <w:bottom w:val="nil"/>
              <w:right w:val="nil"/>
            </w:tcBorders>
            <w:shd w:val="clear" w:color="auto" w:fill="FFFFFF"/>
          </w:tcPr>
          <w:p w:rsidR="00576F87" w:rsidRDefault="00576F87"/>
        </w:tc>
      </w:tr>
    </w:tbl>
    <w:p w:rsidR="00576F87" w:rsidRDefault="004165F5">
      <w:pPr>
        <w:pStyle w:val="Heading3"/>
        <w:spacing w:after="127"/>
        <w:ind w:left="5" w:hanging="8"/>
      </w:pPr>
      <w:r>
        <w:rPr>
          <w:color w:val="000000"/>
        </w:rPr>
        <w:t>14. Investments</w:t>
      </w:r>
    </w:p>
    <w:tbl>
      <w:tblPr>
        <w:tblStyle w:val="TableGrid"/>
        <w:tblW w:w="9084" w:type="dxa"/>
        <w:tblInd w:w="-36" w:type="dxa"/>
        <w:tblCellMar>
          <w:top w:w="32" w:type="dxa"/>
          <w:left w:w="38" w:type="dxa"/>
          <w:bottom w:w="37" w:type="dxa"/>
          <w:right w:w="0" w:type="dxa"/>
        </w:tblCellMar>
        <w:tblLook w:val="04A0" w:firstRow="1" w:lastRow="0" w:firstColumn="1" w:lastColumn="0" w:noHBand="0" w:noVBand="1"/>
      </w:tblPr>
      <w:tblGrid>
        <w:gridCol w:w="2059"/>
        <w:gridCol w:w="4899"/>
        <w:gridCol w:w="2126"/>
      </w:tblGrid>
      <w:tr w:rsidR="00576F87">
        <w:trPr>
          <w:trHeight w:val="583"/>
        </w:trPr>
        <w:tc>
          <w:tcPr>
            <w:tcW w:w="2059" w:type="dxa"/>
            <w:tcBorders>
              <w:top w:val="single" w:sz="15" w:space="0" w:color="35437C"/>
              <w:left w:val="nil"/>
              <w:bottom w:val="single" w:sz="8" w:space="0" w:color="35437C"/>
              <w:right w:val="single" w:sz="15" w:space="0" w:color="35437C"/>
            </w:tcBorders>
            <w:shd w:val="clear" w:color="auto" w:fill="35437C"/>
          </w:tcPr>
          <w:p w:rsidR="00576F87" w:rsidRDefault="004165F5">
            <w:pPr>
              <w:spacing w:after="3"/>
              <w:ind w:right="37"/>
              <w:jc w:val="right"/>
            </w:pPr>
            <w:r>
              <w:rPr>
                <w:rFonts w:ascii="Verdana" w:eastAsia="Verdana" w:hAnsi="Verdana" w:cs="Verdana"/>
                <w:b/>
                <w:color w:val="FFFFFF"/>
                <w:sz w:val="18"/>
              </w:rPr>
              <w:t xml:space="preserve">Market Value 31 </w:t>
            </w:r>
          </w:p>
          <w:p w:rsidR="00576F87" w:rsidRDefault="004165F5">
            <w:pPr>
              <w:spacing w:after="0"/>
              <w:ind w:right="34"/>
              <w:jc w:val="right"/>
            </w:pPr>
            <w:r>
              <w:rPr>
                <w:rFonts w:ascii="Verdana" w:eastAsia="Verdana" w:hAnsi="Verdana" w:cs="Verdana"/>
                <w:b/>
                <w:color w:val="FFFFFF"/>
                <w:sz w:val="18"/>
              </w:rPr>
              <w:t>March 2017</w:t>
            </w:r>
          </w:p>
        </w:tc>
        <w:tc>
          <w:tcPr>
            <w:tcW w:w="4898"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576F87"/>
        </w:tc>
        <w:tc>
          <w:tcPr>
            <w:tcW w:w="2126"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4165F5">
            <w:pPr>
              <w:spacing w:after="3"/>
              <w:ind w:right="37"/>
              <w:jc w:val="right"/>
            </w:pPr>
            <w:r>
              <w:rPr>
                <w:rFonts w:ascii="Verdana" w:eastAsia="Verdana" w:hAnsi="Verdana" w:cs="Verdana"/>
                <w:b/>
                <w:color w:val="FFFFFF"/>
                <w:sz w:val="18"/>
              </w:rPr>
              <w:t>Market Value 31</w:t>
            </w:r>
          </w:p>
          <w:p w:rsidR="00576F87" w:rsidRDefault="004165F5">
            <w:pPr>
              <w:spacing w:after="0"/>
              <w:ind w:right="34"/>
              <w:jc w:val="right"/>
            </w:pPr>
            <w:r>
              <w:rPr>
                <w:rFonts w:ascii="Verdana" w:eastAsia="Verdana" w:hAnsi="Verdana" w:cs="Verdana"/>
                <w:b/>
                <w:color w:val="FFFFFF"/>
                <w:sz w:val="18"/>
              </w:rPr>
              <w:t>March 2018</w:t>
            </w:r>
          </w:p>
        </w:tc>
      </w:tr>
      <w:tr w:rsidR="00576F87">
        <w:trPr>
          <w:trHeight w:val="290"/>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b/>
                <w:sz w:val="18"/>
              </w:rPr>
              <w:t>£000</w:t>
            </w:r>
          </w:p>
        </w:tc>
        <w:tc>
          <w:tcPr>
            <w:tcW w:w="4898" w:type="dxa"/>
            <w:tcBorders>
              <w:top w:val="single" w:sz="8" w:space="0" w:color="35437C"/>
              <w:left w:val="single" w:sz="8" w:space="0" w:color="35437C"/>
              <w:bottom w:val="single" w:sz="8" w:space="0" w:color="35437C"/>
              <w:right w:val="single" w:sz="8" w:space="0" w:color="35437C"/>
            </w:tcBorders>
          </w:tcPr>
          <w:p w:rsidR="00576F87" w:rsidRDefault="00576F87"/>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b/>
                <w:sz w:val="18"/>
              </w:rPr>
              <w:t>£000</w:t>
            </w:r>
          </w:p>
        </w:tc>
      </w:tr>
      <w:tr w:rsidR="00576F87">
        <w:trPr>
          <w:trHeight w:val="290"/>
        </w:trPr>
        <w:tc>
          <w:tcPr>
            <w:tcW w:w="2059" w:type="dxa"/>
            <w:tcBorders>
              <w:top w:val="single" w:sz="8" w:space="0" w:color="35437C"/>
              <w:left w:val="single" w:sz="8" w:space="0" w:color="35437C"/>
              <w:bottom w:val="single" w:sz="8" w:space="0" w:color="35437C"/>
              <w:right w:val="single" w:sz="8" w:space="0" w:color="35437C"/>
            </w:tcBorders>
          </w:tcPr>
          <w:p w:rsidR="00576F87" w:rsidRDefault="00576F87"/>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Investment assets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348"/>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sz w:val="18"/>
              </w:rPr>
              <w:t>56,649</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Fixed interest securities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8"/>
              </w:rPr>
              <w:t>-</w:t>
            </w:r>
          </w:p>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sz w:val="18"/>
              </w:rPr>
              <w:t>44,647</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Equities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8"/>
              </w:rPr>
              <w:t>-</w:t>
            </w:r>
          </w:p>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9,723</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Liquidity funds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8"/>
              </w:rPr>
              <w:t>-</w:t>
            </w:r>
          </w:p>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576F87"/>
        </w:tc>
        <w:tc>
          <w:tcPr>
            <w:tcW w:w="4898" w:type="dxa"/>
            <w:tcBorders>
              <w:top w:val="single" w:sz="8" w:space="0" w:color="35437C"/>
              <w:left w:val="single" w:sz="8" w:space="0" w:color="35437C"/>
              <w:bottom w:val="single" w:sz="8" w:space="0" w:color="35437C"/>
              <w:right w:val="single" w:sz="8" w:space="0" w:color="35437C"/>
            </w:tcBorders>
          </w:tcPr>
          <w:p w:rsidR="00576F87" w:rsidRDefault="00576F87"/>
        </w:tc>
        <w:tc>
          <w:tcPr>
            <w:tcW w:w="2126"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576F87"/>
        </w:tc>
        <w:tc>
          <w:tcPr>
            <w:tcW w:w="4898" w:type="dxa"/>
            <w:tcBorders>
              <w:top w:val="single" w:sz="8" w:space="0" w:color="35437C"/>
              <w:left w:val="single" w:sz="8" w:space="0" w:color="35437C"/>
              <w:bottom w:val="single" w:sz="8" w:space="0" w:color="35437C"/>
              <w:right w:val="single" w:sz="8" w:space="0" w:color="35437C"/>
            </w:tcBorders>
          </w:tcPr>
          <w:p w:rsidR="00576F87" w:rsidRDefault="00576F87"/>
        </w:tc>
        <w:tc>
          <w:tcPr>
            <w:tcW w:w="2126"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576F87"/>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Pooled investments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224,626</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Fixed interest securities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601,145</w:t>
            </w:r>
          </w:p>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2,406,082</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Equities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2,400,971</w:t>
            </w:r>
          </w:p>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253,047</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Property</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328,293</w:t>
            </w:r>
          </w:p>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8"/>
              </w:rPr>
              <w:t>-</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Credit</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267,734</w:t>
            </w:r>
          </w:p>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800,820</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Private Equity</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592,989</w:t>
            </w:r>
          </w:p>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346,135</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Infrastructure</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510,869</w:t>
            </w:r>
          </w:p>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sz w:val="18"/>
              </w:rPr>
              <w:t>33,183</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Commodity funds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sz w:val="18"/>
              </w:rPr>
              <w:t>27,713</w:t>
            </w:r>
          </w:p>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664,335</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Managed funds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408,128</w:t>
            </w:r>
          </w:p>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sz w:val="18"/>
              </w:rPr>
              <w:t>27,431</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Cash Instruments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sz w:val="18"/>
              </w:rPr>
              <w:t>10,269</w:t>
            </w:r>
          </w:p>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576F87"/>
        </w:tc>
        <w:tc>
          <w:tcPr>
            <w:tcW w:w="4898" w:type="dxa"/>
            <w:tcBorders>
              <w:top w:val="single" w:sz="8" w:space="0" w:color="35437C"/>
              <w:left w:val="single" w:sz="8" w:space="0" w:color="35437C"/>
              <w:bottom w:val="single" w:sz="8" w:space="0" w:color="35437C"/>
              <w:right w:val="single" w:sz="8" w:space="0" w:color="35437C"/>
            </w:tcBorders>
          </w:tcPr>
          <w:p w:rsidR="00576F87" w:rsidRDefault="00576F87"/>
        </w:tc>
        <w:tc>
          <w:tcPr>
            <w:tcW w:w="2126"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110,020</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Direct property</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167,360</w:t>
            </w:r>
          </w:p>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576F87"/>
        </w:tc>
        <w:tc>
          <w:tcPr>
            <w:tcW w:w="4898" w:type="dxa"/>
            <w:tcBorders>
              <w:top w:val="single" w:sz="8" w:space="0" w:color="35437C"/>
              <w:left w:val="single" w:sz="8" w:space="0" w:color="35437C"/>
              <w:bottom w:val="single" w:sz="8" w:space="0" w:color="35437C"/>
              <w:right w:val="single" w:sz="8" w:space="0" w:color="35437C"/>
            </w:tcBorders>
          </w:tcPr>
          <w:p w:rsidR="00576F87" w:rsidRDefault="00576F87"/>
        </w:tc>
        <w:tc>
          <w:tcPr>
            <w:tcW w:w="2126"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576F87"/>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Derivatives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414</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Options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8"/>
              </w:rPr>
              <w:t>-</w:t>
            </w:r>
          </w:p>
        </w:tc>
      </w:tr>
      <w:tr w:rsidR="00576F87">
        <w:trPr>
          <w:trHeight w:val="305"/>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3,923</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Forwards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8"/>
              </w:rPr>
              <w:t>-</w:t>
            </w:r>
          </w:p>
        </w:tc>
      </w:tr>
      <w:tr w:rsidR="00576F87">
        <w:trPr>
          <w:trHeight w:val="290"/>
        </w:trPr>
        <w:tc>
          <w:tcPr>
            <w:tcW w:w="2059" w:type="dxa"/>
            <w:tcBorders>
              <w:top w:val="single" w:sz="8" w:space="0" w:color="35437C"/>
              <w:left w:val="single" w:sz="8" w:space="0" w:color="35437C"/>
              <w:bottom w:val="single" w:sz="8" w:space="0" w:color="35437C"/>
              <w:right w:val="single" w:sz="8" w:space="0" w:color="35437C"/>
            </w:tcBorders>
          </w:tcPr>
          <w:p w:rsidR="00576F87" w:rsidRDefault="00576F87"/>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Other investment balances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348"/>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3,255</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 xml:space="preserve">Cash held by investment managers </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sz w:val="18"/>
              </w:rPr>
              <w:t>58,849</w:t>
            </w:r>
          </w:p>
        </w:tc>
      </w:tr>
      <w:tr w:rsidR="00576F87">
        <w:trPr>
          <w:trHeight w:val="348"/>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3,632</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Investment income due</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5"/>
              <w:jc w:val="right"/>
            </w:pPr>
            <w:r>
              <w:rPr>
                <w:rFonts w:ascii="Verdana" w:eastAsia="Verdana" w:hAnsi="Verdana" w:cs="Verdana"/>
                <w:sz w:val="18"/>
              </w:rPr>
              <w:t>81</w:t>
            </w:r>
          </w:p>
        </w:tc>
      </w:tr>
      <w:tr w:rsidR="00576F87">
        <w:trPr>
          <w:trHeight w:val="348"/>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421</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Amounts receivable for sales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617</w:t>
            </w:r>
          </w:p>
        </w:tc>
      </w:tr>
      <w:tr w:rsidR="00576F87">
        <w:trPr>
          <w:trHeight w:val="202"/>
        </w:trPr>
        <w:tc>
          <w:tcPr>
            <w:tcW w:w="2059" w:type="dxa"/>
            <w:tcBorders>
              <w:top w:val="single" w:sz="8" w:space="0" w:color="35437C"/>
              <w:left w:val="single" w:sz="8" w:space="0" w:color="35437C"/>
              <w:bottom w:val="single" w:sz="8" w:space="0" w:color="35437C"/>
              <w:right w:val="single" w:sz="8" w:space="0" w:color="35437C"/>
            </w:tcBorders>
          </w:tcPr>
          <w:p w:rsidR="00576F87" w:rsidRDefault="00576F87"/>
        </w:tc>
        <w:tc>
          <w:tcPr>
            <w:tcW w:w="4898" w:type="dxa"/>
            <w:tcBorders>
              <w:top w:val="single" w:sz="8" w:space="0" w:color="35437C"/>
              <w:left w:val="single" w:sz="8" w:space="0" w:color="35437C"/>
              <w:bottom w:val="single" w:sz="8" w:space="0" w:color="35437C"/>
              <w:right w:val="single" w:sz="8" w:space="0" w:color="35437C"/>
            </w:tcBorders>
          </w:tcPr>
          <w:p w:rsidR="00576F87" w:rsidRDefault="00576F87"/>
        </w:tc>
        <w:tc>
          <w:tcPr>
            <w:tcW w:w="2126"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348"/>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b/>
                <w:sz w:val="18"/>
              </w:rPr>
              <w:t>4,988,343</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Total investment assets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b/>
                <w:sz w:val="18"/>
              </w:rPr>
              <w:t>5,375,018</w:t>
            </w:r>
          </w:p>
        </w:tc>
      </w:tr>
      <w:tr w:rsidR="00576F87">
        <w:trPr>
          <w:trHeight w:val="290"/>
        </w:trPr>
        <w:tc>
          <w:tcPr>
            <w:tcW w:w="2059" w:type="dxa"/>
            <w:tcBorders>
              <w:top w:val="single" w:sz="8" w:space="0" w:color="35437C"/>
              <w:left w:val="single" w:sz="8" w:space="0" w:color="35437C"/>
              <w:bottom w:val="single" w:sz="8" w:space="0" w:color="35437C"/>
              <w:right w:val="single" w:sz="8" w:space="0" w:color="35437C"/>
            </w:tcBorders>
          </w:tcPr>
          <w:p w:rsidR="00576F87" w:rsidRDefault="00576F87"/>
        </w:tc>
        <w:tc>
          <w:tcPr>
            <w:tcW w:w="4898" w:type="dxa"/>
            <w:tcBorders>
              <w:top w:val="single" w:sz="8" w:space="0" w:color="35437C"/>
              <w:left w:val="single" w:sz="8" w:space="0" w:color="35437C"/>
              <w:bottom w:val="single" w:sz="8" w:space="0" w:color="35437C"/>
              <w:right w:val="single" w:sz="8" w:space="0" w:color="35437C"/>
            </w:tcBorders>
          </w:tcPr>
          <w:p w:rsidR="00576F87" w:rsidRDefault="00576F87"/>
        </w:tc>
        <w:tc>
          <w:tcPr>
            <w:tcW w:w="2126"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290"/>
        </w:trPr>
        <w:tc>
          <w:tcPr>
            <w:tcW w:w="2059" w:type="dxa"/>
            <w:tcBorders>
              <w:top w:val="single" w:sz="8" w:space="0" w:color="35437C"/>
              <w:left w:val="single" w:sz="8" w:space="0" w:color="35437C"/>
              <w:bottom w:val="single" w:sz="8" w:space="0" w:color="35437C"/>
              <w:right w:val="single" w:sz="8" w:space="0" w:color="35437C"/>
            </w:tcBorders>
          </w:tcPr>
          <w:p w:rsidR="00576F87" w:rsidRDefault="00576F87"/>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Investment liabilities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348"/>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(271)</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Purchased/written options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8"/>
              </w:rPr>
              <w:t>-</w:t>
            </w:r>
          </w:p>
        </w:tc>
      </w:tr>
      <w:tr w:rsidR="00576F87">
        <w:trPr>
          <w:trHeight w:val="348"/>
        </w:trPr>
        <w:tc>
          <w:tcPr>
            <w:tcW w:w="205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(1,027)</w:t>
            </w:r>
          </w:p>
        </w:tc>
        <w:tc>
          <w:tcPr>
            <w:tcW w:w="4898"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Amounts payable for purchases</w:t>
            </w:r>
          </w:p>
        </w:tc>
        <w:tc>
          <w:tcPr>
            <w:tcW w:w="2126"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8"/>
              </w:rPr>
              <w:t>-</w:t>
            </w:r>
          </w:p>
        </w:tc>
      </w:tr>
      <w:tr w:rsidR="00576F87">
        <w:trPr>
          <w:trHeight w:val="144"/>
        </w:trPr>
        <w:tc>
          <w:tcPr>
            <w:tcW w:w="2059" w:type="dxa"/>
            <w:tcBorders>
              <w:top w:val="single" w:sz="8" w:space="0" w:color="35437C"/>
              <w:left w:val="single" w:sz="8" w:space="0" w:color="35437C"/>
              <w:bottom w:val="single" w:sz="8" w:space="0" w:color="35437C"/>
              <w:right w:val="single" w:sz="8" w:space="0" w:color="35437C"/>
            </w:tcBorders>
          </w:tcPr>
          <w:p w:rsidR="00576F87" w:rsidRDefault="00576F87"/>
        </w:tc>
        <w:tc>
          <w:tcPr>
            <w:tcW w:w="4898" w:type="dxa"/>
            <w:tcBorders>
              <w:top w:val="single" w:sz="8" w:space="0" w:color="35437C"/>
              <w:left w:val="single" w:sz="8" w:space="0" w:color="35437C"/>
              <w:bottom w:val="single" w:sz="8" w:space="0" w:color="35437C"/>
              <w:right w:val="single" w:sz="8" w:space="0" w:color="35437C"/>
            </w:tcBorders>
          </w:tcPr>
          <w:p w:rsidR="00576F87" w:rsidRDefault="00576F87"/>
        </w:tc>
        <w:tc>
          <w:tcPr>
            <w:tcW w:w="2126"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410"/>
        </w:trPr>
        <w:tc>
          <w:tcPr>
            <w:tcW w:w="2059"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7"/>
              <w:jc w:val="right"/>
            </w:pPr>
            <w:r>
              <w:rPr>
                <w:rFonts w:ascii="Verdana" w:eastAsia="Verdana" w:hAnsi="Verdana" w:cs="Verdana"/>
                <w:b/>
                <w:sz w:val="18"/>
              </w:rPr>
              <w:t>(1,298)</w:t>
            </w:r>
          </w:p>
        </w:tc>
        <w:tc>
          <w:tcPr>
            <w:tcW w:w="48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left="5"/>
            </w:pPr>
            <w:r>
              <w:rPr>
                <w:rFonts w:ascii="Verdana" w:eastAsia="Verdana" w:hAnsi="Verdana" w:cs="Verdana"/>
                <w:b/>
                <w:sz w:val="18"/>
              </w:rPr>
              <w:t>Total investment liabilities</w:t>
            </w:r>
          </w:p>
        </w:tc>
        <w:tc>
          <w:tcPr>
            <w:tcW w:w="2126"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9"/>
              <w:jc w:val="right"/>
            </w:pPr>
            <w:r>
              <w:rPr>
                <w:rFonts w:ascii="Verdana" w:eastAsia="Verdana" w:hAnsi="Verdana" w:cs="Verdana"/>
                <w:b/>
                <w:sz w:val="18"/>
              </w:rPr>
              <w:t>-</w:t>
            </w:r>
          </w:p>
        </w:tc>
      </w:tr>
      <w:tr w:rsidR="00576F87">
        <w:trPr>
          <w:trHeight w:val="163"/>
        </w:trPr>
        <w:tc>
          <w:tcPr>
            <w:tcW w:w="2059" w:type="dxa"/>
            <w:tcBorders>
              <w:top w:val="single" w:sz="8" w:space="0" w:color="35437C"/>
              <w:left w:val="single" w:sz="8" w:space="0" w:color="35437C"/>
              <w:bottom w:val="single" w:sz="8" w:space="0" w:color="35437C"/>
              <w:right w:val="single" w:sz="8" w:space="0" w:color="35437C"/>
            </w:tcBorders>
          </w:tcPr>
          <w:p w:rsidR="00576F87" w:rsidRDefault="00576F87"/>
        </w:tc>
        <w:tc>
          <w:tcPr>
            <w:tcW w:w="4898" w:type="dxa"/>
            <w:tcBorders>
              <w:top w:val="single" w:sz="8" w:space="0" w:color="35437C"/>
              <w:left w:val="single" w:sz="8" w:space="0" w:color="35437C"/>
              <w:bottom w:val="single" w:sz="8" w:space="0" w:color="35437C"/>
              <w:right w:val="single" w:sz="8" w:space="0" w:color="35437C"/>
            </w:tcBorders>
          </w:tcPr>
          <w:p w:rsidR="00576F87" w:rsidRDefault="00576F87"/>
        </w:tc>
        <w:tc>
          <w:tcPr>
            <w:tcW w:w="2126"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449"/>
        </w:trPr>
        <w:tc>
          <w:tcPr>
            <w:tcW w:w="2059" w:type="dxa"/>
            <w:tcBorders>
              <w:top w:val="single" w:sz="8" w:space="0" w:color="35437C"/>
              <w:left w:val="nil"/>
              <w:bottom w:val="nil"/>
              <w:right w:val="single" w:sz="8" w:space="0" w:color="35437C"/>
            </w:tcBorders>
            <w:shd w:val="clear" w:color="auto" w:fill="35437C"/>
          </w:tcPr>
          <w:p w:rsidR="00576F87" w:rsidRDefault="004165F5">
            <w:pPr>
              <w:spacing w:after="0"/>
              <w:ind w:right="33"/>
              <w:jc w:val="right"/>
            </w:pPr>
            <w:r>
              <w:rPr>
                <w:rFonts w:ascii="Verdana" w:eastAsia="Verdana" w:hAnsi="Verdana" w:cs="Verdana"/>
                <w:b/>
                <w:color w:val="FFFFFF"/>
                <w:sz w:val="18"/>
              </w:rPr>
              <w:t>4,987,045</w:t>
            </w:r>
          </w:p>
        </w:tc>
        <w:tc>
          <w:tcPr>
            <w:tcW w:w="4898"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left="5"/>
            </w:pPr>
            <w:r>
              <w:rPr>
                <w:rFonts w:ascii="Verdana" w:eastAsia="Verdana" w:hAnsi="Verdana" w:cs="Verdana"/>
                <w:b/>
                <w:color w:val="FFFFFF"/>
                <w:sz w:val="18"/>
              </w:rPr>
              <w:t>Net investment assets</w:t>
            </w:r>
          </w:p>
        </w:tc>
        <w:tc>
          <w:tcPr>
            <w:tcW w:w="2126" w:type="dxa"/>
            <w:tcBorders>
              <w:top w:val="single" w:sz="8" w:space="0" w:color="35437C"/>
              <w:left w:val="single" w:sz="15" w:space="0" w:color="35437C"/>
              <w:bottom w:val="nil"/>
              <w:right w:val="single" w:sz="8" w:space="0" w:color="35437C"/>
            </w:tcBorders>
            <w:shd w:val="clear" w:color="auto" w:fill="35437C"/>
          </w:tcPr>
          <w:p w:rsidR="00576F87" w:rsidRDefault="004165F5">
            <w:pPr>
              <w:spacing w:after="0"/>
              <w:ind w:right="33"/>
              <w:jc w:val="right"/>
            </w:pPr>
            <w:r>
              <w:rPr>
                <w:rFonts w:ascii="Verdana" w:eastAsia="Verdana" w:hAnsi="Verdana" w:cs="Verdana"/>
                <w:b/>
                <w:color w:val="FFFFFF"/>
                <w:sz w:val="18"/>
              </w:rPr>
              <w:t>5,375,018</w:t>
            </w:r>
          </w:p>
        </w:tc>
      </w:tr>
    </w:tbl>
    <w:p w:rsidR="00576F87" w:rsidRDefault="004165F5">
      <w:pPr>
        <w:spacing w:after="5" w:line="268" w:lineRule="auto"/>
        <w:ind w:left="-7" w:right="472" w:hanging="3"/>
        <w:jc w:val="both"/>
      </w:pPr>
      <w:r>
        <w:rPr>
          <w:rFonts w:ascii="Verdana" w:eastAsia="Verdana" w:hAnsi="Verdana" w:cs="Verdana"/>
          <w:sz w:val="18"/>
        </w:rPr>
        <w:t>The prior year pooled investments category has been reanalysed to be consistent with the current year and to provide greater detail of the underlying assets. Two categories have been disaggregated: Private equity/infrastructure, into its constituent parts;</w:t>
      </w:r>
      <w:r>
        <w:rPr>
          <w:rFonts w:ascii="Verdana" w:eastAsia="Verdana" w:hAnsi="Verdana" w:cs="Verdana"/>
          <w:sz w:val="18"/>
        </w:rPr>
        <w:t xml:space="preserve"> and Pooled Investments into Credit, Equities, Fixed Interest Securities  and Managed Funds.</w:t>
      </w:r>
    </w:p>
    <w:p w:rsidR="00576F87" w:rsidRDefault="00576F87">
      <w:pPr>
        <w:sectPr w:rsidR="00576F87">
          <w:headerReference w:type="even" r:id="rId60"/>
          <w:headerReference w:type="default" r:id="rId61"/>
          <w:footerReference w:type="even" r:id="rId62"/>
          <w:footerReference w:type="default" r:id="rId63"/>
          <w:headerReference w:type="first" r:id="rId64"/>
          <w:footerReference w:type="first" r:id="rId65"/>
          <w:pgSz w:w="11900" w:h="16840"/>
          <w:pgMar w:top="1746" w:right="1344" w:bottom="1091" w:left="1068" w:header="1149" w:footer="510" w:gutter="0"/>
          <w:cols w:space="720"/>
        </w:sectPr>
      </w:pPr>
    </w:p>
    <w:p w:rsidR="00576F87" w:rsidRDefault="004165F5">
      <w:pPr>
        <w:pStyle w:val="Heading1"/>
        <w:spacing w:after="262"/>
        <w:ind w:left="19"/>
      </w:pPr>
      <w:r>
        <w:lastRenderedPageBreak/>
        <w:t>LPFA Accounts 31 March 2018</w:t>
      </w:r>
    </w:p>
    <w:p w:rsidR="00576F87" w:rsidRDefault="004165F5">
      <w:pPr>
        <w:spacing w:after="309" w:line="265" w:lineRule="auto"/>
        <w:ind w:left="5" w:hanging="8"/>
      </w:pPr>
      <w:r>
        <w:rPr>
          <w:rFonts w:ascii="Verdana" w:eastAsia="Verdana" w:hAnsi="Verdana" w:cs="Verdana"/>
          <w:b/>
          <w:sz w:val="20"/>
        </w:rPr>
        <w:t>14a. Investments</w:t>
      </w:r>
    </w:p>
    <w:p w:rsidR="00576F87" w:rsidRDefault="004165F5">
      <w:pPr>
        <w:pStyle w:val="Heading2"/>
        <w:spacing w:after="74"/>
        <w:ind w:left="5" w:hanging="8"/>
      </w:pPr>
      <w:r>
        <w:rPr>
          <w:b/>
          <w:color w:val="000000"/>
          <w:sz w:val="20"/>
        </w:rPr>
        <w:t>Net Investment Assets</w:t>
      </w:r>
    </w:p>
    <w:tbl>
      <w:tblPr>
        <w:tblStyle w:val="TableGrid"/>
        <w:tblW w:w="10651" w:type="dxa"/>
        <w:tblInd w:w="-38" w:type="dxa"/>
        <w:tblCellMar>
          <w:top w:w="32" w:type="dxa"/>
          <w:left w:w="38" w:type="dxa"/>
          <w:bottom w:w="57" w:type="dxa"/>
          <w:right w:w="0" w:type="dxa"/>
        </w:tblCellMar>
        <w:tblLook w:val="04A0" w:firstRow="1" w:lastRow="0" w:firstColumn="1" w:lastColumn="0" w:noHBand="0" w:noVBand="1"/>
      </w:tblPr>
      <w:tblGrid>
        <w:gridCol w:w="3513"/>
        <w:gridCol w:w="1483"/>
        <w:gridCol w:w="1385"/>
        <w:gridCol w:w="1562"/>
        <w:gridCol w:w="1354"/>
        <w:gridCol w:w="1354"/>
      </w:tblGrid>
      <w:tr w:rsidR="00576F87">
        <w:trPr>
          <w:trHeight w:val="1291"/>
        </w:trPr>
        <w:tc>
          <w:tcPr>
            <w:tcW w:w="3514" w:type="dxa"/>
            <w:tcBorders>
              <w:top w:val="single" w:sz="15" w:space="0" w:color="000070"/>
              <w:left w:val="single" w:sz="15" w:space="0" w:color="000070"/>
              <w:bottom w:val="single" w:sz="8" w:space="0" w:color="000070"/>
              <w:right w:val="single" w:sz="8" w:space="0" w:color="000070"/>
            </w:tcBorders>
            <w:shd w:val="clear" w:color="auto" w:fill="35437C"/>
          </w:tcPr>
          <w:p w:rsidR="00576F87" w:rsidRDefault="00576F87"/>
        </w:tc>
        <w:tc>
          <w:tcPr>
            <w:tcW w:w="1483" w:type="dxa"/>
            <w:tcBorders>
              <w:top w:val="single" w:sz="15" w:space="0" w:color="000070"/>
              <w:left w:val="single" w:sz="8" w:space="0" w:color="000070"/>
              <w:bottom w:val="single" w:sz="8" w:space="0" w:color="000070"/>
              <w:right w:val="single" w:sz="8" w:space="0" w:color="000070"/>
            </w:tcBorders>
            <w:shd w:val="clear" w:color="auto" w:fill="35437C"/>
            <w:vAlign w:val="center"/>
          </w:tcPr>
          <w:p w:rsidR="00576F87" w:rsidRDefault="004165F5">
            <w:pPr>
              <w:spacing w:after="3"/>
              <w:ind w:left="96"/>
            </w:pPr>
            <w:r>
              <w:rPr>
                <w:rFonts w:ascii="Verdana" w:eastAsia="Verdana" w:hAnsi="Verdana" w:cs="Verdana"/>
                <w:b/>
                <w:color w:val="FFFFFF"/>
                <w:sz w:val="18"/>
              </w:rPr>
              <w:t xml:space="preserve">Market value </w:t>
            </w:r>
          </w:p>
          <w:p w:rsidR="00576F87" w:rsidRDefault="004165F5">
            <w:pPr>
              <w:spacing w:after="0"/>
              <w:ind w:left="168"/>
            </w:pPr>
            <w:r>
              <w:rPr>
                <w:rFonts w:ascii="Verdana" w:eastAsia="Verdana" w:hAnsi="Verdana" w:cs="Verdana"/>
                <w:b/>
                <w:color w:val="FFFFFF"/>
                <w:sz w:val="18"/>
              </w:rPr>
              <w:t>1 April 2017</w:t>
            </w:r>
          </w:p>
        </w:tc>
        <w:tc>
          <w:tcPr>
            <w:tcW w:w="1385" w:type="dxa"/>
            <w:tcBorders>
              <w:top w:val="single" w:sz="15" w:space="0" w:color="000070"/>
              <w:left w:val="single" w:sz="8" w:space="0" w:color="000070"/>
              <w:bottom w:val="single" w:sz="8" w:space="0" w:color="000070"/>
              <w:right w:val="single" w:sz="8" w:space="0" w:color="000070"/>
            </w:tcBorders>
            <w:shd w:val="clear" w:color="auto" w:fill="35437C"/>
          </w:tcPr>
          <w:p w:rsidR="00576F87" w:rsidRDefault="004165F5">
            <w:pPr>
              <w:spacing w:after="0"/>
              <w:ind w:right="35"/>
              <w:jc w:val="right"/>
            </w:pPr>
            <w:r>
              <w:rPr>
                <w:rFonts w:ascii="Verdana" w:eastAsia="Verdana" w:hAnsi="Verdana" w:cs="Verdana"/>
                <w:b/>
                <w:color w:val="FFFFFF"/>
                <w:sz w:val="18"/>
              </w:rPr>
              <w:t>Purchases during the year and derivative payments</w:t>
            </w:r>
          </w:p>
        </w:tc>
        <w:tc>
          <w:tcPr>
            <w:tcW w:w="1562" w:type="dxa"/>
            <w:tcBorders>
              <w:top w:val="single" w:sz="15" w:space="0" w:color="000070"/>
              <w:left w:val="single" w:sz="8" w:space="0" w:color="000070"/>
              <w:bottom w:val="single" w:sz="8" w:space="0" w:color="000070"/>
              <w:right w:val="single" w:sz="8" w:space="0" w:color="000070"/>
            </w:tcBorders>
            <w:shd w:val="clear" w:color="auto" w:fill="35437C"/>
            <w:vAlign w:val="center"/>
          </w:tcPr>
          <w:p w:rsidR="00576F87" w:rsidRDefault="004165F5">
            <w:pPr>
              <w:spacing w:after="0"/>
              <w:ind w:right="38"/>
              <w:jc w:val="right"/>
            </w:pPr>
            <w:r>
              <w:rPr>
                <w:rFonts w:ascii="Verdana" w:eastAsia="Verdana" w:hAnsi="Verdana" w:cs="Verdana"/>
                <w:b/>
                <w:color w:val="FFFFFF"/>
                <w:sz w:val="18"/>
              </w:rPr>
              <w:t>Sales during the year and derivative receipts</w:t>
            </w:r>
          </w:p>
        </w:tc>
        <w:tc>
          <w:tcPr>
            <w:tcW w:w="1354" w:type="dxa"/>
            <w:tcBorders>
              <w:top w:val="single" w:sz="15" w:space="0" w:color="000070"/>
              <w:left w:val="single" w:sz="8" w:space="0" w:color="000070"/>
              <w:bottom w:val="single" w:sz="8" w:space="0" w:color="000070"/>
              <w:right w:val="single" w:sz="8" w:space="0" w:color="000070"/>
            </w:tcBorders>
            <w:shd w:val="clear" w:color="auto" w:fill="35437C"/>
            <w:vAlign w:val="center"/>
          </w:tcPr>
          <w:p w:rsidR="00576F87" w:rsidRDefault="004165F5">
            <w:pPr>
              <w:spacing w:after="0"/>
              <w:ind w:left="11" w:right="36"/>
              <w:jc w:val="right"/>
            </w:pPr>
            <w:r>
              <w:rPr>
                <w:rFonts w:ascii="Verdana" w:eastAsia="Verdana" w:hAnsi="Verdana" w:cs="Verdana"/>
                <w:b/>
                <w:color w:val="FFFFFF"/>
                <w:sz w:val="18"/>
              </w:rPr>
              <w:t>Change in market value during in the year</w:t>
            </w:r>
          </w:p>
        </w:tc>
        <w:tc>
          <w:tcPr>
            <w:tcW w:w="1354" w:type="dxa"/>
            <w:tcBorders>
              <w:top w:val="single" w:sz="15" w:space="0" w:color="000070"/>
              <w:left w:val="single" w:sz="8" w:space="0" w:color="000070"/>
              <w:bottom w:val="single" w:sz="8" w:space="0" w:color="000070"/>
              <w:right w:val="single" w:sz="15" w:space="0" w:color="000070"/>
            </w:tcBorders>
            <w:shd w:val="clear" w:color="auto" w:fill="35437C"/>
            <w:vAlign w:val="center"/>
          </w:tcPr>
          <w:p w:rsidR="00576F87" w:rsidRDefault="004165F5">
            <w:pPr>
              <w:spacing w:after="0" w:line="263" w:lineRule="auto"/>
              <w:ind w:left="30" w:right="37"/>
              <w:jc w:val="right"/>
            </w:pPr>
            <w:r>
              <w:rPr>
                <w:rFonts w:ascii="Verdana" w:eastAsia="Verdana" w:hAnsi="Verdana" w:cs="Verdana"/>
                <w:b/>
                <w:color w:val="FFFFFF"/>
                <w:sz w:val="18"/>
              </w:rPr>
              <w:t>Market value  31</w:t>
            </w:r>
          </w:p>
          <w:p w:rsidR="00576F87" w:rsidRDefault="004165F5">
            <w:pPr>
              <w:spacing w:after="0"/>
              <w:ind w:left="94"/>
            </w:pPr>
            <w:r>
              <w:rPr>
                <w:rFonts w:ascii="Verdana" w:eastAsia="Verdana" w:hAnsi="Verdana" w:cs="Verdana"/>
                <w:b/>
                <w:color w:val="FFFFFF"/>
                <w:sz w:val="18"/>
              </w:rPr>
              <w:t>March 2018</w:t>
            </w:r>
          </w:p>
        </w:tc>
      </w:tr>
      <w:tr w:rsidR="00576F87">
        <w:trPr>
          <w:trHeight w:val="362"/>
        </w:trPr>
        <w:tc>
          <w:tcPr>
            <w:tcW w:w="3514" w:type="dxa"/>
            <w:tcBorders>
              <w:top w:val="single" w:sz="8" w:space="0" w:color="000070"/>
              <w:left w:val="single" w:sz="15" w:space="0" w:color="000070"/>
              <w:bottom w:val="single" w:sz="8" w:space="0" w:color="000070"/>
              <w:right w:val="single" w:sz="8" w:space="0" w:color="000070"/>
            </w:tcBorders>
          </w:tcPr>
          <w:p w:rsidR="00576F87" w:rsidRDefault="00576F87"/>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b/>
                <w:sz w:val="18"/>
              </w:rPr>
              <w:t>£000</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b/>
                <w:sz w:val="18"/>
              </w:rPr>
              <w:t>£000</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b/>
                <w:sz w:val="18"/>
              </w:rPr>
              <w:t>£000</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b/>
                <w:sz w:val="18"/>
              </w:rPr>
              <w:t>£000</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5"/>
              <w:jc w:val="right"/>
            </w:pPr>
            <w:r>
              <w:rPr>
                <w:rFonts w:ascii="Verdana" w:eastAsia="Verdana" w:hAnsi="Verdana" w:cs="Verdana"/>
                <w:b/>
                <w:sz w:val="18"/>
              </w:rPr>
              <w:t>£000</w:t>
            </w:r>
          </w:p>
        </w:tc>
      </w:tr>
      <w:tr w:rsidR="00576F87">
        <w:trPr>
          <w:trHeight w:val="384"/>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Fixed interest securities</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56,649</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26,705</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(82,316)</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sz w:val="18"/>
              </w:rPr>
              <w:t>(1,038)</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2"/>
              <w:jc w:val="right"/>
            </w:pPr>
            <w:r>
              <w:rPr>
                <w:rFonts w:ascii="Verdana" w:eastAsia="Verdana" w:hAnsi="Verdana" w:cs="Verdana"/>
                <w:sz w:val="18"/>
              </w:rPr>
              <w:t>-</w:t>
            </w:r>
          </w:p>
        </w:tc>
      </w:tr>
      <w:tr w:rsidR="00576F87">
        <w:trPr>
          <w:trHeight w:val="384"/>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Equities</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44,647</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986</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(42,396)</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sz w:val="18"/>
              </w:rPr>
              <w:t>(3,237)</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3"/>
              <w:jc w:val="right"/>
            </w:pPr>
            <w:r>
              <w:rPr>
                <w:rFonts w:ascii="Verdana" w:eastAsia="Verdana" w:hAnsi="Verdana" w:cs="Verdana"/>
                <w:sz w:val="18"/>
              </w:rPr>
              <w:t>-</w:t>
            </w:r>
          </w:p>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Pooled investments</w:t>
            </w:r>
          </w:p>
        </w:tc>
        <w:tc>
          <w:tcPr>
            <w:tcW w:w="1483" w:type="dxa"/>
            <w:tcBorders>
              <w:top w:val="single" w:sz="8" w:space="0" w:color="000070"/>
              <w:left w:val="single" w:sz="8" w:space="0" w:color="000070"/>
              <w:bottom w:val="single" w:sz="8" w:space="0" w:color="000070"/>
              <w:right w:val="single" w:sz="8" w:space="0" w:color="000070"/>
            </w:tcBorders>
          </w:tcPr>
          <w:p w:rsidR="00576F87" w:rsidRDefault="00576F87"/>
        </w:tc>
        <w:tc>
          <w:tcPr>
            <w:tcW w:w="1385" w:type="dxa"/>
            <w:tcBorders>
              <w:top w:val="single" w:sz="8" w:space="0" w:color="000070"/>
              <w:left w:val="single" w:sz="8" w:space="0" w:color="000070"/>
              <w:bottom w:val="single" w:sz="8" w:space="0" w:color="000070"/>
              <w:right w:val="single" w:sz="8" w:space="0" w:color="000070"/>
            </w:tcBorders>
          </w:tcPr>
          <w:p w:rsidR="00576F87" w:rsidRDefault="00576F87"/>
        </w:tc>
        <w:tc>
          <w:tcPr>
            <w:tcW w:w="1562"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15" w:space="0" w:color="000070"/>
            </w:tcBorders>
          </w:tcPr>
          <w:p w:rsidR="00576F87" w:rsidRDefault="00576F87"/>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 Fixed interest securities</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224,626</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388,716</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(43,000)</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30,803</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6"/>
              <w:jc w:val="right"/>
            </w:pPr>
            <w:r>
              <w:rPr>
                <w:rFonts w:ascii="Verdana" w:eastAsia="Verdana" w:hAnsi="Verdana" w:cs="Verdana"/>
                <w:sz w:val="18"/>
              </w:rPr>
              <w:t>601,145</w:t>
            </w:r>
          </w:p>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 Equities</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8"/>
              <w:jc w:val="right"/>
            </w:pPr>
            <w:r>
              <w:rPr>
                <w:rFonts w:ascii="Verdana" w:eastAsia="Verdana" w:hAnsi="Verdana" w:cs="Verdana"/>
                <w:sz w:val="18"/>
              </w:rPr>
              <w:t>2,406,082</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196,883</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(168,581)</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(33,413)</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7"/>
              <w:jc w:val="right"/>
            </w:pPr>
            <w:r>
              <w:rPr>
                <w:rFonts w:ascii="Verdana" w:eastAsia="Verdana" w:hAnsi="Verdana" w:cs="Verdana"/>
                <w:sz w:val="18"/>
              </w:rPr>
              <w:t>2,400,971</w:t>
            </w:r>
          </w:p>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 Credit</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8"/>
              <w:jc w:val="right"/>
            </w:pPr>
            <w:r>
              <w:rPr>
                <w:rFonts w:ascii="Verdana" w:eastAsia="Verdana" w:hAnsi="Verdana" w:cs="Verdana"/>
                <w:sz w:val="18"/>
              </w:rPr>
              <w:t>267,095</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(3,067)</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3,706</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7"/>
              <w:jc w:val="right"/>
            </w:pPr>
            <w:r>
              <w:rPr>
                <w:rFonts w:ascii="Verdana" w:eastAsia="Verdana" w:hAnsi="Verdana" w:cs="Verdana"/>
                <w:sz w:val="18"/>
              </w:rPr>
              <w:t>267,734</w:t>
            </w:r>
          </w:p>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 Private Equity</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800,820</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851,781</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(1,069,086)</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sz w:val="18"/>
              </w:rPr>
              <w:t>9,474</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6"/>
              <w:jc w:val="right"/>
            </w:pPr>
            <w:r>
              <w:rPr>
                <w:rFonts w:ascii="Verdana" w:eastAsia="Verdana" w:hAnsi="Verdana" w:cs="Verdana"/>
                <w:sz w:val="18"/>
              </w:rPr>
              <w:t>592,989</w:t>
            </w:r>
          </w:p>
        </w:tc>
      </w:tr>
      <w:tr w:rsidR="00576F87">
        <w:trPr>
          <w:trHeight w:val="305"/>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 Infrastructure</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8"/>
              <w:jc w:val="right"/>
            </w:pPr>
            <w:r>
              <w:rPr>
                <w:rFonts w:ascii="Verdana" w:eastAsia="Verdana" w:hAnsi="Verdana" w:cs="Verdana"/>
                <w:sz w:val="18"/>
              </w:rPr>
              <w:t>346,135</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8"/>
              <w:jc w:val="right"/>
            </w:pPr>
            <w:r>
              <w:rPr>
                <w:rFonts w:ascii="Verdana" w:eastAsia="Verdana" w:hAnsi="Verdana" w:cs="Verdana"/>
                <w:sz w:val="18"/>
              </w:rPr>
              <w:t>855,274</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(670,896)</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(19,644)</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8"/>
              <w:jc w:val="right"/>
            </w:pPr>
            <w:r>
              <w:rPr>
                <w:rFonts w:ascii="Verdana" w:eastAsia="Verdana" w:hAnsi="Verdana" w:cs="Verdana"/>
                <w:sz w:val="18"/>
              </w:rPr>
              <w:t>510,869</w:t>
            </w:r>
          </w:p>
        </w:tc>
      </w:tr>
      <w:tr w:rsidR="00576F87">
        <w:trPr>
          <w:trHeight w:val="305"/>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 Property</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8"/>
              <w:jc w:val="right"/>
            </w:pPr>
            <w:r>
              <w:rPr>
                <w:rFonts w:ascii="Verdana" w:eastAsia="Verdana" w:hAnsi="Verdana" w:cs="Verdana"/>
                <w:sz w:val="18"/>
              </w:rPr>
              <w:t>253,047</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8"/>
              <w:jc w:val="right"/>
            </w:pPr>
            <w:r>
              <w:rPr>
                <w:rFonts w:ascii="Verdana" w:eastAsia="Verdana" w:hAnsi="Verdana" w:cs="Verdana"/>
                <w:sz w:val="18"/>
              </w:rPr>
              <w:t>126,811</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(34,120)</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(17,445)</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8"/>
              <w:jc w:val="right"/>
            </w:pPr>
            <w:r>
              <w:rPr>
                <w:rFonts w:ascii="Verdana" w:eastAsia="Verdana" w:hAnsi="Verdana" w:cs="Verdana"/>
                <w:sz w:val="18"/>
              </w:rPr>
              <w:t>328,293</w:t>
            </w:r>
          </w:p>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 Managed funds</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664,337</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40,597</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(506,496)</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209,690</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6"/>
              <w:jc w:val="right"/>
            </w:pPr>
            <w:r>
              <w:rPr>
                <w:rFonts w:ascii="Verdana" w:eastAsia="Verdana" w:hAnsi="Verdana" w:cs="Verdana"/>
                <w:sz w:val="18"/>
              </w:rPr>
              <w:t>408,128</w:t>
            </w:r>
          </w:p>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 Commodity funds</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33,183</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13,174</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(14,639)</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sz w:val="18"/>
              </w:rPr>
              <w:t>(4,005)</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6"/>
              <w:jc w:val="right"/>
            </w:pPr>
            <w:r>
              <w:rPr>
                <w:rFonts w:ascii="Verdana" w:eastAsia="Verdana" w:hAnsi="Verdana" w:cs="Verdana"/>
                <w:sz w:val="18"/>
              </w:rPr>
              <w:t>27,713</w:t>
            </w:r>
          </w:p>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 Cash Instrument</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27,431</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25,141</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(41,159)</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sz w:val="18"/>
              </w:rPr>
              <w:t>(1,144)</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5"/>
              <w:jc w:val="right"/>
            </w:pPr>
            <w:r>
              <w:rPr>
                <w:rFonts w:ascii="Verdana" w:eastAsia="Verdana" w:hAnsi="Verdana" w:cs="Verdana"/>
                <w:sz w:val="18"/>
              </w:rPr>
              <w:t>10,269</w:t>
            </w:r>
          </w:p>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Liquidity Fund</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9,723</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(9,723)</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3"/>
              <w:jc w:val="right"/>
            </w:pPr>
            <w:r>
              <w:rPr>
                <w:rFonts w:ascii="Verdana" w:eastAsia="Verdana" w:hAnsi="Verdana" w:cs="Verdana"/>
                <w:sz w:val="18"/>
              </w:rPr>
              <w:t>-</w:t>
            </w:r>
          </w:p>
        </w:tc>
      </w:tr>
      <w:tr w:rsidR="00576F87">
        <w:trPr>
          <w:trHeight w:val="384"/>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Property</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8"/>
              <w:jc w:val="right"/>
            </w:pPr>
            <w:r>
              <w:rPr>
                <w:rFonts w:ascii="Verdana" w:eastAsia="Verdana" w:hAnsi="Verdana" w:cs="Verdana"/>
                <w:sz w:val="18"/>
              </w:rPr>
              <w:t>110,020</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51,737</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sz w:val="18"/>
              </w:rPr>
              <w:t>5,603</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7"/>
              <w:jc w:val="right"/>
            </w:pPr>
            <w:r>
              <w:rPr>
                <w:rFonts w:ascii="Verdana" w:eastAsia="Verdana" w:hAnsi="Verdana" w:cs="Verdana"/>
                <w:sz w:val="18"/>
              </w:rPr>
              <w:t>167,360</w:t>
            </w:r>
          </w:p>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576F87"/>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b/>
                <w:sz w:val="18"/>
              </w:rPr>
              <w:t>4,976,700</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b/>
                <w:sz w:val="18"/>
              </w:rPr>
              <w:t>2,844,900</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b/>
                <w:sz w:val="18"/>
              </w:rPr>
              <w:t>(2,685,479)</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b/>
                <w:sz w:val="18"/>
              </w:rPr>
              <w:t>179,350</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3"/>
              <w:jc w:val="right"/>
            </w:pPr>
            <w:r>
              <w:rPr>
                <w:rFonts w:ascii="Verdana" w:eastAsia="Verdana" w:hAnsi="Verdana" w:cs="Verdana"/>
                <w:b/>
                <w:sz w:val="18"/>
              </w:rPr>
              <w:t>5,315,471</w:t>
            </w:r>
          </w:p>
        </w:tc>
      </w:tr>
      <w:tr w:rsidR="00576F87">
        <w:trPr>
          <w:trHeight w:val="384"/>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Derivative contracts</w:t>
            </w:r>
          </w:p>
        </w:tc>
        <w:tc>
          <w:tcPr>
            <w:tcW w:w="1483" w:type="dxa"/>
            <w:tcBorders>
              <w:top w:val="single" w:sz="8" w:space="0" w:color="000070"/>
              <w:left w:val="single" w:sz="8" w:space="0" w:color="000070"/>
              <w:bottom w:val="single" w:sz="8" w:space="0" w:color="000070"/>
              <w:right w:val="single" w:sz="8" w:space="0" w:color="000070"/>
            </w:tcBorders>
          </w:tcPr>
          <w:p w:rsidR="00576F87" w:rsidRDefault="00576F87"/>
        </w:tc>
        <w:tc>
          <w:tcPr>
            <w:tcW w:w="1385" w:type="dxa"/>
            <w:tcBorders>
              <w:top w:val="single" w:sz="8" w:space="0" w:color="000070"/>
              <w:left w:val="single" w:sz="8" w:space="0" w:color="000070"/>
              <w:bottom w:val="single" w:sz="8" w:space="0" w:color="000070"/>
              <w:right w:val="single" w:sz="8" w:space="0" w:color="000070"/>
            </w:tcBorders>
          </w:tcPr>
          <w:p w:rsidR="00576F87" w:rsidRDefault="00576F87"/>
        </w:tc>
        <w:tc>
          <w:tcPr>
            <w:tcW w:w="1562"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15" w:space="0" w:color="000070"/>
            </w:tcBorders>
          </w:tcPr>
          <w:p w:rsidR="00576F87" w:rsidRDefault="00576F87"/>
        </w:tc>
      </w:tr>
      <w:tr w:rsidR="00576F87">
        <w:trPr>
          <w:trHeight w:val="362"/>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 Forwards</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3,921</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353,831</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18"/>
              </w:rPr>
              <w:t>(364,525)</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sz w:val="18"/>
              </w:rPr>
              <w:t>6,773</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2"/>
              <w:jc w:val="right"/>
            </w:pPr>
            <w:r>
              <w:rPr>
                <w:rFonts w:ascii="Verdana" w:eastAsia="Verdana" w:hAnsi="Verdana" w:cs="Verdana"/>
                <w:sz w:val="18"/>
              </w:rPr>
              <w:t>-</w:t>
            </w:r>
          </w:p>
        </w:tc>
      </w:tr>
      <w:tr w:rsidR="00576F87">
        <w:trPr>
          <w:trHeight w:val="362"/>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 Options</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143</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1,673</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(1,432)</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sz w:val="18"/>
              </w:rPr>
              <w:t>(384)</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3"/>
              <w:jc w:val="right"/>
            </w:pPr>
            <w:r>
              <w:rPr>
                <w:rFonts w:ascii="Verdana" w:eastAsia="Verdana" w:hAnsi="Verdana" w:cs="Verdana"/>
                <w:sz w:val="18"/>
              </w:rPr>
              <w:t>-</w:t>
            </w:r>
          </w:p>
        </w:tc>
      </w:tr>
      <w:tr w:rsidR="00576F87">
        <w:trPr>
          <w:trHeight w:val="384"/>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Futures</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w:t>
            </w:r>
          </w:p>
        </w:tc>
        <w:tc>
          <w:tcPr>
            <w:tcW w:w="1385"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4,791</w:t>
            </w:r>
          </w:p>
        </w:tc>
        <w:tc>
          <w:tcPr>
            <w:tcW w:w="156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(5,051)</w:t>
            </w:r>
          </w:p>
        </w:tc>
        <w:tc>
          <w:tcPr>
            <w:tcW w:w="135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sz w:val="18"/>
              </w:rPr>
              <w:t>260</w:t>
            </w:r>
          </w:p>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3"/>
              <w:jc w:val="right"/>
            </w:pPr>
            <w:r>
              <w:rPr>
                <w:rFonts w:ascii="Verdana" w:eastAsia="Verdana" w:hAnsi="Verdana" w:cs="Verdana"/>
                <w:sz w:val="18"/>
              </w:rPr>
              <w:t>-</w:t>
            </w:r>
          </w:p>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576F87"/>
        </w:tc>
        <w:tc>
          <w:tcPr>
            <w:tcW w:w="1483" w:type="dxa"/>
            <w:tcBorders>
              <w:top w:val="single" w:sz="8" w:space="0" w:color="000070"/>
              <w:left w:val="single" w:sz="8" w:space="0" w:color="000070"/>
              <w:bottom w:val="single" w:sz="8" w:space="0" w:color="000070"/>
              <w:right w:val="single" w:sz="8" w:space="0" w:color="000070"/>
            </w:tcBorders>
          </w:tcPr>
          <w:p w:rsidR="00576F87" w:rsidRDefault="00576F87"/>
        </w:tc>
        <w:tc>
          <w:tcPr>
            <w:tcW w:w="1385" w:type="dxa"/>
            <w:tcBorders>
              <w:top w:val="single" w:sz="8" w:space="0" w:color="000070"/>
              <w:left w:val="single" w:sz="8" w:space="0" w:color="000070"/>
              <w:bottom w:val="single" w:sz="8" w:space="0" w:color="000070"/>
              <w:right w:val="single" w:sz="8" w:space="0" w:color="000070"/>
            </w:tcBorders>
          </w:tcPr>
          <w:p w:rsidR="00576F87" w:rsidRDefault="00576F87"/>
        </w:tc>
        <w:tc>
          <w:tcPr>
            <w:tcW w:w="1562"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15" w:space="0" w:color="000070"/>
            </w:tcBorders>
          </w:tcPr>
          <w:p w:rsidR="00576F87" w:rsidRDefault="00576F87"/>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shd w:val="clear" w:color="auto" w:fill="35437C"/>
          </w:tcPr>
          <w:p w:rsidR="00576F87" w:rsidRDefault="00576F87"/>
        </w:tc>
        <w:tc>
          <w:tcPr>
            <w:tcW w:w="1483" w:type="dxa"/>
            <w:tcBorders>
              <w:top w:val="single" w:sz="8" w:space="0" w:color="000070"/>
              <w:left w:val="single" w:sz="8" w:space="0" w:color="000070"/>
              <w:bottom w:val="single" w:sz="8" w:space="0" w:color="000070"/>
              <w:right w:val="single" w:sz="8" w:space="0" w:color="000070"/>
            </w:tcBorders>
            <w:shd w:val="clear" w:color="auto" w:fill="35437C"/>
          </w:tcPr>
          <w:p w:rsidR="00576F87" w:rsidRDefault="004165F5">
            <w:pPr>
              <w:spacing w:after="0"/>
              <w:ind w:right="33"/>
              <w:jc w:val="right"/>
            </w:pPr>
            <w:r>
              <w:rPr>
                <w:rFonts w:ascii="Verdana" w:eastAsia="Verdana" w:hAnsi="Verdana" w:cs="Verdana"/>
                <w:b/>
                <w:color w:val="FFFFFF"/>
                <w:sz w:val="18"/>
              </w:rPr>
              <w:t>4,980,764</w:t>
            </w:r>
          </w:p>
        </w:tc>
        <w:tc>
          <w:tcPr>
            <w:tcW w:w="1385" w:type="dxa"/>
            <w:tcBorders>
              <w:top w:val="single" w:sz="8" w:space="0" w:color="000070"/>
              <w:left w:val="single" w:sz="8" w:space="0" w:color="000070"/>
              <w:bottom w:val="single" w:sz="8" w:space="0" w:color="000070"/>
              <w:right w:val="single" w:sz="8" w:space="0" w:color="000070"/>
            </w:tcBorders>
            <w:shd w:val="clear" w:color="auto" w:fill="35437C"/>
          </w:tcPr>
          <w:p w:rsidR="00576F87" w:rsidRDefault="004165F5">
            <w:pPr>
              <w:spacing w:after="0"/>
              <w:ind w:right="33"/>
              <w:jc w:val="right"/>
            </w:pPr>
            <w:r>
              <w:rPr>
                <w:rFonts w:ascii="Verdana" w:eastAsia="Verdana" w:hAnsi="Verdana" w:cs="Verdana"/>
                <w:b/>
                <w:color w:val="FFFFFF"/>
                <w:sz w:val="18"/>
              </w:rPr>
              <w:t>3,205,195</w:t>
            </w:r>
          </w:p>
        </w:tc>
        <w:tc>
          <w:tcPr>
            <w:tcW w:w="1562" w:type="dxa"/>
            <w:tcBorders>
              <w:top w:val="single" w:sz="8" w:space="0" w:color="000070"/>
              <w:left w:val="single" w:sz="8" w:space="0" w:color="000070"/>
              <w:bottom w:val="single" w:sz="8" w:space="0" w:color="000070"/>
              <w:right w:val="single" w:sz="8" w:space="0" w:color="000070"/>
            </w:tcBorders>
            <w:shd w:val="clear" w:color="auto" w:fill="35437C"/>
          </w:tcPr>
          <w:p w:rsidR="00576F87" w:rsidRDefault="004165F5">
            <w:pPr>
              <w:spacing w:after="0"/>
              <w:ind w:right="35"/>
              <w:jc w:val="right"/>
            </w:pPr>
            <w:r>
              <w:rPr>
                <w:rFonts w:ascii="Verdana" w:eastAsia="Verdana" w:hAnsi="Verdana" w:cs="Verdana"/>
                <w:b/>
                <w:color w:val="FFFFFF"/>
                <w:sz w:val="18"/>
              </w:rPr>
              <w:t>(3,056,487)</w:t>
            </w:r>
          </w:p>
        </w:tc>
        <w:tc>
          <w:tcPr>
            <w:tcW w:w="1354" w:type="dxa"/>
            <w:tcBorders>
              <w:top w:val="single" w:sz="8" w:space="0" w:color="000070"/>
              <w:left w:val="single" w:sz="8" w:space="0" w:color="000070"/>
              <w:bottom w:val="single" w:sz="8" w:space="0" w:color="000070"/>
              <w:right w:val="single" w:sz="8" w:space="0" w:color="000070"/>
            </w:tcBorders>
            <w:shd w:val="clear" w:color="auto" w:fill="35437C"/>
          </w:tcPr>
          <w:p w:rsidR="00576F87" w:rsidRDefault="004165F5">
            <w:pPr>
              <w:spacing w:after="0"/>
              <w:ind w:right="34"/>
              <w:jc w:val="right"/>
            </w:pPr>
            <w:r>
              <w:rPr>
                <w:rFonts w:ascii="Verdana" w:eastAsia="Verdana" w:hAnsi="Verdana" w:cs="Verdana"/>
                <w:b/>
                <w:color w:val="FFFFFF"/>
                <w:sz w:val="18"/>
              </w:rPr>
              <w:t>185,999</w:t>
            </w:r>
          </w:p>
        </w:tc>
        <w:tc>
          <w:tcPr>
            <w:tcW w:w="1354" w:type="dxa"/>
            <w:tcBorders>
              <w:top w:val="single" w:sz="8" w:space="0" w:color="000070"/>
              <w:left w:val="single" w:sz="8" w:space="0" w:color="000070"/>
              <w:bottom w:val="single" w:sz="8" w:space="0" w:color="000070"/>
              <w:right w:val="single" w:sz="15" w:space="0" w:color="000070"/>
            </w:tcBorders>
            <w:shd w:val="clear" w:color="auto" w:fill="35437C"/>
          </w:tcPr>
          <w:p w:rsidR="00576F87" w:rsidRDefault="004165F5">
            <w:pPr>
              <w:spacing w:after="0"/>
              <w:ind w:right="33"/>
              <w:jc w:val="right"/>
            </w:pPr>
            <w:r>
              <w:rPr>
                <w:rFonts w:ascii="Verdana" w:eastAsia="Verdana" w:hAnsi="Verdana" w:cs="Verdana"/>
                <w:b/>
                <w:color w:val="FFFFFF"/>
                <w:sz w:val="18"/>
              </w:rPr>
              <w:t>5,315,471</w:t>
            </w:r>
          </w:p>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576F87"/>
        </w:tc>
        <w:tc>
          <w:tcPr>
            <w:tcW w:w="1483" w:type="dxa"/>
            <w:tcBorders>
              <w:top w:val="single" w:sz="8" w:space="0" w:color="000070"/>
              <w:left w:val="single" w:sz="8" w:space="0" w:color="000070"/>
              <w:bottom w:val="single" w:sz="8" w:space="0" w:color="000070"/>
              <w:right w:val="single" w:sz="8" w:space="0" w:color="000070"/>
            </w:tcBorders>
          </w:tcPr>
          <w:p w:rsidR="00576F87" w:rsidRDefault="00576F87"/>
        </w:tc>
        <w:tc>
          <w:tcPr>
            <w:tcW w:w="1385" w:type="dxa"/>
            <w:tcBorders>
              <w:top w:val="single" w:sz="8" w:space="0" w:color="000070"/>
              <w:left w:val="single" w:sz="8" w:space="0" w:color="000070"/>
              <w:bottom w:val="single" w:sz="8" w:space="0" w:color="000070"/>
              <w:right w:val="single" w:sz="8" w:space="0" w:color="000070"/>
            </w:tcBorders>
          </w:tcPr>
          <w:p w:rsidR="00576F87" w:rsidRDefault="00576F87"/>
        </w:tc>
        <w:tc>
          <w:tcPr>
            <w:tcW w:w="1562"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15" w:space="0" w:color="000070"/>
            </w:tcBorders>
          </w:tcPr>
          <w:p w:rsidR="00576F87" w:rsidRDefault="00576F87"/>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lastRenderedPageBreak/>
              <w:t>Cash held by managers</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sz w:val="18"/>
              </w:rPr>
              <w:t>3,255</w:t>
            </w:r>
          </w:p>
        </w:tc>
        <w:tc>
          <w:tcPr>
            <w:tcW w:w="1385" w:type="dxa"/>
            <w:tcBorders>
              <w:top w:val="single" w:sz="8" w:space="0" w:color="000070"/>
              <w:left w:val="single" w:sz="8" w:space="0" w:color="000070"/>
              <w:bottom w:val="single" w:sz="8" w:space="0" w:color="000070"/>
              <w:right w:val="single" w:sz="8" w:space="0" w:color="000070"/>
            </w:tcBorders>
          </w:tcPr>
          <w:p w:rsidR="00576F87" w:rsidRDefault="00576F87"/>
        </w:tc>
        <w:tc>
          <w:tcPr>
            <w:tcW w:w="1562"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7"/>
              <w:jc w:val="right"/>
            </w:pPr>
            <w:r>
              <w:rPr>
                <w:rFonts w:ascii="Verdana" w:eastAsia="Verdana" w:hAnsi="Verdana" w:cs="Verdana"/>
                <w:sz w:val="18"/>
              </w:rPr>
              <w:t>58,849</w:t>
            </w:r>
          </w:p>
        </w:tc>
      </w:tr>
      <w:tr w:rsidR="00576F87">
        <w:trPr>
          <w:trHeight w:val="566"/>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Amount receivable for sale of investments</w:t>
            </w:r>
          </w:p>
        </w:tc>
        <w:tc>
          <w:tcPr>
            <w:tcW w:w="1483"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6"/>
              <w:jc w:val="right"/>
            </w:pPr>
            <w:r>
              <w:rPr>
                <w:rFonts w:ascii="Verdana" w:eastAsia="Verdana" w:hAnsi="Verdana" w:cs="Verdana"/>
                <w:sz w:val="18"/>
              </w:rPr>
              <w:t>421</w:t>
            </w:r>
          </w:p>
        </w:tc>
        <w:tc>
          <w:tcPr>
            <w:tcW w:w="1385" w:type="dxa"/>
            <w:tcBorders>
              <w:top w:val="single" w:sz="8" w:space="0" w:color="000070"/>
              <w:left w:val="single" w:sz="8" w:space="0" w:color="000070"/>
              <w:bottom w:val="single" w:sz="8" w:space="0" w:color="000070"/>
              <w:right w:val="single" w:sz="8" w:space="0" w:color="000070"/>
            </w:tcBorders>
          </w:tcPr>
          <w:p w:rsidR="00576F87" w:rsidRDefault="00576F87"/>
        </w:tc>
        <w:tc>
          <w:tcPr>
            <w:tcW w:w="1562"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15" w:space="0" w:color="000070"/>
            </w:tcBorders>
            <w:vAlign w:val="bottom"/>
          </w:tcPr>
          <w:p w:rsidR="00576F87" w:rsidRDefault="004165F5">
            <w:pPr>
              <w:spacing w:after="0"/>
              <w:ind w:right="36"/>
              <w:jc w:val="right"/>
            </w:pPr>
            <w:r>
              <w:rPr>
                <w:rFonts w:ascii="Verdana" w:eastAsia="Verdana" w:hAnsi="Verdana" w:cs="Verdana"/>
                <w:sz w:val="18"/>
              </w:rPr>
              <w:t>617</w:t>
            </w:r>
          </w:p>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Investment income due</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sz w:val="18"/>
              </w:rPr>
              <w:t>3,632</w:t>
            </w:r>
          </w:p>
        </w:tc>
        <w:tc>
          <w:tcPr>
            <w:tcW w:w="1385" w:type="dxa"/>
            <w:tcBorders>
              <w:top w:val="single" w:sz="8" w:space="0" w:color="000070"/>
              <w:left w:val="single" w:sz="8" w:space="0" w:color="000070"/>
              <w:bottom w:val="single" w:sz="8" w:space="0" w:color="000070"/>
              <w:right w:val="single" w:sz="8" w:space="0" w:color="000070"/>
            </w:tcBorders>
          </w:tcPr>
          <w:p w:rsidR="00576F87" w:rsidRDefault="00576F87"/>
        </w:tc>
        <w:tc>
          <w:tcPr>
            <w:tcW w:w="1562"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5"/>
              <w:jc w:val="right"/>
            </w:pPr>
            <w:r>
              <w:rPr>
                <w:rFonts w:ascii="Verdana" w:eastAsia="Verdana" w:hAnsi="Verdana" w:cs="Verdana"/>
                <w:sz w:val="18"/>
              </w:rPr>
              <w:t>81</w:t>
            </w:r>
          </w:p>
        </w:tc>
      </w:tr>
      <w:tr w:rsidR="00576F87">
        <w:trPr>
          <w:trHeight w:val="290"/>
        </w:trPr>
        <w:tc>
          <w:tcPr>
            <w:tcW w:w="3514" w:type="dxa"/>
            <w:tcBorders>
              <w:top w:val="single" w:sz="8" w:space="0" w:color="000070"/>
              <w:left w:val="single" w:sz="15"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Amounts payable for purchases</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sz w:val="18"/>
              </w:rPr>
              <w:t>(1,027)</w:t>
            </w:r>
          </w:p>
        </w:tc>
        <w:tc>
          <w:tcPr>
            <w:tcW w:w="1385" w:type="dxa"/>
            <w:tcBorders>
              <w:top w:val="single" w:sz="8" w:space="0" w:color="000070"/>
              <w:left w:val="single" w:sz="8" w:space="0" w:color="000070"/>
              <w:bottom w:val="single" w:sz="8" w:space="0" w:color="000070"/>
              <w:right w:val="single" w:sz="8" w:space="0" w:color="000070"/>
            </w:tcBorders>
          </w:tcPr>
          <w:p w:rsidR="00576F87" w:rsidRDefault="00576F87"/>
        </w:tc>
        <w:tc>
          <w:tcPr>
            <w:tcW w:w="1562"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8" w:space="0" w:color="000070"/>
            </w:tcBorders>
          </w:tcPr>
          <w:p w:rsidR="00576F87" w:rsidRDefault="00576F87"/>
        </w:tc>
        <w:tc>
          <w:tcPr>
            <w:tcW w:w="1354"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4"/>
              <w:jc w:val="right"/>
            </w:pPr>
            <w:r>
              <w:rPr>
                <w:rFonts w:ascii="Verdana" w:eastAsia="Verdana" w:hAnsi="Verdana" w:cs="Verdana"/>
                <w:sz w:val="18"/>
              </w:rPr>
              <w:t>-</w:t>
            </w:r>
          </w:p>
        </w:tc>
      </w:tr>
      <w:tr w:rsidR="00576F87">
        <w:trPr>
          <w:trHeight w:val="410"/>
        </w:trPr>
        <w:tc>
          <w:tcPr>
            <w:tcW w:w="3514" w:type="dxa"/>
            <w:tcBorders>
              <w:top w:val="single" w:sz="8" w:space="0" w:color="000070"/>
              <w:left w:val="single" w:sz="15" w:space="0" w:color="000070"/>
              <w:bottom w:val="single" w:sz="15" w:space="0" w:color="000070"/>
              <w:right w:val="single" w:sz="8" w:space="0" w:color="000070"/>
            </w:tcBorders>
            <w:shd w:val="clear" w:color="auto" w:fill="35437C"/>
          </w:tcPr>
          <w:p w:rsidR="00576F87" w:rsidRDefault="00576F87"/>
        </w:tc>
        <w:tc>
          <w:tcPr>
            <w:tcW w:w="1483" w:type="dxa"/>
            <w:tcBorders>
              <w:top w:val="single" w:sz="8" w:space="0" w:color="000070"/>
              <w:left w:val="single" w:sz="8" w:space="0" w:color="000070"/>
              <w:bottom w:val="single" w:sz="15" w:space="0" w:color="000070"/>
              <w:right w:val="single" w:sz="8" w:space="0" w:color="000070"/>
            </w:tcBorders>
            <w:shd w:val="clear" w:color="auto" w:fill="35437C"/>
          </w:tcPr>
          <w:p w:rsidR="00576F87" w:rsidRDefault="004165F5">
            <w:pPr>
              <w:spacing w:after="0"/>
              <w:ind w:right="33"/>
              <w:jc w:val="right"/>
            </w:pPr>
            <w:r>
              <w:rPr>
                <w:rFonts w:ascii="Verdana" w:eastAsia="Verdana" w:hAnsi="Verdana" w:cs="Verdana"/>
                <w:b/>
                <w:color w:val="FFFFFF"/>
                <w:sz w:val="18"/>
              </w:rPr>
              <w:t>4,987,045</w:t>
            </w:r>
          </w:p>
        </w:tc>
        <w:tc>
          <w:tcPr>
            <w:tcW w:w="1385" w:type="dxa"/>
            <w:tcBorders>
              <w:top w:val="single" w:sz="8" w:space="0" w:color="000070"/>
              <w:left w:val="single" w:sz="8" w:space="0" w:color="000070"/>
              <w:bottom w:val="single" w:sz="15" w:space="0" w:color="000070"/>
              <w:right w:val="single" w:sz="8" w:space="0" w:color="000070"/>
            </w:tcBorders>
            <w:shd w:val="clear" w:color="auto" w:fill="35437C"/>
          </w:tcPr>
          <w:p w:rsidR="00576F87" w:rsidRDefault="00576F87"/>
        </w:tc>
        <w:tc>
          <w:tcPr>
            <w:tcW w:w="1562" w:type="dxa"/>
            <w:tcBorders>
              <w:top w:val="single" w:sz="8" w:space="0" w:color="000070"/>
              <w:left w:val="single" w:sz="8" w:space="0" w:color="000070"/>
              <w:bottom w:val="single" w:sz="15" w:space="0" w:color="000070"/>
              <w:right w:val="single" w:sz="8" w:space="0" w:color="000070"/>
            </w:tcBorders>
            <w:shd w:val="clear" w:color="auto" w:fill="35437C"/>
          </w:tcPr>
          <w:p w:rsidR="00576F87" w:rsidRDefault="00576F87"/>
        </w:tc>
        <w:tc>
          <w:tcPr>
            <w:tcW w:w="1354" w:type="dxa"/>
            <w:tcBorders>
              <w:top w:val="single" w:sz="8" w:space="0" w:color="000070"/>
              <w:left w:val="single" w:sz="8" w:space="0" w:color="000070"/>
              <w:bottom w:val="single" w:sz="15" w:space="0" w:color="000070"/>
              <w:right w:val="single" w:sz="8" w:space="0" w:color="000070"/>
            </w:tcBorders>
            <w:shd w:val="clear" w:color="auto" w:fill="35437C"/>
          </w:tcPr>
          <w:p w:rsidR="00576F87" w:rsidRDefault="00576F87"/>
        </w:tc>
        <w:tc>
          <w:tcPr>
            <w:tcW w:w="1354" w:type="dxa"/>
            <w:tcBorders>
              <w:top w:val="single" w:sz="8" w:space="0" w:color="000070"/>
              <w:left w:val="single" w:sz="8" w:space="0" w:color="000070"/>
              <w:bottom w:val="single" w:sz="15" w:space="0" w:color="000070"/>
              <w:right w:val="single" w:sz="15" w:space="0" w:color="000070"/>
            </w:tcBorders>
            <w:shd w:val="clear" w:color="auto" w:fill="35437C"/>
          </w:tcPr>
          <w:p w:rsidR="00576F87" w:rsidRDefault="004165F5">
            <w:pPr>
              <w:spacing w:after="0"/>
              <w:ind w:right="33"/>
              <w:jc w:val="right"/>
            </w:pPr>
            <w:r>
              <w:rPr>
                <w:rFonts w:ascii="Verdana" w:eastAsia="Verdana" w:hAnsi="Verdana" w:cs="Verdana"/>
                <w:b/>
                <w:color w:val="FFFFFF"/>
                <w:sz w:val="18"/>
              </w:rPr>
              <w:t>5,375,018</w:t>
            </w:r>
          </w:p>
        </w:tc>
      </w:tr>
    </w:tbl>
    <w:p w:rsidR="00576F87" w:rsidRDefault="004165F5">
      <w:pPr>
        <w:spacing w:after="5" w:line="268" w:lineRule="auto"/>
        <w:ind w:left="-7" w:hanging="3"/>
        <w:jc w:val="both"/>
      </w:pPr>
      <w:r>
        <w:rPr>
          <w:rFonts w:ascii="Verdana" w:eastAsia="Verdana" w:hAnsi="Verdana" w:cs="Verdana"/>
          <w:sz w:val="18"/>
        </w:rPr>
        <w:t>Some opening balances have been re-analysed following the change of custodian on 31 August 2017. The overall total remains the same as disclosed in the prior year accounts</w:t>
      </w:r>
    </w:p>
    <w:p w:rsidR="00576F87" w:rsidRDefault="004165F5">
      <w:pPr>
        <w:pStyle w:val="Heading1"/>
        <w:spacing w:after="262"/>
        <w:ind w:left="147"/>
      </w:pPr>
      <w:r>
        <w:t>LPFA Accounts 31 March 2018</w:t>
      </w:r>
    </w:p>
    <w:p w:rsidR="00576F87" w:rsidRDefault="004165F5">
      <w:pPr>
        <w:spacing w:after="309" w:line="265" w:lineRule="auto"/>
        <w:ind w:left="130" w:hanging="8"/>
      </w:pPr>
      <w:r>
        <w:rPr>
          <w:rFonts w:ascii="Verdana" w:eastAsia="Verdana" w:hAnsi="Verdana" w:cs="Verdana"/>
          <w:b/>
          <w:sz w:val="20"/>
        </w:rPr>
        <w:t>14a. Investments (continued)</w:t>
      </w:r>
    </w:p>
    <w:p w:rsidR="00576F87" w:rsidRDefault="004165F5">
      <w:pPr>
        <w:pStyle w:val="Heading2"/>
        <w:ind w:left="130" w:hanging="8"/>
      </w:pPr>
      <w:r>
        <w:rPr>
          <w:b/>
          <w:color w:val="000000"/>
          <w:sz w:val="20"/>
        </w:rPr>
        <w:t>Net Investment Assets (Prior year comparative)</w:t>
      </w:r>
    </w:p>
    <w:tbl>
      <w:tblPr>
        <w:tblStyle w:val="TableGrid"/>
        <w:tblW w:w="10422" w:type="dxa"/>
        <w:tblInd w:w="80" w:type="dxa"/>
        <w:tblCellMar>
          <w:top w:w="33" w:type="dxa"/>
          <w:left w:w="35" w:type="dxa"/>
          <w:bottom w:w="59" w:type="dxa"/>
          <w:right w:w="0" w:type="dxa"/>
        </w:tblCellMar>
        <w:tblLook w:val="04A0" w:firstRow="1" w:lastRow="0" w:firstColumn="1" w:lastColumn="0" w:noHBand="0" w:noVBand="1"/>
      </w:tblPr>
      <w:tblGrid>
        <w:gridCol w:w="3210"/>
        <w:gridCol w:w="1393"/>
        <w:gridCol w:w="1401"/>
        <w:gridCol w:w="1637"/>
        <w:gridCol w:w="1311"/>
        <w:gridCol w:w="1470"/>
      </w:tblGrid>
      <w:tr w:rsidR="00576F87">
        <w:trPr>
          <w:trHeight w:val="1298"/>
        </w:trPr>
        <w:tc>
          <w:tcPr>
            <w:tcW w:w="3251" w:type="dxa"/>
            <w:tcBorders>
              <w:top w:val="single" w:sz="15" w:space="0" w:color="000070"/>
              <w:left w:val="single" w:sz="12" w:space="0" w:color="000070"/>
              <w:bottom w:val="single" w:sz="8" w:space="0" w:color="000070"/>
              <w:right w:val="single" w:sz="8" w:space="0" w:color="000070"/>
            </w:tcBorders>
            <w:shd w:val="clear" w:color="auto" w:fill="35437C"/>
          </w:tcPr>
          <w:p w:rsidR="00576F87" w:rsidRDefault="00576F87"/>
        </w:tc>
        <w:tc>
          <w:tcPr>
            <w:tcW w:w="1402" w:type="dxa"/>
            <w:tcBorders>
              <w:top w:val="single" w:sz="15" w:space="0" w:color="000070"/>
              <w:left w:val="single" w:sz="8" w:space="0" w:color="000070"/>
              <w:bottom w:val="single" w:sz="8" w:space="0" w:color="000070"/>
              <w:right w:val="single" w:sz="8" w:space="0" w:color="000070"/>
            </w:tcBorders>
            <w:shd w:val="clear" w:color="auto" w:fill="35437C"/>
            <w:vAlign w:val="center"/>
          </w:tcPr>
          <w:p w:rsidR="00576F87" w:rsidRDefault="004165F5">
            <w:pPr>
              <w:spacing w:after="3"/>
              <w:ind w:left="18"/>
              <w:jc w:val="both"/>
            </w:pPr>
            <w:r>
              <w:rPr>
                <w:rFonts w:ascii="Verdana" w:eastAsia="Verdana" w:hAnsi="Verdana" w:cs="Verdana"/>
                <w:b/>
                <w:color w:val="FFFFFF"/>
                <w:sz w:val="18"/>
              </w:rPr>
              <w:t xml:space="preserve">Market value </w:t>
            </w:r>
          </w:p>
          <w:p w:rsidR="00576F87" w:rsidRDefault="004165F5">
            <w:pPr>
              <w:spacing w:after="0"/>
              <w:ind w:left="90"/>
            </w:pPr>
            <w:r>
              <w:rPr>
                <w:rFonts w:ascii="Verdana" w:eastAsia="Verdana" w:hAnsi="Verdana" w:cs="Verdana"/>
                <w:b/>
                <w:color w:val="FFFFFF"/>
                <w:sz w:val="18"/>
              </w:rPr>
              <w:t>1 April 2016</w:t>
            </w:r>
          </w:p>
        </w:tc>
        <w:tc>
          <w:tcPr>
            <w:tcW w:w="1402" w:type="dxa"/>
            <w:tcBorders>
              <w:top w:val="single" w:sz="15" w:space="0" w:color="000070"/>
              <w:left w:val="single" w:sz="8" w:space="0" w:color="000070"/>
              <w:bottom w:val="single" w:sz="8" w:space="0" w:color="000070"/>
              <w:right w:val="single" w:sz="8" w:space="0" w:color="000070"/>
            </w:tcBorders>
            <w:shd w:val="clear" w:color="auto" w:fill="35437C"/>
          </w:tcPr>
          <w:p w:rsidR="00576F87" w:rsidRDefault="004165F5">
            <w:pPr>
              <w:spacing w:after="0"/>
              <w:ind w:right="37"/>
              <w:jc w:val="right"/>
            </w:pPr>
            <w:r>
              <w:rPr>
                <w:rFonts w:ascii="Verdana" w:eastAsia="Verdana" w:hAnsi="Verdana" w:cs="Verdana"/>
                <w:b/>
                <w:color w:val="FFFFFF"/>
                <w:sz w:val="18"/>
              </w:rPr>
              <w:t>Purchases during the year and derivative payments</w:t>
            </w:r>
          </w:p>
        </w:tc>
        <w:tc>
          <w:tcPr>
            <w:tcW w:w="1644" w:type="dxa"/>
            <w:tcBorders>
              <w:top w:val="single" w:sz="15" w:space="0" w:color="000070"/>
              <w:left w:val="single" w:sz="8" w:space="0" w:color="000070"/>
              <w:bottom w:val="single" w:sz="8" w:space="0" w:color="000070"/>
              <w:right w:val="single" w:sz="8" w:space="0" w:color="000070"/>
            </w:tcBorders>
            <w:shd w:val="clear" w:color="auto" w:fill="35437C"/>
            <w:vAlign w:val="center"/>
          </w:tcPr>
          <w:p w:rsidR="00576F87" w:rsidRDefault="004165F5">
            <w:pPr>
              <w:spacing w:after="0"/>
              <w:ind w:right="37"/>
              <w:jc w:val="right"/>
            </w:pPr>
            <w:r>
              <w:rPr>
                <w:rFonts w:ascii="Verdana" w:eastAsia="Verdana" w:hAnsi="Verdana" w:cs="Verdana"/>
                <w:b/>
                <w:color w:val="FFFFFF"/>
                <w:sz w:val="18"/>
              </w:rPr>
              <w:t>Sales during the year and derivative receipts</w:t>
            </w:r>
          </w:p>
        </w:tc>
        <w:tc>
          <w:tcPr>
            <w:tcW w:w="1322" w:type="dxa"/>
            <w:tcBorders>
              <w:top w:val="single" w:sz="15" w:space="0" w:color="000070"/>
              <w:left w:val="single" w:sz="8" w:space="0" w:color="000070"/>
              <w:bottom w:val="single" w:sz="8" w:space="0" w:color="000070"/>
              <w:right w:val="single" w:sz="8" w:space="0" w:color="000070"/>
            </w:tcBorders>
            <w:shd w:val="clear" w:color="auto" w:fill="35437C"/>
          </w:tcPr>
          <w:p w:rsidR="00576F87" w:rsidRDefault="004165F5">
            <w:pPr>
              <w:spacing w:after="0"/>
              <w:ind w:left="69" w:right="38" w:hanging="23"/>
              <w:jc w:val="right"/>
            </w:pPr>
            <w:r>
              <w:rPr>
                <w:rFonts w:ascii="Verdana" w:eastAsia="Verdana" w:hAnsi="Verdana" w:cs="Verdana"/>
                <w:b/>
                <w:color w:val="FFFFFF"/>
                <w:sz w:val="18"/>
              </w:rPr>
              <w:t>Change in market value during in the year</w:t>
            </w:r>
          </w:p>
        </w:tc>
        <w:tc>
          <w:tcPr>
            <w:tcW w:w="1402" w:type="dxa"/>
            <w:tcBorders>
              <w:top w:val="single" w:sz="15" w:space="0" w:color="000070"/>
              <w:left w:val="single" w:sz="8" w:space="0" w:color="000070"/>
              <w:bottom w:val="single" w:sz="8" w:space="0" w:color="000070"/>
              <w:right w:val="single" w:sz="15" w:space="0" w:color="000070"/>
            </w:tcBorders>
            <w:shd w:val="clear" w:color="auto" w:fill="35437C"/>
            <w:vAlign w:val="center"/>
          </w:tcPr>
          <w:p w:rsidR="00576F87" w:rsidRDefault="004165F5">
            <w:pPr>
              <w:spacing w:after="3"/>
              <w:ind w:left="18"/>
              <w:jc w:val="both"/>
            </w:pPr>
            <w:r>
              <w:rPr>
                <w:rFonts w:ascii="Verdana" w:eastAsia="Verdana" w:hAnsi="Verdana" w:cs="Verdana"/>
                <w:b/>
                <w:color w:val="FFFFFF"/>
                <w:sz w:val="18"/>
              </w:rPr>
              <w:t>Market value</w:t>
            </w:r>
          </w:p>
          <w:p w:rsidR="00576F87" w:rsidRDefault="004165F5">
            <w:pPr>
              <w:spacing w:after="0"/>
              <w:ind w:left="820" w:hanging="420"/>
            </w:pPr>
            <w:r>
              <w:rPr>
                <w:rFonts w:ascii="Verdana" w:eastAsia="Verdana" w:hAnsi="Verdana" w:cs="Verdana"/>
                <w:b/>
                <w:color w:val="FFFFFF"/>
                <w:sz w:val="18"/>
              </w:rPr>
              <w:t>31 March 2017</w:t>
            </w:r>
          </w:p>
        </w:tc>
      </w:tr>
      <w:tr w:rsidR="00576F87">
        <w:trPr>
          <w:trHeight w:val="290"/>
        </w:trPr>
        <w:tc>
          <w:tcPr>
            <w:tcW w:w="3251" w:type="dxa"/>
            <w:tcBorders>
              <w:top w:val="single" w:sz="8" w:space="0" w:color="000070"/>
              <w:left w:val="single" w:sz="12"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8"/>
              <w:jc w:val="right"/>
            </w:pPr>
            <w:r>
              <w:rPr>
                <w:rFonts w:ascii="Verdana" w:eastAsia="Verdana" w:hAnsi="Verdana" w:cs="Verdana"/>
                <w:b/>
                <w:sz w:val="18"/>
              </w:rPr>
              <w:t>£000</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8"/>
              <w:jc w:val="right"/>
            </w:pPr>
            <w:r>
              <w:rPr>
                <w:rFonts w:ascii="Verdana" w:eastAsia="Verdana" w:hAnsi="Verdana" w:cs="Verdana"/>
                <w:b/>
                <w:sz w:val="18"/>
              </w:rPr>
              <w:t>£000</w:t>
            </w:r>
          </w:p>
        </w:tc>
        <w:tc>
          <w:tcPr>
            <w:tcW w:w="164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8"/>
              <w:jc w:val="right"/>
            </w:pPr>
            <w:r>
              <w:rPr>
                <w:rFonts w:ascii="Verdana" w:eastAsia="Verdana" w:hAnsi="Verdana" w:cs="Verdana"/>
                <w:b/>
                <w:sz w:val="18"/>
              </w:rPr>
              <w:t>£000</w:t>
            </w:r>
          </w:p>
        </w:tc>
        <w:tc>
          <w:tcPr>
            <w:tcW w:w="132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8"/>
              <w:jc w:val="right"/>
            </w:pPr>
            <w:r>
              <w:rPr>
                <w:rFonts w:ascii="Verdana" w:eastAsia="Verdana" w:hAnsi="Verdana" w:cs="Verdana"/>
                <w:b/>
                <w:sz w:val="18"/>
              </w:rPr>
              <w:t>£000</w:t>
            </w:r>
          </w:p>
        </w:tc>
        <w:tc>
          <w:tcPr>
            <w:tcW w:w="1402"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7"/>
              <w:jc w:val="right"/>
            </w:pPr>
            <w:r>
              <w:rPr>
                <w:rFonts w:ascii="Verdana" w:eastAsia="Verdana" w:hAnsi="Verdana" w:cs="Verdana"/>
                <w:b/>
                <w:sz w:val="18"/>
              </w:rPr>
              <w:t>£000</w:t>
            </w:r>
          </w:p>
        </w:tc>
      </w:tr>
      <w:tr w:rsidR="00576F87">
        <w:trPr>
          <w:trHeight w:val="463"/>
        </w:trPr>
        <w:tc>
          <w:tcPr>
            <w:tcW w:w="3251" w:type="dxa"/>
            <w:tcBorders>
              <w:top w:val="single" w:sz="8" w:space="0" w:color="000070"/>
              <w:left w:val="single" w:sz="12" w:space="0" w:color="000070"/>
              <w:bottom w:val="single" w:sz="8" w:space="0" w:color="000070"/>
              <w:right w:val="single" w:sz="8" w:space="0" w:color="000070"/>
            </w:tcBorders>
            <w:vAlign w:val="bottom"/>
          </w:tcPr>
          <w:p w:rsidR="00576F87" w:rsidRDefault="004165F5">
            <w:pPr>
              <w:spacing w:after="0"/>
            </w:pPr>
            <w:r>
              <w:rPr>
                <w:rFonts w:ascii="Verdana" w:eastAsia="Verdana" w:hAnsi="Verdana" w:cs="Verdana"/>
                <w:sz w:val="18"/>
              </w:rPr>
              <w:t>Fixed interest securities</w:t>
            </w:r>
          </w:p>
        </w:tc>
        <w:tc>
          <w:tcPr>
            <w:tcW w:w="1402"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4"/>
              <w:jc w:val="right"/>
            </w:pPr>
            <w:r>
              <w:rPr>
                <w:rFonts w:ascii="Verdana" w:eastAsia="Verdana" w:hAnsi="Verdana" w:cs="Verdana"/>
                <w:sz w:val="18"/>
              </w:rPr>
              <w:t>122,855</w:t>
            </w:r>
          </w:p>
        </w:tc>
        <w:tc>
          <w:tcPr>
            <w:tcW w:w="1402"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3"/>
              <w:jc w:val="right"/>
            </w:pPr>
            <w:r>
              <w:rPr>
                <w:rFonts w:ascii="Verdana" w:eastAsia="Verdana" w:hAnsi="Verdana" w:cs="Verdana"/>
                <w:sz w:val="18"/>
              </w:rPr>
              <w:t>113,181</w:t>
            </w:r>
          </w:p>
        </w:tc>
        <w:tc>
          <w:tcPr>
            <w:tcW w:w="1644"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2"/>
              <w:jc w:val="right"/>
            </w:pPr>
            <w:r>
              <w:rPr>
                <w:rFonts w:ascii="Verdana" w:eastAsia="Verdana" w:hAnsi="Verdana" w:cs="Verdana"/>
                <w:sz w:val="18"/>
              </w:rPr>
              <w:t>(185,614)</w:t>
            </w:r>
          </w:p>
        </w:tc>
        <w:tc>
          <w:tcPr>
            <w:tcW w:w="1322"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4"/>
              <w:jc w:val="right"/>
            </w:pPr>
            <w:r>
              <w:rPr>
                <w:rFonts w:ascii="Verdana" w:eastAsia="Verdana" w:hAnsi="Verdana" w:cs="Verdana"/>
                <w:sz w:val="18"/>
              </w:rPr>
              <w:t>6,227</w:t>
            </w:r>
          </w:p>
        </w:tc>
        <w:tc>
          <w:tcPr>
            <w:tcW w:w="1402" w:type="dxa"/>
            <w:tcBorders>
              <w:top w:val="single" w:sz="8" w:space="0" w:color="000070"/>
              <w:left w:val="single" w:sz="8" w:space="0" w:color="000070"/>
              <w:bottom w:val="single" w:sz="8" w:space="0" w:color="000070"/>
              <w:right w:val="single" w:sz="15" w:space="0" w:color="000070"/>
            </w:tcBorders>
            <w:vAlign w:val="bottom"/>
          </w:tcPr>
          <w:p w:rsidR="00576F87" w:rsidRDefault="004165F5">
            <w:pPr>
              <w:spacing w:after="0"/>
              <w:ind w:right="34"/>
              <w:jc w:val="right"/>
            </w:pPr>
            <w:r>
              <w:rPr>
                <w:rFonts w:ascii="Verdana" w:eastAsia="Verdana" w:hAnsi="Verdana" w:cs="Verdana"/>
                <w:sz w:val="18"/>
              </w:rPr>
              <w:t>56,649</w:t>
            </w:r>
          </w:p>
        </w:tc>
      </w:tr>
      <w:tr w:rsidR="00576F87">
        <w:trPr>
          <w:trHeight w:val="362"/>
        </w:trPr>
        <w:tc>
          <w:tcPr>
            <w:tcW w:w="3251"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Equities</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1,804,946</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5,159,057</w:t>
            </w:r>
          </w:p>
        </w:tc>
        <w:tc>
          <w:tcPr>
            <w:tcW w:w="164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2"/>
              <w:jc w:val="right"/>
            </w:pPr>
            <w:r>
              <w:rPr>
                <w:rFonts w:ascii="Verdana" w:eastAsia="Verdana" w:hAnsi="Verdana" w:cs="Verdana"/>
                <w:sz w:val="18"/>
              </w:rPr>
              <w:t>(7,256,002)</w:t>
            </w:r>
          </w:p>
        </w:tc>
        <w:tc>
          <w:tcPr>
            <w:tcW w:w="132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336,646</w:t>
            </w:r>
          </w:p>
        </w:tc>
        <w:tc>
          <w:tcPr>
            <w:tcW w:w="1402"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3"/>
              <w:jc w:val="right"/>
            </w:pPr>
            <w:r>
              <w:rPr>
                <w:rFonts w:ascii="Verdana" w:eastAsia="Verdana" w:hAnsi="Verdana" w:cs="Verdana"/>
                <w:sz w:val="18"/>
              </w:rPr>
              <w:t>44,647</w:t>
            </w:r>
          </w:p>
        </w:tc>
      </w:tr>
      <w:tr w:rsidR="00576F87">
        <w:trPr>
          <w:trHeight w:val="384"/>
        </w:trPr>
        <w:tc>
          <w:tcPr>
            <w:tcW w:w="3251"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Pooled investments</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1,235,608</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4,679,425</w:t>
            </w:r>
          </w:p>
        </w:tc>
        <w:tc>
          <w:tcPr>
            <w:tcW w:w="164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2"/>
              <w:jc w:val="right"/>
            </w:pPr>
            <w:r>
              <w:rPr>
                <w:rFonts w:ascii="Verdana" w:eastAsia="Verdana" w:hAnsi="Verdana" w:cs="Verdana"/>
                <w:sz w:val="18"/>
              </w:rPr>
              <w:t>(2,814,426)</w:t>
            </w:r>
          </w:p>
        </w:tc>
        <w:tc>
          <w:tcPr>
            <w:tcW w:w="132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221,867</w:t>
            </w:r>
          </w:p>
        </w:tc>
        <w:tc>
          <w:tcPr>
            <w:tcW w:w="1402"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4"/>
              <w:jc w:val="right"/>
            </w:pPr>
            <w:r>
              <w:rPr>
                <w:rFonts w:ascii="Verdana" w:eastAsia="Verdana" w:hAnsi="Verdana" w:cs="Verdana"/>
                <w:sz w:val="18"/>
              </w:rPr>
              <w:t>3,322,474</w:t>
            </w:r>
          </w:p>
        </w:tc>
      </w:tr>
      <w:tr w:rsidR="00576F87">
        <w:trPr>
          <w:trHeight w:val="384"/>
        </w:trPr>
        <w:tc>
          <w:tcPr>
            <w:tcW w:w="3251"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 Property</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147,423</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51,116</w:t>
            </w:r>
          </w:p>
        </w:tc>
        <w:tc>
          <w:tcPr>
            <w:tcW w:w="164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(3,760)</w:t>
            </w:r>
          </w:p>
        </w:tc>
        <w:tc>
          <w:tcPr>
            <w:tcW w:w="132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58,268</w:t>
            </w:r>
          </w:p>
        </w:tc>
        <w:tc>
          <w:tcPr>
            <w:tcW w:w="1402"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3"/>
              <w:jc w:val="right"/>
            </w:pPr>
            <w:r>
              <w:rPr>
                <w:rFonts w:ascii="Verdana" w:eastAsia="Verdana" w:hAnsi="Verdana" w:cs="Verdana"/>
                <w:sz w:val="18"/>
              </w:rPr>
              <w:t>253,047</w:t>
            </w:r>
          </w:p>
        </w:tc>
      </w:tr>
      <w:tr w:rsidR="00576F87">
        <w:trPr>
          <w:trHeight w:val="384"/>
        </w:trPr>
        <w:tc>
          <w:tcPr>
            <w:tcW w:w="3251"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 Commodities</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23,449</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315</w:t>
            </w:r>
          </w:p>
        </w:tc>
        <w:tc>
          <w:tcPr>
            <w:tcW w:w="164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95"/>
              <w:jc w:val="right"/>
            </w:pPr>
            <w:r>
              <w:rPr>
                <w:rFonts w:ascii="Verdana" w:eastAsia="Verdana" w:hAnsi="Verdana" w:cs="Verdana"/>
                <w:sz w:val="18"/>
              </w:rPr>
              <w:t xml:space="preserve">- </w:t>
            </w:r>
          </w:p>
        </w:tc>
        <w:tc>
          <w:tcPr>
            <w:tcW w:w="132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9,419</w:t>
            </w:r>
          </w:p>
        </w:tc>
        <w:tc>
          <w:tcPr>
            <w:tcW w:w="1402"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3"/>
              <w:jc w:val="right"/>
            </w:pPr>
            <w:r>
              <w:rPr>
                <w:rFonts w:ascii="Verdana" w:eastAsia="Verdana" w:hAnsi="Verdana" w:cs="Verdana"/>
                <w:sz w:val="18"/>
              </w:rPr>
              <w:t>33,183</w:t>
            </w:r>
          </w:p>
        </w:tc>
      </w:tr>
      <w:tr w:rsidR="00576F87">
        <w:trPr>
          <w:trHeight w:val="384"/>
        </w:trPr>
        <w:tc>
          <w:tcPr>
            <w:tcW w:w="3251"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Private Equity/Infrastructure</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819,493</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167,884</w:t>
            </w:r>
          </w:p>
        </w:tc>
        <w:tc>
          <w:tcPr>
            <w:tcW w:w="164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2"/>
              <w:jc w:val="right"/>
            </w:pPr>
            <w:r>
              <w:rPr>
                <w:rFonts w:ascii="Verdana" w:eastAsia="Verdana" w:hAnsi="Verdana" w:cs="Verdana"/>
                <w:sz w:val="18"/>
              </w:rPr>
              <w:t>(211,720)</w:t>
            </w:r>
          </w:p>
        </w:tc>
        <w:tc>
          <w:tcPr>
            <w:tcW w:w="132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371,298</w:t>
            </w:r>
          </w:p>
        </w:tc>
        <w:tc>
          <w:tcPr>
            <w:tcW w:w="1402"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4"/>
              <w:jc w:val="right"/>
            </w:pPr>
            <w:r>
              <w:rPr>
                <w:rFonts w:ascii="Verdana" w:eastAsia="Verdana" w:hAnsi="Verdana" w:cs="Verdana"/>
                <w:sz w:val="18"/>
              </w:rPr>
              <w:t>1,146,955</w:t>
            </w:r>
          </w:p>
        </w:tc>
      </w:tr>
      <w:tr w:rsidR="00576F87">
        <w:trPr>
          <w:trHeight w:val="384"/>
        </w:trPr>
        <w:tc>
          <w:tcPr>
            <w:tcW w:w="3251"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Futures</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(337)</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6,679</w:t>
            </w:r>
          </w:p>
        </w:tc>
        <w:tc>
          <w:tcPr>
            <w:tcW w:w="164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(4,560)</w:t>
            </w:r>
          </w:p>
        </w:tc>
        <w:tc>
          <w:tcPr>
            <w:tcW w:w="132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(1,782)</w:t>
            </w:r>
          </w:p>
        </w:tc>
        <w:tc>
          <w:tcPr>
            <w:tcW w:w="1402"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95"/>
              <w:jc w:val="right"/>
            </w:pPr>
            <w:r>
              <w:rPr>
                <w:rFonts w:ascii="Verdana" w:eastAsia="Verdana" w:hAnsi="Verdana" w:cs="Verdana"/>
                <w:sz w:val="18"/>
              </w:rPr>
              <w:t xml:space="preserve">- </w:t>
            </w:r>
          </w:p>
        </w:tc>
      </w:tr>
      <w:tr w:rsidR="00576F87">
        <w:trPr>
          <w:trHeight w:val="384"/>
        </w:trPr>
        <w:tc>
          <w:tcPr>
            <w:tcW w:w="3251"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Direct Property</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96"/>
              <w:jc w:val="right"/>
            </w:pPr>
            <w:r>
              <w:rPr>
                <w:rFonts w:ascii="Verdana" w:eastAsia="Verdana" w:hAnsi="Verdana" w:cs="Verdana"/>
                <w:sz w:val="18"/>
              </w:rPr>
              <w:t xml:space="preserve">- </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114,206</w:t>
            </w:r>
          </w:p>
        </w:tc>
        <w:tc>
          <w:tcPr>
            <w:tcW w:w="164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96"/>
              <w:jc w:val="right"/>
            </w:pPr>
            <w:r>
              <w:rPr>
                <w:rFonts w:ascii="Verdana" w:eastAsia="Verdana" w:hAnsi="Verdana" w:cs="Verdana"/>
                <w:sz w:val="18"/>
              </w:rPr>
              <w:t xml:space="preserve">- </w:t>
            </w:r>
          </w:p>
        </w:tc>
        <w:tc>
          <w:tcPr>
            <w:tcW w:w="132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(4,186)</w:t>
            </w:r>
          </w:p>
        </w:tc>
        <w:tc>
          <w:tcPr>
            <w:tcW w:w="1402"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3"/>
              <w:jc w:val="right"/>
            </w:pPr>
            <w:r>
              <w:rPr>
                <w:rFonts w:ascii="Verdana" w:eastAsia="Verdana" w:hAnsi="Verdana" w:cs="Verdana"/>
                <w:sz w:val="18"/>
              </w:rPr>
              <w:t>110,020</w:t>
            </w:r>
          </w:p>
        </w:tc>
      </w:tr>
      <w:tr w:rsidR="00576F87">
        <w:trPr>
          <w:trHeight w:val="384"/>
        </w:trPr>
        <w:tc>
          <w:tcPr>
            <w:tcW w:w="3251"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Liquidity Fund</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3,354</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6,369</w:t>
            </w:r>
          </w:p>
        </w:tc>
        <w:tc>
          <w:tcPr>
            <w:tcW w:w="164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95"/>
              <w:jc w:val="right"/>
            </w:pPr>
            <w:r>
              <w:rPr>
                <w:rFonts w:ascii="Verdana" w:eastAsia="Verdana" w:hAnsi="Verdana" w:cs="Verdana"/>
                <w:sz w:val="18"/>
              </w:rPr>
              <w:t xml:space="preserve">- </w:t>
            </w:r>
          </w:p>
        </w:tc>
        <w:tc>
          <w:tcPr>
            <w:tcW w:w="132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95"/>
              <w:jc w:val="right"/>
            </w:pPr>
            <w:r>
              <w:rPr>
                <w:rFonts w:ascii="Verdana" w:eastAsia="Verdana" w:hAnsi="Verdana" w:cs="Verdana"/>
                <w:sz w:val="18"/>
              </w:rPr>
              <w:t xml:space="preserve">- </w:t>
            </w:r>
          </w:p>
        </w:tc>
        <w:tc>
          <w:tcPr>
            <w:tcW w:w="1402"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4"/>
              <w:jc w:val="right"/>
            </w:pPr>
            <w:r>
              <w:rPr>
                <w:rFonts w:ascii="Verdana" w:eastAsia="Verdana" w:hAnsi="Verdana" w:cs="Verdana"/>
                <w:sz w:val="18"/>
              </w:rPr>
              <w:t>9,723</w:t>
            </w:r>
          </w:p>
        </w:tc>
      </w:tr>
      <w:tr w:rsidR="00576F87">
        <w:trPr>
          <w:trHeight w:val="384"/>
        </w:trPr>
        <w:tc>
          <w:tcPr>
            <w:tcW w:w="3251" w:type="dxa"/>
            <w:tcBorders>
              <w:top w:val="single" w:sz="8" w:space="0" w:color="000070"/>
              <w:left w:val="single" w:sz="12"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8"/>
              <w:jc w:val="right"/>
            </w:pPr>
            <w:r>
              <w:rPr>
                <w:rFonts w:ascii="Verdana" w:eastAsia="Verdana" w:hAnsi="Verdana" w:cs="Verdana"/>
                <w:b/>
                <w:sz w:val="18"/>
              </w:rPr>
              <w:t>4,156,791</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left="181"/>
            </w:pPr>
            <w:r>
              <w:rPr>
                <w:rFonts w:ascii="Verdana" w:eastAsia="Verdana" w:hAnsi="Verdana" w:cs="Verdana"/>
                <w:b/>
                <w:sz w:val="18"/>
              </w:rPr>
              <w:t>10,298,232</w:t>
            </w:r>
          </w:p>
        </w:tc>
        <w:tc>
          <w:tcPr>
            <w:tcW w:w="164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9"/>
              <w:jc w:val="right"/>
            </w:pPr>
            <w:r>
              <w:rPr>
                <w:rFonts w:ascii="Verdana" w:eastAsia="Verdana" w:hAnsi="Verdana" w:cs="Verdana"/>
                <w:b/>
                <w:sz w:val="18"/>
              </w:rPr>
              <w:t>(10,476,081)</w:t>
            </w:r>
          </w:p>
        </w:tc>
        <w:tc>
          <w:tcPr>
            <w:tcW w:w="132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8"/>
              <w:jc w:val="right"/>
            </w:pPr>
            <w:r>
              <w:rPr>
                <w:rFonts w:ascii="Verdana" w:eastAsia="Verdana" w:hAnsi="Verdana" w:cs="Verdana"/>
                <w:b/>
                <w:sz w:val="18"/>
              </w:rPr>
              <w:t>997,756</w:t>
            </w:r>
          </w:p>
        </w:tc>
        <w:tc>
          <w:tcPr>
            <w:tcW w:w="1402"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8"/>
              <w:jc w:val="right"/>
            </w:pPr>
            <w:r>
              <w:rPr>
                <w:rFonts w:ascii="Verdana" w:eastAsia="Verdana" w:hAnsi="Verdana" w:cs="Verdana"/>
                <w:b/>
                <w:sz w:val="18"/>
              </w:rPr>
              <w:t>4,976,698</w:t>
            </w:r>
          </w:p>
        </w:tc>
      </w:tr>
      <w:tr w:rsidR="00576F87">
        <w:trPr>
          <w:trHeight w:val="384"/>
        </w:trPr>
        <w:tc>
          <w:tcPr>
            <w:tcW w:w="3251" w:type="dxa"/>
            <w:tcBorders>
              <w:top w:val="single" w:sz="8" w:space="0" w:color="000070"/>
              <w:left w:val="single" w:sz="12"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1644" w:type="dxa"/>
            <w:tcBorders>
              <w:top w:val="single" w:sz="8" w:space="0" w:color="000070"/>
              <w:left w:val="single" w:sz="8" w:space="0" w:color="000070"/>
              <w:bottom w:val="single" w:sz="8" w:space="0" w:color="000070"/>
              <w:right w:val="single" w:sz="8" w:space="0" w:color="000070"/>
            </w:tcBorders>
          </w:tcPr>
          <w:p w:rsidR="00576F87" w:rsidRDefault="00576F87"/>
        </w:tc>
        <w:tc>
          <w:tcPr>
            <w:tcW w:w="1322" w:type="dxa"/>
            <w:tcBorders>
              <w:top w:val="single" w:sz="8" w:space="0" w:color="000070"/>
              <w:left w:val="single" w:sz="8"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15" w:space="0" w:color="000070"/>
            </w:tcBorders>
          </w:tcPr>
          <w:p w:rsidR="00576F87" w:rsidRDefault="00576F87"/>
        </w:tc>
      </w:tr>
      <w:tr w:rsidR="00576F87">
        <w:trPr>
          <w:trHeight w:val="384"/>
        </w:trPr>
        <w:tc>
          <w:tcPr>
            <w:tcW w:w="3251"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Derivative contracts</w:t>
            </w:r>
          </w:p>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1644" w:type="dxa"/>
            <w:tcBorders>
              <w:top w:val="single" w:sz="8" w:space="0" w:color="000070"/>
              <w:left w:val="single" w:sz="8" w:space="0" w:color="000070"/>
              <w:bottom w:val="single" w:sz="8" w:space="0" w:color="000070"/>
              <w:right w:val="single" w:sz="8" w:space="0" w:color="000070"/>
            </w:tcBorders>
          </w:tcPr>
          <w:p w:rsidR="00576F87" w:rsidRDefault="00576F87"/>
        </w:tc>
        <w:tc>
          <w:tcPr>
            <w:tcW w:w="1322" w:type="dxa"/>
            <w:tcBorders>
              <w:top w:val="single" w:sz="8" w:space="0" w:color="000070"/>
              <w:left w:val="single" w:sz="8"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15" w:space="0" w:color="000070"/>
            </w:tcBorders>
          </w:tcPr>
          <w:p w:rsidR="00576F87" w:rsidRDefault="00576F87"/>
        </w:tc>
      </w:tr>
      <w:tr w:rsidR="00576F87">
        <w:trPr>
          <w:trHeight w:val="391"/>
        </w:trPr>
        <w:tc>
          <w:tcPr>
            <w:tcW w:w="3251"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 Options</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(408)</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12,014</w:t>
            </w:r>
          </w:p>
        </w:tc>
        <w:tc>
          <w:tcPr>
            <w:tcW w:w="164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(8,742)</w:t>
            </w:r>
          </w:p>
        </w:tc>
        <w:tc>
          <w:tcPr>
            <w:tcW w:w="132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(2,721)</w:t>
            </w:r>
          </w:p>
        </w:tc>
        <w:tc>
          <w:tcPr>
            <w:tcW w:w="1402"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4"/>
              <w:jc w:val="right"/>
            </w:pPr>
            <w:r>
              <w:rPr>
                <w:rFonts w:ascii="Verdana" w:eastAsia="Verdana" w:hAnsi="Verdana" w:cs="Verdana"/>
                <w:sz w:val="18"/>
              </w:rPr>
              <w:t>143</w:t>
            </w:r>
          </w:p>
        </w:tc>
      </w:tr>
      <w:tr w:rsidR="00576F87">
        <w:trPr>
          <w:trHeight w:val="384"/>
        </w:trPr>
        <w:tc>
          <w:tcPr>
            <w:tcW w:w="3251"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lastRenderedPageBreak/>
              <w:t>- Forwards</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3"/>
              <w:jc w:val="right"/>
            </w:pPr>
            <w:r>
              <w:rPr>
                <w:rFonts w:ascii="Verdana" w:eastAsia="Verdana" w:hAnsi="Verdana" w:cs="Verdana"/>
                <w:sz w:val="18"/>
              </w:rPr>
              <w:t>(14,442)</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226,287</w:t>
            </w:r>
          </w:p>
        </w:tc>
        <w:tc>
          <w:tcPr>
            <w:tcW w:w="1644"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2"/>
              <w:jc w:val="right"/>
            </w:pPr>
            <w:r>
              <w:rPr>
                <w:rFonts w:ascii="Verdana" w:eastAsia="Verdana" w:hAnsi="Verdana" w:cs="Verdana"/>
                <w:sz w:val="18"/>
              </w:rPr>
              <w:t>(89,967)</w:t>
            </w:r>
          </w:p>
        </w:tc>
        <w:tc>
          <w:tcPr>
            <w:tcW w:w="132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2"/>
              <w:jc w:val="right"/>
            </w:pPr>
            <w:r>
              <w:rPr>
                <w:rFonts w:ascii="Verdana" w:eastAsia="Verdana" w:hAnsi="Verdana" w:cs="Verdana"/>
                <w:sz w:val="18"/>
              </w:rPr>
              <w:t>(117,955)</w:t>
            </w:r>
          </w:p>
        </w:tc>
        <w:tc>
          <w:tcPr>
            <w:tcW w:w="1402"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3"/>
              <w:jc w:val="right"/>
            </w:pPr>
            <w:r>
              <w:rPr>
                <w:rFonts w:ascii="Verdana" w:eastAsia="Verdana" w:hAnsi="Verdana" w:cs="Verdana"/>
                <w:sz w:val="18"/>
              </w:rPr>
              <w:t>3,923</w:t>
            </w:r>
          </w:p>
        </w:tc>
      </w:tr>
      <w:tr w:rsidR="00576F87">
        <w:trPr>
          <w:trHeight w:val="290"/>
        </w:trPr>
        <w:tc>
          <w:tcPr>
            <w:tcW w:w="3251" w:type="dxa"/>
            <w:tcBorders>
              <w:top w:val="single" w:sz="8" w:space="0" w:color="000070"/>
              <w:left w:val="single" w:sz="12" w:space="0" w:color="000070"/>
              <w:bottom w:val="single" w:sz="8" w:space="0" w:color="000070"/>
              <w:right w:val="single" w:sz="8" w:space="0" w:color="000070"/>
            </w:tcBorders>
            <w:shd w:val="clear" w:color="auto" w:fill="35437C"/>
          </w:tcPr>
          <w:p w:rsidR="00576F87" w:rsidRDefault="004165F5">
            <w:pPr>
              <w:spacing w:after="0"/>
              <w:ind w:left="5"/>
            </w:pPr>
            <w:r>
              <w:rPr>
                <w:rFonts w:ascii="Verdana" w:eastAsia="Verdana" w:hAnsi="Verdana" w:cs="Verdana"/>
                <w:b/>
                <w:color w:val="FFFFFF"/>
                <w:sz w:val="18"/>
              </w:rPr>
              <w:t>Net investment assets</w:t>
            </w:r>
          </w:p>
        </w:tc>
        <w:tc>
          <w:tcPr>
            <w:tcW w:w="1402" w:type="dxa"/>
            <w:tcBorders>
              <w:top w:val="single" w:sz="8" w:space="0" w:color="000070"/>
              <w:left w:val="single" w:sz="8" w:space="0" w:color="000070"/>
              <w:bottom w:val="single" w:sz="8" w:space="0" w:color="000070"/>
              <w:right w:val="single" w:sz="8" w:space="0" w:color="000070"/>
            </w:tcBorders>
            <w:shd w:val="clear" w:color="auto" w:fill="35437C"/>
          </w:tcPr>
          <w:p w:rsidR="00576F87" w:rsidRDefault="004165F5">
            <w:pPr>
              <w:spacing w:after="0"/>
              <w:ind w:right="38"/>
              <w:jc w:val="right"/>
            </w:pPr>
            <w:r>
              <w:rPr>
                <w:rFonts w:ascii="Verdana" w:eastAsia="Verdana" w:hAnsi="Verdana" w:cs="Verdana"/>
                <w:b/>
                <w:color w:val="FFFFFF"/>
                <w:sz w:val="18"/>
              </w:rPr>
              <w:t>4,141,941</w:t>
            </w:r>
          </w:p>
        </w:tc>
        <w:tc>
          <w:tcPr>
            <w:tcW w:w="1402" w:type="dxa"/>
            <w:tcBorders>
              <w:top w:val="single" w:sz="8" w:space="0" w:color="000070"/>
              <w:left w:val="single" w:sz="8" w:space="0" w:color="000070"/>
              <w:bottom w:val="single" w:sz="8" w:space="0" w:color="000070"/>
              <w:right w:val="single" w:sz="8" w:space="0" w:color="000070"/>
            </w:tcBorders>
            <w:shd w:val="clear" w:color="auto" w:fill="35437C"/>
          </w:tcPr>
          <w:p w:rsidR="00576F87" w:rsidRDefault="004165F5">
            <w:pPr>
              <w:spacing w:after="0"/>
              <w:ind w:left="181"/>
            </w:pPr>
            <w:r>
              <w:rPr>
                <w:rFonts w:ascii="Verdana" w:eastAsia="Verdana" w:hAnsi="Verdana" w:cs="Verdana"/>
                <w:b/>
                <w:color w:val="FFFFFF"/>
                <w:sz w:val="18"/>
              </w:rPr>
              <w:t>10,536,533</w:t>
            </w:r>
          </w:p>
        </w:tc>
        <w:tc>
          <w:tcPr>
            <w:tcW w:w="1644" w:type="dxa"/>
            <w:tcBorders>
              <w:top w:val="single" w:sz="8" w:space="0" w:color="000070"/>
              <w:left w:val="single" w:sz="8" w:space="0" w:color="000070"/>
              <w:bottom w:val="single" w:sz="8" w:space="0" w:color="000070"/>
              <w:right w:val="single" w:sz="8" w:space="0" w:color="000070"/>
            </w:tcBorders>
            <w:shd w:val="clear" w:color="auto" w:fill="35437C"/>
          </w:tcPr>
          <w:p w:rsidR="00576F87" w:rsidRDefault="004165F5">
            <w:pPr>
              <w:spacing w:after="0"/>
              <w:ind w:right="39"/>
              <w:jc w:val="right"/>
            </w:pPr>
            <w:r>
              <w:rPr>
                <w:rFonts w:ascii="Verdana" w:eastAsia="Verdana" w:hAnsi="Verdana" w:cs="Verdana"/>
                <w:b/>
                <w:color w:val="FFFFFF"/>
                <w:sz w:val="18"/>
              </w:rPr>
              <w:t>(10,574,790)</w:t>
            </w:r>
          </w:p>
        </w:tc>
        <w:tc>
          <w:tcPr>
            <w:tcW w:w="1322" w:type="dxa"/>
            <w:tcBorders>
              <w:top w:val="single" w:sz="8" w:space="0" w:color="000070"/>
              <w:left w:val="single" w:sz="8" w:space="0" w:color="000070"/>
              <w:bottom w:val="single" w:sz="8" w:space="0" w:color="000070"/>
              <w:right w:val="single" w:sz="8" w:space="0" w:color="000070"/>
            </w:tcBorders>
            <w:shd w:val="clear" w:color="auto" w:fill="35437C"/>
          </w:tcPr>
          <w:p w:rsidR="00576F87" w:rsidRDefault="004165F5">
            <w:pPr>
              <w:spacing w:after="0"/>
              <w:ind w:right="38"/>
              <w:jc w:val="right"/>
            </w:pPr>
            <w:r>
              <w:rPr>
                <w:rFonts w:ascii="Verdana" w:eastAsia="Verdana" w:hAnsi="Verdana" w:cs="Verdana"/>
                <w:b/>
                <w:color w:val="FFFFFF"/>
                <w:sz w:val="18"/>
              </w:rPr>
              <w:t>877,080</w:t>
            </w:r>
          </w:p>
        </w:tc>
        <w:tc>
          <w:tcPr>
            <w:tcW w:w="1402" w:type="dxa"/>
            <w:tcBorders>
              <w:top w:val="single" w:sz="8" w:space="0" w:color="000070"/>
              <w:left w:val="single" w:sz="8" w:space="0" w:color="000070"/>
              <w:bottom w:val="single" w:sz="8" w:space="0" w:color="000070"/>
              <w:right w:val="single" w:sz="15" w:space="0" w:color="000070"/>
            </w:tcBorders>
            <w:shd w:val="clear" w:color="auto" w:fill="35437C"/>
          </w:tcPr>
          <w:p w:rsidR="00576F87" w:rsidRDefault="004165F5">
            <w:pPr>
              <w:spacing w:after="0"/>
              <w:ind w:right="38"/>
              <w:jc w:val="right"/>
            </w:pPr>
            <w:r>
              <w:rPr>
                <w:rFonts w:ascii="Verdana" w:eastAsia="Verdana" w:hAnsi="Verdana" w:cs="Verdana"/>
                <w:b/>
                <w:color w:val="FFFFFF"/>
                <w:sz w:val="18"/>
              </w:rPr>
              <w:t>4,980,764</w:t>
            </w:r>
          </w:p>
        </w:tc>
      </w:tr>
      <w:tr w:rsidR="00576F87">
        <w:trPr>
          <w:trHeight w:val="545"/>
        </w:trPr>
        <w:tc>
          <w:tcPr>
            <w:tcW w:w="3251" w:type="dxa"/>
            <w:tcBorders>
              <w:top w:val="single" w:sz="8" w:space="0" w:color="000070"/>
              <w:left w:val="single" w:sz="12" w:space="0" w:color="000070"/>
              <w:bottom w:val="single" w:sz="8" w:space="0" w:color="000070"/>
              <w:right w:val="single" w:sz="8" w:space="0" w:color="000070"/>
            </w:tcBorders>
            <w:vAlign w:val="bottom"/>
          </w:tcPr>
          <w:p w:rsidR="00576F87" w:rsidRDefault="004165F5">
            <w:pPr>
              <w:spacing w:after="0"/>
            </w:pPr>
            <w:r>
              <w:rPr>
                <w:rFonts w:ascii="Verdana" w:eastAsia="Verdana" w:hAnsi="Verdana" w:cs="Verdana"/>
                <w:sz w:val="18"/>
              </w:rPr>
              <w:t>Other Investment Balances:</w:t>
            </w:r>
          </w:p>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1644" w:type="dxa"/>
            <w:tcBorders>
              <w:top w:val="single" w:sz="8" w:space="0" w:color="000070"/>
              <w:left w:val="single" w:sz="8" w:space="0" w:color="000070"/>
              <w:bottom w:val="single" w:sz="8" w:space="0" w:color="000070"/>
              <w:right w:val="single" w:sz="8" w:space="0" w:color="000070"/>
            </w:tcBorders>
          </w:tcPr>
          <w:p w:rsidR="00576F87" w:rsidRDefault="00576F87"/>
        </w:tc>
        <w:tc>
          <w:tcPr>
            <w:tcW w:w="1322" w:type="dxa"/>
            <w:tcBorders>
              <w:top w:val="single" w:sz="8" w:space="0" w:color="000070"/>
              <w:left w:val="single" w:sz="8"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15" w:space="0" w:color="000070"/>
            </w:tcBorders>
          </w:tcPr>
          <w:p w:rsidR="00576F87" w:rsidRDefault="00576F87"/>
        </w:tc>
      </w:tr>
      <w:tr w:rsidR="00576F87">
        <w:trPr>
          <w:trHeight w:val="648"/>
        </w:trPr>
        <w:tc>
          <w:tcPr>
            <w:tcW w:w="3251" w:type="dxa"/>
            <w:tcBorders>
              <w:top w:val="single" w:sz="8" w:space="0" w:color="000070"/>
              <w:left w:val="single" w:sz="12" w:space="0" w:color="000070"/>
              <w:bottom w:val="single" w:sz="8" w:space="0" w:color="000070"/>
              <w:right w:val="single" w:sz="8" w:space="0" w:color="000070"/>
            </w:tcBorders>
            <w:vAlign w:val="bottom"/>
          </w:tcPr>
          <w:p w:rsidR="00576F87" w:rsidRDefault="004165F5">
            <w:pPr>
              <w:spacing w:after="0"/>
              <w:ind w:right="17"/>
            </w:pPr>
            <w:r>
              <w:rPr>
                <w:rFonts w:ascii="Verdana" w:eastAsia="Verdana" w:hAnsi="Verdana" w:cs="Verdana"/>
                <w:sz w:val="18"/>
              </w:rPr>
              <w:t>Cash held by investment managers</w:t>
            </w:r>
          </w:p>
        </w:tc>
        <w:tc>
          <w:tcPr>
            <w:tcW w:w="1402"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4"/>
              <w:jc w:val="right"/>
            </w:pPr>
            <w:r>
              <w:rPr>
                <w:rFonts w:ascii="Verdana" w:eastAsia="Verdana" w:hAnsi="Verdana" w:cs="Verdana"/>
                <w:sz w:val="18"/>
              </w:rPr>
              <w:t>44,813</w:t>
            </w:r>
          </w:p>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1644" w:type="dxa"/>
            <w:tcBorders>
              <w:top w:val="single" w:sz="8" w:space="0" w:color="000070"/>
              <w:left w:val="single" w:sz="8" w:space="0" w:color="000070"/>
              <w:bottom w:val="single" w:sz="8" w:space="0" w:color="000070"/>
              <w:right w:val="single" w:sz="8" w:space="0" w:color="000070"/>
            </w:tcBorders>
          </w:tcPr>
          <w:p w:rsidR="00576F87" w:rsidRDefault="00576F87"/>
        </w:tc>
        <w:tc>
          <w:tcPr>
            <w:tcW w:w="1322" w:type="dxa"/>
            <w:tcBorders>
              <w:top w:val="single" w:sz="8" w:space="0" w:color="000070"/>
              <w:left w:val="single" w:sz="8"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15" w:space="0" w:color="000070"/>
            </w:tcBorders>
            <w:vAlign w:val="bottom"/>
          </w:tcPr>
          <w:p w:rsidR="00576F87" w:rsidRDefault="004165F5">
            <w:pPr>
              <w:spacing w:after="0"/>
              <w:ind w:right="34"/>
              <w:jc w:val="right"/>
            </w:pPr>
            <w:r>
              <w:rPr>
                <w:rFonts w:ascii="Verdana" w:eastAsia="Verdana" w:hAnsi="Verdana" w:cs="Verdana"/>
                <w:sz w:val="18"/>
              </w:rPr>
              <w:t>3,255</w:t>
            </w:r>
          </w:p>
        </w:tc>
      </w:tr>
      <w:tr w:rsidR="00576F87">
        <w:trPr>
          <w:trHeight w:val="552"/>
        </w:trPr>
        <w:tc>
          <w:tcPr>
            <w:tcW w:w="3251"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Amount receivable for sales of investments</w:t>
            </w:r>
          </w:p>
        </w:tc>
        <w:tc>
          <w:tcPr>
            <w:tcW w:w="1402"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4"/>
              <w:jc w:val="right"/>
            </w:pPr>
            <w:r>
              <w:rPr>
                <w:rFonts w:ascii="Verdana" w:eastAsia="Verdana" w:hAnsi="Verdana" w:cs="Verdana"/>
                <w:sz w:val="18"/>
              </w:rPr>
              <w:t>1,571</w:t>
            </w:r>
          </w:p>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1644" w:type="dxa"/>
            <w:tcBorders>
              <w:top w:val="single" w:sz="8" w:space="0" w:color="000070"/>
              <w:left w:val="single" w:sz="8" w:space="0" w:color="000070"/>
              <w:bottom w:val="single" w:sz="8" w:space="0" w:color="000070"/>
              <w:right w:val="single" w:sz="8" w:space="0" w:color="000070"/>
            </w:tcBorders>
          </w:tcPr>
          <w:p w:rsidR="00576F87" w:rsidRDefault="00576F87"/>
        </w:tc>
        <w:tc>
          <w:tcPr>
            <w:tcW w:w="1322" w:type="dxa"/>
            <w:tcBorders>
              <w:top w:val="single" w:sz="8" w:space="0" w:color="000070"/>
              <w:left w:val="single" w:sz="8"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15" w:space="0" w:color="000070"/>
            </w:tcBorders>
            <w:vAlign w:val="bottom"/>
          </w:tcPr>
          <w:p w:rsidR="00576F87" w:rsidRDefault="004165F5">
            <w:pPr>
              <w:spacing w:after="0"/>
              <w:ind w:right="34"/>
              <w:jc w:val="right"/>
            </w:pPr>
            <w:r>
              <w:rPr>
                <w:rFonts w:ascii="Verdana" w:eastAsia="Verdana" w:hAnsi="Verdana" w:cs="Verdana"/>
                <w:sz w:val="18"/>
              </w:rPr>
              <w:t>421</w:t>
            </w:r>
          </w:p>
        </w:tc>
      </w:tr>
      <w:tr w:rsidR="00576F87">
        <w:trPr>
          <w:trHeight w:val="362"/>
        </w:trPr>
        <w:tc>
          <w:tcPr>
            <w:tcW w:w="3251"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Investment income due</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4"/>
              <w:jc w:val="right"/>
            </w:pPr>
            <w:r>
              <w:rPr>
                <w:rFonts w:ascii="Verdana" w:eastAsia="Verdana" w:hAnsi="Verdana" w:cs="Verdana"/>
                <w:sz w:val="18"/>
              </w:rPr>
              <w:t>6,142</w:t>
            </w:r>
          </w:p>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1644" w:type="dxa"/>
            <w:tcBorders>
              <w:top w:val="single" w:sz="8" w:space="0" w:color="000070"/>
              <w:left w:val="single" w:sz="8" w:space="0" w:color="000070"/>
              <w:bottom w:val="single" w:sz="8" w:space="0" w:color="000070"/>
              <w:right w:val="single" w:sz="8" w:space="0" w:color="000070"/>
            </w:tcBorders>
          </w:tcPr>
          <w:p w:rsidR="00576F87" w:rsidRDefault="00576F87"/>
        </w:tc>
        <w:tc>
          <w:tcPr>
            <w:tcW w:w="1322" w:type="dxa"/>
            <w:tcBorders>
              <w:top w:val="single" w:sz="8" w:space="0" w:color="000070"/>
              <w:left w:val="single" w:sz="8"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4"/>
              <w:jc w:val="right"/>
            </w:pPr>
            <w:r>
              <w:rPr>
                <w:rFonts w:ascii="Verdana" w:eastAsia="Verdana" w:hAnsi="Verdana" w:cs="Verdana"/>
                <w:sz w:val="18"/>
              </w:rPr>
              <w:t>3,632</w:t>
            </w:r>
          </w:p>
        </w:tc>
      </w:tr>
      <w:tr w:rsidR="00576F87">
        <w:trPr>
          <w:trHeight w:val="535"/>
        </w:trPr>
        <w:tc>
          <w:tcPr>
            <w:tcW w:w="3251"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Amounts payable for purchases of investments</w:t>
            </w:r>
          </w:p>
        </w:tc>
        <w:tc>
          <w:tcPr>
            <w:tcW w:w="1402"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3"/>
              <w:jc w:val="right"/>
            </w:pPr>
            <w:r>
              <w:rPr>
                <w:rFonts w:ascii="Verdana" w:eastAsia="Verdana" w:hAnsi="Verdana" w:cs="Verdana"/>
                <w:sz w:val="18"/>
              </w:rPr>
              <w:t>(375)</w:t>
            </w:r>
          </w:p>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1644" w:type="dxa"/>
            <w:tcBorders>
              <w:top w:val="single" w:sz="8" w:space="0" w:color="000070"/>
              <w:left w:val="single" w:sz="8" w:space="0" w:color="000070"/>
              <w:bottom w:val="single" w:sz="8" w:space="0" w:color="000070"/>
              <w:right w:val="single" w:sz="8" w:space="0" w:color="000070"/>
            </w:tcBorders>
          </w:tcPr>
          <w:p w:rsidR="00576F87" w:rsidRDefault="00576F87"/>
        </w:tc>
        <w:tc>
          <w:tcPr>
            <w:tcW w:w="1322" w:type="dxa"/>
            <w:tcBorders>
              <w:top w:val="single" w:sz="8" w:space="0" w:color="000070"/>
              <w:left w:val="single" w:sz="8"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15" w:space="0" w:color="000070"/>
            </w:tcBorders>
            <w:vAlign w:val="bottom"/>
          </w:tcPr>
          <w:p w:rsidR="00576F87" w:rsidRDefault="004165F5">
            <w:pPr>
              <w:spacing w:after="0"/>
              <w:ind w:right="33"/>
              <w:jc w:val="right"/>
            </w:pPr>
            <w:r>
              <w:rPr>
                <w:rFonts w:ascii="Verdana" w:eastAsia="Verdana" w:hAnsi="Verdana" w:cs="Verdana"/>
                <w:sz w:val="18"/>
              </w:rPr>
              <w:t>(1,027)</w:t>
            </w:r>
          </w:p>
        </w:tc>
      </w:tr>
      <w:tr w:rsidR="00576F87">
        <w:trPr>
          <w:trHeight w:val="305"/>
        </w:trPr>
        <w:tc>
          <w:tcPr>
            <w:tcW w:w="3251" w:type="dxa"/>
            <w:tcBorders>
              <w:top w:val="single" w:sz="8" w:space="0" w:color="000070"/>
              <w:left w:val="single" w:sz="12" w:space="0" w:color="000070"/>
              <w:bottom w:val="single" w:sz="15" w:space="0" w:color="000070"/>
              <w:right w:val="single" w:sz="8" w:space="0" w:color="000070"/>
            </w:tcBorders>
            <w:shd w:val="clear" w:color="auto" w:fill="35437C"/>
          </w:tcPr>
          <w:p w:rsidR="00576F87" w:rsidRDefault="004165F5">
            <w:pPr>
              <w:spacing w:after="0"/>
              <w:ind w:left="5"/>
            </w:pPr>
            <w:r>
              <w:rPr>
                <w:rFonts w:ascii="Verdana" w:eastAsia="Verdana" w:hAnsi="Verdana" w:cs="Verdana"/>
                <w:b/>
                <w:color w:val="FFFFFF"/>
                <w:sz w:val="18"/>
              </w:rPr>
              <w:t>Net investment assets</w:t>
            </w:r>
          </w:p>
        </w:tc>
        <w:tc>
          <w:tcPr>
            <w:tcW w:w="1402" w:type="dxa"/>
            <w:tcBorders>
              <w:top w:val="single" w:sz="8" w:space="0" w:color="000070"/>
              <w:left w:val="single" w:sz="8" w:space="0" w:color="000070"/>
              <w:bottom w:val="single" w:sz="15" w:space="0" w:color="000070"/>
              <w:right w:val="single" w:sz="8" w:space="0" w:color="000070"/>
            </w:tcBorders>
            <w:shd w:val="clear" w:color="auto" w:fill="35437C"/>
          </w:tcPr>
          <w:p w:rsidR="00576F87" w:rsidRDefault="004165F5">
            <w:pPr>
              <w:spacing w:after="0"/>
              <w:ind w:right="38"/>
              <w:jc w:val="right"/>
            </w:pPr>
            <w:r>
              <w:rPr>
                <w:rFonts w:ascii="Verdana" w:eastAsia="Verdana" w:hAnsi="Verdana" w:cs="Verdana"/>
                <w:b/>
                <w:color w:val="FFFFFF"/>
                <w:sz w:val="18"/>
              </w:rPr>
              <w:t>4,194,092</w:t>
            </w:r>
          </w:p>
        </w:tc>
        <w:tc>
          <w:tcPr>
            <w:tcW w:w="1402" w:type="dxa"/>
            <w:tcBorders>
              <w:top w:val="single" w:sz="8" w:space="0" w:color="000070"/>
              <w:left w:val="single" w:sz="8" w:space="0" w:color="000070"/>
              <w:bottom w:val="single" w:sz="15" w:space="0" w:color="000070"/>
              <w:right w:val="single" w:sz="8" w:space="0" w:color="000070"/>
            </w:tcBorders>
            <w:shd w:val="clear" w:color="auto" w:fill="35437C"/>
          </w:tcPr>
          <w:p w:rsidR="00576F87" w:rsidRDefault="00576F87"/>
        </w:tc>
        <w:tc>
          <w:tcPr>
            <w:tcW w:w="1644" w:type="dxa"/>
            <w:tcBorders>
              <w:top w:val="single" w:sz="8" w:space="0" w:color="000070"/>
              <w:left w:val="single" w:sz="8" w:space="0" w:color="000070"/>
              <w:bottom w:val="single" w:sz="15" w:space="0" w:color="000070"/>
              <w:right w:val="single" w:sz="8" w:space="0" w:color="000070"/>
            </w:tcBorders>
            <w:shd w:val="clear" w:color="auto" w:fill="35437C"/>
          </w:tcPr>
          <w:p w:rsidR="00576F87" w:rsidRDefault="00576F87"/>
        </w:tc>
        <w:tc>
          <w:tcPr>
            <w:tcW w:w="1322" w:type="dxa"/>
            <w:tcBorders>
              <w:top w:val="single" w:sz="8" w:space="0" w:color="000070"/>
              <w:left w:val="single" w:sz="8" w:space="0" w:color="000070"/>
              <w:bottom w:val="single" w:sz="15" w:space="0" w:color="000070"/>
              <w:right w:val="single" w:sz="8" w:space="0" w:color="000070"/>
            </w:tcBorders>
            <w:shd w:val="clear" w:color="auto" w:fill="35437C"/>
          </w:tcPr>
          <w:p w:rsidR="00576F87" w:rsidRDefault="00576F87"/>
        </w:tc>
        <w:tc>
          <w:tcPr>
            <w:tcW w:w="1402" w:type="dxa"/>
            <w:tcBorders>
              <w:top w:val="single" w:sz="8" w:space="0" w:color="000070"/>
              <w:left w:val="single" w:sz="8" w:space="0" w:color="000070"/>
              <w:bottom w:val="single" w:sz="15" w:space="0" w:color="000070"/>
              <w:right w:val="single" w:sz="15" w:space="0" w:color="000070"/>
            </w:tcBorders>
            <w:shd w:val="clear" w:color="auto" w:fill="35437C"/>
          </w:tcPr>
          <w:p w:rsidR="00576F87" w:rsidRDefault="004165F5">
            <w:pPr>
              <w:spacing w:after="0"/>
              <w:ind w:right="38"/>
              <w:jc w:val="right"/>
            </w:pPr>
            <w:r>
              <w:rPr>
                <w:rFonts w:ascii="Verdana" w:eastAsia="Verdana" w:hAnsi="Verdana" w:cs="Verdana"/>
                <w:b/>
                <w:color w:val="FFFFFF"/>
                <w:sz w:val="18"/>
              </w:rPr>
              <w:t>4,987,045</w:t>
            </w:r>
          </w:p>
        </w:tc>
      </w:tr>
    </w:tbl>
    <w:p w:rsidR="00576F87" w:rsidRDefault="004165F5">
      <w:pPr>
        <w:spacing w:after="5" w:line="268" w:lineRule="auto"/>
        <w:ind w:left="118" w:right="168" w:hanging="3"/>
        <w:jc w:val="both"/>
      </w:pPr>
      <w:r>
        <w:rPr>
          <w:rFonts w:ascii="Verdana" w:eastAsia="Verdana" w:hAnsi="Verdana" w:cs="Verdana"/>
          <w:sz w:val="18"/>
        </w:rPr>
        <w:t>Transaction costs are included in the cost of purchases and sale proceeds. Transaction costs include costs charged directly to the fund such as fees, commissions, stamp duty and other fees. Transaction costs incurred during the year total £274k (£295k in 2</w:t>
      </w:r>
      <w:r>
        <w:rPr>
          <w:rFonts w:ascii="Verdana" w:eastAsia="Verdana" w:hAnsi="Verdana" w:cs="Verdana"/>
          <w:sz w:val="18"/>
        </w:rPr>
        <w:t>017). In addition to the transaction costs disclosed above, indirect costs are incurred through the bid-offer spread on investments within pooled investments.</w:t>
      </w:r>
    </w:p>
    <w:p w:rsidR="00576F87" w:rsidRDefault="004165F5">
      <w:pPr>
        <w:pStyle w:val="Heading2"/>
        <w:spacing w:after="90"/>
        <w:ind w:left="708"/>
      </w:pPr>
      <w:r>
        <w:rPr>
          <w:b/>
          <w:color w:val="3F977F"/>
          <w:sz w:val="27"/>
        </w:rPr>
        <w:t>LPFA Accounts 31 March 2018</w:t>
      </w:r>
    </w:p>
    <w:p w:rsidR="00576F87" w:rsidRDefault="004165F5">
      <w:pPr>
        <w:spacing w:after="48"/>
        <w:ind w:left="684"/>
      </w:pPr>
      <w:r>
        <w:rPr>
          <w:rFonts w:ascii="Verdana" w:eastAsia="Verdana" w:hAnsi="Verdana" w:cs="Verdana"/>
          <w:b/>
          <w:sz w:val="19"/>
        </w:rPr>
        <w:t xml:space="preserve">14b. Analysis of Investments </w:t>
      </w:r>
    </w:p>
    <w:tbl>
      <w:tblPr>
        <w:tblStyle w:val="TableGrid"/>
        <w:tblW w:w="8881" w:type="dxa"/>
        <w:tblInd w:w="644" w:type="dxa"/>
        <w:tblCellMar>
          <w:top w:w="53" w:type="dxa"/>
          <w:left w:w="35" w:type="dxa"/>
          <w:bottom w:w="0" w:type="dxa"/>
          <w:right w:w="33" w:type="dxa"/>
        </w:tblCellMar>
        <w:tblLook w:val="04A0" w:firstRow="1" w:lastRow="0" w:firstColumn="1" w:lastColumn="0" w:noHBand="0" w:noVBand="1"/>
      </w:tblPr>
      <w:tblGrid>
        <w:gridCol w:w="1582"/>
        <w:gridCol w:w="5565"/>
        <w:gridCol w:w="1734"/>
      </w:tblGrid>
      <w:tr w:rsidR="00576F87">
        <w:trPr>
          <w:trHeight w:val="272"/>
        </w:trPr>
        <w:tc>
          <w:tcPr>
            <w:tcW w:w="1582" w:type="dxa"/>
            <w:tcBorders>
              <w:top w:val="single" w:sz="13" w:space="0" w:color="35437C"/>
              <w:left w:val="single" w:sz="11" w:space="0" w:color="35437C"/>
              <w:bottom w:val="single" w:sz="7" w:space="0" w:color="35437C"/>
              <w:right w:val="single" w:sz="7" w:space="0" w:color="35437C"/>
            </w:tcBorders>
            <w:shd w:val="clear" w:color="auto" w:fill="35437C"/>
          </w:tcPr>
          <w:p w:rsidR="00576F87" w:rsidRDefault="004165F5">
            <w:pPr>
              <w:spacing w:after="0"/>
              <w:ind w:right="3"/>
              <w:jc w:val="right"/>
            </w:pPr>
            <w:r>
              <w:rPr>
                <w:rFonts w:ascii="Verdana" w:eastAsia="Verdana" w:hAnsi="Verdana" w:cs="Verdana"/>
                <w:b/>
                <w:color w:val="FFFFFF"/>
                <w:sz w:val="17"/>
              </w:rPr>
              <w:t>31-Mar-17</w:t>
            </w:r>
          </w:p>
        </w:tc>
        <w:tc>
          <w:tcPr>
            <w:tcW w:w="5566" w:type="dxa"/>
            <w:tcBorders>
              <w:top w:val="single" w:sz="13" w:space="0" w:color="35437C"/>
              <w:left w:val="single" w:sz="7" w:space="0" w:color="35437C"/>
              <w:bottom w:val="single" w:sz="7" w:space="0" w:color="35437C"/>
              <w:right w:val="single" w:sz="7" w:space="0" w:color="35437C"/>
            </w:tcBorders>
            <w:shd w:val="clear" w:color="auto" w:fill="35437C"/>
          </w:tcPr>
          <w:p w:rsidR="00576F87" w:rsidRDefault="00576F87"/>
        </w:tc>
        <w:tc>
          <w:tcPr>
            <w:tcW w:w="1734" w:type="dxa"/>
            <w:tcBorders>
              <w:top w:val="single" w:sz="13" w:space="0" w:color="35437C"/>
              <w:left w:val="single" w:sz="7" w:space="0" w:color="35437C"/>
              <w:bottom w:val="single" w:sz="7" w:space="0" w:color="35437C"/>
              <w:right w:val="single" w:sz="13" w:space="0" w:color="35437C"/>
            </w:tcBorders>
            <w:shd w:val="clear" w:color="auto" w:fill="35437C"/>
          </w:tcPr>
          <w:p w:rsidR="00576F87" w:rsidRDefault="004165F5">
            <w:pPr>
              <w:spacing w:after="0"/>
              <w:ind w:right="2"/>
              <w:jc w:val="right"/>
            </w:pPr>
            <w:r>
              <w:rPr>
                <w:rFonts w:ascii="Verdana" w:eastAsia="Verdana" w:hAnsi="Verdana" w:cs="Verdana"/>
                <w:b/>
                <w:color w:val="FFFFFF"/>
                <w:sz w:val="17"/>
              </w:rPr>
              <w:t>31-Mar-18</w:t>
            </w:r>
          </w:p>
        </w:tc>
      </w:tr>
      <w:tr w:rsidR="00576F87">
        <w:trPr>
          <w:trHeight w:val="271"/>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3"/>
              <w:jc w:val="right"/>
            </w:pPr>
            <w:r>
              <w:rPr>
                <w:rFonts w:ascii="Verdana" w:eastAsia="Verdana" w:hAnsi="Verdana" w:cs="Verdana"/>
                <w:b/>
                <w:sz w:val="17"/>
              </w:rPr>
              <w:t>£000</w:t>
            </w:r>
          </w:p>
        </w:tc>
        <w:tc>
          <w:tcPr>
            <w:tcW w:w="5566" w:type="dxa"/>
            <w:tcBorders>
              <w:top w:val="single" w:sz="7" w:space="0" w:color="35437C"/>
              <w:left w:val="single" w:sz="7" w:space="0" w:color="35437C"/>
              <w:bottom w:val="single" w:sz="7" w:space="0" w:color="35437C"/>
              <w:right w:val="single" w:sz="7" w:space="0" w:color="35437C"/>
            </w:tcBorders>
          </w:tcPr>
          <w:p w:rsidR="00576F87" w:rsidRDefault="00576F87"/>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ind w:right="2"/>
              <w:jc w:val="right"/>
            </w:pPr>
            <w:r>
              <w:rPr>
                <w:rFonts w:ascii="Verdana" w:eastAsia="Verdana" w:hAnsi="Verdana" w:cs="Verdana"/>
                <w:b/>
                <w:sz w:val="17"/>
              </w:rPr>
              <w:t>£000</w:t>
            </w:r>
          </w:p>
        </w:tc>
      </w:tr>
      <w:tr w:rsidR="00576F87">
        <w:trPr>
          <w:trHeight w:val="298"/>
        </w:trPr>
        <w:tc>
          <w:tcPr>
            <w:tcW w:w="1582" w:type="dxa"/>
            <w:tcBorders>
              <w:top w:val="single" w:sz="7" w:space="0" w:color="35437C"/>
              <w:left w:val="single" w:sz="11" w:space="0" w:color="35437C"/>
              <w:bottom w:val="single" w:sz="7" w:space="0" w:color="35437C"/>
              <w:right w:val="single" w:sz="7" w:space="0" w:color="35437C"/>
            </w:tcBorders>
          </w:tcPr>
          <w:p w:rsidR="00576F87" w:rsidRDefault="00576F87"/>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5"/>
            </w:pPr>
            <w:r>
              <w:rPr>
                <w:rFonts w:ascii="Verdana" w:eastAsia="Verdana" w:hAnsi="Verdana" w:cs="Verdana"/>
                <w:b/>
                <w:sz w:val="17"/>
              </w:rPr>
              <w:t>Fixed Interest Securities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576F87"/>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pPr>
            <w:r>
              <w:rPr>
                <w:rFonts w:ascii="Verdana" w:eastAsia="Verdana" w:hAnsi="Verdana" w:cs="Verdana"/>
                <w:sz w:val="17"/>
              </w:rPr>
              <w:t xml:space="preserve"> </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5"/>
            </w:pPr>
            <w:r>
              <w:rPr>
                <w:rFonts w:ascii="Verdana" w:eastAsia="Verdana" w:hAnsi="Verdana" w:cs="Verdana"/>
                <w:b/>
                <w:sz w:val="17"/>
                <w:u w:val="single" w:color="000000"/>
              </w:rPr>
              <w:t>UK</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576F87"/>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491</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Public sector quoted</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1,890</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Corporate quoted</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576F87"/>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5"/>
            </w:pPr>
            <w:r>
              <w:rPr>
                <w:rFonts w:ascii="Verdana" w:eastAsia="Verdana" w:hAnsi="Verdana" w:cs="Verdana"/>
                <w:b/>
                <w:sz w:val="17"/>
                <w:u w:val="single" w:color="000000"/>
              </w:rPr>
              <w:t>Overseas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576F87"/>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11,461</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Public sector quoted</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7,596</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Municipal bonds quoted</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35,211</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Corporate quoted</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3"/>
              <w:jc w:val="right"/>
            </w:pPr>
            <w:r>
              <w:rPr>
                <w:rFonts w:ascii="Verdana" w:eastAsia="Verdana" w:hAnsi="Verdana" w:cs="Verdana"/>
                <w:b/>
                <w:sz w:val="17"/>
              </w:rPr>
              <w:t>56,649</w:t>
            </w:r>
          </w:p>
        </w:tc>
        <w:tc>
          <w:tcPr>
            <w:tcW w:w="5566" w:type="dxa"/>
            <w:tcBorders>
              <w:top w:val="single" w:sz="7" w:space="0" w:color="35437C"/>
              <w:left w:val="single" w:sz="7" w:space="0" w:color="35437C"/>
              <w:bottom w:val="single" w:sz="7" w:space="0" w:color="35437C"/>
              <w:right w:val="single" w:sz="7" w:space="0" w:color="35437C"/>
            </w:tcBorders>
          </w:tcPr>
          <w:p w:rsidR="00576F87" w:rsidRDefault="00576F87"/>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ind w:right="3"/>
              <w:jc w:val="right"/>
            </w:pPr>
            <w:r>
              <w:rPr>
                <w:rFonts w:ascii="Verdana" w:eastAsia="Verdana" w:hAnsi="Verdana" w:cs="Verdana"/>
                <w:b/>
                <w:sz w:val="17"/>
              </w:rPr>
              <w:t>-</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576F87"/>
        </w:tc>
        <w:tc>
          <w:tcPr>
            <w:tcW w:w="5566" w:type="dxa"/>
            <w:tcBorders>
              <w:top w:val="single" w:sz="7" w:space="0" w:color="35437C"/>
              <w:left w:val="single" w:sz="7" w:space="0" w:color="35437C"/>
              <w:bottom w:val="single" w:sz="7" w:space="0" w:color="35437C"/>
              <w:right w:val="single" w:sz="7" w:space="0" w:color="35437C"/>
            </w:tcBorders>
          </w:tcPr>
          <w:p w:rsidR="00576F87" w:rsidRDefault="00576F87"/>
        </w:tc>
        <w:tc>
          <w:tcPr>
            <w:tcW w:w="1734" w:type="dxa"/>
            <w:tcBorders>
              <w:top w:val="single" w:sz="7" w:space="0" w:color="35437C"/>
              <w:left w:val="single" w:sz="7" w:space="0" w:color="35437C"/>
              <w:bottom w:val="single" w:sz="7" w:space="0" w:color="35437C"/>
              <w:right w:val="single" w:sz="13" w:space="0" w:color="35437C"/>
            </w:tcBorders>
          </w:tcPr>
          <w:p w:rsidR="00576F87" w:rsidRDefault="00576F87"/>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576F87"/>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5"/>
            </w:pPr>
            <w:r>
              <w:rPr>
                <w:rFonts w:ascii="Verdana" w:eastAsia="Verdana" w:hAnsi="Verdana" w:cs="Verdana"/>
                <w:b/>
                <w:sz w:val="17"/>
              </w:rPr>
              <w:t>Equities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576F87"/>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576F87"/>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5"/>
            </w:pPr>
            <w:r>
              <w:rPr>
                <w:rFonts w:ascii="Verdana" w:eastAsia="Verdana" w:hAnsi="Verdana" w:cs="Verdana"/>
                <w:b/>
                <w:sz w:val="17"/>
                <w:u w:val="single" w:color="000000"/>
              </w:rPr>
              <w:t>UK</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576F87"/>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28,431</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Quoted</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576F87"/>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5"/>
            </w:pPr>
            <w:r>
              <w:rPr>
                <w:rFonts w:ascii="Verdana" w:eastAsia="Verdana" w:hAnsi="Verdana" w:cs="Verdana"/>
                <w:b/>
                <w:sz w:val="17"/>
                <w:u w:val="single" w:color="000000"/>
              </w:rPr>
              <w:t>Overseas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576F87"/>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lastRenderedPageBreak/>
              <w:t>16,216</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Quoted</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3"/>
              <w:jc w:val="right"/>
            </w:pPr>
            <w:r>
              <w:rPr>
                <w:rFonts w:ascii="Verdana" w:eastAsia="Verdana" w:hAnsi="Verdana" w:cs="Verdana"/>
                <w:b/>
                <w:sz w:val="17"/>
              </w:rPr>
              <w:t>44,647</w:t>
            </w:r>
          </w:p>
        </w:tc>
        <w:tc>
          <w:tcPr>
            <w:tcW w:w="5566" w:type="dxa"/>
            <w:tcBorders>
              <w:top w:val="single" w:sz="7" w:space="0" w:color="35437C"/>
              <w:left w:val="single" w:sz="7" w:space="0" w:color="35437C"/>
              <w:bottom w:val="single" w:sz="7" w:space="0" w:color="35437C"/>
              <w:right w:val="single" w:sz="7" w:space="0" w:color="35437C"/>
            </w:tcBorders>
          </w:tcPr>
          <w:p w:rsidR="00576F87" w:rsidRDefault="00576F87"/>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w:t>
            </w:r>
          </w:p>
        </w:tc>
      </w:tr>
      <w:tr w:rsidR="00576F87">
        <w:trPr>
          <w:trHeight w:val="365"/>
        </w:trPr>
        <w:tc>
          <w:tcPr>
            <w:tcW w:w="1582" w:type="dxa"/>
            <w:tcBorders>
              <w:top w:val="single" w:sz="7" w:space="0" w:color="35437C"/>
              <w:left w:val="single" w:sz="11" w:space="0" w:color="35437C"/>
              <w:bottom w:val="single" w:sz="7" w:space="0" w:color="35437C"/>
              <w:right w:val="single" w:sz="7" w:space="0" w:color="35437C"/>
            </w:tcBorders>
          </w:tcPr>
          <w:p w:rsidR="00576F87" w:rsidRDefault="00576F87"/>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5"/>
            </w:pPr>
            <w:r>
              <w:rPr>
                <w:rFonts w:ascii="Verdana" w:eastAsia="Verdana" w:hAnsi="Verdana" w:cs="Verdana"/>
                <w:b/>
                <w:sz w:val="17"/>
              </w:rPr>
              <w:t>Pooled Funds - Additional Analysis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576F87"/>
        </w:tc>
      </w:tr>
      <w:tr w:rsidR="00576F87">
        <w:trPr>
          <w:trHeight w:val="365"/>
        </w:trPr>
        <w:tc>
          <w:tcPr>
            <w:tcW w:w="1582" w:type="dxa"/>
            <w:tcBorders>
              <w:top w:val="single" w:sz="7" w:space="0" w:color="35437C"/>
              <w:left w:val="single" w:sz="11" w:space="0" w:color="35437C"/>
              <w:bottom w:val="single" w:sz="7" w:space="0" w:color="35437C"/>
              <w:right w:val="single" w:sz="7" w:space="0" w:color="35437C"/>
            </w:tcBorders>
          </w:tcPr>
          <w:p w:rsidR="00576F87" w:rsidRDefault="00576F87"/>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5"/>
            </w:pPr>
            <w:r>
              <w:rPr>
                <w:rFonts w:ascii="Verdana" w:eastAsia="Verdana" w:hAnsi="Verdana" w:cs="Verdana"/>
                <w:b/>
                <w:sz w:val="17"/>
                <w:u w:val="single" w:color="000000"/>
              </w:rPr>
              <w:t>UK</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576F87"/>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224,626</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Fixed interest securities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135,852</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260,253</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Unit trusts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2"/>
            </w:pPr>
            <w:r>
              <w:rPr>
                <w:rFonts w:ascii="Verdana" w:eastAsia="Verdana" w:hAnsi="Verdana" w:cs="Verdana"/>
                <w:sz w:val="17"/>
              </w:rPr>
              <w:t>Credit</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267,734</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800,820</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Private Equity</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582,261</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346,135</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Infrastructure</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430,989</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201,882</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Property</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202,799</w:t>
            </w:r>
          </w:p>
        </w:tc>
      </w:tr>
      <w:tr w:rsidR="00576F87">
        <w:trPr>
          <w:trHeight w:val="230"/>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27,431</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Cash instruments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10,269</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576F87"/>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5"/>
            </w:pPr>
            <w:r>
              <w:rPr>
                <w:rFonts w:ascii="Verdana" w:eastAsia="Verdana" w:hAnsi="Verdana" w:cs="Verdana"/>
                <w:b/>
                <w:sz w:val="17"/>
                <w:u w:val="single" w:color="000000"/>
              </w:rPr>
              <w:t>Overseas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576F87"/>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2"/>
            </w:pPr>
            <w:r>
              <w:rPr>
                <w:rFonts w:ascii="Verdana" w:eastAsia="Verdana" w:hAnsi="Verdana" w:cs="Verdana"/>
                <w:sz w:val="17"/>
              </w:rPr>
              <w:t>Fixed interest securities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465,293</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2,406,082</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Equities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2,400,971</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2"/>
            </w:pPr>
            <w:r>
              <w:rPr>
                <w:rFonts w:ascii="Verdana" w:eastAsia="Verdana" w:hAnsi="Verdana" w:cs="Verdana"/>
                <w:sz w:val="17"/>
              </w:rPr>
              <w:t>Private Equity</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10,728</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2"/>
            </w:pPr>
            <w:r>
              <w:rPr>
                <w:rFonts w:ascii="Verdana" w:eastAsia="Verdana" w:hAnsi="Verdana" w:cs="Verdana"/>
                <w:sz w:val="17"/>
              </w:rPr>
              <w:t>Infrastructure</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79,880</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51,165</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Property</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125,494</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33,183</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Commodity funds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27,713</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7,265</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Unit trusts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sz w:val="21"/>
              </w:rPr>
              <w:t>391,305</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2"/>
            </w:pPr>
            <w:r>
              <w:rPr>
                <w:rFonts w:ascii="Verdana" w:eastAsia="Verdana" w:hAnsi="Verdana" w:cs="Verdana"/>
                <w:sz w:val="17"/>
              </w:rPr>
              <w:t>Managed Funds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408,128</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5,512</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Hedge Funds</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3"/>
              <w:jc w:val="right"/>
            </w:pPr>
            <w:r>
              <w:rPr>
                <w:rFonts w:ascii="Verdana" w:eastAsia="Verdana" w:hAnsi="Verdana" w:cs="Verdana"/>
                <w:b/>
                <w:sz w:val="17"/>
              </w:rPr>
              <w:t>4,755,659</w:t>
            </w:r>
          </w:p>
        </w:tc>
        <w:tc>
          <w:tcPr>
            <w:tcW w:w="5566" w:type="dxa"/>
            <w:tcBorders>
              <w:top w:val="single" w:sz="7" w:space="0" w:color="35437C"/>
              <w:left w:val="single" w:sz="7" w:space="0" w:color="35437C"/>
              <w:bottom w:val="single" w:sz="7" w:space="0" w:color="35437C"/>
              <w:right w:val="single" w:sz="7" w:space="0" w:color="35437C"/>
            </w:tcBorders>
          </w:tcPr>
          <w:p w:rsidR="00576F87" w:rsidRDefault="00576F87"/>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ind w:right="2"/>
              <w:jc w:val="right"/>
            </w:pPr>
            <w:r>
              <w:rPr>
                <w:rFonts w:ascii="Verdana" w:eastAsia="Verdana" w:hAnsi="Verdana" w:cs="Verdana"/>
                <w:b/>
                <w:sz w:val="17"/>
              </w:rPr>
              <w:t>5,148,111</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110,020</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Direct property</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167,360</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9,723</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Liquidity fund (Time deposit)</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3,923</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Forward currency contracts *</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w:t>
            </w:r>
          </w:p>
        </w:tc>
      </w:tr>
      <w:tr w:rsidR="00576F87">
        <w:trPr>
          <w:trHeight w:val="283"/>
        </w:trPr>
        <w:tc>
          <w:tcPr>
            <w:tcW w:w="1582"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right="1"/>
              <w:jc w:val="right"/>
            </w:pPr>
            <w:r>
              <w:rPr>
                <w:rFonts w:ascii="Verdana" w:eastAsia="Verdana" w:hAnsi="Verdana" w:cs="Verdana"/>
                <w:sz w:val="17"/>
              </w:rPr>
              <w:t>143</w:t>
            </w:r>
          </w:p>
        </w:tc>
        <w:tc>
          <w:tcPr>
            <w:tcW w:w="5566"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pPr>
            <w:r>
              <w:rPr>
                <w:rFonts w:ascii="Verdana" w:eastAsia="Verdana" w:hAnsi="Verdana" w:cs="Verdana"/>
                <w:sz w:val="17"/>
              </w:rPr>
              <w:t>Options *</w:t>
            </w:r>
          </w:p>
        </w:tc>
        <w:tc>
          <w:tcPr>
            <w:tcW w:w="1734" w:type="dxa"/>
            <w:tcBorders>
              <w:top w:val="single" w:sz="7" w:space="0" w:color="35437C"/>
              <w:left w:val="single" w:sz="7" w:space="0" w:color="35437C"/>
              <w:bottom w:val="single" w:sz="7" w:space="0" w:color="35437C"/>
              <w:right w:val="single" w:sz="13" w:space="0" w:color="35437C"/>
            </w:tcBorders>
          </w:tcPr>
          <w:p w:rsidR="00576F87" w:rsidRDefault="004165F5">
            <w:pPr>
              <w:spacing w:after="0"/>
              <w:jc w:val="right"/>
            </w:pPr>
            <w:r>
              <w:rPr>
                <w:rFonts w:ascii="Verdana" w:eastAsia="Verdana" w:hAnsi="Verdana" w:cs="Verdana"/>
                <w:sz w:val="17"/>
              </w:rPr>
              <w:t>-</w:t>
            </w:r>
          </w:p>
        </w:tc>
      </w:tr>
      <w:tr w:rsidR="00576F87">
        <w:trPr>
          <w:trHeight w:val="282"/>
        </w:trPr>
        <w:tc>
          <w:tcPr>
            <w:tcW w:w="1582" w:type="dxa"/>
            <w:tcBorders>
              <w:top w:val="single" w:sz="7" w:space="0" w:color="35437C"/>
              <w:left w:val="single" w:sz="11" w:space="0" w:color="35437C"/>
              <w:bottom w:val="single" w:sz="13" w:space="0" w:color="35437C"/>
              <w:right w:val="single" w:sz="7" w:space="0" w:color="35437C"/>
            </w:tcBorders>
          </w:tcPr>
          <w:p w:rsidR="00576F87" w:rsidRDefault="00576F87"/>
        </w:tc>
        <w:tc>
          <w:tcPr>
            <w:tcW w:w="5566" w:type="dxa"/>
            <w:tcBorders>
              <w:top w:val="single" w:sz="7" w:space="0" w:color="35437C"/>
              <w:left w:val="single" w:sz="7" w:space="0" w:color="35437C"/>
              <w:bottom w:val="single" w:sz="13" w:space="0" w:color="35437C"/>
              <w:right w:val="single" w:sz="7" w:space="0" w:color="35437C"/>
            </w:tcBorders>
          </w:tcPr>
          <w:p w:rsidR="00576F87" w:rsidRDefault="00576F87"/>
        </w:tc>
        <w:tc>
          <w:tcPr>
            <w:tcW w:w="1734" w:type="dxa"/>
            <w:tcBorders>
              <w:top w:val="single" w:sz="7" w:space="0" w:color="35437C"/>
              <w:left w:val="single" w:sz="7" w:space="0" w:color="35437C"/>
              <w:bottom w:val="single" w:sz="13" w:space="0" w:color="35437C"/>
              <w:right w:val="single" w:sz="13" w:space="0" w:color="35437C"/>
            </w:tcBorders>
          </w:tcPr>
          <w:p w:rsidR="00576F87" w:rsidRDefault="00576F87"/>
        </w:tc>
      </w:tr>
      <w:tr w:rsidR="00576F87">
        <w:trPr>
          <w:trHeight w:val="272"/>
        </w:trPr>
        <w:tc>
          <w:tcPr>
            <w:tcW w:w="1582" w:type="dxa"/>
            <w:tcBorders>
              <w:top w:val="single" w:sz="13" w:space="0" w:color="35437C"/>
              <w:left w:val="single" w:sz="7" w:space="0" w:color="35437C"/>
              <w:bottom w:val="single" w:sz="7" w:space="0" w:color="35437C"/>
              <w:right w:val="single" w:sz="7" w:space="0" w:color="35437C"/>
            </w:tcBorders>
            <w:shd w:val="clear" w:color="auto" w:fill="35437C"/>
          </w:tcPr>
          <w:p w:rsidR="00576F87" w:rsidRDefault="004165F5">
            <w:pPr>
              <w:spacing w:after="0"/>
              <w:ind w:right="3"/>
              <w:jc w:val="right"/>
            </w:pPr>
            <w:r>
              <w:rPr>
                <w:rFonts w:ascii="Verdana" w:eastAsia="Verdana" w:hAnsi="Verdana" w:cs="Verdana"/>
                <w:b/>
                <w:color w:val="FFFFFF"/>
                <w:sz w:val="17"/>
              </w:rPr>
              <w:t>4,980,764</w:t>
            </w:r>
          </w:p>
        </w:tc>
        <w:tc>
          <w:tcPr>
            <w:tcW w:w="5566" w:type="dxa"/>
            <w:tcBorders>
              <w:top w:val="single" w:sz="13" w:space="0" w:color="35437C"/>
              <w:left w:val="single" w:sz="7" w:space="0" w:color="35437C"/>
              <w:bottom w:val="single" w:sz="7" w:space="0" w:color="35437C"/>
              <w:right w:val="single" w:sz="7" w:space="0" w:color="35437C"/>
            </w:tcBorders>
            <w:shd w:val="clear" w:color="auto" w:fill="35437C"/>
          </w:tcPr>
          <w:p w:rsidR="00576F87" w:rsidRDefault="00576F87"/>
        </w:tc>
        <w:tc>
          <w:tcPr>
            <w:tcW w:w="1734" w:type="dxa"/>
            <w:tcBorders>
              <w:top w:val="single" w:sz="13" w:space="0" w:color="35437C"/>
              <w:left w:val="single" w:sz="7" w:space="0" w:color="35437C"/>
              <w:bottom w:val="single" w:sz="7" w:space="0" w:color="35437C"/>
              <w:right w:val="single" w:sz="7" w:space="0" w:color="35437C"/>
            </w:tcBorders>
            <w:shd w:val="clear" w:color="auto" w:fill="35437C"/>
          </w:tcPr>
          <w:p w:rsidR="00576F87" w:rsidRDefault="004165F5">
            <w:pPr>
              <w:spacing w:after="0"/>
              <w:ind w:right="2"/>
              <w:jc w:val="right"/>
            </w:pPr>
            <w:r>
              <w:rPr>
                <w:rFonts w:ascii="Verdana" w:eastAsia="Verdana" w:hAnsi="Verdana" w:cs="Verdana"/>
                <w:b/>
                <w:color w:val="FFFFFF"/>
                <w:sz w:val="17"/>
              </w:rPr>
              <w:t>5,315,471</w:t>
            </w:r>
          </w:p>
        </w:tc>
      </w:tr>
    </w:tbl>
    <w:p w:rsidR="00576F87" w:rsidRDefault="004165F5">
      <w:pPr>
        <w:spacing w:after="0" w:line="269" w:lineRule="auto"/>
        <w:ind w:left="689" w:hanging="10"/>
        <w:jc w:val="both"/>
      </w:pPr>
      <w:r>
        <w:rPr>
          <w:rFonts w:ascii="Verdana" w:eastAsia="Verdana" w:hAnsi="Verdana" w:cs="Verdana"/>
          <w:sz w:val="17"/>
        </w:rPr>
        <w:t>* Further analysis of options and forward currency contracts is given in note 14c.</w:t>
      </w:r>
    </w:p>
    <w:p w:rsidR="00576F87" w:rsidRDefault="00576F87">
      <w:pPr>
        <w:sectPr w:rsidR="00576F87">
          <w:headerReference w:type="even" r:id="rId66"/>
          <w:headerReference w:type="default" r:id="rId67"/>
          <w:footerReference w:type="even" r:id="rId68"/>
          <w:footerReference w:type="default" r:id="rId69"/>
          <w:headerReference w:type="first" r:id="rId70"/>
          <w:footerReference w:type="first" r:id="rId71"/>
          <w:pgSz w:w="11900" w:h="16840"/>
          <w:pgMar w:top="580" w:right="876" w:bottom="1740" w:left="386" w:header="720" w:footer="510" w:gutter="0"/>
          <w:cols w:space="720"/>
        </w:sectPr>
      </w:pPr>
    </w:p>
    <w:p w:rsidR="00576F87" w:rsidRDefault="004165F5">
      <w:pPr>
        <w:pStyle w:val="Heading1"/>
        <w:ind w:left="19"/>
      </w:pPr>
      <w:r>
        <w:lastRenderedPageBreak/>
        <w:t>LPFA Accounts 31 March 2018</w:t>
      </w:r>
    </w:p>
    <w:p w:rsidR="00576F87" w:rsidRDefault="004165F5">
      <w:pPr>
        <w:pStyle w:val="Heading2"/>
        <w:spacing w:after="309"/>
        <w:ind w:left="5" w:hanging="8"/>
      </w:pPr>
      <w:r>
        <w:rPr>
          <w:b/>
          <w:color w:val="000000"/>
          <w:sz w:val="20"/>
        </w:rPr>
        <w:t>14c. Investments</w:t>
      </w:r>
    </w:p>
    <w:p w:rsidR="00576F87" w:rsidRDefault="004165F5">
      <w:pPr>
        <w:pStyle w:val="Heading3"/>
        <w:spacing w:after="196"/>
        <w:ind w:left="5"/>
      </w:pPr>
      <w:r>
        <w:t>Analysis of Derivatives</w:t>
      </w:r>
    </w:p>
    <w:p w:rsidR="00576F87" w:rsidRDefault="004165F5">
      <w:pPr>
        <w:spacing w:after="337" w:line="268" w:lineRule="auto"/>
        <w:ind w:left="-7" w:hanging="3"/>
        <w:jc w:val="both"/>
      </w:pPr>
      <w:r>
        <w:rPr>
          <w:rFonts w:ascii="Verdana" w:eastAsia="Verdana" w:hAnsi="Verdana" w:cs="Verdana"/>
          <w:sz w:val="18"/>
        </w:rPr>
        <w:t>Derivatives are used to hedge liabilities or hedge exposures to reduce risk to the fund. They are also used to gain exposure to an asset more efficiently than holding the underlying asset. The use of derivatives is managed in line with the Investment Manag</w:t>
      </w:r>
      <w:r>
        <w:rPr>
          <w:rFonts w:ascii="Verdana" w:eastAsia="Verdana" w:hAnsi="Verdana" w:cs="Verdana"/>
          <w:sz w:val="18"/>
        </w:rPr>
        <w:t>ement Agreement between the LPFA and the various Investment Managers.</w:t>
      </w:r>
    </w:p>
    <w:p w:rsidR="00576F87" w:rsidRDefault="004165F5">
      <w:pPr>
        <w:spacing w:after="74"/>
        <w:ind w:left="2" w:hanging="10"/>
      </w:pPr>
      <w:r>
        <w:rPr>
          <w:rFonts w:ascii="Verdana" w:eastAsia="Verdana" w:hAnsi="Verdana" w:cs="Verdana"/>
          <w:b/>
          <w:color w:val="712957"/>
          <w:sz w:val="20"/>
        </w:rPr>
        <w:t>Futures</w:t>
      </w:r>
    </w:p>
    <w:p w:rsidR="00576F87" w:rsidRDefault="004165F5">
      <w:pPr>
        <w:spacing w:after="548" w:line="268" w:lineRule="auto"/>
        <w:ind w:left="-7" w:hanging="3"/>
        <w:jc w:val="both"/>
      </w:pPr>
      <w:r>
        <w:rPr>
          <w:rFonts w:ascii="Verdana" w:eastAsia="Verdana" w:hAnsi="Verdana" w:cs="Verdana"/>
          <w:sz w:val="18"/>
        </w:rPr>
        <w:t>There were no directly held outstanding exchange traded futures contracts at 31 March 2018 (2017 - £nil).</w:t>
      </w:r>
    </w:p>
    <w:p w:rsidR="00576F87" w:rsidRDefault="004165F5">
      <w:pPr>
        <w:pStyle w:val="Heading2"/>
        <w:spacing w:after="105" w:line="259" w:lineRule="auto"/>
        <w:ind w:left="2"/>
      </w:pPr>
      <w:r>
        <w:rPr>
          <w:b/>
          <w:color w:val="712957"/>
          <w:sz w:val="20"/>
        </w:rPr>
        <w:t>Open Forward currency contracts</w:t>
      </w:r>
    </w:p>
    <w:p w:rsidR="00576F87" w:rsidRDefault="004165F5">
      <w:pPr>
        <w:spacing w:after="555" w:line="268" w:lineRule="auto"/>
        <w:ind w:left="-7" w:hanging="3"/>
        <w:jc w:val="both"/>
      </w:pPr>
      <w:r>
        <w:rPr>
          <w:rFonts w:ascii="Verdana" w:eastAsia="Verdana" w:hAnsi="Verdana" w:cs="Verdana"/>
          <w:sz w:val="18"/>
        </w:rPr>
        <w:t>The net position on open forward currency contracts at 31 March 2018 amounts to a loss of £1,130,571 (2017 gain of £3,923,000). This amount is reflected in the change in market value of investments.</w:t>
      </w:r>
    </w:p>
    <w:p w:rsidR="00576F87" w:rsidRDefault="004165F5">
      <w:pPr>
        <w:pStyle w:val="Heading2"/>
        <w:spacing w:after="74" w:line="259" w:lineRule="auto"/>
        <w:ind w:left="2"/>
      </w:pPr>
      <w:r>
        <w:rPr>
          <w:b/>
          <w:color w:val="712957"/>
          <w:sz w:val="20"/>
        </w:rPr>
        <w:t>Purchased /Written options</w:t>
      </w:r>
    </w:p>
    <w:tbl>
      <w:tblPr>
        <w:tblStyle w:val="TableGrid"/>
        <w:tblW w:w="10346" w:type="dxa"/>
        <w:tblInd w:w="-38" w:type="dxa"/>
        <w:tblCellMar>
          <w:top w:w="21" w:type="dxa"/>
          <w:left w:w="38" w:type="dxa"/>
          <w:bottom w:w="0" w:type="dxa"/>
          <w:right w:w="0" w:type="dxa"/>
        </w:tblCellMar>
        <w:tblLook w:val="04A0" w:firstRow="1" w:lastRow="0" w:firstColumn="1" w:lastColumn="0" w:noHBand="0" w:noVBand="1"/>
      </w:tblPr>
      <w:tblGrid>
        <w:gridCol w:w="2629"/>
        <w:gridCol w:w="1390"/>
        <w:gridCol w:w="878"/>
        <w:gridCol w:w="1336"/>
        <w:gridCol w:w="1469"/>
        <w:gridCol w:w="1093"/>
        <w:gridCol w:w="1551"/>
      </w:tblGrid>
      <w:tr w:rsidR="00576F87">
        <w:trPr>
          <w:trHeight w:val="653"/>
        </w:trPr>
        <w:tc>
          <w:tcPr>
            <w:tcW w:w="2659" w:type="dxa"/>
            <w:tcBorders>
              <w:top w:val="single" w:sz="15" w:space="0" w:color="000070"/>
              <w:left w:val="single" w:sz="15" w:space="0" w:color="000070"/>
              <w:bottom w:val="single" w:sz="8" w:space="0" w:color="000070"/>
              <w:right w:val="single" w:sz="8" w:space="0" w:color="000070"/>
            </w:tcBorders>
            <w:shd w:val="clear" w:color="auto" w:fill="35437C"/>
          </w:tcPr>
          <w:p w:rsidR="00576F87" w:rsidRDefault="004165F5">
            <w:pPr>
              <w:spacing w:after="0"/>
              <w:ind w:left="5"/>
            </w:pPr>
            <w:r>
              <w:rPr>
                <w:rFonts w:ascii="Verdana" w:eastAsia="Verdana" w:hAnsi="Verdana" w:cs="Verdana"/>
                <w:b/>
                <w:color w:val="FFFFFF"/>
                <w:sz w:val="18"/>
              </w:rPr>
              <w:t>Investment underlying option c</w:t>
            </w:r>
            <w:r>
              <w:rPr>
                <w:rFonts w:ascii="Verdana" w:eastAsia="Verdana" w:hAnsi="Verdana" w:cs="Verdana"/>
                <w:b/>
                <w:color w:val="FFFFFF"/>
                <w:sz w:val="18"/>
              </w:rPr>
              <w:t>ontract</w:t>
            </w:r>
          </w:p>
        </w:tc>
        <w:tc>
          <w:tcPr>
            <w:tcW w:w="1402" w:type="dxa"/>
            <w:tcBorders>
              <w:top w:val="single" w:sz="15" w:space="0" w:color="000070"/>
              <w:left w:val="single" w:sz="8" w:space="0" w:color="000070"/>
              <w:bottom w:val="single" w:sz="8" w:space="0" w:color="000070"/>
              <w:right w:val="single" w:sz="8" w:space="0" w:color="000070"/>
            </w:tcBorders>
            <w:shd w:val="clear" w:color="auto" w:fill="35437C"/>
            <w:vAlign w:val="center"/>
          </w:tcPr>
          <w:p w:rsidR="00576F87" w:rsidRDefault="004165F5">
            <w:pPr>
              <w:spacing w:after="0"/>
              <w:ind w:right="36"/>
              <w:jc w:val="center"/>
            </w:pPr>
            <w:r>
              <w:rPr>
                <w:rFonts w:ascii="Verdana" w:eastAsia="Verdana" w:hAnsi="Verdana" w:cs="Verdana"/>
                <w:b/>
                <w:color w:val="FFFFFF"/>
                <w:sz w:val="18"/>
              </w:rPr>
              <w:t>Expires</w:t>
            </w:r>
          </w:p>
        </w:tc>
        <w:tc>
          <w:tcPr>
            <w:tcW w:w="886" w:type="dxa"/>
            <w:tcBorders>
              <w:top w:val="single" w:sz="15" w:space="0" w:color="000070"/>
              <w:left w:val="single" w:sz="8" w:space="0" w:color="000070"/>
              <w:bottom w:val="single" w:sz="8" w:space="0" w:color="000070"/>
              <w:right w:val="single" w:sz="8" w:space="0" w:color="000070"/>
            </w:tcBorders>
            <w:shd w:val="clear" w:color="auto" w:fill="35437C"/>
          </w:tcPr>
          <w:p w:rsidR="00576F87" w:rsidRDefault="004165F5">
            <w:pPr>
              <w:spacing w:after="0"/>
              <w:jc w:val="center"/>
            </w:pPr>
            <w:r>
              <w:rPr>
                <w:rFonts w:ascii="Verdana" w:eastAsia="Verdana" w:hAnsi="Verdana" w:cs="Verdana"/>
                <w:b/>
                <w:color w:val="FFFFFF"/>
                <w:sz w:val="18"/>
              </w:rPr>
              <w:t>Put/ call</w:t>
            </w:r>
          </w:p>
        </w:tc>
        <w:tc>
          <w:tcPr>
            <w:tcW w:w="1337" w:type="dxa"/>
            <w:tcBorders>
              <w:top w:val="single" w:sz="15" w:space="0" w:color="000070"/>
              <w:left w:val="single" w:sz="8" w:space="0" w:color="000070"/>
              <w:bottom w:val="single" w:sz="8" w:space="0" w:color="000070"/>
              <w:right w:val="single" w:sz="8" w:space="0" w:color="000070"/>
            </w:tcBorders>
            <w:shd w:val="clear" w:color="auto" w:fill="35437C"/>
          </w:tcPr>
          <w:p w:rsidR="00576F87" w:rsidRDefault="004165F5">
            <w:pPr>
              <w:spacing w:after="0"/>
              <w:ind w:left="509" w:hanging="101"/>
            </w:pPr>
            <w:r>
              <w:rPr>
                <w:rFonts w:ascii="Verdana" w:eastAsia="Verdana" w:hAnsi="Verdana" w:cs="Verdana"/>
                <w:b/>
                <w:color w:val="FFFFFF"/>
                <w:sz w:val="18"/>
              </w:rPr>
              <w:t>Notional holding</w:t>
            </w:r>
          </w:p>
        </w:tc>
        <w:tc>
          <w:tcPr>
            <w:tcW w:w="1483" w:type="dxa"/>
            <w:tcBorders>
              <w:top w:val="single" w:sz="15" w:space="0" w:color="000070"/>
              <w:left w:val="single" w:sz="8" w:space="0" w:color="000070"/>
              <w:bottom w:val="single" w:sz="8" w:space="0" w:color="000070"/>
              <w:right w:val="single" w:sz="8" w:space="0" w:color="000070"/>
            </w:tcBorders>
            <w:shd w:val="clear" w:color="auto" w:fill="35437C"/>
          </w:tcPr>
          <w:p w:rsidR="00576F87" w:rsidRDefault="004165F5">
            <w:pPr>
              <w:spacing w:after="3"/>
              <w:ind w:left="96"/>
            </w:pPr>
            <w:r>
              <w:rPr>
                <w:rFonts w:ascii="Verdana" w:eastAsia="Verdana" w:hAnsi="Verdana" w:cs="Verdana"/>
                <w:b/>
                <w:color w:val="FFFFFF"/>
                <w:sz w:val="18"/>
              </w:rPr>
              <w:t xml:space="preserve">Market value </w:t>
            </w:r>
          </w:p>
          <w:p w:rsidR="00576F87" w:rsidRDefault="004165F5">
            <w:pPr>
              <w:spacing w:after="3"/>
              <w:ind w:right="36"/>
              <w:jc w:val="right"/>
            </w:pPr>
            <w:r>
              <w:rPr>
                <w:rFonts w:ascii="Verdana" w:eastAsia="Verdana" w:hAnsi="Verdana" w:cs="Verdana"/>
                <w:b/>
                <w:color w:val="FFFFFF"/>
                <w:sz w:val="18"/>
              </w:rPr>
              <w:t xml:space="preserve">31 March </w:t>
            </w:r>
          </w:p>
          <w:p w:rsidR="00576F87" w:rsidRDefault="004165F5">
            <w:pPr>
              <w:spacing w:after="0"/>
              <w:ind w:right="36"/>
              <w:jc w:val="right"/>
            </w:pPr>
            <w:r>
              <w:rPr>
                <w:rFonts w:ascii="Verdana" w:eastAsia="Verdana" w:hAnsi="Verdana" w:cs="Verdana"/>
                <w:b/>
                <w:color w:val="FFFFFF"/>
                <w:sz w:val="18"/>
              </w:rPr>
              <w:t>2017</w:t>
            </w:r>
          </w:p>
        </w:tc>
        <w:tc>
          <w:tcPr>
            <w:tcW w:w="1097" w:type="dxa"/>
            <w:tcBorders>
              <w:top w:val="single" w:sz="15" w:space="0" w:color="000070"/>
              <w:left w:val="single" w:sz="8" w:space="0" w:color="000070"/>
              <w:bottom w:val="single" w:sz="8" w:space="0" w:color="000070"/>
              <w:right w:val="single" w:sz="8" w:space="0" w:color="000070"/>
            </w:tcBorders>
            <w:shd w:val="clear" w:color="auto" w:fill="35437C"/>
          </w:tcPr>
          <w:p w:rsidR="00576F87" w:rsidRDefault="004165F5">
            <w:pPr>
              <w:spacing w:after="0"/>
              <w:ind w:right="35"/>
              <w:jc w:val="right"/>
            </w:pPr>
            <w:r>
              <w:rPr>
                <w:rFonts w:ascii="Verdana" w:eastAsia="Verdana" w:hAnsi="Verdana" w:cs="Verdana"/>
                <w:b/>
                <w:color w:val="FFFFFF"/>
                <w:sz w:val="18"/>
              </w:rPr>
              <w:t>Notional holding</w:t>
            </w:r>
          </w:p>
        </w:tc>
        <w:tc>
          <w:tcPr>
            <w:tcW w:w="1483" w:type="dxa"/>
            <w:tcBorders>
              <w:top w:val="single" w:sz="15" w:space="0" w:color="000070"/>
              <w:left w:val="single" w:sz="8" w:space="0" w:color="000070"/>
              <w:bottom w:val="single" w:sz="8" w:space="0" w:color="000070"/>
              <w:right w:val="single" w:sz="15" w:space="0" w:color="000070"/>
            </w:tcBorders>
            <w:shd w:val="clear" w:color="auto" w:fill="35437C"/>
          </w:tcPr>
          <w:p w:rsidR="00576F87" w:rsidRDefault="004165F5">
            <w:pPr>
              <w:spacing w:after="3"/>
              <w:ind w:left="96"/>
            </w:pPr>
            <w:r>
              <w:rPr>
                <w:rFonts w:ascii="Verdana" w:eastAsia="Verdana" w:hAnsi="Verdana" w:cs="Verdana"/>
                <w:b/>
                <w:color w:val="FFFFFF"/>
                <w:sz w:val="18"/>
              </w:rPr>
              <w:t>Market value</w:t>
            </w:r>
          </w:p>
          <w:p w:rsidR="00576F87" w:rsidRDefault="004165F5">
            <w:pPr>
              <w:spacing w:after="0"/>
              <w:ind w:left="898" w:hanging="420"/>
            </w:pPr>
            <w:r>
              <w:rPr>
                <w:rFonts w:ascii="Verdana" w:eastAsia="Verdana" w:hAnsi="Verdana" w:cs="Verdana"/>
                <w:b/>
                <w:color w:val="FFFFFF"/>
                <w:sz w:val="18"/>
              </w:rPr>
              <w:t>31 March 2018</w:t>
            </w:r>
          </w:p>
        </w:tc>
      </w:tr>
      <w:tr w:rsidR="00576F87">
        <w:trPr>
          <w:trHeight w:val="290"/>
        </w:trPr>
        <w:tc>
          <w:tcPr>
            <w:tcW w:w="2659" w:type="dxa"/>
            <w:tcBorders>
              <w:top w:val="single" w:sz="8" w:space="0" w:color="000070"/>
              <w:left w:val="single" w:sz="15"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886" w:type="dxa"/>
            <w:tcBorders>
              <w:top w:val="single" w:sz="8" w:space="0" w:color="000070"/>
              <w:left w:val="single" w:sz="8" w:space="0" w:color="000070"/>
              <w:bottom w:val="single" w:sz="8" w:space="0" w:color="000070"/>
              <w:right w:val="single" w:sz="8" w:space="0" w:color="000070"/>
            </w:tcBorders>
          </w:tcPr>
          <w:p w:rsidR="00576F87" w:rsidRDefault="00576F87"/>
        </w:tc>
        <w:tc>
          <w:tcPr>
            <w:tcW w:w="1337"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b/>
                <w:sz w:val="18"/>
              </w:rPr>
              <w:t>£000</w:t>
            </w:r>
          </w:p>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b/>
                <w:sz w:val="18"/>
              </w:rPr>
              <w:t>£000</w:t>
            </w:r>
          </w:p>
        </w:tc>
        <w:tc>
          <w:tcPr>
            <w:tcW w:w="1097"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5"/>
              <w:jc w:val="right"/>
            </w:pPr>
            <w:r>
              <w:rPr>
                <w:rFonts w:ascii="Verdana" w:eastAsia="Verdana" w:hAnsi="Verdana" w:cs="Verdana"/>
                <w:b/>
                <w:sz w:val="18"/>
              </w:rPr>
              <w:t>£000</w:t>
            </w:r>
          </w:p>
        </w:tc>
        <w:tc>
          <w:tcPr>
            <w:tcW w:w="1483"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5"/>
              <w:jc w:val="right"/>
            </w:pPr>
            <w:r>
              <w:rPr>
                <w:rFonts w:ascii="Verdana" w:eastAsia="Verdana" w:hAnsi="Verdana" w:cs="Verdana"/>
                <w:b/>
                <w:sz w:val="18"/>
              </w:rPr>
              <w:t>£000</w:t>
            </w:r>
          </w:p>
        </w:tc>
      </w:tr>
      <w:tr w:rsidR="00576F87">
        <w:trPr>
          <w:trHeight w:val="290"/>
        </w:trPr>
        <w:tc>
          <w:tcPr>
            <w:tcW w:w="2659" w:type="dxa"/>
            <w:tcBorders>
              <w:top w:val="single" w:sz="8" w:space="0" w:color="000070"/>
              <w:left w:val="single" w:sz="15"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b/>
                <w:sz w:val="18"/>
                <w:u w:val="single" w:color="000000"/>
              </w:rPr>
              <w:t>Assets</w:t>
            </w:r>
          </w:p>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886" w:type="dxa"/>
            <w:tcBorders>
              <w:top w:val="single" w:sz="8" w:space="0" w:color="000070"/>
              <w:left w:val="single" w:sz="8" w:space="0" w:color="000070"/>
              <w:bottom w:val="single" w:sz="8" w:space="0" w:color="000070"/>
              <w:right w:val="single" w:sz="8" w:space="0" w:color="000070"/>
            </w:tcBorders>
          </w:tcPr>
          <w:p w:rsidR="00576F87" w:rsidRDefault="00576F87"/>
        </w:tc>
        <w:tc>
          <w:tcPr>
            <w:tcW w:w="1337" w:type="dxa"/>
            <w:tcBorders>
              <w:top w:val="single" w:sz="8" w:space="0" w:color="000070"/>
              <w:left w:val="single" w:sz="8" w:space="0" w:color="000070"/>
              <w:bottom w:val="single" w:sz="8" w:space="0" w:color="000070"/>
              <w:right w:val="single" w:sz="8" w:space="0" w:color="000070"/>
            </w:tcBorders>
          </w:tcPr>
          <w:p w:rsidR="00576F87" w:rsidRDefault="00576F87"/>
        </w:tc>
        <w:tc>
          <w:tcPr>
            <w:tcW w:w="1483" w:type="dxa"/>
            <w:tcBorders>
              <w:top w:val="single" w:sz="8" w:space="0" w:color="000070"/>
              <w:left w:val="single" w:sz="8" w:space="0" w:color="000070"/>
              <w:bottom w:val="single" w:sz="8" w:space="0" w:color="000070"/>
              <w:right w:val="single" w:sz="8" w:space="0" w:color="000070"/>
            </w:tcBorders>
          </w:tcPr>
          <w:p w:rsidR="00576F87" w:rsidRDefault="00576F87"/>
        </w:tc>
        <w:tc>
          <w:tcPr>
            <w:tcW w:w="1097" w:type="dxa"/>
            <w:tcBorders>
              <w:top w:val="single" w:sz="8" w:space="0" w:color="000070"/>
              <w:left w:val="single" w:sz="8" w:space="0" w:color="000070"/>
              <w:bottom w:val="single" w:sz="8" w:space="0" w:color="000070"/>
              <w:right w:val="single" w:sz="8" w:space="0" w:color="000070"/>
            </w:tcBorders>
          </w:tcPr>
          <w:p w:rsidR="00576F87" w:rsidRDefault="00576F87"/>
        </w:tc>
        <w:tc>
          <w:tcPr>
            <w:tcW w:w="1483" w:type="dxa"/>
            <w:tcBorders>
              <w:top w:val="single" w:sz="8" w:space="0" w:color="000070"/>
              <w:left w:val="single" w:sz="8" w:space="0" w:color="000070"/>
              <w:bottom w:val="single" w:sz="8" w:space="0" w:color="000070"/>
              <w:right w:val="single" w:sz="15" w:space="0" w:color="000070"/>
            </w:tcBorders>
          </w:tcPr>
          <w:p w:rsidR="00576F87" w:rsidRDefault="00576F87"/>
        </w:tc>
      </w:tr>
      <w:tr w:rsidR="00576F87">
        <w:trPr>
          <w:trHeight w:val="583"/>
        </w:trPr>
        <w:tc>
          <w:tcPr>
            <w:tcW w:w="2659" w:type="dxa"/>
            <w:tcBorders>
              <w:top w:val="single" w:sz="8" w:space="0" w:color="000070"/>
              <w:left w:val="single" w:sz="15" w:space="0" w:color="000070"/>
              <w:bottom w:val="single" w:sz="8" w:space="0" w:color="000070"/>
              <w:right w:val="single" w:sz="8" w:space="0" w:color="000070"/>
            </w:tcBorders>
            <w:vAlign w:val="center"/>
          </w:tcPr>
          <w:p w:rsidR="00576F87" w:rsidRDefault="004165F5">
            <w:pPr>
              <w:spacing w:after="0"/>
            </w:pPr>
            <w:r>
              <w:rPr>
                <w:rFonts w:ascii="Verdana" w:eastAsia="Verdana" w:hAnsi="Verdana" w:cs="Verdana"/>
                <w:sz w:val="18"/>
              </w:rPr>
              <w:t>Index linked purchased</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One to three months</w:t>
            </w:r>
          </w:p>
        </w:tc>
        <w:tc>
          <w:tcPr>
            <w:tcW w:w="886" w:type="dxa"/>
            <w:tcBorders>
              <w:top w:val="single" w:sz="8" w:space="0" w:color="000070"/>
              <w:left w:val="single" w:sz="8" w:space="0" w:color="000070"/>
              <w:bottom w:val="single" w:sz="8" w:space="0" w:color="000070"/>
              <w:right w:val="single" w:sz="8" w:space="0" w:color="000070"/>
            </w:tcBorders>
            <w:vAlign w:val="center"/>
          </w:tcPr>
          <w:p w:rsidR="00576F87" w:rsidRDefault="004165F5">
            <w:pPr>
              <w:spacing w:after="0"/>
              <w:ind w:right="35"/>
              <w:jc w:val="center"/>
            </w:pPr>
            <w:r>
              <w:rPr>
                <w:rFonts w:ascii="Verdana" w:eastAsia="Verdana" w:hAnsi="Verdana" w:cs="Verdana"/>
                <w:sz w:val="18"/>
              </w:rPr>
              <w:t>Call</w:t>
            </w:r>
          </w:p>
        </w:tc>
        <w:tc>
          <w:tcPr>
            <w:tcW w:w="1337"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4"/>
              <w:jc w:val="right"/>
            </w:pPr>
            <w:r>
              <w:rPr>
                <w:rFonts w:ascii="Verdana" w:eastAsia="Verdana" w:hAnsi="Verdana" w:cs="Verdana"/>
                <w:sz w:val="18"/>
              </w:rPr>
              <w:t>4</w:t>
            </w:r>
          </w:p>
        </w:tc>
        <w:tc>
          <w:tcPr>
            <w:tcW w:w="1483"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5"/>
              <w:jc w:val="right"/>
            </w:pPr>
            <w:r>
              <w:rPr>
                <w:rFonts w:ascii="Verdana" w:eastAsia="Verdana" w:hAnsi="Verdana" w:cs="Verdana"/>
                <w:sz w:val="18"/>
              </w:rPr>
              <w:t>30</w:t>
            </w:r>
          </w:p>
        </w:tc>
        <w:tc>
          <w:tcPr>
            <w:tcW w:w="1097"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3"/>
              <w:jc w:val="right"/>
            </w:pPr>
            <w:r>
              <w:rPr>
                <w:rFonts w:ascii="Verdana" w:eastAsia="Verdana" w:hAnsi="Verdana" w:cs="Verdana"/>
                <w:sz w:val="18"/>
              </w:rPr>
              <w:t>-</w:t>
            </w:r>
          </w:p>
        </w:tc>
        <w:tc>
          <w:tcPr>
            <w:tcW w:w="1483" w:type="dxa"/>
            <w:tcBorders>
              <w:top w:val="single" w:sz="8" w:space="0" w:color="000070"/>
              <w:left w:val="single" w:sz="8" w:space="0" w:color="000070"/>
              <w:bottom w:val="single" w:sz="8" w:space="0" w:color="000070"/>
              <w:right w:val="single" w:sz="15" w:space="0" w:color="000070"/>
            </w:tcBorders>
            <w:vAlign w:val="bottom"/>
          </w:tcPr>
          <w:p w:rsidR="00576F87" w:rsidRDefault="004165F5">
            <w:pPr>
              <w:spacing w:after="0"/>
              <w:ind w:right="33"/>
              <w:jc w:val="right"/>
            </w:pPr>
            <w:r>
              <w:rPr>
                <w:rFonts w:ascii="Verdana" w:eastAsia="Verdana" w:hAnsi="Verdana" w:cs="Verdana"/>
                <w:sz w:val="18"/>
              </w:rPr>
              <w:t>-</w:t>
            </w:r>
          </w:p>
        </w:tc>
      </w:tr>
      <w:tr w:rsidR="00576F87">
        <w:trPr>
          <w:trHeight w:val="583"/>
        </w:trPr>
        <w:tc>
          <w:tcPr>
            <w:tcW w:w="2659" w:type="dxa"/>
            <w:tcBorders>
              <w:top w:val="single" w:sz="8" w:space="0" w:color="000070"/>
              <w:left w:val="single" w:sz="15" w:space="0" w:color="000070"/>
              <w:bottom w:val="single" w:sz="8" w:space="0" w:color="000070"/>
              <w:right w:val="single" w:sz="8" w:space="0" w:color="000070"/>
            </w:tcBorders>
            <w:vAlign w:val="center"/>
          </w:tcPr>
          <w:p w:rsidR="00576F87" w:rsidRDefault="004165F5">
            <w:pPr>
              <w:spacing w:after="0"/>
            </w:pPr>
            <w:r>
              <w:rPr>
                <w:rFonts w:ascii="Verdana" w:eastAsia="Verdana" w:hAnsi="Verdana" w:cs="Verdana"/>
                <w:sz w:val="18"/>
              </w:rPr>
              <w:t>Index linked purchased</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three to nine months</w:t>
            </w:r>
          </w:p>
        </w:tc>
        <w:tc>
          <w:tcPr>
            <w:tcW w:w="886" w:type="dxa"/>
            <w:tcBorders>
              <w:top w:val="single" w:sz="8" w:space="0" w:color="000070"/>
              <w:left w:val="single" w:sz="8" w:space="0" w:color="000070"/>
              <w:bottom w:val="single" w:sz="8" w:space="0" w:color="000070"/>
              <w:right w:val="single" w:sz="8" w:space="0" w:color="000070"/>
            </w:tcBorders>
            <w:vAlign w:val="center"/>
          </w:tcPr>
          <w:p w:rsidR="00576F87" w:rsidRDefault="004165F5">
            <w:pPr>
              <w:spacing w:after="0"/>
              <w:ind w:right="35"/>
              <w:jc w:val="center"/>
            </w:pPr>
            <w:r>
              <w:rPr>
                <w:rFonts w:ascii="Verdana" w:eastAsia="Verdana" w:hAnsi="Verdana" w:cs="Verdana"/>
                <w:sz w:val="18"/>
              </w:rPr>
              <w:t>Call</w:t>
            </w:r>
          </w:p>
        </w:tc>
        <w:tc>
          <w:tcPr>
            <w:tcW w:w="1337"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4"/>
              <w:jc w:val="right"/>
            </w:pPr>
            <w:r>
              <w:rPr>
                <w:rFonts w:ascii="Verdana" w:eastAsia="Verdana" w:hAnsi="Verdana" w:cs="Verdana"/>
                <w:sz w:val="18"/>
              </w:rPr>
              <w:t>4</w:t>
            </w:r>
          </w:p>
        </w:tc>
        <w:tc>
          <w:tcPr>
            <w:tcW w:w="1483"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5"/>
              <w:jc w:val="right"/>
            </w:pPr>
            <w:r>
              <w:rPr>
                <w:rFonts w:ascii="Verdana" w:eastAsia="Verdana" w:hAnsi="Verdana" w:cs="Verdana"/>
                <w:sz w:val="18"/>
              </w:rPr>
              <w:t>75</w:t>
            </w:r>
          </w:p>
        </w:tc>
        <w:tc>
          <w:tcPr>
            <w:tcW w:w="1097"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3"/>
              <w:jc w:val="right"/>
            </w:pPr>
            <w:r>
              <w:rPr>
                <w:rFonts w:ascii="Verdana" w:eastAsia="Verdana" w:hAnsi="Verdana" w:cs="Verdana"/>
                <w:sz w:val="18"/>
              </w:rPr>
              <w:t>-</w:t>
            </w:r>
          </w:p>
        </w:tc>
        <w:tc>
          <w:tcPr>
            <w:tcW w:w="1483" w:type="dxa"/>
            <w:tcBorders>
              <w:top w:val="single" w:sz="8" w:space="0" w:color="000070"/>
              <w:left w:val="single" w:sz="8" w:space="0" w:color="000070"/>
              <w:bottom w:val="single" w:sz="8" w:space="0" w:color="000070"/>
              <w:right w:val="single" w:sz="15" w:space="0" w:color="000070"/>
            </w:tcBorders>
            <w:vAlign w:val="bottom"/>
          </w:tcPr>
          <w:p w:rsidR="00576F87" w:rsidRDefault="004165F5">
            <w:pPr>
              <w:spacing w:after="0"/>
              <w:ind w:right="33"/>
              <w:jc w:val="right"/>
            </w:pPr>
            <w:r>
              <w:rPr>
                <w:rFonts w:ascii="Verdana" w:eastAsia="Verdana" w:hAnsi="Verdana" w:cs="Verdana"/>
                <w:sz w:val="18"/>
              </w:rPr>
              <w:t>-</w:t>
            </w:r>
          </w:p>
        </w:tc>
      </w:tr>
      <w:tr w:rsidR="00576F87">
        <w:trPr>
          <w:trHeight w:val="583"/>
        </w:trPr>
        <w:tc>
          <w:tcPr>
            <w:tcW w:w="2659" w:type="dxa"/>
            <w:tcBorders>
              <w:top w:val="single" w:sz="8" w:space="0" w:color="000070"/>
              <w:left w:val="single" w:sz="15" w:space="0" w:color="000070"/>
              <w:bottom w:val="single" w:sz="8" w:space="0" w:color="000070"/>
              <w:right w:val="single" w:sz="8" w:space="0" w:color="000070"/>
            </w:tcBorders>
            <w:vAlign w:val="center"/>
          </w:tcPr>
          <w:p w:rsidR="00576F87" w:rsidRDefault="004165F5">
            <w:pPr>
              <w:spacing w:after="0"/>
            </w:pPr>
            <w:r>
              <w:rPr>
                <w:rFonts w:ascii="Verdana" w:eastAsia="Verdana" w:hAnsi="Verdana" w:cs="Verdana"/>
                <w:sz w:val="18"/>
              </w:rPr>
              <w:t>Index linked purchased</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One to three months</w:t>
            </w:r>
          </w:p>
        </w:tc>
        <w:tc>
          <w:tcPr>
            <w:tcW w:w="886" w:type="dxa"/>
            <w:tcBorders>
              <w:top w:val="single" w:sz="8" w:space="0" w:color="000070"/>
              <w:left w:val="single" w:sz="8" w:space="0" w:color="000070"/>
              <w:bottom w:val="single" w:sz="8" w:space="0" w:color="000070"/>
              <w:right w:val="single" w:sz="8" w:space="0" w:color="000070"/>
            </w:tcBorders>
            <w:vAlign w:val="center"/>
          </w:tcPr>
          <w:p w:rsidR="00576F87" w:rsidRDefault="004165F5">
            <w:pPr>
              <w:spacing w:after="0"/>
              <w:ind w:right="36"/>
              <w:jc w:val="center"/>
            </w:pPr>
            <w:r>
              <w:rPr>
                <w:rFonts w:ascii="Verdana" w:eastAsia="Verdana" w:hAnsi="Verdana" w:cs="Verdana"/>
                <w:sz w:val="18"/>
              </w:rPr>
              <w:t>Put</w:t>
            </w:r>
          </w:p>
        </w:tc>
        <w:tc>
          <w:tcPr>
            <w:tcW w:w="1337"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5"/>
              <w:jc w:val="right"/>
            </w:pPr>
            <w:r>
              <w:rPr>
                <w:rFonts w:ascii="Verdana" w:eastAsia="Verdana" w:hAnsi="Verdana" w:cs="Verdana"/>
                <w:sz w:val="18"/>
              </w:rPr>
              <w:t>12</w:t>
            </w:r>
          </w:p>
        </w:tc>
        <w:tc>
          <w:tcPr>
            <w:tcW w:w="1483"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6"/>
              <w:jc w:val="right"/>
            </w:pPr>
            <w:r>
              <w:rPr>
                <w:rFonts w:ascii="Verdana" w:eastAsia="Verdana" w:hAnsi="Verdana" w:cs="Verdana"/>
                <w:sz w:val="18"/>
              </w:rPr>
              <w:t>242</w:t>
            </w:r>
          </w:p>
        </w:tc>
        <w:tc>
          <w:tcPr>
            <w:tcW w:w="1097"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3"/>
              <w:jc w:val="right"/>
            </w:pPr>
            <w:r>
              <w:rPr>
                <w:rFonts w:ascii="Verdana" w:eastAsia="Verdana" w:hAnsi="Verdana" w:cs="Verdana"/>
                <w:sz w:val="18"/>
              </w:rPr>
              <w:t>-</w:t>
            </w:r>
          </w:p>
        </w:tc>
        <w:tc>
          <w:tcPr>
            <w:tcW w:w="1483" w:type="dxa"/>
            <w:tcBorders>
              <w:top w:val="single" w:sz="8" w:space="0" w:color="000070"/>
              <w:left w:val="single" w:sz="8" w:space="0" w:color="000070"/>
              <w:bottom w:val="single" w:sz="8" w:space="0" w:color="000070"/>
              <w:right w:val="single" w:sz="15" w:space="0" w:color="000070"/>
            </w:tcBorders>
            <w:vAlign w:val="bottom"/>
          </w:tcPr>
          <w:p w:rsidR="00576F87" w:rsidRDefault="004165F5">
            <w:pPr>
              <w:spacing w:after="0"/>
              <w:ind w:right="33"/>
              <w:jc w:val="right"/>
            </w:pPr>
            <w:r>
              <w:rPr>
                <w:rFonts w:ascii="Verdana" w:eastAsia="Verdana" w:hAnsi="Verdana" w:cs="Verdana"/>
                <w:sz w:val="18"/>
              </w:rPr>
              <w:t>-</w:t>
            </w:r>
          </w:p>
        </w:tc>
      </w:tr>
      <w:tr w:rsidR="00576F87">
        <w:trPr>
          <w:trHeight w:val="583"/>
        </w:trPr>
        <w:tc>
          <w:tcPr>
            <w:tcW w:w="2659" w:type="dxa"/>
            <w:tcBorders>
              <w:top w:val="single" w:sz="8" w:space="0" w:color="000070"/>
              <w:left w:val="single" w:sz="15" w:space="0" w:color="000070"/>
              <w:bottom w:val="single" w:sz="8" w:space="0" w:color="000070"/>
              <w:right w:val="single" w:sz="8" w:space="0" w:color="000070"/>
            </w:tcBorders>
            <w:vAlign w:val="center"/>
          </w:tcPr>
          <w:p w:rsidR="00576F87" w:rsidRDefault="004165F5">
            <w:pPr>
              <w:spacing w:after="0"/>
            </w:pPr>
            <w:r>
              <w:rPr>
                <w:rFonts w:ascii="Verdana" w:eastAsia="Verdana" w:hAnsi="Verdana" w:cs="Verdana"/>
                <w:sz w:val="18"/>
              </w:rPr>
              <w:t>Index linked purchased</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Three to nine months</w:t>
            </w:r>
          </w:p>
        </w:tc>
        <w:tc>
          <w:tcPr>
            <w:tcW w:w="886" w:type="dxa"/>
            <w:tcBorders>
              <w:top w:val="single" w:sz="8" w:space="0" w:color="000070"/>
              <w:left w:val="single" w:sz="8" w:space="0" w:color="000070"/>
              <w:bottom w:val="single" w:sz="8" w:space="0" w:color="000070"/>
              <w:right w:val="single" w:sz="8" w:space="0" w:color="000070"/>
            </w:tcBorders>
            <w:vAlign w:val="center"/>
          </w:tcPr>
          <w:p w:rsidR="00576F87" w:rsidRDefault="004165F5">
            <w:pPr>
              <w:spacing w:after="0"/>
              <w:ind w:right="36"/>
              <w:jc w:val="center"/>
            </w:pPr>
            <w:r>
              <w:rPr>
                <w:rFonts w:ascii="Verdana" w:eastAsia="Verdana" w:hAnsi="Verdana" w:cs="Verdana"/>
                <w:sz w:val="18"/>
              </w:rPr>
              <w:t>Put</w:t>
            </w:r>
          </w:p>
        </w:tc>
        <w:tc>
          <w:tcPr>
            <w:tcW w:w="1337"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4"/>
              <w:jc w:val="right"/>
            </w:pPr>
            <w:r>
              <w:rPr>
                <w:rFonts w:ascii="Verdana" w:eastAsia="Verdana" w:hAnsi="Verdana" w:cs="Verdana"/>
                <w:sz w:val="18"/>
              </w:rPr>
              <w:t>2</w:t>
            </w:r>
          </w:p>
        </w:tc>
        <w:tc>
          <w:tcPr>
            <w:tcW w:w="1483"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5"/>
              <w:jc w:val="right"/>
            </w:pPr>
            <w:r>
              <w:rPr>
                <w:rFonts w:ascii="Verdana" w:eastAsia="Verdana" w:hAnsi="Verdana" w:cs="Verdana"/>
                <w:sz w:val="18"/>
              </w:rPr>
              <w:t>67</w:t>
            </w:r>
          </w:p>
        </w:tc>
        <w:tc>
          <w:tcPr>
            <w:tcW w:w="1097"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3"/>
              <w:jc w:val="right"/>
            </w:pPr>
            <w:r>
              <w:rPr>
                <w:rFonts w:ascii="Verdana" w:eastAsia="Verdana" w:hAnsi="Verdana" w:cs="Verdana"/>
                <w:sz w:val="18"/>
              </w:rPr>
              <w:t>-</w:t>
            </w:r>
          </w:p>
        </w:tc>
        <w:tc>
          <w:tcPr>
            <w:tcW w:w="1483" w:type="dxa"/>
            <w:tcBorders>
              <w:top w:val="single" w:sz="8" w:space="0" w:color="000070"/>
              <w:left w:val="single" w:sz="8" w:space="0" w:color="000070"/>
              <w:bottom w:val="single" w:sz="8" w:space="0" w:color="000070"/>
              <w:right w:val="single" w:sz="15" w:space="0" w:color="000070"/>
            </w:tcBorders>
            <w:vAlign w:val="bottom"/>
          </w:tcPr>
          <w:p w:rsidR="00576F87" w:rsidRDefault="004165F5">
            <w:pPr>
              <w:spacing w:after="0"/>
              <w:ind w:right="33"/>
              <w:jc w:val="right"/>
            </w:pPr>
            <w:r>
              <w:rPr>
                <w:rFonts w:ascii="Verdana" w:eastAsia="Verdana" w:hAnsi="Verdana" w:cs="Verdana"/>
                <w:sz w:val="18"/>
              </w:rPr>
              <w:t>-</w:t>
            </w:r>
          </w:p>
        </w:tc>
      </w:tr>
      <w:tr w:rsidR="00576F87">
        <w:trPr>
          <w:trHeight w:val="348"/>
        </w:trPr>
        <w:tc>
          <w:tcPr>
            <w:tcW w:w="2659" w:type="dxa"/>
            <w:tcBorders>
              <w:top w:val="single" w:sz="8" w:space="0" w:color="000070"/>
              <w:left w:val="single" w:sz="15"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886" w:type="dxa"/>
            <w:tcBorders>
              <w:top w:val="single" w:sz="8" w:space="0" w:color="000070"/>
              <w:left w:val="single" w:sz="8" w:space="0" w:color="000070"/>
              <w:bottom w:val="single" w:sz="8" w:space="0" w:color="000070"/>
              <w:right w:val="single" w:sz="8" w:space="0" w:color="000070"/>
            </w:tcBorders>
          </w:tcPr>
          <w:p w:rsidR="00576F87" w:rsidRDefault="00576F87"/>
        </w:tc>
        <w:tc>
          <w:tcPr>
            <w:tcW w:w="1337" w:type="dxa"/>
            <w:tcBorders>
              <w:top w:val="single" w:sz="8" w:space="0" w:color="000070"/>
              <w:left w:val="single" w:sz="8" w:space="0" w:color="000070"/>
              <w:bottom w:val="single" w:sz="8" w:space="0" w:color="000070"/>
              <w:right w:val="single" w:sz="8" w:space="0" w:color="000070"/>
            </w:tcBorders>
          </w:tcPr>
          <w:p w:rsidR="00576F87" w:rsidRDefault="00576F87"/>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6"/>
              <w:jc w:val="right"/>
            </w:pPr>
            <w:r>
              <w:rPr>
                <w:rFonts w:ascii="Verdana" w:eastAsia="Verdana" w:hAnsi="Verdana" w:cs="Verdana"/>
                <w:b/>
                <w:sz w:val="18"/>
              </w:rPr>
              <w:t>414</w:t>
            </w:r>
          </w:p>
        </w:tc>
        <w:tc>
          <w:tcPr>
            <w:tcW w:w="1097" w:type="dxa"/>
            <w:tcBorders>
              <w:top w:val="single" w:sz="8" w:space="0" w:color="000070"/>
              <w:left w:val="single" w:sz="8" w:space="0" w:color="000070"/>
              <w:bottom w:val="single" w:sz="8" w:space="0" w:color="000070"/>
              <w:right w:val="single" w:sz="8" w:space="0" w:color="000070"/>
            </w:tcBorders>
          </w:tcPr>
          <w:p w:rsidR="00576F87" w:rsidRDefault="00576F87"/>
        </w:tc>
        <w:tc>
          <w:tcPr>
            <w:tcW w:w="1483"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8"/>
              <w:jc w:val="right"/>
            </w:pPr>
            <w:r>
              <w:rPr>
                <w:rFonts w:ascii="Verdana" w:eastAsia="Verdana" w:hAnsi="Verdana" w:cs="Verdana"/>
                <w:b/>
                <w:sz w:val="18"/>
              </w:rPr>
              <w:t>-</w:t>
            </w:r>
          </w:p>
        </w:tc>
      </w:tr>
      <w:tr w:rsidR="00576F87">
        <w:trPr>
          <w:trHeight w:val="290"/>
        </w:trPr>
        <w:tc>
          <w:tcPr>
            <w:tcW w:w="2659" w:type="dxa"/>
            <w:tcBorders>
              <w:top w:val="single" w:sz="8" w:space="0" w:color="000070"/>
              <w:left w:val="single" w:sz="15"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b/>
                <w:sz w:val="18"/>
                <w:u w:val="single" w:color="000000"/>
              </w:rPr>
              <w:t>Liabilities</w:t>
            </w:r>
          </w:p>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886" w:type="dxa"/>
            <w:tcBorders>
              <w:top w:val="single" w:sz="8" w:space="0" w:color="000070"/>
              <w:left w:val="single" w:sz="8" w:space="0" w:color="000070"/>
              <w:bottom w:val="single" w:sz="8" w:space="0" w:color="000070"/>
              <w:right w:val="single" w:sz="8" w:space="0" w:color="000070"/>
            </w:tcBorders>
          </w:tcPr>
          <w:p w:rsidR="00576F87" w:rsidRDefault="00576F87"/>
        </w:tc>
        <w:tc>
          <w:tcPr>
            <w:tcW w:w="1337" w:type="dxa"/>
            <w:tcBorders>
              <w:top w:val="single" w:sz="8" w:space="0" w:color="000070"/>
              <w:left w:val="single" w:sz="8" w:space="0" w:color="000070"/>
              <w:bottom w:val="single" w:sz="8" w:space="0" w:color="000070"/>
              <w:right w:val="single" w:sz="8" w:space="0" w:color="000070"/>
            </w:tcBorders>
          </w:tcPr>
          <w:p w:rsidR="00576F87" w:rsidRDefault="00576F87"/>
        </w:tc>
        <w:tc>
          <w:tcPr>
            <w:tcW w:w="1483" w:type="dxa"/>
            <w:tcBorders>
              <w:top w:val="single" w:sz="8" w:space="0" w:color="000070"/>
              <w:left w:val="single" w:sz="8" w:space="0" w:color="000070"/>
              <w:bottom w:val="single" w:sz="8" w:space="0" w:color="000070"/>
              <w:right w:val="single" w:sz="8" w:space="0" w:color="000070"/>
            </w:tcBorders>
          </w:tcPr>
          <w:p w:rsidR="00576F87" w:rsidRDefault="00576F87"/>
        </w:tc>
        <w:tc>
          <w:tcPr>
            <w:tcW w:w="1097" w:type="dxa"/>
            <w:tcBorders>
              <w:top w:val="single" w:sz="8" w:space="0" w:color="000070"/>
              <w:left w:val="single" w:sz="8" w:space="0" w:color="000070"/>
              <w:bottom w:val="single" w:sz="8" w:space="0" w:color="000070"/>
              <w:right w:val="single" w:sz="8" w:space="0" w:color="000070"/>
            </w:tcBorders>
          </w:tcPr>
          <w:p w:rsidR="00576F87" w:rsidRDefault="00576F87"/>
        </w:tc>
        <w:tc>
          <w:tcPr>
            <w:tcW w:w="1483" w:type="dxa"/>
            <w:tcBorders>
              <w:top w:val="single" w:sz="8" w:space="0" w:color="000070"/>
              <w:left w:val="single" w:sz="8" w:space="0" w:color="000070"/>
              <w:bottom w:val="single" w:sz="8" w:space="0" w:color="000070"/>
              <w:right w:val="single" w:sz="15" w:space="0" w:color="000070"/>
            </w:tcBorders>
          </w:tcPr>
          <w:p w:rsidR="00576F87" w:rsidRDefault="00576F87"/>
        </w:tc>
      </w:tr>
      <w:tr w:rsidR="00576F87">
        <w:trPr>
          <w:trHeight w:val="583"/>
        </w:trPr>
        <w:tc>
          <w:tcPr>
            <w:tcW w:w="2659" w:type="dxa"/>
            <w:tcBorders>
              <w:top w:val="single" w:sz="8" w:space="0" w:color="000070"/>
              <w:left w:val="single" w:sz="15" w:space="0" w:color="000070"/>
              <w:bottom w:val="single" w:sz="8" w:space="0" w:color="000070"/>
              <w:right w:val="single" w:sz="8" w:space="0" w:color="000070"/>
            </w:tcBorders>
            <w:vAlign w:val="center"/>
          </w:tcPr>
          <w:p w:rsidR="00576F87" w:rsidRDefault="004165F5">
            <w:pPr>
              <w:spacing w:after="0"/>
            </w:pPr>
            <w:r>
              <w:rPr>
                <w:rFonts w:ascii="Verdana" w:eastAsia="Verdana" w:hAnsi="Verdana" w:cs="Verdana"/>
                <w:sz w:val="18"/>
              </w:rPr>
              <w:t>Index linked written</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One to three months</w:t>
            </w:r>
          </w:p>
        </w:tc>
        <w:tc>
          <w:tcPr>
            <w:tcW w:w="886" w:type="dxa"/>
            <w:tcBorders>
              <w:top w:val="single" w:sz="8" w:space="0" w:color="000070"/>
              <w:left w:val="single" w:sz="8" w:space="0" w:color="000070"/>
              <w:bottom w:val="single" w:sz="8" w:space="0" w:color="000070"/>
              <w:right w:val="single" w:sz="8" w:space="0" w:color="000070"/>
            </w:tcBorders>
            <w:vAlign w:val="center"/>
          </w:tcPr>
          <w:p w:rsidR="00576F87" w:rsidRDefault="004165F5">
            <w:pPr>
              <w:spacing w:after="0"/>
              <w:ind w:right="35"/>
              <w:jc w:val="center"/>
            </w:pPr>
            <w:r>
              <w:rPr>
                <w:rFonts w:ascii="Verdana" w:eastAsia="Verdana" w:hAnsi="Verdana" w:cs="Verdana"/>
                <w:sz w:val="18"/>
              </w:rPr>
              <w:t>Call</w:t>
            </w:r>
          </w:p>
        </w:tc>
        <w:tc>
          <w:tcPr>
            <w:tcW w:w="1337"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4"/>
              <w:jc w:val="right"/>
            </w:pPr>
            <w:r>
              <w:rPr>
                <w:rFonts w:ascii="Verdana" w:eastAsia="Verdana" w:hAnsi="Verdana" w:cs="Verdana"/>
                <w:sz w:val="18"/>
              </w:rPr>
              <w:t>(1)</w:t>
            </w:r>
          </w:p>
        </w:tc>
        <w:tc>
          <w:tcPr>
            <w:tcW w:w="1483"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5"/>
              <w:jc w:val="right"/>
            </w:pPr>
            <w:r>
              <w:rPr>
                <w:rFonts w:ascii="Verdana" w:eastAsia="Verdana" w:hAnsi="Verdana" w:cs="Verdana"/>
                <w:sz w:val="18"/>
              </w:rPr>
              <w:t>(25)</w:t>
            </w:r>
          </w:p>
        </w:tc>
        <w:tc>
          <w:tcPr>
            <w:tcW w:w="1097"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3"/>
              <w:jc w:val="right"/>
            </w:pPr>
            <w:r>
              <w:rPr>
                <w:rFonts w:ascii="Verdana" w:eastAsia="Verdana" w:hAnsi="Verdana" w:cs="Verdana"/>
                <w:sz w:val="18"/>
              </w:rPr>
              <w:t>-</w:t>
            </w:r>
          </w:p>
        </w:tc>
        <w:tc>
          <w:tcPr>
            <w:tcW w:w="1483" w:type="dxa"/>
            <w:tcBorders>
              <w:top w:val="single" w:sz="8" w:space="0" w:color="000070"/>
              <w:left w:val="single" w:sz="8" w:space="0" w:color="000070"/>
              <w:bottom w:val="single" w:sz="8" w:space="0" w:color="000070"/>
              <w:right w:val="single" w:sz="15" w:space="0" w:color="000070"/>
            </w:tcBorders>
            <w:vAlign w:val="bottom"/>
          </w:tcPr>
          <w:p w:rsidR="00576F87" w:rsidRDefault="004165F5">
            <w:pPr>
              <w:spacing w:after="0"/>
              <w:ind w:right="33"/>
              <w:jc w:val="right"/>
            </w:pPr>
            <w:r>
              <w:rPr>
                <w:rFonts w:ascii="Verdana" w:eastAsia="Verdana" w:hAnsi="Verdana" w:cs="Verdana"/>
                <w:sz w:val="18"/>
              </w:rPr>
              <w:t>-</w:t>
            </w:r>
          </w:p>
        </w:tc>
      </w:tr>
      <w:tr w:rsidR="00576F87">
        <w:trPr>
          <w:trHeight w:val="583"/>
        </w:trPr>
        <w:tc>
          <w:tcPr>
            <w:tcW w:w="2659" w:type="dxa"/>
            <w:tcBorders>
              <w:top w:val="single" w:sz="8" w:space="0" w:color="000070"/>
              <w:left w:val="single" w:sz="15" w:space="0" w:color="000070"/>
              <w:bottom w:val="single" w:sz="8" w:space="0" w:color="000070"/>
              <w:right w:val="single" w:sz="8" w:space="0" w:color="000070"/>
            </w:tcBorders>
            <w:vAlign w:val="center"/>
          </w:tcPr>
          <w:p w:rsidR="00576F87" w:rsidRDefault="004165F5">
            <w:pPr>
              <w:spacing w:after="0"/>
            </w:pPr>
            <w:r>
              <w:rPr>
                <w:rFonts w:ascii="Verdana" w:eastAsia="Verdana" w:hAnsi="Verdana" w:cs="Verdana"/>
                <w:sz w:val="18"/>
              </w:rPr>
              <w:t>Index linked written</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One to three months</w:t>
            </w:r>
          </w:p>
        </w:tc>
        <w:tc>
          <w:tcPr>
            <w:tcW w:w="886" w:type="dxa"/>
            <w:tcBorders>
              <w:top w:val="single" w:sz="8" w:space="0" w:color="000070"/>
              <w:left w:val="single" w:sz="8" w:space="0" w:color="000070"/>
              <w:bottom w:val="single" w:sz="8" w:space="0" w:color="000070"/>
              <w:right w:val="single" w:sz="8" w:space="0" w:color="000070"/>
            </w:tcBorders>
            <w:vAlign w:val="center"/>
          </w:tcPr>
          <w:p w:rsidR="00576F87" w:rsidRDefault="004165F5">
            <w:pPr>
              <w:spacing w:after="0"/>
              <w:ind w:right="36"/>
              <w:jc w:val="center"/>
            </w:pPr>
            <w:r>
              <w:rPr>
                <w:rFonts w:ascii="Verdana" w:eastAsia="Verdana" w:hAnsi="Verdana" w:cs="Verdana"/>
                <w:sz w:val="18"/>
              </w:rPr>
              <w:t>Put</w:t>
            </w:r>
          </w:p>
        </w:tc>
        <w:tc>
          <w:tcPr>
            <w:tcW w:w="1337"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5"/>
              <w:jc w:val="right"/>
            </w:pPr>
            <w:r>
              <w:rPr>
                <w:rFonts w:ascii="Verdana" w:eastAsia="Verdana" w:hAnsi="Verdana" w:cs="Verdana"/>
                <w:sz w:val="18"/>
              </w:rPr>
              <w:t>(17)</w:t>
            </w:r>
          </w:p>
        </w:tc>
        <w:tc>
          <w:tcPr>
            <w:tcW w:w="1483"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6"/>
              <w:jc w:val="right"/>
            </w:pPr>
            <w:r>
              <w:rPr>
                <w:rFonts w:ascii="Verdana" w:eastAsia="Verdana" w:hAnsi="Verdana" w:cs="Verdana"/>
                <w:sz w:val="18"/>
              </w:rPr>
              <w:t>(204)</w:t>
            </w:r>
          </w:p>
        </w:tc>
        <w:tc>
          <w:tcPr>
            <w:tcW w:w="1097"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3"/>
              <w:jc w:val="right"/>
            </w:pPr>
            <w:r>
              <w:rPr>
                <w:rFonts w:ascii="Verdana" w:eastAsia="Verdana" w:hAnsi="Verdana" w:cs="Verdana"/>
                <w:sz w:val="18"/>
              </w:rPr>
              <w:t>-</w:t>
            </w:r>
          </w:p>
        </w:tc>
        <w:tc>
          <w:tcPr>
            <w:tcW w:w="1483" w:type="dxa"/>
            <w:tcBorders>
              <w:top w:val="single" w:sz="8" w:space="0" w:color="000070"/>
              <w:left w:val="single" w:sz="8" w:space="0" w:color="000070"/>
              <w:bottom w:val="single" w:sz="8" w:space="0" w:color="000070"/>
              <w:right w:val="single" w:sz="15" w:space="0" w:color="000070"/>
            </w:tcBorders>
            <w:vAlign w:val="bottom"/>
          </w:tcPr>
          <w:p w:rsidR="00576F87" w:rsidRDefault="004165F5">
            <w:pPr>
              <w:spacing w:after="0"/>
              <w:ind w:right="33"/>
              <w:jc w:val="right"/>
            </w:pPr>
            <w:r>
              <w:rPr>
                <w:rFonts w:ascii="Verdana" w:eastAsia="Verdana" w:hAnsi="Verdana" w:cs="Verdana"/>
                <w:sz w:val="18"/>
              </w:rPr>
              <w:t>-</w:t>
            </w:r>
          </w:p>
        </w:tc>
      </w:tr>
      <w:tr w:rsidR="00576F87">
        <w:trPr>
          <w:trHeight w:val="583"/>
        </w:trPr>
        <w:tc>
          <w:tcPr>
            <w:tcW w:w="2659" w:type="dxa"/>
            <w:tcBorders>
              <w:top w:val="single" w:sz="8" w:space="0" w:color="000070"/>
              <w:left w:val="single" w:sz="15" w:space="0" w:color="000070"/>
              <w:bottom w:val="single" w:sz="8" w:space="0" w:color="000070"/>
              <w:right w:val="single" w:sz="8" w:space="0" w:color="000070"/>
            </w:tcBorders>
            <w:vAlign w:val="center"/>
          </w:tcPr>
          <w:p w:rsidR="00576F87" w:rsidRDefault="004165F5">
            <w:pPr>
              <w:spacing w:after="0"/>
            </w:pPr>
            <w:r>
              <w:rPr>
                <w:rFonts w:ascii="Verdana" w:eastAsia="Verdana" w:hAnsi="Verdana" w:cs="Verdana"/>
                <w:sz w:val="18"/>
              </w:rPr>
              <w:t>Index linked written</w:t>
            </w:r>
          </w:p>
        </w:tc>
        <w:tc>
          <w:tcPr>
            <w:tcW w:w="1402" w:type="dxa"/>
            <w:tcBorders>
              <w:top w:val="single" w:sz="8" w:space="0" w:color="000070"/>
              <w:left w:val="single" w:sz="8" w:space="0" w:color="000070"/>
              <w:bottom w:val="single" w:sz="8" w:space="0" w:color="000070"/>
              <w:right w:val="single" w:sz="8" w:space="0" w:color="000070"/>
            </w:tcBorders>
          </w:tcPr>
          <w:p w:rsidR="00576F87" w:rsidRDefault="004165F5">
            <w:pPr>
              <w:spacing w:after="0"/>
            </w:pPr>
            <w:r>
              <w:rPr>
                <w:rFonts w:ascii="Verdana" w:eastAsia="Verdana" w:hAnsi="Verdana" w:cs="Verdana"/>
                <w:sz w:val="18"/>
              </w:rPr>
              <w:t>Three to nine months</w:t>
            </w:r>
          </w:p>
        </w:tc>
        <w:tc>
          <w:tcPr>
            <w:tcW w:w="886" w:type="dxa"/>
            <w:tcBorders>
              <w:top w:val="single" w:sz="8" w:space="0" w:color="000070"/>
              <w:left w:val="single" w:sz="8" w:space="0" w:color="000070"/>
              <w:bottom w:val="single" w:sz="8" w:space="0" w:color="000070"/>
              <w:right w:val="single" w:sz="8" w:space="0" w:color="000070"/>
            </w:tcBorders>
            <w:vAlign w:val="center"/>
          </w:tcPr>
          <w:p w:rsidR="00576F87" w:rsidRDefault="004165F5">
            <w:pPr>
              <w:spacing w:after="0"/>
              <w:ind w:right="36"/>
              <w:jc w:val="center"/>
            </w:pPr>
            <w:r>
              <w:rPr>
                <w:rFonts w:ascii="Verdana" w:eastAsia="Verdana" w:hAnsi="Verdana" w:cs="Verdana"/>
                <w:sz w:val="18"/>
              </w:rPr>
              <w:t>Put</w:t>
            </w:r>
          </w:p>
        </w:tc>
        <w:tc>
          <w:tcPr>
            <w:tcW w:w="1337"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4"/>
              <w:jc w:val="right"/>
            </w:pPr>
            <w:r>
              <w:rPr>
                <w:rFonts w:ascii="Verdana" w:eastAsia="Verdana" w:hAnsi="Verdana" w:cs="Verdana"/>
                <w:sz w:val="18"/>
              </w:rPr>
              <w:t>(2)</w:t>
            </w:r>
          </w:p>
        </w:tc>
        <w:tc>
          <w:tcPr>
            <w:tcW w:w="1483"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5"/>
              <w:jc w:val="right"/>
            </w:pPr>
            <w:r>
              <w:rPr>
                <w:rFonts w:ascii="Verdana" w:eastAsia="Verdana" w:hAnsi="Verdana" w:cs="Verdana"/>
                <w:sz w:val="18"/>
              </w:rPr>
              <w:t>(42)</w:t>
            </w:r>
          </w:p>
        </w:tc>
        <w:tc>
          <w:tcPr>
            <w:tcW w:w="1097" w:type="dxa"/>
            <w:tcBorders>
              <w:top w:val="single" w:sz="8" w:space="0" w:color="000070"/>
              <w:left w:val="single" w:sz="8" w:space="0" w:color="000070"/>
              <w:bottom w:val="single" w:sz="8" w:space="0" w:color="000070"/>
              <w:right w:val="single" w:sz="8" w:space="0" w:color="000070"/>
            </w:tcBorders>
            <w:vAlign w:val="bottom"/>
          </w:tcPr>
          <w:p w:rsidR="00576F87" w:rsidRDefault="004165F5">
            <w:pPr>
              <w:spacing w:after="0"/>
              <w:ind w:right="33"/>
              <w:jc w:val="right"/>
            </w:pPr>
            <w:r>
              <w:rPr>
                <w:rFonts w:ascii="Verdana" w:eastAsia="Verdana" w:hAnsi="Verdana" w:cs="Verdana"/>
                <w:sz w:val="18"/>
              </w:rPr>
              <w:t>-</w:t>
            </w:r>
          </w:p>
        </w:tc>
        <w:tc>
          <w:tcPr>
            <w:tcW w:w="1483" w:type="dxa"/>
            <w:tcBorders>
              <w:top w:val="single" w:sz="8" w:space="0" w:color="000070"/>
              <w:left w:val="single" w:sz="8" w:space="0" w:color="000070"/>
              <w:bottom w:val="single" w:sz="8" w:space="0" w:color="000070"/>
              <w:right w:val="single" w:sz="15" w:space="0" w:color="000070"/>
            </w:tcBorders>
            <w:vAlign w:val="bottom"/>
          </w:tcPr>
          <w:p w:rsidR="00576F87" w:rsidRDefault="004165F5">
            <w:pPr>
              <w:spacing w:after="0"/>
              <w:ind w:right="33"/>
              <w:jc w:val="right"/>
            </w:pPr>
            <w:r>
              <w:rPr>
                <w:rFonts w:ascii="Verdana" w:eastAsia="Verdana" w:hAnsi="Verdana" w:cs="Verdana"/>
                <w:sz w:val="18"/>
              </w:rPr>
              <w:t>-</w:t>
            </w:r>
          </w:p>
        </w:tc>
      </w:tr>
      <w:tr w:rsidR="00576F87">
        <w:trPr>
          <w:trHeight w:val="377"/>
        </w:trPr>
        <w:tc>
          <w:tcPr>
            <w:tcW w:w="2659" w:type="dxa"/>
            <w:tcBorders>
              <w:top w:val="single" w:sz="8" w:space="0" w:color="000070"/>
              <w:left w:val="single" w:sz="15" w:space="0" w:color="000070"/>
              <w:bottom w:val="single" w:sz="8" w:space="0" w:color="000070"/>
              <w:right w:val="single" w:sz="8" w:space="0" w:color="000070"/>
            </w:tcBorders>
          </w:tcPr>
          <w:p w:rsidR="00576F87" w:rsidRDefault="00576F87"/>
        </w:tc>
        <w:tc>
          <w:tcPr>
            <w:tcW w:w="1402" w:type="dxa"/>
            <w:tcBorders>
              <w:top w:val="single" w:sz="8" w:space="0" w:color="000070"/>
              <w:left w:val="single" w:sz="8" w:space="0" w:color="000070"/>
              <w:bottom w:val="single" w:sz="8" w:space="0" w:color="000070"/>
              <w:right w:val="single" w:sz="8" w:space="0" w:color="000070"/>
            </w:tcBorders>
          </w:tcPr>
          <w:p w:rsidR="00576F87" w:rsidRDefault="00576F87"/>
        </w:tc>
        <w:tc>
          <w:tcPr>
            <w:tcW w:w="886" w:type="dxa"/>
            <w:tcBorders>
              <w:top w:val="single" w:sz="8" w:space="0" w:color="000070"/>
              <w:left w:val="single" w:sz="8" w:space="0" w:color="000070"/>
              <w:bottom w:val="single" w:sz="8" w:space="0" w:color="000070"/>
              <w:right w:val="single" w:sz="8" w:space="0" w:color="000070"/>
            </w:tcBorders>
          </w:tcPr>
          <w:p w:rsidR="00576F87" w:rsidRDefault="00576F87"/>
        </w:tc>
        <w:tc>
          <w:tcPr>
            <w:tcW w:w="1337" w:type="dxa"/>
            <w:tcBorders>
              <w:top w:val="single" w:sz="8" w:space="0" w:color="000070"/>
              <w:left w:val="single" w:sz="8" w:space="0" w:color="000070"/>
              <w:bottom w:val="single" w:sz="8" w:space="0" w:color="000070"/>
              <w:right w:val="single" w:sz="8" w:space="0" w:color="000070"/>
            </w:tcBorders>
          </w:tcPr>
          <w:p w:rsidR="00576F87" w:rsidRDefault="00576F87"/>
        </w:tc>
        <w:tc>
          <w:tcPr>
            <w:tcW w:w="1483"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38"/>
              <w:jc w:val="right"/>
            </w:pPr>
            <w:r>
              <w:rPr>
                <w:rFonts w:ascii="Verdana" w:eastAsia="Verdana" w:hAnsi="Verdana" w:cs="Verdana"/>
                <w:b/>
                <w:sz w:val="18"/>
              </w:rPr>
              <w:t>(271)</w:t>
            </w:r>
          </w:p>
        </w:tc>
        <w:tc>
          <w:tcPr>
            <w:tcW w:w="1097" w:type="dxa"/>
            <w:tcBorders>
              <w:top w:val="single" w:sz="8" w:space="0" w:color="000070"/>
              <w:left w:val="single" w:sz="8" w:space="0" w:color="000070"/>
              <w:bottom w:val="single" w:sz="8" w:space="0" w:color="000070"/>
              <w:right w:val="single" w:sz="8" w:space="0" w:color="000070"/>
            </w:tcBorders>
          </w:tcPr>
          <w:p w:rsidR="00576F87" w:rsidRDefault="00576F87"/>
        </w:tc>
        <w:tc>
          <w:tcPr>
            <w:tcW w:w="1483" w:type="dxa"/>
            <w:tcBorders>
              <w:top w:val="single" w:sz="8" w:space="0" w:color="000070"/>
              <w:left w:val="single" w:sz="8" w:space="0" w:color="000070"/>
              <w:bottom w:val="single" w:sz="8" w:space="0" w:color="000070"/>
              <w:right w:val="single" w:sz="15" w:space="0" w:color="000070"/>
            </w:tcBorders>
          </w:tcPr>
          <w:p w:rsidR="00576F87" w:rsidRDefault="00576F87"/>
        </w:tc>
      </w:tr>
      <w:tr w:rsidR="00576F87">
        <w:trPr>
          <w:trHeight w:val="478"/>
        </w:trPr>
        <w:tc>
          <w:tcPr>
            <w:tcW w:w="4061" w:type="dxa"/>
            <w:gridSpan w:val="2"/>
            <w:tcBorders>
              <w:top w:val="single" w:sz="8" w:space="0" w:color="000070"/>
              <w:left w:val="single" w:sz="15" w:space="0" w:color="000070"/>
              <w:bottom w:val="single" w:sz="15" w:space="0" w:color="000070"/>
              <w:right w:val="single" w:sz="8" w:space="0" w:color="000070"/>
            </w:tcBorders>
            <w:shd w:val="clear" w:color="auto" w:fill="35437C"/>
            <w:vAlign w:val="bottom"/>
          </w:tcPr>
          <w:p w:rsidR="00576F87" w:rsidRDefault="004165F5">
            <w:pPr>
              <w:spacing w:after="0"/>
              <w:ind w:left="5"/>
            </w:pPr>
            <w:r>
              <w:rPr>
                <w:rFonts w:ascii="Verdana" w:eastAsia="Verdana" w:hAnsi="Verdana" w:cs="Verdana"/>
                <w:b/>
                <w:color w:val="FFFFFF"/>
                <w:sz w:val="18"/>
              </w:rPr>
              <w:t>Net Purchased/Written Options</w:t>
            </w:r>
          </w:p>
        </w:tc>
        <w:tc>
          <w:tcPr>
            <w:tcW w:w="886" w:type="dxa"/>
            <w:tcBorders>
              <w:top w:val="single" w:sz="8" w:space="0" w:color="000070"/>
              <w:left w:val="single" w:sz="8" w:space="0" w:color="000070"/>
              <w:bottom w:val="single" w:sz="15" w:space="0" w:color="000070"/>
              <w:right w:val="single" w:sz="8" w:space="0" w:color="000070"/>
            </w:tcBorders>
            <w:shd w:val="clear" w:color="auto" w:fill="35437C"/>
          </w:tcPr>
          <w:p w:rsidR="00576F87" w:rsidRDefault="00576F87"/>
        </w:tc>
        <w:tc>
          <w:tcPr>
            <w:tcW w:w="1337" w:type="dxa"/>
            <w:tcBorders>
              <w:top w:val="single" w:sz="8" w:space="0" w:color="000070"/>
              <w:left w:val="single" w:sz="8" w:space="0" w:color="000070"/>
              <w:bottom w:val="single" w:sz="15" w:space="0" w:color="000070"/>
              <w:right w:val="single" w:sz="8" w:space="0" w:color="000070"/>
            </w:tcBorders>
            <w:shd w:val="clear" w:color="auto" w:fill="35437C"/>
          </w:tcPr>
          <w:p w:rsidR="00576F87" w:rsidRDefault="00576F87"/>
        </w:tc>
        <w:tc>
          <w:tcPr>
            <w:tcW w:w="1483" w:type="dxa"/>
            <w:tcBorders>
              <w:top w:val="single" w:sz="8" w:space="0" w:color="000070"/>
              <w:left w:val="single" w:sz="8" w:space="0" w:color="000070"/>
              <w:bottom w:val="single" w:sz="15" w:space="0" w:color="000070"/>
              <w:right w:val="single" w:sz="8" w:space="0" w:color="000070"/>
            </w:tcBorders>
            <w:shd w:val="clear" w:color="auto" w:fill="35437C"/>
            <w:vAlign w:val="bottom"/>
          </w:tcPr>
          <w:p w:rsidR="00576F87" w:rsidRDefault="004165F5">
            <w:pPr>
              <w:spacing w:after="0"/>
              <w:ind w:right="36"/>
              <w:jc w:val="right"/>
            </w:pPr>
            <w:r>
              <w:rPr>
                <w:rFonts w:ascii="Verdana" w:eastAsia="Verdana" w:hAnsi="Verdana" w:cs="Verdana"/>
                <w:b/>
                <w:color w:val="FFFFFF"/>
                <w:sz w:val="18"/>
              </w:rPr>
              <w:t>143</w:t>
            </w:r>
          </w:p>
        </w:tc>
        <w:tc>
          <w:tcPr>
            <w:tcW w:w="1097" w:type="dxa"/>
            <w:tcBorders>
              <w:top w:val="single" w:sz="8" w:space="0" w:color="000070"/>
              <w:left w:val="single" w:sz="8" w:space="0" w:color="000070"/>
              <w:bottom w:val="single" w:sz="15" w:space="0" w:color="000070"/>
              <w:right w:val="single" w:sz="8" w:space="0" w:color="000070"/>
            </w:tcBorders>
            <w:shd w:val="clear" w:color="auto" w:fill="35437C"/>
          </w:tcPr>
          <w:p w:rsidR="00576F87" w:rsidRDefault="00576F87"/>
        </w:tc>
        <w:tc>
          <w:tcPr>
            <w:tcW w:w="1483" w:type="dxa"/>
            <w:tcBorders>
              <w:top w:val="single" w:sz="8" w:space="0" w:color="000070"/>
              <w:left w:val="single" w:sz="8" w:space="0" w:color="000070"/>
              <w:bottom w:val="single" w:sz="15" w:space="0" w:color="000070"/>
              <w:right w:val="single" w:sz="15" w:space="0" w:color="000070"/>
            </w:tcBorders>
            <w:shd w:val="clear" w:color="auto" w:fill="35437C"/>
            <w:vAlign w:val="bottom"/>
          </w:tcPr>
          <w:p w:rsidR="00576F87" w:rsidRDefault="004165F5">
            <w:pPr>
              <w:spacing w:after="0"/>
              <w:ind w:right="38"/>
              <w:jc w:val="right"/>
            </w:pPr>
            <w:r>
              <w:rPr>
                <w:rFonts w:ascii="Verdana" w:eastAsia="Verdana" w:hAnsi="Verdana" w:cs="Verdana"/>
                <w:b/>
                <w:color w:val="FFFFFF"/>
                <w:sz w:val="18"/>
              </w:rPr>
              <w:t>-</w:t>
            </w:r>
          </w:p>
        </w:tc>
      </w:tr>
    </w:tbl>
    <w:p w:rsidR="00576F87" w:rsidRDefault="004165F5">
      <w:pPr>
        <w:spacing w:after="6"/>
        <w:ind w:left="848" w:right="916" w:hanging="10"/>
        <w:jc w:val="center"/>
      </w:pPr>
      <w:r>
        <w:t>43</w:t>
      </w:r>
    </w:p>
    <w:p w:rsidR="00576F87" w:rsidRDefault="004165F5">
      <w:pPr>
        <w:pStyle w:val="Heading2"/>
        <w:spacing w:after="200"/>
        <w:ind w:left="147"/>
      </w:pPr>
      <w:r>
        <w:rPr>
          <w:b/>
          <w:color w:val="3F977F"/>
          <w:sz w:val="27"/>
        </w:rPr>
        <w:lastRenderedPageBreak/>
        <w:t>LPFA Accounts 31 March 2018</w:t>
      </w:r>
    </w:p>
    <w:p w:rsidR="00576F87" w:rsidRDefault="004165F5">
      <w:pPr>
        <w:pStyle w:val="Heading3"/>
        <w:spacing w:after="300"/>
        <w:ind w:left="130" w:hanging="8"/>
      </w:pPr>
      <w:r>
        <w:rPr>
          <w:color w:val="000000"/>
        </w:rPr>
        <w:t>14d. Investments</w:t>
      </w:r>
    </w:p>
    <w:p w:rsidR="00576F87" w:rsidRDefault="004165F5">
      <w:pPr>
        <w:pStyle w:val="Heading4"/>
        <w:spacing w:after="70" w:line="265" w:lineRule="auto"/>
        <w:ind w:left="132" w:hanging="10"/>
      </w:pPr>
      <w:r>
        <w:rPr>
          <w:b/>
          <w:color w:val="99CA3C"/>
          <w:sz w:val="20"/>
        </w:rPr>
        <w:t xml:space="preserve">Investments Analysed by Fund Manager </w:t>
      </w:r>
    </w:p>
    <w:tbl>
      <w:tblPr>
        <w:tblStyle w:val="TableGrid"/>
        <w:tblW w:w="9635" w:type="dxa"/>
        <w:tblInd w:w="80" w:type="dxa"/>
        <w:tblCellMar>
          <w:top w:w="52" w:type="dxa"/>
          <w:left w:w="0" w:type="dxa"/>
          <w:bottom w:w="0" w:type="dxa"/>
          <w:right w:w="0" w:type="dxa"/>
        </w:tblCellMar>
        <w:tblLook w:val="04A0" w:firstRow="1" w:lastRow="0" w:firstColumn="1" w:lastColumn="0" w:noHBand="0" w:noVBand="1"/>
      </w:tblPr>
      <w:tblGrid>
        <w:gridCol w:w="2236"/>
        <w:gridCol w:w="2287"/>
        <w:gridCol w:w="1625"/>
        <w:gridCol w:w="1925"/>
        <w:gridCol w:w="1562"/>
      </w:tblGrid>
      <w:tr w:rsidR="00576F87">
        <w:trPr>
          <w:trHeight w:val="792"/>
        </w:trPr>
        <w:tc>
          <w:tcPr>
            <w:tcW w:w="2236" w:type="dxa"/>
            <w:tcBorders>
              <w:top w:val="single" w:sz="15" w:space="0" w:color="35437C"/>
              <w:left w:val="single" w:sz="12" w:space="0" w:color="35437C"/>
              <w:bottom w:val="single" w:sz="8" w:space="0" w:color="35437C"/>
              <w:right w:val="single" w:sz="8" w:space="0" w:color="35437C"/>
            </w:tcBorders>
            <w:shd w:val="clear" w:color="auto" w:fill="35437C"/>
            <w:vAlign w:val="center"/>
          </w:tcPr>
          <w:p w:rsidR="00576F87" w:rsidRDefault="004165F5">
            <w:pPr>
              <w:spacing w:after="1"/>
              <w:ind w:right="33"/>
              <w:jc w:val="right"/>
            </w:pPr>
            <w:r>
              <w:rPr>
                <w:rFonts w:ascii="Verdana" w:eastAsia="Verdana" w:hAnsi="Verdana" w:cs="Verdana"/>
                <w:b/>
                <w:color w:val="FFFFFF"/>
                <w:sz w:val="16"/>
              </w:rPr>
              <w:t xml:space="preserve">        Market value 31 </w:t>
            </w:r>
          </w:p>
          <w:p w:rsidR="00576F87" w:rsidRDefault="004165F5">
            <w:pPr>
              <w:spacing w:after="0"/>
              <w:ind w:right="33"/>
              <w:jc w:val="right"/>
            </w:pPr>
            <w:r>
              <w:rPr>
                <w:rFonts w:ascii="Verdana" w:eastAsia="Verdana" w:hAnsi="Verdana" w:cs="Verdana"/>
                <w:b/>
                <w:color w:val="FFFFFF"/>
                <w:sz w:val="16"/>
              </w:rPr>
              <w:t>March 2017</w:t>
            </w:r>
          </w:p>
        </w:tc>
        <w:tc>
          <w:tcPr>
            <w:tcW w:w="2287"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625"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925" w:type="dxa"/>
            <w:tcBorders>
              <w:top w:val="single" w:sz="15" w:space="0" w:color="35437C"/>
              <w:left w:val="single" w:sz="8" w:space="0" w:color="35437C"/>
              <w:bottom w:val="single" w:sz="8" w:space="0" w:color="35437C"/>
              <w:right w:val="single" w:sz="15" w:space="0" w:color="35437C"/>
            </w:tcBorders>
            <w:shd w:val="clear" w:color="auto" w:fill="35437C"/>
            <w:vAlign w:val="center"/>
          </w:tcPr>
          <w:p w:rsidR="00576F87" w:rsidRDefault="004165F5">
            <w:pPr>
              <w:spacing w:after="1"/>
              <w:ind w:left="6"/>
              <w:jc w:val="center"/>
            </w:pPr>
            <w:r>
              <w:rPr>
                <w:rFonts w:ascii="Verdana" w:eastAsia="Verdana" w:hAnsi="Verdana" w:cs="Verdana"/>
                <w:b/>
                <w:color w:val="FFFFFF"/>
                <w:sz w:val="16"/>
              </w:rPr>
              <w:t xml:space="preserve">  Market value 31 </w:t>
            </w:r>
          </w:p>
          <w:p w:rsidR="00576F87" w:rsidRDefault="004165F5">
            <w:pPr>
              <w:spacing w:after="0"/>
              <w:ind w:left="8"/>
              <w:jc w:val="center"/>
            </w:pPr>
            <w:r>
              <w:rPr>
                <w:rFonts w:ascii="Verdana" w:eastAsia="Verdana" w:hAnsi="Verdana" w:cs="Verdana"/>
                <w:b/>
                <w:color w:val="FFFFFF"/>
                <w:sz w:val="16"/>
              </w:rPr>
              <w:t>March 2018</w:t>
            </w:r>
          </w:p>
        </w:tc>
        <w:tc>
          <w:tcPr>
            <w:tcW w:w="1562"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4165F5">
            <w:pPr>
              <w:spacing w:after="0" w:line="261" w:lineRule="auto"/>
              <w:ind w:left="120" w:firstLine="94"/>
            </w:pPr>
            <w:r>
              <w:rPr>
                <w:rFonts w:ascii="Verdana" w:eastAsia="Verdana" w:hAnsi="Verdana" w:cs="Verdana"/>
                <w:b/>
                <w:color w:val="FFFFFF"/>
                <w:sz w:val="16"/>
              </w:rPr>
              <w:t xml:space="preserve"> % of Market value 31 March </w:t>
            </w:r>
          </w:p>
          <w:p w:rsidR="00576F87" w:rsidRDefault="004165F5">
            <w:pPr>
              <w:spacing w:after="0"/>
              <w:ind w:left="8"/>
              <w:jc w:val="center"/>
            </w:pPr>
            <w:r>
              <w:rPr>
                <w:rFonts w:ascii="Verdana" w:eastAsia="Verdana" w:hAnsi="Verdana" w:cs="Verdana"/>
                <w:b/>
                <w:color w:val="FFFFFF"/>
                <w:sz w:val="16"/>
              </w:rPr>
              <w:t>2018</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44"/>
              <w:jc w:val="right"/>
            </w:pPr>
            <w:r>
              <w:rPr>
                <w:rFonts w:ascii="Verdana" w:eastAsia="Verdana" w:hAnsi="Verdana" w:cs="Verdana"/>
                <w:b/>
                <w:sz w:val="18"/>
              </w:rPr>
              <w:t>£000</w:t>
            </w:r>
          </w:p>
        </w:tc>
        <w:tc>
          <w:tcPr>
            <w:tcW w:w="2287" w:type="dxa"/>
            <w:tcBorders>
              <w:top w:val="single" w:sz="8" w:space="0" w:color="35437C"/>
              <w:left w:val="single" w:sz="8" w:space="0" w:color="35437C"/>
              <w:bottom w:val="single" w:sz="8" w:space="0" w:color="35437C"/>
              <w:right w:val="nil"/>
            </w:tcBorders>
          </w:tcPr>
          <w:p w:rsidR="00576F87" w:rsidRDefault="00576F87"/>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4"/>
              <w:jc w:val="right"/>
            </w:pPr>
            <w:r>
              <w:rPr>
                <w:rFonts w:ascii="Verdana" w:eastAsia="Verdana" w:hAnsi="Verdana" w:cs="Verdana"/>
                <w:b/>
                <w:sz w:val="18"/>
              </w:rPr>
              <w:t>£000</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left="16"/>
              <w:jc w:val="center"/>
            </w:pPr>
            <w:r>
              <w:rPr>
                <w:b/>
              </w:rPr>
              <w:t>%</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17,046</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3i Infrastructure</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42"/>
              <w:jc w:val="center"/>
            </w:pPr>
            <w:r>
              <w:rPr>
                <w:rFonts w:ascii="Verdana" w:eastAsia="Verdana" w:hAnsi="Verdana" w:cs="Verdana"/>
                <w:sz w:val="18"/>
              </w:rPr>
              <w:t xml:space="preserve">                          -</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113,114</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Adveq Management AG</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42"/>
              <w:jc w:val="center"/>
            </w:pPr>
            <w:r>
              <w:rPr>
                <w:rFonts w:ascii="Verdana" w:eastAsia="Verdana" w:hAnsi="Verdana" w:cs="Verdana"/>
                <w:sz w:val="18"/>
              </w:rPr>
              <w:t xml:space="preserve">                          -</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51,164</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Aeolus Property</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125,494</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2.36%</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102,475</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jc w:val="both"/>
            </w:pPr>
            <w:r>
              <w:rPr>
                <w:rFonts w:ascii="Verdana" w:eastAsia="Verdana" w:hAnsi="Verdana" w:cs="Verdana"/>
                <w:sz w:val="18"/>
              </w:rPr>
              <w:t>Apollo Union Street Part</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88"/>
            </w:pPr>
            <w:r>
              <w:rPr>
                <w:rFonts w:ascii="Verdana" w:eastAsia="Verdana" w:hAnsi="Verdana" w:cs="Verdana"/>
                <w:sz w:val="18"/>
              </w:rPr>
              <w:t>ners</w:t>
            </w:r>
          </w:p>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4,906</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jc w:val="both"/>
            </w:pPr>
            <w:r>
              <w:rPr>
                <w:rFonts w:ascii="Verdana" w:eastAsia="Verdana" w:hAnsi="Verdana" w:cs="Verdana"/>
                <w:sz w:val="18"/>
              </w:rPr>
              <w:t>Bank Invest New Energy</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45"/>
            </w:pPr>
            <w:r>
              <w:rPr>
                <w:rFonts w:ascii="Verdana" w:eastAsia="Verdana" w:hAnsi="Verdana" w:cs="Verdana"/>
                <w:sz w:val="18"/>
              </w:rPr>
              <w:t xml:space="preserve"> Solutions</w:t>
            </w:r>
          </w:p>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19,363</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jc w:val="both"/>
            </w:pPr>
            <w:r>
              <w:rPr>
                <w:rFonts w:ascii="Verdana" w:eastAsia="Verdana" w:hAnsi="Verdana" w:cs="Verdana"/>
                <w:sz w:val="18"/>
              </w:rPr>
              <w:t>Blackrock Co-Investmen</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57"/>
            </w:pPr>
            <w:r>
              <w:rPr>
                <w:rFonts w:ascii="Verdana" w:eastAsia="Verdana" w:hAnsi="Verdana" w:cs="Verdana"/>
                <w:sz w:val="18"/>
              </w:rPr>
              <w:t>t IV, LP</w:t>
            </w:r>
          </w:p>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369,425</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Blackrock Management</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252,266</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4.75%</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8,297</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Bridges Ventures</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23,170</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jc w:val="both"/>
            </w:pPr>
            <w:r>
              <w:rPr>
                <w:rFonts w:ascii="Verdana" w:eastAsia="Verdana" w:hAnsi="Verdana" w:cs="Verdana"/>
                <w:sz w:val="18"/>
              </w:rPr>
              <w:t>Brookfield Howard Asset</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57"/>
            </w:pPr>
            <w:r>
              <w:rPr>
                <w:rFonts w:ascii="Verdana" w:eastAsia="Verdana" w:hAnsi="Verdana" w:cs="Verdana"/>
                <w:sz w:val="18"/>
              </w:rPr>
              <w:t xml:space="preserve"> Management</w:t>
            </w:r>
          </w:p>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sz w:val="18"/>
              </w:rPr>
              <w:t>19,542</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0.37%</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243</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jc w:val="both"/>
            </w:pPr>
            <w:r>
              <w:rPr>
                <w:rFonts w:ascii="Verdana" w:eastAsia="Verdana" w:hAnsi="Verdana" w:cs="Verdana"/>
                <w:sz w:val="18"/>
              </w:rPr>
              <w:t>Buy &amp; Hold - LPFA In-ho</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59"/>
            </w:pPr>
            <w:r>
              <w:rPr>
                <w:rFonts w:ascii="Verdana" w:eastAsia="Verdana" w:hAnsi="Verdana" w:cs="Verdana"/>
                <w:sz w:val="18"/>
              </w:rPr>
              <w:t>use</w:t>
            </w:r>
          </w:p>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609</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Capital Fund</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202,724</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CBRE Global Investors</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202,799</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3.82%</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13,445</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Cleantech Europe</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8,821</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Coller Capital</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8,358</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Dover Street</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4,397</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Foresight Group</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1,720</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0.03%</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22,606</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Glennmont Partners</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38,349</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jc w:val="both"/>
            </w:pPr>
            <w:r>
              <w:rPr>
                <w:rFonts w:ascii="Verdana" w:eastAsia="Verdana" w:hAnsi="Verdana" w:cs="Verdana"/>
                <w:sz w:val="18"/>
              </w:rPr>
              <w:t>GMPF &amp; LPFA Infrastruct</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54"/>
            </w:pPr>
            <w:r>
              <w:rPr>
                <w:rFonts w:ascii="Verdana" w:eastAsia="Verdana" w:hAnsi="Verdana" w:cs="Verdana"/>
                <w:sz w:val="18"/>
              </w:rPr>
              <w:t>ure LLP</w:t>
            </w:r>
          </w:p>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40,596</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Graham Trend</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32,469</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0.61%</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46,164</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GSA Trend</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43,316</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0.81%</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60,319</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Harbour Vest Partners L</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97"/>
            </w:pPr>
            <w:r>
              <w:rPr>
                <w:rFonts w:ascii="Verdana" w:eastAsia="Verdana" w:hAnsi="Verdana" w:cs="Verdana"/>
                <w:sz w:val="18"/>
              </w:rPr>
              <w:t>CC</w:t>
            </w:r>
          </w:p>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75,979</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Hermes Private Equity</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4,868</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right="-81"/>
              <w:jc w:val="both"/>
            </w:pPr>
            <w:r>
              <w:rPr>
                <w:rFonts w:ascii="Verdana" w:eastAsia="Verdana" w:hAnsi="Verdana" w:cs="Verdana"/>
                <w:sz w:val="18"/>
              </w:rPr>
              <w:t>Impax Asset Management</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3,348</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0.06%</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3,458</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jc w:val="both"/>
            </w:pPr>
            <w:r>
              <w:rPr>
                <w:rFonts w:ascii="Verdana" w:eastAsia="Verdana" w:hAnsi="Verdana" w:cs="Verdana"/>
                <w:sz w:val="18"/>
              </w:rPr>
              <w:t>Infrared Capital Partners</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4,120</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0.08%</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699,634</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8"/>
              <w:jc w:val="both"/>
            </w:pPr>
            <w:r>
              <w:rPr>
                <w:rFonts w:ascii="Verdana" w:eastAsia="Verdana" w:hAnsi="Verdana" w:cs="Verdana"/>
                <w:sz w:val="18"/>
              </w:rPr>
              <w:t>Insight Investment Mana</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4"/>
              <w:jc w:val="both"/>
            </w:pPr>
            <w:r>
              <w:rPr>
                <w:rFonts w:ascii="Verdana" w:eastAsia="Verdana" w:hAnsi="Verdana" w:cs="Verdana"/>
                <w:sz w:val="18"/>
              </w:rPr>
              <w:t>gement (Global) L</w:t>
            </w:r>
          </w:p>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712,004</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13.39%</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8,090</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Ithaca</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9,723</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JP Morgan</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110,020</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Knight Frank</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167,360</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3.15%</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48,418</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jc w:val="both"/>
            </w:pPr>
            <w:r>
              <w:rPr>
                <w:rFonts w:ascii="Verdana" w:eastAsia="Verdana" w:hAnsi="Verdana" w:cs="Verdana"/>
                <w:sz w:val="18"/>
              </w:rPr>
              <w:t>LGT Capital Partners Ltd</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2,276,213</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LPPI Global Equities</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2,320,391</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43.65%</w:t>
            </w:r>
          </w:p>
        </w:tc>
      </w:tr>
      <w:tr w:rsidR="00576F87">
        <w:trPr>
          <w:trHeight w:val="298"/>
        </w:trPr>
        <w:tc>
          <w:tcPr>
            <w:tcW w:w="2236" w:type="dxa"/>
            <w:tcBorders>
              <w:top w:val="single" w:sz="8" w:space="0" w:color="35437C"/>
              <w:left w:val="single" w:sz="12" w:space="0" w:color="35437C"/>
              <w:bottom w:val="single" w:sz="8" w:space="0" w:color="35437C"/>
              <w:right w:val="single" w:sz="8" w:space="0" w:color="35437C"/>
            </w:tcBorders>
          </w:tcPr>
          <w:p w:rsidR="00576F87" w:rsidRDefault="00576F87"/>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8"/>
            </w:pPr>
            <w:r>
              <w:rPr>
                <w:rFonts w:ascii="Verdana" w:eastAsia="Verdana" w:hAnsi="Verdana" w:cs="Verdana"/>
                <w:sz w:val="18"/>
              </w:rPr>
              <w:t>LPPI Credit</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263,069</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4.95%</w:t>
            </w:r>
          </w:p>
        </w:tc>
      </w:tr>
      <w:tr w:rsidR="00576F87">
        <w:trPr>
          <w:trHeight w:val="298"/>
        </w:trPr>
        <w:tc>
          <w:tcPr>
            <w:tcW w:w="2236" w:type="dxa"/>
            <w:tcBorders>
              <w:top w:val="single" w:sz="8" w:space="0" w:color="35437C"/>
              <w:left w:val="single" w:sz="12" w:space="0" w:color="35437C"/>
              <w:bottom w:val="single" w:sz="8" w:space="0" w:color="35437C"/>
              <w:right w:val="single" w:sz="8" w:space="0" w:color="35437C"/>
            </w:tcBorders>
          </w:tcPr>
          <w:p w:rsidR="00576F87" w:rsidRDefault="00576F87"/>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8"/>
            </w:pPr>
            <w:r>
              <w:rPr>
                <w:rFonts w:ascii="Verdana" w:eastAsia="Verdana" w:hAnsi="Verdana" w:cs="Verdana"/>
                <w:sz w:val="18"/>
              </w:rPr>
              <w:t>LPPI Infrastructure</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279,626</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5.26%</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576F87"/>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8"/>
            </w:pPr>
            <w:r>
              <w:rPr>
                <w:rFonts w:ascii="Verdana" w:eastAsia="Verdana" w:hAnsi="Verdana" w:cs="Verdana"/>
                <w:sz w:val="18"/>
              </w:rPr>
              <w:t>LPPI Private Equity</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578,913</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10.89%</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576F87"/>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8"/>
            </w:pPr>
            <w:r>
              <w:rPr>
                <w:rFonts w:ascii="Verdana" w:eastAsia="Verdana" w:hAnsi="Verdana" w:cs="Verdana"/>
                <w:sz w:val="18"/>
              </w:rPr>
              <w:t>LPPI Phaunos</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8,171</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0.15%</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576F87"/>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8"/>
            </w:pPr>
            <w:r>
              <w:rPr>
                <w:rFonts w:ascii="Verdana" w:eastAsia="Verdana" w:hAnsi="Verdana" w:cs="Verdana"/>
                <w:sz w:val="18"/>
              </w:rPr>
              <w:t>LPPI Fixed Income</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135,852</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2.56%</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60,049</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jc w:val="both"/>
            </w:pPr>
            <w:r>
              <w:rPr>
                <w:rFonts w:ascii="Verdana" w:eastAsia="Verdana" w:hAnsi="Verdana" w:cs="Verdana"/>
                <w:sz w:val="18"/>
              </w:rPr>
              <w:t>M&amp;G Investment Manag</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102"/>
            </w:pPr>
            <w:r>
              <w:rPr>
                <w:rFonts w:ascii="Verdana" w:eastAsia="Verdana" w:hAnsi="Verdana" w:cs="Verdana"/>
                <w:sz w:val="18"/>
              </w:rPr>
              <w:t>ement Ltd</w:t>
            </w:r>
          </w:p>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sz w:val="18"/>
              </w:rPr>
              <w:t>4,665</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t>0.09%</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49,766</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Meridiam Infrastructure</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576F87"/>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8"/>
              <w:jc w:val="both"/>
            </w:pPr>
            <w:r>
              <w:rPr>
                <w:rFonts w:ascii="Verdana" w:eastAsia="Verdana" w:hAnsi="Verdana" w:cs="Verdana"/>
                <w:sz w:val="18"/>
              </w:rPr>
              <w:t>MFS International (UK) L</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19"/>
            </w:pPr>
            <w:r>
              <w:rPr>
                <w:rFonts w:ascii="Verdana" w:eastAsia="Verdana" w:hAnsi="Verdana" w:cs="Verdana"/>
                <w:sz w:val="18"/>
              </w:rPr>
              <w:t>td</w:t>
            </w:r>
          </w:p>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8"/>
        </w:trPr>
        <w:tc>
          <w:tcPr>
            <w:tcW w:w="2236" w:type="dxa"/>
            <w:tcBorders>
              <w:top w:val="single" w:sz="8" w:space="0" w:color="35437C"/>
              <w:left w:val="single" w:sz="12" w:space="0" w:color="35437C"/>
              <w:bottom w:val="single" w:sz="15" w:space="0" w:color="35437C"/>
              <w:right w:val="single" w:sz="8" w:space="0" w:color="35437C"/>
            </w:tcBorders>
          </w:tcPr>
          <w:p w:rsidR="00576F87" w:rsidRDefault="004165F5">
            <w:pPr>
              <w:spacing w:after="0"/>
              <w:ind w:right="38"/>
              <w:jc w:val="right"/>
            </w:pPr>
            <w:r>
              <w:rPr>
                <w:rFonts w:ascii="Verdana" w:eastAsia="Verdana" w:hAnsi="Verdana" w:cs="Verdana"/>
                <w:sz w:val="18"/>
              </w:rPr>
              <w:t>20,046</w:t>
            </w:r>
          </w:p>
        </w:tc>
        <w:tc>
          <w:tcPr>
            <w:tcW w:w="2287" w:type="dxa"/>
            <w:tcBorders>
              <w:top w:val="single" w:sz="8" w:space="0" w:color="35437C"/>
              <w:left w:val="single" w:sz="8" w:space="0" w:color="35437C"/>
              <w:bottom w:val="single" w:sz="15" w:space="0" w:color="35437C"/>
              <w:right w:val="nil"/>
            </w:tcBorders>
          </w:tcPr>
          <w:p w:rsidR="00576F87" w:rsidRDefault="004165F5">
            <w:pPr>
              <w:spacing w:after="0"/>
              <w:ind w:left="39"/>
              <w:jc w:val="both"/>
            </w:pPr>
            <w:r>
              <w:rPr>
                <w:rFonts w:ascii="Verdana" w:eastAsia="Verdana" w:hAnsi="Verdana" w:cs="Verdana"/>
                <w:sz w:val="18"/>
              </w:rPr>
              <w:t>Montana Capital Partner</w:t>
            </w:r>
          </w:p>
        </w:tc>
        <w:tc>
          <w:tcPr>
            <w:tcW w:w="1625" w:type="dxa"/>
            <w:tcBorders>
              <w:top w:val="single" w:sz="8" w:space="0" w:color="35437C"/>
              <w:left w:val="nil"/>
              <w:bottom w:val="single" w:sz="15" w:space="0" w:color="35437C"/>
              <w:right w:val="single" w:sz="8" w:space="0" w:color="35437C"/>
            </w:tcBorders>
          </w:tcPr>
          <w:p w:rsidR="00576F87" w:rsidRDefault="004165F5">
            <w:pPr>
              <w:spacing w:after="0"/>
              <w:ind w:left="-88"/>
            </w:pPr>
            <w:r>
              <w:rPr>
                <w:rFonts w:ascii="Verdana" w:eastAsia="Verdana" w:hAnsi="Verdana" w:cs="Verdana"/>
                <w:sz w:val="18"/>
              </w:rPr>
              <w:t>s LP</w:t>
            </w:r>
          </w:p>
        </w:tc>
        <w:tc>
          <w:tcPr>
            <w:tcW w:w="1925" w:type="dxa"/>
            <w:tcBorders>
              <w:top w:val="single" w:sz="8" w:space="0" w:color="35437C"/>
              <w:left w:val="single" w:sz="8" w:space="0" w:color="35437C"/>
              <w:bottom w:val="single" w:sz="15" w:space="0" w:color="35437C"/>
              <w:right w:val="single" w:sz="8"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8" w:space="0" w:color="35437C"/>
              <w:bottom w:val="single" w:sz="15" w:space="0" w:color="35437C"/>
              <w:right w:val="single" w:sz="15" w:space="0" w:color="35437C"/>
            </w:tcBorders>
          </w:tcPr>
          <w:p w:rsidR="00576F87" w:rsidRDefault="00576F87"/>
        </w:tc>
      </w:tr>
    </w:tbl>
    <w:p w:rsidR="00576F87" w:rsidRDefault="004165F5">
      <w:pPr>
        <w:pStyle w:val="Heading2"/>
        <w:ind w:left="147"/>
      </w:pPr>
      <w:r>
        <w:rPr>
          <w:b/>
          <w:color w:val="3F977F"/>
          <w:sz w:val="27"/>
        </w:rPr>
        <w:t>LPFA Accounts 31 March 2018</w:t>
      </w:r>
    </w:p>
    <w:p w:rsidR="00576F87" w:rsidRDefault="004165F5">
      <w:pPr>
        <w:pStyle w:val="Heading3"/>
        <w:spacing w:after="0"/>
        <w:ind w:left="132"/>
      </w:pPr>
      <w:r>
        <w:t>Investments Analysed by Fund Manager (contd.)</w:t>
      </w:r>
    </w:p>
    <w:tbl>
      <w:tblPr>
        <w:tblStyle w:val="TableGrid"/>
        <w:tblW w:w="9635" w:type="dxa"/>
        <w:tblInd w:w="80" w:type="dxa"/>
        <w:tblCellMar>
          <w:top w:w="34" w:type="dxa"/>
          <w:left w:w="0" w:type="dxa"/>
          <w:bottom w:w="0" w:type="dxa"/>
          <w:right w:w="0" w:type="dxa"/>
        </w:tblCellMar>
        <w:tblLook w:val="04A0" w:firstRow="1" w:lastRow="0" w:firstColumn="1" w:lastColumn="0" w:noHBand="0" w:noVBand="1"/>
      </w:tblPr>
      <w:tblGrid>
        <w:gridCol w:w="2236"/>
        <w:gridCol w:w="2287"/>
        <w:gridCol w:w="1625"/>
        <w:gridCol w:w="1925"/>
        <w:gridCol w:w="1562"/>
      </w:tblGrid>
      <w:tr w:rsidR="00576F87">
        <w:trPr>
          <w:trHeight w:val="593"/>
        </w:trPr>
        <w:tc>
          <w:tcPr>
            <w:tcW w:w="2236"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1"/>
              <w:ind w:right="33"/>
              <w:jc w:val="right"/>
            </w:pPr>
            <w:r>
              <w:rPr>
                <w:rFonts w:ascii="Verdana" w:eastAsia="Verdana" w:hAnsi="Verdana" w:cs="Verdana"/>
                <w:b/>
                <w:color w:val="FFFFFF"/>
                <w:sz w:val="16"/>
              </w:rPr>
              <w:t xml:space="preserve">        Market value 31 </w:t>
            </w:r>
          </w:p>
          <w:p w:rsidR="00576F87" w:rsidRDefault="004165F5">
            <w:pPr>
              <w:spacing w:after="0"/>
              <w:ind w:right="33"/>
              <w:jc w:val="right"/>
            </w:pPr>
            <w:r>
              <w:rPr>
                <w:rFonts w:ascii="Verdana" w:eastAsia="Verdana" w:hAnsi="Verdana" w:cs="Verdana"/>
                <w:b/>
                <w:color w:val="FFFFFF"/>
                <w:sz w:val="16"/>
              </w:rPr>
              <w:t>March 2017</w:t>
            </w:r>
          </w:p>
        </w:tc>
        <w:tc>
          <w:tcPr>
            <w:tcW w:w="2287"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625"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925"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1"/>
              <w:ind w:left="62"/>
              <w:jc w:val="both"/>
            </w:pPr>
            <w:r>
              <w:rPr>
                <w:rFonts w:ascii="Verdana" w:eastAsia="Verdana" w:hAnsi="Verdana" w:cs="Verdana"/>
                <w:b/>
                <w:color w:val="FFFFFF"/>
                <w:sz w:val="16"/>
              </w:rPr>
              <w:t xml:space="preserve">        Market value 31 </w:t>
            </w:r>
          </w:p>
          <w:p w:rsidR="00576F87" w:rsidRDefault="004165F5">
            <w:pPr>
              <w:spacing w:after="0"/>
              <w:ind w:right="33"/>
              <w:jc w:val="right"/>
            </w:pPr>
            <w:r>
              <w:rPr>
                <w:rFonts w:ascii="Verdana" w:eastAsia="Verdana" w:hAnsi="Verdana" w:cs="Verdana"/>
                <w:b/>
                <w:color w:val="FFFFFF"/>
                <w:sz w:val="16"/>
              </w:rPr>
              <w:t>March 2018</w:t>
            </w:r>
          </w:p>
        </w:tc>
        <w:tc>
          <w:tcPr>
            <w:tcW w:w="1562"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4165F5">
            <w:pPr>
              <w:spacing w:after="0" w:line="261" w:lineRule="auto"/>
              <w:ind w:left="120" w:firstLine="94"/>
            </w:pPr>
            <w:r>
              <w:rPr>
                <w:rFonts w:ascii="Verdana" w:eastAsia="Verdana" w:hAnsi="Verdana" w:cs="Verdana"/>
                <w:b/>
                <w:color w:val="FFFFFF"/>
                <w:sz w:val="16"/>
              </w:rPr>
              <w:t xml:space="preserve"> % of Market value 31 March </w:t>
            </w:r>
          </w:p>
          <w:p w:rsidR="00576F87" w:rsidRDefault="004165F5">
            <w:pPr>
              <w:spacing w:after="0"/>
              <w:ind w:left="8"/>
              <w:jc w:val="center"/>
            </w:pPr>
            <w:r>
              <w:rPr>
                <w:rFonts w:ascii="Verdana" w:eastAsia="Verdana" w:hAnsi="Verdana" w:cs="Verdana"/>
                <w:b/>
                <w:color w:val="FFFFFF"/>
                <w:sz w:val="16"/>
              </w:rPr>
              <w:t>2018</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44"/>
              <w:jc w:val="right"/>
            </w:pPr>
            <w:r>
              <w:rPr>
                <w:rFonts w:ascii="Verdana" w:eastAsia="Verdana" w:hAnsi="Verdana" w:cs="Verdana"/>
                <w:b/>
                <w:sz w:val="18"/>
              </w:rPr>
              <w:t>£000</w:t>
            </w:r>
          </w:p>
        </w:tc>
        <w:tc>
          <w:tcPr>
            <w:tcW w:w="2287" w:type="dxa"/>
            <w:tcBorders>
              <w:top w:val="single" w:sz="8" w:space="0" w:color="35437C"/>
              <w:left w:val="single" w:sz="8" w:space="0" w:color="35437C"/>
              <w:bottom w:val="single" w:sz="8" w:space="0" w:color="35437C"/>
              <w:right w:val="nil"/>
            </w:tcBorders>
          </w:tcPr>
          <w:p w:rsidR="00576F87" w:rsidRDefault="00576F87"/>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4"/>
              <w:jc w:val="right"/>
            </w:pPr>
            <w:r>
              <w:rPr>
                <w:rFonts w:ascii="Verdana" w:eastAsia="Verdana" w:hAnsi="Verdana" w:cs="Verdana"/>
                <w:b/>
                <w:sz w:val="18"/>
              </w:rPr>
              <w:t>£000</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4165F5">
            <w:pPr>
              <w:spacing w:after="0"/>
              <w:ind w:left="16"/>
              <w:jc w:val="center"/>
            </w:pPr>
            <w:r>
              <w:rPr>
                <w:b/>
              </w:rPr>
              <w:t>%</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19,664</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Naxicap</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90,859</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jc w:val="both"/>
            </w:pPr>
            <w:r>
              <w:rPr>
                <w:rFonts w:ascii="Verdana" w:eastAsia="Verdana" w:hAnsi="Verdana" w:cs="Verdana"/>
                <w:sz w:val="18"/>
              </w:rPr>
              <w:t xml:space="preserve">Pantheon Ventures (UK) </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11"/>
            </w:pPr>
            <w:r>
              <w:rPr>
                <w:rFonts w:ascii="Verdana" w:eastAsia="Verdana" w:hAnsi="Verdana" w:cs="Verdana"/>
                <w:sz w:val="18"/>
              </w:rPr>
              <w:t>LLP</w:t>
            </w:r>
          </w:p>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45,894</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Permira Europe V, LP</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10,012</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jc w:val="both"/>
            </w:pPr>
            <w:r>
              <w:rPr>
                <w:rFonts w:ascii="Verdana" w:eastAsia="Verdana" w:hAnsi="Verdana" w:cs="Verdana"/>
                <w:sz w:val="18"/>
              </w:rPr>
              <w:t>Phaunos Timber Fund Li</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93"/>
            </w:pPr>
            <w:r>
              <w:rPr>
                <w:rFonts w:ascii="Verdana" w:eastAsia="Verdana" w:hAnsi="Verdana" w:cs="Verdana"/>
                <w:sz w:val="18"/>
              </w:rPr>
              <w:t xml:space="preserve">mited </w:t>
            </w:r>
          </w:p>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424</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Pontoon Dock</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13,410</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4165F5">
            <w:pPr>
              <w:spacing w:after="0"/>
              <w:ind w:right="37"/>
              <w:jc w:val="right"/>
            </w:pPr>
            <w:r>
              <w:t>0.25%</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3,776</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jc w:val="both"/>
            </w:pPr>
            <w:r>
              <w:rPr>
                <w:rFonts w:ascii="Verdana" w:eastAsia="Verdana" w:hAnsi="Verdana" w:cs="Verdana"/>
                <w:sz w:val="18"/>
              </w:rPr>
              <w:t>Record Currency Manage</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9"/>
            </w:pPr>
            <w:r>
              <w:rPr>
                <w:rFonts w:ascii="Verdana" w:eastAsia="Verdana" w:hAnsi="Verdana" w:cs="Verdana"/>
                <w:sz w:val="18"/>
              </w:rPr>
              <w:t xml:space="preserve">ment </w:t>
            </w:r>
          </w:p>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11,783</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Red Kite Mine Finance</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10,729</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4165F5">
            <w:pPr>
              <w:spacing w:after="0"/>
              <w:ind w:right="37"/>
              <w:jc w:val="right"/>
            </w:pPr>
            <w:r>
              <w:t>0.20%</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9,743</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jc w:val="both"/>
            </w:pPr>
            <w:r>
              <w:rPr>
                <w:rFonts w:ascii="Verdana" w:eastAsia="Verdana" w:hAnsi="Verdana" w:cs="Verdana"/>
                <w:sz w:val="18"/>
              </w:rPr>
              <w:t>Robeco Alternative Inves</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9"/>
            </w:pPr>
            <w:r>
              <w:rPr>
                <w:rFonts w:ascii="Verdana" w:eastAsia="Verdana" w:hAnsi="Verdana" w:cs="Verdana"/>
                <w:sz w:val="18"/>
              </w:rPr>
              <w:t>tments</w:t>
            </w:r>
          </w:p>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99,459</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Semperian PPP Investm</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102"/>
            </w:pPr>
            <w:r>
              <w:rPr>
                <w:rFonts w:ascii="Verdana" w:eastAsia="Verdana" w:hAnsi="Verdana" w:cs="Verdana"/>
                <w:sz w:val="18"/>
              </w:rPr>
              <w:t>ent Partners</w:t>
            </w:r>
          </w:p>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4,729</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Standard Chartered</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4,095</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4165F5">
            <w:pPr>
              <w:spacing w:after="0"/>
              <w:ind w:right="37"/>
              <w:jc w:val="right"/>
            </w:pPr>
            <w:r>
              <w:t>0.08%</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34,662</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jc w:val="both"/>
            </w:pPr>
            <w:r>
              <w:rPr>
                <w:rFonts w:ascii="Verdana" w:eastAsia="Verdana" w:hAnsi="Verdana" w:cs="Verdana"/>
                <w:sz w:val="18"/>
              </w:rPr>
              <w:t>The Energy &amp; Minerals G</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35"/>
            </w:pPr>
            <w:r>
              <w:rPr>
                <w:rFonts w:ascii="Verdana" w:eastAsia="Verdana" w:hAnsi="Verdana" w:cs="Verdana"/>
                <w:sz w:val="18"/>
              </w:rPr>
              <w:t>roup Fund III, LP</w:t>
            </w:r>
          </w:p>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126,765</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Winton-EVO</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132,024</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4165F5">
            <w:pPr>
              <w:spacing w:after="0"/>
              <w:ind w:right="37"/>
              <w:jc w:val="right"/>
            </w:pPr>
            <w:r>
              <w:t>2.48%</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1,139</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9"/>
            </w:pPr>
            <w:r>
              <w:rPr>
                <w:rFonts w:ascii="Verdana" w:eastAsia="Verdana" w:hAnsi="Verdana" w:cs="Verdana"/>
                <w:sz w:val="18"/>
              </w:rPr>
              <w:t>Zouk Capital LLP</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9"/>
              <w:jc w:val="right"/>
            </w:pPr>
            <w:r>
              <w:rPr>
                <w:rFonts w:ascii="Verdana" w:eastAsia="Verdana" w:hAnsi="Verdana" w:cs="Verdana"/>
                <w:sz w:val="18"/>
              </w:rPr>
              <w:t>-</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576F87"/>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8"/>
            </w:pPr>
            <w:r>
              <w:rPr>
                <w:rFonts w:ascii="Verdana" w:eastAsia="Verdana" w:hAnsi="Verdana" w:cs="Verdana"/>
                <w:sz w:val="18"/>
              </w:rPr>
              <w:t>Zouk Solar</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88</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4165F5">
            <w:pPr>
              <w:spacing w:after="0"/>
              <w:ind w:right="37"/>
              <w:jc w:val="right"/>
            </w:pPr>
            <w:r>
              <w:t>0.00%</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shd w:val="clear" w:color="auto" w:fill="35437C"/>
          </w:tcPr>
          <w:p w:rsidR="00576F87" w:rsidRDefault="004165F5">
            <w:pPr>
              <w:spacing w:after="0"/>
              <w:ind w:right="39"/>
              <w:jc w:val="right"/>
            </w:pPr>
            <w:r>
              <w:rPr>
                <w:rFonts w:ascii="Verdana" w:eastAsia="Verdana" w:hAnsi="Verdana" w:cs="Verdana"/>
                <w:b/>
                <w:color w:val="FFFFFF"/>
                <w:sz w:val="18"/>
              </w:rPr>
              <w:t>4,980,764</w:t>
            </w:r>
          </w:p>
        </w:tc>
        <w:tc>
          <w:tcPr>
            <w:tcW w:w="2287" w:type="dxa"/>
            <w:tcBorders>
              <w:top w:val="single" w:sz="8" w:space="0" w:color="35437C"/>
              <w:left w:val="single" w:sz="8" w:space="0" w:color="35437C"/>
              <w:bottom w:val="single" w:sz="8" w:space="0" w:color="35437C"/>
              <w:right w:val="nil"/>
            </w:tcBorders>
            <w:shd w:val="clear" w:color="auto" w:fill="35437C"/>
          </w:tcPr>
          <w:p w:rsidR="00576F87" w:rsidRDefault="00576F87"/>
        </w:tc>
        <w:tc>
          <w:tcPr>
            <w:tcW w:w="1625" w:type="dxa"/>
            <w:tcBorders>
              <w:top w:val="single" w:sz="8" w:space="0" w:color="35437C"/>
              <w:left w:val="nil"/>
              <w:bottom w:val="single" w:sz="8" w:space="0" w:color="35437C"/>
              <w:right w:val="single" w:sz="8" w:space="0" w:color="35437C"/>
            </w:tcBorders>
            <w:shd w:val="clear" w:color="auto" w:fill="35437C"/>
          </w:tcPr>
          <w:p w:rsidR="00576F87" w:rsidRDefault="00576F87"/>
        </w:tc>
        <w:tc>
          <w:tcPr>
            <w:tcW w:w="1925" w:type="dxa"/>
            <w:tcBorders>
              <w:top w:val="single" w:sz="8"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39"/>
              <w:jc w:val="right"/>
            </w:pPr>
            <w:r>
              <w:rPr>
                <w:rFonts w:ascii="Verdana" w:eastAsia="Verdana" w:hAnsi="Verdana" w:cs="Verdana"/>
                <w:b/>
                <w:color w:val="FFFFFF"/>
                <w:sz w:val="18"/>
              </w:rPr>
              <w:t>5,315,471</w:t>
            </w:r>
          </w:p>
        </w:tc>
        <w:tc>
          <w:tcPr>
            <w:tcW w:w="1562" w:type="dxa"/>
            <w:tcBorders>
              <w:top w:val="single" w:sz="8" w:space="0" w:color="35437C"/>
              <w:left w:val="single" w:sz="15" w:space="0" w:color="35437C"/>
              <w:bottom w:val="single" w:sz="8" w:space="0" w:color="35437C"/>
              <w:right w:val="single" w:sz="15" w:space="0" w:color="35437C"/>
            </w:tcBorders>
            <w:shd w:val="clear" w:color="auto" w:fill="35437C"/>
          </w:tcPr>
          <w:p w:rsidR="00576F87" w:rsidRDefault="004165F5">
            <w:pPr>
              <w:spacing w:after="0"/>
              <w:ind w:right="38"/>
              <w:jc w:val="right"/>
            </w:pPr>
            <w:r>
              <w:rPr>
                <w:rFonts w:ascii="Verdana" w:eastAsia="Verdana" w:hAnsi="Verdana" w:cs="Verdana"/>
                <w:b/>
                <w:color w:val="FFFFFF"/>
                <w:sz w:val="18"/>
              </w:rPr>
              <w:t>100%</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576F87"/>
        </w:tc>
        <w:tc>
          <w:tcPr>
            <w:tcW w:w="2287" w:type="dxa"/>
            <w:tcBorders>
              <w:top w:val="single" w:sz="8" w:space="0" w:color="35437C"/>
              <w:left w:val="single" w:sz="8" w:space="0" w:color="35437C"/>
              <w:bottom w:val="single" w:sz="8" w:space="0" w:color="35437C"/>
              <w:right w:val="nil"/>
            </w:tcBorders>
          </w:tcPr>
          <w:p w:rsidR="00576F87" w:rsidRDefault="00576F87"/>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15" w:space="0" w:color="35437C"/>
            </w:tcBorders>
          </w:tcPr>
          <w:p w:rsidR="00576F87" w:rsidRDefault="00576F87"/>
        </w:tc>
        <w:tc>
          <w:tcPr>
            <w:tcW w:w="1562" w:type="dxa"/>
            <w:tcBorders>
              <w:top w:val="single" w:sz="8" w:space="0" w:color="35437C"/>
              <w:left w:val="single" w:sz="15"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sz w:val="18"/>
              </w:rPr>
              <w:t>3,255</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8"/>
              <w:jc w:val="both"/>
            </w:pPr>
            <w:r>
              <w:rPr>
                <w:rFonts w:ascii="Verdana" w:eastAsia="Verdana" w:hAnsi="Verdana" w:cs="Verdana"/>
                <w:sz w:val="18"/>
              </w:rPr>
              <w:t>Cash held by investment</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31"/>
            </w:pPr>
            <w:r>
              <w:rPr>
                <w:rFonts w:ascii="Verdana" w:eastAsia="Verdana" w:hAnsi="Verdana" w:cs="Verdana"/>
                <w:sz w:val="18"/>
              </w:rPr>
              <w:t xml:space="preserve"> managers</w:t>
            </w:r>
          </w:p>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rPr>
                <w:rFonts w:ascii="Verdana" w:eastAsia="Verdana" w:hAnsi="Verdana" w:cs="Verdana"/>
                <w:sz w:val="18"/>
              </w:rPr>
              <w:t>58,849</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sz w:val="18"/>
              </w:rPr>
              <w:t>421</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8"/>
              <w:jc w:val="both"/>
            </w:pPr>
            <w:r>
              <w:rPr>
                <w:rFonts w:ascii="Verdana" w:eastAsia="Verdana" w:hAnsi="Verdana" w:cs="Verdana"/>
                <w:sz w:val="18"/>
              </w:rPr>
              <w:t>Amounts receivable for s</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18"/>
            </w:pPr>
            <w:r>
              <w:rPr>
                <w:rFonts w:ascii="Verdana" w:eastAsia="Verdana" w:hAnsi="Verdana" w:cs="Verdana"/>
                <w:sz w:val="18"/>
              </w:rPr>
              <w:t>ales</w:t>
            </w:r>
          </w:p>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617</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sz w:val="18"/>
              </w:rPr>
              <w:t>3,632</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8"/>
            </w:pPr>
            <w:r>
              <w:rPr>
                <w:rFonts w:ascii="Verdana" w:eastAsia="Verdana" w:hAnsi="Verdana" w:cs="Verdana"/>
                <w:sz w:val="18"/>
              </w:rPr>
              <w:t>Investment income due</w:t>
            </w:r>
          </w:p>
        </w:tc>
        <w:tc>
          <w:tcPr>
            <w:tcW w:w="1625" w:type="dxa"/>
            <w:tcBorders>
              <w:top w:val="single" w:sz="8" w:space="0" w:color="35437C"/>
              <w:left w:val="nil"/>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81</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576F87"/>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(1,027)</w:t>
            </w:r>
          </w:p>
        </w:tc>
        <w:tc>
          <w:tcPr>
            <w:tcW w:w="2287" w:type="dxa"/>
            <w:tcBorders>
              <w:top w:val="single" w:sz="8" w:space="0" w:color="35437C"/>
              <w:left w:val="single" w:sz="8" w:space="0" w:color="35437C"/>
              <w:bottom w:val="single" w:sz="8" w:space="0" w:color="35437C"/>
              <w:right w:val="nil"/>
            </w:tcBorders>
          </w:tcPr>
          <w:p w:rsidR="00576F87" w:rsidRDefault="004165F5">
            <w:pPr>
              <w:spacing w:after="0"/>
              <w:ind w:left="38"/>
              <w:jc w:val="both"/>
            </w:pPr>
            <w:r>
              <w:rPr>
                <w:rFonts w:ascii="Verdana" w:eastAsia="Verdana" w:hAnsi="Verdana" w:cs="Verdana"/>
                <w:sz w:val="18"/>
              </w:rPr>
              <w:t>Amounts payable for pur</w:t>
            </w:r>
          </w:p>
        </w:tc>
        <w:tc>
          <w:tcPr>
            <w:tcW w:w="1625" w:type="dxa"/>
            <w:tcBorders>
              <w:top w:val="single" w:sz="8" w:space="0" w:color="35437C"/>
              <w:left w:val="nil"/>
              <w:bottom w:val="single" w:sz="8" w:space="0" w:color="35437C"/>
              <w:right w:val="single" w:sz="8" w:space="0" w:color="35437C"/>
            </w:tcBorders>
          </w:tcPr>
          <w:p w:rsidR="00576F87" w:rsidRDefault="004165F5">
            <w:pPr>
              <w:spacing w:after="0"/>
              <w:ind w:left="-28"/>
            </w:pPr>
            <w:r>
              <w:rPr>
                <w:rFonts w:ascii="Verdana" w:eastAsia="Verdana" w:hAnsi="Verdana" w:cs="Verdana"/>
                <w:sz w:val="18"/>
              </w:rPr>
              <w:t>chases</w:t>
            </w:r>
          </w:p>
        </w:tc>
        <w:tc>
          <w:tcPr>
            <w:tcW w:w="19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5"/>
              <w:jc w:val="right"/>
            </w:pPr>
            <w:r>
              <w:rPr>
                <w:rFonts w:ascii="Verdana" w:eastAsia="Verdana" w:hAnsi="Verdana" w:cs="Verdana"/>
                <w:sz w:val="18"/>
              </w:rPr>
              <w:t>-</w:t>
            </w:r>
          </w:p>
        </w:tc>
        <w:tc>
          <w:tcPr>
            <w:tcW w:w="1562" w:type="dxa"/>
            <w:tcBorders>
              <w:top w:val="single" w:sz="8" w:space="0" w:color="35437C"/>
              <w:left w:val="single" w:sz="15" w:space="0" w:color="35437C"/>
              <w:bottom w:val="single" w:sz="8" w:space="0" w:color="35437C"/>
              <w:right w:val="single" w:sz="15" w:space="0" w:color="35437C"/>
            </w:tcBorders>
          </w:tcPr>
          <w:p w:rsidR="00576F87" w:rsidRDefault="00576F87"/>
        </w:tc>
      </w:tr>
      <w:tr w:rsidR="00576F87">
        <w:trPr>
          <w:trHeight w:val="298"/>
        </w:trPr>
        <w:tc>
          <w:tcPr>
            <w:tcW w:w="2236"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right="39"/>
              <w:jc w:val="right"/>
            </w:pPr>
            <w:r>
              <w:rPr>
                <w:rFonts w:ascii="Verdana" w:eastAsia="Verdana" w:hAnsi="Verdana" w:cs="Verdana"/>
                <w:b/>
                <w:color w:val="FFFFFF"/>
                <w:sz w:val="18"/>
              </w:rPr>
              <w:t>4,987,045</w:t>
            </w:r>
          </w:p>
        </w:tc>
        <w:tc>
          <w:tcPr>
            <w:tcW w:w="2287" w:type="dxa"/>
            <w:tcBorders>
              <w:top w:val="single" w:sz="8" w:space="0" w:color="35437C"/>
              <w:left w:val="single" w:sz="8" w:space="0" w:color="35437C"/>
              <w:bottom w:val="single" w:sz="15" w:space="0" w:color="35437C"/>
              <w:right w:val="nil"/>
            </w:tcBorders>
            <w:shd w:val="clear" w:color="auto" w:fill="35437C"/>
          </w:tcPr>
          <w:p w:rsidR="00576F87" w:rsidRDefault="00576F87"/>
        </w:tc>
        <w:tc>
          <w:tcPr>
            <w:tcW w:w="1625" w:type="dxa"/>
            <w:tcBorders>
              <w:top w:val="single" w:sz="8" w:space="0" w:color="35437C"/>
              <w:left w:val="nil"/>
              <w:bottom w:val="single" w:sz="15" w:space="0" w:color="35437C"/>
              <w:right w:val="single" w:sz="8" w:space="0" w:color="35437C"/>
            </w:tcBorders>
            <w:shd w:val="clear" w:color="auto" w:fill="35437C"/>
          </w:tcPr>
          <w:p w:rsidR="00576F87" w:rsidRDefault="00576F87"/>
        </w:tc>
        <w:tc>
          <w:tcPr>
            <w:tcW w:w="1925"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39"/>
              <w:jc w:val="right"/>
            </w:pPr>
            <w:r>
              <w:rPr>
                <w:rFonts w:ascii="Verdana" w:eastAsia="Verdana" w:hAnsi="Verdana" w:cs="Verdana"/>
                <w:b/>
                <w:color w:val="FFFFFF"/>
                <w:sz w:val="18"/>
              </w:rPr>
              <w:t>5,375,018</w:t>
            </w:r>
          </w:p>
        </w:tc>
        <w:tc>
          <w:tcPr>
            <w:tcW w:w="1562" w:type="dxa"/>
            <w:tcBorders>
              <w:top w:val="single" w:sz="8" w:space="0" w:color="35437C"/>
              <w:left w:val="single" w:sz="15" w:space="0" w:color="35437C"/>
              <w:bottom w:val="single" w:sz="8" w:space="0" w:color="35437C"/>
              <w:right w:val="single" w:sz="15" w:space="0" w:color="35437C"/>
            </w:tcBorders>
            <w:shd w:val="clear" w:color="auto" w:fill="35437C"/>
          </w:tcPr>
          <w:p w:rsidR="00576F87" w:rsidRDefault="00576F87"/>
        </w:tc>
      </w:tr>
    </w:tbl>
    <w:p w:rsidR="00576F87" w:rsidRDefault="004165F5">
      <w:pPr>
        <w:spacing w:after="3" w:line="264" w:lineRule="auto"/>
        <w:ind w:left="128" w:right="12" w:hanging="10"/>
        <w:jc w:val="both"/>
      </w:pPr>
      <w:r>
        <w:rPr>
          <w:rFonts w:ascii="Verdana" w:eastAsia="Verdana" w:hAnsi="Verdana" w:cs="Verdana"/>
          <w:sz w:val="20"/>
        </w:rPr>
        <w:t>The following investments represent more than 5% of the net assets of the scheme:</w:t>
      </w:r>
    </w:p>
    <w:tbl>
      <w:tblPr>
        <w:tblStyle w:val="TableGrid"/>
        <w:tblW w:w="9635" w:type="dxa"/>
        <w:tblInd w:w="80" w:type="dxa"/>
        <w:tblCellMar>
          <w:top w:w="76" w:type="dxa"/>
          <w:left w:w="32" w:type="dxa"/>
          <w:bottom w:w="35" w:type="dxa"/>
          <w:right w:w="0" w:type="dxa"/>
        </w:tblCellMar>
        <w:tblLook w:val="04A0" w:firstRow="1" w:lastRow="0" w:firstColumn="1" w:lastColumn="0" w:noHBand="0" w:noVBand="1"/>
      </w:tblPr>
      <w:tblGrid>
        <w:gridCol w:w="2236"/>
        <w:gridCol w:w="2287"/>
        <w:gridCol w:w="1625"/>
        <w:gridCol w:w="1925"/>
        <w:gridCol w:w="1562"/>
      </w:tblGrid>
      <w:tr w:rsidR="00576F87">
        <w:trPr>
          <w:trHeight w:val="523"/>
        </w:trPr>
        <w:tc>
          <w:tcPr>
            <w:tcW w:w="2236" w:type="dxa"/>
            <w:tcBorders>
              <w:top w:val="single" w:sz="15" w:space="0" w:color="35437C"/>
              <w:left w:val="single" w:sz="12" w:space="0" w:color="35437C"/>
              <w:bottom w:val="single" w:sz="8" w:space="0" w:color="35437C"/>
              <w:right w:val="single" w:sz="8" w:space="0" w:color="35437C"/>
            </w:tcBorders>
            <w:shd w:val="clear" w:color="auto" w:fill="35437C"/>
            <w:vAlign w:val="center"/>
          </w:tcPr>
          <w:p w:rsidR="00576F87" w:rsidRDefault="004165F5">
            <w:pPr>
              <w:spacing w:after="0"/>
              <w:ind w:left="7"/>
            </w:pPr>
            <w:r>
              <w:rPr>
                <w:rFonts w:ascii="Verdana" w:eastAsia="Verdana" w:hAnsi="Verdana" w:cs="Verdana"/>
                <w:b/>
                <w:color w:val="FFFFFF"/>
                <w:sz w:val="18"/>
              </w:rPr>
              <w:t>Security</w:t>
            </w:r>
          </w:p>
        </w:tc>
        <w:tc>
          <w:tcPr>
            <w:tcW w:w="2287"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9"/>
              <w:jc w:val="right"/>
            </w:pPr>
            <w:r>
              <w:rPr>
                <w:rFonts w:ascii="Verdana" w:eastAsia="Verdana" w:hAnsi="Verdana" w:cs="Verdana"/>
                <w:b/>
                <w:color w:val="FFFFFF"/>
                <w:sz w:val="18"/>
              </w:rPr>
              <w:t xml:space="preserve">Market value 31 </w:t>
            </w:r>
          </w:p>
          <w:p w:rsidR="00576F87" w:rsidRDefault="004165F5">
            <w:pPr>
              <w:spacing w:after="0"/>
              <w:ind w:right="39"/>
              <w:jc w:val="right"/>
            </w:pPr>
            <w:r>
              <w:rPr>
                <w:rFonts w:ascii="Verdana" w:eastAsia="Verdana" w:hAnsi="Verdana" w:cs="Verdana"/>
                <w:b/>
                <w:color w:val="FFFFFF"/>
                <w:sz w:val="18"/>
              </w:rPr>
              <w:t>March 2017</w:t>
            </w:r>
          </w:p>
        </w:tc>
        <w:tc>
          <w:tcPr>
            <w:tcW w:w="1625"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7"/>
              <w:jc w:val="right"/>
            </w:pPr>
            <w:r>
              <w:rPr>
                <w:rFonts w:ascii="Verdana" w:eastAsia="Verdana" w:hAnsi="Verdana" w:cs="Verdana"/>
                <w:b/>
                <w:color w:val="FFFFFF"/>
                <w:sz w:val="18"/>
              </w:rPr>
              <w:t xml:space="preserve">% of Total </w:t>
            </w:r>
          </w:p>
          <w:p w:rsidR="00576F87" w:rsidRDefault="004165F5">
            <w:pPr>
              <w:spacing w:after="0"/>
              <w:ind w:right="39"/>
              <w:jc w:val="right"/>
            </w:pPr>
            <w:r>
              <w:rPr>
                <w:rFonts w:ascii="Verdana" w:eastAsia="Verdana" w:hAnsi="Verdana" w:cs="Verdana"/>
                <w:b/>
                <w:color w:val="FFFFFF"/>
                <w:sz w:val="18"/>
              </w:rPr>
              <w:t>Fund</w:t>
            </w:r>
          </w:p>
        </w:tc>
        <w:tc>
          <w:tcPr>
            <w:tcW w:w="1925"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9"/>
              <w:jc w:val="right"/>
            </w:pPr>
            <w:r>
              <w:rPr>
                <w:rFonts w:ascii="Verdana" w:eastAsia="Verdana" w:hAnsi="Verdana" w:cs="Verdana"/>
                <w:b/>
                <w:color w:val="FFFFFF"/>
                <w:sz w:val="18"/>
              </w:rPr>
              <w:t xml:space="preserve">Market value 31 </w:t>
            </w:r>
          </w:p>
          <w:p w:rsidR="00576F87" w:rsidRDefault="004165F5">
            <w:pPr>
              <w:spacing w:after="0"/>
              <w:ind w:right="39"/>
              <w:jc w:val="right"/>
            </w:pPr>
            <w:r>
              <w:rPr>
                <w:rFonts w:ascii="Verdana" w:eastAsia="Verdana" w:hAnsi="Verdana" w:cs="Verdana"/>
                <w:b/>
                <w:color w:val="FFFFFF"/>
                <w:sz w:val="18"/>
              </w:rPr>
              <w:t>March 2018</w:t>
            </w:r>
          </w:p>
        </w:tc>
        <w:tc>
          <w:tcPr>
            <w:tcW w:w="1562"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left="998" w:hanging="550"/>
            </w:pPr>
            <w:r>
              <w:rPr>
                <w:rFonts w:ascii="Verdana" w:eastAsia="Verdana" w:hAnsi="Verdana" w:cs="Verdana"/>
                <w:b/>
                <w:color w:val="FFFFFF"/>
                <w:sz w:val="18"/>
              </w:rPr>
              <w:t>% of Total Fund</w:t>
            </w:r>
          </w:p>
        </w:tc>
      </w:tr>
      <w:tr w:rsidR="00576F87">
        <w:trPr>
          <w:trHeight w:val="283"/>
        </w:trPr>
        <w:tc>
          <w:tcPr>
            <w:tcW w:w="2236" w:type="dxa"/>
            <w:tcBorders>
              <w:top w:val="single" w:sz="8" w:space="0" w:color="35437C"/>
              <w:left w:val="single" w:sz="12" w:space="0" w:color="35437C"/>
              <w:bottom w:val="single" w:sz="8" w:space="0" w:color="35437C"/>
              <w:right w:val="single" w:sz="8" w:space="0" w:color="35437C"/>
            </w:tcBorders>
          </w:tcPr>
          <w:p w:rsidR="00576F87" w:rsidRDefault="00576F87"/>
        </w:tc>
        <w:tc>
          <w:tcPr>
            <w:tcW w:w="2287"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b/>
                <w:sz w:val="18"/>
              </w:rPr>
              <w:t>£000</w:t>
            </w:r>
          </w:p>
        </w:tc>
        <w:tc>
          <w:tcPr>
            <w:tcW w:w="1625" w:type="dxa"/>
            <w:tcBorders>
              <w:top w:val="single" w:sz="8" w:space="0" w:color="35437C"/>
              <w:left w:val="single" w:sz="8" w:space="0" w:color="35437C"/>
              <w:bottom w:val="single" w:sz="8" w:space="0" w:color="35437C"/>
              <w:right w:val="single" w:sz="8" w:space="0" w:color="35437C"/>
            </w:tcBorders>
          </w:tcPr>
          <w:p w:rsidR="00576F87" w:rsidRDefault="00576F87"/>
        </w:tc>
        <w:tc>
          <w:tcPr>
            <w:tcW w:w="19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b/>
                <w:sz w:val="18"/>
              </w:rPr>
              <w:t>£000</w:t>
            </w:r>
          </w:p>
        </w:tc>
        <w:tc>
          <w:tcPr>
            <w:tcW w:w="156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569"/>
        </w:trPr>
        <w:tc>
          <w:tcPr>
            <w:tcW w:w="2236" w:type="dxa"/>
            <w:tcBorders>
              <w:top w:val="single" w:sz="8" w:space="0" w:color="35437C"/>
              <w:left w:val="single" w:sz="12" w:space="0" w:color="35437C"/>
              <w:bottom w:val="single" w:sz="8" w:space="0" w:color="35437C"/>
              <w:right w:val="single" w:sz="8" w:space="0" w:color="35437C"/>
            </w:tcBorders>
            <w:vAlign w:val="bottom"/>
          </w:tcPr>
          <w:p w:rsidR="00576F87" w:rsidRDefault="004165F5">
            <w:pPr>
              <w:spacing w:after="0"/>
            </w:pPr>
            <w:r>
              <w:rPr>
                <w:rFonts w:ascii="Verdana" w:eastAsia="Verdana" w:hAnsi="Verdana" w:cs="Verdana"/>
                <w:sz w:val="16"/>
              </w:rPr>
              <w:t>LPP I Global Equity Fund</w:t>
            </w:r>
          </w:p>
        </w:tc>
        <w:tc>
          <w:tcPr>
            <w:tcW w:w="2287"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3"/>
              <w:jc w:val="right"/>
            </w:pPr>
            <w:r>
              <w:rPr>
                <w:rFonts w:ascii="Verdana" w:eastAsia="Verdana" w:hAnsi="Verdana" w:cs="Verdana"/>
                <w:sz w:val="18"/>
              </w:rPr>
              <w:t>2,276,213</w:t>
            </w:r>
          </w:p>
        </w:tc>
        <w:tc>
          <w:tcPr>
            <w:tcW w:w="1625"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3"/>
              <w:jc w:val="right"/>
            </w:pPr>
            <w:r>
              <w:rPr>
                <w:rFonts w:ascii="Verdana" w:eastAsia="Verdana" w:hAnsi="Verdana" w:cs="Verdana"/>
                <w:sz w:val="18"/>
              </w:rPr>
              <w:t>45.7</w:t>
            </w:r>
          </w:p>
        </w:tc>
        <w:tc>
          <w:tcPr>
            <w:tcW w:w="1925"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2"/>
              <w:jc w:val="right"/>
            </w:pPr>
            <w:r>
              <w:rPr>
                <w:rFonts w:ascii="Verdana" w:eastAsia="Verdana" w:hAnsi="Verdana" w:cs="Verdana"/>
                <w:sz w:val="18"/>
              </w:rPr>
              <w:t>2,320,391</w:t>
            </w:r>
          </w:p>
        </w:tc>
        <w:tc>
          <w:tcPr>
            <w:tcW w:w="1562" w:type="dxa"/>
            <w:tcBorders>
              <w:top w:val="single" w:sz="8" w:space="0" w:color="35437C"/>
              <w:left w:val="single" w:sz="8" w:space="0" w:color="35437C"/>
              <w:bottom w:val="single" w:sz="8" w:space="0" w:color="35437C"/>
              <w:right w:val="single" w:sz="15" w:space="0" w:color="35437C"/>
            </w:tcBorders>
            <w:vAlign w:val="bottom"/>
          </w:tcPr>
          <w:p w:rsidR="00576F87" w:rsidRDefault="004165F5">
            <w:pPr>
              <w:spacing w:after="0"/>
              <w:ind w:right="32"/>
              <w:jc w:val="right"/>
            </w:pPr>
            <w:r>
              <w:rPr>
                <w:rFonts w:ascii="Verdana" w:eastAsia="Verdana" w:hAnsi="Verdana" w:cs="Verdana"/>
                <w:sz w:val="18"/>
              </w:rPr>
              <w:t>43.7</w:t>
            </w:r>
          </w:p>
        </w:tc>
      </w:tr>
      <w:tr w:rsidR="00576F87">
        <w:trPr>
          <w:trHeight w:val="569"/>
        </w:trPr>
        <w:tc>
          <w:tcPr>
            <w:tcW w:w="2236" w:type="dxa"/>
            <w:tcBorders>
              <w:top w:val="single" w:sz="8" w:space="0" w:color="35437C"/>
              <w:left w:val="single" w:sz="12" w:space="0" w:color="35437C"/>
              <w:bottom w:val="single" w:sz="8" w:space="0" w:color="35437C"/>
              <w:right w:val="single" w:sz="8" w:space="0" w:color="35437C"/>
            </w:tcBorders>
          </w:tcPr>
          <w:p w:rsidR="00576F87" w:rsidRDefault="004165F5">
            <w:pPr>
              <w:tabs>
                <w:tab w:val="center" w:pos="766"/>
                <w:tab w:val="right" w:pos="2203"/>
              </w:tabs>
              <w:spacing w:after="7"/>
            </w:pPr>
            <w:r>
              <w:rPr>
                <w:rFonts w:ascii="Verdana" w:eastAsia="Verdana" w:hAnsi="Verdana" w:cs="Verdana"/>
                <w:sz w:val="16"/>
              </w:rPr>
              <w:t>LPPI</w:t>
            </w:r>
            <w:r>
              <w:rPr>
                <w:rFonts w:ascii="Verdana" w:eastAsia="Verdana" w:hAnsi="Verdana" w:cs="Verdana"/>
                <w:sz w:val="16"/>
              </w:rPr>
              <w:tab/>
              <w:t>PE</w:t>
            </w:r>
            <w:r>
              <w:rPr>
                <w:rFonts w:ascii="Verdana" w:eastAsia="Verdana" w:hAnsi="Verdana" w:cs="Verdana"/>
                <w:sz w:val="16"/>
              </w:rPr>
              <w:tab/>
              <w:t>Investments</w:t>
            </w:r>
          </w:p>
          <w:p w:rsidR="00576F87" w:rsidRDefault="004165F5">
            <w:pPr>
              <w:spacing w:after="0"/>
            </w:pPr>
            <w:r>
              <w:rPr>
                <w:rFonts w:ascii="Verdana" w:eastAsia="Verdana" w:hAnsi="Verdana" w:cs="Verdana"/>
                <w:sz w:val="16"/>
              </w:rPr>
              <w:t>(No.1) LP</w:t>
            </w:r>
          </w:p>
        </w:tc>
        <w:tc>
          <w:tcPr>
            <w:tcW w:w="2287"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5"/>
              <w:jc w:val="right"/>
            </w:pPr>
            <w:r>
              <w:rPr>
                <w:rFonts w:ascii="Verdana" w:eastAsia="Verdana" w:hAnsi="Verdana" w:cs="Verdana"/>
                <w:sz w:val="18"/>
              </w:rPr>
              <w:t>-</w:t>
            </w:r>
          </w:p>
        </w:tc>
        <w:tc>
          <w:tcPr>
            <w:tcW w:w="1625"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5"/>
              <w:jc w:val="right"/>
            </w:pPr>
            <w:r>
              <w:rPr>
                <w:rFonts w:ascii="Verdana" w:eastAsia="Verdana" w:hAnsi="Verdana" w:cs="Verdana"/>
                <w:sz w:val="18"/>
              </w:rPr>
              <w:t>-</w:t>
            </w:r>
          </w:p>
        </w:tc>
        <w:tc>
          <w:tcPr>
            <w:tcW w:w="1925"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3"/>
              <w:jc w:val="right"/>
            </w:pPr>
            <w:r>
              <w:rPr>
                <w:rFonts w:ascii="Verdana" w:eastAsia="Verdana" w:hAnsi="Verdana" w:cs="Verdana"/>
                <w:sz w:val="18"/>
              </w:rPr>
              <w:t>578,913</w:t>
            </w:r>
          </w:p>
        </w:tc>
        <w:tc>
          <w:tcPr>
            <w:tcW w:w="1562" w:type="dxa"/>
            <w:tcBorders>
              <w:top w:val="single" w:sz="8" w:space="0" w:color="35437C"/>
              <w:left w:val="single" w:sz="8" w:space="0" w:color="35437C"/>
              <w:bottom w:val="single" w:sz="8" w:space="0" w:color="35437C"/>
              <w:right w:val="single" w:sz="15" w:space="0" w:color="35437C"/>
            </w:tcBorders>
            <w:vAlign w:val="bottom"/>
          </w:tcPr>
          <w:p w:rsidR="00576F87" w:rsidRDefault="004165F5">
            <w:pPr>
              <w:spacing w:after="0"/>
              <w:ind w:right="33"/>
              <w:jc w:val="right"/>
            </w:pPr>
            <w:r>
              <w:rPr>
                <w:rFonts w:ascii="Verdana" w:eastAsia="Verdana" w:hAnsi="Verdana" w:cs="Verdana"/>
                <w:sz w:val="18"/>
              </w:rPr>
              <w:t>10.9</w:t>
            </w:r>
          </w:p>
        </w:tc>
      </w:tr>
      <w:tr w:rsidR="00576F87">
        <w:trPr>
          <w:trHeight w:val="778"/>
        </w:trPr>
        <w:tc>
          <w:tcPr>
            <w:tcW w:w="2236" w:type="dxa"/>
            <w:tcBorders>
              <w:top w:val="single" w:sz="8" w:space="0" w:color="35437C"/>
              <w:left w:val="single" w:sz="12" w:space="0" w:color="35437C"/>
              <w:bottom w:val="single" w:sz="8" w:space="0" w:color="35437C"/>
              <w:right w:val="single" w:sz="8" w:space="0" w:color="35437C"/>
            </w:tcBorders>
            <w:vAlign w:val="bottom"/>
          </w:tcPr>
          <w:p w:rsidR="00576F87" w:rsidRDefault="004165F5">
            <w:pPr>
              <w:spacing w:after="0"/>
              <w:jc w:val="both"/>
            </w:pPr>
            <w:r>
              <w:rPr>
                <w:rFonts w:ascii="Verdana" w:eastAsia="Verdana" w:hAnsi="Verdana" w:cs="Verdana"/>
                <w:sz w:val="16"/>
              </w:rPr>
              <w:t>Insight  LDI solutions plus bonds plus FD CLS’S’SHS</w:t>
            </w:r>
          </w:p>
        </w:tc>
        <w:tc>
          <w:tcPr>
            <w:tcW w:w="2287"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3"/>
              <w:jc w:val="right"/>
            </w:pPr>
            <w:r>
              <w:rPr>
                <w:rFonts w:ascii="Verdana" w:eastAsia="Verdana" w:hAnsi="Verdana" w:cs="Verdana"/>
                <w:sz w:val="18"/>
              </w:rPr>
              <w:t>267,334</w:t>
            </w:r>
          </w:p>
        </w:tc>
        <w:tc>
          <w:tcPr>
            <w:tcW w:w="1625"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3"/>
              <w:jc w:val="right"/>
            </w:pPr>
            <w:r>
              <w:rPr>
                <w:rFonts w:ascii="Verdana" w:eastAsia="Verdana" w:hAnsi="Verdana" w:cs="Verdana"/>
                <w:sz w:val="18"/>
              </w:rPr>
              <w:t>5.4</w:t>
            </w:r>
          </w:p>
        </w:tc>
        <w:tc>
          <w:tcPr>
            <w:tcW w:w="1925"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3"/>
              <w:jc w:val="right"/>
            </w:pPr>
            <w:r>
              <w:rPr>
                <w:rFonts w:ascii="Verdana" w:eastAsia="Verdana" w:hAnsi="Verdana" w:cs="Verdana"/>
                <w:sz w:val="18"/>
              </w:rPr>
              <w:t>407,593</w:t>
            </w:r>
          </w:p>
        </w:tc>
        <w:tc>
          <w:tcPr>
            <w:tcW w:w="1562" w:type="dxa"/>
            <w:tcBorders>
              <w:top w:val="single" w:sz="8" w:space="0" w:color="35437C"/>
              <w:left w:val="single" w:sz="8" w:space="0" w:color="35437C"/>
              <w:bottom w:val="single" w:sz="8" w:space="0" w:color="35437C"/>
              <w:right w:val="single" w:sz="15" w:space="0" w:color="35437C"/>
            </w:tcBorders>
            <w:vAlign w:val="bottom"/>
          </w:tcPr>
          <w:p w:rsidR="00576F87" w:rsidRDefault="004165F5">
            <w:pPr>
              <w:spacing w:after="0"/>
              <w:ind w:right="33"/>
              <w:jc w:val="right"/>
            </w:pPr>
            <w:r>
              <w:rPr>
                <w:rFonts w:ascii="Verdana" w:eastAsia="Verdana" w:hAnsi="Verdana" w:cs="Verdana"/>
                <w:sz w:val="18"/>
              </w:rPr>
              <w:t>7.7</w:t>
            </w:r>
          </w:p>
        </w:tc>
      </w:tr>
      <w:tr w:rsidR="00576F87">
        <w:trPr>
          <w:trHeight w:val="977"/>
        </w:trPr>
        <w:tc>
          <w:tcPr>
            <w:tcW w:w="2236" w:type="dxa"/>
            <w:tcBorders>
              <w:top w:val="single" w:sz="8" w:space="0" w:color="35437C"/>
              <w:left w:val="single" w:sz="12" w:space="0" w:color="35437C"/>
              <w:bottom w:val="single" w:sz="8" w:space="0" w:color="35437C"/>
              <w:right w:val="single" w:sz="8" w:space="0" w:color="35437C"/>
            </w:tcBorders>
            <w:vAlign w:val="bottom"/>
          </w:tcPr>
          <w:p w:rsidR="00576F87" w:rsidRDefault="004165F5">
            <w:pPr>
              <w:spacing w:after="0"/>
            </w:pPr>
            <w:r>
              <w:rPr>
                <w:rFonts w:ascii="Verdana" w:eastAsia="Verdana" w:hAnsi="Verdana" w:cs="Verdana"/>
                <w:sz w:val="16"/>
              </w:rPr>
              <w:t xml:space="preserve">Insight Liability Driven Investment (LDI) solutions plus LDI active ‘1’FD        </w:t>
            </w:r>
          </w:p>
        </w:tc>
        <w:tc>
          <w:tcPr>
            <w:tcW w:w="2287"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3"/>
              <w:jc w:val="right"/>
            </w:pPr>
            <w:r>
              <w:rPr>
                <w:rFonts w:ascii="Verdana" w:eastAsia="Verdana" w:hAnsi="Verdana" w:cs="Verdana"/>
                <w:sz w:val="18"/>
              </w:rPr>
              <w:t>317,053</w:t>
            </w:r>
          </w:p>
        </w:tc>
        <w:tc>
          <w:tcPr>
            <w:tcW w:w="1625"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3"/>
              <w:jc w:val="right"/>
            </w:pPr>
            <w:r>
              <w:rPr>
                <w:rFonts w:ascii="Verdana" w:eastAsia="Verdana" w:hAnsi="Verdana" w:cs="Verdana"/>
                <w:sz w:val="18"/>
              </w:rPr>
              <w:t>6.4</w:t>
            </w:r>
          </w:p>
        </w:tc>
        <w:tc>
          <w:tcPr>
            <w:tcW w:w="1925"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4"/>
              <w:jc w:val="right"/>
            </w:pPr>
            <w:r>
              <w:rPr>
                <w:rFonts w:ascii="Verdana" w:eastAsia="Verdana" w:hAnsi="Verdana" w:cs="Verdana"/>
                <w:sz w:val="18"/>
              </w:rPr>
              <w:t>-</w:t>
            </w:r>
          </w:p>
        </w:tc>
        <w:tc>
          <w:tcPr>
            <w:tcW w:w="1562" w:type="dxa"/>
            <w:tcBorders>
              <w:top w:val="single" w:sz="8" w:space="0" w:color="35437C"/>
              <w:left w:val="single" w:sz="8" w:space="0" w:color="35437C"/>
              <w:bottom w:val="single" w:sz="8" w:space="0" w:color="35437C"/>
              <w:right w:val="single" w:sz="15" w:space="0" w:color="35437C"/>
            </w:tcBorders>
            <w:vAlign w:val="bottom"/>
          </w:tcPr>
          <w:p w:rsidR="00576F87" w:rsidRDefault="004165F5">
            <w:pPr>
              <w:spacing w:after="0"/>
              <w:ind w:right="34"/>
              <w:jc w:val="right"/>
            </w:pPr>
            <w:r>
              <w:rPr>
                <w:rFonts w:ascii="Verdana" w:eastAsia="Verdana" w:hAnsi="Verdana" w:cs="Verdana"/>
                <w:sz w:val="18"/>
              </w:rPr>
              <w:t>-</w:t>
            </w:r>
          </w:p>
        </w:tc>
      </w:tr>
      <w:tr w:rsidR="00576F87">
        <w:trPr>
          <w:trHeight w:val="298"/>
        </w:trPr>
        <w:tc>
          <w:tcPr>
            <w:tcW w:w="2236"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left="7"/>
            </w:pPr>
            <w:r>
              <w:rPr>
                <w:rFonts w:ascii="Verdana" w:eastAsia="Verdana" w:hAnsi="Verdana" w:cs="Verdana"/>
                <w:b/>
                <w:color w:val="FFFFFF"/>
                <w:sz w:val="18"/>
              </w:rPr>
              <w:t>Total</w:t>
            </w:r>
          </w:p>
        </w:tc>
        <w:tc>
          <w:tcPr>
            <w:tcW w:w="2287"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right="39"/>
              <w:jc w:val="right"/>
            </w:pPr>
            <w:r>
              <w:rPr>
                <w:rFonts w:ascii="Verdana" w:eastAsia="Verdana" w:hAnsi="Verdana" w:cs="Verdana"/>
                <w:b/>
                <w:color w:val="FFFFFF"/>
                <w:sz w:val="18"/>
              </w:rPr>
              <w:t>2,860,600</w:t>
            </w:r>
          </w:p>
        </w:tc>
        <w:tc>
          <w:tcPr>
            <w:tcW w:w="1625"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right="39"/>
              <w:jc w:val="right"/>
            </w:pPr>
            <w:r>
              <w:rPr>
                <w:rFonts w:ascii="Verdana" w:eastAsia="Verdana" w:hAnsi="Verdana" w:cs="Verdana"/>
                <w:b/>
                <w:color w:val="FFFFFF"/>
                <w:sz w:val="18"/>
              </w:rPr>
              <w:t>57.5</w:t>
            </w:r>
          </w:p>
        </w:tc>
        <w:tc>
          <w:tcPr>
            <w:tcW w:w="1925"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right="39"/>
              <w:jc w:val="right"/>
            </w:pPr>
            <w:r>
              <w:rPr>
                <w:rFonts w:ascii="Verdana" w:eastAsia="Verdana" w:hAnsi="Verdana" w:cs="Verdana"/>
                <w:b/>
                <w:color w:val="FFFFFF"/>
                <w:sz w:val="18"/>
              </w:rPr>
              <w:t>3,306,897</w:t>
            </w:r>
          </w:p>
        </w:tc>
        <w:tc>
          <w:tcPr>
            <w:tcW w:w="1562"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39"/>
              <w:jc w:val="right"/>
            </w:pPr>
            <w:r>
              <w:rPr>
                <w:rFonts w:ascii="Verdana" w:eastAsia="Verdana" w:hAnsi="Verdana" w:cs="Verdana"/>
                <w:b/>
                <w:color w:val="FFFFFF"/>
                <w:sz w:val="18"/>
              </w:rPr>
              <w:t>62.3</w:t>
            </w:r>
          </w:p>
        </w:tc>
      </w:tr>
    </w:tbl>
    <w:p w:rsidR="00576F87" w:rsidRDefault="00576F87">
      <w:pPr>
        <w:sectPr w:rsidR="00576F87">
          <w:headerReference w:type="even" r:id="rId72"/>
          <w:headerReference w:type="default" r:id="rId73"/>
          <w:footerReference w:type="even" r:id="rId74"/>
          <w:footerReference w:type="default" r:id="rId75"/>
          <w:headerReference w:type="first" r:id="rId76"/>
          <w:footerReference w:type="first" r:id="rId77"/>
          <w:pgSz w:w="11900" w:h="16840"/>
          <w:pgMar w:top="1145" w:right="614" w:bottom="510" w:left="953" w:header="720" w:footer="720" w:gutter="0"/>
          <w:cols w:space="720"/>
          <w:titlePg/>
        </w:sectPr>
      </w:pPr>
    </w:p>
    <w:p w:rsidR="00576F87" w:rsidRDefault="004165F5">
      <w:pPr>
        <w:pStyle w:val="Heading3"/>
        <w:spacing w:after="316"/>
        <w:ind w:left="5" w:hanging="8"/>
      </w:pPr>
      <w:r>
        <w:rPr>
          <w:color w:val="000000"/>
        </w:rPr>
        <w:t>15 Securities Lending</w:t>
      </w:r>
    </w:p>
    <w:p w:rsidR="00576F87" w:rsidRDefault="004165F5">
      <w:pPr>
        <w:spacing w:after="163" w:line="264" w:lineRule="auto"/>
        <w:ind w:left="2" w:right="192" w:hanging="10"/>
        <w:jc w:val="both"/>
      </w:pPr>
      <w:r>
        <w:rPr>
          <w:rFonts w:ascii="Verdana" w:eastAsia="Verdana" w:hAnsi="Verdana" w:cs="Verdana"/>
          <w:sz w:val="20"/>
        </w:rPr>
        <w:t xml:space="preserve">The Securities lending programme was ended in September 2016, </w:t>
      </w:r>
      <w:r>
        <w:rPr>
          <w:rFonts w:ascii="Verdana" w:eastAsia="Verdana" w:hAnsi="Verdana" w:cs="Verdana"/>
          <w:sz w:val="20"/>
        </w:rPr>
        <w:t>prior to the asset transition and launch of the ACS in November 2016.</w:t>
      </w:r>
    </w:p>
    <w:p w:rsidR="00576F87" w:rsidRDefault="004165F5">
      <w:pPr>
        <w:spacing w:after="3" w:line="264" w:lineRule="auto"/>
        <w:ind w:left="2" w:right="1139" w:hanging="10"/>
        <w:jc w:val="both"/>
      </w:pPr>
      <w:r>
        <w:rPr>
          <w:rFonts w:ascii="Verdana" w:eastAsia="Verdana" w:hAnsi="Verdana" w:cs="Verdana"/>
          <w:sz w:val="20"/>
        </w:rPr>
        <w:t>Securities lending was governed by an agreement between the LPFA and the custodian. All loans were collateralised and subject to daily valuation and calling of collateral. Cash was not a</w:t>
      </w:r>
      <w:r>
        <w:rPr>
          <w:rFonts w:ascii="Verdana" w:eastAsia="Verdana" w:hAnsi="Verdana" w:cs="Verdana"/>
          <w:sz w:val="20"/>
        </w:rPr>
        <w:t>ccepted as collateral and a maximum of 35% of securities in the fund were available for lending. The Fund held no collateral at 31 March 2018 (2017:£nil) in equities and government issued debt.</w:t>
      </w:r>
      <w:r>
        <w:br w:type="page"/>
      </w:r>
    </w:p>
    <w:p w:rsidR="00576F87" w:rsidRDefault="004165F5">
      <w:pPr>
        <w:pStyle w:val="Heading3"/>
        <w:spacing w:after="345"/>
        <w:ind w:left="5" w:hanging="8"/>
      </w:pPr>
      <w:r>
        <w:rPr>
          <w:color w:val="000000"/>
        </w:rPr>
        <w:t>16 Financial Instruments</w:t>
      </w:r>
    </w:p>
    <w:p w:rsidR="00576F87" w:rsidRDefault="004165F5">
      <w:pPr>
        <w:spacing w:after="116" w:line="264" w:lineRule="auto"/>
        <w:ind w:left="2" w:right="12" w:hanging="10"/>
        <w:jc w:val="both"/>
      </w:pPr>
      <w:r>
        <w:rPr>
          <w:rFonts w:ascii="Verdana" w:eastAsia="Verdana" w:hAnsi="Verdana" w:cs="Verdana"/>
          <w:sz w:val="20"/>
        </w:rPr>
        <w:t>Financial instruments held by the Fu</w:t>
      </w:r>
      <w:r>
        <w:rPr>
          <w:rFonts w:ascii="Verdana" w:eastAsia="Verdana" w:hAnsi="Verdana" w:cs="Verdana"/>
          <w:sz w:val="20"/>
        </w:rPr>
        <w:t>nd at the year-end are categorised as follows:</w:t>
      </w:r>
    </w:p>
    <w:tbl>
      <w:tblPr>
        <w:tblStyle w:val="TableGrid"/>
        <w:tblW w:w="9427" w:type="dxa"/>
        <w:tblInd w:w="-43" w:type="dxa"/>
        <w:tblCellMar>
          <w:top w:w="32" w:type="dxa"/>
          <w:left w:w="38" w:type="dxa"/>
          <w:bottom w:w="0" w:type="dxa"/>
          <w:right w:w="0" w:type="dxa"/>
        </w:tblCellMar>
        <w:tblLook w:val="04A0" w:firstRow="1" w:lastRow="0" w:firstColumn="1" w:lastColumn="0" w:noHBand="0" w:noVBand="1"/>
      </w:tblPr>
      <w:tblGrid>
        <w:gridCol w:w="1999"/>
        <w:gridCol w:w="5623"/>
        <w:gridCol w:w="1805"/>
      </w:tblGrid>
      <w:tr w:rsidR="00576F87">
        <w:trPr>
          <w:trHeight w:val="552"/>
        </w:trPr>
        <w:tc>
          <w:tcPr>
            <w:tcW w:w="1999" w:type="dxa"/>
            <w:tcBorders>
              <w:top w:val="single" w:sz="15" w:space="0" w:color="35437C"/>
              <w:left w:val="single" w:sz="15" w:space="0" w:color="35437C"/>
              <w:bottom w:val="single" w:sz="8" w:space="0" w:color="35437C"/>
              <w:right w:val="single" w:sz="8" w:space="0" w:color="35437C"/>
            </w:tcBorders>
            <w:shd w:val="clear" w:color="auto" w:fill="35437C"/>
          </w:tcPr>
          <w:p w:rsidR="00576F87" w:rsidRDefault="004165F5">
            <w:pPr>
              <w:spacing w:after="3"/>
              <w:ind w:right="39"/>
              <w:jc w:val="right"/>
            </w:pPr>
            <w:r>
              <w:rPr>
                <w:rFonts w:ascii="Verdana" w:eastAsia="Verdana" w:hAnsi="Verdana" w:cs="Verdana"/>
                <w:b/>
                <w:color w:val="FFFFFF"/>
                <w:sz w:val="18"/>
              </w:rPr>
              <w:t xml:space="preserve">Market  value 31 </w:t>
            </w:r>
          </w:p>
          <w:p w:rsidR="00576F87" w:rsidRDefault="004165F5">
            <w:pPr>
              <w:spacing w:after="0"/>
              <w:ind w:right="34"/>
              <w:jc w:val="right"/>
            </w:pPr>
            <w:r>
              <w:rPr>
                <w:rFonts w:ascii="Verdana" w:eastAsia="Verdana" w:hAnsi="Verdana" w:cs="Verdana"/>
                <w:b/>
                <w:color w:val="FFFFFF"/>
                <w:sz w:val="18"/>
              </w:rPr>
              <w:t>March 2017</w:t>
            </w:r>
          </w:p>
        </w:tc>
        <w:tc>
          <w:tcPr>
            <w:tcW w:w="5623" w:type="dxa"/>
            <w:tcBorders>
              <w:top w:val="single" w:sz="15" w:space="0" w:color="35437C"/>
              <w:left w:val="single" w:sz="8" w:space="0" w:color="35437C"/>
              <w:bottom w:val="single" w:sz="8" w:space="0" w:color="35437C"/>
              <w:right w:val="single" w:sz="8" w:space="0" w:color="35437C"/>
            </w:tcBorders>
            <w:shd w:val="clear" w:color="auto" w:fill="35437C"/>
            <w:vAlign w:val="center"/>
          </w:tcPr>
          <w:p w:rsidR="00576F87" w:rsidRDefault="004165F5">
            <w:pPr>
              <w:spacing w:after="0"/>
              <w:ind w:left="5"/>
            </w:pPr>
            <w:r>
              <w:rPr>
                <w:rFonts w:ascii="Verdana" w:eastAsia="Verdana" w:hAnsi="Verdana" w:cs="Verdana"/>
                <w:b/>
                <w:color w:val="FFFFFF"/>
                <w:sz w:val="18"/>
              </w:rPr>
              <w:t>Category</w:t>
            </w:r>
          </w:p>
        </w:tc>
        <w:tc>
          <w:tcPr>
            <w:tcW w:w="1805"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3"/>
              <w:ind w:left="101"/>
            </w:pPr>
            <w:r>
              <w:rPr>
                <w:rFonts w:ascii="Verdana" w:eastAsia="Verdana" w:hAnsi="Verdana" w:cs="Verdana"/>
                <w:b/>
                <w:color w:val="FFFFFF"/>
                <w:sz w:val="18"/>
              </w:rPr>
              <w:t>Market value 31</w:t>
            </w:r>
          </w:p>
          <w:p w:rsidR="00576F87" w:rsidRDefault="004165F5">
            <w:pPr>
              <w:spacing w:after="0"/>
              <w:ind w:right="34"/>
              <w:jc w:val="right"/>
            </w:pPr>
            <w:r>
              <w:rPr>
                <w:rFonts w:ascii="Verdana" w:eastAsia="Verdana" w:hAnsi="Verdana" w:cs="Verdana"/>
                <w:b/>
                <w:color w:val="FFFFFF"/>
                <w:sz w:val="18"/>
              </w:rPr>
              <w:t>March 2018</w:t>
            </w:r>
          </w:p>
        </w:tc>
      </w:tr>
      <w:tr w:rsidR="00576F87">
        <w:trPr>
          <w:trHeight w:val="305"/>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b/>
                <w:sz w:val="18"/>
              </w:rPr>
              <w:t>£000</w:t>
            </w:r>
          </w:p>
        </w:tc>
        <w:tc>
          <w:tcPr>
            <w:tcW w:w="5623" w:type="dxa"/>
            <w:tcBorders>
              <w:top w:val="single" w:sz="8" w:space="0" w:color="35437C"/>
              <w:left w:val="single" w:sz="8" w:space="0" w:color="35437C"/>
              <w:bottom w:val="single" w:sz="8" w:space="0" w:color="35437C"/>
              <w:right w:val="single" w:sz="8" w:space="0" w:color="35437C"/>
            </w:tcBorders>
          </w:tcPr>
          <w:p w:rsidR="00576F87" w:rsidRDefault="00576F87"/>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6"/>
              <w:jc w:val="right"/>
            </w:pPr>
            <w:r>
              <w:rPr>
                <w:rFonts w:ascii="Verdana" w:eastAsia="Verdana" w:hAnsi="Verdana" w:cs="Verdana"/>
                <w:b/>
                <w:sz w:val="18"/>
              </w:rPr>
              <w:t>£000</w:t>
            </w:r>
          </w:p>
        </w:tc>
      </w:tr>
      <w:tr w:rsidR="00576F87">
        <w:trPr>
          <w:trHeight w:val="449"/>
        </w:trPr>
        <w:tc>
          <w:tcPr>
            <w:tcW w:w="1999" w:type="dxa"/>
            <w:tcBorders>
              <w:top w:val="single" w:sz="8" w:space="0" w:color="35437C"/>
              <w:left w:val="single" w:sz="15" w:space="0" w:color="35437C"/>
              <w:bottom w:val="single" w:sz="8" w:space="0" w:color="35437C"/>
              <w:right w:val="single" w:sz="8" w:space="0" w:color="35437C"/>
            </w:tcBorders>
          </w:tcPr>
          <w:p w:rsidR="00576F87" w:rsidRDefault="00576F87"/>
        </w:tc>
        <w:tc>
          <w:tcPr>
            <w:tcW w:w="5623"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left="5"/>
            </w:pPr>
            <w:r>
              <w:rPr>
                <w:rFonts w:ascii="Verdana" w:eastAsia="Verdana" w:hAnsi="Verdana" w:cs="Verdana"/>
                <w:b/>
                <w:sz w:val="18"/>
              </w:rPr>
              <w:t>Financial assets - fair value through profit and loss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576F87"/>
        </w:tc>
        <w:tc>
          <w:tcPr>
            <w:tcW w:w="5623" w:type="dxa"/>
            <w:tcBorders>
              <w:top w:val="single" w:sz="8" w:space="0" w:color="35437C"/>
              <w:left w:val="single" w:sz="8" w:space="0" w:color="35437C"/>
              <w:bottom w:val="single" w:sz="8" w:space="0" w:color="35437C"/>
              <w:right w:val="single" w:sz="8" w:space="0" w:color="35437C"/>
            </w:tcBorders>
          </w:tcPr>
          <w:p w:rsidR="00576F87" w:rsidRDefault="00576F87"/>
        </w:tc>
        <w:tc>
          <w:tcPr>
            <w:tcW w:w="1805"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362"/>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sz w:val="18"/>
              </w:rPr>
              <w:t>56,649</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Fixed interest securities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4"/>
              <w:jc w:val="right"/>
            </w:pPr>
            <w:r>
              <w:rPr>
                <w:rFonts w:ascii="Verdana" w:eastAsia="Verdana" w:hAnsi="Verdana" w:cs="Verdana"/>
                <w:sz w:val="18"/>
              </w:rPr>
              <w:t>-</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sz w:val="18"/>
              </w:rPr>
              <w:t>44,647</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Equities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4"/>
              <w:jc w:val="right"/>
            </w:pPr>
            <w:r>
              <w:rPr>
                <w:rFonts w:ascii="Verdana" w:eastAsia="Verdana" w:hAnsi="Verdana" w:cs="Verdana"/>
                <w:sz w:val="18"/>
              </w:rPr>
              <w:t>-</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9,723</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Liquidity Fund</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4"/>
              <w:jc w:val="right"/>
            </w:pPr>
            <w:r>
              <w:rPr>
                <w:rFonts w:ascii="Verdana" w:eastAsia="Verdana" w:hAnsi="Verdana" w:cs="Verdana"/>
                <w:sz w:val="18"/>
              </w:rPr>
              <w:t>-</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576F87"/>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Pooled investments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2,406,082</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 Equities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2,400,971</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8"/>
              </w:rPr>
              <w:t>-</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 Credit</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267,734</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800,820</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 Private Equity</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592,989</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346,135</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 Infrastructure</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510,869</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253,047</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 Property</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328,293</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664,337</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 Managed</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408,128</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sz w:val="18"/>
              </w:rPr>
              <w:t>33,183</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 Commodities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rPr>
                <w:rFonts w:ascii="Verdana" w:eastAsia="Verdana" w:hAnsi="Verdana" w:cs="Verdana"/>
                <w:sz w:val="18"/>
              </w:rPr>
              <w:t>27,713</w:t>
            </w:r>
          </w:p>
        </w:tc>
      </w:tr>
      <w:tr w:rsidR="00576F87">
        <w:trPr>
          <w:trHeight w:val="305"/>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224,626</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Fixed interest securities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601,145</w:t>
            </w:r>
          </w:p>
        </w:tc>
      </w:tr>
      <w:tr w:rsidR="00576F87">
        <w:trPr>
          <w:trHeight w:val="305"/>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sz w:val="18"/>
              </w:rPr>
              <w:t>27,431</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Cash Instruments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rPr>
                <w:rFonts w:ascii="Verdana" w:eastAsia="Verdana" w:hAnsi="Verdana" w:cs="Verdana"/>
                <w:sz w:val="18"/>
              </w:rPr>
              <w:t>10,269</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576F87"/>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Derivatives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3,923</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 Forward currency contracts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4"/>
              <w:jc w:val="right"/>
            </w:pPr>
            <w:r>
              <w:rPr>
                <w:rFonts w:ascii="Verdana" w:eastAsia="Verdana" w:hAnsi="Verdana" w:cs="Verdana"/>
                <w:sz w:val="18"/>
              </w:rPr>
              <w:t>-</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414</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 Purchased/written options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4"/>
              <w:jc w:val="right"/>
            </w:pPr>
            <w:r>
              <w:rPr>
                <w:rFonts w:ascii="Verdana" w:eastAsia="Verdana" w:hAnsi="Verdana" w:cs="Verdana"/>
                <w:sz w:val="18"/>
              </w:rPr>
              <w:t>-</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b/>
                <w:sz w:val="18"/>
              </w:rPr>
              <w:t>4,871,017</w:t>
            </w:r>
          </w:p>
        </w:tc>
        <w:tc>
          <w:tcPr>
            <w:tcW w:w="5623" w:type="dxa"/>
            <w:tcBorders>
              <w:top w:val="single" w:sz="8" w:space="0" w:color="35437C"/>
              <w:left w:val="single" w:sz="8" w:space="0" w:color="35437C"/>
              <w:bottom w:val="single" w:sz="8" w:space="0" w:color="35437C"/>
              <w:right w:val="single" w:sz="8" w:space="0" w:color="35437C"/>
            </w:tcBorders>
          </w:tcPr>
          <w:p w:rsidR="00576F87" w:rsidRDefault="00576F87"/>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3"/>
              <w:jc w:val="right"/>
            </w:pPr>
            <w:r>
              <w:rPr>
                <w:rFonts w:ascii="Verdana" w:eastAsia="Verdana" w:hAnsi="Verdana" w:cs="Verdana"/>
                <w:b/>
                <w:sz w:val="18"/>
              </w:rPr>
              <w:t>5,148,111</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576F87"/>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Derivatives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(271)</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 Purchase / written options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4"/>
              <w:jc w:val="right"/>
            </w:pPr>
            <w:r>
              <w:rPr>
                <w:rFonts w:ascii="Verdana" w:eastAsia="Verdana" w:hAnsi="Verdana" w:cs="Verdana"/>
                <w:sz w:val="18"/>
              </w:rPr>
              <w:t>-</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b/>
                <w:sz w:val="18"/>
              </w:rPr>
              <w:t>(271)</w:t>
            </w:r>
          </w:p>
        </w:tc>
        <w:tc>
          <w:tcPr>
            <w:tcW w:w="5623" w:type="dxa"/>
            <w:tcBorders>
              <w:top w:val="single" w:sz="8" w:space="0" w:color="35437C"/>
              <w:left w:val="single" w:sz="8" w:space="0" w:color="35437C"/>
              <w:bottom w:val="single" w:sz="8" w:space="0" w:color="35437C"/>
              <w:right w:val="single" w:sz="8" w:space="0" w:color="35437C"/>
            </w:tcBorders>
          </w:tcPr>
          <w:p w:rsidR="00576F87" w:rsidRDefault="00576F87"/>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b/>
                <w:sz w:val="18"/>
              </w:rPr>
              <w:t>-</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shd w:val="clear" w:color="auto" w:fill="002060"/>
          </w:tcPr>
          <w:p w:rsidR="00576F87" w:rsidRDefault="004165F5">
            <w:pPr>
              <w:spacing w:after="0"/>
              <w:ind w:right="33"/>
              <w:jc w:val="right"/>
            </w:pPr>
            <w:r>
              <w:rPr>
                <w:rFonts w:ascii="Verdana" w:eastAsia="Verdana" w:hAnsi="Verdana" w:cs="Verdana"/>
                <w:b/>
                <w:color w:val="FFFFFF"/>
                <w:sz w:val="18"/>
              </w:rPr>
              <w:t>4,870,746</w:t>
            </w:r>
          </w:p>
        </w:tc>
        <w:tc>
          <w:tcPr>
            <w:tcW w:w="5623" w:type="dxa"/>
            <w:tcBorders>
              <w:top w:val="single" w:sz="8" w:space="0" w:color="35437C"/>
              <w:left w:val="single" w:sz="8" w:space="0" w:color="35437C"/>
              <w:bottom w:val="single" w:sz="8" w:space="0" w:color="35437C"/>
              <w:right w:val="single" w:sz="8" w:space="0" w:color="35437C"/>
            </w:tcBorders>
            <w:shd w:val="clear" w:color="auto" w:fill="002060"/>
          </w:tcPr>
          <w:p w:rsidR="00576F87" w:rsidRDefault="00576F87"/>
        </w:tc>
        <w:tc>
          <w:tcPr>
            <w:tcW w:w="1805" w:type="dxa"/>
            <w:tcBorders>
              <w:top w:val="single" w:sz="8" w:space="0" w:color="35437C"/>
              <w:left w:val="single" w:sz="8" w:space="0" w:color="35437C"/>
              <w:bottom w:val="single" w:sz="8" w:space="0" w:color="35437C"/>
              <w:right w:val="single" w:sz="15" w:space="0" w:color="35437C"/>
            </w:tcBorders>
            <w:shd w:val="clear" w:color="auto" w:fill="002060"/>
          </w:tcPr>
          <w:p w:rsidR="00576F87" w:rsidRDefault="004165F5">
            <w:pPr>
              <w:spacing w:after="0"/>
              <w:ind w:right="33"/>
              <w:jc w:val="right"/>
            </w:pPr>
            <w:r>
              <w:rPr>
                <w:rFonts w:ascii="Verdana" w:eastAsia="Verdana" w:hAnsi="Verdana" w:cs="Verdana"/>
                <w:b/>
                <w:color w:val="FFFFFF"/>
                <w:sz w:val="18"/>
              </w:rPr>
              <w:t>5,148,111</w:t>
            </w:r>
          </w:p>
        </w:tc>
      </w:tr>
      <w:tr w:rsidR="00576F87">
        <w:trPr>
          <w:trHeight w:val="216"/>
        </w:trPr>
        <w:tc>
          <w:tcPr>
            <w:tcW w:w="1999" w:type="dxa"/>
            <w:tcBorders>
              <w:top w:val="single" w:sz="8" w:space="0" w:color="35437C"/>
              <w:left w:val="single" w:sz="15" w:space="0" w:color="35437C"/>
              <w:bottom w:val="single" w:sz="8" w:space="0" w:color="35437C"/>
              <w:right w:val="single" w:sz="8" w:space="0" w:color="35437C"/>
            </w:tcBorders>
          </w:tcPr>
          <w:p w:rsidR="00576F87" w:rsidRDefault="00576F87"/>
        </w:tc>
        <w:tc>
          <w:tcPr>
            <w:tcW w:w="5623" w:type="dxa"/>
            <w:tcBorders>
              <w:top w:val="single" w:sz="8" w:space="0" w:color="35437C"/>
              <w:left w:val="single" w:sz="8" w:space="0" w:color="35437C"/>
              <w:bottom w:val="single" w:sz="8" w:space="0" w:color="35437C"/>
              <w:right w:val="single" w:sz="8" w:space="0" w:color="35437C"/>
            </w:tcBorders>
          </w:tcPr>
          <w:p w:rsidR="00576F87" w:rsidRDefault="00576F87"/>
        </w:tc>
        <w:tc>
          <w:tcPr>
            <w:tcW w:w="1805"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377"/>
        </w:trPr>
        <w:tc>
          <w:tcPr>
            <w:tcW w:w="1999" w:type="dxa"/>
            <w:tcBorders>
              <w:top w:val="single" w:sz="8" w:space="0" w:color="35437C"/>
              <w:left w:val="single" w:sz="15" w:space="0" w:color="35437C"/>
              <w:bottom w:val="single" w:sz="8" w:space="0" w:color="35437C"/>
              <w:right w:val="single" w:sz="8" w:space="0" w:color="35437C"/>
            </w:tcBorders>
          </w:tcPr>
          <w:p w:rsidR="00576F87" w:rsidRDefault="00576F87"/>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Finance assets - loans and Receivables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3,255</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Cash held by investment managers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rPr>
                <w:rFonts w:ascii="Verdana" w:eastAsia="Verdana" w:hAnsi="Verdana" w:cs="Verdana"/>
                <w:sz w:val="18"/>
              </w:rPr>
              <w:t>58,849</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3,632</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Investment income due</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5"/>
              <w:jc w:val="right"/>
            </w:pPr>
            <w:r>
              <w:rPr>
                <w:rFonts w:ascii="Verdana" w:eastAsia="Verdana" w:hAnsi="Verdana" w:cs="Verdana"/>
                <w:sz w:val="18"/>
              </w:rPr>
              <w:t>81</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421</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Amounts receivable for sales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6"/>
              <w:jc w:val="right"/>
            </w:pPr>
            <w:r>
              <w:rPr>
                <w:rFonts w:ascii="Verdana" w:eastAsia="Verdana" w:hAnsi="Verdana" w:cs="Verdana"/>
                <w:sz w:val="18"/>
              </w:rPr>
              <w:t>617</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346,765</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Cash balances</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176,792</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sz w:val="18"/>
              </w:rPr>
              <w:t>12,541</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Current Assets – Note 19</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sz w:val="18"/>
              </w:rPr>
              <w:t>115,959</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shd w:val="clear" w:color="auto" w:fill="35437C"/>
          </w:tcPr>
          <w:p w:rsidR="00576F87" w:rsidRDefault="004165F5">
            <w:pPr>
              <w:spacing w:after="0"/>
              <w:ind w:right="34"/>
              <w:jc w:val="right"/>
            </w:pPr>
            <w:r>
              <w:rPr>
                <w:rFonts w:ascii="Verdana" w:eastAsia="Verdana" w:hAnsi="Verdana" w:cs="Verdana"/>
                <w:b/>
                <w:color w:val="FFFFFF"/>
                <w:sz w:val="18"/>
              </w:rPr>
              <w:t>366,614</w:t>
            </w:r>
          </w:p>
        </w:tc>
        <w:tc>
          <w:tcPr>
            <w:tcW w:w="5623"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left="5"/>
            </w:pPr>
            <w:r>
              <w:rPr>
                <w:rFonts w:ascii="Verdana" w:eastAsia="Verdana" w:hAnsi="Verdana" w:cs="Verdana"/>
                <w:b/>
                <w:color w:val="FFFFFF"/>
                <w:sz w:val="18"/>
              </w:rPr>
              <w:t>Total - Loans and Receivables</w:t>
            </w:r>
          </w:p>
        </w:tc>
        <w:tc>
          <w:tcPr>
            <w:tcW w:w="1805" w:type="dxa"/>
            <w:tcBorders>
              <w:top w:val="single" w:sz="8"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34"/>
              <w:jc w:val="right"/>
            </w:pPr>
            <w:r>
              <w:rPr>
                <w:rFonts w:ascii="Verdana" w:eastAsia="Verdana" w:hAnsi="Verdana" w:cs="Verdana"/>
                <w:b/>
                <w:color w:val="FFFFFF"/>
                <w:sz w:val="18"/>
              </w:rPr>
              <w:t>352,298</w:t>
            </w:r>
          </w:p>
        </w:tc>
      </w:tr>
      <w:tr w:rsidR="00576F87">
        <w:trPr>
          <w:trHeight w:val="264"/>
        </w:trPr>
        <w:tc>
          <w:tcPr>
            <w:tcW w:w="1999" w:type="dxa"/>
            <w:tcBorders>
              <w:top w:val="single" w:sz="8" w:space="0" w:color="35437C"/>
              <w:left w:val="single" w:sz="15" w:space="0" w:color="35437C"/>
              <w:bottom w:val="single" w:sz="8" w:space="0" w:color="35437C"/>
              <w:right w:val="single" w:sz="8" w:space="0" w:color="35437C"/>
            </w:tcBorders>
          </w:tcPr>
          <w:p w:rsidR="00576F87" w:rsidRDefault="00576F87"/>
        </w:tc>
        <w:tc>
          <w:tcPr>
            <w:tcW w:w="5623" w:type="dxa"/>
            <w:tcBorders>
              <w:top w:val="single" w:sz="8" w:space="0" w:color="35437C"/>
              <w:left w:val="single" w:sz="8" w:space="0" w:color="35437C"/>
              <w:bottom w:val="single" w:sz="8" w:space="0" w:color="35437C"/>
              <w:right w:val="single" w:sz="8" w:space="0" w:color="35437C"/>
            </w:tcBorders>
          </w:tcPr>
          <w:p w:rsidR="00576F87" w:rsidRDefault="00576F87"/>
        </w:tc>
        <w:tc>
          <w:tcPr>
            <w:tcW w:w="1805"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76"/>
        </w:trPr>
        <w:tc>
          <w:tcPr>
            <w:tcW w:w="1999" w:type="dxa"/>
            <w:tcBorders>
              <w:top w:val="single" w:sz="8" w:space="0" w:color="35437C"/>
              <w:left w:val="single" w:sz="15" w:space="0" w:color="35437C"/>
              <w:bottom w:val="single" w:sz="8" w:space="0" w:color="35437C"/>
              <w:right w:val="single" w:sz="8" w:space="0" w:color="35437C"/>
            </w:tcBorders>
          </w:tcPr>
          <w:p w:rsidR="00576F87" w:rsidRDefault="00576F87"/>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Finance liabilities - at amortised cost</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(1,027)</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Amounts payable for purchase</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4"/>
              <w:jc w:val="right"/>
            </w:pPr>
            <w:r>
              <w:rPr>
                <w:rFonts w:ascii="Verdana" w:eastAsia="Verdana" w:hAnsi="Verdana" w:cs="Verdana"/>
                <w:sz w:val="18"/>
              </w:rPr>
              <w:t>-</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(9,229)</w:t>
            </w:r>
          </w:p>
        </w:tc>
        <w:tc>
          <w:tcPr>
            <w:tcW w:w="562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Current liabilities – Note 20</w:t>
            </w:r>
          </w:p>
        </w:tc>
        <w:tc>
          <w:tcPr>
            <w:tcW w:w="180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rPr>
                <w:rFonts w:ascii="Verdana" w:eastAsia="Verdana" w:hAnsi="Verdana" w:cs="Verdana"/>
                <w:sz w:val="18"/>
              </w:rPr>
              <w:t>(13,495)</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shd w:val="clear" w:color="auto" w:fill="35437C"/>
          </w:tcPr>
          <w:p w:rsidR="00576F87" w:rsidRDefault="004165F5">
            <w:pPr>
              <w:spacing w:after="0"/>
              <w:ind w:right="41"/>
              <w:jc w:val="right"/>
            </w:pPr>
            <w:r>
              <w:rPr>
                <w:rFonts w:ascii="Verdana" w:eastAsia="Verdana" w:hAnsi="Verdana" w:cs="Verdana"/>
                <w:b/>
                <w:color w:val="FFFFFF"/>
                <w:sz w:val="20"/>
              </w:rPr>
              <w:t>(10,256)</w:t>
            </w:r>
          </w:p>
        </w:tc>
        <w:tc>
          <w:tcPr>
            <w:tcW w:w="5623"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left="7"/>
            </w:pPr>
            <w:r>
              <w:rPr>
                <w:rFonts w:ascii="Verdana" w:eastAsia="Verdana" w:hAnsi="Verdana" w:cs="Verdana"/>
                <w:b/>
                <w:color w:val="FFFFFF"/>
                <w:sz w:val="20"/>
              </w:rPr>
              <w:t>Total - Loans and Receivables</w:t>
            </w:r>
          </w:p>
        </w:tc>
        <w:tc>
          <w:tcPr>
            <w:tcW w:w="1805" w:type="dxa"/>
            <w:tcBorders>
              <w:top w:val="single" w:sz="8"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41"/>
              <w:jc w:val="right"/>
            </w:pPr>
            <w:r>
              <w:rPr>
                <w:rFonts w:ascii="Verdana" w:eastAsia="Verdana" w:hAnsi="Verdana" w:cs="Verdana"/>
                <w:b/>
                <w:color w:val="FFFFFF"/>
                <w:sz w:val="20"/>
              </w:rPr>
              <w:t>(13,495)</w:t>
            </w:r>
          </w:p>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shd w:val="clear" w:color="auto" w:fill="FFFFFF"/>
          </w:tcPr>
          <w:p w:rsidR="00576F87" w:rsidRDefault="00576F87"/>
        </w:tc>
        <w:tc>
          <w:tcPr>
            <w:tcW w:w="5623"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805"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576F87"/>
        </w:tc>
      </w:tr>
      <w:tr w:rsidR="00576F87">
        <w:trPr>
          <w:trHeight w:val="290"/>
        </w:trPr>
        <w:tc>
          <w:tcPr>
            <w:tcW w:w="1999" w:type="dxa"/>
            <w:tcBorders>
              <w:top w:val="single" w:sz="8" w:space="0" w:color="35437C"/>
              <w:left w:val="single" w:sz="15" w:space="0" w:color="35437C"/>
              <w:bottom w:val="single" w:sz="8" w:space="0" w:color="35437C"/>
              <w:right w:val="single" w:sz="8" w:space="0" w:color="35437C"/>
            </w:tcBorders>
            <w:shd w:val="clear" w:color="auto" w:fill="FFFFFF"/>
          </w:tcPr>
          <w:p w:rsidR="00576F87" w:rsidRDefault="00576F87"/>
        </w:tc>
        <w:tc>
          <w:tcPr>
            <w:tcW w:w="5623"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805"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576F87"/>
        </w:tc>
      </w:tr>
      <w:tr w:rsidR="00576F87">
        <w:trPr>
          <w:trHeight w:val="305"/>
        </w:trPr>
        <w:tc>
          <w:tcPr>
            <w:tcW w:w="1999"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4165F5">
            <w:pPr>
              <w:spacing w:after="0"/>
              <w:ind w:right="41"/>
              <w:jc w:val="right"/>
            </w:pPr>
            <w:r>
              <w:rPr>
                <w:rFonts w:ascii="Verdana" w:eastAsia="Verdana" w:hAnsi="Verdana" w:cs="Verdana"/>
                <w:b/>
                <w:color w:val="FFFFFF"/>
                <w:sz w:val="20"/>
              </w:rPr>
              <w:t>5,227,104</w:t>
            </w:r>
          </w:p>
        </w:tc>
        <w:tc>
          <w:tcPr>
            <w:tcW w:w="5623"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left="7"/>
            </w:pPr>
            <w:r>
              <w:rPr>
                <w:rFonts w:ascii="Verdana" w:eastAsia="Verdana" w:hAnsi="Verdana" w:cs="Verdana"/>
                <w:b/>
                <w:color w:val="FFFFFF"/>
                <w:sz w:val="20"/>
              </w:rPr>
              <w:t>Grand Total</w:t>
            </w:r>
          </w:p>
        </w:tc>
        <w:tc>
          <w:tcPr>
            <w:tcW w:w="1805"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41"/>
              <w:jc w:val="right"/>
            </w:pPr>
            <w:r>
              <w:rPr>
                <w:rFonts w:ascii="Verdana" w:eastAsia="Verdana" w:hAnsi="Verdana" w:cs="Verdana"/>
                <w:b/>
                <w:color w:val="FFFFFF"/>
                <w:sz w:val="20"/>
              </w:rPr>
              <w:t>5,486,913</w:t>
            </w:r>
          </w:p>
        </w:tc>
      </w:tr>
    </w:tbl>
    <w:p w:rsidR="00576F87" w:rsidRDefault="004165F5">
      <w:pPr>
        <w:pStyle w:val="Heading3"/>
        <w:spacing w:after="81"/>
        <w:ind w:left="5" w:hanging="8"/>
      </w:pPr>
      <w:r>
        <w:rPr>
          <w:color w:val="000000"/>
        </w:rPr>
        <w:t>16. Financial Instruments (continued)</w:t>
      </w:r>
    </w:p>
    <w:p w:rsidR="00576F87" w:rsidRDefault="004165F5">
      <w:pPr>
        <w:spacing w:after="256" w:line="264" w:lineRule="auto"/>
        <w:ind w:left="2" w:right="784" w:hanging="10"/>
        <w:jc w:val="both"/>
      </w:pPr>
      <w:r>
        <w:rPr>
          <w:rFonts w:ascii="Verdana" w:eastAsia="Verdana" w:hAnsi="Verdana" w:cs="Verdana"/>
          <w:sz w:val="20"/>
        </w:rPr>
        <w:t>The LPFA has financial liabilities carried at amortised cost and the carrying amount for instruments that will mature within the next twelve months from the net asset statement date is assumed to equate to the fair value.</w:t>
      </w:r>
    </w:p>
    <w:p w:rsidR="00576F87" w:rsidRDefault="004165F5">
      <w:pPr>
        <w:spacing w:after="301" w:line="264" w:lineRule="auto"/>
        <w:ind w:left="2" w:right="783" w:hanging="10"/>
        <w:jc w:val="both"/>
      </w:pPr>
      <w:r>
        <w:rPr>
          <w:rFonts w:ascii="Verdana" w:eastAsia="Verdana" w:hAnsi="Verdana" w:cs="Verdana"/>
          <w:sz w:val="20"/>
        </w:rPr>
        <w:t>The fair values of loans and recei</w:t>
      </w:r>
      <w:r>
        <w:rPr>
          <w:rFonts w:ascii="Verdana" w:eastAsia="Verdana" w:hAnsi="Verdana" w:cs="Verdana"/>
          <w:sz w:val="20"/>
        </w:rPr>
        <w:t>vables at 31 March 2018 have been reviewed and were assessed as being the same as the carrying amounts in the net asset statement. Assets are carried at fair value. When an asset or liability is translated at balance sheet date the gain/ loss is taken as u</w:t>
      </w:r>
      <w:r>
        <w:rPr>
          <w:rFonts w:ascii="Verdana" w:eastAsia="Verdana" w:hAnsi="Verdana" w:cs="Verdana"/>
          <w:sz w:val="20"/>
        </w:rPr>
        <w:t>nrealised but when the asset or liability is settled (i.e. received/ paid) the gain/ loss becomes realised.</w:t>
      </w:r>
    </w:p>
    <w:p w:rsidR="00576F87" w:rsidRDefault="004165F5">
      <w:pPr>
        <w:spacing w:after="209" w:line="264" w:lineRule="auto"/>
        <w:ind w:left="2" w:right="562" w:hanging="10"/>
        <w:jc w:val="both"/>
      </w:pPr>
      <w:r>
        <w:rPr>
          <w:rFonts w:ascii="Verdana" w:eastAsia="Verdana" w:hAnsi="Verdana" w:cs="Verdana"/>
          <w:sz w:val="20"/>
        </w:rPr>
        <w:t>LPFA has not entered into any financial guarantees that are required to be accounted for as financial instruments.</w:t>
      </w:r>
    </w:p>
    <w:p w:rsidR="00576F87" w:rsidRDefault="004165F5">
      <w:pPr>
        <w:pStyle w:val="Heading4"/>
        <w:spacing w:after="336" w:line="265" w:lineRule="auto"/>
        <w:ind w:left="5" w:hanging="10"/>
      </w:pPr>
      <w:r>
        <w:rPr>
          <w:b/>
          <w:color w:val="99CA3C"/>
          <w:sz w:val="20"/>
        </w:rPr>
        <w:t>Valuation of financial instruments carried at fair value</w:t>
      </w:r>
    </w:p>
    <w:p w:rsidR="00576F87" w:rsidRDefault="004165F5">
      <w:pPr>
        <w:spacing w:after="306" w:line="264" w:lineRule="auto"/>
        <w:ind w:left="2" w:right="464" w:hanging="10"/>
        <w:jc w:val="both"/>
      </w:pPr>
      <w:r>
        <w:rPr>
          <w:rFonts w:ascii="Verdana" w:eastAsia="Verdana" w:hAnsi="Verdana" w:cs="Verdana"/>
          <w:sz w:val="20"/>
        </w:rPr>
        <w:t>The valuation of financial instruments has been classified into three levels, according to the quality and reliability of information used to determine fair values.</w:t>
      </w:r>
    </w:p>
    <w:p w:rsidR="00576F87" w:rsidRDefault="004165F5">
      <w:pPr>
        <w:spacing w:after="172"/>
        <w:ind w:left="-5" w:hanging="10"/>
      </w:pPr>
      <w:r>
        <w:rPr>
          <w:rFonts w:ascii="Verdana" w:eastAsia="Verdana" w:hAnsi="Verdana" w:cs="Verdana"/>
          <w:color w:val="712957"/>
          <w:sz w:val="20"/>
        </w:rPr>
        <w:t>Level 1</w:t>
      </w:r>
    </w:p>
    <w:p w:rsidR="00576F87" w:rsidRDefault="004165F5">
      <w:pPr>
        <w:spacing w:after="169" w:line="264" w:lineRule="auto"/>
        <w:ind w:left="2" w:right="786" w:hanging="10"/>
        <w:jc w:val="both"/>
      </w:pPr>
      <w:r>
        <w:rPr>
          <w:rFonts w:ascii="Verdana" w:eastAsia="Verdana" w:hAnsi="Verdana" w:cs="Verdana"/>
          <w:sz w:val="20"/>
        </w:rPr>
        <w:t>Financial instruments at level 1 are those where the fair values are derived from unadjusted quoted prices in active markets for identical assets or liabilities. Products classified as level 1 comprise quoted equities, quoted fixed securities, quoted index</w:t>
      </w:r>
      <w:r>
        <w:rPr>
          <w:rFonts w:ascii="Verdana" w:eastAsia="Verdana" w:hAnsi="Verdana" w:cs="Verdana"/>
          <w:sz w:val="20"/>
        </w:rPr>
        <w:t xml:space="preserve"> linked securities, futures and options.</w:t>
      </w:r>
    </w:p>
    <w:p w:rsidR="00576F87" w:rsidRDefault="004165F5">
      <w:pPr>
        <w:spacing w:after="228"/>
        <w:ind w:left="-5" w:hanging="10"/>
      </w:pPr>
      <w:r>
        <w:rPr>
          <w:rFonts w:ascii="Verdana" w:eastAsia="Verdana" w:hAnsi="Verdana" w:cs="Verdana"/>
          <w:color w:val="712957"/>
          <w:sz w:val="20"/>
        </w:rPr>
        <w:t>Level 2</w:t>
      </w:r>
    </w:p>
    <w:p w:rsidR="00576F87" w:rsidRDefault="004165F5">
      <w:pPr>
        <w:spacing w:after="294" w:line="264" w:lineRule="auto"/>
        <w:ind w:left="2" w:right="786" w:hanging="10"/>
        <w:jc w:val="both"/>
      </w:pPr>
      <w:r>
        <w:rPr>
          <w:rFonts w:ascii="Verdana" w:eastAsia="Verdana" w:hAnsi="Verdana" w:cs="Verdana"/>
          <w:sz w:val="20"/>
        </w:rPr>
        <w:t>Financial instruments at level 2 are those where quoted market prices are not available; for example where an instrument is traded in a market that is not considered to be active, or where valuation techniqu</w:t>
      </w:r>
      <w:r>
        <w:rPr>
          <w:rFonts w:ascii="Verdana" w:eastAsia="Verdana" w:hAnsi="Verdana" w:cs="Verdana"/>
          <w:sz w:val="20"/>
        </w:rPr>
        <w:t xml:space="preserve">es are used to determine fair value and where these techniques use inputs that are based significantly on observable data. </w:t>
      </w:r>
    </w:p>
    <w:p w:rsidR="00576F87" w:rsidRDefault="004165F5">
      <w:pPr>
        <w:spacing w:after="269"/>
        <w:ind w:left="-5" w:hanging="10"/>
      </w:pPr>
      <w:r>
        <w:rPr>
          <w:rFonts w:ascii="Verdana" w:eastAsia="Verdana" w:hAnsi="Verdana" w:cs="Verdana"/>
          <w:color w:val="712957"/>
          <w:sz w:val="20"/>
        </w:rPr>
        <w:t>Level 3</w:t>
      </w:r>
    </w:p>
    <w:p w:rsidR="00576F87" w:rsidRDefault="004165F5">
      <w:pPr>
        <w:spacing w:after="385" w:line="264" w:lineRule="auto"/>
        <w:ind w:left="2" w:right="12" w:hanging="10"/>
        <w:jc w:val="both"/>
      </w:pPr>
      <w:r>
        <w:rPr>
          <w:rFonts w:ascii="Verdana" w:eastAsia="Verdana" w:hAnsi="Verdana" w:cs="Verdana"/>
          <w:sz w:val="20"/>
        </w:rPr>
        <w:t>Financial instruments at level 3 are those where at least one input that could have a significant effect on the instrument’s</w:t>
      </w:r>
      <w:r>
        <w:rPr>
          <w:rFonts w:ascii="Verdana" w:eastAsia="Verdana" w:hAnsi="Verdana" w:cs="Verdana"/>
          <w:sz w:val="20"/>
        </w:rPr>
        <w:t xml:space="preserve"> valuation is not based on observable market data.</w:t>
      </w:r>
    </w:p>
    <w:p w:rsidR="00576F87" w:rsidRDefault="004165F5">
      <w:pPr>
        <w:spacing w:after="147" w:line="264" w:lineRule="auto"/>
        <w:ind w:left="2" w:right="794" w:hanging="10"/>
        <w:jc w:val="both"/>
      </w:pPr>
      <w:r>
        <w:rPr>
          <w:rFonts w:ascii="Verdana" w:eastAsia="Verdana" w:hAnsi="Verdana" w:cs="Verdana"/>
          <w:sz w:val="20"/>
        </w:rPr>
        <w:t>Such instruments would include unquoted equity investments which are valued using various valuation techniques that require significant judgement in determining appropriate assumptions.</w:t>
      </w:r>
    </w:p>
    <w:p w:rsidR="00576F87" w:rsidRDefault="004165F5">
      <w:pPr>
        <w:spacing w:after="3" w:line="264" w:lineRule="auto"/>
        <w:ind w:left="2" w:right="788" w:hanging="10"/>
        <w:jc w:val="both"/>
      </w:pPr>
      <w:r>
        <w:rPr>
          <w:rFonts w:ascii="Verdana" w:eastAsia="Verdana" w:hAnsi="Verdana" w:cs="Verdana"/>
          <w:sz w:val="20"/>
        </w:rPr>
        <w:t>The values of the investment in private equity and infrastructure are based on valuations provided by the general partners of the funds in which the LPFA has invested. The valuations are determined using the guidelines set out by the British</w:t>
      </w:r>
    </w:p>
    <w:p w:rsidR="00576F87" w:rsidRDefault="004165F5">
      <w:pPr>
        <w:spacing w:after="181" w:line="264" w:lineRule="auto"/>
        <w:ind w:left="2" w:right="12" w:hanging="10"/>
        <w:jc w:val="both"/>
      </w:pPr>
      <w:r>
        <w:rPr>
          <w:rFonts w:ascii="Verdana" w:eastAsia="Verdana" w:hAnsi="Verdana" w:cs="Verdana"/>
          <w:sz w:val="20"/>
        </w:rPr>
        <w:t>Venture Capita</w:t>
      </w:r>
      <w:r>
        <w:rPr>
          <w:rFonts w:ascii="Verdana" w:eastAsia="Verdana" w:hAnsi="Verdana" w:cs="Verdana"/>
          <w:sz w:val="20"/>
        </w:rPr>
        <w:t>l Association or International Limited Partners Association.</w:t>
      </w:r>
    </w:p>
    <w:p w:rsidR="00576F87" w:rsidRDefault="004165F5">
      <w:pPr>
        <w:spacing w:after="3" w:line="264" w:lineRule="auto"/>
        <w:ind w:left="2" w:right="788" w:hanging="10"/>
        <w:jc w:val="both"/>
      </w:pPr>
      <w:r>
        <w:rPr>
          <w:rFonts w:ascii="Verdana" w:eastAsia="Verdana" w:hAnsi="Verdana" w:cs="Verdana"/>
          <w:sz w:val="20"/>
        </w:rPr>
        <w:t>The fair value levels of certain investment funds have been re-classified following an exercise to review the inputs into asset valuations. This resulted in the 2017 figures being re-stated for t</w:t>
      </w:r>
      <w:r>
        <w:rPr>
          <w:rFonts w:ascii="Verdana" w:eastAsia="Verdana" w:hAnsi="Verdana" w:cs="Verdana"/>
          <w:sz w:val="20"/>
        </w:rPr>
        <w:t>he movement of pooled vehicles amounting to £2.5 billion into</w:t>
      </w:r>
    </w:p>
    <w:p w:rsidR="00576F87" w:rsidRDefault="004165F5">
      <w:pPr>
        <w:spacing w:after="3" w:line="264" w:lineRule="auto"/>
        <w:ind w:left="2" w:right="12" w:hanging="10"/>
        <w:jc w:val="both"/>
      </w:pPr>
      <w:r>
        <w:rPr>
          <w:rFonts w:ascii="Verdana" w:eastAsia="Verdana" w:hAnsi="Verdana" w:cs="Verdana"/>
          <w:sz w:val="20"/>
        </w:rPr>
        <w:t>Level 1 as the underlying assets of the pools are listed equities</w:t>
      </w:r>
    </w:p>
    <w:p w:rsidR="00576F87" w:rsidRDefault="004165F5">
      <w:pPr>
        <w:spacing w:after="0"/>
        <w:ind w:left="2"/>
      </w:pPr>
      <w:r>
        <w:rPr>
          <w:b/>
          <w:sz w:val="28"/>
        </w:rPr>
        <w:t>Fair value levels</w:t>
      </w:r>
    </w:p>
    <w:tbl>
      <w:tblPr>
        <w:tblStyle w:val="TableGrid"/>
        <w:tblW w:w="9730" w:type="dxa"/>
        <w:tblInd w:w="-41" w:type="dxa"/>
        <w:tblCellMar>
          <w:top w:w="78" w:type="dxa"/>
          <w:left w:w="36" w:type="dxa"/>
          <w:bottom w:w="0" w:type="dxa"/>
          <w:right w:w="33" w:type="dxa"/>
        </w:tblCellMar>
        <w:tblLook w:val="04A0" w:firstRow="1" w:lastRow="0" w:firstColumn="1" w:lastColumn="0" w:noHBand="0" w:noVBand="1"/>
      </w:tblPr>
      <w:tblGrid>
        <w:gridCol w:w="2849"/>
        <w:gridCol w:w="1418"/>
        <w:gridCol w:w="1385"/>
        <w:gridCol w:w="1450"/>
        <w:gridCol w:w="1258"/>
        <w:gridCol w:w="1370"/>
      </w:tblGrid>
      <w:tr w:rsidR="00576F87">
        <w:trPr>
          <w:trHeight w:val="290"/>
        </w:trPr>
        <w:tc>
          <w:tcPr>
            <w:tcW w:w="2849"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left="1"/>
              <w:jc w:val="center"/>
            </w:pPr>
            <w:r>
              <w:rPr>
                <w:rFonts w:ascii="Verdana" w:eastAsia="Verdana" w:hAnsi="Verdana" w:cs="Verdana"/>
                <w:b/>
                <w:color w:val="FFFFFF"/>
                <w:sz w:val="18"/>
              </w:rPr>
              <w:t>Value at 31 March 2018</w:t>
            </w:r>
          </w:p>
        </w:tc>
        <w:tc>
          <w:tcPr>
            <w:tcW w:w="141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385"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8"/>
              <w:jc w:val="right"/>
            </w:pPr>
            <w:r>
              <w:rPr>
                <w:rFonts w:ascii="Verdana" w:eastAsia="Verdana" w:hAnsi="Verdana" w:cs="Verdana"/>
                <w:b/>
                <w:color w:val="FFFFFF"/>
                <w:sz w:val="18"/>
              </w:rPr>
              <w:t>Level 1</w:t>
            </w:r>
          </w:p>
        </w:tc>
        <w:tc>
          <w:tcPr>
            <w:tcW w:w="1450"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8"/>
              <w:jc w:val="right"/>
            </w:pPr>
            <w:r>
              <w:rPr>
                <w:rFonts w:ascii="Verdana" w:eastAsia="Verdana" w:hAnsi="Verdana" w:cs="Verdana"/>
                <w:b/>
                <w:color w:val="FFFFFF"/>
                <w:sz w:val="18"/>
              </w:rPr>
              <w:t>Level 2</w:t>
            </w:r>
          </w:p>
        </w:tc>
        <w:tc>
          <w:tcPr>
            <w:tcW w:w="125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8"/>
              <w:jc w:val="right"/>
            </w:pPr>
            <w:r>
              <w:rPr>
                <w:rFonts w:ascii="Verdana" w:eastAsia="Verdana" w:hAnsi="Verdana" w:cs="Verdana"/>
                <w:b/>
                <w:color w:val="FFFFFF"/>
                <w:sz w:val="18"/>
              </w:rPr>
              <w:t>Level 3</w:t>
            </w:r>
          </w:p>
        </w:tc>
        <w:tc>
          <w:tcPr>
            <w:tcW w:w="1370"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Total</w:t>
            </w:r>
          </w:p>
        </w:tc>
      </w:tr>
      <w:tr w:rsidR="00576F87">
        <w:trPr>
          <w:trHeight w:val="290"/>
        </w:trPr>
        <w:tc>
          <w:tcPr>
            <w:tcW w:w="4267" w:type="dxa"/>
            <w:gridSpan w:val="2"/>
            <w:tcBorders>
              <w:top w:val="single" w:sz="8" w:space="0" w:color="35437C"/>
              <w:left w:val="single" w:sz="8" w:space="0" w:color="35437C"/>
              <w:bottom w:val="single" w:sz="8" w:space="0" w:color="35437C"/>
              <w:right w:val="single" w:sz="8" w:space="0" w:color="35437C"/>
            </w:tcBorders>
          </w:tcPr>
          <w:p w:rsidR="00576F87" w:rsidRDefault="00576F87"/>
        </w:tc>
        <w:tc>
          <w:tcPr>
            <w:tcW w:w="138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b/>
                <w:sz w:val="18"/>
              </w:rPr>
              <w:t>£000</w:t>
            </w:r>
          </w:p>
        </w:tc>
        <w:tc>
          <w:tcPr>
            <w:tcW w:w="1450"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b/>
                <w:sz w:val="18"/>
              </w:rPr>
              <w:t>£000</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b/>
                <w:sz w:val="18"/>
              </w:rPr>
              <w:t>£000</w:t>
            </w:r>
          </w:p>
        </w:tc>
        <w:tc>
          <w:tcPr>
            <w:tcW w:w="1370"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b/>
                <w:sz w:val="18"/>
              </w:rPr>
              <w:t>£000</w:t>
            </w:r>
          </w:p>
        </w:tc>
      </w:tr>
      <w:tr w:rsidR="00576F87">
        <w:trPr>
          <w:trHeight w:val="612"/>
        </w:trPr>
        <w:tc>
          <w:tcPr>
            <w:tcW w:w="4267" w:type="dxa"/>
            <w:gridSpan w:val="2"/>
            <w:tcBorders>
              <w:top w:val="single" w:sz="8" w:space="0" w:color="35437C"/>
              <w:left w:val="single" w:sz="8" w:space="0" w:color="35437C"/>
              <w:bottom w:val="single" w:sz="8" w:space="0" w:color="35437C"/>
              <w:right w:val="single" w:sz="8" w:space="0" w:color="35437C"/>
            </w:tcBorders>
          </w:tcPr>
          <w:p w:rsidR="00576F87" w:rsidRDefault="004165F5">
            <w:pPr>
              <w:spacing w:after="0"/>
              <w:jc w:val="both"/>
            </w:pPr>
            <w:r>
              <w:rPr>
                <w:rFonts w:ascii="Verdana" w:eastAsia="Verdana" w:hAnsi="Verdana" w:cs="Verdana"/>
                <w:sz w:val="18"/>
              </w:rPr>
              <w:t>Financial assets at fair value through profit or loss</w:t>
            </w:r>
          </w:p>
        </w:tc>
        <w:tc>
          <w:tcPr>
            <w:tcW w:w="1385"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5"/>
              <w:jc w:val="right"/>
            </w:pPr>
            <w:r>
              <w:rPr>
                <w:rFonts w:ascii="Verdana" w:eastAsia="Verdana" w:hAnsi="Verdana" w:cs="Verdana"/>
                <w:sz w:val="18"/>
              </w:rPr>
              <w:t>3,278,721</w:t>
            </w:r>
          </w:p>
        </w:tc>
        <w:tc>
          <w:tcPr>
            <w:tcW w:w="1450"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4"/>
              <w:jc w:val="right"/>
            </w:pPr>
            <w:r>
              <w:rPr>
                <w:rFonts w:ascii="Verdana" w:eastAsia="Verdana" w:hAnsi="Verdana" w:cs="Verdana"/>
                <w:sz w:val="18"/>
              </w:rPr>
              <w:t>1,024,353</w:t>
            </w:r>
          </w:p>
        </w:tc>
        <w:tc>
          <w:tcPr>
            <w:tcW w:w="1258"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4"/>
              <w:jc w:val="right"/>
            </w:pPr>
            <w:r>
              <w:rPr>
                <w:rFonts w:ascii="Verdana" w:eastAsia="Verdana" w:hAnsi="Verdana" w:cs="Verdana"/>
                <w:sz w:val="18"/>
              </w:rPr>
              <w:t>1,012,797</w:t>
            </w:r>
          </w:p>
        </w:tc>
        <w:tc>
          <w:tcPr>
            <w:tcW w:w="1370"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
              <w:jc w:val="right"/>
            </w:pPr>
            <w:r>
              <w:rPr>
                <w:rFonts w:ascii="Verdana" w:eastAsia="Verdana" w:hAnsi="Verdana" w:cs="Verdana"/>
                <w:sz w:val="18"/>
              </w:rPr>
              <w:t>5,315,871</w:t>
            </w:r>
          </w:p>
        </w:tc>
      </w:tr>
      <w:tr w:rsidR="00576F87">
        <w:trPr>
          <w:trHeight w:val="305"/>
        </w:trPr>
        <w:tc>
          <w:tcPr>
            <w:tcW w:w="4267" w:type="dxa"/>
            <w:gridSpan w:val="2"/>
            <w:tcBorders>
              <w:top w:val="single" w:sz="8" w:space="0" w:color="35437C"/>
              <w:left w:val="single" w:sz="8" w:space="0" w:color="35437C"/>
              <w:bottom w:val="single" w:sz="8" w:space="0" w:color="35437C"/>
              <w:right w:val="single" w:sz="8" w:space="0" w:color="35437C"/>
            </w:tcBorders>
          </w:tcPr>
          <w:p w:rsidR="00576F87" w:rsidRDefault="00576F87"/>
        </w:tc>
        <w:tc>
          <w:tcPr>
            <w:tcW w:w="1385" w:type="dxa"/>
            <w:tcBorders>
              <w:top w:val="single" w:sz="8" w:space="0" w:color="35437C"/>
              <w:left w:val="single" w:sz="8" w:space="0" w:color="35437C"/>
              <w:bottom w:val="single" w:sz="8" w:space="0" w:color="35437C"/>
              <w:right w:val="single" w:sz="8" w:space="0" w:color="35437C"/>
            </w:tcBorders>
          </w:tcPr>
          <w:p w:rsidR="00576F87" w:rsidRDefault="00576F87"/>
        </w:tc>
        <w:tc>
          <w:tcPr>
            <w:tcW w:w="1450"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8" w:space="0" w:color="35437C"/>
            </w:tcBorders>
          </w:tcPr>
          <w:p w:rsidR="00576F87" w:rsidRDefault="00576F87"/>
        </w:tc>
        <w:tc>
          <w:tcPr>
            <w:tcW w:w="1370"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410"/>
        </w:trPr>
        <w:tc>
          <w:tcPr>
            <w:tcW w:w="2849"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left="5"/>
            </w:pPr>
            <w:r>
              <w:rPr>
                <w:rFonts w:ascii="Verdana" w:eastAsia="Verdana" w:hAnsi="Verdana" w:cs="Verdana"/>
                <w:b/>
                <w:color w:val="FFFFFF"/>
                <w:sz w:val="18"/>
              </w:rPr>
              <w:t>Net financial assets</w:t>
            </w:r>
          </w:p>
        </w:tc>
        <w:tc>
          <w:tcPr>
            <w:tcW w:w="141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385"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3,278,721</w:t>
            </w:r>
          </w:p>
        </w:tc>
        <w:tc>
          <w:tcPr>
            <w:tcW w:w="1450"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1,024,353</w:t>
            </w:r>
          </w:p>
        </w:tc>
        <w:tc>
          <w:tcPr>
            <w:tcW w:w="125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left="163"/>
            </w:pPr>
            <w:r>
              <w:rPr>
                <w:rFonts w:ascii="Verdana" w:eastAsia="Verdana" w:hAnsi="Verdana" w:cs="Verdana"/>
                <w:b/>
                <w:color w:val="FFFFFF"/>
                <w:sz w:val="18"/>
              </w:rPr>
              <w:t>1,012,797</w:t>
            </w:r>
          </w:p>
        </w:tc>
        <w:tc>
          <w:tcPr>
            <w:tcW w:w="1370"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5,315,871</w:t>
            </w:r>
          </w:p>
        </w:tc>
      </w:tr>
    </w:tbl>
    <w:p w:rsidR="00576F87" w:rsidRDefault="004165F5">
      <w:pPr>
        <w:spacing w:after="3" w:line="264" w:lineRule="auto"/>
        <w:ind w:left="2" w:right="12" w:hanging="10"/>
        <w:jc w:val="both"/>
      </w:pPr>
      <w:r>
        <w:rPr>
          <w:rFonts w:ascii="Verdana" w:eastAsia="Verdana" w:hAnsi="Verdana" w:cs="Verdana"/>
          <w:sz w:val="20"/>
        </w:rPr>
        <w:t>Reconciliation of level 3 assets</w:t>
      </w:r>
    </w:p>
    <w:tbl>
      <w:tblPr>
        <w:tblStyle w:val="TableGrid"/>
        <w:tblW w:w="9732" w:type="dxa"/>
        <w:tblInd w:w="-43" w:type="dxa"/>
        <w:tblCellMar>
          <w:top w:w="0" w:type="dxa"/>
          <w:left w:w="0" w:type="dxa"/>
          <w:bottom w:w="0" w:type="dxa"/>
          <w:right w:w="0" w:type="dxa"/>
        </w:tblCellMar>
        <w:tblLook w:val="04A0" w:firstRow="1" w:lastRow="0" w:firstColumn="1" w:lastColumn="0" w:noHBand="0" w:noVBand="1"/>
      </w:tblPr>
      <w:tblGrid>
        <w:gridCol w:w="9"/>
        <w:gridCol w:w="2842"/>
        <w:gridCol w:w="9"/>
        <w:gridCol w:w="1409"/>
        <w:gridCol w:w="9"/>
        <w:gridCol w:w="1376"/>
        <w:gridCol w:w="9"/>
        <w:gridCol w:w="1441"/>
        <w:gridCol w:w="9"/>
        <w:gridCol w:w="1249"/>
        <w:gridCol w:w="9"/>
        <w:gridCol w:w="1361"/>
        <w:gridCol w:w="9"/>
      </w:tblGrid>
      <w:tr w:rsidR="00576F87">
        <w:trPr>
          <w:gridBefore w:val="1"/>
          <w:wBefore w:w="9" w:type="dxa"/>
          <w:trHeight w:val="1087"/>
        </w:trPr>
        <w:tc>
          <w:tcPr>
            <w:tcW w:w="2851" w:type="dxa"/>
            <w:gridSpan w:val="2"/>
            <w:tcBorders>
              <w:top w:val="single" w:sz="15" w:space="0" w:color="35437C"/>
              <w:left w:val="single" w:sz="15" w:space="0" w:color="35437C"/>
              <w:bottom w:val="single" w:sz="8" w:space="0" w:color="35437C"/>
              <w:right w:val="single" w:sz="8" w:space="0" w:color="35437C"/>
            </w:tcBorders>
            <w:shd w:val="clear" w:color="auto" w:fill="35437C"/>
          </w:tcPr>
          <w:p w:rsidR="00576F87" w:rsidRDefault="00576F87"/>
        </w:tc>
        <w:tc>
          <w:tcPr>
            <w:tcW w:w="1418" w:type="dxa"/>
            <w:gridSpan w:val="2"/>
            <w:tcBorders>
              <w:top w:val="single" w:sz="15" w:space="0" w:color="35437C"/>
              <w:left w:val="single" w:sz="8" w:space="0" w:color="35437C"/>
              <w:bottom w:val="single" w:sz="8" w:space="0" w:color="35437C"/>
              <w:right w:val="single" w:sz="8" w:space="0" w:color="35437C"/>
            </w:tcBorders>
            <w:shd w:val="clear" w:color="auto" w:fill="35437C"/>
            <w:vAlign w:val="center"/>
          </w:tcPr>
          <w:p w:rsidR="00576F87" w:rsidRDefault="004165F5">
            <w:pPr>
              <w:spacing w:after="3"/>
              <w:ind w:left="31"/>
              <w:jc w:val="both"/>
            </w:pPr>
            <w:r>
              <w:rPr>
                <w:rFonts w:ascii="Verdana" w:eastAsia="Verdana" w:hAnsi="Verdana" w:cs="Verdana"/>
                <w:b/>
                <w:color w:val="FFFFFF"/>
                <w:sz w:val="18"/>
              </w:rPr>
              <w:t xml:space="preserve">Market value </w:t>
            </w:r>
          </w:p>
          <w:p w:rsidR="00576F87" w:rsidRDefault="004165F5">
            <w:pPr>
              <w:spacing w:after="0"/>
              <w:ind w:left="103"/>
            </w:pPr>
            <w:r>
              <w:rPr>
                <w:rFonts w:ascii="Verdana" w:eastAsia="Verdana" w:hAnsi="Verdana" w:cs="Verdana"/>
                <w:b/>
                <w:color w:val="FFFFFF"/>
                <w:sz w:val="18"/>
              </w:rPr>
              <w:t>1 April 2017</w:t>
            </w:r>
          </w:p>
        </w:tc>
        <w:tc>
          <w:tcPr>
            <w:tcW w:w="1385" w:type="dxa"/>
            <w:gridSpan w:val="2"/>
            <w:tcBorders>
              <w:top w:val="single" w:sz="15" w:space="0" w:color="35437C"/>
              <w:left w:val="single" w:sz="8" w:space="0" w:color="35437C"/>
              <w:bottom w:val="single" w:sz="8" w:space="0" w:color="35437C"/>
              <w:right w:val="single" w:sz="8" w:space="0" w:color="35437C"/>
            </w:tcBorders>
            <w:shd w:val="clear" w:color="auto" w:fill="35437C"/>
            <w:vAlign w:val="center"/>
          </w:tcPr>
          <w:p w:rsidR="00576F87" w:rsidRDefault="004165F5">
            <w:pPr>
              <w:spacing w:after="0"/>
              <w:ind w:right="35"/>
              <w:jc w:val="right"/>
            </w:pPr>
            <w:r>
              <w:rPr>
                <w:rFonts w:ascii="Verdana" w:eastAsia="Verdana" w:hAnsi="Verdana" w:cs="Verdana"/>
                <w:b/>
                <w:color w:val="FFFFFF"/>
                <w:sz w:val="18"/>
              </w:rPr>
              <w:t>Purchases during the year</w:t>
            </w:r>
          </w:p>
        </w:tc>
        <w:tc>
          <w:tcPr>
            <w:tcW w:w="1450" w:type="dxa"/>
            <w:gridSpan w:val="2"/>
            <w:tcBorders>
              <w:top w:val="single" w:sz="15" w:space="0" w:color="35437C"/>
              <w:left w:val="single" w:sz="8" w:space="0" w:color="35437C"/>
              <w:bottom w:val="single" w:sz="8" w:space="0" w:color="35437C"/>
              <w:right w:val="single" w:sz="8" w:space="0" w:color="35437C"/>
            </w:tcBorders>
            <w:shd w:val="clear" w:color="auto" w:fill="35437C"/>
            <w:vAlign w:val="center"/>
          </w:tcPr>
          <w:p w:rsidR="00576F87" w:rsidRDefault="004165F5">
            <w:pPr>
              <w:spacing w:after="0"/>
              <w:ind w:right="38"/>
              <w:jc w:val="right"/>
            </w:pPr>
            <w:r>
              <w:rPr>
                <w:rFonts w:ascii="Verdana" w:eastAsia="Verdana" w:hAnsi="Verdana" w:cs="Verdana"/>
                <w:b/>
                <w:color w:val="FFFFFF"/>
                <w:sz w:val="18"/>
              </w:rPr>
              <w:t>Sales during the year</w:t>
            </w:r>
          </w:p>
        </w:tc>
        <w:tc>
          <w:tcPr>
            <w:tcW w:w="1258" w:type="dxa"/>
            <w:gridSpan w:val="2"/>
            <w:tcBorders>
              <w:top w:val="single" w:sz="15" w:space="0" w:color="35437C"/>
              <w:left w:val="single" w:sz="8" w:space="0" w:color="35437C"/>
              <w:bottom w:val="single" w:sz="8" w:space="0" w:color="35437C"/>
              <w:right w:val="single" w:sz="8" w:space="0" w:color="35437C"/>
            </w:tcBorders>
            <w:shd w:val="clear" w:color="auto" w:fill="35437C"/>
          </w:tcPr>
          <w:p w:rsidR="00576F87" w:rsidRDefault="004165F5">
            <w:pPr>
              <w:spacing w:after="0"/>
              <w:ind w:left="134" w:firstLine="46"/>
            </w:pPr>
            <w:r>
              <w:rPr>
                <w:rFonts w:ascii="Verdana" w:eastAsia="Verdana" w:hAnsi="Verdana" w:cs="Verdana"/>
                <w:b/>
                <w:color w:val="FFFFFF"/>
                <w:sz w:val="18"/>
              </w:rPr>
              <w:t>Change in market value during the year</w:t>
            </w:r>
          </w:p>
        </w:tc>
        <w:tc>
          <w:tcPr>
            <w:tcW w:w="1370" w:type="dxa"/>
            <w:gridSpan w:val="2"/>
            <w:tcBorders>
              <w:top w:val="single" w:sz="15" w:space="0" w:color="35437C"/>
              <w:left w:val="single" w:sz="8" w:space="0" w:color="35437C"/>
              <w:bottom w:val="single" w:sz="8" w:space="0" w:color="35437C"/>
              <w:right w:val="single" w:sz="15" w:space="0" w:color="35437C"/>
            </w:tcBorders>
            <w:shd w:val="clear" w:color="auto" w:fill="35437C"/>
            <w:vAlign w:val="center"/>
          </w:tcPr>
          <w:p w:rsidR="00576F87" w:rsidRDefault="004165F5">
            <w:pPr>
              <w:spacing w:after="0" w:line="263" w:lineRule="auto"/>
              <w:ind w:left="47" w:right="37"/>
              <w:jc w:val="right"/>
            </w:pPr>
            <w:r>
              <w:rPr>
                <w:rFonts w:ascii="Verdana" w:eastAsia="Verdana" w:hAnsi="Verdana" w:cs="Verdana"/>
                <w:b/>
                <w:color w:val="FFFFFF"/>
                <w:sz w:val="18"/>
              </w:rPr>
              <w:t>Market value  31</w:t>
            </w:r>
          </w:p>
          <w:p w:rsidR="00576F87" w:rsidRDefault="004165F5">
            <w:pPr>
              <w:spacing w:after="0"/>
              <w:ind w:left="110"/>
            </w:pPr>
            <w:r>
              <w:rPr>
                <w:rFonts w:ascii="Verdana" w:eastAsia="Verdana" w:hAnsi="Verdana" w:cs="Verdana"/>
                <w:b/>
                <w:color w:val="FFFFFF"/>
                <w:sz w:val="18"/>
              </w:rPr>
              <w:t>March 2018</w:t>
            </w:r>
          </w:p>
        </w:tc>
      </w:tr>
      <w:tr w:rsidR="00576F87">
        <w:trPr>
          <w:gridBefore w:val="1"/>
          <w:wBefore w:w="9" w:type="dxa"/>
          <w:trHeight w:val="410"/>
        </w:trPr>
        <w:tc>
          <w:tcPr>
            <w:tcW w:w="2851" w:type="dxa"/>
            <w:gridSpan w:val="2"/>
            <w:tcBorders>
              <w:top w:val="single" w:sz="8" w:space="0" w:color="35437C"/>
              <w:left w:val="single" w:sz="15" w:space="0" w:color="35437C"/>
              <w:bottom w:val="single" w:sz="8" w:space="0" w:color="35437C"/>
              <w:right w:val="single" w:sz="8" w:space="0" w:color="35437C"/>
            </w:tcBorders>
          </w:tcPr>
          <w:p w:rsidR="00576F87" w:rsidRDefault="00576F87"/>
        </w:tc>
        <w:tc>
          <w:tcPr>
            <w:tcW w:w="1418" w:type="dxa"/>
            <w:gridSpan w:val="2"/>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b/>
                <w:sz w:val="18"/>
              </w:rPr>
              <w:t>£000</w:t>
            </w:r>
          </w:p>
        </w:tc>
        <w:tc>
          <w:tcPr>
            <w:tcW w:w="1385" w:type="dxa"/>
            <w:gridSpan w:val="2"/>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b/>
                <w:sz w:val="18"/>
              </w:rPr>
              <w:t>£000</w:t>
            </w:r>
          </w:p>
        </w:tc>
        <w:tc>
          <w:tcPr>
            <w:tcW w:w="1450" w:type="dxa"/>
            <w:gridSpan w:val="2"/>
            <w:tcBorders>
              <w:top w:val="single" w:sz="8" w:space="0" w:color="35437C"/>
              <w:left w:val="single" w:sz="8" w:space="0" w:color="35437C"/>
              <w:bottom w:val="single" w:sz="8" w:space="0" w:color="35437C"/>
              <w:right w:val="single" w:sz="8" w:space="0" w:color="35437C"/>
            </w:tcBorders>
          </w:tcPr>
          <w:p w:rsidR="00576F87" w:rsidRDefault="004165F5">
            <w:pPr>
              <w:spacing w:after="0"/>
              <w:ind w:right="35"/>
              <w:jc w:val="right"/>
            </w:pPr>
            <w:r>
              <w:rPr>
                <w:rFonts w:ascii="Verdana" w:eastAsia="Verdana" w:hAnsi="Verdana" w:cs="Verdana"/>
                <w:b/>
                <w:sz w:val="18"/>
              </w:rPr>
              <w:t>£000</w:t>
            </w:r>
          </w:p>
        </w:tc>
        <w:tc>
          <w:tcPr>
            <w:tcW w:w="1258" w:type="dxa"/>
            <w:gridSpan w:val="2"/>
            <w:tcBorders>
              <w:top w:val="single" w:sz="8" w:space="0" w:color="35437C"/>
              <w:left w:val="single" w:sz="8" w:space="0" w:color="35437C"/>
              <w:bottom w:val="single" w:sz="8" w:space="0" w:color="35437C"/>
              <w:right w:val="single" w:sz="8" w:space="0" w:color="35437C"/>
            </w:tcBorders>
          </w:tcPr>
          <w:p w:rsidR="00576F87" w:rsidRDefault="004165F5">
            <w:pPr>
              <w:spacing w:after="0"/>
              <w:ind w:right="35"/>
              <w:jc w:val="right"/>
            </w:pPr>
            <w:r>
              <w:rPr>
                <w:rFonts w:ascii="Verdana" w:eastAsia="Verdana" w:hAnsi="Verdana" w:cs="Verdana"/>
                <w:b/>
                <w:sz w:val="18"/>
              </w:rPr>
              <w:t>£000</w:t>
            </w:r>
          </w:p>
        </w:tc>
        <w:tc>
          <w:tcPr>
            <w:tcW w:w="1370" w:type="dxa"/>
            <w:gridSpan w:val="2"/>
            <w:tcBorders>
              <w:top w:val="single" w:sz="8" w:space="0" w:color="35437C"/>
              <w:left w:val="single" w:sz="8" w:space="0" w:color="35437C"/>
              <w:bottom w:val="single" w:sz="8" w:space="0" w:color="35437C"/>
              <w:right w:val="single" w:sz="15" w:space="0" w:color="35437C"/>
            </w:tcBorders>
          </w:tcPr>
          <w:p w:rsidR="00576F87" w:rsidRDefault="004165F5">
            <w:pPr>
              <w:spacing w:after="0"/>
              <w:ind w:right="35"/>
              <w:jc w:val="right"/>
            </w:pPr>
            <w:r>
              <w:rPr>
                <w:rFonts w:ascii="Verdana" w:eastAsia="Verdana" w:hAnsi="Verdana" w:cs="Verdana"/>
                <w:b/>
                <w:sz w:val="18"/>
              </w:rPr>
              <w:t>£000</w:t>
            </w:r>
          </w:p>
        </w:tc>
      </w:tr>
      <w:tr w:rsidR="00576F87">
        <w:trPr>
          <w:gridBefore w:val="1"/>
          <w:wBefore w:w="9" w:type="dxa"/>
          <w:trHeight w:val="410"/>
        </w:trPr>
        <w:tc>
          <w:tcPr>
            <w:tcW w:w="2851" w:type="dxa"/>
            <w:gridSpan w:val="2"/>
            <w:tcBorders>
              <w:top w:val="single" w:sz="8" w:space="0" w:color="35437C"/>
              <w:left w:val="single" w:sz="15" w:space="0" w:color="35437C"/>
              <w:bottom w:val="single" w:sz="15" w:space="0" w:color="35437C"/>
              <w:right w:val="single" w:sz="8" w:space="0" w:color="35437C"/>
            </w:tcBorders>
          </w:tcPr>
          <w:p w:rsidR="00576F87" w:rsidRDefault="004165F5">
            <w:pPr>
              <w:spacing w:after="0"/>
            </w:pPr>
            <w:r>
              <w:rPr>
                <w:rFonts w:ascii="Verdana" w:eastAsia="Verdana" w:hAnsi="Verdana" w:cs="Verdana"/>
                <w:sz w:val="18"/>
              </w:rPr>
              <w:t xml:space="preserve">Level 3 </w:t>
            </w:r>
          </w:p>
        </w:tc>
        <w:tc>
          <w:tcPr>
            <w:tcW w:w="1418" w:type="dxa"/>
            <w:gridSpan w:val="2"/>
            <w:tcBorders>
              <w:top w:val="single" w:sz="8" w:space="0" w:color="35437C"/>
              <w:left w:val="single" w:sz="8" w:space="0" w:color="35437C"/>
              <w:bottom w:val="single" w:sz="15" w:space="0" w:color="35437C"/>
              <w:right w:val="single" w:sz="8" w:space="0" w:color="35437C"/>
            </w:tcBorders>
          </w:tcPr>
          <w:p w:rsidR="00576F87" w:rsidRDefault="004165F5">
            <w:pPr>
              <w:spacing w:after="0"/>
              <w:ind w:right="37"/>
              <w:jc w:val="right"/>
            </w:pPr>
            <w:r>
              <w:rPr>
                <w:rFonts w:ascii="Verdana" w:eastAsia="Verdana" w:hAnsi="Verdana" w:cs="Verdana"/>
                <w:sz w:val="18"/>
              </w:rPr>
              <w:t>933,430</w:t>
            </w:r>
          </w:p>
        </w:tc>
        <w:tc>
          <w:tcPr>
            <w:tcW w:w="1385" w:type="dxa"/>
            <w:gridSpan w:val="2"/>
            <w:tcBorders>
              <w:top w:val="single" w:sz="8" w:space="0" w:color="35437C"/>
              <w:left w:val="single" w:sz="8" w:space="0" w:color="35437C"/>
              <w:bottom w:val="single" w:sz="15" w:space="0" w:color="35437C"/>
              <w:right w:val="single" w:sz="8" w:space="0" w:color="35437C"/>
            </w:tcBorders>
          </w:tcPr>
          <w:p w:rsidR="00576F87" w:rsidRDefault="004165F5">
            <w:pPr>
              <w:spacing w:after="0"/>
              <w:ind w:right="37"/>
              <w:jc w:val="right"/>
            </w:pPr>
            <w:r>
              <w:rPr>
                <w:rFonts w:ascii="Verdana" w:eastAsia="Verdana" w:hAnsi="Verdana" w:cs="Verdana"/>
                <w:sz w:val="18"/>
              </w:rPr>
              <w:t>846,644</w:t>
            </w:r>
          </w:p>
        </w:tc>
        <w:tc>
          <w:tcPr>
            <w:tcW w:w="1450" w:type="dxa"/>
            <w:gridSpan w:val="2"/>
            <w:tcBorders>
              <w:top w:val="single" w:sz="8" w:space="0" w:color="35437C"/>
              <w:left w:val="single" w:sz="8" w:space="0" w:color="35437C"/>
              <w:bottom w:val="single" w:sz="15" w:space="0" w:color="35437C"/>
              <w:right w:val="single" w:sz="8" w:space="0" w:color="35437C"/>
            </w:tcBorders>
          </w:tcPr>
          <w:p w:rsidR="00576F87" w:rsidRDefault="004165F5">
            <w:pPr>
              <w:spacing w:after="0"/>
              <w:ind w:right="37"/>
              <w:jc w:val="right"/>
            </w:pPr>
            <w:r>
              <w:rPr>
                <w:rFonts w:ascii="Verdana" w:eastAsia="Verdana" w:hAnsi="Verdana" w:cs="Verdana"/>
                <w:sz w:val="18"/>
              </w:rPr>
              <w:t>(797,286)</w:t>
            </w:r>
          </w:p>
        </w:tc>
        <w:tc>
          <w:tcPr>
            <w:tcW w:w="1258" w:type="dxa"/>
            <w:gridSpan w:val="2"/>
            <w:tcBorders>
              <w:top w:val="single" w:sz="8" w:space="0" w:color="35437C"/>
              <w:left w:val="single" w:sz="8" w:space="0" w:color="35437C"/>
              <w:bottom w:val="single" w:sz="15" w:space="0" w:color="35437C"/>
              <w:right w:val="single" w:sz="8" w:space="0" w:color="35437C"/>
            </w:tcBorders>
          </w:tcPr>
          <w:p w:rsidR="00576F87" w:rsidRDefault="004165F5">
            <w:pPr>
              <w:spacing w:after="0"/>
              <w:ind w:right="36"/>
              <w:jc w:val="right"/>
            </w:pPr>
            <w:r>
              <w:rPr>
                <w:rFonts w:ascii="Verdana" w:eastAsia="Verdana" w:hAnsi="Verdana" w:cs="Verdana"/>
                <w:sz w:val="18"/>
              </w:rPr>
              <w:t>30,009</w:t>
            </w:r>
          </w:p>
        </w:tc>
        <w:tc>
          <w:tcPr>
            <w:tcW w:w="1370" w:type="dxa"/>
            <w:gridSpan w:val="2"/>
            <w:tcBorders>
              <w:top w:val="single" w:sz="8" w:space="0" w:color="35437C"/>
              <w:left w:val="single" w:sz="8" w:space="0" w:color="35437C"/>
              <w:bottom w:val="single" w:sz="15" w:space="0" w:color="35437C"/>
              <w:right w:val="single" w:sz="15" w:space="0" w:color="35437C"/>
            </w:tcBorders>
          </w:tcPr>
          <w:p w:rsidR="00576F87" w:rsidRDefault="004165F5">
            <w:pPr>
              <w:spacing w:after="0"/>
              <w:ind w:right="36"/>
              <w:jc w:val="right"/>
            </w:pPr>
            <w:r>
              <w:rPr>
                <w:rFonts w:ascii="Verdana" w:eastAsia="Verdana" w:hAnsi="Verdana" w:cs="Verdana"/>
                <w:sz w:val="18"/>
              </w:rPr>
              <w:t>1,012,797</w:t>
            </w:r>
          </w:p>
        </w:tc>
      </w:tr>
      <w:tr w:rsidR="00576F87">
        <w:trPr>
          <w:gridAfter w:val="1"/>
          <w:wAfter w:w="9" w:type="dxa"/>
          <w:trHeight w:val="305"/>
        </w:trPr>
        <w:tc>
          <w:tcPr>
            <w:tcW w:w="2851" w:type="dxa"/>
            <w:gridSpan w:val="2"/>
            <w:tcBorders>
              <w:top w:val="single" w:sz="8" w:space="0" w:color="35437C"/>
              <w:left w:val="single" w:sz="8" w:space="0" w:color="35437C"/>
              <w:bottom w:val="single" w:sz="15" w:space="0" w:color="35437C"/>
              <w:right w:val="nil"/>
            </w:tcBorders>
            <w:shd w:val="clear" w:color="auto" w:fill="35437C"/>
          </w:tcPr>
          <w:p w:rsidR="00576F87" w:rsidRDefault="004165F5">
            <w:pPr>
              <w:spacing w:after="0"/>
              <w:ind w:left="39"/>
              <w:jc w:val="center"/>
            </w:pPr>
            <w:r>
              <w:rPr>
                <w:rFonts w:ascii="Verdana" w:eastAsia="Verdana" w:hAnsi="Verdana" w:cs="Verdana"/>
                <w:b/>
                <w:color w:val="FFFFFF"/>
                <w:sz w:val="18"/>
              </w:rPr>
              <w:t>Value at 31 March 2017</w:t>
            </w:r>
          </w:p>
        </w:tc>
        <w:tc>
          <w:tcPr>
            <w:tcW w:w="2803" w:type="dxa"/>
            <w:gridSpan w:val="4"/>
            <w:tcBorders>
              <w:top w:val="single" w:sz="8" w:space="0" w:color="35437C"/>
              <w:left w:val="nil"/>
              <w:bottom w:val="single" w:sz="15" w:space="0" w:color="35437C"/>
              <w:right w:val="nil"/>
            </w:tcBorders>
            <w:shd w:val="clear" w:color="auto" w:fill="35437C"/>
          </w:tcPr>
          <w:p w:rsidR="00576F87" w:rsidRDefault="004165F5">
            <w:pPr>
              <w:spacing w:after="0"/>
              <w:ind w:right="8"/>
              <w:jc w:val="right"/>
            </w:pPr>
            <w:r>
              <w:rPr>
                <w:rFonts w:ascii="Verdana" w:eastAsia="Verdana" w:hAnsi="Verdana" w:cs="Verdana"/>
                <w:b/>
                <w:color w:val="FFFFFF"/>
                <w:sz w:val="18"/>
              </w:rPr>
              <w:t>Level 1</w:t>
            </w:r>
          </w:p>
        </w:tc>
        <w:tc>
          <w:tcPr>
            <w:tcW w:w="1450" w:type="dxa"/>
            <w:gridSpan w:val="2"/>
            <w:tcBorders>
              <w:top w:val="single" w:sz="8" w:space="0" w:color="35437C"/>
              <w:left w:val="nil"/>
              <w:bottom w:val="single" w:sz="15" w:space="0" w:color="35437C"/>
              <w:right w:val="nil"/>
            </w:tcBorders>
            <w:shd w:val="clear" w:color="auto" w:fill="35437C"/>
          </w:tcPr>
          <w:p w:rsidR="00576F87" w:rsidRDefault="004165F5">
            <w:pPr>
              <w:spacing w:after="0"/>
              <w:ind w:right="8"/>
              <w:jc w:val="right"/>
            </w:pPr>
            <w:r>
              <w:rPr>
                <w:rFonts w:ascii="Verdana" w:eastAsia="Verdana" w:hAnsi="Verdana" w:cs="Verdana"/>
                <w:b/>
                <w:color w:val="FFFFFF"/>
                <w:sz w:val="18"/>
              </w:rPr>
              <w:t>Level 2</w:t>
            </w:r>
          </w:p>
        </w:tc>
        <w:tc>
          <w:tcPr>
            <w:tcW w:w="1258" w:type="dxa"/>
            <w:gridSpan w:val="2"/>
            <w:tcBorders>
              <w:top w:val="single" w:sz="8" w:space="0" w:color="35437C"/>
              <w:left w:val="nil"/>
              <w:bottom w:val="single" w:sz="15" w:space="0" w:color="35437C"/>
              <w:right w:val="nil"/>
            </w:tcBorders>
            <w:shd w:val="clear" w:color="auto" w:fill="35437C"/>
          </w:tcPr>
          <w:p w:rsidR="00576F87" w:rsidRDefault="004165F5">
            <w:pPr>
              <w:spacing w:after="0"/>
              <w:ind w:right="8"/>
              <w:jc w:val="right"/>
            </w:pPr>
            <w:r>
              <w:rPr>
                <w:rFonts w:ascii="Verdana" w:eastAsia="Verdana" w:hAnsi="Verdana" w:cs="Verdana"/>
                <w:b/>
                <w:color w:val="FFFFFF"/>
                <w:sz w:val="18"/>
              </w:rPr>
              <w:t>Level 3</w:t>
            </w:r>
          </w:p>
        </w:tc>
        <w:tc>
          <w:tcPr>
            <w:tcW w:w="1370" w:type="dxa"/>
            <w:gridSpan w:val="2"/>
            <w:tcBorders>
              <w:top w:val="single" w:sz="8" w:space="0" w:color="35437C"/>
              <w:left w:val="nil"/>
              <w:bottom w:val="single" w:sz="15" w:space="0" w:color="35437C"/>
              <w:right w:val="single" w:sz="8"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Total</w:t>
            </w:r>
          </w:p>
        </w:tc>
      </w:tr>
      <w:tr w:rsidR="00576F87">
        <w:trPr>
          <w:gridAfter w:val="1"/>
          <w:wAfter w:w="9" w:type="dxa"/>
          <w:trHeight w:val="290"/>
        </w:trPr>
        <w:tc>
          <w:tcPr>
            <w:tcW w:w="2851" w:type="dxa"/>
            <w:gridSpan w:val="2"/>
            <w:tcBorders>
              <w:top w:val="single" w:sz="15" w:space="0" w:color="35437C"/>
              <w:left w:val="single" w:sz="15" w:space="0" w:color="35437C"/>
              <w:bottom w:val="single" w:sz="8" w:space="0" w:color="35437C"/>
              <w:right w:val="nil"/>
            </w:tcBorders>
          </w:tcPr>
          <w:p w:rsidR="00576F87" w:rsidRDefault="00576F87"/>
        </w:tc>
        <w:tc>
          <w:tcPr>
            <w:tcW w:w="1418" w:type="dxa"/>
            <w:gridSpan w:val="2"/>
            <w:tcBorders>
              <w:top w:val="single" w:sz="15" w:space="0" w:color="35437C"/>
              <w:left w:val="nil"/>
              <w:bottom w:val="single" w:sz="8" w:space="0" w:color="35437C"/>
              <w:right w:val="single" w:sz="8" w:space="0" w:color="35437C"/>
            </w:tcBorders>
          </w:tcPr>
          <w:p w:rsidR="00576F87" w:rsidRDefault="00576F87"/>
        </w:tc>
        <w:tc>
          <w:tcPr>
            <w:tcW w:w="1385" w:type="dxa"/>
            <w:gridSpan w:val="2"/>
            <w:tcBorders>
              <w:top w:val="single" w:sz="15"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b/>
                <w:sz w:val="18"/>
              </w:rPr>
              <w:t>£000</w:t>
            </w:r>
          </w:p>
        </w:tc>
        <w:tc>
          <w:tcPr>
            <w:tcW w:w="1450" w:type="dxa"/>
            <w:gridSpan w:val="2"/>
            <w:tcBorders>
              <w:top w:val="single" w:sz="15"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b/>
                <w:sz w:val="18"/>
              </w:rPr>
              <w:t>£000</w:t>
            </w:r>
          </w:p>
        </w:tc>
        <w:tc>
          <w:tcPr>
            <w:tcW w:w="1258" w:type="dxa"/>
            <w:gridSpan w:val="2"/>
            <w:tcBorders>
              <w:top w:val="single" w:sz="15"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b/>
                <w:sz w:val="18"/>
              </w:rPr>
              <w:t>£000</w:t>
            </w:r>
          </w:p>
        </w:tc>
        <w:tc>
          <w:tcPr>
            <w:tcW w:w="1370" w:type="dxa"/>
            <w:gridSpan w:val="2"/>
            <w:tcBorders>
              <w:top w:val="single" w:sz="15" w:space="0" w:color="35437C"/>
              <w:left w:val="single" w:sz="8" w:space="0" w:color="35437C"/>
              <w:bottom w:val="single" w:sz="8" w:space="0" w:color="35437C"/>
              <w:right w:val="single" w:sz="15" w:space="0" w:color="35437C"/>
            </w:tcBorders>
          </w:tcPr>
          <w:p w:rsidR="00576F87" w:rsidRDefault="004165F5">
            <w:pPr>
              <w:spacing w:after="0"/>
              <w:ind w:right="2"/>
              <w:jc w:val="right"/>
            </w:pPr>
            <w:r>
              <w:rPr>
                <w:rFonts w:ascii="Verdana" w:eastAsia="Verdana" w:hAnsi="Verdana" w:cs="Verdana"/>
                <w:b/>
                <w:sz w:val="18"/>
              </w:rPr>
              <w:t>£000</w:t>
            </w:r>
          </w:p>
        </w:tc>
      </w:tr>
      <w:tr w:rsidR="00576F87">
        <w:trPr>
          <w:gridAfter w:val="1"/>
          <w:wAfter w:w="9" w:type="dxa"/>
          <w:trHeight w:val="638"/>
        </w:trPr>
        <w:tc>
          <w:tcPr>
            <w:tcW w:w="2851" w:type="dxa"/>
            <w:gridSpan w:val="2"/>
            <w:tcBorders>
              <w:top w:val="single" w:sz="8" w:space="0" w:color="35437C"/>
              <w:left w:val="single" w:sz="15" w:space="0" w:color="35437C"/>
              <w:bottom w:val="single" w:sz="8" w:space="0" w:color="35437C"/>
              <w:right w:val="nil"/>
            </w:tcBorders>
          </w:tcPr>
          <w:p w:rsidR="00576F87" w:rsidRDefault="004165F5">
            <w:pPr>
              <w:spacing w:after="0"/>
              <w:ind w:left="38"/>
            </w:pPr>
            <w:r>
              <w:rPr>
                <w:rFonts w:ascii="Verdana" w:eastAsia="Verdana" w:hAnsi="Verdana" w:cs="Verdana"/>
                <w:sz w:val="18"/>
              </w:rPr>
              <w:t>Financial assets at fair value t loss</w:t>
            </w:r>
          </w:p>
        </w:tc>
        <w:tc>
          <w:tcPr>
            <w:tcW w:w="1418" w:type="dxa"/>
            <w:gridSpan w:val="2"/>
            <w:tcBorders>
              <w:top w:val="single" w:sz="8" w:space="0" w:color="35437C"/>
              <w:left w:val="nil"/>
              <w:bottom w:val="single" w:sz="8" w:space="0" w:color="35437C"/>
              <w:right w:val="single" w:sz="8" w:space="0" w:color="35437C"/>
            </w:tcBorders>
          </w:tcPr>
          <w:p w:rsidR="00576F87" w:rsidRDefault="004165F5">
            <w:pPr>
              <w:spacing w:after="0"/>
              <w:ind w:left="-68"/>
              <w:jc w:val="both"/>
            </w:pPr>
            <w:r>
              <w:rPr>
                <w:rFonts w:ascii="Verdana" w:eastAsia="Verdana" w:hAnsi="Verdana" w:cs="Verdana"/>
                <w:sz w:val="18"/>
              </w:rPr>
              <w:t>hrough profit or</w:t>
            </w:r>
          </w:p>
        </w:tc>
        <w:tc>
          <w:tcPr>
            <w:tcW w:w="1385" w:type="dxa"/>
            <w:gridSpan w:val="2"/>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5"/>
              <w:jc w:val="right"/>
            </w:pPr>
            <w:r>
              <w:rPr>
                <w:rFonts w:ascii="Verdana" w:eastAsia="Verdana" w:hAnsi="Verdana" w:cs="Verdana"/>
                <w:sz w:val="18"/>
              </w:rPr>
              <w:t>2,549,421</w:t>
            </w:r>
          </w:p>
        </w:tc>
        <w:tc>
          <w:tcPr>
            <w:tcW w:w="1450" w:type="dxa"/>
            <w:gridSpan w:val="2"/>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4"/>
              <w:jc w:val="right"/>
            </w:pPr>
            <w:r>
              <w:rPr>
                <w:rFonts w:ascii="Verdana" w:eastAsia="Verdana" w:hAnsi="Verdana" w:cs="Verdana"/>
                <w:sz w:val="18"/>
              </w:rPr>
              <w:t>1,497,913</w:t>
            </w:r>
          </w:p>
        </w:tc>
        <w:tc>
          <w:tcPr>
            <w:tcW w:w="1258" w:type="dxa"/>
            <w:gridSpan w:val="2"/>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4"/>
              <w:jc w:val="right"/>
            </w:pPr>
            <w:r>
              <w:rPr>
                <w:rFonts w:ascii="Verdana" w:eastAsia="Verdana" w:hAnsi="Verdana" w:cs="Verdana"/>
                <w:sz w:val="18"/>
              </w:rPr>
              <w:t>933,430</w:t>
            </w:r>
          </w:p>
        </w:tc>
        <w:tc>
          <w:tcPr>
            <w:tcW w:w="1370" w:type="dxa"/>
            <w:gridSpan w:val="2"/>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3"/>
              <w:jc w:val="right"/>
            </w:pPr>
            <w:r>
              <w:rPr>
                <w:rFonts w:ascii="Verdana" w:eastAsia="Verdana" w:hAnsi="Verdana" w:cs="Verdana"/>
                <w:sz w:val="18"/>
              </w:rPr>
              <w:t>4,980,764</w:t>
            </w:r>
          </w:p>
        </w:tc>
      </w:tr>
      <w:tr w:rsidR="00576F87">
        <w:trPr>
          <w:gridAfter w:val="1"/>
          <w:wAfter w:w="9" w:type="dxa"/>
          <w:trHeight w:val="420"/>
        </w:trPr>
        <w:tc>
          <w:tcPr>
            <w:tcW w:w="2851" w:type="dxa"/>
            <w:gridSpan w:val="2"/>
            <w:tcBorders>
              <w:top w:val="single" w:sz="8" w:space="0" w:color="35437C"/>
              <w:left w:val="single" w:sz="8" w:space="0" w:color="35437C"/>
              <w:bottom w:val="single" w:sz="8" w:space="0" w:color="35437C"/>
              <w:right w:val="single" w:sz="8" w:space="0" w:color="35437C"/>
            </w:tcBorders>
            <w:shd w:val="clear" w:color="auto" w:fill="35437C"/>
            <w:vAlign w:val="center"/>
          </w:tcPr>
          <w:p w:rsidR="00576F87" w:rsidRDefault="004165F5">
            <w:pPr>
              <w:spacing w:after="0"/>
              <w:ind w:left="43"/>
            </w:pPr>
            <w:r>
              <w:rPr>
                <w:rFonts w:ascii="Verdana" w:eastAsia="Verdana" w:hAnsi="Verdana" w:cs="Verdana"/>
                <w:b/>
                <w:color w:val="FFFFFF"/>
                <w:sz w:val="18"/>
              </w:rPr>
              <w:t>Net financial assets</w:t>
            </w:r>
          </w:p>
        </w:tc>
        <w:tc>
          <w:tcPr>
            <w:tcW w:w="1418" w:type="dxa"/>
            <w:gridSpan w:val="2"/>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385" w:type="dxa"/>
            <w:gridSpan w:val="2"/>
            <w:tcBorders>
              <w:top w:val="single" w:sz="8" w:space="0" w:color="35437C"/>
              <w:left w:val="single" w:sz="8" w:space="0" w:color="35437C"/>
              <w:bottom w:val="single" w:sz="8" w:space="0" w:color="35437C"/>
              <w:right w:val="single" w:sz="8" w:space="0" w:color="35437C"/>
            </w:tcBorders>
            <w:shd w:val="clear" w:color="auto" w:fill="35437C"/>
            <w:vAlign w:val="center"/>
          </w:tcPr>
          <w:p w:rsidR="00576F87" w:rsidRDefault="004165F5">
            <w:pPr>
              <w:spacing w:after="0"/>
              <w:jc w:val="right"/>
            </w:pPr>
            <w:r>
              <w:rPr>
                <w:rFonts w:ascii="Verdana" w:eastAsia="Verdana" w:hAnsi="Verdana" w:cs="Verdana"/>
                <w:b/>
                <w:color w:val="FFFFFF"/>
                <w:sz w:val="18"/>
              </w:rPr>
              <w:t>2,549,421</w:t>
            </w:r>
          </w:p>
        </w:tc>
        <w:tc>
          <w:tcPr>
            <w:tcW w:w="1450" w:type="dxa"/>
            <w:gridSpan w:val="2"/>
            <w:tcBorders>
              <w:top w:val="single" w:sz="8" w:space="0" w:color="35437C"/>
              <w:left w:val="single" w:sz="8" w:space="0" w:color="35437C"/>
              <w:bottom w:val="single" w:sz="8" w:space="0" w:color="35437C"/>
              <w:right w:val="single" w:sz="8" w:space="0" w:color="35437C"/>
            </w:tcBorders>
            <w:shd w:val="clear" w:color="auto" w:fill="35437C"/>
            <w:vAlign w:val="center"/>
          </w:tcPr>
          <w:p w:rsidR="00576F87" w:rsidRDefault="004165F5">
            <w:pPr>
              <w:spacing w:after="0"/>
              <w:jc w:val="right"/>
            </w:pPr>
            <w:r>
              <w:rPr>
                <w:rFonts w:ascii="Verdana" w:eastAsia="Verdana" w:hAnsi="Verdana" w:cs="Verdana"/>
                <w:b/>
                <w:color w:val="FFFFFF"/>
                <w:sz w:val="18"/>
              </w:rPr>
              <w:t>1,497,913</w:t>
            </w:r>
          </w:p>
        </w:tc>
        <w:tc>
          <w:tcPr>
            <w:tcW w:w="1258" w:type="dxa"/>
            <w:gridSpan w:val="2"/>
            <w:tcBorders>
              <w:top w:val="single" w:sz="8" w:space="0" w:color="35437C"/>
              <w:left w:val="single" w:sz="8" w:space="0" w:color="35437C"/>
              <w:bottom w:val="single" w:sz="8" w:space="0" w:color="35437C"/>
              <w:right w:val="single" w:sz="8" w:space="0" w:color="35437C"/>
            </w:tcBorders>
            <w:shd w:val="clear" w:color="auto" w:fill="35437C"/>
            <w:vAlign w:val="center"/>
          </w:tcPr>
          <w:p w:rsidR="00576F87" w:rsidRDefault="004165F5">
            <w:pPr>
              <w:spacing w:after="0"/>
              <w:ind w:right="1"/>
              <w:jc w:val="right"/>
            </w:pPr>
            <w:r>
              <w:rPr>
                <w:rFonts w:ascii="Verdana" w:eastAsia="Verdana" w:hAnsi="Verdana" w:cs="Verdana"/>
                <w:b/>
                <w:color w:val="FFFFFF"/>
                <w:sz w:val="18"/>
              </w:rPr>
              <w:t>933,430</w:t>
            </w:r>
          </w:p>
        </w:tc>
        <w:tc>
          <w:tcPr>
            <w:tcW w:w="1370" w:type="dxa"/>
            <w:gridSpan w:val="2"/>
            <w:tcBorders>
              <w:top w:val="single" w:sz="8" w:space="0" w:color="35437C"/>
              <w:left w:val="single" w:sz="8" w:space="0" w:color="35437C"/>
              <w:bottom w:val="single" w:sz="8" w:space="0" w:color="35437C"/>
              <w:right w:val="single" w:sz="8" w:space="0" w:color="35437C"/>
            </w:tcBorders>
            <w:shd w:val="clear" w:color="auto" w:fill="35437C"/>
            <w:vAlign w:val="center"/>
          </w:tcPr>
          <w:p w:rsidR="00576F87" w:rsidRDefault="004165F5">
            <w:pPr>
              <w:spacing w:after="0"/>
              <w:jc w:val="right"/>
            </w:pPr>
            <w:r>
              <w:rPr>
                <w:rFonts w:ascii="Verdana" w:eastAsia="Verdana" w:hAnsi="Verdana" w:cs="Verdana"/>
                <w:b/>
                <w:color w:val="FFFFFF"/>
                <w:sz w:val="18"/>
              </w:rPr>
              <w:t>4,980,764</w:t>
            </w:r>
          </w:p>
        </w:tc>
      </w:tr>
    </w:tbl>
    <w:p w:rsidR="00576F87" w:rsidRDefault="004165F5">
      <w:pPr>
        <w:spacing w:after="133" w:line="264" w:lineRule="auto"/>
        <w:ind w:left="2" w:right="12" w:hanging="10"/>
        <w:jc w:val="both"/>
      </w:pPr>
      <w:r>
        <w:rPr>
          <w:rFonts w:ascii="Verdana" w:eastAsia="Verdana" w:hAnsi="Verdana" w:cs="Verdana"/>
          <w:sz w:val="20"/>
        </w:rPr>
        <w:t>The Fair Value levels of certain investment funds were re-classified following an exercise to review the inputs into asset valuations. This resulted in the 2017 figures being re-stated for the movement of pooled vehicles amounting to £2,489,738,000 into le</w:t>
      </w:r>
      <w:r>
        <w:rPr>
          <w:rFonts w:ascii="Verdana" w:eastAsia="Verdana" w:hAnsi="Verdana" w:cs="Verdana"/>
          <w:sz w:val="20"/>
        </w:rPr>
        <w:t>vel 1 as the underlying assets of the pools are listed equities. One fund valued at £2,276,213,000 moved from level 2 to level 1 and three funds valued at £213,525,000 moved from level 3 to level 1.</w:t>
      </w:r>
    </w:p>
    <w:p w:rsidR="00576F87" w:rsidRDefault="004165F5">
      <w:pPr>
        <w:spacing w:after="3" w:line="264" w:lineRule="auto"/>
        <w:ind w:left="2" w:right="12" w:hanging="10"/>
        <w:jc w:val="both"/>
      </w:pPr>
      <w:r>
        <w:rPr>
          <w:rFonts w:ascii="Verdana" w:eastAsia="Verdana" w:hAnsi="Verdana" w:cs="Verdana"/>
          <w:sz w:val="20"/>
        </w:rPr>
        <w:t xml:space="preserve">Level 3 investment valuations include one or more inputs </w:t>
      </w:r>
      <w:r>
        <w:rPr>
          <w:rFonts w:ascii="Verdana" w:eastAsia="Verdana" w:hAnsi="Verdana" w:cs="Verdana"/>
          <w:sz w:val="20"/>
        </w:rPr>
        <w:t>which are not based on observable market data. The investment managers of these assets produce valuations using valuation techniques based on the guidelines set out by the British Venture Capital Association or</w:t>
      </w:r>
    </w:p>
    <w:p w:rsidR="00576F87" w:rsidRDefault="004165F5">
      <w:pPr>
        <w:spacing w:after="161" w:line="264" w:lineRule="auto"/>
        <w:ind w:left="2" w:right="12" w:hanging="10"/>
        <w:jc w:val="both"/>
      </w:pPr>
      <w:r>
        <w:rPr>
          <w:rFonts w:ascii="Verdana" w:eastAsia="Verdana" w:hAnsi="Verdana" w:cs="Verdana"/>
          <w:sz w:val="20"/>
        </w:rPr>
        <w:t xml:space="preserve">International Limited Partners Association. </w:t>
      </w:r>
    </w:p>
    <w:p w:rsidR="00576F87" w:rsidRDefault="004165F5">
      <w:pPr>
        <w:spacing w:after="3" w:line="264" w:lineRule="auto"/>
        <w:ind w:left="2" w:right="12" w:hanging="10"/>
        <w:jc w:val="both"/>
      </w:pPr>
      <w:r>
        <w:rPr>
          <w:rFonts w:ascii="Verdana" w:eastAsia="Verdana" w:hAnsi="Verdana" w:cs="Verdana"/>
          <w:sz w:val="20"/>
        </w:rPr>
        <w:t xml:space="preserve">In measuring the Level 3 investments it is possible that one or more of the inputs could be changed, by the valuing manager, to acceptable alternative assumptions. For example different earnings multiples could be used for a comparable company or industry </w:t>
      </w:r>
      <w:r>
        <w:rPr>
          <w:rFonts w:ascii="Verdana" w:eastAsia="Verdana" w:hAnsi="Verdana" w:cs="Verdana"/>
          <w:sz w:val="20"/>
        </w:rPr>
        <w:t>sector. These assumptions may significantly change the valuation of the investment being valued. However, each investment is valued in isolation and changing assumptions for one investment may not be applicable to others. Therefore, carrying out a sensitiv</w:t>
      </w:r>
      <w:r>
        <w:rPr>
          <w:rFonts w:ascii="Verdana" w:eastAsia="Verdana" w:hAnsi="Verdana" w:cs="Verdana"/>
          <w:sz w:val="20"/>
        </w:rPr>
        <w:t>ity analysis on the whole class may be inappropriate. LPFA has a large portfolio of Level 3 investments and changes to the value of any one investment is not likely to have a significant impact on the value of the whole class of investments or to the value</w:t>
      </w:r>
      <w:r>
        <w:rPr>
          <w:rFonts w:ascii="Verdana" w:eastAsia="Verdana" w:hAnsi="Verdana" w:cs="Verdana"/>
          <w:sz w:val="20"/>
        </w:rPr>
        <w:t xml:space="preserve"> of LPFA’s total asset portfolio. </w:t>
      </w:r>
    </w:p>
    <w:p w:rsidR="00576F87" w:rsidRDefault="00576F87">
      <w:pPr>
        <w:sectPr w:rsidR="00576F87">
          <w:headerReference w:type="even" r:id="rId78"/>
          <w:headerReference w:type="default" r:id="rId79"/>
          <w:footerReference w:type="even" r:id="rId80"/>
          <w:footerReference w:type="default" r:id="rId81"/>
          <w:headerReference w:type="first" r:id="rId82"/>
          <w:footerReference w:type="first" r:id="rId83"/>
          <w:pgSz w:w="11900" w:h="16840"/>
          <w:pgMar w:top="1789" w:right="1114" w:bottom="1437" w:left="1073" w:header="1149" w:footer="510" w:gutter="0"/>
          <w:cols w:space="720"/>
        </w:sectPr>
      </w:pPr>
    </w:p>
    <w:p w:rsidR="00576F87" w:rsidRDefault="004165F5">
      <w:pPr>
        <w:spacing w:after="260" w:line="265" w:lineRule="auto"/>
        <w:ind w:left="-3" w:hanging="10"/>
      </w:pPr>
      <w:r>
        <w:rPr>
          <w:rFonts w:ascii="Verdana" w:eastAsia="Verdana" w:hAnsi="Verdana" w:cs="Verdana"/>
          <w:b/>
          <w:color w:val="99CA3C"/>
          <w:sz w:val="17"/>
        </w:rPr>
        <w:t xml:space="preserve">Nature and Extent of Risks Arising </w:t>
      </w:r>
      <w:r>
        <w:rPr>
          <w:rFonts w:ascii="Verdana" w:eastAsia="Verdana" w:hAnsi="Verdana" w:cs="Verdana"/>
          <w:b/>
          <w:color w:val="99CA3C"/>
          <w:sz w:val="17"/>
        </w:rPr>
        <w:t>from Financial Instruments</w:t>
      </w:r>
    </w:p>
    <w:p w:rsidR="00576F87" w:rsidRDefault="004165F5">
      <w:pPr>
        <w:spacing w:after="0" w:line="269" w:lineRule="auto"/>
        <w:ind w:left="-5" w:hanging="10"/>
        <w:jc w:val="both"/>
      </w:pPr>
      <w:r>
        <w:rPr>
          <w:rFonts w:ascii="Verdana" w:eastAsia="Verdana" w:hAnsi="Verdana" w:cs="Verdana"/>
          <w:sz w:val="17"/>
        </w:rPr>
        <w:t>LPFA's investment and hedging activity expose it to a variety of financial risks in respect of financial instruments and which are managed in line with LPFA’s investment and funding strategy as set out in the Investment</w:t>
      </w:r>
    </w:p>
    <w:p w:rsidR="00576F87" w:rsidRDefault="004165F5">
      <w:pPr>
        <w:spacing w:after="72" w:line="269" w:lineRule="auto"/>
        <w:ind w:left="-5" w:hanging="10"/>
        <w:jc w:val="both"/>
      </w:pPr>
      <w:r>
        <w:rPr>
          <w:rFonts w:ascii="Verdana" w:eastAsia="Verdana" w:hAnsi="Verdana" w:cs="Verdana"/>
          <w:sz w:val="17"/>
        </w:rPr>
        <w:t>Strategy Statement (ISS) and Funding Strategy Statement (FSS).</w:t>
      </w:r>
    </w:p>
    <w:p w:rsidR="00576F87" w:rsidRDefault="004165F5">
      <w:pPr>
        <w:spacing w:after="1" w:line="269" w:lineRule="auto"/>
        <w:ind w:left="-5" w:hanging="10"/>
        <w:jc w:val="both"/>
      </w:pPr>
      <w:r>
        <w:rPr>
          <w:rFonts w:ascii="Verdana" w:eastAsia="Verdana" w:hAnsi="Verdana" w:cs="Verdana"/>
          <w:sz w:val="17"/>
        </w:rPr>
        <w:t>The procedures for risk management in relation to key financial instruments is set out through the legal framework detailed within the Local Government Act 2003 and associated regulations. Thes</w:t>
      </w:r>
      <w:r>
        <w:rPr>
          <w:rFonts w:ascii="Verdana" w:eastAsia="Verdana" w:hAnsi="Verdana" w:cs="Verdana"/>
          <w:sz w:val="17"/>
        </w:rPr>
        <w:t>e require LPFA to comply with the CIPFA Prudential Code, the CIPFA Treasury Management in the Public Services of code of</w:t>
      </w:r>
    </w:p>
    <w:p w:rsidR="00576F87" w:rsidRDefault="004165F5">
      <w:pPr>
        <w:spacing w:after="241" w:line="269" w:lineRule="auto"/>
        <w:ind w:left="-5" w:hanging="10"/>
        <w:jc w:val="both"/>
      </w:pPr>
      <w:r>
        <w:rPr>
          <w:rFonts w:ascii="Verdana" w:eastAsia="Verdana" w:hAnsi="Verdana" w:cs="Verdana"/>
          <w:sz w:val="17"/>
        </w:rPr>
        <w:t xml:space="preserve">Practice and Investment Guidance. </w:t>
      </w:r>
    </w:p>
    <w:p w:rsidR="00576F87" w:rsidRDefault="004165F5">
      <w:pPr>
        <w:spacing w:after="204" w:line="269" w:lineRule="auto"/>
        <w:ind w:left="-5" w:hanging="10"/>
        <w:jc w:val="both"/>
      </w:pPr>
      <w:r>
        <w:rPr>
          <w:rFonts w:ascii="Verdana" w:eastAsia="Verdana" w:hAnsi="Verdana" w:cs="Verdana"/>
          <w:sz w:val="17"/>
        </w:rPr>
        <w:t>Overall, LPFA manages risk in the following ways:</w:t>
      </w:r>
    </w:p>
    <w:p w:rsidR="00576F87" w:rsidRDefault="004165F5">
      <w:pPr>
        <w:spacing w:after="192" w:line="380" w:lineRule="auto"/>
        <w:ind w:right="1492"/>
      </w:pPr>
      <w:r>
        <w:rPr>
          <w:rFonts w:ascii="Verdana" w:eastAsia="Verdana" w:hAnsi="Verdana" w:cs="Verdana"/>
          <w:sz w:val="17"/>
        </w:rPr>
        <w:t xml:space="preserve">by formally adopting the requirements of the Code </w:t>
      </w:r>
      <w:r>
        <w:rPr>
          <w:rFonts w:ascii="Verdana" w:eastAsia="Verdana" w:hAnsi="Verdana" w:cs="Verdana"/>
          <w:sz w:val="17"/>
        </w:rPr>
        <w:t>of Practice; by approving annually in advance prudential indicators which limit the LPFA’s overall borrowing; by following treasury management guidelines; and by approving an investment and funding strategy.</w:t>
      </w:r>
    </w:p>
    <w:p w:rsidR="00576F87" w:rsidRDefault="004165F5">
      <w:pPr>
        <w:spacing w:after="241" w:line="269" w:lineRule="auto"/>
        <w:ind w:left="-5" w:hanging="10"/>
        <w:jc w:val="both"/>
      </w:pPr>
      <w:r>
        <w:rPr>
          <w:rFonts w:ascii="Verdana" w:eastAsia="Verdana" w:hAnsi="Verdana" w:cs="Verdana"/>
          <w:sz w:val="17"/>
        </w:rPr>
        <w:t>The primary risk arising from investments and he</w:t>
      </w:r>
      <w:r>
        <w:rPr>
          <w:rFonts w:ascii="Verdana" w:eastAsia="Verdana" w:hAnsi="Verdana" w:cs="Verdana"/>
          <w:sz w:val="17"/>
        </w:rPr>
        <w:t>dging in financial instruments are market risk, credit risk and liquidity risk.</w:t>
      </w:r>
    </w:p>
    <w:p w:rsidR="00576F87" w:rsidRDefault="004165F5">
      <w:pPr>
        <w:spacing w:after="96" w:line="265" w:lineRule="auto"/>
        <w:ind w:left="-3" w:hanging="10"/>
      </w:pPr>
      <w:r>
        <w:rPr>
          <w:rFonts w:ascii="Verdana" w:eastAsia="Verdana" w:hAnsi="Verdana" w:cs="Verdana"/>
          <w:b/>
          <w:color w:val="99CA3C"/>
          <w:sz w:val="17"/>
        </w:rPr>
        <w:t>Market Risk</w:t>
      </w:r>
    </w:p>
    <w:p w:rsidR="00576F87" w:rsidRDefault="004165F5">
      <w:pPr>
        <w:spacing w:after="163" w:line="269" w:lineRule="auto"/>
        <w:ind w:left="-5" w:hanging="10"/>
        <w:jc w:val="both"/>
      </w:pPr>
      <w:r>
        <w:rPr>
          <w:rFonts w:ascii="Verdana" w:eastAsia="Verdana" w:hAnsi="Verdana" w:cs="Verdana"/>
          <w:sz w:val="17"/>
        </w:rPr>
        <w:t>Market risk is the risk of loss from fluctuations in market prices which includes interest and foreign exchange rates, credit spreads, equity prices and volatility.</w:t>
      </w:r>
      <w:r>
        <w:rPr>
          <w:rFonts w:ascii="Verdana" w:eastAsia="Verdana" w:hAnsi="Verdana" w:cs="Verdana"/>
          <w:sz w:val="17"/>
        </w:rPr>
        <w:t xml:space="preserve"> The Fund is exposed to market risk from its investment and hedging activities, with the level of risk exposure depending on asset mix, market conditions, expectations of future price and yield movements. Most of the market risk arises from financial instr</w:t>
      </w:r>
      <w:r>
        <w:rPr>
          <w:rFonts w:ascii="Verdana" w:eastAsia="Verdana" w:hAnsi="Verdana" w:cs="Verdana"/>
          <w:sz w:val="17"/>
        </w:rPr>
        <w:t>uments held in investments in  LPP pooled funds.</w:t>
      </w:r>
    </w:p>
    <w:p w:rsidR="00576F87" w:rsidRDefault="004165F5">
      <w:pPr>
        <w:spacing w:after="241" w:line="269" w:lineRule="auto"/>
        <w:ind w:left="-5" w:hanging="10"/>
        <w:jc w:val="both"/>
      </w:pPr>
      <w:r>
        <w:rPr>
          <w:rFonts w:ascii="Verdana" w:eastAsia="Verdana" w:hAnsi="Verdana" w:cs="Verdana"/>
          <w:sz w:val="17"/>
        </w:rPr>
        <w:t>Market risk is managed in line with the risk management objectives within the Fund's ISS and FSS, which is to identify, manage and control market risk exposure within acceptable parameters, whilst optimising</w:t>
      </w:r>
      <w:r>
        <w:rPr>
          <w:rFonts w:ascii="Verdana" w:eastAsia="Verdana" w:hAnsi="Verdana" w:cs="Verdana"/>
          <w:sz w:val="17"/>
        </w:rPr>
        <w:t xml:space="preserve"> return on risk. The Fund manages its market risk by establishing a well-diversified asset allocation across different asset classes, countries and currencies. The Fund also seeks to include assets which provide real term returns as well as cash flow gener</w:t>
      </w:r>
      <w:r>
        <w:rPr>
          <w:rFonts w:ascii="Verdana" w:eastAsia="Verdana" w:hAnsi="Verdana" w:cs="Verdana"/>
          <w:sz w:val="17"/>
        </w:rPr>
        <w:t>ating assets that try to match the fund’s liabilities.</w:t>
      </w:r>
    </w:p>
    <w:p w:rsidR="00576F87" w:rsidRDefault="004165F5">
      <w:pPr>
        <w:spacing w:after="96" w:line="265" w:lineRule="auto"/>
        <w:ind w:left="-3" w:hanging="10"/>
      </w:pPr>
      <w:r>
        <w:rPr>
          <w:rFonts w:ascii="Verdana" w:eastAsia="Verdana" w:hAnsi="Verdana" w:cs="Verdana"/>
          <w:b/>
          <w:color w:val="99CA3C"/>
          <w:sz w:val="17"/>
        </w:rPr>
        <w:t>Market Risk – Sensitivity Analysis</w:t>
      </w:r>
    </w:p>
    <w:p w:rsidR="00576F87" w:rsidRDefault="004165F5">
      <w:pPr>
        <w:spacing w:after="293" w:line="269" w:lineRule="auto"/>
        <w:ind w:left="-5" w:hanging="10"/>
        <w:jc w:val="both"/>
      </w:pPr>
      <w:r>
        <w:rPr>
          <w:rFonts w:ascii="Verdana" w:eastAsia="Verdana" w:hAnsi="Verdana" w:cs="Verdana"/>
          <w:sz w:val="17"/>
        </w:rPr>
        <w:t>Several approaches are used to measure and monitor the market risk of the Fund including sensitivity analysis, expected volatility, VaR and stress testing. The method</w:t>
      </w:r>
      <w:r>
        <w:rPr>
          <w:rFonts w:ascii="Verdana" w:eastAsia="Verdana" w:hAnsi="Verdana" w:cs="Verdana"/>
          <w:sz w:val="17"/>
        </w:rPr>
        <w:t>ology used may be based on historical data or using simulation techniques, depending on the measure and the type of risk.</w:t>
      </w:r>
    </w:p>
    <w:p w:rsidR="00576F87" w:rsidRDefault="004165F5">
      <w:pPr>
        <w:spacing w:after="152" w:line="269" w:lineRule="auto"/>
        <w:ind w:left="-5" w:hanging="10"/>
        <w:jc w:val="both"/>
      </w:pPr>
      <w:r>
        <w:rPr>
          <w:rFonts w:ascii="Verdana" w:eastAsia="Verdana" w:hAnsi="Verdana" w:cs="Verdana"/>
          <w:sz w:val="17"/>
        </w:rPr>
        <w:t>The expected volatility over a 1-year time horizon is used as one risk measure for the Fund and is measured as a one standard deviation movement in the returns for each of the major asset classes in which the Fund is invested. The expected volatility provi</w:t>
      </w:r>
      <w:r>
        <w:rPr>
          <w:rFonts w:ascii="Verdana" w:eastAsia="Verdana" w:hAnsi="Verdana" w:cs="Verdana"/>
          <w:sz w:val="17"/>
        </w:rPr>
        <w:t>des a measure of the potential largest change in the value of the Fund in around 2/3rds of the time. The total fund volatility considers the expected interactions between the different asset classes, based on underlying volatilities and correlations of the</w:t>
      </w:r>
      <w:r>
        <w:rPr>
          <w:rFonts w:ascii="Verdana" w:eastAsia="Verdana" w:hAnsi="Verdana" w:cs="Verdana"/>
          <w:sz w:val="17"/>
        </w:rPr>
        <w:t xml:space="preserve"> assets.</w:t>
      </w:r>
    </w:p>
    <w:p w:rsidR="00576F87" w:rsidRDefault="004165F5">
      <w:pPr>
        <w:spacing w:after="241" w:line="269" w:lineRule="auto"/>
        <w:ind w:left="-5" w:hanging="10"/>
        <w:jc w:val="both"/>
      </w:pPr>
      <w:r>
        <w:rPr>
          <w:rFonts w:ascii="Verdana" w:eastAsia="Verdana" w:hAnsi="Verdana" w:cs="Verdana"/>
          <w:sz w:val="17"/>
        </w:rPr>
        <w:t>The approach makes assumptions on the potential distribution of prices and the potential movement and correlation in equity prices, interest and foreign exchange rates and credit spreads. The limitations of the approach are that the expected asset</w:t>
      </w:r>
      <w:r>
        <w:rPr>
          <w:rFonts w:ascii="Verdana" w:eastAsia="Verdana" w:hAnsi="Verdana" w:cs="Verdana"/>
          <w:sz w:val="17"/>
        </w:rPr>
        <w:t xml:space="preserve"> volatility and correlations may be different over the 1-year time horizon, the assumed distribution of prices may be different and it does not provide a measure of potential outcomes outside the one standard deviation movement. </w:t>
      </w:r>
    </w:p>
    <w:tbl>
      <w:tblPr>
        <w:tblStyle w:val="TableGrid"/>
        <w:tblW w:w="9694" w:type="dxa"/>
        <w:tblInd w:w="-35" w:type="dxa"/>
        <w:tblCellMar>
          <w:top w:w="42" w:type="dxa"/>
          <w:left w:w="33" w:type="dxa"/>
          <w:bottom w:w="0" w:type="dxa"/>
          <w:right w:w="115" w:type="dxa"/>
        </w:tblCellMar>
        <w:tblLook w:val="04A0" w:firstRow="1" w:lastRow="0" w:firstColumn="1" w:lastColumn="0" w:noHBand="0" w:noVBand="1"/>
      </w:tblPr>
      <w:tblGrid>
        <w:gridCol w:w="1937"/>
        <w:gridCol w:w="1939"/>
        <w:gridCol w:w="1939"/>
        <w:gridCol w:w="1939"/>
        <w:gridCol w:w="1939"/>
      </w:tblGrid>
      <w:tr w:rsidR="00576F87">
        <w:trPr>
          <w:trHeight w:val="300"/>
        </w:trPr>
        <w:tc>
          <w:tcPr>
            <w:tcW w:w="1937"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4165F5">
            <w:pPr>
              <w:spacing w:after="0"/>
              <w:ind w:left="82"/>
              <w:jc w:val="center"/>
            </w:pPr>
            <w:r>
              <w:rPr>
                <w:rFonts w:ascii="Verdana" w:eastAsia="Verdana" w:hAnsi="Verdana" w:cs="Verdana"/>
                <w:b/>
                <w:color w:val="FFFFFF"/>
                <w:sz w:val="15"/>
              </w:rPr>
              <w:t>2017</w:t>
            </w:r>
          </w:p>
        </w:tc>
        <w:tc>
          <w:tcPr>
            <w:tcW w:w="1939"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4165F5">
            <w:pPr>
              <w:spacing w:after="0"/>
              <w:ind w:left="85"/>
              <w:jc w:val="center"/>
            </w:pPr>
            <w:r>
              <w:rPr>
                <w:rFonts w:ascii="Verdana" w:eastAsia="Verdana" w:hAnsi="Verdana" w:cs="Verdana"/>
                <w:b/>
                <w:color w:val="FFFFFF"/>
                <w:sz w:val="15"/>
              </w:rPr>
              <w:t>2017</w:t>
            </w:r>
          </w:p>
        </w:tc>
        <w:tc>
          <w:tcPr>
            <w:tcW w:w="1939"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4165F5">
            <w:pPr>
              <w:spacing w:after="0"/>
              <w:ind w:left="5"/>
            </w:pPr>
            <w:r>
              <w:rPr>
                <w:rFonts w:ascii="Verdana" w:eastAsia="Verdana" w:hAnsi="Verdana" w:cs="Verdana"/>
                <w:b/>
                <w:color w:val="FFFFFF"/>
                <w:sz w:val="15"/>
              </w:rPr>
              <w:t>Asset Class</w:t>
            </w:r>
          </w:p>
        </w:tc>
        <w:tc>
          <w:tcPr>
            <w:tcW w:w="1939"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4165F5">
            <w:pPr>
              <w:spacing w:after="0"/>
              <w:ind w:left="85"/>
              <w:jc w:val="center"/>
            </w:pPr>
            <w:r>
              <w:rPr>
                <w:rFonts w:ascii="Verdana" w:eastAsia="Verdana" w:hAnsi="Verdana" w:cs="Verdana"/>
                <w:b/>
                <w:color w:val="FFFFFF"/>
                <w:sz w:val="15"/>
              </w:rPr>
              <w:t>2018</w:t>
            </w:r>
          </w:p>
        </w:tc>
        <w:tc>
          <w:tcPr>
            <w:tcW w:w="1939"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4165F5">
            <w:pPr>
              <w:spacing w:after="0"/>
              <w:ind w:left="85"/>
              <w:jc w:val="center"/>
            </w:pPr>
            <w:r>
              <w:rPr>
                <w:rFonts w:ascii="Verdana" w:eastAsia="Verdana" w:hAnsi="Verdana" w:cs="Verdana"/>
                <w:b/>
                <w:color w:val="FFFFFF"/>
                <w:sz w:val="15"/>
              </w:rPr>
              <w:t>2018</w:t>
            </w:r>
          </w:p>
        </w:tc>
      </w:tr>
      <w:tr w:rsidR="00576F87">
        <w:trPr>
          <w:trHeight w:val="362"/>
        </w:trPr>
        <w:tc>
          <w:tcPr>
            <w:tcW w:w="1937"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4165F5">
            <w:pPr>
              <w:spacing w:after="0"/>
              <w:jc w:val="center"/>
            </w:pPr>
            <w:r>
              <w:rPr>
                <w:rFonts w:ascii="Verdana" w:eastAsia="Verdana" w:hAnsi="Verdana" w:cs="Verdana"/>
                <w:b/>
                <w:color w:val="FFFFFF"/>
                <w:sz w:val="15"/>
              </w:rPr>
              <w:t>1 year expected volatility (%)</w:t>
            </w:r>
          </w:p>
        </w:tc>
        <w:tc>
          <w:tcPr>
            <w:tcW w:w="1939"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4165F5">
            <w:pPr>
              <w:spacing w:after="0"/>
              <w:ind w:left="87"/>
              <w:jc w:val="center"/>
            </w:pPr>
            <w:r>
              <w:rPr>
                <w:rFonts w:ascii="Verdana" w:eastAsia="Verdana" w:hAnsi="Verdana" w:cs="Verdana"/>
                <w:b/>
                <w:color w:val="FFFFFF"/>
                <w:sz w:val="15"/>
              </w:rPr>
              <w:t>% of Fund</w:t>
            </w:r>
          </w:p>
        </w:tc>
        <w:tc>
          <w:tcPr>
            <w:tcW w:w="1939"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576F87"/>
        </w:tc>
        <w:tc>
          <w:tcPr>
            <w:tcW w:w="1939"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4165F5">
            <w:pPr>
              <w:spacing w:after="0"/>
              <w:jc w:val="center"/>
            </w:pPr>
            <w:r>
              <w:rPr>
                <w:rFonts w:ascii="Verdana" w:eastAsia="Verdana" w:hAnsi="Verdana" w:cs="Verdana"/>
                <w:b/>
                <w:color w:val="FFFFFF"/>
                <w:sz w:val="15"/>
              </w:rPr>
              <w:t>1 year expected volatility (%)</w:t>
            </w:r>
          </w:p>
        </w:tc>
        <w:tc>
          <w:tcPr>
            <w:tcW w:w="1939"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4165F5">
            <w:pPr>
              <w:spacing w:after="0"/>
              <w:ind w:left="87"/>
              <w:jc w:val="center"/>
            </w:pPr>
            <w:r>
              <w:rPr>
                <w:rFonts w:ascii="Verdana" w:eastAsia="Verdana" w:hAnsi="Verdana" w:cs="Verdana"/>
                <w:b/>
                <w:color w:val="FFFFFF"/>
                <w:sz w:val="15"/>
              </w:rPr>
              <w:t>% of Fund</w:t>
            </w:r>
          </w:p>
        </w:tc>
      </w:tr>
      <w:tr w:rsidR="00576F87">
        <w:trPr>
          <w:trHeight w:val="341"/>
        </w:trPr>
        <w:tc>
          <w:tcPr>
            <w:tcW w:w="1937"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5"/>
              <w:jc w:val="center"/>
            </w:pPr>
            <w:r>
              <w:rPr>
                <w:rFonts w:ascii="Verdana" w:eastAsia="Verdana" w:hAnsi="Verdana" w:cs="Verdana"/>
                <w:sz w:val="15"/>
              </w:rPr>
              <w:t xml:space="preserve">18.7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8"/>
              <w:jc w:val="center"/>
            </w:pPr>
            <w:r>
              <w:rPr>
                <w:rFonts w:ascii="Verdana" w:eastAsia="Verdana" w:hAnsi="Verdana" w:cs="Verdana"/>
                <w:sz w:val="15"/>
              </w:rPr>
              <w:t xml:space="preserve">51.5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pPr>
            <w:r>
              <w:rPr>
                <w:rFonts w:ascii="Verdana" w:eastAsia="Verdana" w:hAnsi="Verdana" w:cs="Verdana"/>
                <w:sz w:val="15"/>
              </w:rPr>
              <w:t>Global Equities</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8"/>
              <w:jc w:val="center"/>
            </w:pPr>
            <w:r>
              <w:rPr>
                <w:rFonts w:ascii="Verdana" w:eastAsia="Verdana" w:hAnsi="Verdana" w:cs="Verdana"/>
                <w:sz w:val="15"/>
              </w:rPr>
              <w:t>19.3</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8"/>
              <w:jc w:val="center"/>
            </w:pPr>
            <w:r>
              <w:rPr>
                <w:rFonts w:ascii="Verdana" w:eastAsia="Verdana" w:hAnsi="Verdana" w:cs="Verdana"/>
                <w:sz w:val="15"/>
              </w:rPr>
              <w:t xml:space="preserve">49.0 </w:t>
            </w:r>
          </w:p>
        </w:tc>
      </w:tr>
      <w:tr w:rsidR="00576F87">
        <w:trPr>
          <w:trHeight w:val="290"/>
        </w:trPr>
        <w:tc>
          <w:tcPr>
            <w:tcW w:w="1937"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5"/>
              <w:jc w:val="center"/>
            </w:pPr>
            <w:r>
              <w:rPr>
                <w:rFonts w:ascii="Verdana" w:eastAsia="Verdana" w:hAnsi="Verdana" w:cs="Verdana"/>
                <w:sz w:val="15"/>
              </w:rPr>
              <w:t xml:space="preserve">26.5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8"/>
              <w:jc w:val="center"/>
            </w:pPr>
            <w:r>
              <w:rPr>
                <w:rFonts w:ascii="Verdana" w:eastAsia="Verdana" w:hAnsi="Verdana" w:cs="Verdana"/>
                <w:sz w:val="15"/>
              </w:rPr>
              <w:t xml:space="preserve">10.1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pPr>
            <w:r>
              <w:rPr>
                <w:rFonts w:ascii="Verdana" w:eastAsia="Verdana" w:hAnsi="Verdana" w:cs="Verdana"/>
                <w:sz w:val="15"/>
              </w:rPr>
              <w:t>Private Equity</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9"/>
              <w:jc w:val="center"/>
            </w:pPr>
            <w:r>
              <w:rPr>
                <w:rFonts w:ascii="Verdana" w:eastAsia="Verdana" w:hAnsi="Verdana" w:cs="Verdana"/>
                <w:sz w:val="15"/>
              </w:rPr>
              <w:t>24.0</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9"/>
              <w:jc w:val="center"/>
            </w:pPr>
            <w:r>
              <w:rPr>
                <w:rFonts w:ascii="Verdana" w:eastAsia="Verdana" w:hAnsi="Verdana" w:cs="Verdana"/>
                <w:sz w:val="15"/>
              </w:rPr>
              <w:t xml:space="preserve">10.3 </w:t>
            </w:r>
          </w:p>
        </w:tc>
      </w:tr>
      <w:tr w:rsidR="00576F87">
        <w:trPr>
          <w:trHeight w:val="290"/>
        </w:trPr>
        <w:tc>
          <w:tcPr>
            <w:tcW w:w="1937"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5"/>
              <w:jc w:val="center"/>
            </w:pPr>
            <w:r>
              <w:rPr>
                <w:rFonts w:ascii="Verdana" w:eastAsia="Verdana" w:hAnsi="Verdana" w:cs="Verdana"/>
                <w:sz w:val="15"/>
              </w:rPr>
              <w:t xml:space="preserve">23.2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8"/>
              <w:jc w:val="center"/>
            </w:pPr>
            <w:r>
              <w:rPr>
                <w:rFonts w:ascii="Verdana" w:eastAsia="Verdana" w:hAnsi="Verdana" w:cs="Verdana"/>
                <w:sz w:val="15"/>
              </w:rPr>
              <w:t xml:space="preserve">5.9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pPr>
            <w:r>
              <w:rPr>
                <w:rFonts w:ascii="Verdana" w:eastAsia="Verdana" w:hAnsi="Verdana" w:cs="Verdana"/>
                <w:sz w:val="15"/>
              </w:rPr>
              <w:t>Property</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9"/>
              <w:jc w:val="center"/>
            </w:pPr>
            <w:r>
              <w:rPr>
                <w:rFonts w:ascii="Verdana" w:eastAsia="Verdana" w:hAnsi="Verdana" w:cs="Verdana"/>
                <w:sz w:val="15"/>
              </w:rPr>
              <w:t>20.7</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9"/>
              <w:jc w:val="center"/>
            </w:pPr>
            <w:r>
              <w:rPr>
                <w:rFonts w:ascii="Verdana" w:eastAsia="Verdana" w:hAnsi="Verdana" w:cs="Verdana"/>
                <w:sz w:val="15"/>
              </w:rPr>
              <w:t xml:space="preserve">7.5 </w:t>
            </w:r>
          </w:p>
        </w:tc>
      </w:tr>
      <w:tr w:rsidR="00576F87">
        <w:trPr>
          <w:trHeight w:val="290"/>
        </w:trPr>
        <w:tc>
          <w:tcPr>
            <w:tcW w:w="1937"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5"/>
              <w:jc w:val="center"/>
            </w:pPr>
            <w:r>
              <w:rPr>
                <w:rFonts w:ascii="Verdana" w:eastAsia="Verdana" w:hAnsi="Verdana" w:cs="Verdana"/>
                <w:sz w:val="15"/>
              </w:rPr>
              <w:t xml:space="preserve">10.0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8"/>
              <w:jc w:val="center"/>
            </w:pPr>
            <w:r>
              <w:rPr>
                <w:rFonts w:ascii="Verdana" w:eastAsia="Verdana" w:hAnsi="Verdana" w:cs="Verdana"/>
                <w:sz w:val="15"/>
              </w:rPr>
              <w:t xml:space="preserve">1.0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pPr>
            <w:r>
              <w:rPr>
                <w:rFonts w:ascii="Verdana" w:eastAsia="Verdana" w:hAnsi="Verdana" w:cs="Verdana"/>
                <w:sz w:val="15"/>
              </w:rPr>
              <w:t>Fixed Income</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9"/>
              <w:jc w:val="center"/>
            </w:pPr>
            <w:r>
              <w:rPr>
                <w:rFonts w:ascii="Verdana" w:eastAsia="Verdana" w:hAnsi="Verdana" w:cs="Verdana"/>
                <w:sz w:val="15"/>
              </w:rPr>
              <w:t>3.3</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9"/>
              <w:jc w:val="center"/>
            </w:pPr>
            <w:r>
              <w:rPr>
                <w:rFonts w:ascii="Verdana" w:eastAsia="Verdana" w:hAnsi="Verdana" w:cs="Verdana"/>
                <w:sz w:val="15"/>
              </w:rPr>
              <w:t xml:space="preserve">2.5 </w:t>
            </w:r>
          </w:p>
        </w:tc>
      </w:tr>
      <w:tr w:rsidR="00576F87">
        <w:trPr>
          <w:trHeight w:val="290"/>
        </w:trPr>
        <w:tc>
          <w:tcPr>
            <w:tcW w:w="1937"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5"/>
              <w:jc w:val="center"/>
            </w:pPr>
            <w:r>
              <w:rPr>
                <w:rFonts w:ascii="Verdana" w:eastAsia="Verdana" w:hAnsi="Verdana" w:cs="Verdana"/>
                <w:sz w:val="15"/>
              </w:rPr>
              <w:t xml:space="preserve">15.5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8"/>
              <w:jc w:val="center"/>
            </w:pPr>
            <w:r>
              <w:rPr>
                <w:rFonts w:ascii="Verdana" w:eastAsia="Verdana" w:hAnsi="Verdana" w:cs="Verdana"/>
                <w:sz w:val="15"/>
              </w:rPr>
              <w:t xml:space="preserve">5.1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pPr>
            <w:r>
              <w:rPr>
                <w:rFonts w:ascii="Verdana" w:eastAsia="Verdana" w:hAnsi="Verdana" w:cs="Verdana"/>
                <w:sz w:val="15"/>
              </w:rPr>
              <w:t>Infrastructure</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9"/>
              <w:jc w:val="center"/>
            </w:pPr>
            <w:r>
              <w:rPr>
                <w:rFonts w:ascii="Verdana" w:eastAsia="Verdana" w:hAnsi="Verdana" w:cs="Verdana"/>
                <w:sz w:val="15"/>
              </w:rPr>
              <w:t>17.3</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9"/>
              <w:jc w:val="center"/>
            </w:pPr>
            <w:r>
              <w:rPr>
                <w:rFonts w:ascii="Verdana" w:eastAsia="Verdana" w:hAnsi="Verdana" w:cs="Verdana"/>
                <w:sz w:val="15"/>
              </w:rPr>
              <w:t xml:space="preserve">5.0 </w:t>
            </w:r>
          </w:p>
        </w:tc>
      </w:tr>
      <w:tr w:rsidR="00576F87">
        <w:trPr>
          <w:trHeight w:val="290"/>
        </w:trPr>
        <w:tc>
          <w:tcPr>
            <w:tcW w:w="1937"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5"/>
              <w:jc w:val="center"/>
            </w:pPr>
            <w:r>
              <w:rPr>
                <w:rFonts w:ascii="Verdana" w:eastAsia="Verdana" w:hAnsi="Verdana" w:cs="Verdana"/>
                <w:sz w:val="15"/>
              </w:rPr>
              <w:t xml:space="preserve">4.9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8"/>
              <w:jc w:val="center"/>
            </w:pPr>
            <w:r>
              <w:rPr>
                <w:rFonts w:ascii="Verdana" w:eastAsia="Verdana" w:hAnsi="Verdana" w:cs="Verdana"/>
                <w:sz w:val="15"/>
              </w:rPr>
              <w:t xml:space="preserve">3.6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pPr>
            <w:r>
              <w:rPr>
                <w:rFonts w:ascii="Verdana" w:eastAsia="Verdana" w:hAnsi="Verdana" w:cs="Verdana"/>
                <w:sz w:val="15"/>
              </w:rPr>
              <w:t>Credit</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8"/>
              <w:jc w:val="center"/>
            </w:pPr>
            <w:r>
              <w:rPr>
                <w:rFonts w:ascii="Verdana" w:eastAsia="Verdana" w:hAnsi="Verdana" w:cs="Verdana"/>
                <w:sz w:val="15"/>
              </w:rPr>
              <w:t>8.4</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8"/>
              <w:jc w:val="center"/>
            </w:pPr>
            <w:r>
              <w:rPr>
                <w:rFonts w:ascii="Verdana" w:eastAsia="Verdana" w:hAnsi="Verdana" w:cs="Verdana"/>
                <w:sz w:val="15"/>
              </w:rPr>
              <w:t xml:space="preserve">5.1 </w:t>
            </w:r>
          </w:p>
        </w:tc>
      </w:tr>
      <w:tr w:rsidR="00576F87">
        <w:trPr>
          <w:trHeight w:val="290"/>
        </w:trPr>
        <w:tc>
          <w:tcPr>
            <w:tcW w:w="1937"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5"/>
              <w:jc w:val="center"/>
            </w:pPr>
            <w:r>
              <w:rPr>
                <w:rFonts w:ascii="Verdana" w:eastAsia="Verdana" w:hAnsi="Verdana" w:cs="Verdana"/>
                <w:sz w:val="15"/>
              </w:rPr>
              <w:t xml:space="preserve">4.9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8"/>
              <w:jc w:val="center"/>
            </w:pPr>
            <w:r>
              <w:rPr>
                <w:rFonts w:ascii="Verdana" w:eastAsia="Verdana" w:hAnsi="Verdana" w:cs="Verdana"/>
                <w:sz w:val="15"/>
              </w:rPr>
              <w:t xml:space="preserve">14.4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pPr>
            <w:r>
              <w:rPr>
                <w:rFonts w:ascii="Verdana" w:eastAsia="Verdana" w:hAnsi="Verdana" w:cs="Verdana"/>
                <w:sz w:val="15"/>
              </w:rPr>
              <w:t>Total Return</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9"/>
              <w:jc w:val="center"/>
            </w:pPr>
            <w:r>
              <w:rPr>
                <w:rFonts w:ascii="Verdana" w:eastAsia="Verdana" w:hAnsi="Verdana" w:cs="Verdana"/>
                <w:sz w:val="15"/>
              </w:rPr>
              <w:t>4.6</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9"/>
              <w:jc w:val="center"/>
            </w:pPr>
            <w:r>
              <w:rPr>
                <w:rFonts w:ascii="Verdana" w:eastAsia="Verdana" w:hAnsi="Verdana" w:cs="Verdana"/>
                <w:sz w:val="15"/>
              </w:rPr>
              <w:t xml:space="preserve">15.2 </w:t>
            </w:r>
          </w:p>
        </w:tc>
      </w:tr>
      <w:tr w:rsidR="00576F87">
        <w:trPr>
          <w:trHeight w:val="290"/>
        </w:trPr>
        <w:tc>
          <w:tcPr>
            <w:tcW w:w="1937"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5"/>
              <w:jc w:val="center"/>
            </w:pPr>
            <w:r>
              <w:rPr>
                <w:rFonts w:ascii="Verdana" w:eastAsia="Verdana" w:hAnsi="Verdana" w:cs="Verdana"/>
                <w:sz w:val="15"/>
              </w:rPr>
              <w:t xml:space="preserve">0.1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8"/>
              <w:jc w:val="center"/>
            </w:pPr>
            <w:r>
              <w:rPr>
                <w:rFonts w:ascii="Verdana" w:eastAsia="Verdana" w:hAnsi="Verdana" w:cs="Verdana"/>
                <w:sz w:val="15"/>
              </w:rPr>
              <w:t xml:space="preserve">8.4 </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pPr>
            <w:r>
              <w:rPr>
                <w:rFonts w:ascii="Verdana" w:eastAsia="Verdana" w:hAnsi="Verdana" w:cs="Verdana"/>
                <w:sz w:val="15"/>
              </w:rPr>
              <w:t>Cash &amp; LDI</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9"/>
              <w:jc w:val="center"/>
            </w:pPr>
            <w:r>
              <w:rPr>
                <w:rFonts w:ascii="Verdana" w:eastAsia="Verdana" w:hAnsi="Verdana" w:cs="Verdana"/>
                <w:sz w:val="15"/>
              </w:rPr>
              <w:t>0.0</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89"/>
              <w:jc w:val="center"/>
            </w:pPr>
            <w:r>
              <w:rPr>
                <w:rFonts w:ascii="Verdana" w:eastAsia="Verdana" w:hAnsi="Verdana" w:cs="Verdana"/>
                <w:sz w:val="15"/>
              </w:rPr>
              <w:t xml:space="preserve">5.4 </w:t>
            </w:r>
          </w:p>
        </w:tc>
      </w:tr>
      <w:tr w:rsidR="00576F87">
        <w:trPr>
          <w:trHeight w:val="242"/>
        </w:trPr>
        <w:tc>
          <w:tcPr>
            <w:tcW w:w="1937"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4165F5">
            <w:pPr>
              <w:spacing w:after="0"/>
              <w:ind w:left="82"/>
              <w:jc w:val="center"/>
            </w:pPr>
            <w:r>
              <w:rPr>
                <w:rFonts w:ascii="Verdana" w:eastAsia="Verdana" w:hAnsi="Verdana" w:cs="Verdana"/>
                <w:b/>
                <w:color w:val="FFFFFF"/>
                <w:sz w:val="15"/>
              </w:rPr>
              <w:t>15.1</w:t>
            </w:r>
          </w:p>
        </w:tc>
        <w:tc>
          <w:tcPr>
            <w:tcW w:w="1939"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4165F5">
            <w:pPr>
              <w:spacing w:after="0"/>
              <w:ind w:left="87"/>
              <w:jc w:val="center"/>
            </w:pPr>
            <w:r>
              <w:rPr>
                <w:rFonts w:ascii="Verdana" w:eastAsia="Verdana" w:hAnsi="Verdana" w:cs="Verdana"/>
                <w:b/>
                <w:color w:val="FFFFFF"/>
                <w:sz w:val="15"/>
              </w:rPr>
              <w:t xml:space="preserve">100.0 </w:t>
            </w:r>
          </w:p>
        </w:tc>
        <w:tc>
          <w:tcPr>
            <w:tcW w:w="1939"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4165F5">
            <w:pPr>
              <w:spacing w:after="0"/>
              <w:ind w:left="4"/>
            </w:pPr>
            <w:r>
              <w:rPr>
                <w:rFonts w:ascii="Verdana" w:eastAsia="Verdana" w:hAnsi="Verdana" w:cs="Verdana"/>
                <w:b/>
                <w:color w:val="FFFFFF"/>
                <w:sz w:val="15"/>
              </w:rPr>
              <w:t>Total Fund</w:t>
            </w:r>
          </w:p>
        </w:tc>
        <w:tc>
          <w:tcPr>
            <w:tcW w:w="1939"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4165F5">
            <w:pPr>
              <w:spacing w:after="0"/>
              <w:ind w:left="84"/>
              <w:jc w:val="center"/>
            </w:pPr>
            <w:r>
              <w:rPr>
                <w:rFonts w:ascii="Verdana" w:eastAsia="Verdana" w:hAnsi="Verdana" w:cs="Verdana"/>
                <w:b/>
                <w:color w:val="FFFFFF"/>
                <w:sz w:val="15"/>
              </w:rPr>
              <w:t>11.9</w:t>
            </w:r>
          </w:p>
        </w:tc>
        <w:tc>
          <w:tcPr>
            <w:tcW w:w="1939" w:type="dxa"/>
            <w:tcBorders>
              <w:top w:val="single" w:sz="7" w:space="0" w:color="35437C"/>
              <w:left w:val="single" w:sz="7" w:space="0" w:color="35437C"/>
              <w:bottom w:val="single" w:sz="7" w:space="0" w:color="35437C"/>
              <w:right w:val="single" w:sz="7" w:space="0" w:color="35437C"/>
            </w:tcBorders>
            <w:shd w:val="clear" w:color="auto" w:fill="35437C"/>
          </w:tcPr>
          <w:p w:rsidR="00576F87" w:rsidRDefault="004165F5">
            <w:pPr>
              <w:spacing w:after="0"/>
              <w:ind w:left="87"/>
              <w:jc w:val="center"/>
            </w:pPr>
            <w:r>
              <w:rPr>
                <w:rFonts w:ascii="Verdana" w:eastAsia="Verdana" w:hAnsi="Verdana" w:cs="Verdana"/>
                <w:b/>
                <w:color w:val="FFFFFF"/>
                <w:sz w:val="15"/>
              </w:rPr>
              <w:t xml:space="preserve">100.0 </w:t>
            </w:r>
          </w:p>
        </w:tc>
      </w:tr>
    </w:tbl>
    <w:p w:rsidR="00576F87" w:rsidRDefault="004165F5">
      <w:pPr>
        <w:spacing w:after="48" w:line="269" w:lineRule="auto"/>
        <w:ind w:left="-5" w:hanging="10"/>
        <w:jc w:val="both"/>
      </w:pPr>
      <w:r>
        <w:rPr>
          <w:rFonts w:ascii="Verdana" w:eastAsia="Verdana" w:hAnsi="Verdana" w:cs="Verdana"/>
          <w:sz w:val="17"/>
        </w:rPr>
        <w:t>The value of the Fund as at 31 March 2018 was £5,654m (2017: £5,337m) and the expected volatility was</w:t>
      </w:r>
    </w:p>
    <w:p w:rsidR="00576F87" w:rsidRDefault="004165F5">
      <w:pPr>
        <w:spacing w:after="215" w:line="269" w:lineRule="auto"/>
        <w:ind w:left="-5" w:hanging="10"/>
        <w:jc w:val="both"/>
      </w:pPr>
      <w:r>
        <w:rPr>
          <w:rFonts w:ascii="Verdana" w:eastAsia="Verdana" w:hAnsi="Verdana" w:cs="Verdana"/>
          <w:sz w:val="17"/>
        </w:rPr>
        <w:t>11.9% (2017: 15.1%). Given these figures, we would expect that in roughly 2/3</w:t>
      </w:r>
      <w:r>
        <w:rPr>
          <w:rFonts w:ascii="Verdana" w:eastAsia="Verdana" w:hAnsi="Verdana" w:cs="Verdana"/>
          <w:sz w:val="17"/>
          <w:vertAlign w:val="superscript"/>
        </w:rPr>
        <w:t xml:space="preserve">rds </w:t>
      </w:r>
      <w:r>
        <w:rPr>
          <w:rFonts w:ascii="Verdana" w:eastAsia="Verdana" w:hAnsi="Verdana" w:cs="Verdana"/>
          <w:sz w:val="17"/>
        </w:rPr>
        <w:t>of outcomes the value of the Fund would lie between £6,327m (2017: £6,064m) and £4,981m (2017: £4,545m) in 12 months’ time, expressed in today's equivalent present value.</w:t>
      </w:r>
    </w:p>
    <w:p w:rsidR="00576F87" w:rsidRDefault="004165F5">
      <w:pPr>
        <w:spacing w:after="96" w:line="265" w:lineRule="auto"/>
        <w:ind w:left="-3" w:hanging="10"/>
      </w:pPr>
      <w:r>
        <w:rPr>
          <w:rFonts w:ascii="Verdana" w:eastAsia="Verdana" w:hAnsi="Verdana" w:cs="Verdana"/>
          <w:b/>
          <w:color w:val="99CA3C"/>
          <w:sz w:val="17"/>
        </w:rPr>
        <w:t>Interest Rate Risk</w:t>
      </w:r>
    </w:p>
    <w:p w:rsidR="00576F87" w:rsidRDefault="004165F5">
      <w:pPr>
        <w:spacing w:after="128" w:line="269" w:lineRule="auto"/>
        <w:ind w:left="-5" w:hanging="10"/>
        <w:jc w:val="both"/>
      </w:pPr>
      <w:r>
        <w:rPr>
          <w:rFonts w:ascii="Verdana" w:eastAsia="Verdana" w:hAnsi="Verdana" w:cs="Verdana"/>
          <w:sz w:val="17"/>
        </w:rPr>
        <w:t>The Fund invests in financial assets for the primary purpose of obtaining a return on investments. These investments are subject to interest rate risks, which represent the risk that the fair value or future cash flows of a financial ins</w:t>
      </w:r>
      <w:r>
        <w:rPr>
          <w:rFonts w:ascii="Verdana" w:eastAsia="Verdana" w:hAnsi="Verdana" w:cs="Verdana"/>
          <w:sz w:val="17"/>
        </w:rPr>
        <w:t>trument will fluctuate because of changes in market interest rates. The main interest rate risk for the Fund is within the fixed income assets.</w:t>
      </w:r>
    </w:p>
    <w:p w:rsidR="00576F87" w:rsidRDefault="004165F5">
      <w:pPr>
        <w:spacing w:after="241" w:line="269" w:lineRule="auto"/>
        <w:ind w:left="-5" w:hanging="10"/>
        <w:jc w:val="both"/>
      </w:pPr>
      <w:r>
        <w:rPr>
          <w:rFonts w:ascii="Verdana" w:eastAsia="Verdana" w:hAnsi="Verdana" w:cs="Verdana"/>
          <w:sz w:val="17"/>
        </w:rPr>
        <w:t xml:space="preserve">The Fund is also exposed to interest rate risk within its pension liabilities, which is managed using bonds and </w:t>
      </w:r>
      <w:r>
        <w:rPr>
          <w:rFonts w:ascii="Verdana" w:eastAsia="Verdana" w:hAnsi="Verdana" w:cs="Verdana"/>
          <w:sz w:val="17"/>
        </w:rPr>
        <w:t>swaps through a liability-driven investment (LDI) programme.</w:t>
      </w:r>
    </w:p>
    <w:p w:rsidR="00576F87" w:rsidRDefault="004165F5">
      <w:pPr>
        <w:spacing w:after="241" w:line="269" w:lineRule="auto"/>
        <w:ind w:left="-5" w:hanging="10"/>
        <w:jc w:val="both"/>
      </w:pPr>
      <w:r>
        <w:rPr>
          <w:rFonts w:ascii="Verdana" w:eastAsia="Verdana" w:hAnsi="Verdana" w:cs="Verdana"/>
          <w:sz w:val="17"/>
        </w:rPr>
        <w:t>The sensitivity of financial instruments in the Fund to interest rate movements is captured in the sensitivity analysis within the market risk section.</w:t>
      </w:r>
    </w:p>
    <w:p w:rsidR="00576F87" w:rsidRDefault="004165F5">
      <w:pPr>
        <w:spacing w:after="143" w:line="265" w:lineRule="auto"/>
        <w:ind w:left="-3" w:hanging="10"/>
      </w:pPr>
      <w:r>
        <w:rPr>
          <w:rFonts w:ascii="Verdana" w:eastAsia="Verdana" w:hAnsi="Verdana" w:cs="Verdana"/>
          <w:b/>
          <w:color w:val="99CA3C"/>
          <w:sz w:val="17"/>
        </w:rPr>
        <w:t>Currency Risk</w:t>
      </w:r>
    </w:p>
    <w:p w:rsidR="00576F87" w:rsidRDefault="004165F5">
      <w:pPr>
        <w:spacing w:after="214" w:line="269" w:lineRule="auto"/>
        <w:ind w:left="-5" w:hanging="10"/>
        <w:jc w:val="both"/>
      </w:pPr>
      <w:r>
        <w:rPr>
          <w:rFonts w:ascii="Verdana" w:eastAsia="Verdana" w:hAnsi="Verdana" w:cs="Verdana"/>
          <w:sz w:val="17"/>
        </w:rPr>
        <w:t xml:space="preserve">Currency risk represents the </w:t>
      </w:r>
      <w:r>
        <w:rPr>
          <w:rFonts w:ascii="Verdana" w:eastAsia="Verdana" w:hAnsi="Verdana" w:cs="Verdana"/>
          <w:sz w:val="17"/>
        </w:rPr>
        <w:t>risk that the fair value of future cash flows of a financial instrument will fluctuate because of changes in foreign exchange rates. The Fund is exposed to currency risk through non-sterling investments, where the currency risk has not been hedged, while i</w:t>
      </w:r>
      <w:r>
        <w:rPr>
          <w:rFonts w:ascii="Verdana" w:eastAsia="Verdana" w:hAnsi="Verdana" w:cs="Verdana"/>
          <w:sz w:val="17"/>
        </w:rPr>
        <w:t>t holds sterling liabilities. The currency risk is mainly in the global equity, private equity, credit and infrastructure pooled portfolios.</w:t>
      </w:r>
    </w:p>
    <w:p w:rsidR="00576F87" w:rsidRDefault="004165F5">
      <w:pPr>
        <w:spacing w:after="241" w:line="269" w:lineRule="auto"/>
        <w:ind w:left="-5" w:hanging="10"/>
        <w:jc w:val="both"/>
      </w:pPr>
      <w:r>
        <w:rPr>
          <w:rFonts w:ascii="Verdana" w:eastAsia="Verdana" w:hAnsi="Verdana" w:cs="Verdana"/>
          <w:sz w:val="17"/>
        </w:rPr>
        <w:t>The Board has established a currency hedge programme to dampen the effect of foreign currency fluctuations on the v</w:t>
      </w:r>
      <w:r>
        <w:rPr>
          <w:rFonts w:ascii="Verdana" w:eastAsia="Verdana" w:hAnsi="Verdana" w:cs="Verdana"/>
          <w:sz w:val="17"/>
        </w:rPr>
        <w:t>alue of the non-sterling investment asset. The hedge currently covers 50% of the non-sterling exposure of the global equity portfolio, excluding emerging markets, and 100% of the total return portfolio. The currency hedge program is reviewed regularly as p</w:t>
      </w:r>
      <w:r>
        <w:rPr>
          <w:rFonts w:ascii="Verdana" w:eastAsia="Verdana" w:hAnsi="Verdana" w:cs="Verdana"/>
          <w:sz w:val="17"/>
        </w:rPr>
        <w:t>art of LPFA's investment strategy review.</w:t>
      </w:r>
    </w:p>
    <w:p w:rsidR="00576F87" w:rsidRDefault="004165F5">
      <w:pPr>
        <w:spacing w:after="167" w:line="265" w:lineRule="auto"/>
        <w:ind w:left="-3" w:hanging="10"/>
      </w:pPr>
      <w:r>
        <w:rPr>
          <w:rFonts w:ascii="Verdana" w:eastAsia="Verdana" w:hAnsi="Verdana" w:cs="Verdana"/>
          <w:b/>
          <w:color w:val="99CA3C"/>
          <w:sz w:val="17"/>
        </w:rPr>
        <w:t>Currency Risk Sensitivity Analysis</w:t>
      </w:r>
    </w:p>
    <w:p w:rsidR="00576F87" w:rsidRDefault="004165F5">
      <w:pPr>
        <w:spacing w:after="126" w:line="269" w:lineRule="auto"/>
        <w:ind w:left="-5" w:hanging="10"/>
        <w:jc w:val="both"/>
      </w:pPr>
      <w:r>
        <w:rPr>
          <w:rFonts w:ascii="Verdana" w:eastAsia="Verdana" w:hAnsi="Verdana" w:cs="Verdana"/>
          <w:sz w:val="17"/>
        </w:rPr>
        <w:t>The increase in currency exposure over the year reflects the inclusion of currency risk from investments in private equity, infrastructure and credit in the table below.</w:t>
      </w:r>
    </w:p>
    <w:p w:rsidR="00576F87" w:rsidRDefault="004165F5">
      <w:pPr>
        <w:spacing w:after="241" w:line="269" w:lineRule="auto"/>
        <w:ind w:left="-5" w:hanging="10"/>
        <w:jc w:val="both"/>
      </w:pPr>
      <w:r>
        <w:rPr>
          <w:rFonts w:ascii="Verdana" w:eastAsia="Verdana" w:hAnsi="Verdana" w:cs="Verdana"/>
          <w:sz w:val="17"/>
        </w:rPr>
        <w:t>The expec</w:t>
      </w:r>
      <w:r>
        <w:rPr>
          <w:rFonts w:ascii="Verdana" w:eastAsia="Verdana" w:hAnsi="Verdana" w:cs="Verdana"/>
          <w:sz w:val="17"/>
        </w:rPr>
        <w:t xml:space="preserve">ted standard deviation of the Fund’s significant currency exposure is based on 12m market implied volatilities as at 31 March 2018. The following tables summarise the Fund’s currency exposure and expected 12m volatility by currency as at 31 March 2018 and </w:t>
      </w:r>
      <w:r>
        <w:rPr>
          <w:rFonts w:ascii="Verdana" w:eastAsia="Verdana" w:hAnsi="Verdana" w:cs="Verdana"/>
          <w:sz w:val="17"/>
        </w:rPr>
        <w:t xml:space="preserve">as at the previous period end: </w:t>
      </w:r>
    </w:p>
    <w:tbl>
      <w:tblPr>
        <w:tblStyle w:val="TableGrid"/>
        <w:tblW w:w="9692" w:type="dxa"/>
        <w:tblInd w:w="-35" w:type="dxa"/>
        <w:tblCellMar>
          <w:top w:w="22" w:type="dxa"/>
          <w:left w:w="115" w:type="dxa"/>
          <w:bottom w:w="0" w:type="dxa"/>
          <w:right w:w="115" w:type="dxa"/>
        </w:tblCellMar>
        <w:tblLook w:val="04A0" w:firstRow="1" w:lastRow="0" w:firstColumn="1" w:lastColumn="0" w:noHBand="0" w:noVBand="1"/>
      </w:tblPr>
      <w:tblGrid>
        <w:gridCol w:w="1937"/>
        <w:gridCol w:w="1939"/>
        <w:gridCol w:w="1939"/>
        <w:gridCol w:w="1939"/>
        <w:gridCol w:w="1938"/>
      </w:tblGrid>
      <w:tr w:rsidR="00576F87">
        <w:trPr>
          <w:trHeight w:val="485"/>
        </w:trPr>
        <w:tc>
          <w:tcPr>
            <w:tcW w:w="1937" w:type="dxa"/>
            <w:tcBorders>
              <w:top w:val="single" w:sz="13" w:space="0" w:color="35437C"/>
              <w:left w:val="single" w:sz="11" w:space="0" w:color="35437C"/>
              <w:bottom w:val="single" w:sz="7" w:space="0" w:color="35437C"/>
              <w:right w:val="single" w:sz="7" w:space="0" w:color="35437C"/>
            </w:tcBorders>
            <w:shd w:val="clear" w:color="auto" w:fill="35437C"/>
          </w:tcPr>
          <w:p w:rsidR="00576F87" w:rsidRDefault="004165F5">
            <w:pPr>
              <w:spacing w:after="0"/>
              <w:ind w:left="2"/>
              <w:jc w:val="center"/>
            </w:pPr>
            <w:r>
              <w:rPr>
                <w:rFonts w:ascii="Verdana" w:eastAsia="Verdana" w:hAnsi="Verdana" w:cs="Verdana"/>
                <w:b/>
                <w:color w:val="FFFFFF"/>
                <w:sz w:val="15"/>
              </w:rPr>
              <w:t xml:space="preserve">Value at 31 March </w:t>
            </w:r>
          </w:p>
          <w:p w:rsidR="00576F87" w:rsidRDefault="004165F5">
            <w:pPr>
              <w:spacing w:after="0"/>
              <w:ind w:left="5"/>
              <w:jc w:val="center"/>
            </w:pPr>
            <w:r>
              <w:rPr>
                <w:rFonts w:ascii="Verdana" w:eastAsia="Verdana" w:hAnsi="Verdana" w:cs="Verdana"/>
                <w:b/>
                <w:color w:val="FFFFFF"/>
                <w:sz w:val="15"/>
              </w:rPr>
              <w:t>2017 (£m)</w:t>
            </w:r>
          </w:p>
        </w:tc>
        <w:tc>
          <w:tcPr>
            <w:tcW w:w="1939" w:type="dxa"/>
            <w:tcBorders>
              <w:top w:val="single" w:sz="13" w:space="0" w:color="35437C"/>
              <w:left w:val="single" w:sz="7" w:space="0" w:color="35437C"/>
              <w:bottom w:val="single" w:sz="7" w:space="0" w:color="35437C"/>
              <w:right w:val="single" w:sz="7" w:space="0" w:color="35437C"/>
            </w:tcBorders>
            <w:shd w:val="clear" w:color="auto" w:fill="35437C"/>
          </w:tcPr>
          <w:p w:rsidR="00576F87" w:rsidRDefault="004165F5">
            <w:pPr>
              <w:spacing w:after="44"/>
              <w:ind w:left="3"/>
              <w:jc w:val="center"/>
            </w:pPr>
            <w:r>
              <w:rPr>
                <w:rFonts w:ascii="Verdana" w:eastAsia="Verdana" w:hAnsi="Verdana" w:cs="Verdana"/>
                <w:b/>
                <w:color w:val="FFFFFF"/>
                <w:sz w:val="15"/>
              </w:rPr>
              <w:t>Implied volatility</w:t>
            </w:r>
          </w:p>
          <w:p w:rsidR="00576F87" w:rsidRDefault="004165F5">
            <w:pPr>
              <w:spacing w:after="0"/>
              <w:ind w:left="3"/>
              <w:jc w:val="center"/>
            </w:pPr>
            <w:r>
              <w:rPr>
                <w:rFonts w:ascii="Verdana" w:eastAsia="Verdana" w:hAnsi="Verdana" w:cs="Verdana"/>
                <w:b/>
                <w:color w:val="FFFFFF"/>
                <w:sz w:val="15"/>
              </w:rPr>
              <w:t>%</w:t>
            </w:r>
          </w:p>
        </w:tc>
        <w:tc>
          <w:tcPr>
            <w:tcW w:w="1939" w:type="dxa"/>
            <w:tcBorders>
              <w:top w:val="single" w:sz="13" w:space="0" w:color="35437C"/>
              <w:left w:val="single" w:sz="7" w:space="0" w:color="35437C"/>
              <w:bottom w:val="single" w:sz="7" w:space="0" w:color="35437C"/>
              <w:right w:val="single" w:sz="7" w:space="0" w:color="35437C"/>
            </w:tcBorders>
            <w:shd w:val="clear" w:color="auto" w:fill="35437C"/>
          </w:tcPr>
          <w:p w:rsidR="00576F87" w:rsidRDefault="004165F5">
            <w:pPr>
              <w:spacing w:after="0"/>
              <w:ind w:left="3"/>
              <w:jc w:val="center"/>
            </w:pPr>
            <w:r>
              <w:rPr>
                <w:rFonts w:ascii="Verdana" w:eastAsia="Verdana" w:hAnsi="Verdana" w:cs="Verdana"/>
                <w:b/>
                <w:color w:val="FFFFFF"/>
                <w:sz w:val="15"/>
              </w:rPr>
              <w:t>Currency</w:t>
            </w:r>
          </w:p>
        </w:tc>
        <w:tc>
          <w:tcPr>
            <w:tcW w:w="1939" w:type="dxa"/>
            <w:tcBorders>
              <w:top w:val="single" w:sz="13" w:space="0" w:color="35437C"/>
              <w:left w:val="single" w:sz="7" w:space="0" w:color="35437C"/>
              <w:bottom w:val="single" w:sz="7" w:space="0" w:color="35437C"/>
              <w:right w:val="single" w:sz="7" w:space="0" w:color="35437C"/>
            </w:tcBorders>
            <w:shd w:val="clear" w:color="auto" w:fill="35437C"/>
          </w:tcPr>
          <w:p w:rsidR="00576F87" w:rsidRDefault="004165F5">
            <w:pPr>
              <w:spacing w:after="0"/>
              <w:ind w:left="5"/>
              <w:jc w:val="center"/>
            </w:pPr>
            <w:r>
              <w:rPr>
                <w:rFonts w:ascii="Verdana" w:eastAsia="Verdana" w:hAnsi="Verdana" w:cs="Verdana"/>
                <w:b/>
                <w:color w:val="FFFFFF"/>
                <w:sz w:val="15"/>
              </w:rPr>
              <w:t xml:space="preserve">Value at 31 March </w:t>
            </w:r>
          </w:p>
          <w:p w:rsidR="00576F87" w:rsidRDefault="004165F5">
            <w:pPr>
              <w:spacing w:after="0"/>
              <w:ind w:left="8"/>
              <w:jc w:val="center"/>
            </w:pPr>
            <w:r>
              <w:rPr>
                <w:rFonts w:ascii="Verdana" w:eastAsia="Verdana" w:hAnsi="Verdana" w:cs="Verdana"/>
                <w:b/>
                <w:color w:val="FFFFFF"/>
                <w:sz w:val="15"/>
              </w:rPr>
              <w:t>2018 (£m)</w:t>
            </w:r>
          </w:p>
        </w:tc>
        <w:tc>
          <w:tcPr>
            <w:tcW w:w="1938" w:type="dxa"/>
            <w:tcBorders>
              <w:top w:val="single" w:sz="13" w:space="0" w:color="35437C"/>
              <w:left w:val="single" w:sz="7" w:space="0" w:color="35437C"/>
              <w:bottom w:val="single" w:sz="7" w:space="0" w:color="35437C"/>
              <w:right w:val="single" w:sz="13" w:space="0" w:color="35437C"/>
            </w:tcBorders>
            <w:shd w:val="clear" w:color="auto" w:fill="35437C"/>
          </w:tcPr>
          <w:p w:rsidR="00576F87" w:rsidRDefault="004165F5">
            <w:pPr>
              <w:spacing w:after="44"/>
              <w:ind w:left="4"/>
              <w:jc w:val="center"/>
            </w:pPr>
            <w:r>
              <w:rPr>
                <w:rFonts w:ascii="Verdana" w:eastAsia="Verdana" w:hAnsi="Verdana" w:cs="Verdana"/>
                <w:b/>
                <w:color w:val="FFFFFF"/>
                <w:sz w:val="15"/>
              </w:rPr>
              <w:t>Implied volatility</w:t>
            </w:r>
          </w:p>
          <w:p w:rsidR="00576F87" w:rsidRDefault="004165F5">
            <w:pPr>
              <w:spacing w:after="0"/>
              <w:ind w:left="4"/>
              <w:jc w:val="center"/>
            </w:pPr>
            <w:r>
              <w:rPr>
                <w:rFonts w:ascii="Verdana" w:eastAsia="Verdana" w:hAnsi="Verdana" w:cs="Verdana"/>
                <w:b/>
                <w:color w:val="FFFFFF"/>
                <w:sz w:val="15"/>
              </w:rPr>
              <w:t>%</w:t>
            </w:r>
          </w:p>
        </w:tc>
      </w:tr>
      <w:tr w:rsidR="00576F87">
        <w:trPr>
          <w:trHeight w:val="242"/>
        </w:trPr>
        <w:tc>
          <w:tcPr>
            <w:tcW w:w="1937" w:type="dxa"/>
            <w:tcBorders>
              <w:top w:val="single" w:sz="7" w:space="0" w:color="35437C"/>
              <w:left w:val="single" w:sz="11" w:space="0" w:color="35437C"/>
              <w:bottom w:val="single" w:sz="7" w:space="0" w:color="35437C"/>
              <w:right w:val="single" w:sz="7" w:space="0" w:color="35437C"/>
            </w:tcBorders>
          </w:tcPr>
          <w:p w:rsidR="00576F87" w:rsidRDefault="004165F5">
            <w:pPr>
              <w:spacing w:after="0"/>
              <w:jc w:val="center"/>
            </w:pPr>
            <w:r>
              <w:rPr>
                <w:rFonts w:ascii="Verdana" w:eastAsia="Verdana" w:hAnsi="Verdana" w:cs="Verdana"/>
                <w:sz w:val="15"/>
              </w:rPr>
              <w:t>812</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5"/>
              <w:jc w:val="center"/>
            </w:pPr>
            <w:r>
              <w:rPr>
                <w:rFonts w:ascii="Verdana" w:eastAsia="Verdana" w:hAnsi="Verdana" w:cs="Verdana"/>
                <w:sz w:val="15"/>
              </w:rPr>
              <w:t>9.4</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2"/>
              <w:jc w:val="center"/>
            </w:pPr>
            <w:r>
              <w:rPr>
                <w:rFonts w:ascii="Verdana" w:eastAsia="Verdana" w:hAnsi="Verdana" w:cs="Verdana"/>
                <w:sz w:val="15"/>
              </w:rPr>
              <w:t>USD</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jc w:val="center"/>
            </w:pPr>
            <w:r>
              <w:rPr>
                <w:rFonts w:ascii="Verdana" w:eastAsia="Verdana" w:hAnsi="Verdana" w:cs="Verdana"/>
                <w:sz w:val="15"/>
              </w:rPr>
              <w:t>1436</w:t>
            </w:r>
          </w:p>
        </w:tc>
        <w:tc>
          <w:tcPr>
            <w:tcW w:w="1938" w:type="dxa"/>
            <w:tcBorders>
              <w:top w:val="single" w:sz="7" w:space="0" w:color="35437C"/>
              <w:left w:val="single" w:sz="7" w:space="0" w:color="35437C"/>
              <w:bottom w:val="single" w:sz="7" w:space="0" w:color="35437C"/>
              <w:right w:val="single" w:sz="13" w:space="0" w:color="35437C"/>
            </w:tcBorders>
          </w:tcPr>
          <w:p w:rsidR="00576F87" w:rsidRDefault="004165F5">
            <w:pPr>
              <w:spacing w:after="0"/>
              <w:ind w:left="7"/>
              <w:jc w:val="center"/>
            </w:pPr>
            <w:r>
              <w:rPr>
                <w:rFonts w:ascii="Verdana" w:eastAsia="Verdana" w:hAnsi="Verdana" w:cs="Verdana"/>
                <w:sz w:val="15"/>
              </w:rPr>
              <w:t>8.6</w:t>
            </w:r>
          </w:p>
        </w:tc>
      </w:tr>
      <w:tr w:rsidR="00576F87">
        <w:trPr>
          <w:trHeight w:val="242"/>
        </w:trPr>
        <w:tc>
          <w:tcPr>
            <w:tcW w:w="1937" w:type="dxa"/>
            <w:tcBorders>
              <w:top w:val="single" w:sz="7" w:space="0" w:color="35437C"/>
              <w:left w:val="single" w:sz="11" w:space="0" w:color="35437C"/>
              <w:bottom w:val="single" w:sz="7" w:space="0" w:color="35437C"/>
              <w:right w:val="single" w:sz="7" w:space="0" w:color="35437C"/>
            </w:tcBorders>
          </w:tcPr>
          <w:p w:rsidR="00576F87" w:rsidRDefault="004165F5">
            <w:pPr>
              <w:spacing w:after="0"/>
              <w:ind w:left="3"/>
              <w:jc w:val="center"/>
            </w:pPr>
            <w:r>
              <w:rPr>
                <w:rFonts w:ascii="Verdana" w:eastAsia="Verdana" w:hAnsi="Verdana" w:cs="Verdana"/>
                <w:sz w:val="15"/>
              </w:rPr>
              <w:t>-28</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5"/>
              <w:jc w:val="center"/>
            </w:pPr>
            <w:r>
              <w:rPr>
                <w:rFonts w:ascii="Verdana" w:eastAsia="Verdana" w:hAnsi="Verdana" w:cs="Verdana"/>
                <w:sz w:val="15"/>
              </w:rPr>
              <w:t>11.1</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2"/>
              <w:jc w:val="center"/>
            </w:pPr>
            <w:r>
              <w:rPr>
                <w:rFonts w:ascii="Verdana" w:eastAsia="Verdana" w:hAnsi="Verdana" w:cs="Verdana"/>
                <w:sz w:val="15"/>
              </w:rPr>
              <w:t>JPY</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jc w:val="center"/>
            </w:pPr>
            <w:r>
              <w:rPr>
                <w:rFonts w:ascii="Verdana" w:eastAsia="Verdana" w:hAnsi="Verdana" w:cs="Verdana"/>
                <w:sz w:val="15"/>
              </w:rPr>
              <w:t>55</w:t>
            </w:r>
          </w:p>
        </w:tc>
        <w:tc>
          <w:tcPr>
            <w:tcW w:w="1938" w:type="dxa"/>
            <w:tcBorders>
              <w:top w:val="single" w:sz="7" w:space="0" w:color="35437C"/>
              <w:left w:val="single" w:sz="7" w:space="0" w:color="35437C"/>
              <w:bottom w:val="single" w:sz="7" w:space="0" w:color="35437C"/>
              <w:right w:val="single" w:sz="13" w:space="0" w:color="35437C"/>
            </w:tcBorders>
          </w:tcPr>
          <w:p w:rsidR="00576F87" w:rsidRDefault="004165F5">
            <w:pPr>
              <w:spacing w:after="0"/>
              <w:ind w:left="7"/>
              <w:jc w:val="center"/>
            </w:pPr>
            <w:r>
              <w:rPr>
                <w:rFonts w:ascii="Verdana" w:eastAsia="Verdana" w:hAnsi="Verdana" w:cs="Verdana"/>
                <w:sz w:val="15"/>
              </w:rPr>
              <w:t>10.3</w:t>
            </w:r>
          </w:p>
        </w:tc>
      </w:tr>
      <w:tr w:rsidR="00576F87">
        <w:trPr>
          <w:trHeight w:val="242"/>
        </w:trPr>
        <w:tc>
          <w:tcPr>
            <w:tcW w:w="1937" w:type="dxa"/>
            <w:tcBorders>
              <w:top w:val="single" w:sz="7" w:space="0" w:color="35437C"/>
              <w:left w:val="single" w:sz="11" w:space="0" w:color="35437C"/>
              <w:bottom w:val="single" w:sz="7" w:space="0" w:color="35437C"/>
              <w:right w:val="single" w:sz="7" w:space="0" w:color="35437C"/>
            </w:tcBorders>
          </w:tcPr>
          <w:p w:rsidR="00576F87" w:rsidRDefault="004165F5">
            <w:pPr>
              <w:spacing w:after="0"/>
              <w:jc w:val="center"/>
            </w:pPr>
            <w:r>
              <w:rPr>
                <w:rFonts w:ascii="Verdana" w:eastAsia="Verdana" w:hAnsi="Verdana" w:cs="Verdana"/>
                <w:sz w:val="15"/>
              </w:rPr>
              <w:t>88</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5"/>
              <w:jc w:val="center"/>
            </w:pPr>
            <w:r>
              <w:rPr>
                <w:rFonts w:ascii="Verdana" w:eastAsia="Verdana" w:hAnsi="Verdana" w:cs="Verdana"/>
                <w:sz w:val="15"/>
              </w:rPr>
              <w:t>8.7</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2"/>
              <w:jc w:val="center"/>
            </w:pPr>
            <w:r>
              <w:rPr>
                <w:rFonts w:ascii="Verdana" w:eastAsia="Verdana" w:hAnsi="Verdana" w:cs="Verdana"/>
                <w:sz w:val="15"/>
              </w:rPr>
              <w:t>EUR</w:t>
            </w:r>
          </w:p>
        </w:tc>
        <w:tc>
          <w:tcPr>
            <w:tcW w:w="1939" w:type="dxa"/>
            <w:tcBorders>
              <w:top w:val="single" w:sz="7" w:space="0" w:color="35437C"/>
              <w:left w:val="single" w:sz="7" w:space="0" w:color="35437C"/>
              <w:bottom w:val="single" w:sz="7" w:space="0" w:color="35437C"/>
              <w:right w:val="single" w:sz="7" w:space="0" w:color="35437C"/>
            </w:tcBorders>
          </w:tcPr>
          <w:p w:rsidR="00576F87" w:rsidRDefault="004165F5">
            <w:pPr>
              <w:spacing w:after="0"/>
              <w:ind w:left="3"/>
              <w:jc w:val="center"/>
            </w:pPr>
            <w:r>
              <w:rPr>
                <w:rFonts w:ascii="Verdana" w:eastAsia="Verdana" w:hAnsi="Verdana" w:cs="Verdana"/>
                <w:sz w:val="15"/>
              </w:rPr>
              <w:t>440</w:t>
            </w:r>
          </w:p>
        </w:tc>
        <w:tc>
          <w:tcPr>
            <w:tcW w:w="1938" w:type="dxa"/>
            <w:tcBorders>
              <w:top w:val="single" w:sz="7" w:space="0" w:color="35437C"/>
              <w:left w:val="single" w:sz="7" w:space="0" w:color="35437C"/>
              <w:bottom w:val="single" w:sz="7" w:space="0" w:color="35437C"/>
              <w:right w:val="single" w:sz="13" w:space="0" w:color="35437C"/>
            </w:tcBorders>
          </w:tcPr>
          <w:p w:rsidR="00576F87" w:rsidRDefault="004165F5">
            <w:pPr>
              <w:spacing w:after="0"/>
              <w:ind w:left="7"/>
              <w:jc w:val="center"/>
            </w:pPr>
            <w:r>
              <w:rPr>
                <w:rFonts w:ascii="Verdana" w:eastAsia="Verdana" w:hAnsi="Verdana" w:cs="Verdana"/>
                <w:sz w:val="15"/>
              </w:rPr>
              <w:t>7.2</w:t>
            </w:r>
          </w:p>
        </w:tc>
      </w:tr>
      <w:tr w:rsidR="00576F87">
        <w:trPr>
          <w:trHeight w:val="253"/>
        </w:trPr>
        <w:tc>
          <w:tcPr>
            <w:tcW w:w="1937" w:type="dxa"/>
            <w:tcBorders>
              <w:top w:val="single" w:sz="7" w:space="0" w:color="35437C"/>
              <w:left w:val="single" w:sz="11" w:space="0" w:color="35437C"/>
              <w:bottom w:val="single" w:sz="13" w:space="0" w:color="35437C"/>
              <w:right w:val="single" w:sz="7" w:space="0" w:color="35437C"/>
            </w:tcBorders>
          </w:tcPr>
          <w:p w:rsidR="00576F87" w:rsidRDefault="004165F5">
            <w:pPr>
              <w:spacing w:after="0"/>
              <w:jc w:val="center"/>
            </w:pPr>
            <w:r>
              <w:rPr>
                <w:rFonts w:ascii="Verdana" w:eastAsia="Verdana" w:hAnsi="Verdana" w:cs="Verdana"/>
                <w:sz w:val="15"/>
              </w:rPr>
              <w:t>87</w:t>
            </w:r>
          </w:p>
        </w:tc>
        <w:tc>
          <w:tcPr>
            <w:tcW w:w="1939" w:type="dxa"/>
            <w:tcBorders>
              <w:top w:val="single" w:sz="7" w:space="0" w:color="35437C"/>
              <w:left w:val="single" w:sz="7" w:space="0" w:color="35437C"/>
              <w:bottom w:val="single" w:sz="13" w:space="0" w:color="35437C"/>
              <w:right w:val="single" w:sz="7" w:space="0" w:color="35437C"/>
            </w:tcBorders>
          </w:tcPr>
          <w:p w:rsidR="00576F87" w:rsidRDefault="004165F5">
            <w:pPr>
              <w:spacing w:after="0"/>
              <w:ind w:left="5"/>
              <w:jc w:val="center"/>
            </w:pPr>
            <w:r>
              <w:rPr>
                <w:rFonts w:ascii="Verdana" w:eastAsia="Verdana" w:hAnsi="Verdana" w:cs="Verdana"/>
                <w:sz w:val="15"/>
              </w:rPr>
              <w:t>8.2</w:t>
            </w:r>
          </w:p>
        </w:tc>
        <w:tc>
          <w:tcPr>
            <w:tcW w:w="1939" w:type="dxa"/>
            <w:tcBorders>
              <w:top w:val="single" w:sz="7" w:space="0" w:color="35437C"/>
              <w:left w:val="single" w:sz="7" w:space="0" w:color="35437C"/>
              <w:bottom w:val="single" w:sz="13" w:space="0" w:color="35437C"/>
              <w:right w:val="single" w:sz="7" w:space="0" w:color="35437C"/>
            </w:tcBorders>
          </w:tcPr>
          <w:p w:rsidR="00576F87" w:rsidRDefault="004165F5">
            <w:pPr>
              <w:spacing w:after="0"/>
              <w:ind w:left="5"/>
              <w:jc w:val="center"/>
            </w:pPr>
            <w:r>
              <w:rPr>
                <w:rFonts w:ascii="Verdana" w:eastAsia="Verdana" w:hAnsi="Verdana" w:cs="Verdana"/>
                <w:sz w:val="15"/>
              </w:rPr>
              <w:t>CHF</w:t>
            </w:r>
          </w:p>
        </w:tc>
        <w:tc>
          <w:tcPr>
            <w:tcW w:w="1939" w:type="dxa"/>
            <w:tcBorders>
              <w:top w:val="single" w:sz="7" w:space="0" w:color="35437C"/>
              <w:left w:val="single" w:sz="7" w:space="0" w:color="35437C"/>
              <w:bottom w:val="single" w:sz="13" w:space="0" w:color="35437C"/>
              <w:right w:val="single" w:sz="7" w:space="0" w:color="35437C"/>
            </w:tcBorders>
          </w:tcPr>
          <w:p w:rsidR="00576F87" w:rsidRDefault="004165F5">
            <w:pPr>
              <w:spacing w:after="0"/>
              <w:ind w:left="3"/>
              <w:jc w:val="center"/>
            </w:pPr>
            <w:r>
              <w:rPr>
                <w:rFonts w:ascii="Verdana" w:eastAsia="Verdana" w:hAnsi="Verdana" w:cs="Verdana"/>
                <w:sz w:val="15"/>
              </w:rPr>
              <w:t>121</w:t>
            </w:r>
          </w:p>
        </w:tc>
        <w:tc>
          <w:tcPr>
            <w:tcW w:w="1938" w:type="dxa"/>
            <w:tcBorders>
              <w:top w:val="single" w:sz="7" w:space="0" w:color="35437C"/>
              <w:left w:val="single" w:sz="7" w:space="0" w:color="35437C"/>
              <w:bottom w:val="single" w:sz="13" w:space="0" w:color="35437C"/>
              <w:right w:val="single" w:sz="13" w:space="0" w:color="35437C"/>
            </w:tcBorders>
          </w:tcPr>
          <w:p w:rsidR="00576F87" w:rsidRDefault="004165F5">
            <w:pPr>
              <w:spacing w:after="0"/>
              <w:ind w:left="6"/>
              <w:jc w:val="center"/>
            </w:pPr>
            <w:r>
              <w:rPr>
                <w:rFonts w:ascii="Verdana" w:eastAsia="Verdana" w:hAnsi="Verdana" w:cs="Verdana"/>
                <w:sz w:val="15"/>
              </w:rPr>
              <w:t>7.8</w:t>
            </w:r>
          </w:p>
        </w:tc>
      </w:tr>
    </w:tbl>
    <w:p w:rsidR="00576F87" w:rsidRDefault="004165F5">
      <w:pPr>
        <w:spacing w:after="241" w:line="269" w:lineRule="auto"/>
        <w:ind w:left="-5" w:hanging="10"/>
        <w:jc w:val="both"/>
      </w:pPr>
      <w:r>
        <w:rPr>
          <w:rFonts w:ascii="Verdana" w:eastAsia="Verdana" w:hAnsi="Verdana" w:cs="Verdana"/>
          <w:sz w:val="17"/>
        </w:rPr>
        <w:t>The sensitivity of the Fund to currency movements is captured in the sensitivity analysis within the market risk section.</w:t>
      </w:r>
    </w:p>
    <w:p w:rsidR="00576F87" w:rsidRDefault="004165F5">
      <w:pPr>
        <w:spacing w:after="138" w:line="265" w:lineRule="auto"/>
        <w:ind w:left="-3" w:hanging="10"/>
      </w:pPr>
      <w:r>
        <w:rPr>
          <w:rFonts w:ascii="Verdana" w:eastAsia="Verdana" w:hAnsi="Verdana" w:cs="Verdana"/>
          <w:b/>
          <w:color w:val="99CA3C"/>
          <w:sz w:val="17"/>
        </w:rPr>
        <w:t>Credit Risk</w:t>
      </w:r>
    </w:p>
    <w:p w:rsidR="00576F87" w:rsidRDefault="004165F5">
      <w:pPr>
        <w:spacing w:after="128" w:line="269" w:lineRule="auto"/>
        <w:ind w:left="-5" w:hanging="10"/>
        <w:jc w:val="both"/>
      </w:pPr>
      <w:r>
        <w:rPr>
          <w:rFonts w:ascii="Verdana" w:eastAsia="Verdana" w:hAnsi="Verdana" w:cs="Verdana"/>
          <w:sz w:val="17"/>
        </w:rPr>
        <w:t xml:space="preserve">Credit risk is the risk that the issuer or counterparty to a transaction or a financial instrument will fail to discharge </w:t>
      </w:r>
      <w:r>
        <w:rPr>
          <w:rFonts w:ascii="Verdana" w:eastAsia="Verdana" w:hAnsi="Verdana" w:cs="Verdana"/>
          <w:sz w:val="17"/>
        </w:rPr>
        <w:t>an obligation and cause the fund to incur a financial loss. The main credit risk within the Fund arises mainly from investments in fixed income securities within the pooled funds, where the issuer may default or is unable to pay its obligation when due. Th</w:t>
      </w:r>
      <w:r>
        <w:rPr>
          <w:rFonts w:ascii="Verdana" w:eastAsia="Verdana" w:hAnsi="Verdana" w:cs="Verdana"/>
          <w:sz w:val="17"/>
        </w:rPr>
        <w:t xml:space="preserve">e Fund seeks to minimise its credit risk by the selection of high quality counterparties, brokers and financial institutions. </w:t>
      </w:r>
    </w:p>
    <w:p w:rsidR="00576F87" w:rsidRDefault="004165F5">
      <w:pPr>
        <w:spacing w:after="241" w:line="269" w:lineRule="auto"/>
        <w:ind w:left="-5" w:hanging="10"/>
        <w:jc w:val="both"/>
      </w:pPr>
      <w:r>
        <w:rPr>
          <w:rFonts w:ascii="Verdana" w:eastAsia="Verdana" w:hAnsi="Verdana" w:cs="Verdana"/>
          <w:sz w:val="17"/>
        </w:rPr>
        <w:t>Credit risk also arises with LPFA deposits held with banks and financial institution. During 2013/14 the LPFA joined a Group Inve</w:t>
      </w:r>
      <w:r>
        <w:rPr>
          <w:rFonts w:ascii="Verdana" w:eastAsia="Verdana" w:hAnsi="Verdana" w:cs="Verdana"/>
          <w:sz w:val="17"/>
        </w:rPr>
        <w:t>stment Syndicate (GIS), operated by the Greater London Authority (GLA), under the supervision of the participants; the GLA, the London Fire and Emergency Planning Authority (LFEPA), the London Legacy Development Corporation (LLDC) and the Mayor’s office fo</w:t>
      </w:r>
      <w:r>
        <w:rPr>
          <w:rFonts w:ascii="Verdana" w:eastAsia="Verdana" w:hAnsi="Verdana" w:cs="Verdana"/>
          <w:sz w:val="17"/>
        </w:rPr>
        <w:t>r Policing and Crime (MOPAC). The GIS has an approved counterparty list using a creditworthiness methodology. The methodology uses an average of the ranked ratings from the ratings agencies; Fitch, Moody’s and Standard &amp; Poor.</w:t>
      </w:r>
    </w:p>
    <w:p w:rsidR="00576F87" w:rsidRDefault="004165F5">
      <w:pPr>
        <w:spacing w:after="214" w:line="269" w:lineRule="auto"/>
        <w:ind w:left="-5" w:hanging="10"/>
        <w:jc w:val="both"/>
      </w:pPr>
      <w:r>
        <w:rPr>
          <w:rFonts w:ascii="Verdana" w:eastAsia="Verdana" w:hAnsi="Verdana" w:cs="Verdana"/>
          <w:sz w:val="17"/>
        </w:rPr>
        <w:t>The sensitivity of the Fund to credit spreads is captured in the sensitivity analysis within the market risk section.</w:t>
      </w:r>
    </w:p>
    <w:p w:rsidR="00576F87" w:rsidRDefault="004165F5">
      <w:pPr>
        <w:spacing w:after="241" w:line="269" w:lineRule="auto"/>
        <w:ind w:left="-5" w:hanging="10"/>
        <w:jc w:val="both"/>
      </w:pPr>
      <w:r>
        <w:rPr>
          <w:rFonts w:ascii="Verdana" w:eastAsia="Verdana" w:hAnsi="Verdana" w:cs="Verdana"/>
          <w:sz w:val="17"/>
        </w:rPr>
        <w:t>The LPFA believes it has managed its exposure to credit risk, and has had no experience of default and uncollectable deposits over the pas</w:t>
      </w:r>
      <w:r>
        <w:rPr>
          <w:rFonts w:ascii="Verdana" w:eastAsia="Verdana" w:hAnsi="Verdana" w:cs="Verdana"/>
          <w:sz w:val="17"/>
        </w:rPr>
        <w:t>t five financial years. The fund’s cash holding under its treasury management arrangements at 31 March 2018 was</w:t>
      </w:r>
      <w:r>
        <w:rPr>
          <w:rFonts w:ascii="Verdana" w:eastAsia="Verdana" w:hAnsi="Verdana" w:cs="Verdana"/>
          <w:b/>
          <w:sz w:val="17"/>
        </w:rPr>
        <w:t xml:space="preserve"> </w:t>
      </w:r>
      <w:r>
        <w:rPr>
          <w:rFonts w:ascii="Verdana" w:eastAsia="Verdana" w:hAnsi="Verdana" w:cs="Verdana"/>
          <w:sz w:val="17"/>
        </w:rPr>
        <w:t>£57.5m (2017:£340.8m).</w:t>
      </w:r>
    </w:p>
    <w:p w:rsidR="00576F87" w:rsidRDefault="004165F5">
      <w:pPr>
        <w:spacing w:after="150" w:line="265" w:lineRule="auto"/>
        <w:ind w:left="-3" w:hanging="10"/>
      </w:pPr>
      <w:r>
        <w:rPr>
          <w:rFonts w:ascii="Verdana" w:eastAsia="Verdana" w:hAnsi="Verdana" w:cs="Verdana"/>
          <w:b/>
          <w:color w:val="99CA3C"/>
          <w:sz w:val="17"/>
        </w:rPr>
        <w:t>Liquidity Risk</w:t>
      </w:r>
    </w:p>
    <w:p w:rsidR="00576F87" w:rsidRDefault="004165F5">
      <w:pPr>
        <w:spacing w:after="241" w:line="269" w:lineRule="auto"/>
        <w:ind w:left="-5" w:hanging="10"/>
        <w:jc w:val="both"/>
      </w:pPr>
      <w:r>
        <w:rPr>
          <w:rFonts w:ascii="Verdana" w:eastAsia="Verdana" w:hAnsi="Verdana" w:cs="Verdana"/>
          <w:sz w:val="17"/>
        </w:rPr>
        <w:t>Liquidity risk is the risk that LPFA has insufficient funds to meet its financial obligation when due. The</w:t>
      </w:r>
      <w:r>
        <w:rPr>
          <w:rFonts w:ascii="Verdana" w:eastAsia="Verdana" w:hAnsi="Verdana" w:cs="Verdana"/>
          <w:sz w:val="17"/>
        </w:rPr>
        <w:t>se obligations may arise from operating expenses, payment to members or to meet investment commitments.</w:t>
      </w:r>
    </w:p>
    <w:p w:rsidR="00576F87" w:rsidRDefault="004165F5">
      <w:pPr>
        <w:spacing w:after="180" w:line="269" w:lineRule="auto"/>
        <w:ind w:left="-5" w:hanging="10"/>
        <w:jc w:val="both"/>
      </w:pPr>
      <w:r>
        <w:rPr>
          <w:rFonts w:ascii="Verdana" w:eastAsia="Verdana" w:hAnsi="Verdana" w:cs="Verdana"/>
          <w:sz w:val="17"/>
        </w:rPr>
        <w:t>LPFA manages its liquidity risk by forecasting future cash requirements and having immediate access to enough funds, either through cash holdings or hol</w:t>
      </w:r>
      <w:r>
        <w:rPr>
          <w:rFonts w:ascii="Verdana" w:eastAsia="Verdana" w:hAnsi="Verdana" w:cs="Verdana"/>
          <w:sz w:val="17"/>
        </w:rPr>
        <w:t>ding highly liquid assets that can be readily liquidated if required. The LPFA has immediate access to its cash holdings with the GIS and Lloyds Bank Plc.</w:t>
      </w:r>
    </w:p>
    <w:p w:rsidR="00576F87" w:rsidRDefault="004165F5">
      <w:pPr>
        <w:spacing w:after="182" w:line="269" w:lineRule="auto"/>
        <w:ind w:left="-5" w:hanging="10"/>
        <w:jc w:val="both"/>
      </w:pPr>
      <w:r>
        <w:rPr>
          <w:rFonts w:ascii="Verdana" w:eastAsia="Verdana" w:hAnsi="Verdana" w:cs="Verdana"/>
          <w:sz w:val="17"/>
        </w:rPr>
        <w:t xml:space="preserve">The LPFA defines liquid assets as assets that can be converted to cash within three months. Illiquid </w:t>
      </w:r>
      <w:r>
        <w:rPr>
          <w:rFonts w:ascii="Verdana" w:eastAsia="Verdana" w:hAnsi="Verdana" w:cs="Verdana"/>
          <w:sz w:val="17"/>
        </w:rPr>
        <w:t>assets are those assets which will take longer than three months to convert in to cash. As at 31 March 2018, the value of illiquid assets (private equity, infrastructure, credit and real estate) was £1,543m, which represented 27.9% of the total LPFA assets</w:t>
      </w:r>
      <w:r>
        <w:rPr>
          <w:rFonts w:ascii="Verdana" w:eastAsia="Verdana" w:hAnsi="Verdana" w:cs="Verdana"/>
          <w:sz w:val="17"/>
        </w:rPr>
        <w:t xml:space="preserve"> (31 March 2017 £1,312m which represented 24.7% of the total LPFA assets).</w:t>
      </w:r>
    </w:p>
    <w:p w:rsidR="00576F87" w:rsidRDefault="004165F5">
      <w:pPr>
        <w:spacing w:after="241" w:line="269" w:lineRule="auto"/>
        <w:ind w:left="-5" w:hanging="10"/>
        <w:jc w:val="both"/>
      </w:pPr>
      <w:r>
        <w:rPr>
          <w:rFonts w:ascii="Verdana" w:eastAsia="Verdana" w:hAnsi="Verdana" w:cs="Verdana"/>
          <w:sz w:val="17"/>
        </w:rPr>
        <w:t>All financial liabilities at 31 March 2018 are due within one year.</w:t>
      </w:r>
    </w:p>
    <w:p w:rsidR="00576F87" w:rsidRDefault="00576F87">
      <w:pPr>
        <w:sectPr w:rsidR="00576F87">
          <w:headerReference w:type="even" r:id="rId84"/>
          <w:headerReference w:type="default" r:id="rId85"/>
          <w:footerReference w:type="even" r:id="rId86"/>
          <w:footerReference w:type="default" r:id="rId87"/>
          <w:headerReference w:type="first" r:id="rId88"/>
          <w:footerReference w:type="first" r:id="rId89"/>
          <w:pgSz w:w="11900" w:h="16840"/>
          <w:pgMar w:top="1904" w:right="1204" w:bottom="3305" w:left="1068" w:header="1421" w:footer="510" w:gutter="0"/>
          <w:cols w:space="720"/>
        </w:sectPr>
      </w:pPr>
    </w:p>
    <w:p w:rsidR="00576F87" w:rsidRDefault="004165F5">
      <w:pPr>
        <w:pStyle w:val="Heading3"/>
        <w:spacing w:after="22"/>
        <w:ind w:left="411" w:hanging="8"/>
      </w:pPr>
      <w:r>
        <w:rPr>
          <w:color w:val="000000"/>
        </w:rPr>
        <w:t>17. Cash balances</w:t>
      </w:r>
    </w:p>
    <w:tbl>
      <w:tblPr>
        <w:tblStyle w:val="TableGrid"/>
        <w:tblW w:w="9154" w:type="dxa"/>
        <w:tblInd w:w="358" w:type="dxa"/>
        <w:tblCellMar>
          <w:top w:w="32" w:type="dxa"/>
          <w:left w:w="43" w:type="dxa"/>
          <w:bottom w:w="17" w:type="dxa"/>
          <w:right w:w="34" w:type="dxa"/>
        </w:tblCellMar>
        <w:tblLook w:val="04A0" w:firstRow="1" w:lastRow="0" w:firstColumn="1" w:lastColumn="0" w:noHBand="0" w:noVBand="1"/>
      </w:tblPr>
      <w:tblGrid>
        <w:gridCol w:w="1853"/>
        <w:gridCol w:w="5383"/>
        <w:gridCol w:w="1918"/>
      </w:tblGrid>
      <w:tr w:rsidR="00576F87">
        <w:trPr>
          <w:trHeight w:val="290"/>
        </w:trPr>
        <w:tc>
          <w:tcPr>
            <w:tcW w:w="1853" w:type="dxa"/>
            <w:tcBorders>
              <w:top w:val="single" w:sz="15" w:space="0" w:color="35437C"/>
              <w:left w:val="single" w:sz="15"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31 March 2017</w:t>
            </w:r>
          </w:p>
        </w:tc>
        <w:tc>
          <w:tcPr>
            <w:tcW w:w="5383"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918"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31 March 2018</w:t>
            </w:r>
          </w:p>
        </w:tc>
      </w:tr>
      <w:tr w:rsidR="00576F87">
        <w:trPr>
          <w:trHeight w:val="348"/>
        </w:trPr>
        <w:tc>
          <w:tcPr>
            <w:tcW w:w="1853" w:type="dxa"/>
            <w:tcBorders>
              <w:top w:val="single" w:sz="8" w:space="0" w:color="35437C"/>
              <w:left w:val="single" w:sz="15" w:space="0" w:color="35437C"/>
              <w:bottom w:val="single" w:sz="8" w:space="0" w:color="35437C"/>
              <w:right w:val="single" w:sz="8" w:space="0" w:color="35437C"/>
            </w:tcBorders>
            <w:vAlign w:val="bottom"/>
          </w:tcPr>
          <w:p w:rsidR="00576F87" w:rsidRDefault="004165F5">
            <w:pPr>
              <w:spacing w:after="0"/>
              <w:ind w:right="2"/>
              <w:jc w:val="right"/>
            </w:pPr>
            <w:r>
              <w:rPr>
                <w:rFonts w:ascii="Verdana" w:eastAsia="Verdana" w:hAnsi="Verdana" w:cs="Verdana"/>
                <w:b/>
                <w:sz w:val="18"/>
              </w:rPr>
              <w:t>£000</w:t>
            </w:r>
          </w:p>
        </w:tc>
        <w:tc>
          <w:tcPr>
            <w:tcW w:w="5383" w:type="dxa"/>
            <w:tcBorders>
              <w:top w:val="single" w:sz="8" w:space="0" w:color="35437C"/>
              <w:left w:val="single" w:sz="8" w:space="0" w:color="35437C"/>
              <w:bottom w:val="single" w:sz="8" w:space="0" w:color="35437C"/>
              <w:right w:val="single" w:sz="8" w:space="0" w:color="35437C"/>
            </w:tcBorders>
          </w:tcPr>
          <w:p w:rsidR="00576F87" w:rsidRDefault="00576F87"/>
        </w:tc>
        <w:tc>
          <w:tcPr>
            <w:tcW w:w="1918" w:type="dxa"/>
            <w:tcBorders>
              <w:top w:val="single" w:sz="8" w:space="0" w:color="35437C"/>
              <w:left w:val="single" w:sz="8" w:space="0" w:color="35437C"/>
              <w:bottom w:val="single" w:sz="8" w:space="0" w:color="35437C"/>
              <w:right w:val="single" w:sz="15" w:space="0" w:color="35437C"/>
            </w:tcBorders>
            <w:vAlign w:val="bottom"/>
          </w:tcPr>
          <w:p w:rsidR="00576F87" w:rsidRDefault="004165F5">
            <w:pPr>
              <w:spacing w:after="0"/>
              <w:ind w:right="2"/>
              <w:jc w:val="right"/>
            </w:pPr>
            <w:r>
              <w:rPr>
                <w:rFonts w:ascii="Verdana" w:eastAsia="Verdana" w:hAnsi="Verdana" w:cs="Verdana"/>
                <w:b/>
                <w:sz w:val="18"/>
              </w:rPr>
              <w:t>£000</w:t>
            </w:r>
          </w:p>
        </w:tc>
      </w:tr>
      <w:tr w:rsidR="00576F87">
        <w:trPr>
          <w:trHeight w:val="245"/>
        </w:trPr>
        <w:tc>
          <w:tcPr>
            <w:tcW w:w="1853"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12"/>
              <w:jc w:val="right"/>
            </w:pPr>
            <w:r>
              <w:rPr>
                <w:rFonts w:ascii="Verdana" w:eastAsia="Verdana" w:hAnsi="Verdana" w:cs="Verdana"/>
                <w:sz w:val="20"/>
              </w:rPr>
              <w:t>346,765</w:t>
            </w:r>
          </w:p>
        </w:tc>
        <w:tc>
          <w:tcPr>
            <w:tcW w:w="538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Short term deposits</w:t>
            </w:r>
          </w:p>
        </w:tc>
        <w:tc>
          <w:tcPr>
            <w:tcW w:w="191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2"/>
              <w:jc w:val="right"/>
            </w:pPr>
            <w:r>
              <w:rPr>
                <w:rFonts w:ascii="Verdana" w:eastAsia="Verdana" w:hAnsi="Verdana" w:cs="Verdana"/>
                <w:sz w:val="20"/>
              </w:rPr>
              <w:t>176,792</w:t>
            </w:r>
          </w:p>
        </w:tc>
      </w:tr>
      <w:tr w:rsidR="00576F87">
        <w:trPr>
          <w:trHeight w:val="290"/>
        </w:trPr>
        <w:tc>
          <w:tcPr>
            <w:tcW w:w="1853"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3,254</w:t>
            </w:r>
          </w:p>
        </w:tc>
        <w:tc>
          <w:tcPr>
            <w:tcW w:w="538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Pooled deposits placed by investment managers</w:t>
            </w:r>
          </w:p>
        </w:tc>
        <w:tc>
          <w:tcPr>
            <w:tcW w:w="191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0"/>
              <w:jc w:val="right"/>
            </w:pPr>
            <w:r>
              <w:rPr>
                <w:rFonts w:ascii="Verdana" w:eastAsia="Verdana" w:hAnsi="Verdana" w:cs="Verdana"/>
                <w:sz w:val="20"/>
              </w:rPr>
              <w:t>58,849</w:t>
            </w:r>
          </w:p>
        </w:tc>
      </w:tr>
      <w:tr w:rsidR="00576F87">
        <w:trPr>
          <w:trHeight w:val="290"/>
        </w:trPr>
        <w:tc>
          <w:tcPr>
            <w:tcW w:w="1853"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350,019</w:t>
            </w:r>
          </w:p>
        </w:tc>
        <w:tc>
          <w:tcPr>
            <w:tcW w:w="5383"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1918"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235,641</w:t>
            </w:r>
          </w:p>
        </w:tc>
      </w:tr>
      <w:tr w:rsidR="00576F87">
        <w:trPr>
          <w:trHeight w:val="828"/>
        </w:trPr>
        <w:tc>
          <w:tcPr>
            <w:tcW w:w="7236" w:type="dxa"/>
            <w:gridSpan w:val="2"/>
            <w:tcBorders>
              <w:top w:val="single" w:sz="15" w:space="0" w:color="35437C"/>
              <w:left w:val="nil"/>
              <w:bottom w:val="single" w:sz="15" w:space="0" w:color="35437C"/>
              <w:right w:val="nil"/>
            </w:tcBorders>
            <w:shd w:val="clear" w:color="auto" w:fill="FFFFFF"/>
            <w:vAlign w:val="center"/>
          </w:tcPr>
          <w:p w:rsidR="00576F87" w:rsidRDefault="004165F5">
            <w:pPr>
              <w:spacing w:after="0"/>
              <w:ind w:left="2"/>
            </w:pPr>
            <w:r>
              <w:rPr>
                <w:rFonts w:ascii="Verdana" w:eastAsia="Verdana" w:hAnsi="Verdana" w:cs="Verdana"/>
                <w:b/>
                <w:sz w:val="20"/>
              </w:rPr>
              <w:t>18. AVC Investments</w:t>
            </w:r>
          </w:p>
        </w:tc>
        <w:tc>
          <w:tcPr>
            <w:tcW w:w="1918" w:type="dxa"/>
            <w:tcBorders>
              <w:top w:val="single" w:sz="15" w:space="0" w:color="35437C"/>
              <w:left w:val="nil"/>
              <w:bottom w:val="single" w:sz="15" w:space="0" w:color="35437C"/>
              <w:right w:val="nil"/>
            </w:tcBorders>
            <w:shd w:val="clear" w:color="auto" w:fill="FFFFFF"/>
          </w:tcPr>
          <w:p w:rsidR="00576F87" w:rsidRDefault="00576F87"/>
        </w:tc>
      </w:tr>
      <w:tr w:rsidR="00576F87">
        <w:trPr>
          <w:trHeight w:val="290"/>
        </w:trPr>
        <w:tc>
          <w:tcPr>
            <w:tcW w:w="1853" w:type="dxa"/>
            <w:tcBorders>
              <w:top w:val="single" w:sz="15" w:space="0" w:color="35437C"/>
              <w:left w:val="single" w:sz="15"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31 March 2017</w:t>
            </w:r>
          </w:p>
        </w:tc>
        <w:tc>
          <w:tcPr>
            <w:tcW w:w="5383"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918"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31 March 2018</w:t>
            </w:r>
          </w:p>
        </w:tc>
      </w:tr>
      <w:tr w:rsidR="00576F87">
        <w:trPr>
          <w:trHeight w:val="245"/>
        </w:trPr>
        <w:tc>
          <w:tcPr>
            <w:tcW w:w="1853"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b/>
                <w:sz w:val="18"/>
              </w:rPr>
              <w:t>£000</w:t>
            </w:r>
          </w:p>
        </w:tc>
        <w:tc>
          <w:tcPr>
            <w:tcW w:w="5383" w:type="dxa"/>
            <w:tcBorders>
              <w:top w:val="single" w:sz="8" w:space="0" w:color="35437C"/>
              <w:left w:val="single" w:sz="8" w:space="0" w:color="35437C"/>
              <w:bottom w:val="single" w:sz="8" w:space="0" w:color="35437C"/>
              <w:right w:val="single" w:sz="8" w:space="0" w:color="35437C"/>
            </w:tcBorders>
          </w:tcPr>
          <w:p w:rsidR="00576F87" w:rsidRDefault="00576F87"/>
        </w:tc>
        <w:tc>
          <w:tcPr>
            <w:tcW w:w="191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2"/>
              <w:jc w:val="right"/>
            </w:pPr>
            <w:r>
              <w:rPr>
                <w:rFonts w:ascii="Verdana" w:eastAsia="Verdana" w:hAnsi="Verdana" w:cs="Verdana"/>
                <w:b/>
                <w:sz w:val="18"/>
              </w:rPr>
              <w:t>£000</w:t>
            </w:r>
          </w:p>
        </w:tc>
      </w:tr>
      <w:tr w:rsidR="00576F87">
        <w:trPr>
          <w:trHeight w:val="262"/>
        </w:trPr>
        <w:tc>
          <w:tcPr>
            <w:tcW w:w="1853" w:type="dxa"/>
            <w:tcBorders>
              <w:top w:val="single" w:sz="8" w:space="0" w:color="35437C"/>
              <w:left w:val="single" w:sz="15" w:space="0" w:color="35437C"/>
              <w:bottom w:val="single" w:sz="15" w:space="0" w:color="35437C"/>
              <w:right w:val="single" w:sz="8" w:space="0" w:color="35437C"/>
            </w:tcBorders>
          </w:tcPr>
          <w:p w:rsidR="00576F87" w:rsidRDefault="004165F5">
            <w:pPr>
              <w:spacing w:after="0"/>
              <w:ind w:right="12"/>
              <w:jc w:val="right"/>
            </w:pPr>
            <w:r>
              <w:rPr>
                <w:rFonts w:ascii="Verdana" w:eastAsia="Verdana" w:hAnsi="Verdana" w:cs="Verdana"/>
                <w:sz w:val="20"/>
              </w:rPr>
              <w:t>12,960</w:t>
            </w:r>
          </w:p>
        </w:tc>
        <w:tc>
          <w:tcPr>
            <w:tcW w:w="5383" w:type="dxa"/>
            <w:tcBorders>
              <w:top w:val="single" w:sz="8" w:space="0" w:color="35437C"/>
              <w:left w:val="single" w:sz="8" w:space="0" w:color="35437C"/>
              <w:bottom w:val="single" w:sz="15" w:space="0" w:color="35437C"/>
              <w:right w:val="single" w:sz="8" w:space="0" w:color="35437C"/>
            </w:tcBorders>
          </w:tcPr>
          <w:p w:rsidR="00576F87" w:rsidRDefault="004165F5">
            <w:pPr>
              <w:spacing w:after="0"/>
            </w:pPr>
            <w:r>
              <w:rPr>
                <w:rFonts w:ascii="Verdana" w:eastAsia="Verdana" w:hAnsi="Verdana" w:cs="Verdana"/>
                <w:sz w:val="20"/>
              </w:rPr>
              <w:t>Prudential</w:t>
            </w:r>
          </w:p>
        </w:tc>
        <w:tc>
          <w:tcPr>
            <w:tcW w:w="1918" w:type="dxa"/>
            <w:tcBorders>
              <w:top w:val="single" w:sz="8" w:space="0" w:color="35437C"/>
              <w:left w:val="single" w:sz="8" w:space="0" w:color="35437C"/>
              <w:bottom w:val="single" w:sz="15" w:space="0" w:color="35437C"/>
              <w:right w:val="single" w:sz="15" w:space="0" w:color="35437C"/>
            </w:tcBorders>
          </w:tcPr>
          <w:p w:rsidR="00576F87" w:rsidRDefault="004165F5">
            <w:pPr>
              <w:spacing w:after="0"/>
              <w:ind w:right="12"/>
              <w:jc w:val="right"/>
            </w:pPr>
            <w:r>
              <w:rPr>
                <w:rFonts w:ascii="Verdana" w:eastAsia="Verdana" w:hAnsi="Verdana" w:cs="Verdana"/>
                <w:sz w:val="20"/>
              </w:rPr>
              <w:t>12,464</w:t>
            </w:r>
          </w:p>
        </w:tc>
      </w:tr>
    </w:tbl>
    <w:p w:rsidR="00576F87" w:rsidRDefault="004165F5">
      <w:pPr>
        <w:spacing w:after="265" w:line="268" w:lineRule="auto"/>
        <w:ind w:left="399" w:hanging="3"/>
        <w:jc w:val="both"/>
      </w:pPr>
      <w:r>
        <w:rPr>
          <w:rFonts w:ascii="Verdana" w:eastAsia="Verdana" w:hAnsi="Verdana" w:cs="Verdana"/>
          <w:sz w:val="18"/>
        </w:rPr>
        <w:t>AVC contributions of £1.73m (2017 - £1.87m) were paid directly to Prudential in the year.</w:t>
      </w:r>
    </w:p>
    <w:p w:rsidR="00576F87" w:rsidRDefault="004165F5">
      <w:pPr>
        <w:pStyle w:val="Heading3"/>
        <w:spacing w:after="22"/>
        <w:ind w:left="411" w:hanging="8"/>
      </w:pPr>
      <w:r>
        <w:rPr>
          <w:color w:val="000000"/>
        </w:rPr>
        <w:t>19. Current assets</w:t>
      </w:r>
    </w:p>
    <w:tbl>
      <w:tblPr>
        <w:tblStyle w:val="TableGrid"/>
        <w:tblW w:w="9154" w:type="dxa"/>
        <w:tblInd w:w="358" w:type="dxa"/>
        <w:tblCellMar>
          <w:top w:w="34" w:type="dxa"/>
          <w:left w:w="43" w:type="dxa"/>
          <w:bottom w:w="0" w:type="dxa"/>
          <w:right w:w="34" w:type="dxa"/>
        </w:tblCellMar>
        <w:tblLook w:val="04A0" w:firstRow="1" w:lastRow="0" w:firstColumn="1" w:lastColumn="0" w:noHBand="0" w:noVBand="1"/>
      </w:tblPr>
      <w:tblGrid>
        <w:gridCol w:w="1853"/>
        <w:gridCol w:w="5383"/>
        <w:gridCol w:w="1918"/>
      </w:tblGrid>
      <w:tr w:rsidR="00576F87">
        <w:trPr>
          <w:trHeight w:val="290"/>
        </w:trPr>
        <w:tc>
          <w:tcPr>
            <w:tcW w:w="1853" w:type="dxa"/>
            <w:tcBorders>
              <w:top w:val="single" w:sz="15" w:space="0" w:color="35437C"/>
              <w:left w:val="single" w:sz="15"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31 March 2017</w:t>
            </w:r>
          </w:p>
        </w:tc>
        <w:tc>
          <w:tcPr>
            <w:tcW w:w="5383"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918"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31 March 2018</w:t>
            </w:r>
          </w:p>
        </w:tc>
      </w:tr>
      <w:tr w:rsidR="00576F87">
        <w:trPr>
          <w:trHeight w:val="245"/>
        </w:trPr>
        <w:tc>
          <w:tcPr>
            <w:tcW w:w="1853"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b/>
                <w:sz w:val="18"/>
              </w:rPr>
              <w:t>£000</w:t>
            </w:r>
          </w:p>
        </w:tc>
        <w:tc>
          <w:tcPr>
            <w:tcW w:w="5383" w:type="dxa"/>
            <w:tcBorders>
              <w:top w:val="single" w:sz="8" w:space="0" w:color="35437C"/>
              <w:left w:val="single" w:sz="8" w:space="0" w:color="35437C"/>
              <w:bottom w:val="single" w:sz="8" w:space="0" w:color="35437C"/>
              <w:right w:val="single" w:sz="8" w:space="0" w:color="35437C"/>
            </w:tcBorders>
          </w:tcPr>
          <w:p w:rsidR="00576F87" w:rsidRDefault="00576F87"/>
        </w:tc>
        <w:tc>
          <w:tcPr>
            <w:tcW w:w="191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2"/>
              <w:jc w:val="right"/>
            </w:pPr>
            <w:r>
              <w:rPr>
                <w:rFonts w:ascii="Verdana" w:eastAsia="Verdana" w:hAnsi="Verdana" w:cs="Verdana"/>
                <w:b/>
                <w:sz w:val="18"/>
              </w:rPr>
              <w:t>£000</w:t>
            </w:r>
          </w:p>
        </w:tc>
      </w:tr>
      <w:tr w:rsidR="00576F87">
        <w:trPr>
          <w:trHeight w:val="245"/>
        </w:trPr>
        <w:tc>
          <w:tcPr>
            <w:tcW w:w="1853"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1,786</w:t>
            </w:r>
          </w:p>
        </w:tc>
        <w:tc>
          <w:tcPr>
            <w:tcW w:w="538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Contributions due - employees</w:t>
            </w:r>
          </w:p>
        </w:tc>
        <w:tc>
          <w:tcPr>
            <w:tcW w:w="191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1"/>
              <w:jc w:val="right"/>
            </w:pPr>
            <w:r>
              <w:rPr>
                <w:rFonts w:ascii="Verdana" w:eastAsia="Verdana" w:hAnsi="Verdana" w:cs="Verdana"/>
                <w:sz w:val="20"/>
              </w:rPr>
              <w:t>3,438</w:t>
            </w:r>
          </w:p>
        </w:tc>
      </w:tr>
      <w:tr w:rsidR="00576F87">
        <w:trPr>
          <w:trHeight w:val="245"/>
        </w:trPr>
        <w:tc>
          <w:tcPr>
            <w:tcW w:w="1853"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7,224</w:t>
            </w:r>
          </w:p>
        </w:tc>
        <w:tc>
          <w:tcPr>
            <w:tcW w:w="538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Contributions due - employers</w:t>
            </w:r>
          </w:p>
        </w:tc>
        <w:tc>
          <w:tcPr>
            <w:tcW w:w="191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1"/>
              <w:jc w:val="right"/>
            </w:pPr>
            <w:r>
              <w:rPr>
                <w:rFonts w:ascii="Verdana" w:eastAsia="Verdana" w:hAnsi="Verdana" w:cs="Verdana"/>
                <w:sz w:val="20"/>
              </w:rPr>
              <w:t>4,545</w:t>
            </w:r>
          </w:p>
        </w:tc>
      </w:tr>
      <w:tr w:rsidR="00576F87">
        <w:trPr>
          <w:trHeight w:val="245"/>
        </w:trPr>
        <w:tc>
          <w:tcPr>
            <w:tcW w:w="1853"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0"/>
              <w:jc w:val="right"/>
            </w:pPr>
            <w:r>
              <w:rPr>
                <w:rFonts w:ascii="Verdana" w:eastAsia="Verdana" w:hAnsi="Verdana" w:cs="Verdana"/>
                <w:sz w:val="20"/>
              </w:rPr>
              <w:t>-</w:t>
            </w:r>
          </w:p>
        </w:tc>
        <w:tc>
          <w:tcPr>
            <w:tcW w:w="5383"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Transfer value receivable</w:t>
            </w:r>
          </w:p>
        </w:tc>
        <w:tc>
          <w:tcPr>
            <w:tcW w:w="191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2"/>
              <w:jc w:val="right"/>
            </w:pPr>
            <w:r>
              <w:rPr>
                <w:rFonts w:ascii="Verdana" w:eastAsia="Verdana" w:hAnsi="Verdana" w:cs="Verdana"/>
                <w:sz w:val="20"/>
              </w:rPr>
              <w:t>106,842</w:t>
            </w:r>
          </w:p>
        </w:tc>
      </w:tr>
      <w:tr w:rsidR="00576F87">
        <w:trPr>
          <w:trHeight w:val="245"/>
        </w:trPr>
        <w:tc>
          <w:tcPr>
            <w:tcW w:w="1853"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3,531</w:t>
            </w:r>
          </w:p>
        </w:tc>
        <w:tc>
          <w:tcPr>
            <w:tcW w:w="538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20"/>
              </w:rPr>
              <w:t>Sundry debtors and prepayments</w:t>
            </w:r>
          </w:p>
        </w:tc>
        <w:tc>
          <w:tcPr>
            <w:tcW w:w="191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1"/>
              <w:jc w:val="right"/>
            </w:pPr>
            <w:r>
              <w:rPr>
                <w:rFonts w:ascii="Verdana" w:eastAsia="Verdana" w:hAnsi="Verdana" w:cs="Verdana"/>
                <w:sz w:val="20"/>
              </w:rPr>
              <w:t>1,134</w:t>
            </w:r>
          </w:p>
        </w:tc>
      </w:tr>
      <w:tr w:rsidR="00576F87">
        <w:trPr>
          <w:trHeight w:val="290"/>
        </w:trPr>
        <w:tc>
          <w:tcPr>
            <w:tcW w:w="1853"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4165F5">
            <w:pPr>
              <w:spacing w:after="0"/>
              <w:ind w:right="1"/>
              <w:jc w:val="right"/>
            </w:pPr>
            <w:r>
              <w:rPr>
                <w:rFonts w:ascii="Verdana" w:eastAsia="Verdana" w:hAnsi="Verdana" w:cs="Verdana"/>
                <w:b/>
                <w:color w:val="FFFFFF"/>
                <w:sz w:val="18"/>
              </w:rPr>
              <w:t>12,541</w:t>
            </w:r>
          </w:p>
        </w:tc>
        <w:tc>
          <w:tcPr>
            <w:tcW w:w="5383"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1918"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115,959</w:t>
            </w:r>
          </w:p>
        </w:tc>
      </w:tr>
    </w:tbl>
    <w:p w:rsidR="00576F87" w:rsidRDefault="004165F5">
      <w:pPr>
        <w:spacing w:after="46"/>
        <w:ind w:left="411" w:hanging="10"/>
      </w:pPr>
      <w:r>
        <w:rPr>
          <w:rFonts w:ascii="Verdana" w:eastAsia="Verdana" w:hAnsi="Verdana" w:cs="Verdana"/>
          <w:b/>
          <w:sz w:val="18"/>
        </w:rPr>
        <w:t>19.b Analysis of debtors</w:t>
      </w:r>
    </w:p>
    <w:tbl>
      <w:tblPr>
        <w:tblStyle w:val="TableGrid"/>
        <w:tblW w:w="9154" w:type="dxa"/>
        <w:tblInd w:w="358" w:type="dxa"/>
        <w:tblCellMar>
          <w:top w:w="34" w:type="dxa"/>
          <w:left w:w="38" w:type="dxa"/>
          <w:bottom w:w="0" w:type="dxa"/>
          <w:right w:w="34" w:type="dxa"/>
        </w:tblCellMar>
        <w:tblLook w:val="04A0" w:firstRow="1" w:lastRow="0" w:firstColumn="1" w:lastColumn="0" w:noHBand="0" w:noVBand="1"/>
      </w:tblPr>
      <w:tblGrid>
        <w:gridCol w:w="1853"/>
        <w:gridCol w:w="5383"/>
        <w:gridCol w:w="1918"/>
      </w:tblGrid>
      <w:tr w:rsidR="00576F87">
        <w:trPr>
          <w:trHeight w:val="290"/>
        </w:trPr>
        <w:tc>
          <w:tcPr>
            <w:tcW w:w="7236" w:type="dxa"/>
            <w:gridSpan w:val="2"/>
            <w:tcBorders>
              <w:top w:val="single" w:sz="15" w:space="0" w:color="35437C"/>
              <w:left w:val="single" w:sz="15" w:space="0" w:color="35437C"/>
              <w:bottom w:val="single" w:sz="15" w:space="0" w:color="35437C"/>
              <w:right w:val="single" w:sz="15" w:space="0" w:color="35437C"/>
            </w:tcBorders>
            <w:shd w:val="clear" w:color="auto" w:fill="35437C"/>
          </w:tcPr>
          <w:p w:rsidR="00576F87" w:rsidRDefault="004165F5">
            <w:pPr>
              <w:spacing w:after="0"/>
              <w:ind w:left="276"/>
            </w:pPr>
            <w:r>
              <w:rPr>
                <w:rFonts w:ascii="Verdana" w:eastAsia="Verdana" w:hAnsi="Verdana" w:cs="Verdana"/>
                <w:b/>
                <w:color w:val="FFFFFF"/>
                <w:sz w:val="18"/>
              </w:rPr>
              <w:t>31 March 2017</w:t>
            </w:r>
          </w:p>
        </w:tc>
        <w:tc>
          <w:tcPr>
            <w:tcW w:w="1918" w:type="dxa"/>
            <w:tcBorders>
              <w:top w:val="single" w:sz="15" w:space="0" w:color="35437C"/>
              <w:left w:val="single" w:sz="15" w:space="0" w:color="35437C"/>
              <w:bottom w:val="single" w:sz="15"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31 March 2018</w:t>
            </w:r>
          </w:p>
        </w:tc>
      </w:tr>
      <w:tr w:rsidR="00576F87">
        <w:trPr>
          <w:trHeight w:val="245"/>
        </w:trPr>
        <w:tc>
          <w:tcPr>
            <w:tcW w:w="1853" w:type="dxa"/>
            <w:tcBorders>
              <w:top w:val="single" w:sz="15"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0"/>
              <w:jc w:val="right"/>
            </w:pPr>
            <w:r>
              <w:rPr>
                <w:rFonts w:ascii="Verdana" w:eastAsia="Verdana" w:hAnsi="Verdana" w:cs="Verdana"/>
                <w:sz w:val="20"/>
              </w:rPr>
              <w:t>-</w:t>
            </w:r>
          </w:p>
        </w:tc>
        <w:tc>
          <w:tcPr>
            <w:tcW w:w="5383" w:type="dxa"/>
            <w:tcBorders>
              <w:top w:val="single" w:sz="15"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Central Government bodies</w:t>
            </w:r>
          </w:p>
        </w:tc>
        <w:tc>
          <w:tcPr>
            <w:tcW w:w="1918" w:type="dxa"/>
            <w:tcBorders>
              <w:top w:val="single" w:sz="15"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1"/>
              <w:jc w:val="right"/>
            </w:pPr>
            <w:r>
              <w:rPr>
                <w:rFonts w:ascii="Verdana" w:eastAsia="Verdana" w:hAnsi="Verdana" w:cs="Verdana"/>
                <w:sz w:val="20"/>
              </w:rPr>
              <w:t>1,040</w:t>
            </w:r>
          </w:p>
        </w:tc>
      </w:tr>
      <w:tr w:rsidR="00576F87">
        <w:trPr>
          <w:trHeight w:val="245"/>
        </w:trPr>
        <w:tc>
          <w:tcPr>
            <w:tcW w:w="1853"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2"/>
              <w:jc w:val="right"/>
            </w:pPr>
            <w:r>
              <w:rPr>
                <w:rFonts w:ascii="Verdana" w:eastAsia="Verdana" w:hAnsi="Verdana" w:cs="Verdana"/>
                <w:sz w:val="18"/>
              </w:rPr>
              <w:t>7,586</w:t>
            </w:r>
          </w:p>
        </w:tc>
        <w:tc>
          <w:tcPr>
            <w:tcW w:w="5383"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Other Local authorities</w:t>
            </w:r>
          </w:p>
        </w:tc>
        <w:tc>
          <w:tcPr>
            <w:tcW w:w="191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
              <w:jc w:val="right"/>
            </w:pPr>
            <w:r>
              <w:rPr>
                <w:rFonts w:ascii="Verdana" w:eastAsia="Verdana" w:hAnsi="Verdana" w:cs="Verdana"/>
                <w:sz w:val="18"/>
              </w:rPr>
              <w:t>113,981</w:t>
            </w:r>
          </w:p>
        </w:tc>
      </w:tr>
      <w:tr w:rsidR="00576F87">
        <w:trPr>
          <w:trHeight w:val="245"/>
        </w:trPr>
        <w:tc>
          <w:tcPr>
            <w:tcW w:w="1853"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2"/>
              <w:jc w:val="right"/>
            </w:pPr>
            <w:r>
              <w:rPr>
                <w:rFonts w:ascii="Verdana" w:eastAsia="Verdana" w:hAnsi="Verdana" w:cs="Verdana"/>
                <w:sz w:val="18"/>
              </w:rPr>
              <w:t>4,955</w:t>
            </w:r>
          </w:p>
        </w:tc>
        <w:tc>
          <w:tcPr>
            <w:tcW w:w="5383"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Other entities and individuals</w:t>
            </w:r>
          </w:p>
        </w:tc>
        <w:tc>
          <w:tcPr>
            <w:tcW w:w="191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2"/>
              <w:jc w:val="right"/>
            </w:pPr>
            <w:r>
              <w:rPr>
                <w:rFonts w:ascii="Verdana" w:eastAsia="Verdana" w:hAnsi="Verdana" w:cs="Verdana"/>
                <w:sz w:val="18"/>
              </w:rPr>
              <w:t>938</w:t>
            </w:r>
          </w:p>
        </w:tc>
      </w:tr>
      <w:tr w:rsidR="00576F87">
        <w:trPr>
          <w:trHeight w:val="290"/>
        </w:trPr>
        <w:tc>
          <w:tcPr>
            <w:tcW w:w="1853"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1"/>
              <w:jc w:val="right"/>
            </w:pPr>
            <w:r>
              <w:rPr>
                <w:rFonts w:ascii="Verdana" w:eastAsia="Verdana" w:hAnsi="Verdana" w:cs="Verdana"/>
                <w:b/>
                <w:color w:val="FFFFFF"/>
                <w:sz w:val="18"/>
              </w:rPr>
              <w:t>12,541</w:t>
            </w:r>
          </w:p>
        </w:tc>
        <w:tc>
          <w:tcPr>
            <w:tcW w:w="5383"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576F87"/>
        </w:tc>
        <w:tc>
          <w:tcPr>
            <w:tcW w:w="1918"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115,959</w:t>
            </w:r>
          </w:p>
        </w:tc>
      </w:tr>
      <w:tr w:rsidR="00576F87">
        <w:trPr>
          <w:trHeight w:val="782"/>
        </w:trPr>
        <w:tc>
          <w:tcPr>
            <w:tcW w:w="7236" w:type="dxa"/>
            <w:gridSpan w:val="2"/>
            <w:tcBorders>
              <w:top w:val="single" w:sz="15" w:space="0" w:color="35437C"/>
              <w:left w:val="nil"/>
              <w:bottom w:val="single" w:sz="15" w:space="0" w:color="35437C"/>
              <w:right w:val="nil"/>
            </w:tcBorders>
            <w:shd w:val="clear" w:color="auto" w:fill="FFFFFF"/>
            <w:vAlign w:val="center"/>
          </w:tcPr>
          <w:p w:rsidR="00576F87" w:rsidRDefault="004165F5">
            <w:pPr>
              <w:spacing w:after="0"/>
              <w:ind w:left="7"/>
            </w:pPr>
            <w:r>
              <w:rPr>
                <w:rFonts w:ascii="Verdana" w:eastAsia="Verdana" w:hAnsi="Verdana" w:cs="Verdana"/>
                <w:b/>
                <w:sz w:val="20"/>
              </w:rPr>
              <w:t>20. Current Liabilities</w:t>
            </w:r>
          </w:p>
        </w:tc>
        <w:tc>
          <w:tcPr>
            <w:tcW w:w="1918" w:type="dxa"/>
            <w:tcBorders>
              <w:top w:val="single" w:sz="15" w:space="0" w:color="35437C"/>
              <w:left w:val="nil"/>
              <w:bottom w:val="single" w:sz="15" w:space="0" w:color="35437C"/>
              <w:right w:val="nil"/>
            </w:tcBorders>
            <w:shd w:val="clear" w:color="auto" w:fill="FFFFFF"/>
          </w:tcPr>
          <w:p w:rsidR="00576F87" w:rsidRDefault="00576F87"/>
        </w:tc>
      </w:tr>
      <w:tr w:rsidR="00576F87">
        <w:trPr>
          <w:trHeight w:val="290"/>
        </w:trPr>
        <w:tc>
          <w:tcPr>
            <w:tcW w:w="1853" w:type="dxa"/>
            <w:tcBorders>
              <w:top w:val="single" w:sz="15" w:space="0" w:color="35437C"/>
              <w:left w:val="single" w:sz="15"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31 March 2017</w:t>
            </w:r>
          </w:p>
        </w:tc>
        <w:tc>
          <w:tcPr>
            <w:tcW w:w="5383"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918"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31 March 2018</w:t>
            </w:r>
          </w:p>
        </w:tc>
      </w:tr>
      <w:tr w:rsidR="00576F87">
        <w:trPr>
          <w:trHeight w:val="245"/>
        </w:trPr>
        <w:tc>
          <w:tcPr>
            <w:tcW w:w="1853"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b/>
                <w:sz w:val="18"/>
              </w:rPr>
              <w:t>£000</w:t>
            </w:r>
          </w:p>
        </w:tc>
        <w:tc>
          <w:tcPr>
            <w:tcW w:w="5383" w:type="dxa"/>
            <w:tcBorders>
              <w:top w:val="single" w:sz="8" w:space="0" w:color="35437C"/>
              <w:left w:val="single" w:sz="8" w:space="0" w:color="35437C"/>
              <w:bottom w:val="single" w:sz="8" w:space="0" w:color="35437C"/>
              <w:right w:val="single" w:sz="8" w:space="0" w:color="35437C"/>
            </w:tcBorders>
          </w:tcPr>
          <w:p w:rsidR="00576F87" w:rsidRDefault="00576F87"/>
        </w:tc>
        <w:tc>
          <w:tcPr>
            <w:tcW w:w="191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2"/>
              <w:jc w:val="right"/>
            </w:pPr>
            <w:r>
              <w:rPr>
                <w:rFonts w:ascii="Verdana" w:eastAsia="Verdana" w:hAnsi="Verdana" w:cs="Verdana"/>
                <w:b/>
                <w:sz w:val="18"/>
              </w:rPr>
              <w:t>£000</w:t>
            </w:r>
          </w:p>
        </w:tc>
      </w:tr>
      <w:tr w:rsidR="00576F87">
        <w:trPr>
          <w:trHeight w:val="245"/>
        </w:trPr>
        <w:tc>
          <w:tcPr>
            <w:tcW w:w="1853"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11"/>
              <w:jc w:val="right"/>
            </w:pPr>
            <w:r>
              <w:rPr>
                <w:rFonts w:ascii="Verdana" w:eastAsia="Verdana" w:hAnsi="Verdana" w:cs="Verdana"/>
                <w:sz w:val="20"/>
              </w:rPr>
              <w:t>9,688</w:t>
            </w:r>
          </w:p>
        </w:tc>
        <w:tc>
          <w:tcPr>
            <w:tcW w:w="5383"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sz w:val="20"/>
              </w:rPr>
              <w:t>Sundry Creditors</w:t>
            </w:r>
          </w:p>
        </w:tc>
        <w:tc>
          <w:tcPr>
            <w:tcW w:w="191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2"/>
              <w:jc w:val="right"/>
            </w:pPr>
            <w:r>
              <w:rPr>
                <w:rFonts w:ascii="Verdana" w:eastAsia="Verdana" w:hAnsi="Verdana" w:cs="Verdana"/>
                <w:sz w:val="20"/>
              </w:rPr>
              <w:t>13,474</w:t>
            </w:r>
          </w:p>
        </w:tc>
      </w:tr>
      <w:tr w:rsidR="00576F87">
        <w:trPr>
          <w:trHeight w:val="245"/>
        </w:trPr>
        <w:tc>
          <w:tcPr>
            <w:tcW w:w="1853"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10"/>
              <w:jc w:val="right"/>
            </w:pPr>
            <w:r>
              <w:rPr>
                <w:rFonts w:ascii="Verdana" w:eastAsia="Verdana" w:hAnsi="Verdana" w:cs="Verdana"/>
                <w:sz w:val="20"/>
              </w:rPr>
              <w:t>81</w:t>
            </w:r>
          </w:p>
        </w:tc>
        <w:tc>
          <w:tcPr>
            <w:tcW w:w="5383"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sz w:val="20"/>
              </w:rPr>
              <w:t>Benefits payable</w:t>
            </w:r>
          </w:p>
        </w:tc>
        <w:tc>
          <w:tcPr>
            <w:tcW w:w="191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0"/>
              <w:jc w:val="right"/>
            </w:pPr>
            <w:r>
              <w:rPr>
                <w:rFonts w:ascii="Verdana" w:eastAsia="Verdana" w:hAnsi="Verdana" w:cs="Verdana"/>
                <w:sz w:val="20"/>
              </w:rPr>
              <w:t>21</w:t>
            </w:r>
          </w:p>
        </w:tc>
      </w:tr>
      <w:tr w:rsidR="00576F87">
        <w:trPr>
          <w:trHeight w:val="290"/>
        </w:trPr>
        <w:tc>
          <w:tcPr>
            <w:tcW w:w="1853"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4165F5">
            <w:pPr>
              <w:spacing w:after="0"/>
              <w:ind w:right="2"/>
              <w:jc w:val="right"/>
            </w:pPr>
            <w:r>
              <w:rPr>
                <w:rFonts w:ascii="Verdana" w:eastAsia="Verdana" w:hAnsi="Verdana" w:cs="Verdana"/>
                <w:b/>
                <w:color w:val="FFFFFF"/>
                <w:sz w:val="18"/>
              </w:rPr>
              <w:t>9,769</w:t>
            </w:r>
          </w:p>
        </w:tc>
        <w:tc>
          <w:tcPr>
            <w:tcW w:w="5383"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1918"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1"/>
              <w:jc w:val="right"/>
            </w:pPr>
            <w:r>
              <w:rPr>
                <w:rFonts w:ascii="Verdana" w:eastAsia="Verdana" w:hAnsi="Verdana" w:cs="Verdana"/>
                <w:b/>
                <w:color w:val="FFFFFF"/>
                <w:sz w:val="18"/>
              </w:rPr>
              <w:t>13,495</w:t>
            </w:r>
          </w:p>
        </w:tc>
      </w:tr>
      <w:tr w:rsidR="00576F87">
        <w:trPr>
          <w:trHeight w:val="218"/>
        </w:trPr>
        <w:tc>
          <w:tcPr>
            <w:tcW w:w="1853" w:type="dxa"/>
            <w:tcBorders>
              <w:top w:val="single" w:sz="15" w:space="0" w:color="35437C"/>
              <w:left w:val="nil"/>
              <w:bottom w:val="nil"/>
              <w:right w:val="nil"/>
            </w:tcBorders>
            <w:shd w:val="clear" w:color="auto" w:fill="FFFFFF"/>
          </w:tcPr>
          <w:p w:rsidR="00576F87" w:rsidRDefault="00576F87"/>
        </w:tc>
        <w:tc>
          <w:tcPr>
            <w:tcW w:w="7301" w:type="dxa"/>
            <w:gridSpan w:val="2"/>
            <w:tcBorders>
              <w:top w:val="single" w:sz="15" w:space="0" w:color="35437C"/>
              <w:left w:val="nil"/>
              <w:bottom w:val="nil"/>
              <w:right w:val="nil"/>
            </w:tcBorders>
            <w:shd w:val="clear" w:color="auto" w:fill="FFFFFF"/>
          </w:tcPr>
          <w:p w:rsidR="00576F87" w:rsidRDefault="00576F87"/>
        </w:tc>
      </w:tr>
    </w:tbl>
    <w:p w:rsidR="00576F87" w:rsidRDefault="004165F5">
      <w:pPr>
        <w:spacing w:after="241" w:line="264" w:lineRule="auto"/>
        <w:ind w:left="411" w:right="12" w:hanging="10"/>
        <w:jc w:val="both"/>
      </w:pPr>
      <w:r>
        <w:rPr>
          <w:rFonts w:ascii="Verdana" w:eastAsia="Verdana" w:hAnsi="Verdana" w:cs="Verdana"/>
          <w:sz w:val="20"/>
        </w:rPr>
        <w:t>The significant majority of creditors are with other entities and individuals, investment management and performance fees being the vast majority of this.</w:t>
      </w:r>
    </w:p>
    <w:p w:rsidR="00576F87" w:rsidRDefault="004165F5">
      <w:pPr>
        <w:spacing w:after="46"/>
        <w:ind w:left="411" w:hanging="10"/>
      </w:pPr>
      <w:r>
        <w:rPr>
          <w:rFonts w:ascii="Verdana" w:eastAsia="Verdana" w:hAnsi="Verdana" w:cs="Verdana"/>
          <w:b/>
          <w:sz w:val="18"/>
        </w:rPr>
        <w:t>20.b Analysis of current liabilities</w:t>
      </w:r>
    </w:p>
    <w:tbl>
      <w:tblPr>
        <w:tblStyle w:val="TableGrid"/>
        <w:tblW w:w="9154" w:type="dxa"/>
        <w:tblInd w:w="358" w:type="dxa"/>
        <w:tblCellMar>
          <w:top w:w="18" w:type="dxa"/>
          <w:left w:w="39" w:type="dxa"/>
          <w:bottom w:w="0" w:type="dxa"/>
          <w:right w:w="34" w:type="dxa"/>
        </w:tblCellMar>
        <w:tblLook w:val="04A0" w:firstRow="1" w:lastRow="0" w:firstColumn="1" w:lastColumn="0" w:noHBand="0" w:noVBand="1"/>
      </w:tblPr>
      <w:tblGrid>
        <w:gridCol w:w="1853"/>
        <w:gridCol w:w="5383"/>
        <w:gridCol w:w="1918"/>
      </w:tblGrid>
      <w:tr w:rsidR="00576F87">
        <w:trPr>
          <w:trHeight w:val="305"/>
        </w:trPr>
        <w:tc>
          <w:tcPr>
            <w:tcW w:w="7236" w:type="dxa"/>
            <w:gridSpan w:val="2"/>
            <w:tcBorders>
              <w:top w:val="single" w:sz="15" w:space="0" w:color="35437C"/>
              <w:left w:val="single" w:sz="15" w:space="0" w:color="35437C"/>
              <w:bottom w:val="single" w:sz="8" w:space="0" w:color="35437C"/>
              <w:right w:val="single" w:sz="15" w:space="0" w:color="35437C"/>
            </w:tcBorders>
            <w:shd w:val="clear" w:color="auto" w:fill="35437C"/>
          </w:tcPr>
          <w:p w:rsidR="00576F87" w:rsidRDefault="004165F5">
            <w:pPr>
              <w:spacing w:after="0"/>
              <w:ind w:left="276"/>
            </w:pPr>
            <w:r>
              <w:rPr>
                <w:rFonts w:ascii="Verdana" w:eastAsia="Verdana" w:hAnsi="Verdana" w:cs="Verdana"/>
                <w:b/>
                <w:color w:val="FFFFFF"/>
                <w:sz w:val="18"/>
              </w:rPr>
              <w:t>31 March 2017</w:t>
            </w:r>
          </w:p>
        </w:tc>
        <w:tc>
          <w:tcPr>
            <w:tcW w:w="1918" w:type="dxa"/>
            <w:tcBorders>
              <w:top w:val="single" w:sz="15" w:space="0" w:color="35437C"/>
              <w:left w:val="single" w:sz="15"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31 March 2018</w:t>
            </w:r>
          </w:p>
        </w:tc>
      </w:tr>
      <w:tr w:rsidR="00576F87">
        <w:trPr>
          <w:trHeight w:val="319"/>
        </w:trPr>
        <w:tc>
          <w:tcPr>
            <w:tcW w:w="1853"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2"/>
              <w:jc w:val="right"/>
            </w:pPr>
            <w:r>
              <w:rPr>
                <w:rFonts w:ascii="Verdana" w:eastAsia="Verdana" w:hAnsi="Verdana" w:cs="Verdana"/>
                <w:sz w:val="18"/>
              </w:rPr>
              <w:t>9,769</w:t>
            </w:r>
          </w:p>
        </w:tc>
        <w:tc>
          <w:tcPr>
            <w:tcW w:w="5383"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Other entities and individuals</w:t>
            </w:r>
          </w:p>
        </w:tc>
        <w:tc>
          <w:tcPr>
            <w:tcW w:w="191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
              <w:jc w:val="right"/>
            </w:pPr>
            <w:r>
              <w:rPr>
                <w:rFonts w:ascii="Verdana" w:eastAsia="Verdana" w:hAnsi="Verdana" w:cs="Verdana"/>
                <w:sz w:val="18"/>
              </w:rPr>
              <w:t>13,495</w:t>
            </w:r>
          </w:p>
        </w:tc>
      </w:tr>
      <w:tr w:rsidR="00576F87">
        <w:trPr>
          <w:trHeight w:val="262"/>
        </w:trPr>
        <w:tc>
          <w:tcPr>
            <w:tcW w:w="1853"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1"/>
              <w:jc w:val="right"/>
            </w:pPr>
            <w:r>
              <w:rPr>
                <w:rFonts w:ascii="Verdana" w:eastAsia="Verdana" w:hAnsi="Verdana" w:cs="Verdana"/>
                <w:b/>
                <w:color w:val="FFFFFF"/>
                <w:sz w:val="18"/>
              </w:rPr>
              <w:t>9,769</w:t>
            </w:r>
          </w:p>
        </w:tc>
        <w:tc>
          <w:tcPr>
            <w:tcW w:w="5383"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576F87"/>
        </w:tc>
        <w:tc>
          <w:tcPr>
            <w:tcW w:w="1918"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1"/>
              <w:jc w:val="right"/>
            </w:pPr>
            <w:r>
              <w:rPr>
                <w:rFonts w:ascii="Verdana" w:eastAsia="Verdana" w:hAnsi="Verdana" w:cs="Verdana"/>
                <w:b/>
                <w:color w:val="FFFFFF"/>
                <w:sz w:val="18"/>
              </w:rPr>
              <w:t>13,495</w:t>
            </w:r>
          </w:p>
        </w:tc>
      </w:tr>
    </w:tbl>
    <w:p w:rsidR="00576F87" w:rsidRDefault="004165F5">
      <w:pPr>
        <w:pStyle w:val="Heading1"/>
        <w:ind w:left="19"/>
      </w:pPr>
      <w:r>
        <w:t>LPFA Accounts 31 March 2018</w:t>
      </w:r>
    </w:p>
    <w:p w:rsidR="00576F87" w:rsidRDefault="004165F5">
      <w:pPr>
        <w:pStyle w:val="Heading2"/>
        <w:spacing w:after="645"/>
        <w:ind w:left="5" w:hanging="8"/>
      </w:pPr>
      <w:r>
        <w:rPr>
          <w:b/>
          <w:color w:val="000000"/>
          <w:sz w:val="20"/>
        </w:rPr>
        <w:t>21. Related party transactions</w:t>
      </w:r>
    </w:p>
    <w:p w:rsidR="00576F87" w:rsidRDefault="004165F5">
      <w:pPr>
        <w:spacing w:after="5" w:line="268" w:lineRule="auto"/>
        <w:ind w:left="-7" w:hanging="3"/>
        <w:jc w:val="both"/>
      </w:pPr>
      <w:r>
        <w:rPr>
          <w:rFonts w:ascii="Verdana" w:eastAsia="Verdana" w:hAnsi="Verdana" w:cs="Verdana"/>
          <w:sz w:val="18"/>
        </w:rPr>
        <w:t>This disclosure note has been produced using a specific declaration obtained in respect of related party transactions. The LPFA has prepared this note in accordance with its interpretation and understanding of IAS24 and its applicability to the public sect</w:t>
      </w:r>
      <w:r>
        <w:rPr>
          <w:rFonts w:ascii="Verdana" w:eastAsia="Verdana" w:hAnsi="Verdana" w:cs="Verdana"/>
          <w:sz w:val="18"/>
        </w:rPr>
        <w:t>or using current advice and guidance. Mike O’Donnell (Board member) is the Executive Director of Corporate Services at London Borough of Camden. The London Borough of Camden paid employer contributions of £287K (2017:£480K) during the year. Stephen</w:t>
      </w:r>
    </w:p>
    <w:p w:rsidR="00576F87" w:rsidRDefault="004165F5">
      <w:pPr>
        <w:spacing w:after="5" w:line="268" w:lineRule="auto"/>
        <w:ind w:left="-7" w:hanging="3"/>
        <w:jc w:val="both"/>
      </w:pPr>
      <w:r>
        <w:rPr>
          <w:rFonts w:ascii="Verdana" w:eastAsia="Verdana" w:hAnsi="Verdana" w:cs="Verdana"/>
          <w:sz w:val="18"/>
        </w:rPr>
        <w:t>Alambri</w:t>
      </w:r>
      <w:r>
        <w:rPr>
          <w:rFonts w:ascii="Verdana" w:eastAsia="Verdana" w:hAnsi="Verdana" w:cs="Verdana"/>
          <w:sz w:val="18"/>
        </w:rPr>
        <w:t>tis (Board member) is the Leader of London Borough of Merton. No contributions were paid by the</w:t>
      </w:r>
    </w:p>
    <w:p w:rsidR="00576F87" w:rsidRDefault="004165F5">
      <w:pPr>
        <w:spacing w:after="341" w:line="268" w:lineRule="auto"/>
        <w:ind w:left="-7" w:hanging="3"/>
        <w:jc w:val="both"/>
      </w:pPr>
      <w:r>
        <w:rPr>
          <w:rFonts w:ascii="Verdana" w:eastAsia="Verdana" w:hAnsi="Verdana" w:cs="Verdana"/>
          <w:sz w:val="18"/>
        </w:rPr>
        <w:t>London Borough of Merton during the year (2017:nil). These two boroughs are Scheduled bodies in the Fund. The Mayor of London comments on the LPFA annual budget</w:t>
      </w:r>
      <w:r>
        <w:rPr>
          <w:rFonts w:ascii="Verdana" w:eastAsia="Verdana" w:hAnsi="Verdana" w:cs="Verdana"/>
          <w:sz w:val="18"/>
        </w:rPr>
        <w:t xml:space="preserve"> and the Greater London Authority is a participating employer of the pension scheme and paid employer contributions of £4,526K (2017:£4,774k) during the year. The LPFA Operational Account and Residual Liabilities account are deemed to be related parties an</w:t>
      </w:r>
      <w:r>
        <w:rPr>
          <w:rFonts w:ascii="Verdana" w:eastAsia="Verdana" w:hAnsi="Verdana" w:cs="Verdana"/>
          <w:sz w:val="18"/>
        </w:rPr>
        <w:t>d transactions relating to such are reflected elsewhere in these accounts. LPFA entered into a joint venture with Lancashire County Council and incorporated Local Pensions Partnership Ltd (LPP) and its subsidiaries on 19 October 2015. LPP is a related part</w:t>
      </w:r>
      <w:r>
        <w:rPr>
          <w:rFonts w:ascii="Verdana" w:eastAsia="Verdana" w:hAnsi="Verdana" w:cs="Verdana"/>
          <w:sz w:val="18"/>
        </w:rPr>
        <w:t xml:space="preserve">y of LPFA. The 50% share of LPP is consolidated within the operational accounts, using the equity method of accounting. </w:t>
      </w:r>
    </w:p>
    <w:p w:rsidR="00576F87" w:rsidRDefault="004165F5">
      <w:pPr>
        <w:pStyle w:val="Heading2"/>
        <w:spacing w:after="100"/>
        <w:ind w:left="5" w:hanging="8"/>
      </w:pPr>
      <w:r>
        <w:rPr>
          <w:b/>
          <w:color w:val="000000"/>
          <w:sz w:val="20"/>
        </w:rPr>
        <w:t>22. Contractual commitments</w:t>
      </w:r>
    </w:p>
    <w:p w:rsidR="00576F87" w:rsidRDefault="004165F5">
      <w:pPr>
        <w:spacing w:after="101" w:line="268" w:lineRule="auto"/>
        <w:ind w:left="-7" w:hanging="3"/>
        <w:jc w:val="both"/>
      </w:pPr>
      <w:r>
        <w:rPr>
          <w:rFonts w:ascii="Verdana" w:eastAsia="Verdana" w:hAnsi="Verdana" w:cs="Verdana"/>
          <w:sz w:val="18"/>
        </w:rPr>
        <w:t>Outstanding capital commitments (investments) at 31 March 2018 totalled £614.8m (2017: £1,013.65m) based on:</w:t>
      </w:r>
    </w:p>
    <w:tbl>
      <w:tblPr>
        <w:tblStyle w:val="TableGrid"/>
        <w:tblW w:w="9990" w:type="dxa"/>
        <w:tblInd w:w="-35" w:type="dxa"/>
        <w:tblCellMar>
          <w:top w:w="45" w:type="dxa"/>
          <w:left w:w="40" w:type="dxa"/>
          <w:bottom w:w="0" w:type="dxa"/>
          <w:right w:w="33" w:type="dxa"/>
        </w:tblCellMar>
        <w:tblLook w:val="04A0" w:firstRow="1" w:lastRow="0" w:firstColumn="1" w:lastColumn="0" w:noHBand="0" w:noVBand="1"/>
      </w:tblPr>
      <w:tblGrid>
        <w:gridCol w:w="2495"/>
        <w:gridCol w:w="2498"/>
        <w:gridCol w:w="2498"/>
        <w:gridCol w:w="2498"/>
      </w:tblGrid>
      <w:tr w:rsidR="00576F87">
        <w:trPr>
          <w:trHeight w:val="290"/>
        </w:trPr>
        <w:tc>
          <w:tcPr>
            <w:tcW w:w="2495" w:type="dxa"/>
            <w:tcBorders>
              <w:top w:val="single" w:sz="15" w:space="0" w:color="000070"/>
              <w:left w:val="single" w:sz="12" w:space="0" w:color="000070"/>
              <w:bottom w:val="single" w:sz="8" w:space="0" w:color="000070"/>
              <w:right w:val="single" w:sz="8" w:space="0" w:color="000070"/>
            </w:tcBorders>
            <w:shd w:val="clear" w:color="auto" w:fill="17365D"/>
          </w:tcPr>
          <w:p w:rsidR="00576F87" w:rsidRDefault="004165F5">
            <w:pPr>
              <w:spacing w:after="0"/>
              <w:ind w:left="2"/>
            </w:pPr>
            <w:r>
              <w:rPr>
                <w:rFonts w:ascii="Verdana" w:eastAsia="Verdana" w:hAnsi="Verdana" w:cs="Verdana"/>
                <w:b/>
                <w:color w:val="FFFFFF"/>
                <w:sz w:val="20"/>
              </w:rPr>
              <w:t>Currency</w:t>
            </w:r>
          </w:p>
        </w:tc>
        <w:tc>
          <w:tcPr>
            <w:tcW w:w="2498" w:type="dxa"/>
            <w:tcBorders>
              <w:top w:val="single" w:sz="15" w:space="0" w:color="000070"/>
              <w:left w:val="single" w:sz="8" w:space="0" w:color="000070"/>
              <w:bottom w:val="single" w:sz="8" w:space="0" w:color="000070"/>
              <w:right w:val="single" w:sz="8" w:space="0" w:color="000070"/>
            </w:tcBorders>
            <w:shd w:val="clear" w:color="auto" w:fill="17365D"/>
          </w:tcPr>
          <w:p w:rsidR="00576F87" w:rsidRDefault="004165F5">
            <w:pPr>
              <w:spacing w:after="0"/>
              <w:ind w:right="8"/>
              <w:jc w:val="right"/>
            </w:pPr>
            <w:r>
              <w:rPr>
                <w:rFonts w:ascii="Verdana" w:eastAsia="Verdana" w:hAnsi="Verdana" w:cs="Verdana"/>
                <w:b/>
                <w:color w:val="FFFFFF"/>
                <w:sz w:val="20"/>
              </w:rPr>
              <w:t>Commitment</w:t>
            </w:r>
          </w:p>
        </w:tc>
        <w:tc>
          <w:tcPr>
            <w:tcW w:w="2498" w:type="dxa"/>
            <w:tcBorders>
              <w:top w:val="single" w:sz="15" w:space="0" w:color="000070"/>
              <w:left w:val="single" w:sz="8" w:space="0" w:color="000070"/>
              <w:bottom w:val="single" w:sz="8" w:space="0" w:color="000070"/>
              <w:right w:val="single" w:sz="8" w:space="0" w:color="000070"/>
            </w:tcBorders>
            <w:shd w:val="clear" w:color="auto" w:fill="17365D"/>
          </w:tcPr>
          <w:p w:rsidR="00576F87" w:rsidRDefault="004165F5">
            <w:pPr>
              <w:spacing w:after="0"/>
              <w:ind w:right="8"/>
              <w:jc w:val="right"/>
            </w:pPr>
            <w:r>
              <w:rPr>
                <w:rFonts w:ascii="Verdana" w:eastAsia="Verdana" w:hAnsi="Verdana" w:cs="Verdana"/>
                <w:b/>
                <w:color w:val="FFFFFF"/>
                <w:sz w:val="20"/>
              </w:rPr>
              <w:t>Exchange Rate</w:t>
            </w:r>
          </w:p>
        </w:tc>
        <w:tc>
          <w:tcPr>
            <w:tcW w:w="2498" w:type="dxa"/>
            <w:tcBorders>
              <w:top w:val="single" w:sz="15" w:space="0" w:color="000070"/>
              <w:left w:val="single" w:sz="8" w:space="0" w:color="000070"/>
              <w:bottom w:val="single" w:sz="8" w:space="0" w:color="000070"/>
              <w:right w:val="single" w:sz="15" w:space="0" w:color="000070"/>
            </w:tcBorders>
            <w:shd w:val="clear" w:color="auto" w:fill="17365D"/>
          </w:tcPr>
          <w:p w:rsidR="00576F87" w:rsidRDefault="004165F5">
            <w:pPr>
              <w:spacing w:after="0"/>
              <w:ind w:right="8"/>
              <w:jc w:val="right"/>
            </w:pPr>
            <w:r>
              <w:rPr>
                <w:rFonts w:ascii="Verdana" w:eastAsia="Verdana" w:hAnsi="Verdana" w:cs="Verdana"/>
                <w:b/>
                <w:color w:val="FFFFFF"/>
                <w:sz w:val="20"/>
              </w:rPr>
              <w:t>£</w:t>
            </w:r>
          </w:p>
        </w:tc>
      </w:tr>
      <w:tr w:rsidR="00576F87">
        <w:trPr>
          <w:trHeight w:val="384"/>
        </w:trPr>
        <w:tc>
          <w:tcPr>
            <w:tcW w:w="2495"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20"/>
              </w:rPr>
              <w:t>US$</w:t>
            </w:r>
          </w:p>
        </w:tc>
        <w:tc>
          <w:tcPr>
            <w:tcW w:w="2498"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1"/>
              <w:jc w:val="right"/>
            </w:pPr>
            <w:r>
              <w:rPr>
                <w:rFonts w:ascii="Verdana" w:eastAsia="Verdana" w:hAnsi="Verdana" w:cs="Verdana"/>
                <w:sz w:val="18"/>
              </w:rPr>
              <w:t>518,633,029</w:t>
            </w:r>
          </w:p>
        </w:tc>
        <w:tc>
          <w:tcPr>
            <w:tcW w:w="2498"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1"/>
              <w:jc w:val="right"/>
            </w:pPr>
            <w:r>
              <w:rPr>
                <w:rFonts w:ascii="Verdana" w:eastAsia="Verdana" w:hAnsi="Verdana" w:cs="Verdana"/>
                <w:sz w:val="18"/>
              </w:rPr>
              <w:t>1.404</w:t>
            </w:r>
          </w:p>
        </w:tc>
        <w:tc>
          <w:tcPr>
            <w:tcW w:w="2498"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18"/>
              </w:rPr>
              <w:t>369,318,619</w:t>
            </w:r>
          </w:p>
        </w:tc>
      </w:tr>
      <w:tr w:rsidR="00576F87">
        <w:trPr>
          <w:trHeight w:val="384"/>
        </w:trPr>
        <w:tc>
          <w:tcPr>
            <w:tcW w:w="2495"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20"/>
              </w:rPr>
              <w:t>CHF</w:t>
            </w:r>
          </w:p>
        </w:tc>
        <w:tc>
          <w:tcPr>
            <w:tcW w:w="2498"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1"/>
              <w:jc w:val="right"/>
            </w:pPr>
            <w:r>
              <w:rPr>
                <w:rFonts w:ascii="Verdana" w:eastAsia="Verdana" w:hAnsi="Verdana" w:cs="Verdana"/>
                <w:sz w:val="18"/>
              </w:rPr>
              <w:t>7,030,000</w:t>
            </w:r>
          </w:p>
        </w:tc>
        <w:tc>
          <w:tcPr>
            <w:tcW w:w="2498"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1"/>
              <w:jc w:val="right"/>
            </w:pPr>
            <w:r>
              <w:rPr>
                <w:rFonts w:ascii="Verdana" w:eastAsia="Verdana" w:hAnsi="Verdana" w:cs="Verdana"/>
                <w:sz w:val="18"/>
              </w:rPr>
              <w:t>1.337</w:t>
            </w:r>
          </w:p>
        </w:tc>
        <w:tc>
          <w:tcPr>
            <w:tcW w:w="2498"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18"/>
              </w:rPr>
              <w:t>5,259,614</w:t>
            </w:r>
          </w:p>
        </w:tc>
      </w:tr>
      <w:tr w:rsidR="00576F87">
        <w:trPr>
          <w:trHeight w:val="384"/>
        </w:trPr>
        <w:tc>
          <w:tcPr>
            <w:tcW w:w="2495"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20"/>
              </w:rPr>
              <w:t>EUR</w:t>
            </w:r>
          </w:p>
        </w:tc>
        <w:tc>
          <w:tcPr>
            <w:tcW w:w="2498"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1"/>
              <w:jc w:val="right"/>
            </w:pPr>
            <w:r>
              <w:rPr>
                <w:rFonts w:ascii="Verdana" w:eastAsia="Verdana" w:hAnsi="Verdana" w:cs="Verdana"/>
                <w:sz w:val="18"/>
              </w:rPr>
              <w:t>233,733,224</w:t>
            </w:r>
          </w:p>
        </w:tc>
        <w:tc>
          <w:tcPr>
            <w:tcW w:w="2498"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1"/>
              <w:jc w:val="right"/>
            </w:pPr>
            <w:r>
              <w:rPr>
                <w:rFonts w:ascii="Verdana" w:eastAsia="Verdana" w:hAnsi="Verdana" w:cs="Verdana"/>
                <w:sz w:val="18"/>
              </w:rPr>
              <w:t>1.139</w:t>
            </w:r>
          </w:p>
        </w:tc>
        <w:tc>
          <w:tcPr>
            <w:tcW w:w="2498"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18"/>
              </w:rPr>
              <w:t>205,124,328</w:t>
            </w:r>
          </w:p>
        </w:tc>
      </w:tr>
      <w:tr w:rsidR="00576F87">
        <w:trPr>
          <w:trHeight w:val="384"/>
        </w:trPr>
        <w:tc>
          <w:tcPr>
            <w:tcW w:w="2495"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20"/>
              </w:rPr>
              <w:t>GBP</w:t>
            </w:r>
          </w:p>
        </w:tc>
        <w:tc>
          <w:tcPr>
            <w:tcW w:w="2498"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1"/>
              <w:jc w:val="right"/>
            </w:pPr>
            <w:r>
              <w:rPr>
                <w:rFonts w:ascii="Verdana" w:eastAsia="Verdana" w:hAnsi="Verdana" w:cs="Verdana"/>
                <w:sz w:val="18"/>
              </w:rPr>
              <w:t>35,063,681</w:t>
            </w:r>
          </w:p>
        </w:tc>
        <w:tc>
          <w:tcPr>
            <w:tcW w:w="2498"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1"/>
              <w:jc w:val="right"/>
            </w:pPr>
            <w:r>
              <w:rPr>
                <w:rFonts w:ascii="Verdana" w:eastAsia="Verdana" w:hAnsi="Verdana" w:cs="Verdana"/>
                <w:sz w:val="18"/>
              </w:rPr>
              <w:t>1.000</w:t>
            </w:r>
          </w:p>
        </w:tc>
        <w:tc>
          <w:tcPr>
            <w:tcW w:w="2498"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18"/>
              </w:rPr>
              <w:t>35,063,681</w:t>
            </w:r>
          </w:p>
        </w:tc>
      </w:tr>
      <w:tr w:rsidR="00576F87">
        <w:trPr>
          <w:trHeight w:val="384"/>
        </w:trPr>
        <w:tc>
          <w:tcPr>
            <w:tcW w:w="2495" w:type="dxa"/>
            <w:tcBorders>
              <w:top w:val="single" w:sz="8" w:space="0" w:color="000070"/>
              <w:left w:val="single" w:sz="12" w:space="0" w:color="000070"/>
              <w:bottom w:val="single" w:sz="15" w:space="0" w:color="000070"/>
              <w:right w:val="single" w:sz="8" w:space="0" w:color="000070"/>
            </w:tcBorders>
            <w:shd w:val="clear" w:color="auto" w:fill="17365D"/>
          </w:tcPr>
          <w:p w:rsidR="00576F87" w:rsidRDefault="004165F5">
            <w:pPr>
              <w:spacing w:after="0"/>
              <w:ind w:left="2"/>
            </w:pPr>
            <w:r>
              <w:rPr>
                <w:rFonts w:ascii="Verdana" w:eastAsia="Verdana" w:hAnsi="Verdana" w:cs="Verdana"/>
                <w:b/>
                <w:color w:val="FFFFFF"/>
                <w:sz w:val="20"/>
              </w:rPr>
              <w:t>Total</w:t>
            </w:r>
          </w:p>
        </w:tc>
        <w:tc>
          <w:tcPr>
            <w:tcW w:w="2498" w:type="dxa"/>
            <w:tcBorders>
              <w:top w:val="single" w:sz="8" w:space="0" w:color="000070"/>
              <w:left w:val="single" w:sz="8" w:space="0" w:color="000070"/>
              <w:bottom w:val="single" w:sz="15" w:space="0" w:color="000070"/>
              <w:right w:val="single" w:sz="8" w:space="0" w:color="000070"/>
            </w:tcBorders>
            <w:shd w:val="clear" w:color="auto" w:fill="17365D"/>
          </w:tcPr>
          <w:p w:rsidR="00576F87" w:rsidRDefault="00576F87"/>
        </w:tc>
        <w:tc>
          <w:tcPr>
            <w:tcW w:w="2498" w:type="dxa"/>
            <w:tcBorders>
              <w:top w:val="single" w:sz="8" w:space="0" w:color="000070"/>
              <w:left w:val="single" w:sz="8" w:space="0" w:color="000070"/>
              <w:bottom w:val="single" w:sz="15" w:space="0" w:color="000070"/>
              <w:right w:val="single" w:sz="8" w:space="0" w:color="000070"/>
            </w:tcBorders>
            <w:shd w:val="clear" w:color="auto" w:fill="17365D"/>
          </w:tcPr>
          <w:p w:rsidR="00576F87" w:rsidRDefault="00576F87"/>
        </w:tc>
        <w:tc>
          <w:tcPr>
            <w:tcW w:w="2498" w:type="dxa"/>
            <w:tcBorders>
              <w:top w:val="single" w:sz="8" w:space="0" w:color="000070"/>
              <w:left w:val="single" w:sz="8" w:space="0" w:color="000070"/>
              <w:bottom w:val="single" w:sz="15" w:space="0" w:color="000070"/>
              <w:right w:val="single" w:sz="15" w:space="0" w:color="000070"/>
            </w:tcBorders>
            <w:shd w:val="clear" w:color="auto" w:fill="17365D"/>
          </w:tcPr>
          <w:p w:rsidR="00576F87" w:rsidRDefault="004165F5">
            <w:pPr>
              <w:spacing w:after="0"/>
              <w:ind w:right="5"/>
              <w:jc w:val="right"/>
            </w:pPr>
            <w:r>
              <w:rPr>
                <w:rFonts w:ascii="Verdana" w:eastAsia="Verdana" w:hAnsi="Verdana" w:cs="Verdana"/>
                <w:b/>
                <w:color w:val="FFFFFF"/>
                <w:sz w:val="18"/>
              </w:rPr>
              <w:t>614,766,242</w:t>
            </w:r>
          </w:p>
        </w:tc>
      </w:tr>
    </w:tbl>
    <w:p w:rsidR="00576F87" w:rsidRDefault="004165F5">
      <w:pPr>
        <w:spacing w:after="75" w:line="268" w:lineRule="auto"/>
        <w:ind w:left="-7" w:hanging="3"/>
        <w:jc w:val="both"/>
      </w:pPr>
      <w:r>
        <w:rPr>
          <w:rFonts w:ascii="Verdana" w:eastAsia="Verdana" w:hAnsi="Verdana" w:cs="Verdana"/>
          <w:sz w:val="18"/>
        </w:rPr>
        <w:t xml:space="preserve">These commitments relate to outstanding call payments due on unquoted Limited Partnership funds held in the Private Equity and Infrastructure parts of the portfolio. </w:t>
      </w:r>
    </w:p>
    <w:p w:rsidR="00576F87" w:rsidRDefault="004165F5">
      <w:pPr>
        <w:spacing w:after="327" w:line="268" w:lineRule="auto"/>
        <w:ind w:left="-7" w:hanging="3"/>
        <w:jc w:val="both"/>
      </w:pPr>
      <w:r>
        <w:rPr>
          <w:rFonts w:ascii="Verdana" w:eastAsia="Verdana" w:hAnsi="Verdana" w:cs="Verdana"/>
          <w:sz w:val="18"/>
        </w:rPr>
        <w:t>The amounts “called” by these funds are both irregular in size and timing over a period of between 4 and 6 years from the date of each original commitment.</w:t>
      </w:r>
    </w:p>
    <w:p w:rsidR="00576F87" w:rsidRDefault="004165F5">
      <w:pPr>
        <w:pStyle w:val="Heading2"/>
        <w:ind w:left="5" w:hanging="8"/>
      </w:pPr>
      <w:r>
        <w:rPr>
          <w:b/>
          <w:color w:val="000000"/>
          <w:sz w:val="20"/>
        </w:rPr>
        <w:t>23. Total minimum lease payments for collection</w:t>
      </w:r>
    </w:p>
    <w:tbl>
      <w:tblPr>
        <w:tblStyle w:val="TableGrid"/>
        <w:tblW w:w="9990" w:type="dxa"/>
        <w:tblInd w:w="-35" w:type="dxa"/>
        <w:tblCellMar>
          <w:top w:w="33" w:type="dxa"/>
          <w:left w:w="160" w:type="dxa"/>
          <w:bottom w:w="0" w:type="dxa"/>
          <w:right w:w="0" w:type="dxa"/>
        </w:tblCellMar>
        <w:tblLook w:val="04A0" w:firstRow="1" w:lastRow="0" w:firstColumn="1" w:lastColumn="0" w:noHBand="0" w:noVBand="1"/>
      </w:tblPr>
      <w:tblGrid>
        <w:gridCol w:w="2495"/>
        <w:gridCol w:w="4997"/>
        <w:gridCol w:w="2498"/>
      </w:tblGrid>
      <w:tr w:rsidR="00576F87">
        <w:trPr>
          <w:trHeight w:val="290"/>
        </w:trPr>
        <w:tc>
          <w:tcPr>
            <w:tcW w:w="2495" w:type="dxa"/>
            <w:tcBorders>
              <w:top w:val="single" w:sz="15" w:space="0" w:color="000070"/>
              <w:left w:val="single" w:sz="12" w:space="0" w:color="000070"/>
              <w:bottom w:val="single" w:sz="8" w:space="0" w:color="000070"/>
              <w:right w:val="single" w:sz="8" w:space="0" w:color="000070"/>
            </w:tcBorders>
            <w:shd w:val="clear" w:color="auto" w:fill="17365D"/>
          </w:tcPr>
          <w:p w:rsidR="00576F87" w:rsidRDefault="004165F5">
            <w:pPr>
              <w:spacing w:after="0"/>
              <w:ind w:right="41"/>
              <w:jc w:val="right"/>
            </w:pPr>
            <w:r>
              <w:rPr>
                <w:rFonts w:ascii="Verdana" w:eastAsia="Verdana" w:hAnsi="Verdana" w:cs="Verdana"/>
                <w:b/>
                <w:color w:val="FFFFFF"/>
                <w:sz w:val="20"/>
              </w:rPr>
              <w:t>2016/17</w:t>
            </w:r>
          </w:p>
        </w:tc>
        <w:tc>
          <w:tcPr>
            <w:tcW w:w="4997" w:type="dxa"/>
            <w:tcBorders>
              <w:top w:val="single" w:sz="15" w:space="0" w:color="000070"/>
              <w:left w:val="single" w:sz="8" w:space="0" w:color="000070"/>
              <w:bottom w:val="single" w:sz="8" w:space="0" w:color="000070"/>
              <w:right w:val="single" w:sz="8" w:space="0" w:color="000070"/>
            </w:tcBorders>
            <w:shd w:val="clear" w:color="auto" w:fill="17365D"/>
          </w:tcPr>
          <w:p w:rsidR="00576F87" w:rsidRDefault="004165F5">
            <w:pPr>
              <w:spacing w:after="0"/>
              <w:ind w:right="158"/>
              <w:jc w:val="center"/>
            </w:pPr>
            <w:r>
              <w:rPr>
                <w:rFonts w:ascii="Verdana" w:eastAsia="Verdana" w:hAnsi="Verdana" w:cs="Verdana"/>
                <w:b/>
                <w:color w:val="FFFFFF"/>
                <w:sz w:val="20"/>
              </w:rPr>
              <w:t>Commitment</w:t>
            </w:r>
          </w:p>
        </w:tc>
        <w:tc>
          <w:tcPr>
            <w:tcW w:w="2498" w:type="dxa"/>
            <w:tcBorders>
              <w:top w:val="single" w:sz="15" w:space="0" w:color="000070"/>
              <w:left w:val="single" w:sz="8" w:space="0" w:color="000070"/>
              <w:bottom w:val="single" w:sz="8" w:space="0" w:color="000070"/>
              <w:right w:val="single" w:sz="15" w:space="0" w:color="000070"/>
            </w:tcBorders>
            <w:shd w:val="clear" w:color="auto" w:fill="17365D"/>
          </w:tcPr>
          <w:p w:rsidR="00576F87" w:rsidRDefault="004165F5">
            <w:pPr>
              <w:spacing w:after="0"/>
              <w:ind w:right="41"/>
              <w:jc w:val="right"/>
            </w:pPr>
            <w:r>
              <w:rPr>
                <w:rFonts w:ascii="Verdana" w:eastAsia="Verdana" w:hAnsi="Verdana" w:cs="Verdana"/>
                <w:b/>
                <w:color w:val="FFFFFF"/>
                <w:sz w:val="20"/>
              </w:rPr>
              <w:t>2017/18</w:t>
            </w:r>
          </w:p>
        </w:tc>
      </w:tr>
      <w:tr w:rsidR="00576F87">
        <w:trPr>
          <w:trHeight w:val="290"/>
        </w:trPr>
        <w:tc>
          <w:tcPr>
            <w:tcW w:w="2495" w:type="dxa"/>
            <w:tcBorders>
              <w:top w:val="single" w:sz="8" w:space="0" w:color="000070"/>
              <w:left w:val="single" w:sz="12" w:space="0" w:color="000070"/>
              <w:bottom w:val="single" w:sz="8" w:space="0" w:color="000070"/>
              <w:right w:val="single" w:sz="8" w:space="0" w:color="000070"/>
            </w:tcBorders>
          </w:tcPr>
          <w:p w:rsidR="00576F87" w:rsidRDefault="004165F5">
            <w:pPr>
              <w:spacing w:after="0"/>
            </w:pPr>
            <w:r>
              <w:rPr>
                <w:rFonts w:ascii="Verdana" w:eastAsia="Verdana" w:hAnsi="Verdana" w:cs="Verdana"/>
                <w:sz w:val="20"/>
              </w:rPr>
              <w:t xml:space="preserve">                     201,558 </w:t>
            </w:r>
          </w:p>
        </w:tc>
        <w:tc>
          <w:tcPr>
            <w:tcW w:w="4997"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155"/>
              <w:jc w:val="center"/>
            </w:pPr>
            <w:r>
              <w:rPr>
                <w:rFonts w:ascii="Verdana" w:eastAsia="Verdana" w:hAnsi="Verdana" w:cs="Verdana"/>
                <w:sz w:val="18"/>
              </w:rPr>
              <w:t>&lt; 1 years</w:t>
            </w:r>
          </w:p>
        </w:tc>
        <w:tc>
          <w:tcPr>
            <w:tcW w:w="2498"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4"/>
              <w:jc w:val="right"/>
            </w:pPr>
            <w:r>
              <w:rPr>
                <w:rFonts w:ascii="Verdana" w:eastAsia="Verdana" w:hAnsi="Verdana" w:cs="Verdana"/>
                <w:sz w:val="18"/>
              </w:rPr>
              <w:t>945,051</w:t>
            </w:r>
          </w:p>
        </w:tc>
      </w:tr>
      <w:tr w:rsidR="00576F87">
        <w:trPr>
          <w:trHeight w:val="290"/>
        </w:trPr>
        <w:tc>
          <w:tcPr>
            <w:tcW w:w="2495"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20"/>
              </w:rPr>
              <w:t xml:space="preserve">                  2,912,400 </w:t>
            </w:r>
          </w:p>
        </w:tc>
        <w:tc>
          <w:tcPr>
            <w:tcW w:w="4997"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157"/>
              <w:jc w:val="center"/>
            </w:pPr>
            <w:r>
              <w:rPr>
                <w:rFonts w:ascii="Verdana" w:eastAsia="Verdana" w:hAnsi="Verdana" w:cs="Verdana"/>
                <w:sz w:val="18"/>
              </w:rPr>
              <w:t xml:space="preserve"> 1  to 5 years</w:t>
            </w:r>
          </w:p>
        </w:tc>
        <w:tc>
          <w:tcPr>
            <w:tcW w:w="2498"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4"/>
              <w:jc w:val="right"/>
            </w:pPr>
            <w:r>
              <w:rPr>
                <w:rFonts w:ascii="Verdana" w:eastAsia="Verdana" w:hAnsi="Verdana" w:cs="Verdana"/>
                <w:sz w:val="18"/>
              </w:rPr>
              <w:t>3,405,204</w:t>
            </w:r>
          </w:p>
        </w:tc>
      </w:tr>
      <w:tr w:rsidR="00576F87">
        <w:trPr>
          <w:trHeight w:val="290"/>
        </w:trPr>
        <w:tc>
          <w:tcPr>
            <w:tcW w:w="2495"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right="37"/>
              <w:jc w:val="right"/>
            </w:pPr>
            <w:r>
              <w:rPr>
                <w:rFonts w:ascii="Verdana" w:eastAsia="Verdana" w:hAnsi="Verdana" w:cs="Verdana"/>
                <w:sz w:val="20"/>
              </w:rPr>
              <w:t xml:space="preserve">                  3,937,400 </w:t>
            </w:r>
          </w:p>
        </w:tc>
        <w:tc>
          <w:tcPr>
            <w:tcW w:w="4997" w:type="dxa"/>
            <w:tcBorders>
              <w:top w:val="single" w:sz="8" w:space="0" w:color="000070"/>
              <w:left w:val="single" w:sz="8" w:space="0" w:color="000070"/>
              <w:bottom w:val="single" w:sz="8" w:space="0" w:color="000070"/>
              <w:right w:val="single" w:sz="8" w:space="0" w:color="000070"/>
            </w:tcBorders>
          </w:tcPr>
          <w:p w:rsidR="00576F87" w:rsidRDefault="004165F5">
            <w:pPr>
              <w:spacing w:after="0"/>
              <w:ind w:right="155"/>
              <w:jc w:val="center"/>
            </w:pPr>
            <w:r>
              <w:rPr>
                <w:rFonts w:ascii="Verdana" w:eastAsia="Verdana" w:hAnsi="Verdana" w:cs="Verdana"/>
                <w:sz w:val="18"/>
              </w:rPr>
              <w:t>&gt; 5 years</w:t>
            </w:r>
          </w:p>
        </w:tc>
        <w:tc>
          <w:tcPr>
            <w:tcW w:w="2498" w:type="dxa"/>
            <w:tcBorders>
              <w:top w:val="single" w:sz="8" w:space="0" w:color="000070"/>
              <w:left w:val="single" w:sz="8" w:space="0" w:color="000070"/>
              <w:bottom w:val="single" w:sz="8" w:space="0" w:color="000070"/>
              <w:right w:val="single" w:sz="15" w:space="0" w:color="000070"/>
            </w:tcBorders>
          </w:tcPr>
          <w:p w:rsidR="00576F87" w:rsidRDefault="004165F5">
            <w:pPr>
              <w:spacing w:after="0"/>
              <w:ind w:right="34"/>
              <w:jc w:val="right"/>
            </w:pPr>
            <w:r>
              <w:rPr>
                <w:rFonts w:ascii="Verdana" w:eastAsia="Verdana" w:hAnsi="Verdana" w:cs="Verdana"/>
                <w:sz w:val="18"/>
              </w:rPr>
              <w:t>5,617,800</w:t>
            </w:r>
          </w:p>
        </w:tc>
      </w:tr>
      <w:tr w:rsidR="00576F87">
        <w:trPr>
          <w:trHeight w:val="305"/>
        </w:trPr>
        <w:tc>
          <w:tcPr>
            <w:tcW w:w="2495" w:type="dxa"/>
            <w:tcBorders>
              <w:top w:val="single" w:sz="8" w:space="0" w:color="000070"/>
              <w:left w:val="single" w:sz="8" w:space="0" w:color="000070"/>
              <w:bottom w:val="single" w:sz="15" w:space="0" w:color="000070"/>
              <w:right w:val="single" w:sz="15" w:space="0" w:color="000070"/>
            </w:tcBorders>
            <w:shd w:val="clear" w:color="auto" w:fill="17365D"/>
          </w:tcPr>
          <w:p w:rsidR="00576F87" w:rsidRDefault="004165F5">
            <w:pPr>
              <w:spacing w:after="0"/>
              <w:ind w:right="38"/>
              <w:jc w:val="right"/>
            </w:pPr>
            <w:r>
              <w:rPr>
                <w:rFonts w:ascii="Verdana" w:eastAsia="Verdana" w:hAnsi="Verdana" w:cs="Verdana"/>
                <w:b/>
                <w:color w:val="FFFFFF"/>
                <w:sz w:val="18"/>
              </w:rPr>
              <w:t>7,051,358</w:t>
            </w:r>
          </w:p>
        </w:tc>
        <w:tc>
          <w:tcPr>
            <w:tcW w:w="4997" w:type="dxa"/>
            <w:tcBorders>
              <w:top w:val="single" w:sz="8" w:space="0" w:color="000070"/>
              <w:left w:val="single" w:sz="15" w:space="0" w:color="000070"/>
              <w:bottom w:val="single" w:sz="15" w:space="0" w:color="000070"/>
              <w:right w:val="single" w:sz="8" w:space="0" w:color="000070"/>
            </w:tcBorders>
            <w:shd w:val="clear" w:color="auto" w:fill="17365D"/>
          </w:tcPr>
          <w:p w:rsidR="00576F87" w:rsidRDefault="00576F87"/>
        </w:tc>
        <w:tc>
          <w:tcPr>
            <w:tcW w:w="2498" w:type="dxa"/>
            <w:tcBorders>
              <w:top w:val="single" w:sz="8" w:space="0" w:color="000070"/>
              <w:left w:val="single" w:sz="8" w:space="0" w:color="000070"/>
              <w:bottom w:val="single" w:sz="15" w:space="0" w:color="000070"/>
              <w:right w:val="single" w:sz="15" w:space="0" w:color="000070"/>
            </w:tcBorders>
            <w:shd w:val="clear" w:color="auto" w:fill="17365D"/>
          </w:tcPr>
          <w:p w:rsidR="00576F87" w:rsidRDefault="004165F5">
            <w:pPr>
              <w:spacing w:after="0"/>
              <w:ind w:right="38"/>
              <w:jc w:val="right"/>
            </w:pPr>
            <w:r>
              <w:rPr>
                <w:rFonts w:ascii="Verdana" w:eastAsia="Verdana" w:hAnsi="Verdana" w:cs="Verdana"/>
                <w:b/>
                <w:color w:val="FFFFFF"/>
                <w:sz w:val="18"/>
              </w:rPr>
              <w:t>9,968,055</w:t>
            </w:r>
          </w:p>
        </w:tc>
      </w:tr>
    </w:tbl>
    <w:p w:rsidR="00576F87" w:rsidRDefault="004165F5">
      <w:pPr>
        <w:spacing w:after="413" w:line="268" w:lineRule="auto"/>
        <w:ind w:left="-7" w:hanging="3"/>
        <w:jc w:val="both"/>
      </w:pPr>
      <w:r>
        <w:rPr>
          <w:rFonts w:ascii="Verdana" w:eastAsia="Verdana" w:hAnsi="Verdana" w:cs="Verdana"/>
          <w:sz w:val="18"/>
        </w:rPr>
        <w:t>The minimum lease payments relate to rents receivable on properties owned by the fund. There are no contingent rents as all rents are fixed until the next rent review (generally on 5 year review patterns) and then are either reviewed to market rent, a fixe</w:t>
      </w:r>
      <w:r>
        <w:rPr>
          <w:rFonts w:ascii="Verdana" w:eastAsia="Verdana" w:hAnsi="Verdana" w:cs="Verdana"/>
          <w:sz w:val="18"/>
        </w:rPr>
        <w:t>d uplift or in line with an index.</w:t>
      </w:r>
    </w:p>
    <w:p w:rsidR="00576F87" w:rsidRDefault="004165F5">
      <w:pPr>
        <w:pStyle w:val="Heading2"/>
        <w:spacing w:after="22"/>
        <w:ind w:left="5" w:hanging="8"/>
      </w:pPr>
      <w:r>
        <w:rPr>
          <w:b/>
          <w:color w:val="000000"/>
          <w:sz w:val="20"/>
        </w:rPr>
        <w:t>24. Post Balance Sheet events</w:t>
      </w:r>
    </w:p>
    <w:p w:rsidR="00576F87" w:rsidRDefault="004165F5">
      <w:pPr>
        <w:spacing w:after="601" w:line="265" w:lineRule="auto"/>
        <w:ind w:left="-5" w:hanging="10"/>
      </w:pPr>
      <w:r>
        <w:t>There were no material events after the balance sheet date.</w:t>
      </w:r>
    </w:p>
    <w:p w:rsidR="00576F87" w:rsidRDefault="004165F5">
      <w:pPr>
        <w:spacing w:after="6"/>
        <w:ind w:left="848" w:hanging="10"/>
        <w:jc w:val="center"/>
      </w:pPr>
      <w:r>
        <w:t>54</w:t>
      </w:r>
    </w:p>
    <w:p w:rsidR="00576F87" w:rsidRDefault="004165F5">
      <w:pPr>
        <w:pStyle w:val="Heading2"/>
        <w:spacing w:after="434"/>
        <w:ind w:left="414" w:hanging="8"/>
      </w:pPr>
      <w:r>
        <w:rPr>
          <w:b/>
          <w:color w:val="000000"/>
          <w:sz w:val="20"/>
        </w:rPr>
        <w:t>25. Actuarial Present Value of Promised Retirement Benefits</w:t>
      </w:r>
    </w:p>
    <w:p w:rsidR="00576F87" w:rsidRDefault="004165F5">
      <w:pPr>
        <w:spacing w:after="320" w:line="268" w:lineRule="auto"/>
        <w:ind w:left="401" w:right="326" w:hanging="3"/>
        <w:jc w:val="both"/>
      </w:pPr>
      <w:r>
        <w:rPr>
          <w:rFonts w:ascii="Verdana" w:eastAsia="Verdana" w:hAnsi="Verdana" w:cs="Verdana"/>
          <w:sz w:val="18"/>
        </w:rPr>
        <w:t>In addition to the triennial valuation, the fund’s actuary also undertakes a valuation of the pension fund liabilities in accordance with IAS 26, every year using the results of the Triennial Actuarial Valuation as at 31 March 2016, estimated income and ex</w:t>
      </w:r>
      <w:r>
        <w:rPr>
          <w:rFonts w:ascii="Verdana" w:eastAsia="Verdana" w:hAnsi="Verdana" w:cs="Verdana"/>
          <w:sz w:val="18"/>
        </w:rPr>
        <w:t>penditure for the year, fund returns for the year and details of any new retirements for the year that have been paid out on an unreduced basis, which are not anticipated in the normal employer service cost.</w:t>
      </w:r>
    </w:p>
    <w:p w:rsidR="00576F87" w:rsidRDefault="004165F5">
      <w:pPr>
        <w:spacing w:after="5" w:line="268" w:lineRule="auto"/>
        <w:ind w:left="401" w:hanging="3"/>
        <w:jc w:val="both"/>
      </w:pPr>
      <w:r>
        <w:rPr>
          <w:rFonts w:ascii="Verdana" w:eastAsia="Verdana" w:hAnsi="Verdana" w:cs="Verdana"/>
          <w:sz w:val="18"/>
        </w:rPr>
        <w:t>The present value of the Funded Obligation at 31 March 2018 for the Fund was £8,083m</w:t>
      </w:r>
    </w:p>
    <w:p w:rsidR="00576F87" w:rsidRDefault="004165F5">
      <w:pPr>
        <w:spacing w:after="337" w:line="268" w:lineRule="auto"/>
        <w:ind w:left="401" w:hanging="3"/>
        <w:jc w:val="both"/>
      </w:pPr>
      <w:r>
        <w:rPr>
          <w:rFonts w:ascii="Verdana" w:eastAsia="Verdana" w:hAnsi="Verdana" w:cs="Verdana"/>
          <w:sz w:val="18"/>
        </w:rPr>
        <w:t>(2017:£7,978m). The net liability for the Fund at 31 March 2018 was £2,552m (2017:£2,674m).</w:t>
      </w:r>
    </w:p>
    <w:p w:rsidR="00576F87" w:rsidRDefault="004165F5">
      <w:pPr>
        <w:pStyle w:val="Heading3"/>
        <w:ind w:left="416"/>
      </w:pPr>
      <w:r>
        <w:t>Key Assumptions Used</w:t>
      </w:r>
    </w:p>
    <w:tbl>
      <w:tblPr>
        <w:tblStyle w:val="TableGrid"/>
        <w:tblW w:w="9328" w:type="dxa"/>
        <w:tblInd w:w="364" w:type="dxa"/>
        <w:tblCellMar>
          <w:top w:w="97" w:type="dxa"/>
          <w:left w:w="35" w:type="dxa"/>
          <w:bottom w:w="0" w:type="dxa"/>
          <w:right w:w="34" w:type="dxa"/>
        </w:tblCellMar>
        <w:tblLook w:val="04A0" w:firstRow="1" w:lastRow="0" w:firstColumn="1" w:lastColumn="0" w:noHBand="0" w:noVBand="1"/>
      </w:tblPr>
      <w:tblGrid>
        <w:gridCol w:w="4204"/>
        <w:gridCol w:w="2659"/>
        <w:gridCol w:w="2465"/>
      </w:tblGrid>
      <w:tr w:rsidR="00576F87">
        <w:trPr>
          <w:trHeight w:val="391"/>
        </w:trPr>
        <w:tc>
          <w:tcPr>
            <w:tcW w:w="4204"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ind w:left="5"/>
            </w:pPr>
            <w:r>
              <w:rPr>
                <w:rFonts w:ascii="Verdana" w:eastAsia="Verdana" w:hAnsi="Verdana" w:cs="Verdana"/>
                <w:b/>
                <w:color w:val="FFFFFF"/>
                <w:sz w:val="18"/>
              </w:rPr>
              <w:t>Life expectancy from age 65 (years)</w:t>
            </w:r>
          </w:p>
        </w:tc>
        <w:tc>
          <w:tcPr>
            <w:tcW w:w="2659"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31 March 2017</w:t>
            </w:r>
          </w:p>
        </w:tc>
        <w:tc>
          <w:tcPr>
            <w:tcW w:w="2465"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31 March</w:t>
            </w:r>
            <w:r>
              <w:rPr>
                <w:rFonts w:ascii="Verdana" w:eastAsia="Verdana" w:hAnsi="Verdana" w:cs="Verdana"/>
                <w:b/>
                <w:color w:val="FFFFFF"/>
                <w:sz w:val="18"/>
              </w:rPr>
              <w:t xml:space="preserve"> 2018</w:t>
            </w:r>
          </w:p>
        </w:tc>
      </w:tr>
      <w:tr w:rsidR="00576F87">
        <w:trPr>
          <w:trHeight w:val="348"/>
        </w:trPr>
        <w:tc>
          <w:tcPr>
            <w:tcW w:w="4204" w:type="dxa"/>
            <w:tcBorders>
              <w:top w:val="single" w:sz="8" w:space="0" w:color="35437C"/>
              <w:left w:val="single" w:sz="12"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 xml:space="preserve">Retiring today : </w:t>
            </w:r>
          </w:p>
        </w:tc>
        <w:tc>
          <w:tcPr>
            <w:tcW w:w="2659" w:type="dxa"/>
            <w:tcBorders>
              <w:top w:val="single" w:sz="8" w:space="0" w:color="35437C"/>
              <w:left w:val="single" w:sz="8" w:space="0" w:color="35437C"/>
              <w:bottom w:val="single" w:sz="8" w:space="0" w:color="35437C"/>
              <w:right w:val="single" w:sz="8" w:space="0" w:color="35437C"/>
            </w:tcBorders>
          </w:tcPr>
          <w:p w:rsidR="00576F87" w:rsidRDefault="00576F87"/>
        </w:tc>
        <w:tc>
          <w:tcPr>
            <w:tcW w:w="2465"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348"/>
        </w:trPr>
        <w:tc>
          <w:tcPr>
            <w:tcW w:w="4204"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left="1032"/>
            </w:pPr>
            <w:r>
              <w:rPr>
                <w:rFonts w:ascii="Verdana" w:eastAsia="Verdana" w:hAnsi="Verdana" w:cs="Verdana"/>
                <w:sz w:val="18"/>
              </w:rPr>
              <w:t>Males</w:t>
            </w:r>
          </w:p>
        </w:tc>
        <w:tc>
          <w:tcPr>
            <w:tcW w:w="2659"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21.3</w:t>
            </w:r>
          </w:p>
        </w:tc>
        <w:tc>
          <w:tcPr>
            <w:tcW w:w="2465"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8"/>
              </w:rPr>
              <w:t>21.4</w:t>
            </w:r>
          </w:p>
        </w:tc>
      </w:tr>
      <w:tr w:rsidR="00576F87">
        <w:trPr>
          <w:trHeight w:val="348"/>
        </w:trPr>
        <w:tc>
          <w:tcPr>
            <w:tcW w:w="4204"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left="1032"/>
            </w:pPr>
            <w:r>
              <w:rPr>
                <w:rFonts w:ascii="Verdana" w:eastAsia="Verdana" w:hAnsi="Verdana" w:cs="Verdana"/>
                <w:sz w:val="18"/>
              </w:rPr>
              <w:t>Females</w:t>
            </w:r>
          </w:p>
        </w:tc>
        <w:tc>
          <w:tcPr>
            <w:tcW w:w="2659"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24.2</w:t>
            </w:r>
          </w:p>
        </w:tc>
        <w:tc>
          <w:tcPr>
            <w:tcW w:w="2465"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8"/>
              </w:rPr>
              <w:t>24.3</w:t>
            </w:r>
          </w:p>
        </w:tc>
      </w:tr>
      <w:tr w:rsidR="00576F87">
        <w:trPr>
          <w:trHeight w:val="348"/>
        </w:trPr>
        <w:tc>
          <w:tcPr>
            <w:tcW w:w="4204" w:type="dxa"/>
            <w:tcBorders>
              <w:top w:val="single" w:sz="8" w:space="0" w:color="35437C"/>
              <w:left w:val="single" w:sz="12"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Retiring in 20 years:</w:t>
            </w:r>
          </w:p>
        </w:tc>
        <w:tc>
          <w:tcPr>
            <w:tcW w:w="2659" w:type="dxa"/>
            <w:tcBorders>
              <w:top w:val="single" w:sz="8" w:space="0" w:color="35437C"/>
              <w:left w:val="single" w:sz="8" w:space="0" w:color="35437C"/>
              <w:bottom w:val="single" w:sz="8" w:space="0" w:color="35437C"/>
              <w:right w:val="single" w:sz="8" w:space="0" w:color="35437C"/>
            </w:tcBorders>
          </w:tcPr>
          <w:p w:rsidR="00576F87" w:rsidRDefault="00576F87"/>
        </w:tc>
        <w:tc>
          <w:tcPr>
            <w:tcW w:w="2465"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348"/>
        </w:trPr>
        <w:tc>
          <w:tcPr>
            <w:tcW w:w="4204"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left="1032"/>
            </w:pPr>
            <w:r>
              <w:rPr>
                <w:rFonts w:ascii="Verdana" w:eastAsia="Verdana" w:hAnsi="Verdana" w:cs="Verdana"/>
                <w:sz w:val="18"/>
              </w:rPr>
              <w:t>Males</w:t>
            </w:r>
          </w:p>
        </w:tc>
        <w:tc>
          <w:tcPr>
            <w:tcW w:w="2659"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23.6</w:t>
            </w:r>
          </w:p>
        </w:tc>
        <w:tc>
          <w:tcPr>
            <w:tcW w:w="2465"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8"/>
              </w:rPr>
              <w:t>23.8</w:t>
            </w:r>
          </w:p>
        </w:tc>
      </w:tr>
      <w:tr w:rsidR="00576F87">
        <w:trPr>
          <w:trHeight w:val="348"/>
        </w:trPr>
        <w:tc>
          <w:tcPr>
            <w:tcW w:w="4204" w:type="dxa"/>
            <w:tcBorders>
              <w:top w:val="single" w:sz="8" w:space="0" w:color="35437C"/>
              <w:left w:val="single" w:sz="12" w:space="0" w:color="35437C"/>
              <w:bottom w:val="single" w:sz="15" w:space="0" w:color="35437C"/>
              <w:right w:val="single" w:sz="8" w:space="0" w:color="35437C"/>
            </w:tcBorders>
          </w:tcPr>
          <w:p w:rsidR="00576F87" w:rsidRDefault="004165F5">
            <w:pPr>
              <w:spacing w:after="0"/>
              <w:ind w:left="1032"/>
            </w:pPr>
            <w:r>
              <w:rPr>
                <w:rFonts w:ascii="Verdana" w:eastAsia="Verdana" w:hAnsi="Verdana" w:cs="Verdana"/>
                <w:sz w:val="18"/>
              </w:rPr>
              <w:t>Females</w:t>
            </w:r>
          </w:p>
        </w:tc>
        <w:tc>
          <w:tcPr>
            <w:tcW w:w="2659" w:type="dxa"/>
            <w:tcBorders>
              <w:top w:val="single" w:sz="8" w:space="0" w:color="35437C"/>
              <w:left w:val="single" w:sz="8" w:space="0" w:color="35437C"/>
              <w:bottom w:val="single" w:sz="15" w:space="0" w:color="35437C"/>
              <w:right w:val="single" w:sz="8" w:space="0" w:color="35437C"/>
            </w:tcBorders>
          </w:tcPr>
          <w:p w:rsidR="00576F87" w:rsidRDefault="004165F5">
            <w:pPr>
              <w:spacing w:after="0"/>
              <w:jc w:val="right"/>
            </w:pPr>
            <w:r>
              <w:rPr>
                <w:rFonts w:ascii="Verdana" w:eastAsia="Verdana" w:hAnsi="Verdana" w:cs="Verdana"/>
                <w:sz w:val="18"/>
              </w:rPr>
              <w:t>26.5</w:t>
            </w:r>
          </w:p>
        </w:tc>
        <w:tc>
          <w:tcPr>
            <w:tcW w:w="2465" w:type="dxa"/>
            <w:tcBorders>
              <w:top w:val="single" w:sz="8" w:space="0" w:color="35437C"/>
              <w:left w:val="single" w:sz="8" w:space="0" w:color="35437C"/>
              <w:bottom w:val="single" w:sz="15" w:space="0" w:color="35437C"/>
              <w:right w:val="single" w:sz="15" w:space="0" w:color="35437C"/>
            </w:tcBorders>
          </w:tcPr>
          <w:p w:rsidR="00576F87" w:rsidRDefault="004165F5">
            <w:pPr>
              <w:spacing w:after="0"/>
              <w:jc w:val="right"/>
            </w:pPr>
            <w:r>
              <w:rPr>
                <w:rFonts w:ascii="Verdana" w:eastAsia="Verdana" w:hAnsi="Verdana" w:cs="Verdana"/>
                <w:sz w:val="18"/>
              </w:rPr>
              <w:t>26.6</w:t>
            </w:r>
          </w:p>
        </w:tc>
      </w:tr>
    </w:tbl>
    <w:p w:rsidR="00576F87" w:rsidRDefault="004165F5">
      <w:pPr>
        <w:spacing w:after="236" w:line="268" w:lineRule="auto"/>
        <w:ind w:left="980" w:hanging="3"/>
        <w:jc w:val="both"/>
      </w:pPr>
      <w:r>
        <w:rPr>
          <w:rFonts w:ascii="Segoe UI Symbol" w:eastAsia="Segoe UI Symbol" w:hAnsi="Segoe UI Symbol" w:cs="Segoe UI Symbol"/>
          <w:sz w:val="20"/>
        </w:rPr>
        <w:t>•</w:t>
      </w:r>
      <w:r>
        <w:rPr>
          <w:rFonts w:ascii="Times New Roman" w:eastAsia="Times New Roman" w:hAnsi="Times New Roman" w:cs="Times New Roman"/>
          <w:sz w:val="14"/>
        </w:rPr>
        <w:t xml:space="preserve">         </w:t>
      </w:r>
      <w:r>
        <w:rPr>
          <w:rFonts w:ascii="Verdana" w:eastAsia="Verdana" w:hAnsi="Verdana" w:cs="Verdana"/>
          <w:sz w:val="18"/>
        </w:rPr>
        <w:t>Members will exchange half of their commutable pension for cash at retirement.</w:t>
      </w:r>
    </w:p>
    <w:p w:rsidR="00576F87" w:rsidRDefault="004165F5">
      <w:pPr>
        <w:spacing w:after="0"/>
        <w:ind w:left="10" w:right="329" w:hanging="10"/>
        <w:jc w:val="right"/>
      </w:pPr>
      <w:r>
        <w:rPr>
          <w:rFonts w:ascii="Times New Roman" w:eastAsia="Times New Roman" w:hAnsi="Times New Roman" w:cs="Times New Roman"/>
          <w:sz w:val="14"/>
        </w:rPr>
        <w:t xml:space="preserve">         </w:t>
      </w:r>
      <w:r>
        <w:rPr>
          <w:rFonts w:ascii="Verdana" w:eastAsia="Verdana" w:hAnsi="Verdana" w:cs="Verdana"/>
          <w:sz w:val="18"/>
        </w:rPr>
        <w:t>Members will retire at one retirement age for all tranches of benefit, which will be the</w:t>
      </w:r>
    </w:p>
    <w:p w:rsidR="00576F87" w:rsidRDefault="004165F5">
      <w:pPr>
        <w:spacing w:after="0"/>
        <w:ind w:left="972" w:hanging="10"/>
      </w:pPr>
      <w:r>
        <w:rPr>
          <w:rFonts w:ascii="Segoe UI Symbol" w:eastAsia="Segoe UI Symbol" w:hAnsi="Segoe UI Symbol" w:cs="Segoe UI Symbol"/>
          <w:sz w:val="20"/>
        </w:rPr>
        <w:t>•</w:t>
      </w:r>
    </w:p>
    <w:p w:rsidR="00576F87" w:rsidRDefault="004165F5">
      <w:pPr>
        <w:spacing w:after="282" w:line="268" w:lineRule="auto"/>
        <w:ind w:left="1433" w:hanging="3"/>
        <w:jc w:val="both"/>
      </w:pPr>
      <w:r>
        <w:rPr>
          <w:rFonts w:ascii="Verdana" w:eastAsia="Verdana" w:hAnsi="Verdana" w:cs="Verdana"/>
          <w:sz w:val="18"/>
        </w:rPr>
        <w:t>pension weighted average tranche retirement age</w:t>
      </w:r>
    </w:p>
    <w:p w:rsidR="00576F87" w:rsidRDefault="004165F5">
      <w:pPr>
        <w:spacing w:after="0"/>
        <w:ind w:left="10" w:right="328" w:hanging="10"/>
        <w:jc w:val="right"/>
      </w:pPr>
      <w:r>
        <w:rPr>
          <w:rFonts w:ascii="Times New Roman" w:eastAsia="Times New Roman" w:hAnsi="Times New Roman" w:cs="Times New Roman"/>
          <w:sz w:val="14"/>
        </w:rPr>
        <w:t xml:space="preserve">         </w:t>
      </w:r>
      <w:r>
        <w:rPr>
          <w:rFonts w:ascii="Verdana" w:eastAsia="Verdana" w:hAnsi="Verdana" w:cs="Verdana"/>
          <w:sz w:val="18"/>
        </w:rPr>
        <w:t>No members will take up the option under the new LGPS to pay 50% of contributions for</w:t>
      </w:r>
    </w:p>
    <w:p w:rsidR="00576F87" w:rsidRDefault="004165F5">
      <w:pPr>
        <w:spacing w:after="0"/>
        <w:ind w:left="972" w:hanging="10"/>
      </w:pPr>
      <w:r>
        <w:rPr>
          <w:rFonts w:ascii="Segoe UI Symbol" w:eastAsia="Segoe UI Symbol" w:hAnsi="Segoe UI Symbol" w:cs="Segoe UI Symbol"/>
          <w:sz w:val="20"/>
        </w:rPr>
        <w:t>•</w:t>
      </w:r>
    </w:p>
    <w:p w:rsidR="00576F87" w:rsidRDefault="004165F5">
      <w:pPr>
        <w:spacing w:after="280" w:line="268" w:lineRule="auto"/>
        <w:ind w:left="1433" w:hanging="3"/>
        <w:jc w:val="both"/>
      </w:pPr>
      <w:r>
        <w:rPr>
          <w:rFonts w:ascii="Verdana" w:eastAsia="Verdana" w:hAnsi="Verdana" w:cs="Verdana"/>
          <w:sz w:val="18"/>
        </w:rPr>
        <w:t>50% of benefits.</w:t>
      </w:r>
    </w:p>
    <w:p w:rsidR="00576F87" w:rsidRDefault="004165F5">
      <w:pPr>
        <w:spacing w:after="101" w:line="268" w:lineRule="auto"/>
        <w:ind w:left="401" w:hanging="3"/>
        <w:jc w:val="both"/>
      </w:pPr>
      <w:r>
        <w:rPr>
          <w:rFonts w:ascii="Verdana" w:eastAsia="Verdana" w:hAnsi="Verdana" w:cs="Verdana"/>
          <w:sz w:val="18"/>
        </w:rPr>
        <w:t>The financial assumptions used for the purposes of the calculations are as follows.</w:t>
      </w:r>
    </w:p>
    <w:tbl>
      <w:tblPr>
        <w:tblStyle w:val="TableGrid"/>
        <w:tblW w:w="9328" w:type="dxa"/>
        <w:tblInd w:w="364" w:type="dxa"/>
        <w:tblCellMar>
          <w:top w:w="87" w:type="dxa"/>
          <w:left w:w="0" w:type="dxa"/>
          <w:bottom w:w="0" w:type="dxa"/>
          <w:right w:w="26" w:type="dxa"/>
        </w:tblCellMar>
        <w:tblLook w:val="04A0" w:firstRow="1" w:lastRow="0" w:firstColumn="1" w:lastColumn="0" w:noHBand="0" w:noVBand="1"/>
      </w:tblPr>
      <w:tblGrid>
        <w:gridCol w:w="1028"/>
        <w:gridCol w:w="3175"/>
        <w:gridCol w:w="2659"/>
        <w:gridCol w:w="2465"/>
      </w:tblGrid>
      <w:tr w:rsidR="00576F87">
        <w:trPr>
          <w:trHeight w:val="369"/>
        </w:trPr>
        <w:tc>
          <w:tcPr>
            <w:tcW w:w="1028" w:type="dxa"/>
            <w:tcBorders>
              <w:top w:val="single" w:sz="15" w:space="0" w:color="35437C"/>
              <w:left w:val="single" w:sz="12" w:space="0" w:color="35437C"/>
              <w:bottom w:val="nil"/>
              <w:right w:val="single" w:sz="15" w:space="0" w:color="35437C"/>
            </w:tcBorders>
            <w:shd w:val="clear" w:color="auto" w:fill="35437C"/>
          </w:tcPr>
          <w:p w:rsidR="00576F87" w:rsidRDefault="00576F87"/>
        </w:tc>
        <w:tc>
          <w:tcPr>
            <w:tcW w:w="3175" w:type="dxa"/>
            <w:tcBorders>
              <w:top w:val="single" w:sz="15" w:space="0" w:color="35437C"/>
              <w:left w:val="single" w:sz="15" w:space="0" w:color="35437C"/>
              <w:bottom w:val="nil"/>
              <w:right w:val="single" w:sz="15" w:space="0" w:color="35437C"/>
            </w:tcBorders>
            <w:shd w:val="clear" w:color="auto" w:fill="35437C"/>
          </w:tcPr>
          <w:p w:rsidR="00576F87" w:rsidRDefault="00576F87"/>
        </w:tc>
        <w:tc>
          <w:tcPr>
            <w:tcW w:w="2659" w:type="dxa"/>
            <w:tcBorders>
              <w:top w:val="single" w:sz="15" w:space="0" w:color="35437C"/>
              <w:left w:val="single" w:sz="15" w:space="0" w:color="35437C"/>
              <w:bottom w:val="nil"/>
              <w:right w:val="single" w:sz="15" w:space="0" w:color="35437C"/>
            </w:tcBorders>
            <w:shd w:val="clear" w:color="auto" w:fill="35437C"/>
          </w:tcPr>
          <w:p w:rsidR="00576F87" w:rsidRDefault="004165F5">
            <w:pPr>
              <w:spacing w:after="0"/>
              <w:ind w:right="12"/>
              <w:jc w:val="right"/>
            </w:pPr>
            <w:r>
              <w:rPr>
                <w:rFonts w:ascii="Verdana" w:eastAsia="Verdana" w:hAnsi="Verdana" w:cs="Verdana"/>
                <w:b/>
                <w:color w:val="FFFFFF"/>
                <w:sz w:val="18"/>
              </w:rPr>
              <w:t>31 March 2017</w:t>
            </w:r>
          </w:p>
        </w:tc>
        <w:tc>
          <w:tcPr>
            <w:tcW w:w="2465" w:type="dxa"/>
            <w:tcBorders>
              <w:top w:val="single" w:sz="15" w:space="0" w:color="35437C"/>
              <w:left w:val="single" w:sz="15" w:space="0" w:color="35437C"/>
              <w:bottom w:val="nil"/>
              <w:right w:val="single" w:sz="15" w:space="0" w:color="35437C"/>
            </w:tcBorders>
            <w:shd w:val="clear" w:color="auto" w:fill="35437C"/>
          </w:tcPr>
          <w:p w:rsidR="00576F87" w:rsidRDefault="004165F5">
            <w:pPr>
              <w:spacing w:after="0"/>
              <w:ind w:right="12"/>
              <w:jc w:val="right"/>
            </w:pPr>
            <w:r>
              <w:rPr>
                <w:rFonts w:ascii="Verdana" w:eastAsia="Verdana" w:hAnsi="Verdana" w:cs="Verdana"/>
                <w:b/>
                <w:color w:val="FFFFFF"/>
                <w:sz w:val="18"/>
              </w:rPr>
              <w:t>31 March 2018</w:t>
            </w:r>
          </w:p>
        </w:tc>
      </w:tr>
      <w:tr w:rsidR="00576F87">
        <w:trPr>
          <w:trHeight w:val="327"/>
        </w:trPr>
        <w:tc>
          <w:tcPr>
            <w:tcW w:w="1028" w:type="dxa"/>
            <w:tcBorders>
              <w:top w:val="nil"/>
              <w:left w:val="single" w:sz="12" w:space="0" w:color="35437C"/>
              <w:bottom w:val="single" w:sz="15" w:space="0" w:color="35437C"/>
              <w:right w:val="single" w:sz="15" w:space="0" w:color="35437C"/>
            </w:tcBorders>
            <w:shd w:val="clear" w:color="auto" w:fill="35437C"/>
          </w:tcPr>
          <w:p w:rsidR="00576F87" w:rsidRDefault="00576F87"/>
        </w:tc>
        <w:tc>
          <w:tcPr>
            <w:tcW w:w="3175" w:type="dxa"/>
            <w:tcBorders>
              <w:top w:val="nil"/>
              <w:left w:val="single" w:sz="15" w:space="0" w:color="35437C"/>
              <w:bottom w:val="single" w:sz="15" w:space="0" w:color="35437C"/>
              <w:right w:val="single" w:sz="15" w:space="0" w:color="35437C"/>
            </w:tcBorders>
            <w:shd w:val="clear" w:color="auto" w:fill="35437C"/>
          </w:tcPr>
          <w:p w:rsidR="00576F87" w:rsidRDefault="00576F87"/>
        </w:tc>
        <w:tc>
          <w:tcPr>
            <w:tcW w:w="2659" w:type="dxa"/>
            <w:tcBorders>
              <w:top w:val="nil"/>
              <w:left w:val="single" w:sz="15" w:space="0" w:color="35437C"/>
              <w:bottom w:val="single" w:sz="15" w:space="0" w:color="35437C"/>
              <w:right w:val="single" w:sz="15" w:space="0" w:color="35437C"/>
            </w:tcBorders>
            <w:shd w:val="clear" w:color="auto" w:fill="35437C"/>
          </w:tcPr>
          <w:p w:rsidR="00576F87" w:rsidRDefault="004165F5">
            <w:pPr>
              <w:spacing w:after="0"/>
              <w:ind w:right="12"/>
              <w:jc w:val="right"/>
            </w:pPr>
            <w:r>
              <w:rPr>
                <w:rFonts w:ascii="Verdana" w:eastAsia="Verdana" w:hAnsi="Verdana" w:cs="Verdana"/>
                <w:b/>
                <w:color w:val="FFFFFF"/>
                <w:sz w:val="18"/>
              </w:rPr>
              <w:t>% p.a.</w:t>
            </w:r>
          </w:p>
        </w:tc>
        <w:tc>
          <w:tcPr>
            <w:tcW w:w="2465" w:type="dxa"/>
            <w:tcBorders>
              <w:top w:val="nil"/>
              <w:left w:val="single" w:sz="15" w:space="0" w:color="35437C"/>
              <w:bottom w:val="single" w:sz="15" w:space="0" w:color="35437C"/>
              <w:right w:val="single" w:sz="15" w:space="0" w:color="35437C"/>
            </w:tcBorders>
            <w:shd w:val="clear" w:color="auto" w:fill="35437C"/>
          </w:tcPr>
          <w:p w:rsidR="00576F87" w:rsidRDefault="004165F5">
            <w:pPr>
              <w:spacing w:after="0"/>
              <w:ind w:right="12"/>
              <w:jc w:val="right"/>
            </w:pPr>
            <w:r>
              <w:rPr>
                <w:rFonts w:ascii="Verdana" w:eastAsia="Verdana" w:hAnsi="Verdana" w:cs="Verdana"/>
                <w:b/>
                <w:color w:val="FFFFFF"/>
                <w:sz w:val="18"/>
              </w:rPr>
              <w:t>% p.a.</w:t>
            </w:r>
          </w:p>
        </w:tc>
      </w:tr>
      <w:tr w:rsidR="00576F87">
        <w:trPr>
          <w:trHeight w:val="420"/>
        </w:trPr>
        <w:tc>
          <w:tcPr>
            <w:tcW w:w="1028" w:type="dxa"/>
            <w:tcBorders>
              <w:top w:val="single" w:sz="15" w:space="0" w:color="35437C"/>
              <w:left w:val="single" w:sz="12" w:space="0" w:color="35437C"/>
              <w:bottom w:val="single" w:sz="8" w:space="0" w:color="35437C"/>
              <w:right w:val="nil"/>
            </w:tcBorders>
            <w:vAlign w:val="center"/>
          </w:tcPr>
          <w:p w:rsidR="00576F87" w:rsidRDefault="004165F5">
            <w:pPr>
              <w:spacing w:after="0"/>
              <w:ind w:left="35"/>
              <w:jc w:val="both"/>
            </w:pPr>
            <w:r>
              <w:rPr>
                <w:rFonts w:ascii="Verdana" w:eastAsia="Verdana" w:hAnsi="Verdana" w:cs="Verdana"/>
                <w:sz w:val="18"/>
              </w:rPr>
              <w:t>RPI increa</w:t>
            </w:r>
          </w:p>
        </w:tc>
        <w:tc>
          <w:tcPr>
            <w:tcW w:w="3175" w:type="dxa"/>
            <w:tcBorders>
              <w:top w:val="single" w:sz="15" w:space="0" w:color="35437C"/>
              <w:left w:val="nil"/>
              <w:bottom w:val="single" w:sz="8" w:space="0" w:color="35437C"/>
              <w:right w:val="single" w:sz="8" w:space="0" w:color="35437C"/>
            </w:tcBorders>
            <w:vAlign w:val="center"/>
          </w:tcPr>
          <w:p w:rsidR="00576F87" w:rsidRDefault="004165F5">
            <w:pPr>
              <w:spacing w:after="0"/>
              <w:ind w:left="-74"/>
            </w:pPr>
            <w:r>
              <w:rPr>
                <w:rFonts w:ascii="Verdana" w:eastAsia="Verdana" w:hAnsi="Verdana" w:cs="Verdana"/>
                <w:sz w:val="18"/>
              </w:rPr>
              <w:t xml:space="preserve">ses </w:t>
            </w:r>
          </w:p>
        </w:tc>
        <w:tc>
          <w:tcPr>
            <w:tcW w:w="2659" w:type="dxa"/>
            <w:tcBorders>
              <w:top w:val="single" w:sz="15" w:space="0" w:color="35437C"/>
              <w:left w:val="single" w:sz="8" w:space="0" w:color="35437C"/>
              <w:bottom w:val="single" w:sz="8" w:space="0" w:color="35437C"/>
              <w:right w:val="single" w:sz="8" w:space="0" w:color="35437C"/>
            </w:tcBorders>
            <w:vAlign w:val="center"/>
          </w:tcPr>
          <w:p w:rsidR="00576F87" w:rsidRDefault="004165F5">
            <w:pPr>
              <w:spacing w:after="0"/>
              <w:ind w:right="311"/>
              <w:jc w:val="right"/>
            </w:pPr>
            <w:r>
              <w:rPr>
                <w:rFonts w:ascii="Verdana" w:eastAsia="Verdana" w:hAnsi="Verdana" w:cs="Verdana"/>
                <w:sz w:val="18"/>
              </w:rPr>
              <w:t>3.5</w:t>
            </w:r>
          </w:p>
        </w:tc>
        <w:tc>
          <w:tcPr>
            <w:tcW w:w="2465" w:type="dxa"/>
            <w:tcBorders>
              <w:top w:val="single" w:sz="15" w:space="0" w:color="35437C"/>
              <w:left w:val="single" w:sz="8" w:space="0" w:color="35437C"/>
              <w:bottom w:val="single" w:sz="8" w:space="0" w:color="35437C"/>
              <w:right w:val="single" w:sz="15" w:space="0" w:color="35437C"/>
            </w:tcBorders>
            <w:vAlign w:val="center"/>
          </w:tcPr>
          <w:p w:rsidR="00576F87" w:rsidRDefault="004165F5">
            <w:pPr>
              <w:spacing w:after="0"/>
              <w:ind w:right="310"/>
              <w:jc w:val="right"/>
            </w:pPr>
            <w:r>
              <w:rPr>
                <w:rFonts w:ascii="Verdana" w:eastAsia="Verdana" w:hAnsi="Verdana" w:cs="Verdana"/>
                <w:sz w:val="18"/>
              </w:rPr>
              <w:t>3.35</w:t>
            </w:r>
          </w:p>
        </w:tc>
      </w:tr>
      <w:tr w:rsidR="00576F87">
        <w:trPr>
          <w:trHeight w:val="420"/>
        </w:trPr>
        <w:tc>
          <w:tcPr>
            <w:tcW w:w="1028" w:type="dxa"/>
            <w:tcBorders>
              <w:top w:val="single" w:sz="8" w:space="0" w:color="35437C"/>
              <w:left w:val="single" w:sz="12" w:space="0" w:color="35437C"/>
              <w:bottom w:val="single" w:sz="8" w:space="0" w:color="35437C"/>
              <w:right w:val="nil"/>
            </w:tcBorders>
            <w:vAlign w:val="center"/>
          </w:tcPr>
          <w:p w:rsidR="00576F87" w:rsidRDefault="004165F5">
            <w:pPr>
              <w:spacing w:after="0"/>
              <w:ind w:left="35"/>
              <w:jc w:val="both"/>
            </w:pPr>
            <w:r>
              <w:rPr>
                <w:rFonts w:ascii="Verdana" w:eastAsia="Verdana" w:hAnsi="Verdana" w:cs="Verdana"/>
                <w:sz w:val="18"/>
              </w:rPr>
              <w:t>CPI increa</w:t>
            </w:r>
          </w:p>
        </w:tc>
        <w:tc>
          <w:tcPr>
            <w:tcW w:w="3175" w:type="dxa"/>
            <w:tcBorders>
              <w:top w:val="single" w:sz="8" w:space="0" w:color="35437C"/>
              <w:left w:val="nil"/>
              <w:bottom w:val="single" w:sz="8" w:space="0" w:color="35437C"/>
              <w:right w:val="single" w:sz="8" w:space="0" w:color="35437C"/>
            </w:tcBorders>
            <w:vAlign w:val="center"/>
          </w:tcPr>
          <w:p w:rsidR="00576F87" w:rsidRDefault="004165F5">
            <w:pPr>
              <w:spacing w:after="0"/>
              <w:ind w:left="-74"/>
            </w:pPr>
            <w:r>
              <w:rPr>
                <w:rFonts w:ascii="Verdana" w:eastAsia="Verdana" w:hAnsi="Verdana" w:cs="Verdana"/>
                <w:sz w:val="18"/>
              </w:rPr>
              <w:t>ses</w:t>
            </w:r>
          </w:p>
        </w:tc>
        <w:tc>
          <w:tcPr>
            <w:tcW w:w="2659"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11"/>
              <w:jc w:val="right"/>
            </w:pPr>
            <w:r>
              <w:rPr>
                <w:rFonts w:ascii="Verdana" w:eastAsia="Verdana" w:hAnsi="Verdana" w:cs="Verdana"/>
                <w:sz w:val="18"/>
              </w:rPr>
              <w:t>2.6</w:t>
            </w:r>
          </w:p>
        </w:tc>
        <w:tc>
          <w:tcPr>
            <w:tcW w:w="2465"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310"/>
              <w:jc w:val="right"/>
            </w:pPr>
            <w:r>
              <w:rPr>
                <w:rFonts w:ascii="Verdana" w:eastAsia="Verdana" w:hAnsi="Verdana" w:cs="Verdana"/>
                <w:sz w:val="18"/>
              </w:rPr>
              <w:t>2.35</w:t>
            </w:r>
          </w:p>
        </w:tc>
      </w:tr>
      <w:tr w:rsidR="00576F87">
        <w:trPr>
          <w:trHeight w:val="420"/>
        </w:trPr>
        <w:tc>
          <w:tcPr>
            <w:tcW w:w="1028" w:type="dxa"/>
            <w:tcBorders>
              <w:top w:val="single" w:sz="8" w:space="0" w:color="35437C"/>
              <w:left w:val="single" w:sz="12" w:space="0" w:color="35437C"/>
              <w:bottom w:val="single" w:sz="8" w:space="0" w:color="35437C"/>
              <w:right w:val="nil"/>
            </w:tcBorders>
            <w:vAlign w:val="center"/>
          </w:tcPr>
          <w:p w:rsidR="00576F87" w:rsidRDefault="004165F5">
            <w:pPr>
              <w:spacing w:after="0"/>
              <w:ind w:left="35"/>
              <w:jc w:val="both"/>
            </w:pPr>
            <w:r>
              <w:rPr>
                <w:rFonts w:ascii="Verdana" w:eastAsia="Verdana" w:hAnsi="Verdana" w:cs="Verdana"/>
                <w:sz w:val="18"/>
              </w:rPr>
              <w:t>Salary incr</w:t>
            </w:r>
          </w:p>
        </w:tc>
        <w:tc>
          <w:tcPr>
            <w:tcW w:w="3175" w:type="dxa"/>
            <w:tcBorders>
              <w:top w:val="single" w:sz="8" w:space="0" w:color="35437C"/>
              <w:left w:val="nil"/>
              <w:bottom w:val="single" w:sz="8" w:space="0" w:color="35437C"/>
              <w:right w:val="single" w:sz="8" w:space="0" w:color="35437C"/>
            </w:tcBorders>
            <w:vAlign w:val="center"/>
          </w:tcPr>
          <w:p w:rsidR="00576F87" w:rsidRDefault="004165F5">
            <w:pPr>
              <w:spacing w:after="0"/>
              <w:ind w:left="-26"/>
            </w:pPr>
            <w:r>
              <w:rPr>
                <w:rFonts w:ascii="Verdana" w:eastAsia="Verdana" w:hAnsi="Verdana" w:cs="Verdana"/>
                <w:sz w:val="18"/>
              </w:rPr>
              <w:t>eases</w:t>
            </w:r>
          </w:p>
        </w:tc>
        <w:tc>
          <w:tcPr>
            <w:tcW w:w="2659"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11"/>
              <w:jc w:val="right"/>
            </w:pPr>
            <w:r>
              <w:rPr>
                <w:rFonts w:ascii="Verdana" w:eastAsia="Verdana" w:hAnsi="Verdana" w:cs="Verdana"/>
                <w:sz w:val="18"/>
              </w:rPr>
              <w:t>4.1</w:t>
            </w:r>
          </w:p>
        </w:tc>
        <w:tc>
          <w:tcPr>
            <w:tcW w:w="2465"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310"/>
              <w:jc w:val="right"/>
            </w:pPr>
            <w:r>
              <w:rPr>
                <w:rFonts w:ascii="Verdana" w:eastAsia="Verdana" w:hAnsi="Verdana" w:cs="Verdana"/>
                <w:sz w:val="18"/>
              </w:rPr>
              <w:t>3.85</w:t>
            </w:r>
          </w:p>
        </w:tc>
      </w:tr>
      <w:tr w:rsidR="00576F87">
        <w:trPr>
          <w:trHeight w:val="420"/>
        </w:trPr>
        <w:tc>
          <w:tcPr>
            <w:tcW w:w="1028" w:type="dxa"/>
            <w:tcBorders>
              <w:top w:val="single" w:sz="8" w:space="0" w:color="35437C"/>
              <w:left w:val="single" w:sz="12" w:space="0" w:color="35437C"/>
              <w:bottom w:val="single" w:sz="8" w:space="0" w:color="35437C"/>
              <w:right w:val="nil"/>
            </w:tcBorders>
            <w:vAlign w:val="center"/>
          </w:tcPr>
          <w:p w:rsidR="00576F87" w:rsidRDefault="004165F5">
            <w:pPr>
              <w:spacing w:after="0"/>
              <w:ind w:left="35"/>
              <w:jc w:val="both"/>
            </w:pPr>
            <w:r>
              <w:rPr>
                <w:rFonts w:ascii="Verdana" w:eastAsia="Verdana" w:hAnsi="Verdana" w:cs="Verdana"/>
                <w:sz w:val="18"/>
              </w:rPr>
              <w:t>Pension in</w:t>
            </w:r>
          </w:p>
        </w:tc>
        <w:tc>
          <w:tcPr>
            <w:tcW w:w="3175" w:type="dxa"/>
            <w:tcBorders>
              <w:top w:val="single" w:sz="8" w:space="0" w:color="35437C"/>
              <w:left w:val="nil"/>
              <w:bottom w:val="single" w:sz="8" w:space="0" w:color="35437C"/>
              <w:right w:val="single" w:sz="8" w:space="0" w:color="35437C"/>
            </w:tcBorders>
            <w:vAlign w:val="center"/>
          </w:tcPr>
          <w:p w:rsidR="00576F87" w:rsidRDefault="004165F5">
            <w:pPr>
              <w:spacing w:after="0"/>
              <w:ind w:left="-72"/>
            </w:pPr>
            <w:r>
              <w:rPr>
                <w:rFonts w:ascii="Verdana" w:eastAsia="Verdana" w:hAnsi="Verdana" w:cs="Verdana"/>
                <w:sz w:val="18"/>
              </w:rPr>
              <w:t>creases</w:t>
            </w:r>
          </w:p>
        </w:tc>
        <w:tc>
          <w:tcPr>
            <w:tcW w:w="2659"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11"/>
              <w:jc w:val="right"/>
            </w:pPr>
            <w:r>
              <w:rPr>
                <w:rFonts w:ascii="Verdana" w:eastAsia="Verdana" w:hAnsi="Verdana" w:cs="Verdana"/>
                <w:sz w:val="18"/>
              </w:rPr>
              <w:t>2.6</w:t>
            </w:r>
          </w:p>
        </w:tc>
        <w:tc>
          <w:tcPr>
            <w:tcW w:w="2465"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310"/>
              <w:jc w:val="right"/>
            </w:pPr>
            <w:r>
              <w:rPr>
                <w:rFonts w:ascii="Verdana" w:eastAsia="Verdana" w:hAnsi="Verdana" w:cs="Verdana"/>
                <w:sz w:val="18"/>
              </w:rPr>
              <w:t>2.35</w:t>
            </w:r>
          </w:p>
        </w:tc>
      </w:tr>
      <w:tr w:rsidR="00576F87">
        <w:trPr>
          <w:trHeight w:val="420"/>
        </w:trPr>
        <w:tc>
          <w:tcPr>
            <w:tcW w:w="1028" w:type="dxa"/>
            <w:tcBorders>
              <w:top w:val="single" w:sz="8" w:space="0" w:color="35437C"/>
              <w:left w:val="single" w:sz="12" w:space="0" w:color="35437C"/>
              <w:bottom w:val="single" w:sz="15" w:space="0" w:color="35437C"/>
              <w:right w:val="nil"/>
            </w:tcBorders>
            <w:vAlign w:val="center"/>
          </w:tcPr>
          <w:p w:rsidR="00576F87" w:rsidRDefault="004165F5">
            <w:pPr>
              <w:spacing w:after="0"/>
              <w:ind w:left="35"/>
              <w:jc w:val="both"/>
            </w:pPr>
            <w:r>
              <w:rPr>
                <w:rFonts w:ascii="Verdana" w:eastAsia="Verdana" w:hAnsi="Verdana" w:cs="Verdana"/>
                <w:sz w:val="18"/>
              </w:rPr>
              <w:t>Discount r</w:t>
            </w:r>
          </w:p>
        </w:tc>
        <w:tc>
          <w:tcPr>
            <w:tcW w:w="3175" w:type="dxa"/>
            <w:tcBorders>
              <w:top w:val="single" w:sz="8" w:space="0" w:color="35437C"/>
              <w:left w:val="nil"/>
              <w:bottom w:val="single" w:sz="15" w:space="0" w:color="35437C"/>
              <w:right w:val="single" w:sz="8" w:space="0" w:color="35437C"/>
            </w:tcBorders>
            <w:vAlign w:val="center"/>
          </w:tcPr>
          <w:p w:rsidR="00576F87" w:rsidRDefault="004165F5">
            <w:pPr>
              <w:spacing w:after="0"/>
              <w:ind w:left="-69"/>
            </w:pPr>
            <w:r>
              <w:rPr>
                <w:rFonts w:ascii="Verdana" w:eastAsia="Verdana" w:hAnsi="Verdana" w:cs="Verdana"/>
                <w:sz w:val="18"/>
              </w:rPr>
              <w:t>ate</w:t>
            </w:r>
          </w:p>
        </w:tc>
        <w:tc>
          <w:tcPr>
            <w:tcW w:w="2659" w:type="dxa"/>
            <w:tcBorders>
              <w:top w:val="single" w:sz="8" w:space="0" w:color="35437C"/>
              <w:left w:val="single" w:sz="8" w:space="0" w:color="35437C"/>
              <w:bottom w:val="single" w:sz="15" w:space="0" w:color="35437C"/>
              <w:right w:val="single" w:sz="8" w:space="0" w:color="35437C"/>
            </w:tcBorders>
            <w:vAlign w:val="center"/>
          </w:tcPr>
          <w:p w:rsidR="00576F87" w:rsidRDefault="004165F5">
            <w:pPr>
              <w:spacing w:after="0"/>
              <w:ind w:right="311"/>
              <w:jc w:val="right"/>
            </w:pPr>
            <w:r>
              <w:rPr>
                <w:rFonts w:ascii="Verdana" w:eastAsia="Verdana" w:hAnsi="Verdana" w:cs="Verdana"/>
                <w:sz w:val="18"/>
              </w:rPr>
              <w:t>2.7</w:t>
            </w:r>
          </w:p>
        </w:tc>
        <w:tc>
          <w:tcPr>
            <w:tcW w:w="2465" w:type="dxa"/>
            <w:tcBorders>
              <w:top w:val="single" w:sz="8" w:space="0" w:color="35437C"/>
              <w:left w:val="single" w:sz="8" w:space="0" w:color="35437C"/>
              <w:bottom w:val="single" w:sz="15" w:space="0" w:color="35437C"/>
              <w:right w:val="single" w:sz="15" w:space="0" w:color="35437C"/>
            </w:tcBorders>
            <w:vAlign w:val="center"/>
          </w:tcPr>
          <w:p w:rsidR="00576F87" w:rsidRDefault="004165F5">
            <w:pPr>
              <w:spacing w:after="0"/>
              <w:ind w:right="310"/>
              <w:jc w:val="right"/>
            </w:pPr>
            <w:r>
              <w:rPr>
                <w:rFonts w:ascii="Verdana" w:eastAsia="Verdana" w:hAnsi="Verdana" w:cs="Verdana"/>
                <w:sz w:val="18"/>
              </w:rPr>
              <w:t>2.55</w:t>
            </w:r>
          </w:p>
        </w:tc>
      </w:tr>
    </w:tbl>
    <w:p w:rsidR="00576F87" w:rsidRDefault="004165F5">
      <w:pPr>
        <w:spacing w:after="5" w:line="268" w:lineRule="auto"/>
        <w:ind w:left="401" w:hanging="3"/>
        <w:jc w:val="both"/>
      </w:pPr>
      <w:r>
        <w:rPr>
          <w:rFonts w:ascii="Verdana" w:eastAsia="Verdana" w:hAnsi="Verdana" w:cs="Verdana"/>
          <w:sz w:val="18"/>
        </w:rPr>
        <w:t>These assumptions are set with reference to market conditions at 31 March 2018.</w:t>
      </w:r>
    </w:p>
    <w:p w:rsidR="00576F87" w:rsidRDefault="00576F87">
      <w:pPr>
        <w:sectPr w:rsidR="00576F87">
          <w:headerReference w:type="even" r:id="rId90"/>
          <w:headerReference w:type="default" r:id="rId91"/>
          <w:footerReference w:type="even" r:id="rId92"/>
          <w:footerReference w:type="default" r:id="rId93"/>
          <w:headerReference w:type="first" r:id="rId94"/>
          <w:footerReference w:type="first" r:id="rId95"/>
          <w:pgSz w:w="11900" w:h="16840"/>
          <w:pgMar w:top="1149" w:right="1243" w:bottom="507" w:left="672" w:header="720" w:footer="720" w:gutter="0"/>
          <w:cols w:space="720"/>
        </w:sectPr>
      </w:pPr>
    </w:p>
    <w:p w:rsidR="00576F87" w:rsidRDefault="004165F5">
      <w:pPr>
        <w:spacing w:after="249"/>
        <w:ind w:left="36"/>
      </w:pPr>
      <w:r>
        <w:rPr>
          <w:rFonts w:ascii="Verdana" w:eastAsia="Verdana" w:hAnsi="Verdana" w:cs="Verdana"/>
          <w:b/>
          <w:color w:val="009784"/>
          <w:sz w:val="36"/>
        </w:rPr>
        <w:t xml:space="preserve">7  </w:t>
      </w:r>
      <w:r>
        <w:rPr>
          <w:rFonts w:ascii="Verdana" w:eastAsia="Verdana" w:hAnsi="Verdana" w:cs="Verdana"/>
          <w:color w:val="16365C"/>
          <w:sz w:val="36"/>
        </w:rPr>
        <w:t>Actuarial Statement</w:t>
      </w:r>
    </w:p>
    <w:p w:rsidR="00576F87" w:rsidRDefault="004165F5">
      <w:pPr>
        <w:pStyle w:val="Heading1"/>
        <w:spacing w:after="296" w:line="259" w:lineRule="auto"/>
        <w:ind w:left="17"/>
      </w:pPr>
      <w:r>
        <w:rPr>
          <w:color w:val="1F497C"/>
        </w:rPr>
        <w:t>Introduction</w:t>
      </w:r>
    </w:p>
    <w:p w:rsidR="00576F87" w:rsidRDefault="004165F5">
      <w:pPr>
        <w:spacing w:after="44" w:line="268" w:lineRule="auto"/>
        <w:ind w:left="-7" w:hanging="3"/>
        <w:jc w:val="both"/>
      </w:pPr>
      <w:r>
        <w:rPr>
          <w:rFonts w:ascii="Verdana" w:eastAsia="Verdana" w:hAnsi="Verdana" w:cs="Verdana"/>
          <w:sz w:val="18"/>
        </w:rPr>
        <w:t>The last full triennial valuation of the London Pensions Fund Authority Pension Fund was carried out as at 31 March 2016 in accordance with the Funding Strategy Statement of the Fund. The results were published in the triennial valuation report dated March</w:t>
      </w:r>
      <w:r>
        <w:rPr>
          <w:rFonts w:ascii="Verdana" w:eastAsia="Verdana" w:hAnsi="Verdana" w:cs="Verdana"/>
          <w:sz w:val="18"/>
        </w:rPr>
        <w:t xml:space="preserve"> 2017. The next formal valuation will be carried out as at 31 March 2019, with new contribution rates set from 1 April 2020.</w:t>
      </w:r>
    </w:p>
    <w:p w:rsidR="00576F87" w:rsidRDefault="004165F5">
      <w:pPr>
        <w:spacing w:after="320" w:line="268" w:lineRule="auto"/>
        <w:ind w:left="-7" w:hanging="3"/>
        <w:jc w:val="both"/>
      </w:pPr>
      <w:r>
        <w:rPr>
          <w:rFonts w:ascii="Verdana" w:eastAsia="Verdana" w:hAnsi="Verdana" w:cs="Verdana"/>
          <w:sz w:val="18"/>
        </w:rPr>
        <w:t xml:space="preserve">This statement gives an update on the likely progression of the funding position to 31 March 2018 and comments on the main factors </w:t>
      </w:r>
      <w:r>
        <w:rPr>
          <w:rFonts w:ascii="Verdana" w:eastAsia="Verdana" w:hAnsi="Verdana" w:cs="Verdana"/>
          <w:sz w:val="18"/>
        </w:rPr>
        <w:t>that have led to a change since the full valuation as at 31 March 2016.</w:t>
      </w:r>
    </w:p>
    <w:p w:rsidR="00576F87" w:rsidRDefault="004165F5">
      <w:pPr>
        <w:pStyle w:val="Heading2"/>
        <w:spacing w:line="259" w:lineRule="auto"/>
        <w:ind w:left="17"/>
      </w:pPr>
      <w:r>
        <w:rPr>
          <w:b/>
          <w:color w:val="1F497C"/>
        </w:rPr>
        <w:t>2016 valuation results</w:t>
      </w:r>
    </w:p>
    <w:p w:rsidR="00576F87" w:rsidRDefault="004165F5">
      <w:pPr>
        <w:spacing w:after="243" w:line="264" w:lineRule="auto"/>
        <w:ind w:left="2" w:right="12" w:hanging="10"/>
        <w:jc w:val="both"/>
      </w:pPr>
      <w:r>
        <w:rPr>
          <w:rFonts w:ascii="Verdana" w:eastAsia="Verdana" w:hAnsi="Verdana" w:cs="Verdana"/>
          <w:sz w:val="20"/>
        </w:rPr>
        <w:t>The results for the Fund at 31 March 2016 were as follows</w:t>
      </w:r>
    </w:p>
    <w:p w:rsidR="00576F87" w:rsidRDefault="004165F5">
      <w:pPr>
        <w:spacing w:after="84" w:line="268" w:lineRule="auto"/>
        <w:ind w:left="1035" w:hanging="3"/>
        <w:jc w:val="both"/>
      </w:pPr>
      <w:r>
        <w:rPr>
          <w:rFonts w:ascii="Verdana" w:eastAsia="Verdana" w:hAnsi="Verdana" w:cs="Verdana"/>
          <w:sz w:val="18"/>
        </w:rPr>
        <w:t xml:space="preserve">The Fund as a whole had a funding level of 96% i.e. the assets were 96% of the value </w:t>
      </w:r>
    </w:p>
    <w:p w:rsidR="00576F87" w:rsidRDefault="004165F5">
      <w:pPr>
        <w:numPr>
          <w:ilvl w:val="0"/>
          <w:numId w:val="13"/>
        </w:numPr>
        <w:spacing w:after="83" w:line="258" w:lineRule="auto"/>
        <w:ind w:hanging="670"/>
      </w:pPr>
      <w:r>
        <w:rPr>
          <w:rFonts w:ascii="Verdana" w:eastAsia="Verdana" w:hAnsi="Verdana" w:cs="Verdana"/>
          <w:sz w:val="18"/>
        </w:rPr>
        <w:t>that they would have needed to be to pay for the benefits accrued to that date, based on the assumptions used.  This corresponds to a deficit of £183m which is lower than the deficit at the previous valuation in 2013.</w:t>
      </w:r>
    </w:p>
    <w:p w:rsidR="00576F87" w:rsidRDefault="004165F5">
      <w:pPr>
        <w:spacing w:after="97"/>
        <w:ind w:left="10" w:right="82" w:hanging="10"/>
        <w:jc w:val="right"/>
      </w:pPr>
      <w:r>
        <w:rPr>
          <w:rFonts w:ascii="Verdana" w:eastAsia="Verdana" w:hAnsi="Verdana" w:cs="Verdana"/>
          <w:sz w:val="18"/>
        </w:rPr>
        <w:t>The contribution rate for each employe</w:t>
      </w:r>
      <w:r>
        <w:rPr>
          <w:rFonts w:ascii="Verdana" w:eastAsia="Verdana" w:hAnsi="Verdana" w:cs="Verdana"/>
          <w:sz w:val="18"/>
        </w:rPr>
        <w:t xml:space="preserve">r was set based on the annual cost of new benefits </w:t>
      </w:r>
    </w:p>
    <w:p w:rsidR="00576F87" w:rsidRDefault="004165F5">
      <w:pPr>
        <w:numPr>
          <w:ilvl w:val="0"/>
          <w:numId w:val="13"/>
        </w:numPr>
        <w:spacing w:after="162" w:line="268" w:lineRule="auto"/>
        <w:ind w:hanging="670"/>
      </w:pPr>
      <w:r>
        <w:rPr>
          <w:rFonts w:ascii="Verdana" w:eastAsia="Verdana" w:hAnsi="Verdana" w:cs="Verdana"/>
          <w:sz w:val="18"/>
        </w:rPr>
        <w:t>plus any adjustment (usually expressed as a lump sum payment) required to pay for their individual deficit.</w:t>
      </w:r>
    </w:p>
    <w:p w:rsidR="00576F87" w:rsidRDefault="004165F5">
      <w:pPr>
        <w:spacing w:after="101" w:line="268" w:lineRule="auto"/>
        <w:ind w:left="1035" w:hanging="3"/>
        <w:jc w:val="both"/>
      </w:pPr>
      <w:r>
        <w:rPr>
          <w:rFonts w:ascii="Verdana" w:eastAsia="Verdana" w:hAnsi="Verdana" w:cs="Verdana"/>
          <w:sz w:val="18"/>
        </w:rPr>
        <w:t xml:space="preserve">The assumptions used for each employer in setting these contributions varied based on </w:t>
      </w:r>
    </w:p>
    <w:p w:rsidR="00576F87" w:rsidRDefault="004165F5">
      <w:pPr>
        <w:numPr>
          <w:ilvl w:val="0"/>
          <w:numId w:val="13"/>
        </w:numPr>
        <w:spacing w:after="419" w:line="268" w:lineRule="auto"/>
        <w:ind w:hanging="670"/>
      </w:pPr>
      <w:r>
        <w:rPr>
          <w:rFonts w:ascii="Verdana" w:eastAsia="Verdana" w:hAnsi="Verdana" w:cs="Verdana"/>
          <w:sz w:val="18"/>
        </w:rPr>
        <w:t>the period that they were expected to continue in the Fund and the assessed strength of their covenant.</w:t>
      </w:r>
    </w:p>
    <w:p w:rsidR="00576F87" w:rsidRDefault="004165F5">
      <w:pPr>
        <w:numPr>
          <w:ilvl w:val="0"/>
          <w:numId w:val="13"/>
        </w:numPr>
        <w:spacing w:after="83" w:line="258" w:lineRule="auto"/>
        <w:ind w:hanging="670"/>
      </w:pPr>
      <w:r>
        <w:rPr>
          <w:rFonts w:ascii="Verdana" w:eastAsia="Verdana" w:hAnsi="Verdana" w:cs="Verdana"/>
          <w:sz w:val="18"/>
        </w:rPr>
        <w:t xml:space="preserve">The contributions for employers with a strong covenant that were expected to stay in the Fund over the long term were set using the same assumptions as </w:t>
      </w:r>
      <w:r>
        <w:rPr>
          <w:rFonts w:ascii="Verdana" w:eastAsia="Verdana" w:hAnsi="Verdana" w:cs="Verdana"/>
          <w:sz w:val="18"/>
        </w:rPr>
        <w:t>the overall Fund results with an individual deficit recovery period of up to a maximum of 14 years.</w:t>
      </w:r>
    </w:p>
    <w:p w:rsidR="00576F87" w:rsidRDefault="004165F5">
      <w:pPr>
        <w:spacing w:after="91" w:line="268" w:lineRule="auto"/>
        <w:ind w:left="1035" w:hanging="3"/>
        <w:jc w:val="both"/>
      </w:pPr>
      <w:r>
        <w:rPr>
          <w:rFonts w:ascii="Verdana" w:eastAsia="Verdana" w:hAnsi="Verdana" w:cs="Verdana"/>
          <w:sz w:val="18"/>
        </w:rPr>
        <w:t>The contributions for less secure employers were set using more prudent discount rate assumptions and with a shorter maximum individual deficit recovery per</w:t>
      </w:r>
      <w:r>
        <w:rPr>
          <w:rFonts w:ascii="Verdana" w:eastAsia="Verdana" w:hAnsi="Verdana" w:cs="Verdana"/>
          <w:sz w:val="18"/>
        </w:rPr>
        <w:t xml:space="preserve">iod than the more </w:t>
      </w:r>
    </w:p>
    <w:p w:rsidR="00576F87" w:rsidRDefault="004165F5">
      <w:pPr>
        <w:numPr>
          <w:ilvl w:val="0"/>
          <w:numId w:val="13"/>
        </w:numPr>
        <w:spacing w:after="407" w:line="258" w:lineRule="auto"/>
        <w:ind w:hanging="670"/>
      </w:pPr>
      <w:r>
        <w:rPr>
          <w:rFonts w:ascii="Verdana" w:eastAsia="Verdana" w:hAnsi="Verdana" w:cs="Verdana"/>
          <w:sz w:val="18"/>
        </w:rPr>
        <w:t>secure employers.  If these employers were expected to leave the Fund shortly, then contributions were set which target a fully funded position on a minimum risk basis when they leave the Fund.</w:t>
      </w:r>
    </w:p>
    <w:p w:rsidR="00576F87" w:rsidRDefault="004165F5">
      <w:pPr>
        <w:pStyle w:val="Heading1"/>
        <w:spacing w:after="0" w:line="259" w:lineRule="auto"/>
        <w:ind w:left="17"/>
      </w:pPr>
      <w:r>
        <w:rPr>
          <w:color w:val="1F497C"/>
        </w:rPr>
        <w:t>Updated position</w:t>
      </w:r>
    </w:p>
    <w:p w:rsidR="00576F87" w:rsidRDefault="004165F5">
      <w:pPr>
        <w:spacing w:after="910" w:line="268" w:lineRule="auto"/>
        <w:ind w:left="-7" w:hanging="3"/>
        <w:jc w:val="both"/>
      </w:pPr>
      <w:r>
        <w:rPr>
          <w:rFonts w:ascii="Verdana" w:eastAsia="Verdana" w:hAnsi="Verdana" w:cs="Verdana"/>
          <w:sz w:val="18"/>
        </w:rPr>
        <w:t>Using an approach consiste</w:t>
      </w:r>
      <w:r>
        <w:rPr>
          <w:rFonts w:ascii="Verdana" w:eastAsia="Verdana" w:hAnsi="Verdana" w:cs="Verdana"/>
          <w:sz w:val="18"/>
        </w:rPr>
        <w:t>nt with the 2016 valuation, the funding position at 31 March 2018 is projected to have improved, primarily due to strong Fund asset returns and payment of deficit contributions.</w:t>
      </w:r>
    </w:p>
    <w:p w:rsidR="00576F87" w:rsidRDefault="004165F5">
      <w:pPr>
        <w:pStyle w:val="Heading2"/>
        <w:spacing w:after="22"/>
        <w:ind w:left="5" w:hanging="8"/>
      </w:pPr>
      <w:r>
        <w:rPr>
          <w:b/>
          <w:color w:val="000000"/>
          <w:sz w:val="20"/>
        </w:rPr>
        <w:t>Graeme D Muir FFA Partner, Barnett Waddingham LLP</w:t>
      </w:r>
    </w:p>
    <w:p w:rsidR="00576F87" w:rsidRDefault="004165F5">
      <w:pPr>
        <w:spacing w:after="259" w:line="268" w:lineRule="auto"/>
        <w:ind w:left="-7" w:hanging="3"/>
        <w:jc w:val="both"/>
      </w:pPr>
      <w:r>
        <w:rPr>
          <w:rFonts w:ascii="Verdana" w:eastAsia="Verdana" w:hAnsi="Verdana" w:cs="Verdana"/>
          <w:sz w:val="18"/>
        </w:rPr>
        <w:t>Based on any employer with w</w:t>
      </w:r>
      <w:r>
        <w:rPr>
          <w:rFonts w:ascii="Verdana" w:eastAsia="Verdana" w:hAnsi="Verdana" w:cs="Verdana"/>
          <w:sz w:val="18"/>
        </w:rPr>
        <w:t>hom the LPFA has had an economic transfer in 2017/18</w:t>
      </w:r>
    </w:p>
    <w:tbl>
      <w:tblPr>
        <w:tblStyle w:val="TableGrid"/>
        <w:tblW w:w="9229" w:type="dxa"/>
        <w:tblInd w:w="-35" w:type="dxa"/>
        <w:tblCellMar>
          <w:top w:w="70" w:type="dxa"/>
          <w:left w:w="35" w:type="dxa"/>
          <w:bottom w:w="0" w:type="dxa"/>
          <w:right w:w="44" w:type="dxa"/>
        </w:tblCellMar>
        <w:tblLook w:val="04A0" w:firstRow="1" w:lastRow="0" w:firstColumn="1" w:lastColumn="0" w:noHBand="0" w:noVBand="1"/>
      </w:tblPr>
      <w:tblGrid>
        <w:gridCol w:w="6200"/>
        <w:gridCol w:w="3029"/>
      </w:tblGrid>
      <w:tr w:rsidR="00576F87">
        <w:trPr>
          <w:trHeight w:val="290"/>
        </w:trPr>
        <w:tc>
          <w:tcPr>
            <w:tcW w:w="6200" w:type="dxa"/>
            <w:tcBorders>
              <w:top w:val="nil"/>
              <w:left w:val="single" w:sz="12" w:space="0" w:color="000070"/>
              <w:bottom w:val="single" w:sz="8" w:space="0" w:color="000070"/>
              <w:right w:val="single" w:sz="8" w:space="0" w:color="000070"/>
            </w:tcBorders>
            <w:shd w:val="clear" w:color="auto" w:fill="1F497C"/>
          </w:tcPr>
          <w:p w:rsidR="00576F87" w:rsidRDefault="004165F5">
            <w:pPr>
              <w:spacing w:after="0"/>
            </w:pPr>
            <w:r>
              <w:rPr>
                <w:b/>
                <w:color w:val="FFFFFF"/>
              </w:rPr>
              <w:t>Employer Body</w:t>
            </w:r>
          </w:p>
        </w:tc>
        <w:tc>
          <w:tcPr>
            <w:tcW w:w="3029" w:type="dxa"/>
            <w:tcBorders>
              <w:top w:val="nil"/>
              <w:left w:val="single" w:sz="8" w:space="0" w:color="000070"/>
              <w:bottom w:val="single" w:sz="8" w:space="0" w:color="000070"/>
              <w:right w:val="nil"/>
            </w:tcBorders>
            <w:shd w:val="clear" w:color="auto" w:fill="1F497C"/>
          </w:tcPr>
          <w:p w:rsidR="00576F87" w:rsidRDefault="004165F5">
            <w:pPr>
              <w:spacing w:after="0"/>
              <w:ind w:left="4"/>
            </w:pPr>
            <w:r>
              <w:rPr>
                <w:b/>
                <w:color w:val="FFFFFF"/>
              </w:rPr>
              <w:t>Contribution rate %</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 xml:space="preserve">Affinity Sutton </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Age Concern London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All England Netball Assn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All Saints Educational Trust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Alleyn's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Alleyn's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18.7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Amicus Horizon Group</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Archbishop Tenison's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Arts Council of England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Assoc. Of Education Com</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Association of Colleges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16.7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Ave Maria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 E C T A</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Babcock Critical Services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17.5</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Babcock Training Limited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17.7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Barnardos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Bethnal Green City Challenge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 xml:space="preserve">Bishop Thomas Gm School </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14.9</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Bondway Housing Association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Bouygues E&amp;S Uk Limited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Briggs Marine Contractors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15.9</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Brit. Amateur Gymnastic Assoc</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Brit. Inst. Rec. Snd(Brit Lib)</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British Athletics Federation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British Film Institute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British Mountaineering Coun.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British Sports Trust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Broadacres Housing Assn.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Bromley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15.8</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Broxbourne District Council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Brunel University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17.1</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Bufvc</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17.2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Burntwood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 I L 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Capita Plc</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28.9</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Cardinal Vaughan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Career Development Institute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bl>
    <w:p w:rsidR="00576F87" w:rsidRDefault="00576F87">
      <w:pPr>
        <w:spacing w:after="0"/>
        <w:ind w:left="-1070" w:right="66"/>
      </w:pPr>
    </w:p>
    <w:tbl>
      <w:tblPr>
        <w:tblStyle w:val="TableGrid"/>
        <w:tblW w:w="9229" w:type="dxa"/>
        <w:tblInd w:w="-35" w:type="dxa"/>
        <w:tblCellMar>
          <w:top w:w="68" w:type="dxa"/>
          <w:left w:w="35" w:type="dxa"/>
          <w:bottom w:w="0" w:type="dxa"/>
          <w:right w:w="44" w:type="dxa"/>
        </w:tblCellMar>
        <w:tblLook w:val="04A0" w:firstRow="1" w:lastRow="0" w:firstColumn="1" w:lastColumn="0" w:noHBand="0" w:noVBand="1"/>
      </w:tblPr>
      <w:tblGrid>
        <w:gridCol w:w="6200"/>
        <w:gridCol w:w="3029"/>
      </w:tblGrid>
      <w:tr w:rsidR="00576F87">
        <w:trPr>
          <w:trHeight w:val="288"/>
        </w:trPr>
        <w:tc>
          <w:tcPr>
            <w:tcW w:w="6200" w:type="dxa"/>
            <w:tcBorders>
              <w:top w:val="single" w:sz="8" w:space="0" w:color="000070"/>
              <w:left w:val="single" w:sz="12" w:space="0" w:color="000070"/>
              <w:bottom w:val="single" w:sz="8" w:space="0" w:color="000070"/>
              <w:right w:val="single" w:sz="8" w:space="0" w:color="000070"/>
            </w:tcBorders>
            <w:shd w:val="clear" w:color="auto" w:fill="1F497C"/>
          </w:tcPr>
          <w:p w:rsidR="00576F87" w:rsidRDefault="004165F5">
            <w:pPr>
              <w:spacing w:after="0"/>
            </w:pPr>
            <w:r>
              <w:rPr>
                <w:b/>
                <w:color w:val="FFFFFF"/>
              </w:rPr>
              <w:t>Employer Body</w:t>
            </w:r>
          </w:p>
        </w:tc>
        <w:tc>
          <w:tcPr>
            <w:tcW w:w="3029" w:type="dxa"/>
            <w:tcBorders>
              <w:top w:val="single" w:sz="8" w:space="0" w:color="000070"/>
              <w:left w:val="single" w:sz="8" w:space="0" w:color="000070"/>
              <w:bottom w:val="single" w:sz="8" w:space="0" w:color="000070"/>
              <w:right w:val="single" w:sz="15" w:space="0" w:color="000070"/>
            </w:tcBorders>
            <w:shd w:val="clear" w:color="auto" w:fill="1F497C"/>
          </w:tcPr>
          <w:p w:rsidR="00576F87" w:rsidRDefault="004165F5">
            <w:pPr>
              <w:spacing w:after="0"/>
              <w:ind w:left="4"/>
            </w:pPr>
            <w:r>
              <w:rPr>
                <w:b/>
                <w:color w:val="FFFFFF"/>
              </w:rPr>
              <w:t>Contribution rate %</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Caris Haringey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Castle Vale Community Housing Assoc.</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CFBT Advice &amp; Guidance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34.5</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CFBT Education Trust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34.9</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CFBT Strategies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Charlotte Sharman G.M.Prima</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15.9</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Chartered Institute of Housing</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14.7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Children Schools &amp; Families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Churchill Contract Services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19.9</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City and Islington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City of London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City of Westminster</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27.1</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City of Westminster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16.4</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City University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Cntr. For Environment Study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Cntr. School Speech &amp; Drama (Cssd)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14</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Colfes Grammar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Commission for Local Admin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14.6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Consortium of Rural Techs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Con for Awds In Care Health &amp; Ed (Cache)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15.8</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Coram's Fields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18.7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Cordwainers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Corpus Christi Rc Primary 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12.5</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Council of National Academic Awards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DCLG</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Dept. For Constitutional Affairs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Digby Stuart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Divert Trust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Dulwich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15.8</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Dulwich Picture Gallery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Durand Academy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14.2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DVLA</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Ealing, Hammersmith &amp; West London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East London Housing Association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East London Waste Authority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16.6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Elliott Grant Maint.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Emanuel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36.4</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English Institute of Sport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Environment Agency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Epping Forest D C</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Family Mosaic</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Family Service Units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Firebuy Limited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Food Standard Scotland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16.7</w:t>
            </w:r>
          </w:p>
        </w:tc>
      </w:tr>
    </w:tbl>
    <w:p w:rsidR="00576F87" w:rsidRDefault="00576F87">
      <w:pPr>
        <w:spacing w:after="0"/>
        <w:ind w:left="-1070" w:right="66"/>
      </w:pPr>
    </w:p>
    <w:tbl>
      <w:tblPr>
        <w:tblStyle w:val="TableGrid"/>
        <w:tblW w:w="9229" w:type="dxa"/>
        <w:tblInd w:w="-35" w:type="dxa"/>
        <w:tblCellMar>
          <w:top w:w="68" w:type="dxa"/>
          <w:left w:w="35" w:type="dxa"/>
          <w:bottom w:w="0" w:type="dxa"/>
          <w:right w:w="44" w:type="dxa"/>
        </w:tblCellMar>
        <w:tblLook w:val="04A0" w:firstRow="1" w:lastRow="0" w:firstColumn="1" w:lastColumn="0" w:noHBand="0" w:noVBand="1"/>
      </w:tblPr>
      <w:tblGrid>
        <w:gridCol w:w="6200"/>
        <w:gridCol w:w="3029"/>
      </w:tblGrid>
      <w:tr w:rsidR="00576F87">
        <w:trPr>
          <w:trHeight w:val="288"/>
        </w:trPr>
        <w:tc>
          <w:tcPr>
            <w:tcW w:w="6200" w:type="dxa"/>
            <w:tcBorders>
              <w:top w:val="single" w:sz="8" w:space="0" w:color="000070"/>
              <w:left w:val="single" w:sz="12" w:space="0" w:color="000070"/>
              <w:bottom w:val="single" w:sz="8" w:space="0" w:color="000070"/>
              <w:right w:val="single" w:sz="8" w:space="0" w:color="000070"/>
            </w:tcBorders>
            <w:shd w:val="clear" w:color="auto" w:fill="1F497C"/>
          </w:tcPr>
          <w:p w:rsidR="00576F87" w:rsidRDefault="004165F5">
            <w:pPr>
              <w:spacing w:after="0"/>
            </w:pPr>
            <w:r>
              <w:rPr>
                <w:b/>
                <w:color w:val="FFFFFF"/>
              </w:rPr>
              <w:t>Employer Body</w:t>
            </w:r>
          </w:p>
        </w:tc>
        <w:tc>
          <w:tcPr>
            <w:tcW w:w="3029" w:type="dxa"/>
            <w:tcBorders>
              <w:top w:val="single" w:sz="8" w:space="0" w:color="000070"/>
              <w:left w:val="single" w:sz="8" w:space="0" w:color="000070"/>
              <w:bottom w:val="single" w:sz="8" w:space="0" w:color="000070"/>
              <w:right w:val="single" w:sz="15" w:space="0" w:color="000070"/>
            </w:tcBorders>
            <w:shd w:val="clear" w:color="auto" w:fill="1F497C"/>
          </w:tcPr>
          <w:p w:rsidR="00576F87" w:rsidRDefault="004165F5">
            <w:pPr>
              <w:spacing w:after="0"/>
              <w:ind w:left="4"/>
            </w:pPr>
            <w:r>
              <w:rPr>
                <w:b/>
                <w:color w:val="FFFFFF"/>
              </w:rPr>
              <w:t>Contribution rate %</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Food Standards Agency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16.7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Forest Hill Vsa</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42.5</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Friars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Futures Charitable Trust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G.L.E.Ltd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15.4</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Gallions Housing Association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Geffrye Museum Trust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14.3</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Genesis Housing Association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Gilbert Place Centre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Gll Nexus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18.2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Godolphin &amp; Latymer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Goldsmiths, University of London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15.5</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Gorseway Care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Graveney Grant Maint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Greater London Authority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Greater London Council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Greater London Staff Assoc</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Greenwich Community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19.1</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Greenwich Young Peoples Tht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Guinness Trustees Limited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H.E.F.C.E.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Haberdasher Aske's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Hackney Downs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Hertsmere Borough Council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Hillbrook G M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Homes and Communities Agency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Honeywell Infants G M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Honeywell Junior G M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Horniman Museum</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14.3</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Hounslow Welcare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Housing Comp.Regs. (Crombie)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Ilea</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Immanuel C of E Primary Sch</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Inner Lndn Pbn &amp; After Care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Inner London Magistrates Court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Inst Environment Health Off</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Jewish Free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Julian's Primary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Kelly House Bail Hostel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Kettering Comm. Leisure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Kings College London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Kingston Univ Service Co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36.1</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 A S E R</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 B Hammersmith &amp; Fulham</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24.1</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 B Richmond Upon Thames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bl>
    <w:p w:rsidR="00576F87" w:rsidRDefault="00576F87">
      <w:pPr>
        <w:spacing w:after="0"/>
        <w:ind w:left="-1070" w:right="66"/>
      </w:pPr>
    </w:p>
    <w:tbl>
      <w:tblPr>
        <w:tblStyle w:val="TableGrid"/>
        <w:tblW w:w="9229" w:type="dxa"/>
        <w:tblInd w:w="-35" w:type="dxa"/>
        <w:tblCellMar>
          <w:top w:w="68" w:type="dxa"/>
          <w:left w:w="35" w:type="dxa"/>
          <w:bottom w:w="0" w:type="dxa"/>
          <w:right w:w="44" w:type="dxa"/>
        </w:tblCellMar>
        <w:tblLook w:val="04A0" w:firstRow="1" w:lastRow="0" w:firstColumn="1" w:lastColumn="0" w:noHBand="0" w:noVBand="1"/>
      </w:tblPr>
      <w:tblGrid>
        <w:gridCol w:w="6200"/>
        <w:gridCol w:w="3029"/>
      </w:tblGrid>
      <w:tr w:rsidR="00576F87">
        <w:trPr>
          <w:trHeight w:val="288"/>
        </w:trPr>
        <w:tc>
          <w:tcPr>
            <w:tcW w:w="6200" w:type="dxa"/>
            <w:tcBorders>
              <w:top w:val="single" w:sz="8" w:space="0" w:color="000070"/>
              <w:left w:val="single" w:sz="12" w:space="0" w:color="000070"/>
              <w:bottom w:val="single" w:sz="8" w:space="0" w:color="000070"/>
              <w:right w:val="single" w:sz="8" w:space="0" w:color="000070"/>
            </w:tcBorders>
            <w:shd w:val="clear" w:color="auto" w:fill="1F497C"/>
          </w:tcPr>
          <w:p w:rsidR="00576F87" w:rsidRDefault="004165F5">
            <w:pPr>
              <w:spacing w:after="0"/>
            </w:pPr>
            <w:r>
              <w:rPr>
                <w:b/>
                <w:color w:val="FFFFFF"/>
              </w:rPr>
              <w:t>Employer Body</w:t>
            </w:r>
          </w:p>
        </w:tc>
        <w:tc>
          <w:tcPr>
            <w:tcW w:w="3029" w:type="dxa"/>
            <w:tcBorders>
              <w:top w:val="single" w:sz="8" w:space="0" w:color="000070"/>
              <w:left w:val="single" w:sz="8" w:space="0" w:color="000070"/>
              <w:bottom w:val="single" w:sz="8" w:space="0" w:color="000070"/>
              <w:right w:val="single" w:sz="15" w:space="0" w:color="000070"/>
            </w:tcBorders>
            <w:shd w:val="clear" w:color="auto" w:fill="1F497C"/>
          </w:tcPr>
          <w:p w:rsidR="00576F87" w:rsidRDefault="004165F5">
            <w:pPr>
              <w:spacing w:after="0"/>
              <w:ind w:left="4"/>
            </w:pPr>
            <w:r>
              <w:rPr>
                <w:b/>
                <w:color w:val="FFFFFF"/>
              </w:rPr>
              <w:t>Contribution rate %</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 B Wandsworth</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23.8</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L.B. Of Lambeth - Dunraven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13.7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La Sainte Union Convent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15.4</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Lambeth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16.5</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Laretraite High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14.6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Laser Advisory Council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L.B. of Tower Hamlets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23.6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L.B of Waltham Forest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26.7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L.B. of Kingston On Thames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Lee Valley Leisure Trust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Lee Valley Reg Park Auth.</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21.7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Lewisham Southwark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12.9</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LFEPA</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14.9</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Liverpool HAT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Local Auth Mutual Investment Trus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Local Pension Partnership</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Local Pension Partnership Investments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&amp; East Anglia Group</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&amp; East Anglian Group</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Artscom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17.2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 xml:space="preserve">London Borough Barnet </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Bexley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Brent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Bromley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Camden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23.8</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 xml:space="preserve">London Borough Ealing </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0</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Enfield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27.2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Hackney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23.9</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Haringey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Harrow</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Hillingdon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Hounslow</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 xml:space="preserve">London Borough Islington </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23.9</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Lambeth</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23.7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Lewisham</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24.1</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of Barking &amp; Dagenham</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of Camden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of Havering</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of Lambeth</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of Merton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of Newham</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of Redbridge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of Sutton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Borough Southwark</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23.5</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 xml:space="preserve">London Councils </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bl>
    <w:p w:rsidR="00576F87" w:rsidRDefault="00576F87">
      <w:pPr>
        <w:spacing w:after="0"/>
        <w:ind w:left="-1070" w:right="66"/>
      </w:pPr>
    </w:p>
    <w:tbl>
      <w:tblPr>
        <w:tblStyle w:val="TableGrid"/>
        <w:tblW w:w="9229" w:type="dxa"/>
        <w:tblInd w:w="-35" w:type="dxa"/>
        <w:tblCellMar>
          <w:top w:w="68" w:type="dxa"/>
          <w:left w:w="35" w:type="dxa"/>
          <w:bottom w:w="0" w:type="dxa"/>
          <w:right w:w="44" w:type="dxa"/>
        </w:tblCellMar>
        <w:tblLook w:val="04A0" w:firstRow="1" w:lastRow="0" w:firstColumn="1" w:lastColumn="0" w:noHBand="0" w:noVBand="1"/>
      </w:tblPr>
      <w:tblGrid>
        <w:gridCol w:w="6200"/>
        <w:gridCol w:w="3029"/>
      </w:tblGrid>
      <w:tr w:rsidR="00576F87">
        <w:trPr>
          <w:trHeight w:val="288"/>
        </w:trPr>
        <w:tc>
          <w:tcPr>
            <w:tcW w:w="6200" w:type="dxa"/>
            <w:tcBorders>
              <w:top w:val="single" w:sz="8" w:space="0" w:color="000070"/>
              <w:left w:val="single" w:sz="12" w:space="0" w:color="000070"/>
              <w:bottom w:val="single" w:sz="8" w:space="0" w:color="000070"/>
              <w:right w:val="single" w:sz="8" w:space="0" w:color="000070"/>
            </w:tcBorders>
            <w:shd w:val="clear" w:color="auto" w:fill="1F497C"/>
          </w:tcPr>
          <w:p w:rsidR="00576F87" w:rsidRDefault="004165F5">
            <w:pPr>
              <w:spacing w:after="0"/>
            </w:pPr>
            <w:r>
              <w:rPr>
                <w:b/>
                <w:color w:val="FFFFFF"/>
              </w:rPr>
              <w:t>Employer Body</w:t>
            </w:r>
          </w:p>
        </w:tc>
        <w:tc>
          <w:tcPr>
            <w:tcW w:w="3029" w:type="dxa"/>
            <w:tcBorders>
              <w:top w:val="single" w:sz="8" w:space="0" w:color="000070"/>
              <w:left w:val="single" w:sz="8" w:space="0" w:color="000070"/>
              <w:bottom w:val="single" w:sz="8" w:space="0" w:color="000070"/>
              <w:right w:val="single" w:sz="15" w:space="0" w:color="000070"/>
            </w:tcBorders>
            <w:shd w:val="clear" w:color="auto" w:fill="1F497C"/>
          </w:tcPr>
          <w:p w:rsidR="00576F87" w:rsidRDefault="004165F5">
            <w:pPr>
              <w:spacing w:after="0"/>
              <w:ind w:left="4"/>
            </w:pPr>
            <w:r>
              <w:rPr>
                <w:b/>
                <w:color w:val="FFFFFF"/>
              </w:rPr>
              <w:t>Contribution rate %</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Diocesan Board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Diocesan Fund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Legacy Development Corporation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Metro Uni (Nth Lond)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Metro University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Metropolitan University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Nautical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Oratory R C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Pensions Fund Authority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Residuary Body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Sinfonietta</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South Bank Careers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Thames Gateway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London Transport Users Commission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Maryward Settlement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Methodist Colleges,Schools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Middlesex Area Magistrates Court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Middlesex Area Probation Ct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Middx Assoc for The Blind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Milton Keynes Council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Mitie Managed Services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MOJ Shared Services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Morley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17.7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Mountain Training Limited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21.3</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Myrrh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NACRO</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Nat. Inst. Adult Cont Educat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16.5</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Nat.Adv.Body Pub.Sec.Higher Ed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National Council for Voluntary Youth Ser</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National Crime Agency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National Crime Intelligence Service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National Health Service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National Offender Management Service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National Probation Board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National Rivers Authority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Ne London Magistrates Court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Newcastle College (Rathbone)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35.6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Newlon Housing Trust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NlWA</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North East London Pbn Cttee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North Hull Housing Action Tr.</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North London Hospice Group</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Notre Dame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NSL Limited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21.6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Old Oak &amp; Park Development Corporation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bl>
    <w:p w:rsidR="00576F87" w:rsidRDefault="00576F87">
      <w:pPr>
        <w:spacing w:after="0"/>
        <w:ind w:left="-1070" w:right="66"/>
      </w:pPr>
    </w:p>
    <w:tbl>
      <w:tblPr>
        <w:tblStyle w:val="TableGrid"/>
        <w:tblW w:w="9229" w:type="dxa"/>
        <w:tblInd w:w="-35" w:type="dxa"/>
        <w:tblCellMar>
          <w:top w:w="48" w:type="dxa"/>
          <w:left w:w="35" w:type="dxa"/>
          <w:bottom w:w="0" w:type="dxa"/>
          <w:right w:w="44" w:type="dxa"/>
        </w:tblCellMar>
        <w:tblLook w:val="04A0" w:firstRow="1" w:lastRow="0" w:firstColumn="1" w:lastColumn="0" w:noHBand="0" w:noVBand="1"/>
      </w:tblPr>
      <w:tblGrid>
        <w:gridCol w:w="6200"/>
        <w:gridCol w:w="3029"/>
      </w:tblGrid>
      <w:tr w:rsidR="00576F87">
        <w:trPr>
          <w:trHeight w:val="288"/>
        </w:trPr>
        <w:tc>
          <w:tcPr>
            <w:tcW w:w="6200" w:type="dxa"/>
            <w:tcBorders>
              <w:top w:val="single" w:sz="8" w:space="0" w:color="000070"/>
              <w:left w:val="single" w:sz="12" w:space="0" w:color="000070"/>
              <w:bottom w:val="single" w:sz="8" w:space="0" w:color="000070"/>
              <w:right w:val="single" w:sz="8" w:space="0" w:color="000070"/>
            </w:tcBorders>
            <w:shd w:val="clear" w:color="auto" w:fill="1F497C"/>
          </w:tcPr>
          <w:p w:rsidR="00576F87" w:rsidRDefault="004165F5">
            <w:pPr>
              <w:spacing w:after="0"/>
            </w:pPr>
            <w:r>
              <w:rPr>
                <w:b/>
                <w:color w:val="FFFFFF"/>
              </w:rPr>
              <w:t>Employer Body</w:t>
            </w:r>
          </w:p>
        </w:tc>
        <w:tc>
          <w:tcPr>
            <w:tcW w:w="3029" w:type="dxa"/>
            <w:tcBorders>
              <w:top w:val="single" w:sz="8" w:space="0" w:color="000070"/>
              <w:left w:val="single" w:sz="8" w:space="0" w:color="000070"/>
              <w:bottom w:val="single" w:sz="8" w:space="0" w:color="000070"/>
              <w:right w:val="single" w:sz="15" w:space="0" w:color="000070"/>
            </w:tcBorders>
            <w:shd w:val="clear" w:color="auto" w:fill="1F497C"/>
          </w:tcPr>
          <w:p w:rsidR="00576F87" w:rsidRDefault="004165F5">
            <w:pPr>
              <w:spacing w:after="0"/>
              <w:ind w:left="4"/>
            </w:pPr>
            <w:r>
              <w:rPr>
                <w:b/>
                <w:color w:val="FFFFFF"/>
              </w:rPr>
              <w:t>Contribution rate %</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Old Ford Housing Association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40.2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Open College Network London Region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20.6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Our Lady of Victory Primary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Peabody Trust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15.6</w:t>
            </w:r>
          </w:p>
        </w:tc>
      </w:tr>
      <w:tr w:rsidR="00576F87">
        <w:trPr>
          <w:trHeight w:val="262"/>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Penrose Hsg Ass.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62"/>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Places for People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Poplar Harca</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17.4</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Prospects Services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20.4</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R B Kensington &amp; Chelsea</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24.5</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Radicle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Raine's Foundation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RICS Bev Fund (Lionheart)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36.4</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Roehampton University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15.5</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Royal Borough of Greenwich</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24.2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Royal Institute of Public Admin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45"/>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Rps Rainer</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 London Church Fund &amp; Swk Diocesan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 S A F A Forces Help</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25</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S.K.I.L.L.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Sacred Heart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Salesian G M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Samuel Lewis Housing Trust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Se London Magistrates Court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Search Your Careers Service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Sense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Serco Limited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Serco Ltd. Marine Services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Shenley Leisure Ctr. Trust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31.7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Shoreditch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SITA UK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23.1</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SLCF &amp; Southwark</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Slough Borough Council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Sodexo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18.4</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South Bank University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South East London Pbn Cttee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South Thames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18.6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South West London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South West London Pbn Cttee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Southern Archaeology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Southfields G M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Southwark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Southwark Mediation Centre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Sport and Recreation Alliance Limited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18.8</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Sport England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Sports Council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Andrews R C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13.8</w:t>
            </w:r>
          </w:p>
        </w:tc>
      </w:tr>
    </w:tbl>
    <w:p w:rsidR="00576F87" w:rsidRDefault="00576F87">
      <w:pPr>
        <w:spacing w:after="0"/>
        <w:ind w:left="-1070" w:right="66"/>
      </w:pPr>
    </w:p>
    <w:tbl>
      <w:tblPr>
        <w:tblStyle w:val="TableGrid"/>
        <w:tblW w:w="9229" w:type="dxa"/>
        <w:tblInd w:w="-35" w:type="dxa"/>
        <w:tblCellMar>
          <w:top w:w="68" w:type="dxa"/>
          <w:left w:w="35" w:type="dxa"/>
          <w:bottom w:w="0" w:type="dxa"/>
          <w:right w:w="44" w:type="dxa"/>
        </w:tblCellMar>
        <w:tblLook w:val="04A0" w:firstRow="1" w:lastRow="0" w:firstColumn="1" w:lastColumn="0" w:noHBand="0" w:noVBand="1"/>
      </w:tblPr>
      <w:tblGrid>
        <w:gridCol w:w="6200"/>
        <w:gridCol w:w="3029"/>
      </w:tblGrid>
      <w:tr w:rsidR="00576F87">
        <w:trPr>
          <w:trHeight w:val="288"/>
        </w:trPr>
        <w:tc>
          <w:tcPr>
            <w:tcW w:w="6200" w:type="dxa"/>
            <w:tcBorders>
              <w:top w:val="single" w:sz="8" w:space="0" w:color="000070"/>
              <w:left w:val="single" w:sz="12" w:space="0" w:color="000070"/>
              <w:bottom w:val="single" w:sz="8" w:space="0" w:color="000070"/>
              <w:right w:val="single" w:sz="8" w:space="0" w:color="000070"/>
            </w:tcBorders>
            <w:shd w:val="clear" w:color="auto" w:fill="1F497C"/>
          </w:tcPr>
          <w:p w:rsidR="00576F87" w:rsidRDefault="004165F5">
            <w:pPr>
              <w:spacing w:after="0"/>
            </w:pPr>
            <w:r>
              <w:rPr>
                <w:b/>
                <w:color w:val="FFFFFF"/>
              </w:rPr>
              <w:t>Employer Body</w:t>
            </w:r>
          </w:p>
        </w:tc>
        <w:tc>
          <w:tcPr>
            <w:tcW w:w="3029" w:type="dxa"/>
            <w:tcBorders>
              <w:top w:val="single" w:sz="8" w:space="0" w:color="000070"/>
              <w:left w:val="single" w:sz="8" w:space="0" w:color="000070"/>
              <w:bottom w:val="single" w:sz="8" w:space="0" w:color="000070"/>
              <w:right w:val="single" w:sz="15" w:space="0" w:color="000070"/>
            </w:tcBorders>
            <w:shd w:val="clear" w:color="auto" w:fill="1F497C"/>
          </w:tcPr>
          <w:p w:rsidR="00576F87" w:rsidRDefault="004165F5">
            <w:pPr>
              <w:spacing w:after="0"/>
              <w:ind w:left="4"/>
            </w:pPr>
            <w:r>
              <w:rPr>
                <w:b/>
                <w:color w:val="FFFFFF"/>
              </w:rPr>
              <w:t>Contribution rate %</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Annes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Anthony's Catholic Prima</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Bernadette's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17.7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Christopher's Fellowship</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19.1</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Francis Xavier</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17.3</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Joseph Infants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Joseph Juniors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14.2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Martin in The Field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17.4</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Marylebone Housing Assn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Marys RC Primary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Micheals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Pantile House Ass in Cam</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Thomas'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 Thomas The Apostle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14.7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St.Francesca Cabrini Primar</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Stonebridge H.A.T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Sulgrave Charitable Trust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Surrey Square Primary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Sutton Cntre for Indep Livin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Sutton Performing Arts Network</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SW London Magistrates Court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Tandridge Leisure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17.1</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Teachers</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Tennant Housing Trust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Thames Conservancy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Thames Water Utilities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The City Literary Institute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12.3</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 xml:space="preserve">The Community College Hackney  </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16.1</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The English &amp; Media Centre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23.5</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The Froebel Trust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23.4</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The Guinness Partnership</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14.2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The Museum Association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The Planning Inspectorate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The Radius Trust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16.6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The Pioneer Group</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12.3</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Three Rivers District Council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Thurlow Park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Thurrock Borough Council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Tower Hamlets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Tower Hamlets H A T</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Transport for London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Trinity Laban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34.2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Trust Thamesmead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Turney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Turnham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19.2</w:t>
            </w:r>
          </w:p>
        </w:tc>
      </w:tr>
    </w:tbl>
    <w:p w:rsidR="00576F87" w:rsidRDefault="00576F87">
      <w:pPr>
        <w:spacing w:after="0"/>
        <w:ind w:left="-1070" w:right="66"/>
      </w:pPr>
    </w:p>
    <w:tbl>
      <w:tblPr>
        <w:tblStyle w:val="TableGrid"/>
        <w:tblW w:w="9229" w:type="dxa"/>
        <w:tblInd w:w="-35" w:type="dxa"/>
        <w:tblCellMar>
          <w:top w:w="68" w:type="dxa"/>
          <w:left w:w="35" w:type="dxa"/>
          <w:bottom w:w="0" w:type="dxa"/>
          <w:right w:w="44" w:type="dxa"/>
        </w:tblCellMar>
        <w:tblLook w:val="04A0" w:firstRow="1" w:lastRow="0" w:firstColumn="1" w:lastColumn="0" w:noHBand="0" w:noVBand="1"/>
      </w:tblPr>
      <w:tblGrid>
        <w:gridCol w:w="6200"/>
        <w:gridCol w:w="3029"/>
      </w:tblGrid>
      <w:tr w:rsidR="00576F87">
        <w:trPr>
          <w:trHeight w:val="288"/>
        </w:trPr>
        <w:tc>
          <w:tcPr>
            <w:tcW w:w="6200" w:type="dxa"/>
            <w:tcBorders>
              <w:top w:val="single" w:sz="8" w:space="0" w:color="000070"/>
              <w:left w:val="single" w:sz="12" w:space="0" w:color="000070"/>
              <w:bottom w:val="single" w:sz="8" w:space="0" w:color="000070"/>
              <w:right w:val="single" w:sz="8" w:space="0" w:color="000070"/>
            </w:tcBorders>
            <w:shd w:val="clear" w:color="auto" w:fill="1F497C"/>
          </w:tcPr>
          <w:p w:rsidR="00576F87" w:rsidRDefault="004165F5">
            <w:pPr>
              <w:spacing w:after="0"/>
            </w:pPr>
            <w:r>
              <w:rPr>
                <w:b/>
                <w:color w:val="FFFFFF"/>
              </w:rPr>
              <w:t>Employer Body</w:t>
            </w:r>
          </w:p>
        </w:tc>
        <w:tc>
          <w:tcPr>
            <w:tcW w:w="3029" w:type="dxa"/>
            <w:tcBorders>
              <w:top w:val="single" w:sz="8" w:space="0" w:color="000070"/>
              <w:left w:val="single" w:sz="8" w:space="0" w:color="000070"/>
              <w:bottom w:val="single" w:sz="8" w:space="0" w:color="000070"/>
              <w:right w:val="single" w:sz="15" w:space="0" w:color="000070"/>
            </w:tcBorders>
            <w:shd w:val="clear" w:color="auto" w:fill="1F497C"/>
          </w:tcPr>
          <w:p w:rsidR="00576F87" w:rsidRDefault="004165F5">
            <w:pPr>
              <w:spacing w:after="0"/>
              <w:ind w:left="4"/>
            </w:pPr>
            <w:r>
              <w:rPr>
                <w:b/>
                <w:color w:val="FFFFFF"/>
              </w:rPr>
              <w:t>Contribution rate %</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U K H T (Wales)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Uk Anti-Doping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Uk Film Council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Uk Sports Council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Univ Ass Contemp Euro Studi</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University of Greenwich</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University of Reading</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University of St Mark &amp; St John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20.3</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University of Surrey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University of The Arts London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17.2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University of Westminster</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14.3</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Urban Learning Foundation</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Valuation Office Agency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18.2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Valuation Tribunal Service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14.7</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Waltham Forest Cbha Ltd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15.6</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West London Waste Authority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18</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West Midlands Pension Fund</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Western Riverside Waste Authority</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12</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Westminster Kingsway College</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13.8</w:t>
            </w:r>
          </w:p>
        </w:tc>
      </w:tr>
      <w:tr w:rsidR="00576F87">
        <w:trPr>
          <w:trHeight w:val="290"/>
        </w:trPr>
        <w:tc>
          <w:tcPr>
            <w:tcW w:w="6200" w:type="dxa"/>
            <w:tcBorders>
              <w:top w:val="single" w:sz="8" w:space="0" w:color="000070"/>
              <w:left w:val="single" w:sz="12" w:space="0" w:color="000070"/>
              <w:bottom w:val="single" w:sz="8" w:space="0" w:color="000070"/>
              <w:right w:val="single" w:sz="8" w:space="0" w:color="000070"/>
            </w:tcBorders>
          </w:tcPr>
          <w:p w:rsidR="00576F87" w:rsidRDefault="004165F5">
            <w:pPr>
              <w:spacing w:after="0"/>
              <w:ind w:left="5"/>
            </w:pPr>
            <w:r>
              <w:rPr>
                <w:rFonts w:ascii="Verdana" w:eastAsia="Verdana" w:hAnsi="Verdana" w:cs="Verdana"/>
                <w:sz w:val="20"/>
              </w:rPr>
              <w:t>Willowfield School</w:t>
            </w:r>
          </w:p>
        </w:tc>
        <w:tc>
          <w:tcPr>
            <w:tcW w:w="3029" w:type="dxa"/>
            <w:tcBorders>
              <w:top w:val="single" w:sz="8" w:space="0" w:color="000070"/>
              <w:left w:val="single" w:sz="8" w:space="0" w:color="000070"/>
              <w:bottom w:val="single" w:sz="8" w:space="0" w:color="000070"/>
              <w:right w:val="single" w:sz="15" w:space="0" w:color="000070"/>
            </w:tcBorders>
          </w:tcPr>
          <w:p w:rsidR="00576F87" w:rsidRDefault="004165F5">
            <w:pPr>
              <w:spacing w:after="0"/>
              <w:jc w:val="right"/>
            </w:pPr>
            <w:r>
              <w:rPr>
                <w:rFonts w:ascii="Verdana" w:eastAsia="Verdana" w:hAnsi="Verdana" w:cs="Verdana"/>
                <w:sz w:val="20"/>
              </w:rPr>
              <w:t>-</w:t>
            </w:r>
          </w:p>
        </w:tc>
      </w:tr>
      <w:tr w:rsidR="00576F87">
        <w:trPr>
          <w:trHeight w:val="305"/>
        </w:trPr>
        <w:tc>
          <w:tcPr>
            <w:tcW w:w="6200" w:type="dxa"/>
            <w:tcBorders>
              <w:top w:val="single" w:sz="8" w:space="0" w:color="000070"/>
              <w:left w:val="single" w:sz="12" w:space="0" w:color="000070"/>
              <w:bottom w:val="single" w:sz="15" w:space="0" w:color="000070"/>
              <w:right w:val="single" w:sz="8" w:space="0" w:color="000070"/>
            </w:tcBorders>
          </w:tcPr>
          <w:p w:rsidR="00576F87" w:rsidRDefault="004165F5">
            <w:pPr>
              <w:spacing w:after="0"/>
              <w:ind w:left="5"/>
            </w:pPr>
            <w:r>
              <w:rPr>
                <w:rFonts w:ascii="Verdana" w:eastAsia="Verdana" w:hAnsi="Verdana" w:cs="Verdana"/>
                <w:sz w:val="20"/>
              </w:rPr>
              <w:t>Woking Borough Council</w:t>
            </w:r>
          </w:p>
        </w:tc>
        <w:tc>
          <w:tcPr>
            <w:tcW w:w="3029" w:type="dxa"/>
            <w:tcBorders>
              <w:top w:val="single" w:sz="8" w:space="0" w:color="000070"/>
              <w:left w:val="single" w:sz="8" w:space="0" w:color="000070"/>
              <w:bottom w:val="single" w:sz="15" w:space="0" w:color="000070"/>
              <w:right w:val="single" w:sz="15" w:space="0" w:color="000070"/>
            </w:tcBorders>
          </w:tcPr>
          <w:p w:rsidR="00576F87" w:rsidRDefault="004165F5">
            <w:pPr>
              <w:spacing w:after="0"/>
              <w:jc w:val="right"/>
            </w:pPr>
            <w:r>
              <w:rPr>
                <w:rFonts w:ascii="Verdana" w:eastAsia="Verdana" w:hAnsi="Verdana" w:cs="Verdana"/>
                <w:sz w:val="20"/>
              </w:rPr>
              <w:t>-</w:t>
            </w:r>
          </w:p>
        </w:tc>
      </w:tr>
    </w:tbl>
    <w:p w:rsidR="00576F87" w:rsidRDefault="00576F87">
      <w:pPr>
        <w:sectPr w:rsidR="00576F87">
          <w:headerReference w:type="even" r:id="rId96"/>
          <w:headerReference w:type="default" r:id="rId97"/>
          <w:footerReference w:type="even" r:id="rId98"/>
          <w:footerReference w:type="default" r:id="rId99"/>
          <w:headerReference w:type="first" r:id="rId100"/>
          <w:footerReference w:type="first" r:id="rId101"/>
          <w:pgSz w:w="11900" w:h="16840"/>
          <w:pgMar w:top="1785" w:right="1569" w:bottom="1091" w:left="1070" w:header="1149" w:footer="510" w:gutter="0"/>
          <w:cols w:space="720"/>
          <w:titlePg/>
        </w:sectPr>
      </w:pPr>
    </w:p>
    <w:p w:rsidR="00576F87" w:rsidRDefault="004165F5">
      <w:pPr>
        <w:spacing w:after="525"/>
        <w:ind w:right="1870"/>
        <w:jc w:val="center"/>
      </w:pPr>
      <w:r>
        <w:rPr>
          <w:rFonts w:ascii="Book Antiqua" w:eastAsia="Book Antiqua" w:hAnsi="Book Antiqua" w:cs="Book Antiqua"/>
          <w:b/>
          <w:color w:val="FF0000"/>
          <w:sz w:val="24"/>
        </w:rPr>
        <w:t xml:space="preserve"> </w:t>
      </w:r>
    </w:p>
    <w:p w:rsidR="00576F87" w:rsidRDefault="004165F5">
      <w:pPr>
        <w:pStyle w:val="Heading1"/>
        <w:spacing w:after="262" w:line="259" w:lineRule="auto"/>
        <w:ind w:left="1392"/>
      </w:pPr>
      <w:r>
        <w:rPr>
          <w:rFonts w:ascii="Book Antiqua" w:eastAsia="Book Antiqua" w:hAnsi="Book Antiqua" w:cs="Book Antiqua"/>
          <w:color w:val="000000"/>
          <w:sz w:val="44"/>
        </w:rPr>
        <w:t>Operational Accounts</w:t>
      </w:r>
    </w:p>
    <w:p w:rsidR="00576F87" w:rsidRDefault="00576F87">
      <w:pPr>
        <w:sectPr w:rsidR="00576F87">
          <w:headerReference w:type="even" r:id="rId102"/>
          <w:headerReference w:type="default" r:id="rId103"/>
          <w:footerReference w:type="even" r:id="rId104"/>
          <w:footerReference w:type="default" r:id="rId105"/>
          <w:headerReference w:type="first" r:id="rId106"/>
          <w:footerReference w:type="first" r:id="rId107"/>
          <w:pgSz w:w="11900" w:h="16840"/>
          <w:pgMar w:top="1440" w:right="1440" w:bottom="1440" w:left="1440" w:header="1149" w:footer="720" w:gutter="0"/>
          <w:cols w:space="720"/>
        </w:sectPr>
      </w:pPr>
    </w:p>
    <w:p w:rsidR="00576F87" w:rsidRDefault="004165F5">
      <w:pPr>
        <w:spacing w:after="0"/>
      </w:pPr>
      <w:r>
        <w:rPr>
          <w:rFonts w:ascii="Verdana" w:eastAsia="Verdana" w:hAnsi="Verdana" w:cs="Verdana"/>
          <w:b/>
          <w:color w:val="009999"/>
          <w:sz w:val="80"/>
        </w:rPr>
        <w:t>9</w:t>
      </w:r>
      <w:r>
        <w:rPr>
          <w:rFonts w:ascii="Verdana" w:eastAsia="Verdana" w:hAnsi="Verdana" w:cs="Verdana"/>
        </w:rPr>
        <w:t>.</w:t>
      </w:r>
      <w:r>
        <w:rPr>
          <w:rFonts w:ascii="Verdana" w:eastAsia="Verdana" w:hAnsi="Verdana" w:cs="Verdana"/>
          <w:sz w:val="50"/>
        </w:rPr>
        <w:t xml:space="preserve"> Group Operational Account</w:t>
      </w:r>
    </w:p>
    <w:p w:rsidR="00576F87" w:rsidRDefault="004165F5">
      <w:pPr>
        <w:spacing w:after="262"/>
        <w:ind w:left="-5" w:hanging="10"/>
      </w:pPr>
      <w:r>
        <w:rPr>
          <w:rFonts w:ascii="Verdana" w:eastAsia="Verdana" w:hAnsi="Verdana" w:cs="Verdana"/>
        </w:rPr>
        <w:t>Group Statement of Movement in Reserves</w:t>
      </w:r>
    </w:p>
    <w:tbl>
      <w:tblPr>
        <w:tblStyle w:val="TableGrid"/>
        <w:tblW w:w="15931" w:type="dxa"/>
        <w:tblInd w:w="-41" w:type="dxa"/>
        <w:tblCellMar>
          <w:top w:w="30" w:type="dxa"/>
          <w:left w:w="0" w:type="dxa"/>
          <w:bottom w:w="34" w:type="dxa"/>
          <w:right w:w="0" w:type="dxa"/>
        </w:tblCellMar>
        <w:tblLook w:val="04A0" w:firstRow="1" w:lastRow="0" w:firstColumn="1" w:lastColumn="0" w:noHBand="0" w:noVBand="1"/>
      </w:tblPr>
      <w:tblGrid>
        <w:gridCol w:w="3475"/>
        <w:gridCol w:w="1015"/>
        <w:gridCol w:w="1210"/>
        <w:gridCol w:w="1046"/>
        <w:gridCol w:w="934"/>
        <w:gridCol w:w="1032"/>
        <w:gridCol w:w="984"/>
        <w:gridCol w:w="967"/>
        <w:gridCol w:w="1159"/>
        <w:gridCol w:w="1032"/>
        <w:gridCol w:w="919"/>
        <w:gridCol w:w="1046"/>
        <w:gridCol w:w="1111"/>
      </w:tblGrid>
      <w:tr w:rsidR="00576F87">
        <w:trPr>
          <w:trHeight w:val="1010"/>
        </w:trPr>
        <w:tc>
          <w:tcPr>
            <w:tcW w:w="3475" w:type="dxa"/>
            <w:tcBorders>
              <w:top w:val="single" w:sz="15" w:space="0" w:color="FFFFFF"/>
              <w:left w:val="nil"/>
              <w:bottom w:val="single" w:sz="15" w:space="0" w:color="009784"/>
              <w:right w:val="single" w:sz="15" w:space="0" w:color="FFFFFF"/>
            </w:tcBorders>
          </w:tcPr>
          <w:p w:rsidR="00576F87" w:rsidRDefault="00576F87"/>
        </w:tc>
        <w:tc>
          <w:tcPr>
            <w:tcW w:w="1015" w:type="dxa"/>
            <w:tcBorders>
              <w:top w:val="single" w:sz="15" w:space="0" w:color="FFFFFF"/>
              <w:left w:val="single" w:sz="15" w:space="0" w:color="FFFFFF"/>
              <w:bottom w:val="single" w:sz="15" w:space="0" w:color="FFFFFF"/>
              <w:right w:val="single" w:sz="15" w:space="0" w:color="FFFFFF"/>
            </w:tcBorders>
            <w:shd w:val="clear" w:color="auto" w:fill="009784"/>
            <w:vAlign w:val="bottom"/>
          </w:tcPr>
          <w:p w:rsidR="00576F87" w:rsidRDefault="004165F5">
            <w:pPr>
              <w:spacing w:after="0"/>
              <w:ind w:left="8"/>
              <w:jc w:val="center"/>
            </w:pPr>
            <w:r>
              <w:rPr>
                <w:rFonts w:ascii="Verdana" w:eastAsia="Verdana" w:hAnsi="Verdana" w:cs="Verdana"/>
                <w:color w:val="FFFFFF"/>
                <w:sz w:val="16"/>
              </w:rPr>
              <w:t xml:space="preserve">Pension </w:t>
            </w:r>
          </w:p>
          <w:p w:rsidR="00576F87" w:rsidRDefault="004165F5">
            <w:pPr>
              <w:spacing w:after="0"/>
              <w:ind w:left="571" w:hanging="386"/>
            </w:pPr>
            <w:r>
              <w:rPr>
                <w:rFonts w:ascii="Verdana" w:eastAsia="Verdana" w:hAnsi="Verdana" w:cs="Verdana"/>
                <w:color w:val="FFFFFF"/>
                <w:sz w:val="16"/>
              </w:rPr>
              <w:t>Reserve   £000</w:t>
            </w:r>
          </w:p>
        </w:tc>
        <w:tc>
          <w:tcPr>
            <w:tcW w:w="1210" w:type="dxa"/>
            <w:tcBorders>
              <w:top w:val="single" w:sz="15" w:space="0" w:color="FFFFFF"/>
              <w:left w:val="single" w:sz="15" w:space="0" w:color="FFFFFF"/>
              <w:bottom w:val="single" w:sz="15" w:space="0" w:color="FFFFFF"/>
              <w:right w:val="single" w:sz="15" w:space="0" w:color="FFFFFF"/>
            </w:tcBorders>
            <w:shd w:val="clear" w:color="auto" w:fill="009784"/>
          </w:tcPr>
          <w:p w:rsidR="00576F87" w:rsidRDefault="004165F5">
            <w:pPr>
              <w:spacing w:after="0"/>
              <w:ind w:left="4"/>
              <w:jc w:val="center"/>
            </w:pPr>
            <w:r>
              <w:rPr>
                <w:rFonts w:ascii="Verdana" w:eastAsia="Verdana" w:hAnsi="Verdana" w:cs="Verdana"/>
                <w:color w:val="FFFFFF"/>
                <w:sz w:val="16"/>
              </w:rPr>
              <w:t xml:space="preserve">Compen </w:t>
            </w:r>
          </w:p>
          <w:p w:rsidR="00576F87" w:rsidRDefault="004165F5">
            <w:pPr>
              <w:spacing w:after="0"/>
              <w:ind w:left="2"/>
              <w:jc w:val="center"/>
            </w:pPr>
            <w:r>
              <w:rPr>
                <w:rFonts w:ascii="Verdana" w:eastAsia="Verdana" w:hAnsi="Verdana" w:cs="Verdana"/>
                <w:color w:val="FFFFFF"/>
                <w:sz w:val="16"/>
              </w:rPr>
              <w:t xml:space="preserve">Absences </w:t>
            </w:r>
          </w:p>
          <w:p w:rsidR="00576F87" w:rsidRDefault="004165F5">
            <w:pPr>
              <w:spacing w:after="0"/>
              <w:ind w:left="-7"/>
            </w:pPr>
            <w:r>
              <w:rPr>
                <w:rFonts w:ascii="Verdana" w:eastAsia="Verdana" w:hAnsi="Verdana" w:cs="Verdana"/>
                <w:color w:val="FFFFFF"/>
                <w:sz w:val="16"/>
              </w:rPr>
              <w:t xml:space="preserve"> </w:t>
            </w:r>
          </w:p>
          <w:p w:rsidR="00576F87" w:rsidRDefault="004165F5">
            <w:pPr>
              <w:spacing w:after="0"/>
              <w:ind w:left="766" w:hanging="485"/>
            </w:pPr>
            <w:r>
              <w:rPr>
                <w:rFonts w:ascii="Verdana" w:eastAsia="Verdana" w:hAnsi="Verdana" w:cs="Verdana"/>
                <w:color w:val="FFFFFF"/>
                <w:sz w:val="16"/>
              </w:rPr>
              <w:t>Reserve     £000</w:t>
            </w:r>
          </w:p>
        </w:tc>
        <w:tc>
          <w:tcPr>
            <w:tcW w:w="1046" w:type="dxa"/>
            <w:tcBorders>
              <w:top w:val="single" w:sz="15" w:space="0" w:color="FFFFFF"/>
              <w:left w:val="single" w:sz="15" w:space="0" w:color="FFFFFF"/>
              <w:bottom w:val="single" w:sz="15" w:space="0" w:color="FFFFFF"/>
              <w:right w:val="single" w:sz="15" w:space="0" w:color="FFFFFF"/>
            </w:tcBorders>
            <w:shd w:val="clear" w:color="auto" w:fill="009784"/>
          </w:tcPr>
          <w:p w:rsidR="00576F87" w:rsidRDefault="004165F5">
            <w:pPr>
              <w:spacing w:after="0"/>
              <w:ind w:left="7"/>
              <w:jc w:val="center"/>
            </w:pPr>
            <w:r>
              <w:rPr>
                <w:rFonts w:ascii="Verdana" w:eastAsia="Verdana" w:hAnsi="Verdana" w:cs="Verdana"/>
                <w:b/>
                <w:color w:val="FFFFFF"/>
                <w:sz w:val="16"/>
              </w:rPr>
              <w:t xml:space="preserve">Total </w:t>
            </w:r>
          </w:p>
          <w:p w:rsidR="00576F87" w:rsidRDefault="004165F5">
            <w:pPr>
              <w:spacing w:after="0"/>
              <w:ind w:left="106"/>
            </w:pPr>
            <w:r>
              <w:rPr>
                <w:rFonts w:ascii="Verdana" w:eastAsia="Verdana" w:hAnsi="Verdana" w:cs="Verdana"/>
                <w:b/>
                <w:color w:val="FFFFFF"/>
                <w:sz w:val="16"/>
              </w:rPr>
              <w:t xml:space="preserve">Unusable </w:t>
            </w:r>
          </w:p>
          <w:p w:rsidR="00576F87" w:rsidRDefault="004165F5">
            <w:pPr>
              <w:spacing w:after="93"/>
              <w:ind w:left="113"/>
            </w:pPr>
            <w:r>
              <w:rPr>
                <w:rFonts w:ascii="Verdana" w:eastAsia="Verdana" w:hAnsi="Verdana" w:cs="Verdana"/>
                <w:b/>
                <w:color w:val="FFFFFF"/>
                <w:sz w:val="16"/>
              </w:rPr>
              <w:t>Reserves</w:t>
            </w:r>
          </w:p>
          <w:p w:rsidR="00576F87" w:rsidRDefault="004165F5">
            <w:pPr>
              <w:spacing w:after="0"/>
              <w:ind w:right="34"/>
              <w:jc w:val="right"/>
            </w:pPr>
            <w:r>
              <w:rPr>
                <w:rFonts w:ascii="Verdana" w:eastAsia="Verdana" w:hAnsi="Verdana" w:cs="Verdana"/>
                <w:b/>
                <w:color w:val="FFFFFF"/>
                <w:sz w:val="16"/>
              </w:rPr>
              <w:t>£000</w:t>
            </w:r>
          </w:p>
        </w:tc>
        <w:tc>
          <w:tcPr>
            <w:tcW w:w="934" w:type="dxa"/>
            <w:tcBorders>
              <w:top w:val="single" w:sz="15" w:space="0" w:color="FFFFFF"/>
              <w:left w:val="single" w:sz="15" w:space="0" w:color="FFFFFF"/>
              <w:bottom w:val="single" w:sz="15" w:space="0" w:color="FFFFFF"/>
              <w:right w:val="single" w:sz="15" w:space="0" w:color="FFFFFF"/>
            </w:tcBorders>
            <w:shd w:val="clear" w:color="auto" w:fill="009784"/>
            <w:vAlign w:val="bottom"/>
          </w:tcPr>
          <w:p w:rsidR="00576F87" w:rsidRDefault="004165F5">
            <w:pPr>
              <w:spacing w:after="0"/>
              <w:ind w:left="156"/>
            </w:pPr>
            <w:r>
              <w:rPr>
                <w:rFonts w:ascii="Verdana" w:eastAsia="Verdana" w:hAnsi="Verdana" w:cs="Verdana"/>
                <w:color w:val="FFFFFF"/>
                <w:sz w:val="16"/>
              </w:rPr>
              <w:t xml:space="preserve">General </w:t>
            </w:r>
          </w:p>
          <w:p w:rsidR="00576F87" w:rsidRDefault="004165F5">
            <w:pPr>
              <w:spacing w:after="199"/>
              <w:ind w:left="144"/>
            </w:pPr>
            <w:r>
              <w:rPr>
                <w:rFonts w:ascii="Verdana" w:eastAsia="Verdana" w:hAnsi="Verdana" w:cs="Verdana"/>
                <w:color w:val="FFFFFF"/>
                <w:sz w:val="16"/>
              </w:rPr>
              <w:t xml:space="preserve">Reserve  </w:t>
            </w:r>
          </w:p>
          <w:p w:rsidR="00576F87" w:rsidRDefault="004165F5">
            <w:pPr>
              <w:spacing w:after="0"/>
              <w:ind w:right="32"/>
              <w:jc w:val="right"/>
            </w:pPr>
            <w:r>
              <w:rPr>
                <w:rFonts w:ascii="Verdana" w:eastAsia="Verdana" w:hAnsi="Verdana" w:cs="Verdana"/>
                <w:color w:val="FFFFFF"/>
                <w:sz w:val="16"/>
              </w:rPr>
              <w:t>£000</w:t>
            </w:r>
          </w:p>
        </w:tc>
        <w:tc>
          <w:tcPr>
            <w:tcW w:w="1032" w:type="dxa"/>
            <w:tcBorders>
              <w:top w:val="single" w:sz="15" w:space="0" w:color="FFFFFF"/>
              <w:left w:val="single" w:sz="15" w:space="0" w:color="FFFFFF"/>
              <w:bottom w:val="single" w:sz="15" w:space="0" w:color="FFFFFF"/>
              <w:right w:val="single" w:sz="15" w:space="0" w:color="FFFFFF"/>
            </w:tcBorders>
            <w:shd w:val="clear" w:color="auto" w:fill="009784"/>
            <w:vAlign w:val="bottom"/>
          </w:tcPr>
          <w:p w:rsidR="00576F87" w:rsidRDefault="004165F5">
            <w:pPr>
              <w:spacing w:after="0"/>
              <w:ind w:left="166"/>
            </w:pPr>
            <w:r>
              <w:rPr>
                <w:rFonts w:ascii="Verdana" w:eastAsia="Verdana" w:hAnsi="Verdana" w:cs="Verdana"/>
                <w:color w:val="FFFFFF"/>
                <w:sz w:val="16"/>
              </w:rPr>
              <w:t xml:space="preserve">Business </w:t>
            </w:r>
          </w:p>
          <w:p w:rsidR="00576F87" w:rsidRDefault="004165F5">
            <w:pPr>
              <w:spacing w:after="199"/>
              <w:ind w:left="-24"/>
              <w:jc w:val="both"/>
            </w:pPr>
            <w:r>
              <w:rPr>
                <w:rFonts w:ascii="Verdana" w:eastAsia="Verdana" w:hAnsi="Verdana" w:cs="Verdana"/>
                <w:color w:val="FFFFFF"/>
                <w:sz w:val="16"/>
              </w:rPr>
              <w:t xml:space="preserve"> Reserve   </w:t>
            </w:r>
          </w:p>
          <w:p w:rsidR="00576F87" w:rsidRDefault="004165F5">
            <w:pPr>
              <w:spacing w:after="0"/>
              <w:ind w:right="32"/>
              <w:jc w:val="right"/>
            </w:pPr>
            <w:r>
              <w:rPr>
                <w:rFonts w:ascii="Verdana" w:eastAsia="Verdana" w:hAnsi="Verdana" w:cs="Verdana"/>
                <w:color w:val="FFFFFF"/>
                <w:sz w:val="16"/>
              </w:rPr>
              <w:t>£000</w:t>
            </w:r>
          </w:p>
        </w:tc>
        <w:tc>
          <w:tcPr>
            <w:tcW w:w="984" w:type="dxa"/>
            <w:tcBorders>
              <w:top w:val="single" w:sz="15" w:space="0" w:color="FFFFFF"/>
              <w:left w:val="single" w:sz="15" w:space="0" w:color="FFFFFF"/>
              <w:bottom w:val="single" w:sz="15" w:space="0" w:color="FFFFFF"/>
              <w:right w:val="single" w:sz="15" w:space="0" w:color="FFFFFF"/>
            </w:tcBorders>
            <w:shd w:val="clear" w:color="auto" w:fill="009784"/>
            <w:vAlign w:val="bottom"/>
          </w:tcPr>
          <w:p w:rsidR="00576F87" w:rsidRDefault="004165F5">
            <w:pPr>
              <w:spacing w:after="0"/>
              <w:ind w:left="118"/>
            </w:pPr>
            <w:r>
              <w:rPr>
                <w:rFonts w:ascii="Verdana" w:eastAsia="Verdana" w:hAnsi="Verdana" w:cs="Verdana"/>
                <w:color w:val="FFFFFF"/>
                <w:sz w:val="16"/>
              </w:rPr>
              <w:t xml:space="preserve">Valuation </w:t>
            </w:r>
          </w:p>
          <w:p w:rsidR="00576F87" w:rsidRDefault="004165F5">
            <w:pPr>
              <w:spacing w:after="0"/>
              <w:ind w:left="540" w:hanging="372"/>
            </w:pPr>
            <w:r>
              <w:rPr>
                <w:rFonts w:ascii="Verdana" w:eastAsia="Verdana" w:hAnsi="Verdana" w:cs="Verdana"/>
                <w:color w:val="FFFFFF"/>
                <w:sz w:val="16"/>
              </w:rPr>
              <w:t>Reserve   £000</w:t>
            </w:r>
          </w:p>
        </w:tc>
        <w:tc>
          <w:tcPr>
            <w:tcW w:w="967" w:type="dxa"/>
            <w:tcBorders>
              <w:top w:val="single" w:sz="15" w:space="0" w:color="FFFFFF"/>
              <w:left w:val="single" w:sz="15" w:space="0" w:color="FFFFFF"/>
              <w:bottom w:val="single" w:sz="15" w:space="0" w:color="FFFFFF"/>
              <w:right w:val="single" w:sz="15" w:space="0" w:color="FFFFFF"/>
            </w:tcBorders>
            <w:shd w:val="clear" w:color="auto" w:fill="009784"/>
            <w:vAlign w:val="bottom"/>
          </w:tcPr>
          <w:p w:rsidR="00576F87" w:rsidRDefault="004165F5">
            <w:pPr>
              <w:spacing w:after="0"/>
              <w:ind w:left="120"/>
            </w:pPr>
            <w:r>
              <w:rPr>
                <w:rFonts w:ascii="Verdana" w:eastAsia="Verdana" w:hAnsi="Verdana" w:cs="Verdana"/>
                <w:color w:val="FFFFFF"/>
                <w:sz w:val="16"/>
              </w:rPr>
              <w:t xml:space="preserve"> Org Dev </w:t>
            </w:r>
          </w:p>
          <w:p w:rsidR="00576F87" w:rsidRDefault="004165F5">
            <w:pPr>
              <w:spacing w:after="0"/>
              <w:ind w:left="524" w:hanging="363"/>
            </w:pPr>
            <w:r>
              <w:rPr>
                <w:rFonts w:ascii="Verdana" w:eastAsia="Verdana" w:hAnsi="Verdana" w:cs="Verdana"/>
                <w:color w:val="FFFFFF"/>
                <w:sz w:val="16"/>
              </w:rPr>
              <w:t>Reserve   £000</w:t>
            </w:r>
          </w:p>
        </w:tc>
        <w:tc>
          <w:tcPr>
            <w:tcW w:w="1159" w:type="dxa"/>
            <w:tcBorders>
              <w:top w:val="single" w:sz="15" w:space="0" w:color="FFFFFF"/>
              <w:left w:val="single" w:sz="15" w:space="0" w:color="FFFFFF"/>
              <w:bottom w:val="single" w:sz="15" w:space="0" w:color="FFFFFF"/>
              <w:right w:val="single" w:sz="15" w:space="0" w:color="FFFFFF"/>
            </w:tcBorders>
            <w:shd w:val="clear" w:color="auto" w:fill="009784"/>
            <w:vAlign w:val="bottom"/>
          </w:tcPr>
          <w:p w:rsidR="00576F87" w:rsidRDefault="004165F5">
            <w:pPr>
              <w:spacing w:after="0"/>
              <w:ind w:left="106"/>
            </w:pPr>
            <w:r>
              <w:rPr>
                <w:rFonts w:ascii="Verdana" w:eastAsia="Verdana" w:hAnsi="Verdana" w:cs="Verdana"/>
                <w:color w:val="FFFFFF"/>
                <w:sz w:val="16"/>
              </w:rPr>
              <w:t xml:space="preserve">Innovations </w:t>
            </w:r>
          </w:p>
          <w:p w:rsidR="00576F87" w:rsidRDefault="004165F5">
            <w:pPr>
              <w:spacing w:after="0"/>
              <w:ind w:left="716" w:hanging="459"/>
            </w:pPr>
            <w:r>
              <w:rPr>
                <w:rFonts w:ascii="Verdana" w:eastAsia="Verdana" w:hAnsi="Verdana" w:cs="Verdana"/>
                <w:color w:val="FFFFFF"/>
                <w:sz w:val="16"/>
              </w:rPr>
              <w:t>Reserve    £000</w:t>
            </w:r>
          </w:p>
        </w:tc>
        <w:tc>
          <w:tcPr>
            <w:tcW w:w="1032" w:type="dxa"/>
            <w:tcBorders>
              <w:top w:val="single" w:sz="15" w:space="0" w:color="FFFFFF"/>
              <w:left w:val="single" w:sz="15" w:space="0" w:color="FFFFFF"/>
              <w:bottom w:val="single" w:sz="15" w:space="0" w:color="FFFFFF"/>
              <w:right w:val="single" w:sz="15" w:space="0" w:color="FFFFFF"/>
            </w:tcBorders>
            <w:shd w:val="clear" w:color="auto" w:fill="009784"/>
          </w:tcPr>
          <w:p w:rsidR="00576F87" w:rsidRDefault="004165F5">
            <w:pPr>
              <w:spacing w:after="94"/>
              <w:ind w:firstLine="1"/>
              <w:jc w:val="center"/>
            </w:pPr>
            <w:r>
              <w:rPr>
                <w:rFonts w:ascii="Verdana" w:eastAsia="Verdana" w:hAnsi="Verdana" w:cs="Verdana"/>
                <w:color w:val="FFFFFF"/>
                <w:sz w:val="16"/>
              </w:rPr>
              <w:t>Capital Contrib reserve</w:t>
            </w:r>
          </w:p>
          <w:p w:rsidR="00576F87" w:rsidRDefault="004165F5">
            <w:pPr>
              <w:spacing w:after="0"/>
              <w:ind w:right="31"/>
              <w:jc w:val="right"/>
            </w:pPr>
            <w:r>
              <w:rPr>
                <w:rFonts w:ascii="Verdana" w:eastAsia="Verdana" w:hAnsi="Verdana" w:cs="Verdana"/>
                <w:color w:val="FFFFFF"/>
                <w:sz w:val="16"/>
              </w:rPr>
              <w:t>£000</w:t>
            </w:r>
          </w:p>
        </w:tc>
        <w:tc>
          <w:tcPr>
            <w:tcW w:w="919" w:type="dxa"/>
            <w:tcBorders>
              <w:top w:val="single" w:sz="15" w:space="0" w:color="FFFFFF"/>
              <w:left w:val="single" w:sz="15" w:space="0" w:color="FFFFFF"/>
              <w:bottom w:val="single" w:sz="15" w:space="0" w:color="FFFFFF"/>
              <w:right w:val="single" w:sz="15" w:space="0" w:color="FFFFFF"/>
            </w:tcBorders>
            <w:shd w:val="clear" w:color="auto" w:fill="009784"/>
          </w:tcPr>
          <w:p w:rsidR="00576F87" w:rsidRDefault="004165F5">
            <w:pPr>
              <w:spacing w:after="0"/>
              <w:ind w:left="4"/>
              <w:jc w:val="center"/>
            </w:pPr>
            <w:r>
              <w:rPr>
                <w:rFonts w:ascii="Verdana" w:eastAsia="Verdana" w:hAnsi="Verdana" w:cs="Verdana"/>
                <w:color w:val="FFFFFF"/>
                <w:sz w:val="16"/>
              </w:rPr>
              <w:t xml:space="preserve">New </w:t>
            </w:r>
          </w:p>
          <w:p w:rsidR="00576F87" w:rsidRDefault="004165F5">
            <w:pPr>
              <w:spacing w:after="0"/>
              <w:ind w:left="98"/>
            </w:pPr>
            <w:r>
              <w:rPr>
                <w:rFonts w:ascii="Verdana" w:eastAsia="Verdana" w:hAnsi="Verdana" w:cs="Verdana"/>
                <w:color w:val="FFFFFF"/>
                <w:sz w:val="16"/>
              </w:rPr>
              <w:t xml:space="preserve">Premises </w:t>
            </w:r>
          </w:p>
          <w:p w:rsidR="00576F87" w:rsidRDefault="004165F5">
            <w:pPr>
              <w:spacing w:after="93"/>
              <w:ind w:left="137"/>
            </w:pPr>
            <w:r>
              <w:rPr>
                <w:rFonts w:ascii="Verdana" w:eastAsia="Verdana" w:hAnsi="Verdana" w:cs="Verdana"/>
                <w:color w:val="FFFFFF"/>
                <w:sz w:val="16"/>
              </w:rPr>
              <w:t xml:space="preserve">Reserve  </w:t>
            </w:r>
          </w:p>
          <w:p w:rsidR="00576F87" w:rsidRDefault="004165F5">
            <w:pPr>
              <w:spacing w:after="0"/>
              <w:ind w:right="31"/>
              <w:jc w:val="right"/>
            </w:pPr>
            <w:r>
              <w:rPr>
                <w:rFonts w:ascii="Verdana" w:eastAsia="Verdana" w:hAnsi="Verdana" w:cs="Verdana"/>
                <w:color w:val="FFFFFF"/>
                <w:sz w:val="16"/>
              </w:rPr>
              <w:t>£000</w:t>
            </w:r>
          </w:p>
        </w:tc>
        <w:tc>
          <w:tcPr>
            <w:tcW w:w="1046" w:type="dxa"/>
            <w:tcBorders>
              <w:top w:val="single" w:sz="15" w:space="0" w:color="FFFFFF"/>
              <w:left w:val="single" w:sz="15" w:space="0" w:color="FFFFFF"/>
              <w:bottom w:val="single" w:sz="15" w:space="0" w:color="FFFFFF"/>
              <w:right w:val="single" w:sz="15" w:space="0" w:color="FFFFFF"/>
            </w:tcBorders>
            <w:shd w:val="clear" w:color="auto" w:fill="009784"/>
          </w:tcPr>
          <w:p w:rsidR="00576F87" w:rsidRDefault="004165F5">
            <w:pPr>
              <w:spacing w:after="0"/>
              <w:ind w:left="7"/>
              <w:jc w:val="center"/>
            </w:pPr>
            <w:r>
              <w:rPr>
                <w:rFonts w:ascii="Verdana" w:eastAsia="Verdana" w:hAnsi="Verdana" w:cs="Verdana"/>
                <w:b/>
                <w:color w:val="FFFFFF"/>
                <w:sz w:val="16"/>
              </w:rPr>
              <w:t xml:space="preserve">Total </w:t>
            </w:r>
          </w:p>
          <w:p w:rsidR="00576F87" w:rsidRDefault="004165F5">
            <w:pPr>
              <w:spacing w:after="1"/>
              <w:ind w:left="4"/>
              <w:jc w:val="center"/>
            </w:pPr>
            <w:r>
              <w:rPr>
                <w:rFonts w:ascii="Verdana" w:eastAsia="Verdana" w:hAnsi="Verdana" w:cs="Verdana"/>
                <w:b/>
                <w:color w:val="FFFFFF"/>
                <w:sz w:val="16"/>
              </w:rPr>
              <w:t xml:space="preserve">Usable </w:t>
            </w:r>
          </w:p>
          <w:p w:rsidR="00576F87" w:rsidRDefault="004165F5">
            <w:pPr>
              <w:spacing w:after="93"/>
              <w:ind w:left="-16"/>
            </w:pPr>
            <w:r>
              <w:rPr>
                <w:rFonts w:ascii="Verdana" w:eastAsia="Verdana" w:hAnsi="Verdana" w:cs="Verdana"/>
                <w:color w:val="FFFFFF"/>
                <w:sz w:val="16"/>
              </w:rPr>
              <w:t xml:space="preserve"> </w:t>
            </w:r>
            <w:r>
              <w:rPr>
                <w:rFonts w:ascii="Verdana" w:eastAsia="Verdana" w:hAnsi="Verdana" w:cs="Verdana"/>
                <w:b/>
                <w:color w:val="FFFFFF"/>
                <w:sz w:val="16"/>
              </w:rPr>
              <w:t>Reserves</w:t>
            </w:r>
          </w:p>
          <w:p w:rsidR="00576F87" w:rsidRDefault="004165F5">
            <w:pPr>
              <w:spacing w:after="0"/>
              <w:ind w:right="34"/>
              <w:jc w:val="right"/>
            </w:pPr>
            <w:r>
              <w:rPr>
                <w:rFonts w:ascii="Verdana" w:eastAsia="Verdana" w:hAnsi="Verdana" w:cs="Verdana"/>
                <w:b/>
                <w:color w:val="FFFFFF"/>
                <w:sz w:val="16"/>
              </w:rPr>
              <w:t>£000</w:t>
            </w:r>
          </w:p>
        </w:tc>
        <w:tc>
          <w:tcPr>
            <w:tcW w:w="1111" w:type="dxa"/>
            <w:tcBorders>
              <w:top w:val="single" w:sz="15" w:space="0" w:color="FFFFFF"/>
              <w:left w:val="single" w:sz="15" w:space="0" w:color="FFFFFF"/>
              <w:bottom w:val="single" w:sz="15" w:space="0" w:color="FFFFFF"/>
              <w:right w:val="single" w:sz="15" w:space="0" w:color="FFFFFF"/>
            </w:tcBorders>
            <w:shd w:val="clear" w:color="auto" w:fill="009784"/>
            <w:vAlign w:val="bottom"/>
          </w:tcPr>
          <w:p w:rsidR="00576F87" w:rsidRDefault="004165F5">
            <w:pPr>
              <w:spacing w:after="0"/>
              <w:ind w:left="5"/>
              <w:jc w:val="center"/>
            </w:pPr>
            <w:r>
              <w:rPr>
                <w:rFonts w:ascii="Verdana" w:eastAsia="Verdana" w:hAnsi="Verdana" w:cs="Verdana"/>
                <w:b/>
                <w:color w:val="FFFFFF"/>
                <w:sz w:val="16"/>
              </w:rPr>
              <w:t xml:space="preserve">Total </w:t>
            </w:r>
          </w:p>
          <w:p w:rsidR="00576F87" w:rsidRDefault="004165F5">
            <w:pPr>
              <w:spacing w:after="199"/>
              <w:ind w:left="144"/>
            </w:pPr>
            <w:r>
              <w:rPr>
                <w:rFonts w:ascii="Verdana" w:eastAsia="Verdana" w:hAnsi="Verdana" w:cs="Verdana"/>
                <w:b/>
                <w:color w:val="FFFFFF"/>
                <w:sz w:val="16"/>
              </w:rPr>
              <w:t xml:space="preserve">Reserves  </w:t>
            </w:r>
          </w:p>
          <w:p w:rsidR="00576F87" w:rsidRDefault="004165F5">
            <w:pPr>
              <w:spacing w:after="0"/>
              <w:ind w:right="34"/>
              <w:jc w:val="right"/>
            </w:pPr>
            <w:r>
              <w:rPr>
                <w:rFonts w:ascii="Verdana" w:eastAsia="Verdana" w:hAnsi="Verdana" w:cs="Verdana"/>
                <w:b/>
                <w:color w:val="FFFFFF"/>
                <w:sz w:val="16"/>
              </w:rPr>
              <w:t>£000</w:t>
            </w:r>
          </w:p>
        </w:tc>
      </w:tr>
      <w:tr w:rsidR="00576F87">
        <w:trPr>
          <w:trHeight w:val="492"/>
        </w:trPr>
        <w:tc>
          <w:tcPr>
            <w:tcW w:w="3475" w:type="dxa"/>
            <w:tcBorders>
              <w:top w:val="single" w:sz="15" w:space="0" w:color="009784"/>
              <w:left w:val="single" w:sz="12" w:space="0" w:color="009784"/>
              <w:bottom w:val="single" w:sz="8" w:space="0" w:color="009784"/>
              <w:right w:val="nil"/>
            </w:tcBorders>
            <w:shd w:val="clear" w:color="auto" w:fill="269683"/>
          </w:tcPr>
          <w:p w:rsidR="00576F87" w:rsidRDefault="004165F5">
            <w:pPr>
              <w:spacing w:after="0"/>
              <w:ind w:left="34"/>
            </w:pPr>
            <w:r>
              <w:rPr>
                <w:rFonts w:ascii="Verdana" w:eastAsia="Verdana" w:hAnsi="Verdana" w:cs="Verdana"/>
                <w:b/>
                <w:color w:val="FFFFFF"/>
                <w:sz w:val="16"/>
              </w:rPr>
              <w:t>Balance at 1 April 2017 brought forward</w:t>
            </w:r>
          </w:p>
        </w:tc>
        <w:tc>
          <w:tcPr>
            <w:tcW w:w="3271" w:type="dxa"/>
            <w:gridSpan w:val="3"/>
            <w:tcBorders>
              <w:top w:val="single" w:sz="15" w:space="0" w:color="FFFFFF"/>
              <w:left w:val="nil"/>
              <w:bottom w:val="single" w:sz="8" w:space="0" w:color="009784"/>
              <w:right w:val="nil"/>
            </w:tcBorders>
            <w:shd w:val="clear" w:color="auto" w:fill="24988A"/>
            <w:vAlign w:val="center"/>
          </w:tcPr>
          <w:p w:rsidR="00576F87" w:rsidRDefault="004165F5">
            <w:pPr>
              <w:tabs>
                <w:tab w:val="center" w:pos="2048"/>
                <w:tab w:val="right" w:pos="3271"/>
              </w:tabs>
              <w:spacing w:after="0"/>
            </w:pPr>
            <w:r>
              <w:rPr>
                <w:rFonts w:ascii="Verdana" w:eastAsia="Verdana" w:hAnsi="Verdana" w:cs="Verdana"/>
                <w:b/>
                <w:color w:val="FFFFFF"/>
                <w:sz w:val="16"/>
              </w:rPr>
              <w:t>(17,882)</w:t>
            </w:r>
            <w:r>
              <w:rPr>
                <w:rFonts w:ascii="Verdana" w:eastAsia="Verdana" w:hAnsi="Verdana" w:cs="Verdana"/>
                <w:b/>
                <w:color w:val="FFFFFF"/>
                <w:sz w:val="16"/>
              </w:rPr>
              <w:tab/>
              <w:t>(3)</w:t>
            </w:r>
            <w:r>
              <w:rPr>
                <w:rFonts w:ascii="Verdana" w:eastAsia="Verdana" w:hAnsi="Verdana" w:cs="Verdana"/>
                <w:b/>
                <w:color w:val="FFFFFF"/>
                <w:sz w:val="16"/>
              </w:rPr>
              <w:tab/>
              <w:t>(17,885)</w:t>
            </w:r>
          </w:p>
        </w:tc>
        <w:tc>
          <w:tcPr>
            <w:tcW w:w="934" w:type="dxa"/>
            <w:tcBorders>
              <w:top w:val="single" w:sz="15" w:space="0" w:color="FFFFFF"/>
              <w:left w:val="nil"/>
              <w:bottom w:val="single" w:sz="8" w:space="0" w:color="009784"/>
              <w:right w:val="nil"/>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(2,883)</w:t>
            </w:r>
          </w:p>
        </w:tc>
        <w:tc>
          <w:tcPr>
            <w:tcW w:w="1032" w:type="dxa"/>
            <w:tcBorders>
              <w:top w:val="single" w:sz="15" w:space="0" w:color="FFFFFF"/>
              <w:left w:val="nil"/>
              <w:bottom w:val="single" w:sz="8" w:space="0" w:color="009784"/>
              <w:right w:val="nil"/>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50</w:t>
            </w:r>
          </w:p>
        </w:tc>
        <w:tc>
          <w:tcPr>
            <w:tcW w:w="984" w:type="dxa"/>
            <w:tcBorders>
              <w:top w:val="single" w:sz="15" w:space="0" w:color="FFFFFF"/>
              <w:left w:val="nil"/>
              <w:bottom w:val="single" w:sz="8" w:space="0" w:color="009784"/>
              <w:right w:val="nil"/>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20</w:t>
            </w:r>
          </w:p>
        </w:tc>
        <w:tc>
          <w:tcPr>
            <w:tcW w:w="967" w:type="dxa"/>
            <w:tcBorders>
              <w:top w:val="single" w:sz="15" w:space="0" w:color="FFFFFF"/>
              <w:left w:val="nil"/>
              <w:bottom w:val="single" w:sz="8" w:space="0" w:color="009784"/>
              <w:right w:val="nil"/>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53</w:t>
            </w:r>
          </w:p>
        </w:tc>
        <w:tc>
          <w:tcPr>
            <w:tcW w:w="1159" w:type="dxa"/>
            <w:tcBorders>
              <w:top w:val="single" w:sz="15" w:space="0" w:color="FFFFFF"/>
              <w:left w:val="nil"/>
              <w:bottom w:val="single" w:sz="8" w:space="0" w:color="009784"/>
              <w:right w:val="nil"/>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40</w:t>
            </w:r>
          </w:p>
        </w:tc>
        <w:tc>
          <w:tcPr>
            <w:tcW w:w="1032" w:type="dxa"/>
            <w:tcBorders>
              <w:top w:val="single" w:sz="15" w:space="0" w:color="FFFFFF"/>
              <w:left w:val="nil"/>
              <w:bottom w:val="single" w:sz="8" w:space="0" w:color="009784"/>
              <w:right w:val="nil"/>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448</w:t>
            </w:r>
          </w:p>
        </w:tc>
        <w:tc>
          <w:tcPr>
            <w:tcW w:w="1966" w:type="dxa"/>
            <w:gridSpan w:val="2"/>
            <w:tcBorders>
              <w:top w:val="single" w:sz="15" w:space="0" w:color="FFFFFF"/>
              <w:left w:val="nil"/>
              <w:bottom w:val="single" w:sz="8" w:space="0" w:color="009784"/>
              <w:right w:val="nil"/>
            </w:tcBorders>
            <w:shd w:val="clear" w:color="auto" w:fill="24988A"/>
            <w:vAlign w:val="center"/>
          </w:tcPr>
          <w:p w:rsidR="00576F87" w:rsidRDefault="004165F5">
            <w:pPr>
              <w:tabs>
                <w:tab w:val="center" w:pos="712"/>
                <w:tab w:val="right" w:pos="1966"/>
              </w:tabs>
              <w:spacing w:after="0"/>
            </w:pPr>
            <w:r>
              <w:tab/>
            </w:r>
            <w:r>
              <w:rPr>
                <w:rFonts w:ascii="Verdana" w:eastAsia="Verdana" w:hAnsi="Verdana" w:cs="Verdana"/>
                <w:b/>
                <w:color w:val="FFFFFF"/>
                <w:sz w:val="16"/>
              </w:rPr>
              <w:t>400</w:t>
            </w:r>
            <w:r>
              <w:rPr>
                <w:rFonts w:ascii="Verdana" w:eastAsia="Verdana" w:hAnsi="Verdana" w:cs="Verdana"/>
                <w:b/>
                <w:color w:val="FFFFFF"/>
                <w:sz w:val="16"/>
              </w:rPr>
              <w:tab/>
              <w:t>(1,872)</w:t>
            </w:r>
          </w:p>
        </w:tc>
        <w:tc>
          <w:tcPr>
            <w:tcW w:w="1111" w:type="dxa"/>
            <w:tcBorders>
              <w:top w:val="single" w:sz="15" w:space="0" w:color="FFFFFF"/>
              <w:left w:val="nil"/>
              <w:bottom w:val="single" w:sz="8" w:space="0" w:color="009784"/>
              <w:right w:val="single" w:sz="15" w:space="0" w:color="009784"/>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(19,757)</w:t>
            </w:r>
          </w:p>
        </w:tc>
      </w:tr>
      <w:tr w:rsidR="00576F87">
        <w:trPr>
          <w:trHeight w:val="552"/>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Movement in Reserves during 2017/18</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92"/>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 xml:space="preserve">Surplus or (deficit) on provision of services </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(2,557)</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(2,557)</w:t>
            </w:r>
          </w:p>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3"/>
              <w:jc w:val="right"/>
            </w:pPr>
            <w:r>
              <w:rPr>
                <w:rFonts w:ascii="Verdana" w:eastAsia="Verdana" w:hAnsi="Verdana" w:cs="Verdana"/>
                <w:b/>
                <w:sz w:val="16"/>
              </w:rPr>
              <w:t>(2,557)</w:t>
            </w:r>
          </w:p>
        </w:tc>
      </w:tr>
      <w:tr w:rsidR="00576F87">
        <w:trPr>
          <w:trHeight w:val="319"/>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Share of Tax</w:t>
            </w:r>
          </w:p>
        </w:tc>
        <w:tc>
          <w:tcPr>
            <w:tcW w:w="101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191</w:t>
            </w:r>
          </w:p>
        </w:tc>
        <w:tc>
          <w:tcPr>
            <w:tcW w:w="103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b/>
                <w:sz w:val="16"/>
              </w:rPr>
              <w:t>191</w:t>
            </w:r>
          </w:p>
        </w:tc>
        <w:tc>
          <w:tcPr>
            <w:tcW w:w="1111"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4"/>
              <w:jc w:val="right"/>
            </w:pPr>
            <w:r>
              <w:rPr>
                <w:rFonts w:ascii="Verdana" w:eastAsia="Verdana" w:hAnsi="Verdana" w:cs="Verdana"/>
                <w:b/>
                <w:sz w:val="16"/>
              </w:rPr>
              <w:t>191</w:t>
            </w:r>
          </w:p>
        </w:tc>
      </w:tr>
      <w:tr w:rsidR="00576F87">
        <w:trPr>
          <w:trHeight w:val="566"/>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4"/>
            </w:pPr>
            <w:r>
              <w:rPr>
                <w:rFonts w:ascii="Verdana" w:eastAsia="Verdana" w:hAnsi="Verdana" w:cs="Verdana"/>
                <w:b/>
                <w:sz w:val="16"/>
              </w:rPr>
              <w:t xml:space="preserve">Net Increase before Transfers to </w:t>
            </w:r>
          </w:p>
          <w:p w:rsidR="00576F87" w:rsidRDefault="004165F5">
            <w:pPr>
              <w:spacing w:after="0"/>
              <w:ind w:left="34"/>
            </w:pPr>
            <w:r>
              <w:rPr>
                <w:rFonts w:ascii="Verdana" w:eastAsia="Verdana" w:hAnsi="Verdana" w:cs="Verdana"/>
                <w:b/>
                <w:sz w:val="16"/>
              </w:rPr>
              <w:t>Earmarked Reserves</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(2,366)</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(2,366)</w:t>
            </w:r>
          </w:p>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3"/>
              <w:jc w:val="right"/>
            </w:pPr>
            <w:r>
              <w:rPr>
                <w:rFonts w:ascii="Verdana" w:eastAsia="Verdana" w:hAnsi="Verdana" w:cs="Verdana"/>
                <w:b/>
                <w:sz w:val="16"/>
              </w:rPr>
              <w:t>(2,366)</w:t>
            </w:r>
          </w:p>
        </w:tc>
      </w:tr>
      <w:tr w:rsidR="00576F87">
        <w:trPr>
          <w:trHeight w:val="535"/>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Transfers to/from Earmarked Reserves</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3</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3</w:t>
            </w:r>
          </w:p>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160</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(50)</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(20)</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(53)</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(40)</w:t>
            </w:r>
          </w:p>
        </w:tc>
        <w:tc>
          <w:tcPr>
            <w:tcW w:w="1032" w:type="dxa"/>
            <w:tcBorders>
              <w:top w:val="single" w:sz="8" w:space="0" w:color="009784"/>
              <w:left w:val="single" w:sz="8" w:space="0" w:color="009784"/>
              <w:bottom w:val="single" w:sz="8" w:space="0" w:color="009784"/>
              <w:right w:val="single" w:sz="8" w:space="0" w:color="009784"/>
            </w:tcBorders>
          </w:tcPr>
          <w:p w:rsidR="00576F87" w:rsidRDefault="00576F87"/>
        </w:tc>
        <w:tc>
          <w:tcPr>
            <w:tcW w:w="919"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(3)</w:t>
            </w:r>
          </w:p>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552"/>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 xml:space="preserve">Remeasurements of the Net Defined </w:t>
            </w:r>
          </w:p>
          <w:p w:rsidR="00576F87" w:rsidRDefault="004165F5">
            <w:pPr>
              <w:spacing w:after="0"/>
              <w:ind w:left="31"/>
            </w:pPr>
            <w:r>
              <w:rPr>
                <w:rFonts w:ascii="Verdana" w:eastAsia="Verdana" w:hAnsi="Verdana" w:cs="Verdana"/>
                <w:sz w:val="16"/>
              </w:rPr>
              <w:t>Benefit Liability</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2,555</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2,555</w:t>
            </w:r>
          </w:p>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4"/>
              <w:jc w:val="right"/>
            </w:pPr>
            <w:r>
              <w:rPr>
                <w:rFonts w:ascii="Verdana" w:eastAsia="Verdana" w:hAnsi="Verdana" w:cs="Verdana"/>
                <w:b/>
                <w:sz w:val="16"/>
              </w:rPr>
              <w:t>2,555</w:t>
            </w:r>
          </w:p>
        </w:tc>
      </w:tr>
      <w:tr w:rsidR="00576F87">
        <w:trPr>
          <w:trHeight w:val="552"/>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Other movement - joint venture</w:t>
            </w:r>
          </w:p>
        </w:tc>
        <w:tc>
          <w:tcPr>
            <w:tcW w:w="1015" w:type="dxa"/>
            <w:tcBorders>
              <w:top w:val="single" w:sz="8" w:space="0" w:color="009784"/>
              <w:left w:val="single" w:sz="8" w:space="0" w:color="009784"/>
              <w:bottom w:val="single" w:sz="8" w:space="0" w:color="009784"/>
              <w:right w:val="single" w:sz="8" w:space="0" w:color="009784"/>
            </w:tcBorders>
          </w:tcPr>
          <w:p w:rsidR="00576F87" w:rsidRDefault="00576F87"/>
        </w:tc>
        <w:tc>
          <w:tcPr>
            <w:tcW w:w="1210"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2,101</w:t>
            </w:r>
          </w:p>
        </w:tc>
        <w:tc>
          <w:tcPr>
            <w:tcW w:w="1032" w:type="dxa"/>
            <w:tcBorders>
              <w:top w:val="single" w:sz="8" w:space="0" w:color="009784"/>
              <w:left w:val="single" w:sz="8" w:space="0" w:color="009784"/>
              <w:bottom w:val="single" w:sz="8" w:space="0" w:color="009784"/>
              <w:right w:val="single" w:sz="8" w:space="0" w:color="009784"/>
            </w:tcBorders>
          </w:tcPr>
          <w:p w:rsidR="00576F87" w:rsidRDefault="00576F87"/>
        </w:tc>
        <w:tc>
          <w:tcPr>
            <w:tcW w:w="984" w:type="dxa"/>
            <w:tcBorders>
              <w:top w:val="single" w:sz="8" w:space="0" w:color="009784"/>
              <w:left w:val="single" w:sz="8" w:space="0" w:color="009784"/>
              <w:bottom w:val="single" w:sz="8" w:space="0" w:color="009784"/>
              <w:right w:val="single" w:sz="8" w:space="0" w:color="009784"/>
            </w:tcBorders>
          </w:tcPr>
          <w:p w:rsidR="00576F87" w:rsidRDefault="00576F87"/>
        </w:tc>
        <w:tc>
          <w:tcPr>
            <w:tcW w:w="967" w:type="dxa"/>
            <w:tcBorders>
              <w:top w:val="single" w:sz="8" w:space="0" w:color="009784"/>
              <w:left w:val="single" w:sz="8" w:space="0" w:color="009784"/>
              <w:bottom w:val="single" w:sz="8" w:space="0" w:color="009784"/>
              <w:right w:val="single" w:sz="8" w:space="0" w:color="009784"/>
            </w:tcBorders>
          </w:tcPr>
          <w:p w:rsidR="00576F87" w:rsidRDefault="00576F87"/>
        </w:tc>
        <w:tc>
          <w:tcPr>
            <w:tcW w:w="1159" w:type="dxa"/>
            <w:tcBorders>
              <w:top w:val="single" w:sz="8" w:space="0" w:color="009784"/>
              <w:left w:val="single" w:sz="8" w:space="0" w:color="009784"/>
              <w:bottom w:val="single" w:sz="8" w:space="0" w:color="009784"/>
              <w:right w:val="single" w:sz="8" w:space="0" w:color="009784"/>
            </w:tcBorders>
          </w:tcPr>
          <w:p w:rsidR="00576F87" w:rsidRDefault="00576F87"/>
        </w:tc>
        <w:tc>
          <w:tcPr>
            <w:tcW w:w="1032" w:type="dxa"/>
            <w:tcBorders>
              <w:top w:val="single" w:sz="8" w:space="0" w:color="009784"/>
              <w:left w:val="single" w:sz="8" w:space="0" w:color="009784"/>
              <w:bottom w:val="single" w:sz="8" w:space="0" w:color="009784"/>
              <w:right w:val="single" w:sz="8" w:space="0" w:color="009784"/>
            </w:tcBorders>
          </w:tcPr>
          <w:p w:rsidR="00576F87" w:rsidRDefault="00576F87"/>
        </w:tc>
        <w:tc>
          <w:tcPr>
            <w:tcW w:w="919"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2,101</w:t>
            </w:r>
          </w:p>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4"/>
              <w:jc w:val="right"/>
            </w:pPr>
            <w:r>
              <w:rPr>
                <w:rFonts w:ascii="Verdana" w:eastAsia="Verdana" w:hAnsi="Verdana" w:cs="Verdana"/>
                <w:b/>
                <w:sz w:val="16"/>
              </w:rPr>
              <w:t>2,101</w:t>
            </w:r>
          </w:p>
        </w:tc>
      </w:tr>
      <w:tr w:rsidR="00576F87">
        <w:trPr>
          <w:trHeight w:val="391"/>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Movement in year</w:t>
            </w:r>
          </w:p>
        </w:tc>
        <w:tc>
          <w:tcPr>
            <w:tcW w:w="101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(303)</w:t>
            </w:r>
          </w:p>
        </w:tc>
        <w:tc>
          <w:tcPr>
            <w:tcW w:w="121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b/>
                <w:sz w:val="16"/>
              </w:rPr>
              <w:t>(303)</w:t>
            </w:r>
          </w:p>
        </w:tc>
        <w:tc>
          <w:tcPr>
            <w:tcW w:w="93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303</w:t>
            </w:r>
          </w:p>
        </w:tc>
        <w:tc>
          <w:tcPr>
            <w:tcW w:w="103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b/>
                <w:sz w:val="16"/>
              </w:rPr>
              <w:t>303</w:t>
            </w:r>
          </w:p>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49"/>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Accumulated Compensating Absences provision</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tcPr>
          <w:p w:rsidR="00576F87" w:rsidRDefault="00576F87"/>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20"/>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4"/>
            </w:pPr>
            <w:r>
              <w:rPr>
                <w:rFonts w:ascii="Verdana" w:eastAsia="Verdana" w:hAnsi="Verdana" w:cs="Verdana"/>
                <w:b/>
                <w:sz w:val="16"/>
              </w:rPr>
              <w:t>Increase/(Decrease) in Year</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2,252</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3</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2,255</w:t>
            </w:r>
          </w:p>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198</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(50)</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(20)</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(53)</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(40)</w:t>
            </w:r>
          </w:p>
        </w:tc>
        <w:tc>
          <w:tcPr>
            <w:tcW w:w="1032" w:type="dxa"/>
            <w:tcBorders>
              <w:top w:val="single" w:sz="8" w:space="0" w:color="009784"/>
              <w:left w:val="single" w:sz="8" w:space="0" w:color="009784"/>
              <w:bottom w:val="single" w:sz="8" w:space="0" w:color="009784"/>
              <w:right w:val="single" w:sz="8" w:space="0" w:color="009784"/>
            </w:tcBorders>
          </w:tcPr>
          <w:p w:rsidR="00576F87" w:rsidRDefault="00576F87"/>
        </w:tc>
        <w:tc>
          <w:tcPr>
            <w:tcW w:w="919"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35</w:t>
            </w:r>
          </w:p>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4"/>
              <w:jc w:val="right"/>
            </w:pPr>
            <w:r>
              <w:rPr>
                <w:rFonts w:ascii="Verdana" w:eastAsia="Verdana" w:hAnsi="Verdana" w:cs="Verdana"/>
                <w:b/>
                <w:sz w:val="16"/>
              </w:rPr>
              <w:t>2,290</w:t>
            </w:r>
          </w:p>
        </w:tc>
      </w:tr>
      <w:tr w:rsidR="00576F87">
        <w:trPr>
          <w:trHeight w:val="552"/>
        </w:trPr>
        <w:tc>
          <w:tcPr>
            <w:tcW w:w="3475" w:type="dxa"/>
            <w:tcBorders>
              <w:top w:val="single" w:sz="8" w:space="0" w:color="009784"/>
              <w:left w:val="single" w:sz="12" w:space="0" w:color="009784"/>
              <w:bottom w:val="single" w:sz="15" w:space="0" w:color="009784"/>
              <w:right w:val="single" w:sz="8" w:space="0" w:color="009784"/>
            </w:tcBorders>
            <w:shd w:val="clear" w:color="auto" w:fill="24988A"/>
          </w:tcPr>
          <w:p w:rsidR="00576F87" w:rsidRDefault="004165F5">
            <w:pPr>
              <w:spacing w:after="0"/>
              <w:ind w:left="34"/>
            </w:pPr>
            <w:r>
              <w:rPr>
                <w:rFonts w:ascii="Verdana" w:eastAsia="Verdana" w:hAnsi="Verdana" w:cs="Verdana"/>
                <w:b/>
                <w:color w:val="FFFFFF"/>
                <w:sz w:val="16"/>
              </w:rPr>
              <w:t>Balance at 31 March 2018 carried forward</w:t>
            </w:r>
          </w:p>
        </w:tc>
        <w:tc>
          <w:tcPr>
            <w:tcW w:w="1015"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left="175"/>
            </w:pPr>
            <w:r>
              <w:rPr>
                <w:rFonts w:ascii="Verdana" w:eastAsia="Verdana" w:hAnsi="Verdana" w:cs="Verdana"/>
                <w:b/>
                <w:color w:val="FFFFFF"/>
                <w:sz w:val="16"/>
              </w:rPr>
              <w:t>(15,630)</w:t>
            </w:r>
          </w:p>
        </w:tc>
        <w:tc>
          <w:tcPr>
            <w:tcW w:w="1210"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3"/>
              <w:jc w:val="right"/>
            </w:pPr>
            <w:r>
              <w:rPr>
                <w:rFonts w:ascii="Verdana" w:eastAsia="Verdana" w:hAnsi="Verdana" w:cs="Verdana"/>
                <w:b/>
                <w:color w:val="FFFFFF"/>
                <w:sz w:val="16"/>
              </w:rPr>
              <w:t>-</w:t>
            </w:r>
          </w:p>
        </w:tc>
        <w:tc>
          <w:tcPr>
            <w:tcW w:w="1046"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3"/>
              <w:jc w:val="right"/>
            </w:pPr>
            <w:r>
              <w:rPr>
                <w:rFonts w:ascii="Verdana" w:eastAsia="Verdana" w:hAnsi="Verdana" w:cs="Verdana"/>
                <w:b/>
                <w:color w:val="FFFFFF"/>
                <w:sz w:val="16"/>
              </w:rPr>
              <w:t>(15,630)</w:t>
            </w:r>
          </w:p>
        </w:tc>
        <w:tc>
          <w:tcPr>
            <w:tcW w:w="934"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3"/>
              <w:jc w:val="right"/>
            </w:pPr>
            <w:r>
              <w:rPr>
                <w:rFonts w:ascii="Verdana" w:eastAsia="Verdana" w:hAnsi="Verdana" w:cs="Verdana"/>
                <w:b/>
                <w:color w:val="FFFFFF"/>
                <w:sz w:val="16"/>
              </w:rPr>
              <w:t>(2,684)</w:t>
            </w:r>
          </w:p>
        </w:tc>
        <w:tc>
          <w:tcPr>
            <w:tcW w:w="1032"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4"/>
              <w:jc w:val="right"/>
            </w:pPr>
            <w:r>
              <w:rPr>
                <w:rFonts w:ascii="Verdana" w:eastAsia="Verdana" w:hAnsi="Verdana" w:cs="Verdana"/>
                <w:b/>
                <w:color w:val="FFFFFF"/>
                <w:sz w:val="16"/>
              </w:rPr>
              <w:t>-</w:t>
            </w:r>
          </w:p>
        </w:tc>
        <w:tc>
          <w:tcPr>
            <w:tcW w:w="984"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4"/>
              <w:jc w:val="right"/>
            </w:pPr>
            <w:r>
              <w:rPr>
                <w:rFonts w:ascii="Verdana" w:eastAsia="Verdana" w:hAnsi="Verdana" w:cs="Verdana"/>
                <w:b/>
                <w:color w:val="FFFFFF"/>
                <w:sz w:val="16"/>
              </w:rPr>
              <w:t>-</w:t>
            </w:r>
          </w:p>
        </w:tc>
        <w:tc>
          <w:tcPr>
            <w:tcW w:w="967"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4"/>
              <w:jc w:val="right"/>
            </w:pPr>
            <w:r>
              <w:rPr>
                <w:rFonts w:ascii="Verdana" w:eastAsia="Verdana" w:hAnsi="Verdana" w:cs="Verdana"/>
                <w:b/>
                <w:color w:val="FFFFFF"/>
                <w:sz w:val="16"/>
              </w:rPr>
              <w:t>-</w:t>
            </w:r>
          </w:p>
        </w:tc>
        <w:tc>
          <w:tcPr>
            <w:tcW w:w="1159"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4"/>
              <w:jc w:val="right"/>
            </w:pPr>
            <w:r>
              <w:rPr>
                <w:rFonts w:ascii="Verdana" w:eastAsia="Verdana" w:hAnsi="Verdana" w:cs="Verdana"/>
                <w:b/>
                <w:color w:val="FFFFFF"/>
                <w:sz w:val="16"/>
              </w:rPr>
              <w:t>-</w:t>
            </w:r>
          </w:p>
        </w:tc>
        <w:tc>
          <w:tcPr>
            <w:tcW w:w="1032"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448</w:t>
            </w:r>
          </w:p>
        </w:tc>
        <w:tc>
          <w:tcPr>
            <w:tcW w:w="919"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400</w:t>
            </w:r>
          </w:p>
        </w:tc>
        <w:tc>
          <w:tcPr>
            <w:tcW w:w="1046"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3"/>
              <w:jc w:val="right"/>
            </w:pPr>
            <w:r>
              <w:rPr>
                <w:rFonts w:ascii="Verdana" w:eastAsia="Verdana" w:hAnsi="Verdana" w:cs="Verdana"/>
                <w:b/>
                <w:color w:val="FFFFFF"/>
                <w:sz w:val="16"/>
              </w:rPr>
              <w:t>(1,837)</w:t>
            </w:r>
          </w:p>
        </w:tc>
        <w:tc>
          <w:tcPr>
            <w:tcW w:w="1111" w:type="dxa"/>
            <w:tcBorders>
              <w:top w:val="single" w:sz="8" w:space="0" w:color="009784"/>
              <w:left w:val="single" w:sz="8" w:space="0" w:color="009784"/>
              <w:bottom w:val="single" w:sz="15" w:space="0" w:color="009784"/>
              <w:right w:val="single" w:sz="15" w:space="0" w:color="009784"/>
            </w:tcBorders>
            <w:shd w:val="clear" w:color="auto" w:fill="24988A"/>
            <w:vAlign w:val="bottom"/>
          </w:tcPr>
          <w:p w:rsidR="00576F87" w:rsidRDefault="004165F5">
            <w:pPr>
              <w:spacing w:after="0"/>
              <w:ind w:right="33"/>
              <w:jc w:val="right"/>
            </w:pPr>
            <w:r>
              <w:rPr>
                <w:rFonts w:ascii="Verdana" w:eastAsia="Verdana" w:hAnsi="Verdana" w:cs="Verdana"/>
                <w:b/>
                <w:color w:val="FFFFFF"/>
                <w:sz w:val="16"/>
              </w:rPr>
              <w:t>(17,467)</w:t>
            </w:r>
          </w:p>
        </w:tc>
      </w:tr>
    </w:tbl>
    <w:p w:rsidR="00576F87" w:rsidRDefault="004165F5">
      <w:pPr>
        <w:spacing w:after="41"/>
        <w:ind w:left="-5" w:hanging="10"/>
      </w:pPr>
      <w:r>
        <w:rPr>
          <w:rFonts w:ascii="Verdana" w:eastAsia="Verdana" w:hAnsi="Verdana" w:cs="Verdana"/>
        </w:rPr>
        <w:t>Group St</w:t>
      </w:r>
      <w:r>
        <w:rPr>
          <w:rFonts w:ascii="Verdana" w:eastAsia="Verdana" w:hAnsi="Verdana" w:cs="Verdana"/>
        </w:rPr>
        <w:t>atement of Movement in Reserves (restated)</w:t>
      </w:r>
    </w:p>
    <w:tbl>
      <w:tblPr>
        <w:tblStyle w:val="TableGrid"/>
        <w:tblW w:w="15931" w:type="dxa"/>
        <w:tblInd w:w="-41" w:type="dxa"/>
        <w:tblCellMar>
          <w:top w:w="54" w:type="dxa"/>
          <w:left w:w="0" w:type="dxa"/>
          <w:bottom w:w="51" w:type="dxa"/>
          <w:right w:w="0" w:type="dxa"/>
        </w:tblCellMar>
        <w:tblLook w:val="04A0" w:firstRow="1" w:lastRow="0" w:firstColumn="1" w:lastColumn="0" w:noHBand="0" w:noVBand="1"/>
      </w:tblPr>
      <w:tblGrid>
        <w:gridCol w:w="3475"/>
        <w:gridCol w:w="1015"/>
        <w:gridCol w:w="1210"/>
        <w:gridCol w:w="1046"/>
        <w:gridCol w:w="934"/>
        <w:gridCol w:w="1032"/>
        <w:gridCol w:w="984"/>
        <w:gridCol w:w="967"/>
        <w:gridCol w:w="1159"/>
        <w:gridCol w:w="1032"/>
        <w:gridCol w:w="919"/>
        <w:gridCol w:w="1046"/>
        <w:gridCol w:w="1111"/>
      </w:tblGrid>
      <w:tr w:rsidR="00576F87">
        <w:trPr>
          <w:trHeight w:val="972"/>
        </w:trPr>
        <w:tc>
          <w:tcPr>
            <w:tcW w:w="3475" w:type="dxa"/>
            <w:tcBorders>
              <w:top w:val="single" w:sz="15" w:space="0" w:color="FFFFFF"/>
              <w:left w:val="nil"/>
              <w:bottom w:val="single" w:sz="15" w:space="0" w:color="FFFFFF"/>
              <w:right w:val="single" w:sz="15" w:space="0" w:color="FFFFFF"/>
            </w:tcBorders>
          </w:tcPr>
          <w:p w:rsidR="00576F87" w:rsidRDefault="00576F87"/>
        </w:tc>
        <w:tc>
          <w:tcPr>
            <w:tcW w:w="1015" w:type="dxa"/>
            <w:tcBorders>
              <w:top w:val="single" w:sz="15" w:space="0" w:color="FFFFFF"/>
              <w:left w:val="single" w:sz="15" w:space="0" w:color="FFFFFF"/>
              <w:bottom w:val="single" w:sz="8" w:space="0" w:color="FFFFFF"/>
              <w:right w:val="single" w:sz="15" w:space="0" w:color="FFFFFF"/>
            </w:tcBorders>
            <w:shd w:val="clear" w:color="auto" w:fill="009784"/>
            <w:vAlign w:val="bottom"/>
          </w:tcPr>
          <w:p w:rsidR="00576F87" w:rsidRDefault="004165F5">
            <w:pPr>
              <w:spacing w:after="0"/>
              <w:ind w:left="8"/>
              <w:jc w:val="center"/>
            </w:pPr>
            <w:r>
              <w:rPr>
                <w:rFonts w:ascii="Verdana" w:eastAsia="Verdana" w:hAnsi="Verdana" w:cs="Verdana"/>
                <w:color w:val="FFFFFF"/>
                <w:sz w:val="16"/>
              </w:rPr>
              <w:t xml:space="preserve">Pension </w:t>
            </w:r>
          </w:p>
          <w:p w:rsidR="00576F87" w:rsidRDefault="004165F5">
            <w:pPr>
              <w:spacing w:after="0"/>
              <w:ind w:left="571" w:hanging="386"/>
            </w:pPr>
            <w:r>
              <w:rPr>
                <w:rFonts w:ascii="Verdana" w:eastAsia="Verdana" w:hAnsi="Verdana" w:cs="Verdana"/>
                <w:color w:val="FFFFFF"/>
                <w:sz w:val="16"/>
              </w:rPr>
              <w:t>Reserve   £000</w:t>
            </w:r>
          </w:p>
        </w:tc>
        <w:tc>
          <w:tcPr>
            <w:tcW w:w="1210"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4"/>
              <w:jc w:val="center"/>
            </w:pPr>
            <w:r>
              <w:rPr>
                <w:rFonts w:ascii="Verdana" w:eastAsia="Verdana" w:hAnsi="Verdana" w:cs="Verdana"/>
                <w:color w:val="FFFFFF"/>
                <w:sz w:val="16"/>
              </w:rPr>
              <w:t xml:space="preserve">Compen </w:t>
            </w:r>
          </w:p>
          <w:p w:rsidR="00576F87" w:rsidRDefault="004165F5">
            <w:pPr>
              <w:spacing w:after="0"/>
              <w:ind w:left="2"/>
              <w:jc w:val="center"/>
            </w:pPr>
            <w:r>
              <w:rPr>
                <w:rFonts w:ascii="Verdana" w:eastAsia="Verdana" w:hAnsi="Verdana" w:cs="Verdana"/>
                <w:color w:val="FFFFFF"/>
                <w:sz w:val="16"/>
              </w:rPr>
              <w:t xml:space="preserve">Absences </w:t>
            </w:r>
          </w:p>
          <w:p w:rsidR="00576F87" w:rsidRDefault="004165F5">
            <w:pPr>
              <w:spacing w:after="0"/>
              <w:ind w:left="-7"/>
            </w:pPr>
            <w:r>
              <w:rPr>
                <w:rFonts w:ascii="Verdana" w:eastAsia="Verdana" w:hAnsi="Verdana" w:cs="Verdana"/>
                <w:color w:val="FFFFFF"/>
                <w:sz w:val="16"/>
              </w:rPr>
              <w:t xml:space="preserve"> </w:t>
            </w:r>
          </w:p>
          <w:p w:rsidR="00576F87" w:rsidRDefault="004165F5">
            <w:pPr>
              <w:spacing w:after="0"/>
              <w:ind w:left="766" w:hanging="485"/>
            </w:pPr>
            <w:r>
              <w:rPr>
                <w:rFonts w:ascii="Verdana" w:eastAsia="Verdana" w:hAnsi="Verdana" w:cs="Verdana"/>
                <w:color w:val="FFFFFF"/>
                <w:sz w:val="16"/>
              </w:rPr>
              <w:t>Reserve     £000</w:t>
            </w:r>
          </w:p>
        </w:tc>
        <w:tc>
          <w:tcPr>
            <w:tcW w:w="1046"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7"/>
              <w:jc w:val="center"/>
            </w:pPr>
            <w:r>
              <w:rPr>
                <w:rFonts w:ascii="Verdana" w:eastAsia="Verdana" w:hAnsi="Verdana" w:cs="Verdana"/>
                <w:b/>
                <w:color w:val="FFFFFF"/>
                <w:sz w:val="16"/>
              </w:rPr>
              <w:t xml:space="preserve">Total </w:t>
            </w:r>
          </w:p>
          <w:p w:rsidR="00576F87" w:rsidRDefault="004165F5">
            <w:pPr>
              <w:spacing w:after="0"/>
              <w:ind w:left="106"/>
            </w:pPr>
            <w:r>
              <w:rPr>
                <w:rFonts w:ascii="Verdana" w:eastAsia="Verdana" w:hAnsi="Verdana" w:cs="Verdana"/>
                <w:b/>
                <w:color w:val="FFFFFF"/>
                <w:sz w:val="16"/>
              </w:rPr>
              <w:t xml:space="preserve">Unusable </w:t>
            </w:r>
          </w:p>
          <w:p w:rsidR="00576F87" w:rsidRDefault="004165F5">
            <w:pPr>
              <w:spacing w:after="72"/>
              <w:ind w:left="113"/>
            </w:pPr>
            <w:r>
              <w:rPr>
                <w:rFonts w:ascii="Verdana" w:eastAsia="Verdana" w:hAnsi="Verdana" w:cs="Verdana"/>
                <w:b/>
                <w:color w:val="FFFFFF"/>
                <w:sz w:val="16"/>
              </w:rPr>
              <w:t>Reserves</w:t>
            </w:r>
          </w:p>
          <w:p w:rsidR="00576F87" w:rsidRDefault="004165F5">
            <w:pPr>
              <w:spacing w:after="0"/>
              <w:ind w:right="34"/>
              <w:jc w:val="right"/>
            </w:pPr>
            <w:r>
              <w:rPr>
                <w:rFonts w:ascii="Verdana" w:eastAsia="Verdana" w:hAnsi="Verdana" w:cs="Verdana"/>
                <w:b/>
                <w:color w:val="FFFFFF"/>
                <w:sz w:val="16"/>
              </w:rPr>
              <w:t>£000</w:t>
            </w:r>
          </w:p>
        </w:tc>
        <w:tc>
          <w:tcPr>
            <w:tcW w:w="934" w:type="dxa"/>
            <w:tcBorders>
              <w:top w:val="single" w:sz="15" w:space="0" w:color="FFFFFF"/>
              <w:left w:val="single" w:sz="15" w:space="0" w:color="FFFFFF"/>
              <w:bottom w:val="single" w:sz="8" w:space="0" w:color="FFFFFF"/>
              <w:right w:val="single" w:sz="15" w:space="0" w:color="FFFFFF"/>
            </w:tcBorders>
            <w:shd w:val="clear" w:color="auto" w:fill="009784"/>
            <w:vAlign w:val="bottom"/>
          </w:tcPr>
          <w:p w:rsidR="00576F87" w:rsidRDefault="004165F5">
            <w:pPr>
              <w:spacing w:after="0"/>
              <w:ind w:left="156"/>
            </w:pPr>
            <w:r>
              <w:rPr>
                <w:rFonts w:ascii="Verdana" w:eastAsia="Verdana" w:hAnsi="Verdana" w:cs="Verdana"/>
                <w:color w:val="FFFFFF"/>
                <w:sz w:val="16"/>
              </w:rPr>
              <w:t xml:space="preserve">General </w:t>
            </w:r>
          </w:p>
          <w:p w:rsidR="00576F87" w:rsidRDefault="004165F5">
            <w:pPr>
              <w:spacing w:after="177"/>
              <w:ind w:left="144"/>
            </w:pPr>
            <w:r>
              <w:rPr>
                <w:rFonts w:ascii="Verdana" w:eastAsia="Verdana" w:hAnsi="Verdana" w:cs="Verdana"/>
                <w:color w:val="FFFFFF"/>
                <w:sz w:val="16"/>
              </w:rPr>
              <w:t xml:space="preserve">Reserve  </w:t>
            </w:r>
          </w:p>
          <w:p w:rsidR="00576F87" w:rsidRDefault="004165F5">
            <w:pPr>
              <w:spacing w:after="0"/>
              <w:ind w:right="32"/>
              <w:jc w:val="right"/>
            </w:pPr>
            <w:r>
              <w:rPr>
                <w:rFonts w:ascii="Verdana" w:eastAsia="Verdana" w:hAnsi="Verdana" w:cs="Verdana"/>
                <w:color w:val="FFFFFF"/>
                <w:sz w:val="16"/>
              </w:rPr>
              <w:t>£000</w:t>
            </w:r>
          </w:p>
        </w:tc>
        <w:tc>
          <w:tcPr>
            <w:tcW w:w="1032" w:type="dxa"/>
            <w:tcBorders>
              <w:top w:val="single" w:sz="15" w:space="0" w:color="FFFFFF"/>
              <w:left w:val="single" w:sz="15" w:space="0" w:color="FFFFFF"/>
              <w:bottom w:val="single" w:sz="8" w:space="0" w:color="FFFFFF"/>
              <w:right w:val="single" w:sz="15" w:space="0" w:color="FFFFFF"/>
            </w:tcBorders>
            <w:shd w:val="clear" w:color="auto" w:fill="009784"/>
            <w:vAlign w:val="bottom"/>
          </w:tcPr>
          <w:p w:rsidR="00576F87" w:rsidRDefault="004165F5">
            <w:pPr>
              <w:spacing w:after="0"/>
              <w:ind w:left="166"/>
            </w:pPr>
            <w:r>
              <w:rPr>
                <w:rFonts w:ascii="Verdana" w:eastAsia="Verdana" w:hAnsi="Verdana" w:cs="Verdana"/>
                <w:color w:val="FFFFFF"/>
                <w:sz w:val="16"/>
              </w:rPr>
              <w:t xml:space="preserve">Business </w:t>
            </w:r>
          </w:p>
          <w:p w:rsidR="00576F87" w:rsidRDefault="004165F5">
            <w:pPr>
              <w:spacing w:after="177"/>
              <w:ind w:left="-24"/>
              <w:jc w:val="both"/>
            </w:pPr>
            <w:r>
              <w:rPr>
                <w:rFonts w:ascii="Verdana" w:eastAsia="Verdana" w:hAnsi="Verdana" w:cs="Verdana"/>
                <w:color w:val="FFFFFF"/>
                <w:sz w:val="16"/>
              </w:rPr>
              <w:t xml:space="preserve"> Reserve   </w:t>
            </w:r>
          </w:p>
          <w:p w:rsidR="00576F87" w:rsidRDefault="004165F5">
            <w:pPr>
              <w:spacing w:after="0"/>
              <w:ind w:right="32"/>
              <w:jc w:val="right"/>
            </w:pPr>
            <w:r>
              <w:rPr>
                <w:rFonts w:ascii="Verdana" w:eastAsia="Verdana" w:hAnsi="Verdana" w:cs="Verdana"/>
                <w:color w:val="FFFFFF"/>
                <w:sz w:val="16"/>
              </w:rPr>
              <w:t>£000</w:t>
            </w:r>
          </w:p>
        </w:tc>
        <w:tc>
          <w:tcPr>
            <w:tcW w:w="984" w:type="dxa"/>
            <w:tcBorders>
              <w:top w:val="single" w:sz="15" w:space="0" w:color="FFFFFF"/>
              <w:left w:val="single" w:sz="15" w:space="0" w:color="FFFFFF"/>
              <w:bottom w:val="single" w:sz="8" w:space="0" w:color="FFFFFF"/>
              <w:right w:val="single" w:sz="15" w:space="0" w:color="FFFFFF"/>
            </w:tcBorders>
            <w:shd w:val="clear" w:color="auto" w:fill="009784"/>
            <w:vAlign w:val="bottom"/>
          </w:tcPr>
          <w:p w:rsidR="00576F87" w:rsidRDefault="004165F5">
            <w:pPr>
              <w:spacing w:after="0"/>
              <w:ind w:left="118"/>
            </w:pPr>
            <w:r>
              <w:rPr>
                <w:rFonts w:ascii="Verdana" w:eastAsia="Verdana" w:hAnsi="Verdana" w:cs="Verdana"/>
                <w:color w:val="FFFFFF"/>
                <w:sz w:val="16"/>
              </w:rPr>
              <w:t xml:space="preserve">Valuation </w:t>
            </w:r>
          </w:p>
          <w:p w:rsidR="00576F87" w:rsidRDefault="004165F5">
            <w:pPr>
              <w:spacing w:after="0"/>
              <w:ind w:left="540" w:hanging="372"/>
            </w:pPr>
            <w:r>
              <w:rPr>
                <w:rFonts w:ascii="Verdana" w:eastAsia="Verdana" w:hAnsi="Verdana" w:cs="Verdana"/>
                <w:color w:val="FFFFFF"/>
                <w:sz w:val="16"/>
              </w:rPr>
              <w:t>Reserve   £000</w:t>
            </w:r>
          </w:p>
        </w:tc>
        <w:tc>
          <w:tcPr>
            <w:tcW w:w="967" w:type="dxa"/>
            <w:tcBorders>
              <w:top w:val="single" w:sz="15" w:space="0" w:color="FFFFFF"/>
              <w:left w:val="single" w:sz="15" w:space="0" w:color="FFFFFF"/>
              <w:bottom w:val="single" w:sz="8" w:space="0" w:color="FFFFFF"/>
              <w:right w:val="single" w:sz="15" w:space="0" w:color="FFFFFF"/>
            </w:tcBorders>
            <w:shd w:val="clear" w:color="auto" w:fill="009784"/>
            <w:vAlign w:val="bottom"/>
          </w:tcPr>
          <w:p w:rsidR="00576F87" w:rsidRDefault="004165F5">
            <w:pPr>
              <w:spacing w:after="0"/>
              <w:ind w:left="89"/>
            </w:pPr>
            <w:r>
              <w:rPr>
                <w:rFonts w:ascii="Verdana" w:eastAsia="Verdana" w:hAnsi="Verdana" w:cs="Verdana"/>
                <w:color w:val="FFFFFF"/>
                <w:sz w:val="16"/>
              </w:rPr>
              <w:t xml:space="preserve"> Org Devt </w:t>
            </w:r>
          </w:p>
          <w:p w:rsidR="00576F87" w:rsidRDefault="004165F5">
            <w:pPr>
              <w:spacing w:after="0"/>
              <w:ind w:left="524" w:hanging="363"/>
            </w:pPr>
            <w:r>
              <w:rPr>
                <w:rFonts w:ascii="Verdana" w:eastAsia="Verdana" w:hAnsi="Verdana" w:cs="Verdana"/>
                <w:color w:val="FFFFFF"/>
                <w:sz w:val="16"/>
              </w:rPr>
              <w:t>Reserve   £000</w:t>
            </w:r>
          </w:p>
        </w:tc>
        <w:tc>
          <w:tcPr>
            <w:tcW w:w="1159" w:type="dxa"/>
            <w:tcBorders>
              <w:top w:val="single" w:sz="15" w:space="0" w:color="FFFFFF"/>
              <w:left w:val="single" w:sz="15" w:space="0" w:color="FFFFFF"/>
              <w:bottom w:val="single" w:sz="8" w:space="0" w:color="FFFFFF"/>
              <w:right w:val="single" w:sz="15" w:space="0" w:color="FFFFFF"/>
            </w:tcBorders>
            <w:shd w:val="clear" w:color="auto" w:fill="009784"/>
            <w:vAlign w:val="bottom"/>
          </w:tcPr>
          <w:p w:rsidR="00576F87" w:rsidRDefault="004165F5">
            <w:pPr>
              <w:spacing w:after="0"/>
              <w:ind w:left="106"/>
            </w:pPr>
            <w:r>
              <w:rPr>
                <w:rFonts w:ascii="Verdana" w:eastAsia="Verdana" w:hAnsi="Verdana" w:cs="Verdana"/>
                <w:color w:val="FFFFFF"/>
                <w:sz w:val="16"/>
              </w:rPr>
              <w:t xml:space="preserve">Innovations </w:t>
            </w:r>
          </w:p>
          <w:p w:rsidR="00576F87" w:rsidRDefault="004165F5">
            <w:pPr>
              <w:spacing w:after="0"/>
              <w:ind w:left="716" w:hanging="459"/>
            </w:pPr>
            <w:r>
              <w:rPr>
                <w:rFonts w:ascii="Verdana" w:eastAsia="Verdana" w:hAnsi="Verdana" w:cs="Verdana"/>
                <w:color w:val="FFFFFF"/>
                <w:sz w:val="16"/>
              </w:rPr>
              <w:t>Reserve    £000</w:t>
            </w:r>
          </w:p>
        </w:tc>
        <w:tc>
          <w:tcPr>
            <w:tcW w:w="1032"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72"/>
              <w:ind w:firstLine="1"/>
              <w:jc w:val="center"/>
            </w:pPr>
            <w:r>
              <w:rPr>
                <w:rFonts w:ascii="Verdana" w:eastAsia="Verdana" w:hAnsi="Verdana" w:cs="Verdana"/>
                <w:color w:val="FFFFFF"/>
                <w:sz w:val="16"/>
              </w:rPr>
              <w:t>Capital Contrib reserve</w:t>
            </w:r>
          </w:p>
          <w:p w:rsidR="00576F87" w:rsidRDefault="004165F5">
            <w:pPr>
              <w:spacing w:after="0"/>
              <w:ind w:right="31"/>
              <w:jc w:val="right"/>
            </w:pPr>
            <w:r>
              <w:rPr>
                <w:rFonts w:ascii="Verdana" w:eastAsia="Verdana" w:hAnsi="Verdana" w:cs="Verdana"/>
                <w:color w:val="FFFFFF"/>
                <w:sz w:val="16"/>
              </w:rPr>
              <w:t>£000</w:t>
            </w:r>
          </w:p>
        </w:tc>
        <w:tc>
          <w:tcPr>
            <w:tcW w:w="919"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4"/>
              <w:jc w:val="center"/>
            </w:pPr>
            <w:r>
              <w:rPr>
                <w:rFonts w:ascii="Verdana" w:eastAsia="Verdana" w:hAnsi="Verdana" w:cs="Verdana"/>
                <w:color w:val="FFFFFF"/>
                <w:sz w:val="16"/>
              </w:rPr>
              <w:t xml:space="preserve">New </w:t>
            </w:r>
          </w:p>
          <w:p w:rsidR="00576F87" w:rsidRDefault="004165F5">
            <w:pPr>
              <w:spacing w:after="0"/>
              <w:ind w:left="98"/>
            </w:pPr>
            <w:r>
              <w:rPr>
                <w:rFonts w:ascii="Verdana" w:eastAsia="Verdana" w:hAnsi="Verdana" w:cs="Verdana"/>
                <w:color w:val="FFFFFF"/>
                <w:sz w:val="16"/>
              </w:rPr>
              <w:t xml:space="preserve">Premises </w:t>
            </w:r>
          </w:p>
          <w:p w:rsidR="00576F87" w:rsidRDefault="004165F5">
            <w:pPr>
              <w:spacing w:after="72"/>
              <w:ind w:left="137"/>
            </w:pPr>
            <w:r>
              <w:rPr>
                <w:rFonts w:ascii="Verdana" w:eastAsia="Verdana" w:hAnsi="Verdana" w:cs="Verdana"/>
                <w:color w:val="FFFFFF"/>
                <w:sz w:val="16"/>
              </w:rPr>
              <w:t xml:space="preserve">Reserve  </w:t>
            </w:r>
          </w:p>
          <w:p w:rsidR="00576F87" w:rsidRDefault="004165F5">
            <w:pPr>
              <w:spacing w:after="0"/>
              <w:ind w:right="31"/>
              <w:jc w:val="right"/>
            </w:pPr>
            <w:r>
              <w:rPr>
                <w:rFonts w:ascii="Verdana" w:eastAsia="Verdana" w:hAnsi="Verdana" w:cs="Verdana"/>
                <w:color w:val="FFFFFF"/>
                <w:sz w:val="16"/>
              </w:rPr>
              <w:t>£000</w:t>
            </w:r>
          </w:p>
        </w:tc>
        <w:tc>
          <w:tcPr>
            <w:tcW w:w="1046"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7"/>
              <w:jc w:val="center"/>
            </w:pPr>
            <w:r>
              <w:rPr>
                <w:rFonts w:ascii="Verdana" w:eastAsia="Verdana" w:hAnsi="Verdana" w:cs="Verdana"/>
                <w:b/>
                <w:color w:val="FFFFFF"/>
                <w:sz w:val="16"/>
              </w:rPr>
              <w:t xml:space="preserve">Total </w:t>
            </w:r>
          </w:p>
          <w:p w:rsidR="00576F87" w:rsidRDefault="004165F5">
            <w:pPr>
              <w:spacing w:after="1"/>
              <w:ind w:left="4"/>
              <w:jc w:val="center"/>
            </w:pPr>
            <w:r>
              <w:rPr>
                <w:rFonts w:ascii="Verdana" w:eastAsia="Verdana" w:hAnsi="Verdana" w:cs="Verdana"/>
                <w:b/>
                <w:color w:val="FFFFFF"/>
                <w:sz w:val="16"/>
              </w:rPr>
              <w:t xml:space="preserve">Usable </w:t>
            </w:r>
          </w:p>
          <w:p w:rsidR="00576F87" w:rsidRDefault="004165F5">
            <w:pPr>
              <w:spacing w:after="72"/>
              <w:ind w:left="-16"/>
            </w:pPr>
            <w:r>
              <w:rPr>
                <w:rFonts w:ascii="Verdana" w:eastAsia="Verdana" w:hAnsi="Verdana" w:cs="Verdana"/>
                <w:color w:val="FFFFFF"/>
                <w:sz w:val="16"/>
              </w:rPr>
              <w:t xml:space="preserve"> </w:t>
            </w:r>
            <w:r>
              <w:rPr>
                <w:rFonts w:ascii="Verdana" w:eastAsia="Verdana" w:hAnsi="Verdana" w:cs="Verdana"/>
                <w:b/>
                <w:color w:val="FFFFFF"/>
                <w:sz w:val="16"/>
              </w:rPr>
              <w:t>Reserves</w:t>
            </w:r>
          </w:p>
          <w:p w:rsidR="00576F87" w:rsidRDefault="004165F5">
            <w:pPr>
              <w:spacing w:after="0"/>
              <w:ind w:right="34"/>
              <w:jc w:val="right"/>
            </w:pPr>
            <w:r>
              <w:rPr>
                <w:rFonts w:ascii="Verdana" w:eastAsia="Verdana" w:hAnsi="Verdana" w:cs="Verdana"/>
                <w:b/>
                <w:color w:val="FFFFFF"/>
                <w:sz w:val="16"/>
              </w:rPr>
              <w:t>£000</w:t>
            </w:r>
          </w:p>
        </w:tc>
        <w:tc>
          <w:tcPr>
            <w:tcW w:w="1111" w:type="dxa"/>
            <w:tcBorders>
              <w:top w:val="single" w:sz="15" w:space="0" w:color="FFFFFF"/>
              <w:left w:val="single" w:sz="15" w:space="0" w:color="FFFFFF"/>
              <w:bottom w:val="single" w:sz="8" w:space="0" w:color="FFFFFF"/>
              <w:right w:val="single" w:sz="15" w:space="0" w:color="FFFFFF"/>
            </w:tcBorders>
            <w:shd w:val="clear" w:color="auto" w:fill="009784"/>
            <w:vAlign w:val="bottom"/>
          </w:tcPr>
          <w:p w:rsidR="00576F87" w:rsidRDefault="004165F5">
            <w:pPr>
              <w:spacing w:after="0"/>
              <w:ind w:left="5"/>
              <w:jc w:val="center"/>
            </w:pPr>
            <w:r>
              <w:rPr>
                <w:rFonts w:ascii="Verdana" w:eastAsia="Verdana" w:hAnsi="Verdana" w:cs="Verdana"/>
                <w:b/>
                <w:color w:val="FFFFFF"/>
                <w:sz w:val="16"/>
              </w:rPr>
              <w:t xml:space="preserve">Total </w:t>
            </w:r>
          </w:p>
          <w:p w:rsidR="00576F87" w:rsidRDefault="004165F5">
            <w:pPr>
              <w:spacing w:after="177"/>
              <w:ind w:left="144"/>
            </w:pPr>
            <w:r>
              <w:rPr>
                <w:rFonts w:ascii="Verdana" w:eastAsia="Verdana" w:hAnsi="Verdana" w:cs="Verdana"/>
                <w:b/>
                <w:color w:val="FFFFFF"/>
                <w:sz w:val="16"/>
              </w:rPr>
              <w:t xml:space="preserve">Reserves  </w:t>
            </w:r>
          </w:p>
          <w:p w:rsidR="00576F87" w:rsidRDefault="004165F5">
            <w:pPr>
              <w:spacing w:after="0"/>
              <w:ind w:right="34"/>
              <w:jc w:val="right"/>
            </w:pPr>
            <w:r>
              <w:rPr>
                <w:rFonts w:ascii="Verdana" w:eastAsia="Verdana" w:hAnsi="Verdana" w:cs="Verdana"/>
                <w:b/>
                <w:color w:val="FFFFFF"/>
                <w:sz w:val="16"/>
              </w:rPr>
              <w:t>£000</w:t>
            </w:r>
          </w:p>
        </w:tc>
      </w:tr>
      <w:tr w:rsidR="00576F87">
        <w:trPr>
          <w:trHeight w:val="566"/>
        </w:trPr>
        <w:tc>
          <w:tcPr>
            <w:tcW w:w="3475" w:type="dxa"/>
            <w:tcBorders>
              <w:top w:val="single" w:sz="15" w:space="0" w:color="FFFFFF"/>
              <w:left w:val="single" w:sz="12" w:space="0" w:color="009784"/>
              <w:bottom w:val="single" w:sz="8" w:space="0" w:color="009784"/>
              <w:right w:val="single" w:sz="8" w:space="0" w:color="269683"/>
            </w:tcBorders>
            <w:shd w:val="clear" w:color="auto" w:fill="24988A"/>
          </w:tcPr>
          <w:p w:rsidR="00576F87" w:rsidRDefault="004165F5">
            <w:pPr>
              <w:spacing w:after="0"/>
              <w:ind w:left="34"/>
            </w:pPr>
            <w:r>
              <w:rPr>
                <w:rFonts w:ascii="Verdana" w:eastAsia="Verdana" w:hAnsi="Verdana" w:cs="Verdana"/>
                <w:b/>
                <w:color w:val="FFFFFF"/>
                <w:sz w:val="16"/>
              </w:rPr>
              <w:t>Balance at 1 April 2016 brought forward</w:t>
            </w:r>
          </w:p>
        </w:tc>
        <w:tc>
          <w:tcPr>
            <w:tcW w:w="1015" w:type="dxa"/>
            <w:tcBorders>
              <w:top w:val="single" w:sz="8" w:space="0" w:color="FFFFFF"/>
              <w:left w:val="single" w:sz="8" w:space="0" w:color="269683"/>
              <w:bottom w:val="single" w:sz="8" w:space="0" w:color="009784"/>
              <w:right w:val="single" w:sz="8" w:space="0" w:color="269683"/>
            </w:tcBorders>
            <w:shd w:val="clear" w:color="auto" w:fill="24988A"/>
            <w:vAlign w:val="center"/>
          </w:tcPr>
          <w:p w:rsidR="00576F87" w:rsidRDefault="004165F5">
            <w:pPr>
              <w:spacing w:after="0"/>
              <w:ind w:left="175"/>
            </w:pPr>
            <w:r>
              <w:rPr>
                <w:rFonts w:ascii="Verdana" w:eastAsia="Verdana" w:hAnsi="Verdana" w:cs="Verdana"/>
                <w:b/>
                <w:color w:val="FFFFFF"/>
                <w:sz w:val="16"/>
              </w:rPr>
              <w:t>(18,475)</w:t>
            </w:r>
          </w:p>
        </w:tc>
        <w:tc>
          <w:tcPr>
            <w:tcW w:w="1210" w:type="dxa"/>
            <w:tcBorders>
              <w:top w:val="single" w:sz="8" w:space="0" w:color="FFFFFF"/>
              <w:left w:val="single" w:sz="8" w:space="0" w:color="269683"/>
              <w:bottom w:val="single" w:sz="8" w:space="0" w:color="009784"/>
              <w:right w:val="single" w:sz="8" w:space="0" w:color="269683"/>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(110)</w:t>
            </w:r>
          </w:p>
        </w:tc>
        <w:tc>
          <w:tcPr>
            <w:tcW w:w="1046" w:type="dxa"/>
            <w:tcBorders>
              <w:top w:val="single" w:sz="8" w:space="0" w:color="FFFFFF"/>
              <w:left w:val="single" w:sz="8" w:space="0" w:color="269683"/>
              <w:bottom w:val="single" w:sz="8" w:space="0" w:color="009784"/>
              <w:right w:val="single" w:sz="8" w:space="0" w:color="269683"/>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(18,585)</w:t>
            </w:r>
          </w:p>
        </w:tc>
        <w:tc>
          <w:tcPr>
            <w:tcW w:w="934" w:type="dxa"/>
            <w:tcBorders>
              <w:top w:val="single" w:sz="8" w:space="0" w:color="FFFFFF"/>
              <w:left w:val="single" w:sz="8" w:space="0" w:color="269683"/>
              <w:bottom w:val="single" w:sz="8" w:space="0" w:color="009784"/>
              <w:right w:val="single" w:sz="8" w:space="0" w:color="269683"/>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1,408</w:t>
            </w:r>
          </w:p>
        </w:tc>
        <w:tc>
          <w:tcPr>
            <w:tcW w:w="1032" w:type="dxa"/>
            <w:tcBorders>
              <w:top w:val="single" w:sz="8" w:space="0" w:color="FFFFFF"/>
              <w:left w:val="single" w:sz="8" w:space="0" w:color="269683"/>
              <w:bottom w:val="single" w:sz="8" w:space="0" w:color="009784"/>
              <w:right w:val="single" w:sz="8" w:space="0" w:color="269683"/>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50</w:t>
            </w:r>
          </w:p>
        </w:tc>
        <w:tc>
          <w:tcPr>
            <w:tcW w:w="984" w:type="dxa"/>
            <w:tcBorders>
              <w:top w:val="single" w:sz="8" w:space="0" w:color="FFFFFF"/>
              <w:left w:val="single" w:sz="8" w:space="0" w:color="269683"/>
              <w:bottom w:val="single" w:sz="8" w:space="0" w:color="009784"/>
              <w:right w:val="single" w:sz="8" w:space="0" w:color="269683"/>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20</w:t>
            </w:r>
          </w:p>
        </w:tc>
        <w:tc>
          <w:tcPr>
            <w:tcW w:w="967" w:type="dxa"/>
            <w:tcBorders>
              <w:top w:val="single" w:sz="8" w:space="0" w:color="FFFFFF"/>
              <w:left w:val="single" w:sz="8" w:space="0" w:color="269683"/>
              <w:bottom w:val="single" w:sz="8" w:space="0" w:color="009784"/>
              <w:right w:val="single" w:sz="8" w:space="0" w:color="269683"/>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90</w:t>
            </w:r>
          </w:p>
        </w:tc>
        <w:tc>
          <w:tcPr>
            <w:tcW w:w="1159" w:type="dxa"/>
            <w:tcBorders>
              <w:top w:val="single" w:sz="8" w:space="0" w:color="FFFFFF"/>
              <w:left w:val="single" w:sz="8" w:space="0" w:color="269683"/>
              <w:bottom w:val="single" w:sz="8" w:space="0" w:color="009784"/>
              <w:right w:val="single" w:sz="8" w:space="0" w:color="269683"/>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40</w:t>
            </w:r>
          </w:p>
        </w:tc>
        <w:tc>
          <w:tcPr>
            <w:tcW w:w="1032" w:type="dxa"/>
            <w:tcBorders>
              <w:top w:val="single" w:sz="8" w:space="0" w:color="FFFFFF"/>
              <w:left w:val="single" w:sz="8" w:space="0" w:color="269683"/>
              <w:bottom w:val="single" w:sz="8" w:space="0" w:color="009784"/>
              <w:right w:val="single" w:sz="8" w:space="0" w:color="269683"/>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635</w:t>
            </w:r>
          </w:p>
        </w:tc>
        <w:tc>
          <w:tcPr>
            <w:tcW w:w="919" w:type="dxa"/>
            <w:tcBorders>
              <w:top w:val="single" w:sz="8" w:space="0" w:color="FFFFFF"/>
              <w:left w:val="single" w:sz="8" w:space="0" w:color="269683"/>
              <w:bottom w:val="single" w:sz="8" w:space="0" w:color="009784"/>
              <w:right w:val="single" w:sz="8" w:space="0" w:color="269683"/>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400</w:t>
            </w:r>
          </w:p>
        </w:tc>
        <w:tc>
          <w:tcPr>
            <w:tcW w:w="1046" w:type="dxa"/>
            <w:tcBorders>
              <w:top w:val="single" w:sz="8" w:space="0" w:color="FFFFFF"/>
              <w:left w:val="single" w:sz="8" w:space="0" w:color="269683"/>
              <w:bottom w:val="single" w:sz="8" w:space="0" w:color="009784"/>
              <w:right w:val="single" w:sz="8" w:space="0" w:color="269683"/>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2,643</w:t>
            </w:r>
          </w:p>
        </w:tc>
        <w:tc>
          <w:tcPr>
            <w:tcW w:w="1111" w:type="dxa"/>
            <w:tcBorders>
              <w:top w:val="single" w:sz="8" w:space="0" w:color="FFFFFF"/>
              <w:left w:val="single" w:sz="8" w:space="0" w:color="269683"/>
              <w:bottom w:val="single" w:sz="8" w:space="0" w:color="009784"/>
              <w:right w:val="single" w:sz="8" w:space="0" w:color="269683"/>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(15,942)</w:t>
            </w:r>
          </w:p>
        </w:tc>
      </w:tr>
      <w:tr w:rsidR="00576F87">
        <w:trPr>
          <w:trHeight w:val="552"/>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Movement in Reserves during 2016/17</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78"/>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 xml:space="preserve">Surplus or (deficit) on provision of services </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4,510</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4,510</w:t>
            </w:r>
          </w:p>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4"/>
              <w:jc w:val="right"/>
            </w:pPr>
            <w:r>
              <w:rPr>
                <w:rFonts w:ascii="Verdana" w:eastAsia="Verdana" w:hAnsi="Verdana" w:cs="Verdana"/>
                <w:b/>
                <w:sz w:val="16"/>
              </w:rPr>
              <w:t>4,510</w:t>
            </w:r>
          </w:p>
        </w:tc>
      </w:tr>
      <w:tr w:rsidR="00576F87">
        <w:trPr>
          <w:trHeight w:val="305"/>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Share of Tax</w:t>
            </w:r>
          </w:p>
        </w:tc>
        <w:tc>
          <w:tcPr>
            <w:tcW w:w="101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(458)</w:t>
            </w:r>
          </w:p>
        </w:tc>
        <w:tc>
          <w:tcPr>
            <w:tcW w:w="103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b/>
                <w:sz w:val="16"/>
              </w:rPr>
              <w:t>(458)</w:t>
            </w:r>
          </w:p>
        </w:tc>
        <w:tc>
          <w:tcPr>
            <w:tcW w:w="1111"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3"/>
              <w:jc w:val="right"/>
            </w:pPr>
            <w:r>
              <w:rPr>
                <w:rFonts w:ascii="Verdana" w:eastAsia="Verdana" w:hAnsi="Verdana" w:cs="Verdana"/>
                <w:b/>
                <w:sz w:val="16"/>
              </w:rPr>
              <w:t>(458)</w:t>
            </w:r>
          </w:p>
        </w:tc>
      </w:tr>
      <w:tr w:rsidR="00576F87">
        <w:trPr>
          <w:trHeight w:val="521"/>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4"/>
            </w:pPr>
            <w:r>
              <w:rPr>
                <w:rFonts w:ascii="Verdana" w:eastAsia="Verdana" w:hAnsi="Verdana" w:cs="Verdana"/>
                <w:b/>
                <w:sz w:val="16"/>
              </w:rPr>
              <w:t xml:space="preserve">Net Increase before Transfers to </w:t>
            </w:r>
          </w:p>
          <w:p w:rsidR="00576F87" w:rsidRDefault="004165F5">
            <w:pPr>
              <w:spacing w:after="0"/>
              <w:ind w:left="34"/>
            </w:pPr>
            <w:r>
              <w:rPr>
                <w:rFonts w:ascii="Verdana" w:eastAsia="Verdana" w:hAnsi="Verdana" w:cs="Verdana"/>
                <w:b/>
                <w:sz w:val="16"/>
              </w:rPr>
              <w:t>Earmarked Reserves</w:t>
            </w:r>
          </w:p>
        </w:tc>
        <w:tc>
          <w:tcPr>
            <w:tcW w:w="1015" w:type="dxa"/>
            <w:tcBorders>
              <w:top w:val="single" w:sz="8" w:space="0" w:color="009784"/>
              <w:left w:val="single" w:sz="8" w:space="0" w:color="009784"/>
              <w:bottom w:val="single" w:sz="8" w:space="0" w:color="009784"/>
              <w:right w:val="single" w:sz="8" w:space="0" w:color="009784"/>
            </w:tcBorders>
          </w:tcPr>
          <w:p w:rsidR="00576F87" w:rsidRDefault="00576F87"/>
        </w:tc>
        <w:tc>
          <w:tcPr>
            <w:tcW w:w="1210"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4,053</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4,053</w:t>
            </w:r>
          </w:p>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4"/>
              <w:jc w:val="right"/>
            </w:pPr>
            <w:r>
              <w:rPr>
                <w:rFonts w:ascii="Verdana" w:eastAsia="Verdana" w:hAnsi="Verdana" w:cs="Verdana"/>
                <w:b/>
                <w:sz w:val="16"/>
              </w:rPr>
              <w:t>4,053</w:t>
            </w:r>
          </w:p>
        </w:tc>
      </w:tr>
      <w:tr w:rsidR="00576F87">
        <w:trPr>
          <w:trHeight w:val="521"/>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 xml:space="preserve">Acquisition of reserves in joint venture </w:t>
            </w:r>
          </w:p>
          <w:p w:rsidR="00576F87" w:rsidRDefault="004165F5">
            <w:pPr>
              <w:spacing w:after="0"/>
              <w:ind w:left="31"/>
            </w:pPr>
            <w:r>
              <w:rPr>
                <w:rFonts w:ascii="Verdana" w:eastAsia="Verdana" w:hAnsi="Verdana" w:cs="Verdana"/>
                <w:sz w:val="16"/>
              </w:rPr>
              <w:t>(see note 17)</w:t>
            </w:r>
          </w:p>
        </w:tc>
        <w:tc>
          <w:tcPr>
            <w:tcW w:w="1015" w:type="dxa"/>
            <w:tcBorders>
              <w:top w:val="single" w:sz="8" w:space="0" w:color="009784"/>
              <w:left w:val="single" w:sz="8" w:space="0" w:color="009784"/>
              <w:bottom w:val="single" w:sz="8" w:space="0" w:color="009784"/>
              <w:right w:val="single" w:sz="8" w:space="0" w:color="009784"/>
            </w:tcBorders>
          </w:tcPr>
          <w:p w:rsidR="00576F87" w:rsidRDefault="00576F87"/>
        </w:tc>
        <w:tc>
          <w:tcPr>
            <w:tcW w:w="1210"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tcPr>
          <w:p w:rsidR="00576F87" w:rsidRDefault="00576F87"/>
        </w:tc>
        <w:tc>
          <w:tcPr>
            <w:tcW w:w="1032" w:type="dxa"/>
            <w:tcBorders>
              <w:top w:val="single" w:sz="8" w:space="0" w:color="009784"/>
              <w:left w:val="single" w:sz="8" w:space="0" w:color="009784"/>
              <w:bottom w:val="single" w:sz="8" w:space="0" w:color="009784"/>
              <w:right w:val="single" w:sz="8" w:space="0" w:color="009784"/>
            </w:tcBorders>
          </w:tcPr>
          <w:p w:rsidR="00576F87" w:rsidRDefault="00576F87"/>
        </w:tc>
        <w:tc>
          <w:tcPr>
            <w:tcW w:w="984" w:type="dxa"/>
            <w:tcBorders>
              <w:top w:val="single" w:sz="8" w:space="0" w:color="009784"/>
              <w:left w:val="single" w:sz="8" w:space="0" w:color="009784"/>
              <w:bottom w:val="single" w:sz="8" w:space="0" w:color="009784"/>
              <w:right w:val="single" w:sz="8" w:space="0" w:color="009784"/>
            </w:tcBorders>
          </w:tcPr>
          <w:p w:rsidR="00576F87" w:rsidRDefault="00576F87"/>
        </w:tc>
        <w:tc>
          <w:tcPr>
            <w:tcW w:w="967" w:type="dxa"/>
            <w:tcBorders>
              <w:top w:val="single" w:sz="8" w:space="0" w:color="009784"/>
              <w:left w:val="single" w:sz="8" w:space="0" w:color="009784"/>
              <w:bottom w:val="single" w:sz="8" w:space="0" w:color="009784"/>
              <w:right w:val="single" w:sz="8" w:space="0" w:color="009784"/>
            </w:tcBorders>
          </w:tcPr>
          <w:p w:rsidR="00576F87" w:rsidRDefault="00576F87"/>
        </w:tc>
        <w:tc>
          <w:tcPr>
            <w:tcW w:w="1159" w:type="dxa"/>
            <w:tcBorders>
              <w:top w:val="single" w:sz="8" w:space="0" w:color="009784"/>
              <w:left w:val="single" w:sz="8" w:space="0" w:color="009784"/>
              <w:bottom w:val="single" w:sz="8" w:space="0" w:color="009784"/>
              <w:right w:val="single" w:sz="8" w:space="0" w:color="009784"/>
            </w:tcBorders>
          </w:tcPr>
          <w:p w:rsidR="00576F87" w:rsidRDefault="00576F87"/>
        </w:tc>
        <w:tc>
          <w:tcPr>
            <w:tcW w:w="1032" w:type="dxa"/>
            <w:tcBorders>
              <w:top w:val="single" w:sz="8" w:space="0" w:color="009784"/>
              <w:left w:val="single" w:sz="8" w:space="0" w:color="009784"/>
              <w:bottom w:val="single" w:sz="8" w:space="0" w:color="009784"/>
              <w:right w:val="single" w:sz="8" w:space="0" w:color="009784"/>
            </w:tcBorders>
          </w:tcPr>
          <w:p w:rsidR="00576F87" w:rsidRDefault="00576F87"/>
        </w:tc>
        <w:tc>
          <w:tcPr>
            <w:tcW w:w="919"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511"/>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Transfers to/from Earmarked Reserves</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224</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(37)</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(187)</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511"/>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 xml:space="preserve">Remeasurements of the Net Defined </w:t>
            </w:r>
          </w:p>
          <w:p w:rsidR="00576F87" w:rsidRDefault="004165F5">
            <w:pPr>
              <w:spacing w:after="0"/>
              <w:ind w:left="31"/>
            </w:pPr>
            <w:r>
              <w:rPr>
                <w:rFonts w:ascii="Verdana" w:eastAsia="Verdana" w:hAnsi="Verdana" w:cs="Verdana"/>
                <w:sz w:val="16"/>
              </w:rPr>
              <w:t>Benefit Liability</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(5,556)</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(5,556)</w:t>
            </w:r>
          </w:p>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3"/>
              <w:jc w:val="right"/>
            </w:pPr>
            <w:r>
              <w:rPr>
                <w:rFonts w:ascii="Verdana" w:eastAsia="Verdana" w:hAnsi="Verdana" w:cs="Verdana"/>
                <w:b/>
                <w:sz w:val="16"/>
              </w:rPr>
              <w:t>(5,556)</w:t>
            </w:r>
          </w:p>
        </w:tc>
      </w:tr>
      <w:tr w:rsidR="00576F87">
        <w:trPr>
          <w:trHeight w:val="511"/>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Other movement - joint venture</w:t>
            </w:r>
          </w:p>
        </w:tc>
        <w:tc>
          <w:tcPr>
            <w:tcW w:w="1015" w:type="dxa"/>
            <w:tcBorders>
              <w:top w:val="single" w:sz="8" w:space="0" w:color="009784"/>
              <w:left w:val="single" w:sz="8" w:space="0" w:color="009784"/>
              <w:bottom w:val="single" w:sz="8" w:space="0" w:color="009784"/>
              <w:right w:val="single" w:sz="8" w:space="0" w:color="009784"/>
            </w:tcBorders>
          </w:tcPr>
          <w:p w:rsidR="00576F87" w:rsidRDefault="00576F87"/>
        </w:tc>
        <w:tc>
          <w:tcPr>
            <w:tcW w:w="1210"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(2,311)</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(2,311)</w:t>
            </w:r>
          </w:p>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3"/>
              <w:jc w:val="right"/>
            </w:pPr>
            <w:r>
              <w:rPr>
                <w:rFonts w:ascii="Verdana" w:eastAsia="Verdana" w:hAnsi="Verdana" w:cs="Verdana"/>
                <w:b/>
                <w:sz w:val="16"/>
              </w:rPr>
              <w:t>(2,311)</w:t>
            </w:r>
          </w:p>
        </w:tc>
      </w:tr>
      <w:tr w:rsidR="00576F87">
        <w:trPr>
          <w:trHeight w:val="391"/>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Movement in year</w:t>
            </w:r>
          </w:p>
        </w:tc>
        <w:tc>
          <w:tcPr>
            <w:tcW w:w="101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6,149</w:t>
            </w:r>
          </w:p>
        </w:tc>
        <w:tc>
          <w:tcPr>
            <w:tcW w:w="121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b/>
                <w:sz w:val="16"/>
              </w:rPr>
              <w:t>6,149</w:t>
            </w:r>
          </w:p>
        </w:tc>
        <w:tc>
          <w:tcPr>
            <w:tcW w:w="93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(6,149)</w:t>
            </w:r>
          </w:p>
        </w:tc>
        <w:tc>
          <w:tcPr>
            <w:tcW w:w="103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b/>
                <w:sz w:val="16"/>
              </w:rPr>
              <w:t>(6,149)</w:t>
            </w:r>
          </w:p>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521"/>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Accumulated Compensating Absences provision</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107</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107</w:t>
            </w:r>
          </w:p>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(107)</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(107)</w:t>
            </w:r>
          </w:p>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05"/>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4"/>
            </w:pPr>
            <w:r>
              <w:rPr>
                <w:rFonts w:ascii="Verdana" w:eastAsia="Verdana" w:hAnsi="Verdana" w:cs="Verdana"/>
                <w:b/>
                <w:sz w:val="16"/>
              </w:rPr>
              <w:t>Increase/(Decrease) in Year</w:t>
            </w:r>
          </w:p>
        </w:tc>
        <w:tc>
          <w:tcPr>
            <w:tcW w:w="101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b/>
                <w:sz w:val="16"/>
              </w:rPr>
              <w:t>593</w:t>
            </w:r>
          </w:p>
        </w:tc>
        <w:tc>
          <w:tcPr>
            <w:tcW w:w="121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b/>
                <w:sz w:val="16"/>
              </w:rPr>
              <w:t>107</w:t>
            </w:r>
          </w:p>
        </w:tc>
        <w:tc>
          <w:tcPr>
            <w:tcW w:w="1046"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b/>
                <w:sz w:val="16"/>
              </w:rPr>
              <w:t>700</w:t>
            </w:r>
          </w:p>
        </w:tc>
        <w:tc>
          <w:tcPr>
            <w:tcW w:w="93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b/>
                <w:sz w:val="16"/>
              </w:rPr>
              <w:t>(4,290)</w:t>
            </w:r>
          </w:p>
        </w:tc>
        <w:tc>
          <w:tcPr>
            <w:tcW w:w="1032" w:type="dxa"/>
            <w:tcBorders>
              <w:top w:val="single" w:sz="8" w:space="0" w:color="009784"/>
              <w:left w:val="single" w:sz="8" w:space="0" w:color="009784"/>
              <w:bottom w:val="single" w:sz="8" w:space="0" w:color="009784"/>
              <w:right w:val="single" w:sz="8" w:space="0" w:color="009784"/>
            </w:tcBorders>
          </w:tcPr>
          <w:p w:rsidR="00576F87" w:rsidRDefault="00576F87"/>
        </w:tc>
        <w:tc>
          <w:tcPr>
            <w:tcW w:w="984" w:type="dxa"/>
            <w:tcBorders>
              <w:top w:val="single" w:sz="8" w:space="0" w:color="009784"/>
              <w:left w:val="single" w:sz="8" w:space="0" w:color="009784"/>
              <w:bottom w:val="single" w:sz="8" w:space="0" w:color="009784"/>
              <w:right w:val="single" w:sz="8" w:space="0" w:color="009784"/>
            </w:tcBorders>
          </w:tcPr>
          <w:p w:rsidR="00576F87" w:rsidRDefault="00576F87"/>
        </w:tc>
        <w:tc>
          <w:tcPr>
            <w:tcW w:w="967"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b/>
                <w:sz w:val="16"/>
              </w:rPr>
              <w:t>(37)</w:t>
            </w:r>
          </w:p>
        </w:tc>
        <w:tc>
          <w:tcPr>
            <w:tcW w:w="1159" w:type="dxa"/>
            <w:tcBorders>
              <w:top w:val="single" w:sz="8" w:space="0" w:color="009784"/>
              <w:left w:val="single" w:sz="8" w:space="0" w:color="009784"/>
              <w:bottom w:val="single" w:sz="8" w:space="0" w:color="009784"/>
              <w:right w:val="single" w:sz="8" w:space="0" w:color="009784"/>
            </w:tcBorders>
          </w:tcPr>
          <w:p w:rsidR="00576F87" w:rsidRDefault="00576F87"/>
        </w:tc>
        <w:tc>
          <w:tcPr>
            <w:tcW w:w="103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b/>
                <w:sz w:val="16"/>
              </w:rPr>
              <w:t>(187)</w:t>
            </w:r>
          </w:p>
        </w:tc>
        <w:tc>
          <w:tcPr>
            <w:tcW w:w="919"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b/>
                <w:sz w:val="16"/>
              </w:rPr>
              <w:t>(4,515)</w:t>
            </w:r>
          </w:p>
        </w:tc>
        <w:tc>
          <w:tcPr>
            <w:tcW w:w="1111"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3"/>
              <w:jc w:val="right"/>
            </w:pPr>
            <w:r>
              <w:rPr>
                <w:rFonts w:ascii="Verdana" w:eastAsia="Verdana" w:hAnsi="Verdana" w:cs="Verdana"/>
                <w:b/>
                <w:sz w:val="16"/>
              </w:rPr>
              <w:t>(3,814)</w:t>
            </w:r>
          </w:p>
        </w:tc>
      </w:tr>
      <w:tr w:rsidR="00576F87">
        <w:trPr>
          <w:trHeight w:val="521"/>
        </w:trPr>
        <w:tc>
          <w:tcPr>
            <w:tcW w:w="3475" w:type="dxa"/>
            <w:tcBorders>
              <w:top w:val="single" w:sz="8" w:space="0" w:color="009784"/>
              <w:left w:val="single" w:sz="12" w:space="0" w:color="009784"/>
              <w:bottom w:val="single" w:sz="15" w:space="0" w:color="009784"/>
              <w:right w:val="single" w:sz="8" w:space="0" w:color="009784"/>
            </w:tcBorders>
            <w:shd w:val="clear" w:color="auto" w:fill="24988A"/>
          </w:tcPr>
          <w:p w:rsidR="00576F87" w:rsidRDefault="004165F5">
            <w:pPr>
              <w:spacing w:after="0"/>
              <w:ind w:left="34"/>
            </w:pPr>
            <w:r>
              <w:rPr>
                <w:rFonts w:ascii="Verdana" w:eastAsia="Verdana" w:hAnsi="Verdana" w:cs="Verdana"/>
                <w:b/>
                <w:color w:val="FFFFFF"/>
                <w:sz w:val="16"/>
              </w:rPr>
              <w:t>Balance at 31 March 2017 carried forward</w:t>
            </w:r>
          </w:p>
        </w:tc>
        <w:tc>
          <w:tcPr>
            <w:tcW w:w="1015"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left="175"/>
            </w:pPr>
            <w:r>
              <w:rPr>
                <w:rFonts w:ascii="Verdana" w:eastAsia="Verdana" w:hAnsi="Verdana" w:cs="Verdana"/>
                <w:b/>
                <w:color w:val="FFFFFF"/>
                <w:sz w:val="16"/>
              </w:rPr>
              <w:t>(17,882)</w:t>
            </w:r>
          </w:p>
        </w:tc>
        <w:tc>
          <w:tcPr>
            <w:tcW w:w="1210"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3"/>
              <w:jc w:val="right"/>
            </w:pPr>
            <w:r>
              <w:rPr>
                <w:rFonts w:ascii="Verdana" w:eastAsia="Verdana" w:hAnsi="Verdana" w:cs="Verdana"/>
                <w:b/>
                <w:color w:val="FFFFFF"/>
                <w:sz w:val="16"/>
              </w:rPr>
              <w:t>(3)</w:t>
            </w:r>
          </w:p>
        </w:tc>
        <w:tc>
          <w:tcPr>
            <w:tcW w:w="1046"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3"/>
              <w:jc w:val="right"/>
            </w:pPr>
            <w:r>
              <w:rPr>
                <w:rFonts w:ascii="Verdana" w:eastAsia="Verdana" w:hAnsi="Verdana" w:cs="Verdana"/>
                <w:b/>
                <w:color w:val="FFFFFF"/>
                <w:sz w:val="16"/>
              </w:rPr>
              <w:t>(17,885)</w:t>
            </w:r>
          </w:p>
        </w:tc>
        <w:tc>
          <w:tcPr>
            <w:tcW w:w="934"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3"/>
              <w:jc w:val="right"/>
            </w:pPr>
            <w:r>
              <w:rPr>
                <w:rFonts w:ascii="Verdana" w:eastAsia="Verdana" w:hAnsi="Verdana" w:cs="Verdana"/>
                <w:b/>
                <w:color w:val="FFFFFF"/>
                <w:sz w:val="16"/>
              </w:rPr>
              <w:t>(2,883)</w:t>
            </w:r>
          </w:p>
        </w:tc>
        <w:tc>
          <w:tcPr>
            <w:tcW w:w="1032"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50</w:t>
            </w:r>
          </w:p>
        </w:tc>
        <w:tc>
          <w:tcPr>
            <w:tcW w:w="984"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20</w:t>
            </w:r>
          </w:p>
        </w:tc>
        <w:tc>
          <w:tcPr>
            <w:tcW w:w="967"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53</w:t>
            </w:r>
          </w:p>
        </w:tc>
        <w:tc>
          <w:tcPr>
            <w:tcW w:w="1159"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40</w:t>
            </w:r>
          </w:p>
        </w:tc>
        <w:tc>
          <w:tcPr>
            <w:tcW w:w="1032"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448</w:t>
            </w:r>
          </w:p>
        </w:tc>
        <w:tc>
          <w:tcPr>
            <w:tcW w:w="919"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400</w:t>
            </w:r>
          </w:p>
        </w:tc>
        <w:tc>
          <w:tcPr>
            <w:tcW w:w="1046"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3"/>
              <w:jc w:val="right"/>
            </w:pPr>
            <w:r>
              <w:rPr>
                <w:rFonts w:ascii="Verdana" w:eastAsia="Verdana" w:hAnsi="Verdana" w:cs="Verdana"/>
                <w:b/>
                <w:color w:val="FFFFFF"/>
                <w:sz w:val="16"/>
              </w:rPr>
              <w:t>(1,872)</w:t>
            </w:r>
          </w:p>
        </w:tc>
        <w:tc>
          <w:tcPr>
            <w:tcW w:w="1111" w:type="dxa"/>
            <w:tcBorders>
              <w:top w:val="single" w:sz="8" w:space="0" w:color="009784"/>
              <w:left w:val="single" w:sz="8" w:space="0" w:color="009784"/>
              <w:bottom w:val="single" w:sz="15" w:space="0" w:color="009784"/>
              <w:right w:val="single" w:sz="15" w:space="0" w:color="009784"/>
            </w:tcBorders>
            <w:shd w:val="clear" w:color="auto" w:fill="24988A"/>
            <w:vAlign w:val="bottom"/>
          </w:tcPr>
          <w:p w:rsidR="00576F87" w:rsidRDefault="004165F5">
            <w:pPr>
              <w:spacing w:after="0"/>
              <w:ind w:right="33"/>
              <w:jc w:val="right"/>
            </w:pPr>
            <w:r>
              <w:rPr>
                <w:rFonts w:ascii="Verdana" w:eastAsia="Verdana" w:hAnsi="Verdana" w:cs="Verdana"/>
                <w:b/>
                <w:color w:val="FFFFFF"/>
                <w:sz w:val="16"/>
              </w:rPr>
              <w:t>(19,757)</w:t>
            </w:r>
          </w:p>
        </w:tc>
      </w:tr>
      <w:tr w:rsidR="00576F87">
        <w:trPr>
          <w:trHeight w:val="583"/>
        </w:trPr>
        <w:tc>
          <w:tcPr>
            <w:tcW w:w="15931" w:type="dxa"/>
            <w:gridSpan w:val="13"/>
            <w:tcBorders>
              <w:top w:val="single" w:sz="15" w:space="0" w:color="009784"/>
              <w:left w:val="nil"/>
              <w:bottom w:val="nil"/>
              <w:right w:val="nil"/>
            </w:tcBorders>
            <w:shd w:val="clear" w:color="auto" w:fill="FFFFFF"/>
          </w:tcPr>
          <w:p w:rsidR="00576F87" w:rsidRDefault="00576F87"/>
        </w:tc>
      </w:tr>
    </w:tbl>
    <w:p w:rsidR="00576F87" w:rsidRDefault="004165F5">
      <w:pPr>
        <w:spacing w:after="389"/>
        <w:ind w:left="-5" w:hanging="10"/>
      </w:pPr>
      <w:r>
        <w:rPr>
          <w:rFonts w:ascii="Verdana" w:eastAsia="Verdana" w:hAnsi="Verdana" w:cs="Verdana"/>
        </w:rPr>
        <w:t>Entity Statement of Movement in Reserves</w:t>
      </w:r>
    </w:p>
    <w:tbl>
      <w:tblPr>
        <w:tblStyle w:val="TableGrid"/>
        <w:tblW w:w="15931" w:type="dxa"/>
        <w:tblInd w:w="-41" w:type="dxa"/>
        <w:tblCellMar>
          <w:top w:w="7" w:type="dxa"/>
          <w:left w:w="0" w:type="dxa"/>
          <w:bottom w:w="39" w:type="dxa"/>
          <w:right w:w="0" w:type="dxa"/>
        </w:tblCellMar>
        <w:tblLook w:val="04A0" w:firstRow="1" w:lastRow="0" w:firstColumn="1" w:lastColumn="0" w:noHBand="0" w:noVBand="1"/>
      </w:tblPr>
      <w:tblGrid>
        <w:gridCol w:w="3475"/>
        <w:gridCol w:w="1015"/>
        <w:gridCol w:w="1210"/>
        <w:gridCol w:w="1046"/>
        <w:gridCol w:w="934"/>
        <w:gridCol w:w="1032"/>
        <w:gridCol w:w="984"/>
        <w:gridCol w:w="967"/>
        <w:gridCol w:w="1159"/>
        <w:gridCol w:w="1032"/>
        <w:gridCol w:w="919"/>
        <w:gridCol w:w="1046"/>
        <w:gridCol w:w="1111"/>
      </w:tblGrid>
      <w:tr w:rsidR="00576F87">
        <w:trPr>
          <w:trHeight w:val="886"/>
        </w:trPr>
        <w:tc>
          <w:tcPr>
            <w:tcW w:w="3475" w:type="dxa"/>
            <w:tcBorders>
              <w:top w:val="single" w:sz="15" w:space="0" w:color="FFFFFF"/>
              <w:left w:val="nil"/>
              <w:bottom w:val="single" w:sz="15" w:space="0" w:color="009784"/>
              <w:right w:val="single" w:sz="15" w:space="0" w:color="FFFFFF"/>
            </w:tcBorders>
          </w:tcPr>
          <w:p w:rsidR="00576F87" w:rsidRDefault="00576F87"/>
        </w:tc>
        <w:tc>
          <w:tcPr>
            <w:tcW w:w="1015"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8"/>
              <w:jc w:val="center"/>
            </w:pPr>
            <w:r>
              <w:rPr>
                <w:rFonts w:ascii="Verdana" w:eastAsia="Verdana" w:hAnsi="Verdana" w:cs="Verdana"/>
                <w:color w:val="FFFFFF"/>
                <w:sz w:val="16"/>
              </w:rPr>
              <w:t xml:space="preserve">Pension </w:t>
            </w:r>
          </w:p>
          <w:p w:rsidR="00576F87" w:rsidRDefault="004165F5">
            <w:pPr>
              <w:spacing w:after="0"/>
              <w:ind w:left="571" w:hanging="386"/>
            </w:pPr>
            <w:r>
              <w:rPr>
                <w:rFonts w:ascii="Verdana" w:eastAsia="Verdana" w:hAnsi="Verdana" w:cs="Verdana"/>
                <w:color w:val="FFFFFF"/>
                <w:sz w:val="16"/>
              </w:rPr>
              <w:t>Reserve   £000</w:t>
            </w:r>
          </w:p>
        </w:tc>
        <w:tc>
          <w:tcPr>
            <w:tcW w:w="1210"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4"/>
              <w:jc w:val="center"/>
            </w:pPr>
            <w:r>
              <w:rPr>
                <w:rFonts w:ascii="Verdana" w:eastAsia="Verdana" w:hAnsi="Verdana" w:cs="Verdana"/>
                <w:color w:val="FFFFFF"/>
                <w:sz w:val="16"/>
              </w:rPr>
              <w:t xml:space="preserve">Compen </w:t>
            </w:r>
          </w:p>
          <w:p w:rsidR="00576F87" w:rsidRDefault="004165F5">
            <w:pPr>
              <w:spacing w:after="0"/>
              <w:ind w:left="2"/>
              <w:jc w:val="center"/>
            </w:pPr>
            <w:r>
              <w:rPr>
                <w:rFonts w:ascii="Verdana" w:eastAsia="Verdana" w:hAnsi="Verdana" w:cs="Verdana"/>
                <w:color w:val="FFFFFF"/>
                <w:sz w:val="16"/>
              </w:rPr>
              <w:t xml:space="preserve">Absences </w:t>
            </w:r>
          </w:p>
          <w:p w:rsidR="00576F87" w:rsidRDefault="004165F5">
            <w:pPr>
              <w:spacing w:after="0"/>
              <w:ind w:left="-7"/>
            </w:pPr>
            <w:r>
              <w:rPr>
                <w:rFonts w:ascii="Verdana" w:eastAsia="Verdana" w:hAnsi="Verdana" w:cs="Verdana"/>
                <w:color w:val="FFFFFF"/>
                <w:sz w:val="16"/>
              </w:rPr>
              <w:t xml:space="preserve"> </w:t>
            </w:r>
          </w:p>
          <w:p w:rsidR="00576F87" w:rsidRDefault="004165F5">
            <w:pPr>
              <w:spacing w:after="0"/>
              <w:ind w:left="766" w:hanging="485"/>
            </w:pPr>
            <w:r>
              <w:rPr>
                <w:rFonts w:ascii="Verdana" w:eastAsia="Verdana" w:hAnsi="Verdana" w:cs="Verdana"/>
                <w:color w:val="FFFFFF"/>
                <w:sz w:val="16"/>
              </w:rPr>
              <w:t>Reserve     £000</w:t>
            </w:r>
          </w:p>
        </w:tc>
        <w:tc>
          <w:tcPr>
            <w:tcW w:w="1046"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7"/>
              <w:jc w:val="center"/>
            </w:pPr>
            <w:r>
              <w:rPr>
                <w:rFonts w:ascii="Verdana" w:eastAsia="Verdana" w:hAnsi="Verdana" w:cs="Verdana"/>
                <w:b/>
                <w:color w:val="FFFFFF"/>
                <w:sz w:val="16"/>
              </w:rPr>
              <w:t xml:space="preserve">Total </w:t>
            </w:r>
          </w:p>
          <w:p w:rsidR="00576F87" w:rsidRDefault="004165F5">
            <w:pPr>
              <w:spacing w:after="0"/>
              <w:ind w:left="106"/>
            </w:pPr>
            <w:r>
              <w:rPr>
                <w:rFonts w:ascii="Verdana" w:eastAsia="Verdana" w:hAnsi="Verdana" w:cs="Verdana"/>
                <w:b/>
                <w:color w:val="FFFFFF"/>
                <w:sz w:val="16"/>
              </w:rPr>
              <w:t xml:space="preserve">Unusable </w:t>
            </w:r>
          </w:p>
          <w:p w:rsidR="00576F87" w:rsidRDefault="004165F5">
            <w:pPr>
              <w:spacing w:after="29"/>
              <w:ind w:left="113"/>
            </w:pPr>
            <w:r>
              <w:rPr>
                <w:rFonts w:ascii="Verdana" w:eastAsia="Verdana" w:hAnsi="Verdana" w:cs="Verdana"/>
                <w:b/>
                <w:color w:val="FFFFFF"/>
                <w:sz w:val="16"/>
              </w:rPr>
              <w:t>Reserves</w:t>
            </w:r>
          </w:p>
          <w:p w:rsidR="00576F87" w:rsidRDefault="004165F5">
            <w:pPr>
              <w:spacing w:after="0"/>
              <w:ind w:right="34"/>
              <w:jc w:val="right"/>
            </w:pPr>
            <w:r>
              <w:rPr>
                <w:rFonts w:ascii="Verdana" w:eastAsia="Verdana" w:hAnsi="Verdana" w:cs="Verdana"/>
                <w:b/>
                <w:color w:val="FFFFFF"/>
                <w:sz w:val="16"/>
              </w:rPr>
              <w:t>£000</w:t>
            </w:r>
          </w:p>
        </w:tc>
        <w:tc>
          <w:tcPr>
            <w:tcW w:w="934"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156"/>
            </w:pPr>
            <w:r>
              <w:rPr>
                <w:rFonts w:ascii="Verdana" w:eastAsia="Verdana" w:hAnsi="Verdana" w:cs="Verdana"/>
                <w:color w:val="FFFFFF"/>
                <w:sz w:val="16"/>
              </w:rPr>
              <w:t xml:space="preserve">General </w:t>
            </w:r>
          </w:p>
          <w:p w:rsidR="00576F87" w:rsidRDefault="004165F5">
            <w:pPr>
              <w:spacing w:after="134"/>
              <w:ind w:left="144"/>
            </w:pPr>
            <w:r>
              <w:rPr>
                <w:rFonts w:ascii="Verdana" w:eastAsia="Verdana" w:hAnsi="Verdana" w:cs="Verdana"/>
                <w:color w:val="FFFFFF"/>
                <w:sz w:val="16"/>
              </w:rPr>
              <w:t xml:space="preserve">Reserve  </w:t>
            </w:r>
          </w:p>
          <w:p w:rsidR="00576F87" w:rsidRDefault="004165F5">
            <w:pPr>
              <w:spacing w:after="0"/>
              <w:ind w:right="32"/>
              <w:jc w:val="right"/>
            </w:pPr>
            <w:r>
              <w:rPr>
                <w:rFonts w:ascii="Verdana" w:eastAsia="Verdana" w:hAnsi="Verdana" w:cs="Verdana"/>
                <w:color w:val="FFFFFF"/>
                <w:sz w:val="16"/>
              </w:rPr>
              <w:t>£000</w:t>
            </w:r>
          </w:p>
        </w:tc>
        <w:tc>
          <w:tcPr>
            <w:tcW w:w="1032"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166"/>
            </w:pPr>
            <w:r>
              <w:rPr>
                <w:rFonts w:ascii="Verdana" w:eastAsia="Verdana" w:hAnsi="Verdana" w:cs="Verdana"/>
                <w:color w:val="FFFFFF"/>
                <w:sz w:val="16"/>
              </w:rPr>
              <w:t xml:space="preserve">Business </w:t>
            </w:r>
          </w:p>
          <w:p w:rsidR="00576F87" w:rsidRDefault="004165F5">
            <w:pPr>
              <w:spacing w:after="134"/>
              <w:ind w:left="-24"/>
              <w:jc w:val="both"/>
            </w:pPr>
            <w:r>
              <w:rPr>
                <w:rFonts w:ascii="Verdana" w:eastAsia="Verdana" w:hAnsi="Verdana" w:cs="Verdana"/>
                <w:color w:val="FFFFFF"/>
                <w:sz w:val="16"/>
              </w:rPr>
              <w:t xml:space="preserve"> Reserve   </w:t>
            </w:r>
          </w:p>
          <w:p w:rsidR="00576F87" w:rsidRDefault="004165F5">
            <w:pPr>
              <w:spacing w:after="0"/>
              <w:ind w:right="32"/>
              <w:jc w:val="right"/>
            </w:pPr>
            <w:r>
              <w:rPr>
                <w:rFonts w:ascii="Verdana" w:eastAsia="Verdana" w:hAnsi="Verdana" w:cs="Verdana"/>
                <w:color w:val="FFFFFF"/>
                <w:sz w:val="16"/>
              </w:rPr>
              <w:t>£000</w:t>
            </w:r>
          </w:p>
        </w:tc>
        <w:tc>
          <w:tcPr>
            <w:tcW w:w="984"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118"/>
            </w:pPr>
            <w:r>
              <w:rPr>
                <w:rFonts w:ascii="Verdana" w:eastAsia="Verdana" w:hAnsi="Verdana" w:cs="Verdana"/>
                <w:color w:val="FFFFFF"/>
                <w:sz w:val="16"/>
              </w:rPr>
              <w:t xml:space="preserve">Valuation </w:t>
            </w:r>
          </w:p>
          <w:p w:rsidR="00576F87" w:rsidRDefault="004165F5">
            <w:pPr>
              <w:spacing w:after="0"/>
              <w:ind w:left="540" w:hanging="372"/>
            </w:pPr>
            <w:r>
              <w:rPr>
                <w:rFonts w:ascii="Verdana" w:eastAsia="Verdana" w:hAnsi="Verdana" w:cs="Verdana"/>
                <w:color w:val="FFFFFF"/>
                <w:sz w:val="16"/>
              </w:rPr>
              <w:t>Reserve   £000</w:t>
            </w:r>
          </w:p>
        </w:tc>
        <w:tc>
          <w:tcPr>
            <w:tcW w:w="967"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120"/>
            </w:pPr>
            <w:r>
              <w:rPr>
                <w:rFonts w:ascii="Verdana" w:eastAsia="Verdana" w:hAnsi="Verdana" w:cs="Verdana"/>
                <w:color w:val="FFFFFF"/>
                <w:sz w:val="16"/>
              </w:rPr>
              <w:t xml:space="preserve"> Org Dev </w:t>
            </w:r>
          </w:p>
          <w:p w:rsidR="00576F87" w:rsidRDefault="004165F5">
            <w:pPr>
              <w:spacing w:after="0"/>
              <w:ind w:left="524" w:hanging="363"/>
            </w:pPr>
            <w:r>
              <w:rPr>
                <w:rFonts w:ascii="Verdana" w:eastAsia="Verdana" w:hAnsi="Verdana" w:cs="Verdana"/>
                <w:color w:val="FFFFFF"/>
                <w:sz w:val="16"/>
              </w:rPr>
              <w:t>Reserve   £000</w:t>
            </w:r>
          </w:p>
        </w:tc>
        <w:tc>
          <w:tcPr>
            <w:tcW w:w="1159"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106"/>
            </w:pPr>
            <w:r>
              <w:rPr>
                <w:rFonts w:ascii="Verdana" w:eastAsia="Verdana" w:hAnsi="Verdana" w:cs="Verdana"/>
                <w:color w:val="FFFFFF"/>
                <w:sz w:val="16"/>
              </w:rPr>
              <w:t xml:space="preserve">Innovations </w:t>
            </w:r>
          </w:p>
          <w:p w:rsidR="00576F87" w:rsidRDefault="004165F5">
            <w:pPr>
              <w:spacing w:after="0"/>
              <w:ind w:left="716" w:hanging="459"/>
            </w:pPr>
            <w:r>
              <w:rPr>
                <w:rFonts w:ascii="Verdana" w:eastAsia="Verdana" w:hAnsi="Verdana" w:cs="Verdana"/>
                <w:color w:val="FFFFFF"/>
                <w:sz w:val="16"/>
              </w:rPr>
              <w:t>Reserve    £000</w:t>
            </w:r>
          </w:p>
        </w:tc>
        <w:tc>
          <w:tcPr>
            <w:tcW w:w="1032"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29"/>
              <w:ind w:firstLine="1"/>
              <w:jc w:val="center"/>
            </w:pPr>
            <w:r>
              <w:rPr>
                <w:rFonts w:ascii="Verdana" w:eastAsia="Verdana" w:hAnsi="Verdana" w:cs="Verdana"/>
                <w:color w:val="FFFFFF"/>
                <w:sz w:val="16"/>
              </w:rPr>
              <w:t>Capital Contrib reserve</w:t>
            </w:r>
          </w:p>
          <w:p w:rsidR="00576F87" w:rsidRDefault="004165F5">
            <w:pPr>
              <w:spacing w:after="0"/>
              <w:ind w:right="31"/>
              <w:jc w:val="right"/>
            </w:pPr>
            <w:r>
              <w:rPr>
                <w:rFonts w:ascii="Verdana" w:eastAsia="Verdana" w:hAnsi="Verdana" w:cs="Verdana"/>
                <w:color w:val="FFFFFF"/>
                <w:sz w:val="16"/>
              </w:rPr>
              <w:t>£000</w:t>
            </w:r>
          </w:p>
        </w:tc>
        <w:tc>
          <w:tcPr>
            <w:tcW w:w="919"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4"/>
              <w:jc w:val="center"/>
            </w:pPr>
            <w:r>
              <w:rPr>
                <w:rFonts w:ascii="Verdana" w:eastAsia="Verdana" w:hAnsi="Verdana" w:cs="Verdana"/>
                <w:color w:val="FFFFFF"/>
                <w:sz w:val="16"/>
              </w:rPr>
              <w:t xml:space="preserve">New </w:t>
            </w:r>
          </w:p>
          <w:p w:rsidR="00576F87" w:rsidRDefault="004165F5">
            <w:pPr>
              <w:spacing w:after="0"/>
              <w:ind w:left="98"/>
            </w:pPr>
            <w:r>
              <w:rPr>
                <w:rFonts w:ascii="Verdana" w:eastAsia="Verdana" w:hAnsi="Verdana" w:cs="Verdana"/>
                <w:color w:val="FFFFFF"/>
                <w:sz w:val="16"/>
              </w:rPr>
              <w:t xml:space="preserve">Premises </w:t>
            </w:r>
          </w:p>
          <w:p w:rsidR="00576F87" w:rsidRDefault="004165F5">
            <w:pPr>
              <w:spacing w:after="29"/>
              <w:ind w:left="137"/>
            </w:pPr>
            <w:r>
              <w:rPr>
                <w:rFonts w:ascii="Verdana" w:eastAsia="Verdana" w:hAnsi="Verdana" w:cs="Verdana"/>
                <w:color w:val="FFFFFF"/>
                <w:sz w:val="16"/>
              </w:rPr>
              <w:t xml:space="preserve">Reserve  </w:t>
            </w:r>
          </w:p>
          <w:p w:rsidR="00576F87" w:rsidRDefault="004165F5">
            <w:pPr>
              <w:spacing w:after="0"/>
              <w:ind w:right="31"/>
              <w:jc w:val="right"/>
            </w:pPr>
            <w:r>
              <w:rPr>
                <w:rFonts w:ascii="Verdana" w:eastAsia="Verdana" w:hAnsi="Verdana" w:cs="Verdana"/>
                <w:color w:val="FFFFFF"/>
                <w:sz w:val="16"/>
              </w:rPr>
              <w:t>£000</w:t>
            </w:r>
          </w:p>
        </w:tc>
        <w:tc>
          <w:tcPr>
            <w:tcW w:w="1046"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7"/>
              <w:jc w:val="center"/>
            </w:pPr>
            <w:r>
              <w:rPr>
                <w:rFonts w:ascii="Verdana" w:eastAsia="Verdana" w:hAnsi="Verdana" w:cs="Verdana"/>
                <w:b/>
                <w:color w:val="FFFFFF"/>
                <w:sz w:val="16"/>
              </w:rPr>
              <w:t xml:space="preserve">Total </w:t>
            </w:r>
          </w:p>
          <w:p w:rsidR="00576F87" w:rsidRDefault="004165F5">
            <w:pPr>
              <w:spacing w:after="1"/>
              <w:ind w:left="4"/>
              <w:jc w:val="center"/>
            </w:pPr>
            <w:r>
              <w:rPr>
                <w:rFonts w:ascii="Verdana" w:eastAsia="Verdana" w:hAnsi="Verdana" w:cs="Verdana"/>
                <w:b/>
                <w:color w:val="FFFFFF"/>
                <w:sz w:val="16"/>
              </w:rPr>
              <w:t xml:space="preserve">Usable </w:t>
            </w:r>
          </w:p>
          <w:p w:rsidR="00576F87" w:rsidRDefault="004165F5">
            <w:pPr>
              <w:spacing w:after="29"/>
              <w:ind w:left="-16"/>
            </w:pPr>
            <w:r>
              <w:rPr>
                <w:rFonts w:ascii="Verdana" w:eastAsia="Verdana" w:hAnsi="Verdana" w:cs="Verdana"/>
                <w:color w:val="FFFFFF"/>
                <w:sz w:val="16"/>
              </w:rPr>
              <w:t xml:space="preserve"> </w:t>
            </w:r>
            <w:r>
              <w:rPr>
                <w:rFonts w:ascii="Verdana" w:eastAsia="Verdana" w:hAnsi="Verdana" w:cs="Verdana"/>
                <w:b/>
                <w:color w:val="FFFFFF"/>
                <w:sz w:val="16"/>
              </w:rPr>
              <w:t>Reserves</w:t>
            </w:r>
          </w:p>
          <w:p w:rsidR="00576F87" w:rsidRDefault="004165F5">
            <w:pPr>
              <w:spacing w:after="0"/>
              <w:ind w:right="34"/>
              <w:jc w:val="right"/>
            </w:pPr>
            <w:r>
              <w:rPr>
                <w:rFonts w:ascii="Verdana" w:eastAsia="Verdana" w:hAnsi="Verdana" w:cs="Verdana"/>
                <w:b/>
                <w:color w:val="FFFFFF"/>
                <w:sz w:val="16"/>
              </w:rPr>
              <w:t>£000</w:t>
            </w:r>
          </w:p>
        </w:tc>
        <w:tc>
          <w:tcPr>
            <w:tcW w:w="1111" w:type="dxa"/>
            <w:tcBorders>
              <w:top w:val="single" w:sz="15" w:space="0" w:color="FFFFFF"/>
              <w:left w:val="single" w:sz="15" w:space="0" w:color="FFFFFF"/>
              <w:bottom w:val="single" w:sz="8" w:space="0" w:color="FFFFFF"/>
              <w:right w:val="single" w:sz="15" w:space="0" w:color="FFFFFF"/>
            </w:tcBorders>
            <w:shd w:val="clear" w:color="auto" w:fill="009784"/>
          </w:tcPr>
          <w:p w:rsidR="00576F87" w:rsidRDefault="004165F5">
            <w:pPr>
              <w:spacing w:after="0"/>
              <w:ind w:left="5"/>
              <w:jc w:val="center"/>
            </w:pPr>
            <w:r>
              <w:rPr>
                <w:rFonts w:ascii="Verdana" w:eastAsia="Verdana" w:hAnsi="Verdana" w:cs="Verdana"/>
                <w:b/>
                <w:color w:val="FFFFFF"/>
                <w:sz w:val="16"/>
              </w:rPr>
              <w:t xml:space="preserve">Total </w:t>
            </w:r>
          </w:p>
          <w:p w:rsidR="00576F87" w:rsidRDefault="004165F5">
            <w:pPr>
              <w:spacing w:after="134"/>
              <w:ind w:left="144"/>
            </w:pPr>
            <w:r>
              <w:rPr>
                <w:rFonts w:ascii="Verdana" w:eastAsia="Verdana" w:hAnsi="Verdana" w:cs="Verdana"/>
                <w:b/>
                <w:color w:val="FFFFFF"/>
                <w:sz w:val="16"/>
              </w:rPr>
              <w:t xml:space="preserve">Reserves  </w:t>
            </w:r>
          </w:p>
          <w:p w:rsidR="00576F87" w:rsidRDefault="004165F5">
            <w:pPr>
              <w:spacing w:after="0"/>
              <w:ind w:right="34"/>
              <w:jc w:val="right"/>
            </w:pPr>
            <w:r>
              <w:rPr>
                <w:rFonts w:ascii="Verdana" w:eastAsia="Verdana" w:hAnsi="Verdana" w:cs="Verdana"/>
                <w:b/>
                <w:color w:val="FFFFFF"/>
                <w:sz w:val="16"/>
              </w:rPr>
              <w:t>£000</w:t>
            </w:r>
          </w:p>
        </w:tc>
      </w:tr>
      <w:tr w:rsidR="00576F87">
        <w:trPr>
          <w:trHeight w:val="463"/>
        </w:trPr>
        <w:tc>
          <w:tcPr>
            <w:tcW w:w="3475" w:type="dxa"/>
            <w:tcBorders>
              <w:top w:val="single" w:sz="15" w:space="0" w:color="009784"/>
              <w:left w:val="single" w:sz="12" w:space="0" w:color="009784"/>
              <w:bottom w:val="single" w:sz="8" w:space="0" w:color="009784"/>
              <w:right w:val="single" w:sz="8" w:space="0" w:color="009784"/>
            </w:tcBorders>
            <w:shd w:val="clear" w:color="auto" w:fill="24988A"/>
          </w:tcPr>
          <w:p w:rsidR="00576F87" w:rsidRDefault="004165F5">
            <w:pPr>
              <w:spacing w:after="0"/>
              <w:ind w:left="34"/>
            </w:pPr>
            <w:r>
              <w:rPr>
                <w:rFonts w:ascii="Verdana" w:eastAsia="Verdana" w:hAnsi="Verdana" w:cs="Verdana"/>
                <w:b/>
                <w:color w:val="FFFFFF"/>
                <w:sz w:val="16"/>
              </w:rPr>
              <w:t>Balance at 1 April 2017 brought forward</w:t>
            </w:r>
          </w:p>
        </w:tc>
        <w:tc>
          <w:tcPr>
            <w:tcW w:w="1015"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left="175"/>
            </w:pPr>
            <w:r>
              <w:rPr>
                <w:rFonts w:ascii="Verdana" w:eastAsia="Verdana" w:hAnsi="Verdana" w:cs="Verdana"/>
                <w:b/>
                <w:color w:val="FFFFFF"/>
                <w:sz w:val="16"/>
              </w:rPr>
              <w:t>(17,882)</w:t>
            </w:r>
          </w:p>
        </w:tc>
        <w:tc>
          <w:tcPr>
            <w:tcW w:w="1210"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(3)</w:t>
            </w:r>
          </w:p>
        </w:tc>
        <w:tc>
          <w:tcPr>
            <w:tcW w:w="1046"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(17,885)</w:t>
            </w:r>
          </w:p>
        </w:tc>
        <w:tc>
          <w:tcPr>
            <w:tcW w:w="934"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1,736</w:t>
            </w:r>
          </w:p>
        </w:tc>
        <w:tc>
          <w:tcPr>
            <w:tcW w:w="1032"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50</w:t>
            </w:r>
          </w:p>
        </w:tc>
        <w:tc>
          <w:tcPr>
            <w:tcW w:w="984"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20</w:t>
            </w:r>
          </w:p>
        </w:tc>
        <w:tc>
          <w:tcPr>
            <w:tcW w:w="967"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53</w:t>
            </w:r>
          </w:p>
        </w:tc>
        <w:tc>
          <w:tcPr>
            <w:tcW w:w="1159"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40</w:t>
            </w:r>
          </w:p>
        </w:tc>
        <w:tc>
          <w:tcPr>
            <w:tcW w:w="1032"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448</w:t>
            </w:r>
          </w:p>
        </w:tc>
        <w:tc>
          <w:tcPr>
            <w:tcW w:w="919"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400</w:t>
            </w:r>
          </w:p>
        </w:tc>
        <w:tc>
          <w:tcPr>
            <w:tcW w:w="1046" w:type="dxa"/>
            <w:tcBorders>
              <w:top w:val="single" w:sz="8" w:space="0" w:color="FFFFFF"/>
              <w:left w:val="single" w:sz="8" w:space="0" w:color="009784"/>
              <w:bottom w:val="single" w:sz="8" w:space="0" w:color="009784"/>
              <w:right w:val="single" w:sz="8" w:space="0" w:color="269683"/>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2,747</w:t>
            </w:r>
          </w:p>
        </w:tc>
        <w:tc>
          <w:tcPr>
            <w:tcW w:w="1111" w:type="dxa"/>
            <w:tcBorders>
              <w:top w:val="single" w:sz="8" w:space="0" w:color="FFFFFF"/>
              <w:left w:val="single" w:sz="8" w:space="0" w:color="269683"/>
              <w:bottom w:val="single" w:sz="8" w:space="0" w:color="009784"/>
              <w:right w:val="single" w:sz="8" w:space="0" w:color="269683"/>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(15,138)</w:t>
            </w:r>
          </w:p>
        </w:tc>
      </w:tr>
      <w:tr w:rsidR="00576F87">
        <w:trPr>
          <w:trHeight w:val="492"/>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Movement in Reserves during 2017/18</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63"/>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 xml:space="preserve">Surplus or (deficit) on provision of services </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(1,311)</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(1,311)</w:t>
            </w:r>
          </w:p>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3"/>
              <w:jc w:val="right"/>
            </w:pPr>
            <w:r>
              <w:rPr>
                <w:rFonts w:ascii="Verdana" w:eastAsia="Verdana" w:hAnsi="Verdana" w:cs="Verdana"/>
                <w:b/>
                <w:sz w:val="16"/>
              </w:rPr>
              <w:t>(1,311)</w:t>
            </w:r>
          </w:p>
        </w:tc>
      </w:tr>
      <w:tr w:rsidR="00576F87">
        <w:trPr>
          <w:trHeight w:val="463"/>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Share of Tax</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63"/>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4"/>
            </w:pPr>
            <w:r>
              <w:rPr>
                <w:rFonts w:ascii="Verdana" w:eastAsia="Verdana" w:hAnsi="Verdana" w:cs="Verdana"/>
                <w:b/>
                <w:sz w:val="16"/>
              </w:rPr>
              <w:t xml:space="preserve">Net Increase before Transfers to </w:t>
            </w:r>
          </w:p>
          <w:p w:rsidR="00576F87" w:rsidRDefault="004165F5">
            <w:pPr>
              <w:spacing w:after="0"/>
              <w:ind w:left="34"/>
            </w:pPr>
            <w:r>
              <w:rPr>
                <w:rFonts w:ascii="Verdana" w:eastAsia="Verdana" w:hAnsi="Verdana" w:cs="Verdana"/>
                <w:b/>
                <w:sz w:val="16"/>
              </w:rPr>
              <w:t>Earmarked Reserves</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(1,311)</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(1,311)</w:t>
            </w:r>
          </w:p>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3"/>
              <w:jc w:val="right"/>
            </w:pPr>
            <w:r>
              <w:rPr>
                <w:rFonts w:ascii="Verdana" w:eastAsia="Verdana" w:hAnsi="Verdana" w:cs="Verdana"/>
                <w:b/>
                <w:sz w:val="16"/>
              </w:rPr>
              <w:t>(1,311)</w:t>
            </w:r>
          </w:p>
        </w:tc>
      </w:tr>
      <w:tr w:rsidR="00576F87">
        <w:trPr>
          <w:trHeight w:val="463"/>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Transfers to/from Earmarked Reserves</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3</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3</w:t>
            </w:r>
          </w:p>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160</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(50)</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(20)</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(53)</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(40)</w:t>
            </w:r>
          </w:p>
        </w:tc>
        <w:tc>
          <w:tcPr>
            <w:tcW w:w="1032" w:type="dxa"/>
            <w:tcBorders>
              <w:top w:val="single" w:sz="8" w:space="0" w:color="009784"/>
              <w:left w:val="single" w:sz="8" w:space="0" w:color="009784"/>
              <w:bottom w:val="single" w:sz="8" w:space="0" w:color="009784"/>
              <w:right w:val="single" w:sz="8" w:space="0" w:color="009784"/>
            </w:tcBorders>
          </w:tcPr>
          <w:p w:rsidR="00576F87" w:rsidRDefault="00576F87"/>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(3)</w:t>
            </w:r>
          </w:p>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63"/>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 xml:space="preserve">Remeasurements of the Net Defined </w:t>
            </w:r>
          </w:p>
          <w:p w:rsidR="00576F87" w:rsidRDefault="004165F5">
            <w:pPr>
              <w:spacing w:after="0"/>
              <w:ind w:left="31"/>
            </w:pPr>
            <w:r>
              <w:rPr>
                <w:rFonts w:ascii="Verdana" w:eastAsia="Verdana" w:hAnsi="Verdana" w:cs="Verdana"/>
                <w:sz w:val="16"/>
              </w:rPr>
              <w:t>Benefit Liability</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2,555</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2,555</w:t>
            </w:r>
          </w:p>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4"/>
              <w:jc w:val="right"/>
            </w:pPr>
            <w:r>
              <w:rPr>
                <w:rFonts w:ascii="Verdana" w:eastAsia="Verdana" w:hAnsi="Verdana" w:cs="Verdana"/>
                <w:b/>
                <w:sz w:val="16"/>
              </w:rPr>
              <w:t>2,555</w:t>
            </w:r>
          </w:p>
        </w:tc>
      </w:tr>
      <w:tr w:rsidR="00576F87">
        <w:trPr>
          <w:trHeight w:val="463"/>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Movement in year</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(303)</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(303)</w:t>
            </w:r>
          </w:p>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303</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303</w:t>
            </w:r>
          </w:p>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63"/>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Accumulated Compensating Absences provision</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tcPr>
          <w:p w:rsidR="00576F87" w:rsidRDefault="00576F87"/>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63"/>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4"/>
            </w:pPr>
            <w:r>
              <w:rPr>
                <w:rFonts w:ascii="Verdana" w:eastAsia="Verdana" w:hAnsi="Verdana" w:cs="Verdana"/>
                <w:b/>
                <w:sz w:val="16"/>
              </w:rPr>
              <w:t>Increase/(Decrease) in Year</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2,252</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3</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2,255</w:t>
            </w:r>
          </w:p>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(848)</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(50)</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(20)</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(53)</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(40)</w:t>
            </w:r>
          </w:p>
        </w:tc>
        <w:tc>
          <w:tcPr>
            <w:tcW w:w="1032" w:type="dxa"/>
            <w:tcBorders>
              <w:top w:val="single" w:sz="8" w:space="0" w:color="009784"/>
              <w:left w:val="single" w:sz="8" w:space="0" w:color="009784"/>
              <w:bottom w:val="single" w:sz="8" w:space="0" w:color="009784"/>
              <w:right w:val="single" w:sz="8" w:space="0" w:color="009784"/>
            </w:tcBorders>
          </w:tcPr>
          <w:p w:rsidR="00576F87" w:rsidRDefault="00576F87"/>
        </w:tc>
        <w:tc>
          <w:tcPr>
            <w:tcW w:w="919"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(1,011)</w:t>
            </w:r>
          </w:p>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5"/>
              <w:jc w:val="right"/>
            </w:pPr>
            <w:r>
              <w:rPr>
                <w:rFonts w:ascii="Verdana" w:eastAsia="Verdana" w:hAnsi="Verdana" w:cs="Verdana"/>
                <w:b/>
                <w:sz w:val="16"/>
              </w:rPr>
              <w:t>1,244</w:t>
            </w:r>
          </w:p>
        </w:tc>
      </w:tr>
      <w:tr w:rsidR="00576F87">
        <w:trPr>
          <w:trHeight w:val="463"/>
        </w:trPr>
        <w:tc>
          <w:tcPr>
            <w:tcW w:w="3475" w:type="dxa"/>
            <w:tcBorders>
              <w:top w:val="single" w:sz="8" w:space="0" w:color="009784"/>
              <w:left w:val="single" w:sz="12" w:space="0" w:color="009784"/>
              <w:bottom w:val="single" w:sz="15" w:space="0" w:color="009784"/>
              <w:right w:val="single" w:sz="8" w:space="0" w:color="009784"/>
            </w:tcBorders>
            <w:shd w:val="clear" w:color="auto" w:fill="24988A"/>
          </w:tcPr>
          <w:p w:rsidR="00576F87" w:rsidRDefault="004165F5">
            <w:pPr>
              <w:spacing w:after="0"/>
              <w:ind w:left="34"/>
            </w:pPr>
            <w:r>
              <w:rPr>
                <w:rFonts w:ascii="Verdana" w:eastAsia="Verdana" w:hAnsi="Verdana" w:cs="Verdana"/>
                <w:b/>
                <w:color w:val="FFFFFF"/>
                <w:sz w:val="16"/>
              </w:rPr>
              <w:t>Balance at 31 March 2018 carried forward</w:t>
            </w:r>
          </w:p>
        </w:tc>
        <w:tc>
          <w:tcPr>
            <w:tcW w:w="1015" w:type="dxa"/>
            <w:tcBorders>
              <w:top w:val="single" w:sz="8" w:space="0" w:color="009784"/>
              <w:left w:val="single" w:sz="8" w:space="0" w:color="009784"/>
              <w:bottom w:val="single" w:sz="15" w:space="0" w:color="009784"/>
              <w:right w:val="single" w:sz="8" w:space="0" w:color="009784"/>
            </w:tcBorders>
            <w:shd w:val="clear" w:color="auto" w:fill="24988A"/>
            <w:vAlign w:val="center"/>
          </w:tcPr>
          <w:p w:rsidR="00576F87" w:rsidRDefault="004165F5">
            <w:pPr>
              <w:spacing w:after="0"/>
              <w:ind w:left="175"/>
            </w:pPr>
            <w:r>
              <w:rPr>
                <w:rFonts w:ascii="Verdana" w:eastAsia="Verdana" w:hAnsi="Verdana" w:cs="Verdana"/>
                <w:b/>
                <w:color w:val="FFFFFF"/>
                <w:sz w:val="16"/>
              </w:rPr>
              <w:t>(15,630)</w:t>
            </w:r>
          </w:p>
        </w:tc>
        <w:tc>
          <w:tcPr>
            <w:tcW w:w="1210" w:type="dxa"/>
            <w:tcBorders>
              <w:top w:val="single" w:sz="8" w:space="0" w:color="009784"/>
              <w:left w:val="single" w:sz="8" w:space="0" w:color="009784"/>
              <w:bottom w:val="single" w:sz="15" w:space="0" w:color="009784"/>
              <w:right w:val="single" w:sz="8" w:space="0" w:color="009784"/>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w:t>
            </w:r>
          </w:p>
        </w:tc>
        <w:tc>
          <w:tcPr>
            <w:tcW w:w="1046" w:type="dxa"/>
            <w:tcBorders>
              <w:top w:val="single" w:sz="8" w:space="0" w:color="009784"/>
              <w:left w:val="single" w:sz="8" w:space="0" w:color="009784"/>
              <w:bottom w:val="single" w:sz="15" w:space="0" w:color="009784"/>
              <w:right w:val="single" w:sz="8" w:space="0" w:color="009784"/>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(15,630)</w:t>
            </w:r>
          </w:p>
        </w:tc>
        <w:tc>
          <w:tcPr>
            <w:tcW w:w="934" w:type="dxa"/>
            <w:tcBorders>
              <w:top w:val="single" w:sz="8" w:space="0" w:color="009784"/>
              <w:left w:val="single" w:sz="8" w:space="0" w:color="009784"/>
              <w:bottom w:val="single" w:sz="15"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888</w:t>
            </w:r>
          </w:p>
        </w:tc>
        <w:tc>
          <w:tcPr>
            <w:tcW w:w="1032" w:type="dxa"/>
            <w:tcBorders>
              <w:top w:val="single" w:sz="8" w:space="0" w:color="009784"/>
              <w:left w:val="single" w:sz="8" w:space="0" w:color="009784"/>
              <w:bottom w:val="single" w:sz="15" w:space="0" w:color="009784"/>
              <w:right w:val="single" w:sz="8" w:space="0" w:color="009784"/>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w:t>
            </w:r>
          </w:p>
        </w:tc>
        <w:tc>
          <w:tcPr>
            <w:tcW w:w="984" w:type="dxa"/>
            <w:tcBorders>
              <w:top w:val="single" w:sz="8" w:space="0" w:color="009784"/>
              <w:left w:val="single" w:sz="8" w:space="0" w:color="009784"/>
              <w:bottom w:val="single" w:sz="15" w:space="0" w:color="009784"/>
              <w:right w:val="single" w:sz="8" w:space="0" w:color="009784"/>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w:t>
            </w:r>
          </w:p>
        </w:tc>
        <w:tc>
          <w:tcPr>
            <w:tcW w:w="967" w:type="dxa"/>
            <w:tcBorders>
              <w:top w:val="single" w:sz="8" w:space="0" w:color="009784"/>
              <w:left w:val="single" w:sz="8" w:space="0" w:color="009784"/>
              <w:bottom w:val="single" w:sz="15" w:space="0" w:color="009784"/>
              <w:right w:val="single" w:sz="8" w:space="0" w:color="009784"/>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w:t>
            </w:r>
          </w:p>
        </w:tc>
        <w:tc>
          <w:tcPr>
            <w:tcW w:w="1159" w:type="dxa"/>
            <w:tcBorders>
              <w:top w:val="single" w:sz="8" w:space="0" w:color="009784"/>
              <w:left w:val="single" w:sz="8" w:space="0" w:color="009784"/>
              <w:bottom w:val="single" w:sz="15" w:space="0" w:color="009784"/>
              <w:right w:val="single" w:sz="8" w:space="0" w:color="009784"/>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w:t>
            </w:r>
          </w:p>
        </w:tc>
        <w:tc>
          <w:tcPr>
            <w:tcW w:w="1032" w:type="dxa"/>
            <w:tcBorders>
              <w:top w:val="single" w:sz="8" w:space="0" w:color="009784"/>
              <w:left w:val="single" w:sz="8" w:space="0" w:color="009784"/>
              <w:bottom w:val="single" w:sz="15"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448</w:t>
            </w:r>
          </w:p>
        </w:tc>
        <w:tc>
          <w:tcPr>
            <w:tcW w:w="919" w:type="dxa"/>
            <w:tcBorders>
              <w:top w:val="single" w:sz="8" w:space="0" w:color="009784"/>
              <w:left w:val="single" w:sz="8" w:space="0" w:color="009784"/>
              <w:bottom w:val="single" w:sz="15"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400</w:t>
            </w:r>
          </w:p>
        </w:tc>
        <w:tc>
          <w:tcPr>
            <w:tcW w:w="1046" w:type="dxa"/>
            <w:tcBorders>
              <w:top w:val="single" w:sz="8" w:space="0" w:color="009784"/>
              <w:left w:val="single" w:sz="8" w:space="0" w:color="009784"/>
              <w:bottom w:val="single" w:sz="15"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1,736</w:t>
            </w:r>
          </w:p>
        </w:tc>
        <w:tc>
          <w:tcPr>
            <w:tcW w:w="1111" w:type="dxa"/>
            <w:tcBorders>
              <w:top w:val="single" w:sz="8" w:space="0" w:color="009784"/>
              <w:left w:val="single" w:sz="8" w:space="0" w:color="009784"/>
              <w:bottom w:val="single" w:sz="15" w:space="0" w:color="009784"/>
              <w:right w:val="single" w:sz="15" w:space="0" w:color="009784"/>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(13,894)</w:t>
            </w:r>
          </w:p>
        </w:tc>
      </w:tr>
      <w:tr w:rsidR="00576F87">
        <w:trPr>
          <w:trHeight w:val="874"/>
        </w:trPr>
        <w:tc>
          <w:tcPr>
            <w:tcW w:w="15931" w:type="dxa"/>
            <w:gridSpan w:val="13"/>
            <w:tcBorders>
              <w:top w:val="single" w:sz="15" w:space="0" w:color="009784"/>
              <w:left w:val="nil"/>
              <w:bottom w:val="nil"/>
              <w:right w:val="nil"/>
            </w:tcBorders>
            <w:shd w:val="clear" w:color="auto" w:fill="FFFFFF"/>
          </w:tcPr>
          <w:p w:rsidR="00576F87" w:rsidRDefault="00576F87"/>
        </w:tc>
      </w:tr>
    </w:tbl>
    <w:p w:rsidR="00576F87" w:rsidRDefault="004165F5">
      <w:pPr>
        <w:spacing w:after="41"/>
        <w:ind w:left="-5" w:hanging="10"/>
      </w:pPr>
      <w:r>
        <w:rPr>
          <w:rFonts w:ascii="Verdana" w:eastAsia="Verdana" w:hAnsi="Verdana" w:cs="Verdana"/>
        </w:rPr>
        <w:t>Entity Statement of Movement in Reserves (restated)</w:t>
      </w:r>
    </w:p>
    <w:tbl>
      <w:tblPr>
        <w:tblStyle w:val="TableGrid"/>
        <w:tblW w:w="15931" w:type="dxa"/>
        <w:tblInd w:w="-41" w:type="dxa"/>
        <w:tblCellMar>
          <w:top w:w="1" w:type="dxa"/>
          <w:left w:w="0" w:type="dxa"/>
          <w:bottom w:w="15" w:type="dxa"/>
          <w:right w:w="0" w:type="dxa"/>
        </w:tblCellMar>
        <w:tblLook w:val="04A0" w:firstRow="1" w:lastRow="0" w:firstColumn="1" w:lastColumn="0" w:noHBand="0" w:noVBand="1"/>
      </w:tblPr>
      <w:tblGrid>
        <w:gridCol w:w="3475"/>
        <w:gridCol w:w="1015"/>
        <w:gridCol w:w="1210"/>
        <w:gridCol w:w="1046"/>
        <w:gridCol w:w="934"/>
        <w:gridCol w:w="1032"/>
        <w:gridCol w:w="984"/>
        <w:gridCol w:w="967"/>
        <w:gridCol w:w="1159"/>
        <w:gridCol w:w="1032"/>
        <w:gridCol w:w="919"/>
        <w:gridCol w:w="1046"/>
        <w:gridCol w:w="1111"/>
      </w:tblGrid>
      <w:tr w:rsidR="00576F87">
        <w:trPr>
          <w:trHeight w:val="1260"/>
        </w:trPr>
        <w:tc>
          <w:tcPr>
            <w:tcW w:w="3475" w:type="dxa"/>
            <w:tcBorders>
              <w:top w:val="single" w:sz="15" w:space="0" w:color="FFFFFF"/>
              <w:left w:val="nil"/>
              <w:bottom w:val="single" w:sz="15" w:space="0" w:color="009784"/>
              <w:right w:val="single" w:sz="15" w:space="0" w:color="FFFFFF"/>
            </w:tcBorders>
          </w:tcPr>
          <w:p w:rsidR="00576F87" w:rsidRDefault="00576F87"/>
        </w:tc>
        <w:tc>
          <w:tcPr>
            <w:tcW w:w="1015" w:type="dxa"/>
            <w:tcBorders>
              <w:top w:val="single" w:sz="15" w:space="0" w:color="FFFFFF"/>
              <w:left w:val="single" w:sz="15" w:space="0" w:color="FFFFFF"/>
              <w:bottom w:val="single" w:sz="8" w:space="0" w:color="FFFFFF"/>
              <w:right w:val="single" w:sz="15" w:space="0" w:color="FFFFFF"/>
            </w:tcBorders>
            <w:shd w:val="clear" w:color="auto" w:fill="009784"/>
            <w:vAlign w:val="bottom"/>
          </w:tcPr>
          <w:p w:rsidR="00576F87" w:rsidRDefault="004165F5">
            <w:pPr>
              <w:spacing w:after="0"/>
              <w:ind w:left="8"/>
              <w:jc w:val="center"/>
            </w:pPr>
            <w:r>
              <w:rPr>
                <w:rFonts w:ascii="Verdana" w:eastAsia="Verdana" w:hAnsi="Verdana" w:cs="Verdana"/>
                <w:color w:val="FFFFFF"/>
                <w:sz w:val="16"/>
              </w:rPr>
              <w:t xml:space="preserve">Pension </w:t>
            </w:r>
          </w:p>
          <w:p w:rsidR="00576F87" w:rsidRDefault="004165F5">
            <w:pPr>
              <w:spacing w:after="0"/>
              <w:ind w:left="571" w:hanging="386"/>
            </w:pPr>
            <w:r>
              <w:rPr>
                <w:rFonts w:ascii="Verdana" w:eastAsia="Verdana" w:hAnsi="Verdana" w:cs="Verdana"/>
                <w:color w:val="FFFFFF"/>
                <w:sz w:val="16"/>
              </w:rPr>
              <w:t>Reserve   £000</w:t>
            </w:r>
          </w:p>
        </w:tc>
        <w:tc>
          <w:tcPr>
            <w:tcW w:w="1210" w:type="dxa"/>
            <w:tcBorders>
              <w:top w:val="single" w:sz="15" w:space="0" w:color="FFFFFF"/>
              <w:left w:val="single" w:sz="15" w:space="0" w:color="FFFFFF"/>
              <w:bottom w:val="single" w:sz="8" w:space="0" w:color="FFFFFF"/>
              <w:right w:val="single" w:sz="15" w:space="0" w:color="FFFFFF"/>
            </w:tcBorders>
            <w:shd w:val="clear" w:color="auto" w:fill="009784"/>
            <w:vAlign w:val="center"/>
          </w:tcPr>
          <w:p w:rsidR="00576F87" w:rsidRDefault="004165F5">
            <w:pPr>
              <w:spacing w:after="0"/>
              <w:ind w:left="3"/>
              <w:jc w:val="center"/>
            </w:pPr>
            <w:r>
              <w:rPr>
                <w:rFonts w:ascii="Verdana" w:eastAsia="Verdana" w:hAnsi="Verdana" w:cs="Verdana"/>
                <w:color w:val="FFFFFF"/>
                <w:sz w:val="16"/>
              </w:rPr>
              <w:t xml:space="preserve">Compen </w:t>
            </w:r>
          </w:p>
          <w:p w:rsidR="00576F87" w:rsidRDefault="004165F5">
            <w:pPr>
              <w:spacing w:after="0"/>
              <w:ind w:left="2"/>
              <w:jc w:val="center"/>
            </w:pPr>
            <w:r>
              <w:rPr>
                <w:rFonts w:ascii="Verdana" w:eastAsia="Verdana" w:hAnsi="Verdana" w:cs="Verdana"/>
                <w:color w:val="FFFFFF"/>
                <w:sz w:val="16"/>
              </w:rPr>
              <w:t xml:space="preserve">Absences </w:t>
            </w:r>
          </w:p>
          <w:p w:rsidR="00576F87" w:rsidRDefault="004165F5">
            <w:pPr>
              <w:spacing w:after="0"/>
              <w:ind w:left="-7"/>
            </w:pPr>
            <w:r>
              <w:rPr>
                <w:rFonts w:ascii="Verdana" w:eastAsia="Verdana" w:hAnsi="Verdana" w:cs="Verdana"/>
                <w:color w:val="FFFFFF"/>
                <w:sz w:val="16"/>
              </w:rPr>
              <w:t xml:space="preserve"> </w:t>
            </w:r>
          </w:p>
          <w:p w:rsidR="00576F87" w:rsidRDefault="004165F5">
            <w:pPr>
              <w:spacing w:after="0"/>
              <w:ind w:left="766" w:hanging="485"/>
            </w:pPr>
            <w:r>
              <w:rPr>
                <w:rFonts w:ascii="Verdana" w:eastAsia="Verdana" w:hAnsi="Verdana" w:cs="Verdana"/>
                <w:color w:val="FFFFFF"/>
                <w:sz w:val="16"/>
              </w:rPr>
              <w:t>Reserve     £000</w:t>
            </w:r>
          </w:p>
        </w:tc>
        <w:tc>
          <w:tcPr>
            <w:tcW w:w="1046" w:type="dxa"/>
            <w:tcBorders>
              <w:top w:val="single" w:sz="15" w:space="0" w:color="FFFFFF"/>
              <w:left w:val="single" w:sz="15" w:space="0" w:color="FFFFFF"/>
              <w:bottom w:val="single" w:sz="8" w:space="0" w:color="FFFFFF"/>
              <w:right w:val="single" w:sz="15" w:space="0" w:color="FFFFFF"/>
            </w:tcBorders>
            <w:shd w:val="clear" w:color="auto" w:fill="009784"/>
            <w:vAlign w:val="center"/>
          </w:tcPr>
          <w:p w:rsidR="00576F87" w:rsidRDefault="004165F5">
            <w:pPr>
              <w:spacing w:after="0"/>
              <w:ind w:left="7"/>
              <w:jc w:val="center"/>
            </w:pPr>
            <w:r>
              <w:rPr>
                <w:rFonts w:ascii="Verdana" w:eastAsia="Verdana" w:hAnsi="Verdana" w:cs="Verdana"/>
                <w:b/>
                <w:color w:val="FFFFFF"/>
                <w:sz w:val="16"/>
              </w:rPr>
              <w:t xml:space="preserve">Total </w:t>
            </w:r>
          </w:p>
          <w:p w:rsidR="00576F87" w:rsidRDefault="004165F5">
            <w:pPr>
              <w:spacing w:after="0"/>
              <w:ind w:left="106"/>
            </w:pPr>
            <w:r>
              <w:rPr>
                <w:rFonts w:ascii="Verdana" w:eastAsia="Verdana" w:hAnsi="Verdana" w:cs="Verdana"/>
                <w:b/>
                <w:color w:val="FFFFFF"/>
                <w:sz w:val="16"/>
              </w:rPr>
              <w:t xml:space="preserve">Unusable </w:t>
            </w:r>
          </w:p>
          <w:p w:rsidR="00576F87" w:rsidRDefault="004165F5">
            <w:pPr>
              <w:spacing w:after="216"/>
              <w:ind w:left="113"/>
            </w:pPr>
            <w:r>
              <w:rPr>
                <w:rFonts w:ascii="Verdana" w:eastAsia="Verdana" w:hAnsi="Verdana" w:cs="Verdana"/>
                <w:b/>
                <w:color w:val="FFFFFF"/>
                <w:sz w:val="16"/>
              </w:rPr>
              <w:t>Reserves</w:t>
            </w:r>
          </w:p>
          <w:p w:rsidR="00576F87" w:rsidRDefault="004165F5">
            <w:pPr>
              <w:spacing w:after="0"/>
              <w:ind w:right="34"/>
              <w:jc w:val="right"/>
            </w:pPr>
            <w:r>
              <w:rPr>
                <w:rFonts w:ascii="Verdana" w:eastAsia="Verdana" w:hAnsi="Verdana" w:cs="Verdana"/>
                <w:b/>
                <w:color w:val="FFFFFF"/>
                <w:sz w:val="16"/>
              </w:rPr>
              <w:t>£000</w:t>
            </w:r>
          </w:p>
        </w:tc>
        <w:tc>
          <w:tcPr>
            <w:tcW w:w="934" w:type="dxa"/>
            <w:tcBorders>
              <w:top w:val="single" w:sz="15" w:space="0" w:color="FFFFFF"/>
              <w:left w:val="single" w:sz="15" w:space="0" w:color="FFFFFF"/>
              <w:bottom w:val="single" w:sz="8" w:space="0" w:color="FFFFFF"/>
              <w:right w:val="single" w:sz="15" w:space="0" w:color="FFFFFF"/>
            </w:tcBorders>
            <w:shd w:val="clear" w:color="auto" w:fill="009784"/>
            <w:vAlign w:val="bottom"/>
          </w:tcPr>
          <w:p w:rsidR="00576F87" w:rsidRDefault="004165F5">
            <w:pPr>
              <w:spacing w:after="0"/>
              <w:ind w:left="156"/>
            </w:pPr>
            <w:r>
              <w:rPr>
                <w:rFonts w:ascii="Verdana" w:eastAsia="Verdana" w:hAnsi="Verdana" w:cs="Verdana"/>
                <w:color w:val="FFFFFF"/>
                <w:sz w:val="16"/>
              </w:rPr>
              <w:t xml:space="preserve">General </w:t>
            </w:r>
          </w:p>
          <w:p w:rsidR="00576F87" w:rsidRDefault="004165F5">
            <w:pPr>
              <w:spacing w:after="321"/>
              <w:ind w:left="144"/>
            </w:pPr>
            <w:r>
              <w:rPr>
                <w:rFonts w:ascii="Verdana" w:eastAsia="Verdana" w:hAnsi="Verdana" w:cs="Verdana"/>
                <w:color w:val="FFFFFF"/>
                <w:sz w:val="16"/>
              </w:rPr>
              <w:t xml:space="preserve">Reserve  </w:t>
            </w:r>
          </w:p>
          <w:p w:rsidR="00576F87" w:rsidRDefault="004165F5">
            <w:pPr>
              <w:spacing w:after="0"/>
              <w:ind w:right="32"/>
              <w:jc w:val="right"/>
            </w:pPr>
            <w:r>
              <w:rPr>
                <w:rFonts w:ascii="Verdana" w:eastAsia="Verdana" w:hAnsi="Verdana" w:cs="Verdana"/>
                <w:color w:val="FFFFFF"/>
                <w:sz w:val="16"/>
              </w:rPr>
              <w:t>£000</w:t>
            </w:r>
          </w:p>
        </w:tc>
        <w:tc>
          <w:tcPr>
            <w:tcW w:w="1032" w:type="dxa"/>
            <w:tcBorders>
              <w:top w:val="single" w:sz="15" w:space="0" w:color="FFFFFF"/>
              <w:left w:val="single" w:sz="15" w:space="0" w:color="FFFFFF"/>
              <w:bottom w:val="single" w:sz="8" w:space="0" w:color="FFFFFF"/>
              <w:right w:val="single" w:sz="15" w:space="0" w:color="FFFFFF"/>
            </w:tcBorders>
            <w:shd w:val="clear" w:color="auto" w:fill="009784"/>
            <w:vAlign w:val="bottom"/>
          </w:tcPr>
          <w:p w:rsidR="00576F87" w:rsidRDefault="004165F5">
            <w:pPr>
              <w:spacing w:after="0"/>
              <w:ind w:left="166"/>
            </w:pPr>
            <w:r>
              <w:rPr>
                <w:rFonts w:ascii="Verdana" w:eastAsia="Verdana" w:hAnsi="Verdana" w:cs="Verdana"/>
                <w:color w:val="FFFFFF"/>
                <w:sz w:val="16"/>
              </w:rPr>
              <w:t xml:space="preserve">Business </w:t>
            </w:r>
          </w:p>
          <w:p w:rsidR="00576F87" w:rsidRDefault="004165F5">
            <w:pPr>
              <w:spacing w:after="321"/>
              <w:ind w:left="-24"/>
              <w:jc w:val="both"/>
            </w:pPr>
            <w:r>
              <w:rPr>
                <w:rFonts w:ascii="Verdana" w:eastAsia="Verdana" w:hAnsi="Verdana" w:cs="Verdana"/>
                <w:color w:val="FFFFFF"/>
                <w:sz w:val="16"/>
              </w:rPr>
              <w:t xml:space="preserve"> Reserve   </w:t>
            </w:r>
          </w:p>
          <w:p w:rsidR="00576F87" w:rsidRDefault="004165F5">
            <w:pPr>
              <w:spacing w:after="0"/>
              <w:ind w:right="32"/>
              <w:jc w:val="right"/>
            </w:pPr>
            <w:r>
              <w:rPr>
                <w:rFonts w:ascii="Verdana" w:eastAsia="Verdana" w:hAnsi="Verdana" w:cs="Verdana"/>
                <w:color w:val="FFFFFF"/>
                <w:sz w:val="16"/>
              </w:rPr>
              <w:t>£000</w:t>
            </w:r>
          </w:p>
        </w:tc>
        <w:tc>
          <w:tcPr>
            <w:tcW w:w="984" w:type="dxa"/>
            <w:tcBorders>
              <w:top w:val="single" w:sz="15" w:space="0" w:color="FFFFFF"/>
              <w:left w:val="single" w:sz="15" w:space="0" w:color="FFFFFF"/>
              <w:bottom w:val="single" w:sz="8" w:space="0" w:color="FFFFFF"/>
              <w:right w:val="single" w:sz="15" w:space="0" w:color="FFFFFF"/>
            </w:tcBorders>
            <w:shd w:val="clear" w:color="auto" w:fill="009784"/>
            <w:vAlign w:val="bottom"/>
          </w:tcPr>
          <w:p w:rsidR="00576F87" w:rsidRDefault="004165F5">
            <w:pPr>
              <w:spacing w:after="0"/>
              <w:ind w:left="118"/>
            </w:pPr>
            <w:r>
              <w:rPr>
                <w:rFonts w:ascii="Verdana" w:eastAsia="Verdana" w:hAnsi="Verdana" w:cs="Verdana"/>
                <w:color w:val="FFFFFF"/>
                <w:sz w:val="16"/>
              </w:rPr>
              <w:t xml:space="preserve">Valuation </w:t>
            </w:r>
          </w:p>
          <w:p w:rsidR="00576F87" w:rsidRDefault="004165F5">
            <w:pPr>
              <w:spacing w:after="0"/>
              <w:ind w:left="540" w:hanging="372"/>
            </w:pPr>
            <w:r>
              <w:rPr>
                <w:rFonts w:ascii="Verdana" w:eastAsia="Verdana" w:hAnsi="Verdana" w:cs="Verdana"/>
                <w:color w:val="FFFFFF"/>
                <w:sz w:val="16"/>
              </w:rPr>
              <w:t>Reserve   £000</w:t>
            </w:r>
          </w:p>
        </w:tc>
        <w:tc>
          <w:tcPr>
            <w:tcW w:w="967" w:type="dxa"/>
            <w:tcBorders>
              <w:top w:val="single" w:sz="15" w:space="0" w:color="FFFFFF"/>
              <w:left w:val="single" w:sz="15" w:space="0" w:color="FFFFFF"/>
              <w:bottom w:val="single" w:sz="8" w:space="0" w:color="FFFFFF"/>
              <w:right w:val="single" w:sz="15" w:space="0" w:color="FFFFFF"/>
            </w:tcBorders>
            <w:shd w:val="clear" w:color="auto" w:fill="009784"/>
            <w:vAlign w:val="bottom"/>
          </w:tcPr>
          <w:p w:rsidR="00576F87" w:rsidRDefault="004165F5">
            <w:pPr>
              <w:spacing w:after="0"/>
              <w:ind w:left="89"/>
            </w:pPr>
            <w:r>
              <w:rPr>
                <w:rFonts w:ascii="Verdana" w:eastAsia="Verdana" w:hAnsi="Verdana" w:cs="Verdana"/>
                <w:color w:val="FFFFFF"/>
                <w:sz w:val="16"/>
              </w:rPr>
              <w:t xml:space="preserve"> Org Devt </w:t>
            </w:r>
          </w:p>
          <w:p w:rsidR="00576F87" w:rsidRDefault="004165F5">
            <w:pPr>
              <w:spacing w:after="0"/>
              <w:ind w:left="524" w:hanging="363"/>
            </w:pPr>
            <w:r>
              <w:rPr>
                <w:rFonts w:ascii="Verdana" w:eastAsia="Verdana" w:hAnsi="Verdana" w:cs="Verdana"/>
                <w:color w:val="FFFFFF"/>
                <w:sz w:val="16"/>
              </w:rPr>
              <w:t>Reserve   £000</w:t>
            </w:r>
          </w:p>
        </w:tc>
        <w:tc>
          <w:tcPr>
            <w:tcW w:w="1159" w:type="dxa"/>
            <w:tcBorders>
              <w:top w:val="single" w:sz="15" w:space="0" w:color="FFFFFF"/>
              <w:left w:val="single" w:sz="15" w:space="0" w:color="FFFFFF"/>
              <w:bottom w:val="single" w:sz="8" w:space="0" w:color="FFFFFF"/>
              <w:right w:val="single" w:sz="15" w:space="0" w:color="FFFFFF"/>
            </w:tcBorders>
            <w:shd w:val="clear" w:color="auto" w:fill="009784"/>
            <w:vAlign w:val="bottom"/>
          </w:tcPr>
          <w:p w:rsidR="00576F87" w:rsidRDefault="004165F5">
            <w:pPr>
              <w:spacing w:after="0"/>
              <w:ind w:left="106"/>
            </w:pPr>
            <w:r>
              <w:rPr>
                <w:rFonts w:ascii="Verdana" w:eastAsia="Verdana" w:hAnsi="Verdana" w:cs="Verdana"/>
                <w:color w:val="FFFFFF"/>
                <w:sz w:val="16"/>
              </w:rPr>
              <w:t xml:space="preserve">Innovations </w:t>
            </w:r>
          </w:p>
          <w:p w:rsidR="00576F87" w:rsidRDefault="004165F5">
            <w:pPr>
              <w:spacing w:after="0"/>
              <w:ind w:left="716" w:hanging="459"/>
            </w:pPr>
            <w:r>
              <w:rPr>
                <w:rFonts w:ascii="Verdana" w:eastAsia="Verdana" w:hAnsi="Verdana" w:cs="Verdana"/>
                <w:color w:val="FFFFFF"/>
                <w:sz w:val="16"/>
              </w:rPr>
              <w:t>Reserve    £000</w:t>
            </w:r>
          </w:p>
        </w:tc>
        <w:tc>
          <w:tcPr>
            <w:tcW w:w="1032" w:type="dxa"/>
            <w:tcBorders>
              <w:top w:val="single" w:sz="15" w:space="0" w:color="FFFFFF"/>
              <w:left w:val="single" w:sz="15" w:space="0" w:color="FFFFFF"/>
              <w:bottom w:val="single" w:sz="8" w:space="0" w:color="FFFFFF"/>
              <w:right w:val="single" w:sz="15" w:space="0" w:color="FFFFFF"/>
            </w:tcBorders>
            <w:shd w:val="clear" w:color="auto" w:fill="009784"/>
            <w:vAlign w:val="center"/>
          </w:tcPr>
          <w:p w:rsidR="00576F87" w:rsidRDefault="004165F5">
            <w:pPr>
              <w:spacing w:after="216"/>
              <w:ind w:firstLine="1"/>
              <w:jc w:val="center"/>
            </w:pPr>
            <w:r>
              <w:rPr>
                <w:rFonts w:ascii="Verdana" w:eastAsia="Verdana" w:hAnsi="Verdana" w:cs="Verdana"/>
                <w:color w:val="FFFFFF"/>
                <w:sz w:val="16"/>
              </w:rPr>
              <w:t>Capital Contrib reserve</w:t>
            </w:r>
          </w:p>
          <w:p w:rsidR="00576F87" w:rsidRDefault="004165F5">
            <w:pPr>
              <w:spacing w:after="0"/>
              <w:ind w:right="31"/>
              <w:jc w:val="right"/>
            </w:pPr>
            <w:r>
              <w:rPr>
                <w:rFonts w:ascii="Verdana" w:eastAsia="Verdana" w:hAnsi="Verdana" w:cs="Verdana"/>
                <w:color w:val="FFFFFF"/>
                <w:sz w:val="16"/>
              </w:rPr>
              <w:t>£000</w:t>
            </w:r>
          </w:p>
        </w:tc>
        <w:tc>
          <w:tcPr>
            <w:tcW w:w="919" w:type="dxa"/>
            <w:tcBorders>
              <w:top w:val="single" w:sz="15" w:space="0" w:color="FFFFFF"/>
              <w:left w:val="single" w:sz="15" w:space="0" w:color="FFFFFF"/>
              <w:bottom w:val="single" w:sz="8" w:space="0" w:color="FFFFFF"/>
              <w:right w:val="single" w:sz="15" w:space="0" w:color="FFFFFF"/>
            </w:tcBorders>
            <w:shd w:val="clear" w:color="auto" w:fill="009784"/>
            <w:vAlign w:val="center"/>
          </w:tcPr>
          <w:p w:rsidR="00576F87" w:rsidRDefault="004165F5">
            <w:pPr>
              <w:spacing w:after="0"/>
              <w:ind w:left="4"/>
              <w:jc w:val="center"/>
            </w:pPr>
            <w:r>
              <w:rPr>
                <w:rFonts w:ascii="Verdana" w:eastAsia="Verdana" w:hAnsi="Verdana" w:cs="Verdana"/>
                <w:color w:val="FFFFFF"/>
                <w:sz w:val="16"/>
              </w:rPr>
              <w:t xml:space="preserve">New </w:t>
            </w:r>
          </w:p>
          <w:p w:rsidR="00576F87" w:rsidRDefault="004165F5">
            <w:pPr>
              <w:spacing w:after="0"/>
              <w:ind w:left="98"/>
            </w:pPr>
            <w:r>
              <w:rPr>
                <w:rFonts w:ascii="Verdana" w:eastAsia="Verdana" w:hAnsi="Verdana" w:cs="Verdana"/>
                <w:color w:val="FFFFFF"/>
                <w:sz w:val="16"/>
              </w:rPr>
              <w:t xml:space="preserve">Premises </w:t>
            </w:r>
          </w:p>
          <w:p w:rsidR="00576F87" w:rsidRDefault="004165F5">
            <w:pPr>
              <w:spacing w:after="216"/>
              <w:ind w:left="137"/>
            </w:pPr>
            <w:r>
              <w:rPr>
                <w:rFonts w:ascii="Verdana" w:eastAsia="Verdana" w:hAnsi="Verdana" w:cs="Verdana"/>
                <w:color w:val="FFFFFF"/>
                <w:sz w:val="16"/>
              </w:rPr>
              <w:t xml:space="preserve">Reserve  </w:t>
            </w:r>
          </w:p>
          <w:p w:rsidR="00576F87" w:rsidRDefault="004165F5">
            <w:pPr>
              <w:spacing w:after="0"/>
              <w:ind w:right="31"/>
              <w:jc w:val="right"/>
            </w:pPr>
            <w:r>
              <w:rPr>
                <w:rFonts w:ascii="Verdana" w:eastAsia="Verdana" w:hAnsi="Verdana" w:cs="Verdana"/>
                <w:color w:val="FFFFFF"/>
                <w:sz w:val="16"/>
              </w:rPr>
              <w:t>£000</w:t>
            </w:r>
          </w:p>
        </w:tc>
        <w:tc>
          <w:tcPr>
            <w:tcW w:w="1046" w:type="dxa"/>
            <w:tcBorders>
              <w:top w:val="single" w:sz="15" w:space="0" w:color="FFFFFF"/>
              <w:left w:val="single" w:sz="15" w:space="0" w:color="FFFFFF"/>
              <w:bottom w:val="single" w:sz="8" w:space="0" w:color="FFFFFF"/>
              <w:right w:val="single" w:sz="15" w:space="0" w:color="FFFFFF"/>
            </w:tcBorders>
            <w:shd w:val="clear" w:color="auto" w:fill="009784"/>
            <w:vAlign w:val="center"/>
          </w:tcPr>
          <w:p w:rsidR="00576F87" w:rsidRDefault="004165F5">
            <w:pPr>
              <w:spacing w:after="0"/>
              <w:ind w:left="7"/>
              <w:jc w:val="center"/>
            </w:pPr>
            <w:r>
              <w:rPr>
                <w:rFonts w:ascii="Verdana" w:eastAsia="Verdana" w:hAnsi="Verdana" w:cs="Verdana"/>
                <w:b/>
                <w:color w:val="FFFFFF"/>
                <w:sz w:val="16"/>
              </w:rPr>
              <w:t xml:space="preserve">Total </w:t>
            </w:r>
          </w:p>
          <w:p w:rsidR="00576F87" w:rsidRDefault="004165F5">
            <w:pPr>
              <w:spacing w:after="1"/>
              <w:ind w:left="4"/>
              <w:jc w:val="center"/>
            </w:pPr>
            <w:r>
              <w:rPr>
                <w:rFonts w:ascii="Verdana" w:eastAsia="Verdana" w:hAnsi="Verdana" w:cs="Verdana"/>
                <w:b/>
                <w:color w:val="FFFFFF"/>
                <w:sz w:val="16"/>
              </w:rPr>
              <w:t xml:space="preserve">Usable </w:t>
            </w:r>
          </w:p>
          <w:p w:rsidR="00576F87" w:rsidRDefault="004165F5">
            <w:pPr>
              <w:spacing w:after="216"/>
              <w:ind w:left="-16"/>
            </w:pPr>
            <w:r>
              <w:rPr>
                <w:rFonts w:ascii="Verdana" w:eastAsia="Verdana" w:hAnsi="Verdana" w:cs="Verdana"/>
                <w:color w:val="FFFFFF"/>
                <w:sz w:val="16"/>
              </w:rPr>
              <w:t xml:space="preserve"> </w:t>
            </w:r>
            <w:r>
              <w:rPr>
                <w:rFonts w:ascii="Verdana" w:eastAsia="Verdana" w:hAnsi="Verdana" w:cs="Verdana"/>
                <w:b/>
                <w:color w:val="FFFFFF"/>
                <w:sz w:val="16"/>
              </w:rPr>
              <w:t>Reserves</w:t>
            </w:r>
          </w:p>
          <w:p w:rsidR="00576F87" w:rsidRDefault="004165F5">
            <w:pPr>
              <w:spacing w:after="0"/>
              <w:ind w:right="34"/>
              <w:jc w:val="right"/>
            </w:pPr>
            <w:r>
              <w:rPr>
                <w:rFonts w:ascii="Verdana" w:eastAsia="Verdana" w:hAnsi="Verdana" w:cs="Verdana"/>
                <w:b/>
                <w:color w:val="FFFFFF"/>
                <w:sz w:val="16"/>
              </w:rPr>
              <w:t>£000</w:t>
            </w:r>
          </w:p>
        </w:tc>
        <w:tc>
          <w:tcPr>
            <w:tcW w:w="1111" w:type="dxa"/>
            <w:tcBorders>
              <w:top w:val="single" w:sz="15" w:space="0" w:color="FFFFFF"/>
              <w:left w:val="single" w:sz="15" w:space="0" w:color="FFFFFF"/>
              <w:bottom w:val="single" w:sz="8" w:space="0" w:color="FFFFFF"/>
              <w:right w:val="single" w:sz="15" w:space="0" w:color="269683"/>
            </w:tcBorders>
            <w:shd w:val="clear" w:color="auto" w:fill="009784"/>
            <w:vAlign w:val="bottom"/>
          </w:tcPr>
          <w:p w:rsidR="00576F87" w:rsidRDefault="004165F5">
            <w:pPr>
              <w:spacing w:after="0"/>
              <w:ind w:left="5"/>
              <w:jc w:val="center"/>
            </w:pPr>
            <w:r>
              <w:rPr>
                <w:rFonts w:ascii="Verdana" w:eastAsia="Verdana" w:hAnsi="Verdana" w:cs="Verdana"/>
                <w:b/>
                <w:color w:val="FFFFFF"/>
                <w:sz w:val="16"/>
              </w:rPr>
              <w:t xml:space="preserve">Total </w:t>
            </w:r>
          </w:p>
          <w:p w:rsidR="00576F87" w:rsidRDefault="004165F5">
            <w:pPr>
              <w:spacing w:after="321"/>
              <w:ind w:left="144"/>
            </w:pPr>
            <w:r>
              <w:rPr>
                <w:rFonts w:ascii="Verdana" w:eastAsia="Verdana" w:hAnsi="Verdana" w:cs="Verdana"/>
                <w:b/>
                <w:color w:val="FFFFFF"/>
                <w:sz w:val="16"/>
              </w:rPr>
              <w:t xml:space="preserve">Reserves  </w:t>
            </w:r>
          </w:p>
          <w:p w:rsidR="00576F87" w:rsidRDefault="004165F5">
            <w:pPr>
              <w:spacing w:after="0"/>
              <w:ind w:right="34"/>
              <w:jc w:val="right"/>
            </w:pPr>
            <w:r>
              <w:rPr>
                <w:rFonts w:ascii="Verdana" w:eastAsia="Verdana" w:hAnsi="Verdana" w:cs="Verdana"/>
                <w:b/>
                <w:color w:val="FFFFFF"/>
                <w:sz w:val="16"/>
              </w:rPr>
              <w:t>£000</w:t>
            </w:r>
          </w:p>
        </w:tc>
      </w:tr>
      <w:tr w:rsidR="00576F87">
        <w:trPr>
          <w:trHeight w:val="420"/>
        </w:trPr>
        <w:tc>
          <w:tcPr>
            <w:tcW w:w="3475" w:type="dxa"/>
            <w:tcBorders>
              <w:top w:val="single" w:sz="15" w:space="0" w:color="009784"/>
              <w:left w:val="single" w:sz="12" w:space="0" w:color="009784"/>
              <w:bottom w:val="single" w:sz="8" w:space="0" w:color="009784"/>
              <w:right w:val="single" w:sz="8" w:space="0" w:color="009784"/>
            </w:tcBorders>
            <w:shd w:val="clear" w:color="auto" w:fill="24988A"/>
          </w:tcPr>
          <w:p w:rsidR="00576F87" w:rsidRDefault="004165F5">
            <w:pPr>
              <w:spacing w:after="0"/>
              <w:ind w:left="34"/>
            </w:pPr>
            <w:r>
              <w:rPr>
                <w:rFonts w:ascii="Verdana" w:eastAsia="Verdana" w:hAnsi="Verdana" w:cs="Verdana"/>
                <w:b/>
                <w:color w:val="FFFFFF"/>
                <w:sz w:val="16"/>
              </w:rPr>
              <w:t>Balance at 1 April 2016 brought forward</w:t>
            </w:r>
          </w:p>
        </w:tc>
        <w:tc>
          <w:tcPr>
            <w:tcW w:w="1015"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left="175"/>
            </w:pPr>
            <w:r>
              <w:rPr>
                <w:rFonts w:ascii="Verdana" w:eastAsia="Verdana" w:hAnsi="Verdana" w:cs="Verdana"/>
                <w:b/>
                <w:color w:val="FFFFFF"/>
                <w:sz w:val="16"/>
              </w:rPr>
              <w:t>(18,475)</w:t>
            </w:r>
          </w:p>
        </w:tc>
        <w:tc>
          <w:tcPr>
            <w:tcW w:w="1210"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(110)</w:t>
            </w:r>
          </w:p>
        </w:tc>
        <w:tc>
          <w:tcPr>
            <w:tcW w:w="1046"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(18,585)</w:t>
            </w:r>
          </w:p>
        </w:tc>
        <w:tc>
          <w:tcPr>
            <w:tcW w:w="934"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1,408</w:t>
            </w:r>
          </w:p>
        </w:tc>
        <w:tc>
          <w:tcPr>
            <w:tcW w:w="1032"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50</w:t>
            </w:r>
          </w:p>
        </w:tc>
        <w:tc>
          <w:tcPr>
            <w:tcW w:w="984"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20</w:t>
            </w:r>
          </w:p>
        </w:tc>
        <w:tc>
          <w:tcPr>
            <w:tcW w:w="967"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90</w:t>
            </w:r>
          </w:p>
        </w:tc>
        <w:tc>
          <w:tcPr>
            <w:tcW w:w="1159"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40</w:t>
            </w:r>
          </w:p>
        </w:tc>
        <w:tc>
          <w:tcPr>
            <w:tcW w:w="1032"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635</w:t>
            </w:r>
          </w:p>
        </w:tc>
        <w:tc>
          <w:tcPr>
            <w:tcW w:w="919" w:type="dxa"/>
            <w:tcBorders>
              <w:top w:val="single" w:sz="8" w:space="0" w:color="FFFFFF"/>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400</w:t>
            </w:r>
          </w:p>
        </w:tc>
        <w:tc>
          <w:tcPr>
            <w:tcW w:w="1046" w:type="dxa"/>
            <w:tcBorders>
              <w:top w:val="single" w:sz="8" w:space="0" w:color="FFFFFF"/>
              <w:left w:val="single" w:sz="8" w:space="0" w:color="009784"/>
              <w:bottom w:val="single" w:sz="8" w:space="0" w:color="009784"/>
              <w:right w:val="single" w:sz="8" w:space="0" w:color="269683"/>
            </w:tcBorders>
            <w:shd w:val="clear" w:color="auto" w:fill="24988A"/>
            <w:vAlign w:val="center"/>
          </w:tcPr>
          <w:p w:rsidR="00576F87" w:rsidRDefault="004165F5">
            <w:pPr>
              <w:spacing w:after="0"/>
              <w:ind w:right="35"/>
              <w:jc w:val="right"/>
            </w:pPr>
            <w:r>
              <w:rPr>
                <w:rFonts w:ascii="Verdana" w:eastAsia="Verdana" w:hAnsi="Verdana" w:cs="Verdana"/>
                <w:b/>
                <w:color w:val="FFFFFF"/>
                <w:sz w:val="16"/>
              </w:rPr>
              <w:t>2,643</w:t>
            </w:r>
          </w:p>
        </w:tc>
        <w:tc>
          <w:tcPr>
            <w:tcW w:w="1111" w:type="dxa"/>
            <w:tcBorders>
              <w:top w:val="single" w:sz="8" w:space="0" w:color="FFFFFF"/>
              <w:left w:val="single" w:sz="8" w:space="0" w:color="269683"/>
              <w:bottom w:val="single" w:sz="8" w:space="0" w:color="009784"/>
              <w:right w:val="single" w:sz="8" w:space="0" w:color="269683"/>
            </w:tcBorders>
            <w:shd w:val="clear" w:color="auto" w:fill="24988A"/>
            <w:vAlign w:val="center"/>
          </w:tcPr>
          <w:p w:rsidR="00576F87" w:rsidRDefault="004165F5">
            <w:pPr>
              <w:spacing w:after="0"/>
              <w:ind w:right="33"/>
              <w:jc w:val="right"/>
            </w:pPr>
            <w:r>
              <w:rPr>
                <w:rFonts w:ascii="Verdana" w:eastAsia="Verdana" w:hAnsi="Verdana" w:cs="Verdana"/>
                <w:b/>
                <w:color w:val="FFFFFF"/>
                <w:sz w:val="16"/>
              </w:rPr>
              <w:t>(15,942)</w:t>
            </w:r>
          </w:p>
        </w:tc>
      </w:tr>
      <w:tr w:rsidR="00576F87">
        <w:trPr>
          <w:trHeight w:val="492"/>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Movement in Reserves during 2016/17</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78"/>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 xml:space="preserve">Surplus or (deficit) on provision of services </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6,360</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6,360</w:t>
            </w:r>
          </w:p>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4"/>
              <w:jc w:val="right"/>
            </w:pPr>
            <w:r>
              <w:rPr>
                <w:rFonts w:ascii="Verdana" w:eastAsia="Verdana" w:hAnsi="Verdana" w:cs="Verdana"/>
                <w:b/>
                <w:sz w:val="16"/>
              </w:rPr>
              <w:t>6,360</w:t>
            </w:r>
          </w:p>
        </w:tc>
      </w:tr>
      <w:tr w:rsidR="00576F87">
        <w:trPr>
          <w:trHeight w:val="420"/>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Share of Tax</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78"/>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4"/>
            </w:pPr>
            <w:r>
              <w:rPr>
                <w:rFonts w:ascii="Verdana" w:eastAsia="Verdana" w:hAnsi="Verdana" w:cs="Verdana"/>
                <w:b/>
                <w:sz w:val="16"/>
              </w:rPr>
              <w:t xml:space="preserve">Net Increase before Transfers to </w:t>
            </w:r>
          </w:p>
          <w:p w:rsidR="00576F87" w:rsidRDefault="004165F5">
            <w:pPr>
              <w:spacing w:after="0"/>
              <w:ind w:left="34"/>
            </w:pPr>
            <w:r>
              <w:rPr>
                <w:rFonts w:ascii="Verdana" w:eastAsia="Verdana" w:hAnsi="Verdana" w:cs="Verdana"/>
                <w:b/>
                <w:sz w:val="16"/>
              </w:rPr>
              <w:t>Earmarked Reserves</w:t>
            </w:r>
          </w:p>
        </w:tc>
        <w:tc>
          <w:tcPr>
            <w:tcW w:w="1015" w:type="dxa"/>
            <w:tcBorders>
              <w:top w:val="single" w:sz="8" w:space="0" w:color="009784"/>
              <w:left w:val="single" w:sz="8" w:space="0" w:color="009784"/>
              <w:bottom w:val="single" w:sz="8" w:space="0" w:color="009784"/>
              <w:right w:val="single" w:sz="8" w:space="0" w:color="009784"/>
            </w:tcBorders>
          </w:tcPr>
          <w:p w:rsidR="00576F87" w:rsidRDefault="00576F87"/>
        </w:tc>
        <w:tc>
          <w:tcPr>
            <w:tcW w:w="1210"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6,360</w:t>
            </w:r>
          </w:p>
        </w:tc>
        <w:tc>
          <w:tcPr>
            <w:tcW w:w="1032" w:type="dxa"/>
            <w:tcBorders>
              <w:top w:val="single" w:sz="8" w:space="0" w:color="009784"/>
              <w:left w:val="single" w:sz="8" w:space="0" w:color="009784"/>
              <w:bottom w:val="single" w:sz="8" w:space="0" w:color="009784"/>
              <w:right w:val="single" w:sz="8" w:space="0" w:color="009784"/>
            </w:tcBorders>
          </w:tcPr>
          <w:p w:rsidR="00576F87" w:rsidRDefault="00576F87"/>
        </w:tc>
        <w:tc>
          <w:tcPr>
            <w:tcW w:w="984" w:type="dxa"/>
            <w:tcBorders>
              <w:top w:val="single" w:sz="8" w:space="0" w:color="009784"/>
              <w:left w:val="single" w:sz="8" w:space="0" w:color="009784"/>
              <w:bottom w:val="single" w:sz="8" w:space="0" w:color="009784"/>
              <w:right w:val="single" w:sz="8" w:space="0" w:color="009784"/>
            </w:tcBorders>
          </w:tcPr>
          <w:p w:rsidR="00576F87" w:rsidRDefault="00576F87"/>
        </w:tc>
        <w:tc>
          <w:tcPr>
            <w:tcW w:w="967" w:type="dxa"/>
            <w:tcBorders>
              <w:top w:val="single" w:sz="8" w:space="0" w:color="009784"/>
              <w:left w:val="single" w:sz="8" w:space="0" w:color="009784"/>
              <w:bottom w:val="single" w:sz="8" w:space="0" w:color="009784"/>
              <w:right w:val="single" w:sz="8" w:space="0" w:color="009784"/>
            </w:tcBorders>
          </w:tcPr>
          <w:p w:rsidR="00576F87" w:rsidRDefault="00576F87"/>
        </w:tc>
        <w:tc>
          <w:tcPr>
            <w:tcW w:w="1159" w:type="dxa"/>
            <w:tcBorders>
              <w:top w:val="single" w:sz="8" w:space="0" w:color="009784"/>
              <w:left w:val="single" w:sz="8" w:space="0" w:color="009784"/>
              <w:bottom w:val="single" w:sz="8" w:space="0" w:color="009784"/>
              <w:right w:val="single" w:sz="8" w:space="0" w:color="009784"/>
            </w:tcBorders>
          </w:tcPr>
          <w:p w:rsidR="00576F87" w:rsidRDefault="00576F87"/>
        </w:tc>
        <w:tc>
          <w:tcPr>
            <w:tcW w:w="1032" w:type="dxa"/>
            <w:tcBorders>
              <w:top w:val="single" w:sz="8" w:space="0" w:color="009784"/>
              <w:left w:val="single" w:sz="8" w:space="0" w:color="009784"/>
              <w:bottom w:val="single" w:sz="8" w:space="0" w:color="009784"/>
              <w:right w:val="single" w:sz="8" w:space="0" w:color="009784"/>
            </w:tcBorders>
          </w:tcPr>
          <w:p w:rsidR="00576F87" w:rsidRDefault="00576F87"/>
        </w:tc>
        <w:tc>
          <w:tcPr>
            <w:tcW w:w="919"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6,360</w:t>
            </w:r>
          </w:p>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4"/>
              <w:jc w:val="right"/>
            </w:pPr>
            <w:r>
              <w:rPr>
                <w:rFonts w:ascii="Verdana" w:eastAsia="Verdana" w:hAnsi="Verdana" w:cs="Verdana"/>
                <w:b/>
                <w:sz w:val="16"/>
              </w:rPr>
              <w:t>6,360</w:t>
            </w:r>
          </w:p>
        </w:tc>
      </w:tr>
      <w:tr w:rsidR="00576F87">
        <w:trPr>
          <w:trHeight w:val="492"/>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Transfers to/from Earmarked Reserves</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224</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(37)</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(187)</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w:t>
            </w:r>
          </w:p>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20"/>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 xml:space="preserve">Remeasurements of the Net Defined </w:t>
            </w:r>
          </w:p>
          <w:p w:rsidR="00576F87" w:rsidRDefault="004165F5">
            <w:pPr>
              <w:spacing w:after="0"/>
              <w:ind w:left="31"/>
            </w:pPr>
            <w:r>
              <w:rPr>
                <w:rFonts w:ascii="Verdana" w:eastAsia="Verdana" w:hAnsi="Verdana" w:cs="Verdana"/>
                <w:sz w:val="16"/>
              </w:rPr>
              <w:t>Benefit Liability</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(5,556)</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(5,556)</w:t>
            </w:r>
          </w:p>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3"/>
              <w:jc w:val="right"/>
            </w:pPr>
            <w:r>
              <w:rPr>
                <w:rFonts w:ascii="Verdana" w:eastAsia="Verdana" w:hAnsi="Verdana" w:cs="Verdana"/>
                <w:b/>
                <w:sz w:val="16"/>
              </w:rPr>
              <w:t>(5,556)</w:t>
            </w:r>
          </w:p>
        </w:tc>
      </w:tr>
      <w:tr w:rsidR="00576F87">
        <w:trPr>
          <w:trHeight w:val="420"/>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Movement in year</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9"/>
              <w:jc w:val="right"/>
            </w:pPr>
            <w:r>
              <w:t>6,149</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6,149</w:t>
            </w:r>
          </w:p>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(6,149)</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(6,149)</w:t>
            </w:r>
          </w:p>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20"/>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1"/>
            </w:pPr>
            <w:r>
              <w:rPr>
                <w:rFonts w:ascii="Verdana" w:eastAsia="Verdana" w:hAnsi="Verdana" w:cs="Verdana"/>
                <w:sz w:val="16"/>
              </w:rPr>
              <w:t>Tax on actuarial gain loss</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tcPr>
          <w:p w:rsidR="00576F87" w:rsidRDefault="00576F87"/>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63"/>
        </w:trPr>
        <w:tc>
          <w:tcPr>
            <w:tcW w:w="3475" w:type="dxa"/>
            <w:tcBorders>
              <w:top w:val="single" w:sz="8" w:space="0" w:color="009784"/>
              <w:left w:val="single" w:sz="12" w:space="0" w:color="009784"/>
              <w:bottom w:val="single" w:sz="8" w:space="0" w:color="009784"/>
              <w:right w:val="single" w:sz="8" w:space="0" w:color="009784"/>
            </w:tcBorders>
          </w:tcPr>
          <w:p w:rsidR="00576F87" w:rsidRDefault="004165F5">
            <w:pPr>
              <w:spacing w:after="0"/>
              <w:ind w:left="31"/>
            </w:pPr>
            <w:r>
              <w:rPr>
                <w:rFonts w:ascii="Verdana" w:eastAsia="Verdana" w:hAnsi="Verdana" w:cs="Verdana"/>
                <w:sz w:val="16"/>
              </w:rPr>
              <w:t>Accumulated Compensating Absences provision</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107</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107</w:t>
            </w:r>
          </w:p>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(107)</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15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919"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(107)</w:t>
            </w:r>
          </w:p>
        </w:tc>
        <w:tc>
          <w:tcPr>
            <w:tcW w:w="1111"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20"/>
        </w:trPr>
        <w:tc>
          <w:tcPr>
            <w:tcW w:w="3475" w:type="dxa"/>
            <w:tcBorders>
              <w:top w:val="single" w:sz="8" w:space="0" w:color="009784"/>
              <w:left w:val="single" w:sz="12" w:space="0" w:color="009784"/>
              <w:bottom w:val="single" w:sz="8" w:space="0" w:color="009784"/>
              <w:right w:val="single" w:sz="8" w:space="0" w:color="009784"/>
            </w:tcBorders>
            <w:vAlign w:val="bottom"/>
          </w:tcPr>
          <w:p w:rsidR="00576F87" w:rsidRDefault="004165F5">
            <w:pPr>
              <w:spacing w:after="0"/>
              <w:ind w:left="34"/>
            </w:pPr>
            <w:r>
              <w:rPr>
                <w:rFonts w:ascii="Verdana" w:eastAsia="Verdana" w:hAnsi="Verdana" w:cs="Verdana"/>
                <w:b/>
                <w:sz w:val="16"/>
              </w:rPr>
              <w:t>Increase/(Decrease) in Year</w:t>
            </w:r>
          </w:p>
        </w:tc>
        <w:tc>
          <w:tcPr>
            <w:tcW w:w="101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593</w:t>
            </w:r>
          </w:p>
        </w:tc>
        <w:tc>
          <w:tcPr>
            <w:tcW w:w="121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107</w:t>
            </w:r>
          </w:p>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700</w:t>
            </w:r>
          </w:p>
        </w:tc>
        <w:tc>
          <w:tcPr>
            <w:tcW w:w="93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b/>
                <w:sz w:val="16"/>
              </w:rPr>
              <w:t>328</w:t>
            </w:r>
          </w:p>
        </w:tc>
        <w:tc>
          <w:tcPr>
            <w:tcW w:w="1032" w:type="dxa"/>
            <w:tcBorders>
              <w:top w:val="single" w:sz="8" w:space="0" w:color="009784"/>
              <w:left w:val="single" w:sz="8" w:space="0" w:color="009784"/>
              <w:bottom w:val="single" w:sz="8" w:space="0" w:color="009784"/>
              <w:right w:val="single" w:sz="8" w:space="0" w:color="009784"/>
            </w:tcBorders>
          </w:tcPr>
          <w:p w:rsidR="00576F87" w:rsidRDefault="00576F87"/>
        </w:tc>
        <w:tc>
          <w:tcPr>
            <w:tcW w:w="984" w:type="dxa"/>
            <w:tcBorders>
              <w:top w:val="single" w:sz="8" w:space="0" w:color="009784"/>
              <w:left w:val="single" w:sz="8" w:space="0" w:color="009784"/>
              <w:bottom w:val="single" w:sz="8" w:space="0" w:color="009784"/>
              <w:right w:val="single" w:sz="8" w:space="0" w:color="009784"/>
            </w:tcBorders>
          </w:tcPr>
          <w:p w:rsidR="00576F87" w:rsidRDefault="00576F87"/>
        </w:tc>
        <w:tc>
          <w:tcPr>
            <w:tcW w:w="967"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(37)</w:t>
            </w:r>
          </w:p>
        </w:tc>
        <w:tc>
          <w:tcPr>
            <w:tcW w:w="1159" w:type="dxa"/>
            <w:tcBorders>
              <w:top w:val="single" w:sz="8" w:space="0" w:color="009784"/>
              <w:left w:val="single" w:sz="8" w:space="0" w:color="009784"/>
              <w:bottom w:val="single" w:sz="8" w:space="0" w:color="009784"/>
              <w:right w:val="single" w:sz="8" w:space="0" w:color="009784"/>
            </w:tcBorders>
          </w:tcPr>
          <w:p w:rsidR="00576F87" w:rsidRDefault="00576F87"/>
        </w:tc>
        <w:tc>
          <w:tcPr>
            <w:tcW w:w="103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b/>
                <w:sz w:val="16"/>
              </w:rPr>
              <w:t>(187)</w:t>
            </w:r>
          </w:p>
        </w:tc>
        <w:tc>
          <w:tcPr>
            <w:tcW w:w="919" w:type="dxa"/>
            <w:tcBorders>
              <w:top w:val="single" w:sz="8" w:space="0" w:color="009784"/>
              <w:left w:val="single" w:sz="8" w:space="0" w:color="009784"/>
              <w:bottom w:val="single" w:sz="8" w:space="0" w:color="009784"/>
              <w:right w:val="single" w:sz="8" w:space="0" w:color="009784"/>
            </w:tcBorders>
          </w:tcPr>
          <w:p w:rsidR="00576F87" w:rsidRDefault="00576F87"/>
        </w:tc>
        <w:tc>
          <w:tcPr>
            <w:tcW w:w="1046"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5"/>
              <w:jc w:val="right"/>
            </w:pPr>
            <w:r>
              <w:rPr>
                <w:rFonts w:ascii="Verdana" w:eastAsia="Verdana" w:hAnsi="Verdana" w:cs="Verdana"/>
                <w:b/>
                <w:sz w:val="16"/>
              </w:rPr>
              <w:t>103</w:t>
            </w:r>
          </w:p>
        </w:tc>
        <w:tc>
          <w:tcPr>
            <w:tcW w:w="1111"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5"/>
              <w:jc w:val="right"/>
            </w:pPr>
            <w:r>
              <w:rPr>
                <w:rFonts w:ascii="Verdana" w:eastAsia="Verdana" w:hAnsi="Verdana" w:cs="Verdana"/>
                <w:b/>
                <w:sz w:val="16"/>
              </w:rPr>
              <w:t>804</w:t>
            </w:r>
          </w:p>
        </w:tc>
      </w:tr>
      <w:tr w:rsidR="00576F87">
        <w:trPr>
          <w:trHeight w:val="552"/>
        </w:trPr>
        <w:tc>
          <w:tcPr>
            <w:tcW w:w="3475" w:type="dxa"/>
            <w:tcBorders>
              <w:top w:val="single" w:sz="8" w:space="0" w:color="009784"/>
              <w:left w:val="single" w:sz="12" w:space="0" w:color="009784"/>
              <w:bottom w:val="single" w:sz="15" w:space="0" w:color="009784"/>
              <w:right w:val="single" w:sz="8" w:space="0" w:color="009784"/>
            </w:tcBorders>
            <w:shd w:val="clear" w:color="auto" w:fill="24988A"/>
          </w:tcPr>
          <w:p w:rsidR="00576F87" w:rsidRDefault="004165F5">
            <w:pPr>
              <w:spacing w:after="0"/>
              <w:ind w:left="34"/>
            </w:pPr>
            <w:r>
              <w:rPr>
                <w:rFonts w:ascii="Verdana" w:eastAsia="Verdana" w:hAnsi="Verdana" w:cs="Verdana"/>
                <w:b/>
                <w:color w:val="FFFFFF"/>
                <w:sz w:val="16"/>
              </w:rPr>
              <w:t>Balance at 31 March 2017 carried forward</w:t>
            </w:r>
          </w:p>
        </w:tc>
        <w:tc>
          <w:tcPr>
            <w:tcW w:w="1015"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left="175"/>
            </w:pPr>
            <w:r>
              <w:rPr>
                <w:rFonts w:ascii="Verdana" w:eastAsia="Verdana" w:hAnsi="Verdana" w:cs="Verdana"/>
                <w:b/>
                <w:color w:val="FFFFFF"/>
                <w:sz w:val="16"/>
              </w:rPr>
              <w:t>(17,882)</w:t>
            </w:r>
          </w:p>
        </w:tc>
        <w:tc>
          <w:tcPr>
            <w:tcW w:w="1210"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3"/>
              <w:jc w:val="right"/>
            </w:pPr>
            <w:r>
              <w:rPr>
                <w:rFonts w:ascii="Verdana" w:eastAsia="Verdana" w:hAnsi="Verdana" w:cs="Verdana"/>
                <w:b/>
                <w:color w:val="FFFFFF"/>
                <w:sz w:val="16"/>
              </w:rPr>
              <w:t>(3)</w:t>
            </w:r>
          </w:p>
        </w:tc>
        <w:tc>
          <w:tcPr>
            <w:tcW w:w="1046"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3"/>
              <w:jc w:val="right"/>
            </w:pPr>
            <w:r>
              <w:rPr>
                <w:rFonts w:ascii="Verdana" w:eastAsia="Verdana" w:hAnsi="Verdana" w:cs="Verdana"/>
                <w:b/>
                <w:color w:val="FFFFFF"/>
                <w:sz w:val="16"/>
              </w:rPr>
              <w:t>(17,885)</w:t>
            </w:r>
          </w:p>
        </w:tc>
        <w:tc>
          <w:tcPr>
            <w:tcW w:w="934"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1,736</w:t>
            </w:r>
          </w:p>
        </w:tc>
        <w:tc>
          <w:tcPr>
            <w:tcW w:w="1032"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50</w:t>
            </w:r>
          </w:p>
        </w:tc>
        <w:tc>
          <w:tcPr>
            <w:tcW w:w="984"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20</w:t>
            </w:r>
          </w:p>
        </w:tc>
        <w:tc>
          <w:tcPr>
            <w:tcW w:w="967"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53</w:t>
            </w:r>
          </w:p>
        </w:tc>
        <w:tc>
          <w:tcPr>
            <w:tcW w:w="1159"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40</w:t>
            </w:r>
          </w:p>
        </w:tc>
        <w:tc>
          <w:tcPr>
            <w:tcW w:w="1032"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448</w:t>
            </w:r>
          </w:p>
        </w:tc>
        <w:tc>
          <w:tcPr>
            <w:tcW w:w="919"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400</w:t>
            </w:r>
          </w:p>
        </w:tc>
        <w:tc>
          <w:tcPr>
            <w:tcW w:w="1046" w:type="dxa"/>
            <w:tcBorders>
              <w:top w:val="single" w:sz="8" w:space="0" w:color="009784"/>
              <w:left w:val="single" w:sz="8" w:space="0" w:color="009784"/>
              <w:bottom w:val="single" w:sz="15" w:space="0" w:color="009784"/>
              <w:right w:val="single" w:sz="8" w:space="0" w:color="009784"/>
            </w:tcBorders>
            <w:shd w:val="clear" w:color="auto" w:fill="24988A"/>
            <w:vAlign w:val="bottom"/>
          </w:tcPr>
          <w:p w:rsidR="00576F87" w:rsidRDefault="004165F5">
            <w:pPr>
              <w:spacing w:after="0"/>
              <w:ind w:right="35"/>
              <w:jc w:val="right"/>
            </w:pPr>
            <w:r>
              <w:rPr>
                <w:rFonts w:ascii="Verdana" w:eastAsia="Verdana" w:hAnsi="Verdana" w:cs="Verdana"/>
                <w:b/>
                <w:color w:val="FFFFFF"/>
                <w:sz w:val="16"/>
              </w:rPr>
              <w:t>2,747</w:t>
            </w:r>
          </w:p>
        </w:tc>
        <w:tc>
          <w:tcPr>
            <w:tcW w:w="1111" w:type="dxa"/>
            <w:tcBorders>
              <w:top w:val="single" w:sz="8" w:space="0" w:color="009784"/>
              <w:left w:val="single" w:sz="8" w:space="0" w:color="009784"/>
              <w:bottom w:val="single" w:sz="15" w:space="0" w:color="009784"/>
              <w:right w:val="single" w:sz="15" w:space="0" w:color="009784"/>
            </w:tcBorders>
            <w:shd w:val="clear" w:color="auto" w:fill="24988A"/>
            <w:vAlign w:val="bottom"/>
          </w:tcPr>
          <w:p w:rsidR="00576F87" w:rsidRDefault="004165F5">
            <w:pPr>
              <w:spacing w:after="0"/>
              <w:ind w:right="33"/>
              <w:jc w:val="right"/>
            </w:pPr>
            <w:r>
              <w:rPr>
                <w:rFonts w:ascii="Verdana" w:eastAsia="Verdana" w:hAnsi="Verdana" w:cs="Verdana"/>
                <w:b/>
                <w:color w:val="FFFFFF"/>
                <w:sz w:val="16"/>
              </w:rPr>
              <w:t>(15,138)</w:t>
            </w:r>
          </w:p>
        </w:tc>
      </w:tr>
    </w:tbl>
    <w:p w:rsidR="00576F87" w:rsidRDefault="00576F87">
      <w:pPr>
        <w:sectPr w:rsidR="00576F87">
          <w:headerReference w:type="even" r:id="rId108"/>
          <w:headerReference w:type="default" r:id="rId109"/>
          <w:footerReference w:type="even" r:id="rId110"/>
          <w:footerReference w:type="default" r:id="rId111"/>
          <w:headerReference w:type="first" r:id="rId112"/>
          <w:footerReference w:type="first" r:id="rId113"/>
          <w:pgSz w:w="16840" w:h="11900" w:orient="landscape"/>
          <w:pgMar w:top="1779" w:right="511" w:bottom="1369" w:left="415" w:header="1153" w:footer="490" w:gutter="0"/>
          <w:cols w:space="720"/>
        </w:sectPr>
      </w:pPr>
    </w:p>
    <w:p w:rsidR="00576F87" w:rsidRDefault="004165F5">
      <w:pPr>
        <w:pStyle w:val="Heading2"/>
        <w:spacing w:after="260"/>
        <w:ind w:left="586"/>
      </w:pPr>
      <w:r>
        <w:rPr>
          <w:b/>
          <w:color w:val="3F977F"/>
        </w:rPr>
        <w:t>LPFA Accounts 31 March 2018</w:t>
      </w:r>
    </w:p>
    <w:p w:rsidR="00576F87" w:rsidRDefault="004165F5">
      <w:pPr>
        <w:spacing w:after="41"/>
        <w:ind w:left="572" w:hanging="10"/>
      </w:pPr>
      <w:r>
        <w:rPr>
          <w:rFonts w:ascii="Verdana" w:eastAsia="Verdana" w:hAnsi="Verdana" w:cs="Verdana"/>
        </w:rPr>
        <w:t>Group Operational Account, Comprehensive Income &amp; Expenditure Statement               for the year ended to 31 March 2018</w:t>
      </w:r>
    </w:p>
    <w:tbl>
      <w:tblPr>
        <w:tblStyle w:val="TableGrid"/>
        <w:tblW w:w="9760" w:type="dxa"/>
        <w:tblInd w:w="519" w:type="dxa"/>
        <w:tblCellMar>
          <w:top w:w="40" w:type="dxa"/>
          <w:left w:w="38" w:type="dxa"/>
          <w:bottom w:w="35" w:type="dxa"/>
          <w:right w:w="0" w:type="dxa"/>
        </w:tblCellMar>
        <w:tblLook w:val="04A0" w:firstRow="1" w:lastRow="0" w:firstColumn="1" w:lastColumn="0" w:noHBand="0" w:noVBand="1"/>
      </w:tblPr>
      <w:tblGrid>
        <w:gridCol w:w="1269"/>
        <w:gridCol w:w="1258"/>
        <w:gridCol w:w="4205"/>
        <w:gridCol w:w="773"/>
        <w:gridCol w:w="1111"/>
        <w:gridCol w:w="1145"/>
      </w:tblGrid>
      <w:tr w:rsidR="00576F87">
        <w:trPr>
          <w:trHeight w:val="612"/>
        </w:trPr>
        <w:tc>
          <w:tcPr>
            <w:tcW w:w="1269" w:type="dxa"/>
            <w:tcBorders>
              <w:top w:val="single" w:sz="15" w:space="0" w:color="269683"/>
              <w:left w:val="single" w:sz="12" w:space="0" w:color="269683"/>
              <w:bottom w:val="single" w:sz="8" w:space="0" w:color="269683"/>
              <w:right w:val="single" w:sz="8" w:space="0" w:color="269683"/>
            </w:tcBorders>
            <w:shd w:val="clear" w:color="auto" w:fill="24988A"/>
          </w:tcPr>
          <w:p w:rsidR="00576F87" w:rsidRDefault="004165F5">
            <w:pPr>
              <w:spacing w:after="3"/>
              <w:ind w:right="37"/>
              <w:jc w:val="right"/>
            </w:pPr>
            <w:r>
              <w:rPr>
                <w:rFonts w:ascii="Verdana" w:eastAsia="Verdana" w:hAnsi="Verdana" w:cs="Verdana"/>
                <w:b/>
                <w:color w:val="FFFFFF"/>
                <w:sz w:val="18"/>
              </w:rPr>
              <w:t xml:space="preserve">31 March </w:t>
            </w:r>
          </w:p>
          <w:p w:rsidR="00576F87" w:rsidRDefault="004165F5">
            <w:pPr>
              <w:spacing w:after="0"/>
              <w:ind w:right="38"/>
              <w:jc w:val="right"/>
            </w:pPr>
            <w:r>
              <w:rPr>
                <w:rFonts w:ascii="Verdana" w:eastAsia="Verdana" w:hAnsi="Verdana" w:cs="Verdana"/>
                <w:b/>
                <w:color w:val="FFFFFF"/>
                <w:sz w:val="18"/>
              </w:rPr>
              <w:t>2017</w:t>
            </w:r>
          </w:p>
        </w:tc>
        <w:tc>
          <w:tcPr>
            <w:tcW w:w="1258" w:type="dxa"/>
            <w:tcBorders>
              <w:top w:val="single" w:sz="15" w:space="0" w:color="269683"/>
              <w:left w:val="single" w:sz="8" w:space="0" w:color="269683"/>
              <w:bottom w:val="single" w:sz="8" w:space="0" w:color="269683"/>
              <w:right w:val="single" w:sz="8" w:space="0" w:color="269683"/>
            </w:tcBorders>
            <w:shd w:val="clear" w:color="auto" w:fill="24988A"/>
          </w:tcPr>
          <w:p w:rsidR="00576F87" w:rsidRDefault="004165F5">
            <w:pPr>
              <w:spacing w:after="3"/>
              <w:ind w:right="37"/>
              <w:jc w:val="right"/>
            </w:pPr>
            <w:r>
              <w:rPr>
                <w:rFonts w:ascii="Verdana" w:eastAsia="Verdana" w:hAnsi="Verdana" w:cs="Verdana"/>
                <w:b/>
                <w:color w:val="FFFFFF"/>
                <w:sz w:val="18"/>
              </w:rPr>
              <w:t xml:space="preserve">31 March </w:t>
            </w:r>
          </w:p>
          <w:p w:rsidR="00576F87" w:rsidRDefault="004165F5">
            <w:pPr>
              <w:spacing w:after="0"/>
              <w:ind w:right="38"/>
              <w:jc w:val="right"/>
            </w:pPr>
            <w:r>
              <w:rPr>
                <w:rFonts w:ascii="Verdana" w:eastAsia="Verdana" w:hAnsi="Verdana" w:cs="Verdana"/>
                <w:b/>
                <w:color w:val="FFFFFF"/>
                <w:sz w:val="18"/>
              </w:rPr>
              <w:t>2017</w:t>
            </w:r>
          </w:p>
        </w:tc>
        <w:tc>
          <w:tcPr>
            <w:tcW w:w="4205" w:type="dxa"/>
            <w:tcBorders>
              <w:top w:val="single" w:sz="15" w:space="0" w:color="269683"/>
              <w:left w:val="single" w:sz="8" w:space="0" w:color="269683"/>
              <w:bottom w:val="single" w:sz="8" w:space="0" w:color="269683"/>
              <w:right w:val="single" w:sz="8" w:space="0" w:color="269683"/>
            </w:tcBorders>
            <w:shd w:val="clear" w:color="auto" w:fill="24988A"/>
          </w:tcPr>
          <w:p w:rsidR="00576F87" w:rsidRDefault="00576F87"/>
        </w:tc>
        <w:tc>
          <w:tcPr>
            <w:tcW w:w="773" w:type="dxa"/>
            <w:tcBorders>
              <w:top w:val="single" w:sz="15" w:space="0" w:color="269683"/>
              <w:left w:val="single" w:sz="8" w:space="0" w:color="269683"/>
              <w:bottom w:val="single" w:sz="8" w:space="0" w:color="269683"/>
              <w:right w:val="single" w:sz="8" w:space="0" w:color="269683"/>
            </w:tcBorders>
            <w:shd w:val="clear" w:color="auto" w:fill="24988A"/>
            <w:vAlign w:val="bottom"/>
          </w:tcPr>
          <w:p w:rsidR="00576F87" w:rsidRDefault="004165F5">
            <w:pPr>
              <w:spacing w:after="0"/>
              <w:ind w:left="110"/>
            </w:pPr>
            <w:r>
              <w:rPr>
                <w:rFonts w:ascii="Verdana" w:eastAsia="Verdana" w:hAnsi="Verdana" w:cs="Verdana"/>
                <w:b/>
                <w:color w:val="FFFFFF"/>
                <w:sz w:val="18"/>
              </w:rPr>
              <w:t>Notes</w:t>
            </w:r>
          </w:p>
        </w:tc>
        <w:tc>
          <w:tcPr>
            <w:tcW w:w="1111" w:type="dxa"/>
            <w:tcBorders>
              <w:top w:val="single" w:sz="15" w:space="0" w:color="269683"/>
              <w:left w:val="single" w:sz="8" w:space="0" w:color="269683"/>
              <w:bottom w:val="single" w:sz="8" w:space="0" w:color="269683"/>
              <w:right w:val="single" w:sz="8" w:space="0" w:color="269683"/>
            </w:tcBorders>
            <w:shd w:val="clear" w:color="auto" w:fill="24988A"/>
          </w:tcPr>
          <w:p w:rsidR="00576F87" w:rsidRDefault="004165F5">
            <w:pPr>
              <w:spacing w:after="3"/>
              <w:ind w:left="106"/>
            </w:pPr>
            <w:r>
              <w:rPr>
                <w:rFonts w:ascii="Verdana" w:eastAsia="Verdana" w:hAnsi="Verdana" w:cs="Verdana"/>
                <w:b/>
                <w:color w:val="FFFFFF"/>
                <w:sz w:val="18"/>
              </w:rPr>
              <w:t xml:space="preserve">31 March </w:t>
            </w:r>
          </w:p>
          <w:p w:rsidR="00576F87" w:rsidRDefault="004165F5">
            <w:pPr>
              <w:spacing w:after="0"/>
              <w:ind w:right="38"/>
              <w:jc w:val="right"/>
            </w:pPr>
            <w:r>
              <w:rPr>
                <w:rFonts w:ascii="Verdana" w:eastAsia="Verdana" w:hAnsi="Verdana" w:cs="Verdana"/>
                <w:b/>
                <w:color w:val="FFFFFF"/>
                <w:sz w:val="18"/>
              </w:rPr>
              <w:t>2018</w:t>
            </w:r>
          </w:p>
        </w:tc>
        <w:tc>
          <w:tcPr>
            <w:tcW w:w="1145" w:type="dxa"/>
            <w:tcBorders>
              <w:top w:val="single" w:sz="15" w:space="0" w:color="269683"/>
              <w:left w:val="single" w:sz="8" w:space="0" w:color="269683"/>
              <w:bottom w:val="single" w:sz="8" w:space="0" w:color="269683"/>
              <w:right w:val="single" w:sz="15" w:space="0" w:color="269683"/>
            </w:tcBorders>
            <w:shd w:val="clear" w:color="auto" w:fill="24988A"/>
          </w:tcPr>
          <w:p w:rsidR="00576F87" w:rsidRDefault="004165F5">
            <w:pPr>
              <w:spacing w:after="0"/>
              <w:ind w:right="37"/>
              <w:jc w:val="right"/>
            </w:pPr>
            <w:r>
              <w:rPr>
                <w:rFonts w:ascii="Verdana" w:eastAsia="Verdana" w:hAnsi="Verdana" w:cs="Verdana"/>
                <w:b/>
                <w:color w:val="FFFFFF"/>
                <w:sz w:val="18"/>
              </w:rPr>
              <w:t>31 March 2018</w:t>
            </w:r>
          </w:p>
        </w:tc>
      </w:tr>
      <w:tr w:rsidR="00576F87">
        <w:trPr>
          <w:trHeight w:val="336"/>
        </w:trPr>
        <w:tc>
          <w:tcPr>
            <w:tcW w:w="1269" w:type="dxa"/>
            <w:tcBorders>
              <w:top w:val="single" w:sz="8" w:space="0" w:color="269683"/>
              <w:left w:val="single" w:sz="12" w:space="0" w:color="269683"/>
              <w:bottom w:val="single" w:sz="8" w:space="0" w:color="269683"/>
              <w:right w:val="single" w:sz="8" w:space="0" w:color="269683"/>
            </w:tcBorders>
            <w:shd w:val="clear" w:color="auto" w:fill="24988A"/>
          </w:tcPr>
          <w:p w:rsidR="00576F87" w:rsidRDefault="004165F5">
            <w:pPr>
              <w:spacing w:after="0"/>
              <w:ind w:right="39"/>
              <w:jc w:val="right"/>
            </w:pPr>
            <w:r>
              <w:rPr>
                <w:rFonts w:ascii="Verdana" w:eastAsia="Verdana" w:hAnsi="Verdana" w:cs="Verdana"/>
                <w:b/>
                <w:color w:val="FFFFFF"/>
                <w:sz w:val="18"/>
              </w:rPr>
              <w:t>Entity</w:t>
            </w:r>
          </w:p>
        </w:tc>
        <w:tc>
          <w:tcPr>
            <w:tcW w:w="1258" w:type="dxa"/>
            <w:tcBorders>
              <w:top w:val="single" w:sz="8" w:space="0" w:color="269683"/>
              <w:left w:val="single" w:sz="8" w:space="0" w:color="269683"/>
              <w:bottom w:val="single" w:sz="8" w:space="0" w:color="269683"/>
              <w:right w:val="single" w:sz="8" w:space="0" w:color="269683"/>
            </w:tcBorders>
            <w:shd w:val="clear" w:color="auto" w:fill="24988A"/>
          </w:tcPr>
          <w:p w:rsidR="00576F87" w:rsidRDefault="004165F5">
            <w:pPr>
              <w:spacing w:after="0"/>
              <w:ind w:right="37"/>
              <w:jc w:val="right"/>
            </w:pPr>
            <w:r>
              <w:rPr>
                <w:rFonts w:ascii="Verdana" w:eastAsia="Verdana" w:hAnsi="Verdana" w:cs="Verdana"/>
                <w:b/>
                <w:color w:val="FFFFFF"/>
                <w:sz w:val="18"/>
              </w:rPr>
              <w:t>Group</w:t>
            </w:r>
          </w:p>
        </w:tc>
        <w:tc>
          <w:tcPr>
            <w:tcW w:w="4205" w:type="dxa"/>
            <w:tcBorders>
              <w:top w:val="single" w:sz="8" w:space="0" w:color="269683"/>
              <w:left w:val="single" w:sz="8" w:space="0" w:color="269683"/>
              <w:bottom w:val="single" w:sz="8" w:space="0" w:color="269683"/>
              <w:right w:val="single" w:sz="8" w:space="0" w:color="269683"/>
            </w:tcBorders>
            <w:shd w:val="clear" w:color="auto" w:fill="24988A"/>
          </w:tcPr>
          <w:p w:rsidR="00576F87" w:rsidRDefault="00576F87"/>
        </w:tc>
        <w:tc>
          <w:tcPr>
            <w:tcW w:w="773" w:type="dxa"/>
            <w:tcBorders>
              <w:top w:val="single" w:sz="8" w:space="0" w:color="269683"/>
              <w:left w:val="single" w:sz="8" w:space="0" w:color="269683"/>
              <w:bottom w:val="single" w:sz="8" w:space="0" w:color="269683"/>
              <w:right w:val="single" w:sz="8" w:space="0" w:color="269683"/>
            </w:tcBorders>
            <w:shd w:val="clear" w:color="auto" w:fill="24988A"/>
          </w:tcPr>
          <w:p w:rsidR="00576F87" w:rsidRDefault="00576F87"/>
        </w:tc>
        <w:tc>
          <w:tcPr>
            <w:tcW w:w="1111" w:type="dxa"/>
            <w:tcBorders>
              <w:top w:val="single" w:sz="8" w:space="0" w:color="269683"/>
              <w:left w:val="single" w:sz="8" w:space="0" w:color="269683"/>
              <w:bottom w:val="single" w:sz="8" w:space="0" w:color="269683"/>
              <w:right w:val="single" w:sz="8" w:space="0" w:color="269683"/>
            </w:tcBorders>
            <w:shd w:val="clear" w:color="auto" w:fill="24988A"/>
          </w:tcPr>
          <w:p w:rsidR="00576F87" w:rsidRDefault="004165F5">
            <w:pPr>
              <w:spacing w:after="0"/>
              <w:ind w:right="39"/>
              <w:jc w:val="right"/>
            </w:pPr>
            <w:r>
              <w:rPr>
                <w:rFonts w:ascii="Verdana" w:eastAsia="Verdana" w:hAnsi="Verdana" w:cs="Verdana"/>
                <w:b/>
                <w:color w:val="FFFFFF"/>
                <w:sz w:val="18"/>
              </w:rPr>
              <w:t>Entity</w:t>
            </w:r>
          </w:p>
        </w:tc>
        <w:tc>
          <w:tcPr>
            <w:tcW w:w="1145" w:type="dxa"/>
            <w:tcBorders>
              <w:top w:val="single" w:sz="8" w:space="0" w:color="269683"/>
              <w:left w:val="single" w:sz="8" w:space="0" w:color="269683"/>
              <w:bottom w:val="single" w:sz="8" w:space="0" w:color="269683"/>
              <w:right w:val="single" w:sz="15" w:space="0" w:color="269683"/>
            </w:tcBorders>
            <w:shd w:val="clear" w:color="auto" w:fill="24988A"/>
          </w:tcPr>
          <w:p w:rsidR="00576F87" w:rsidRDefault="004165F5">
            <w:pPr>
              <w:spacing w:after="0"/>
              <w:ind w:right="37"/>
              <w:jc w:val="right"/>
            </w:pPr>
            <w:r>
              <w:rPr>
                <w:rFonts w:ascii="Verdana" w:eastAsia="Verdana" w:hAnsi="Verdana" w:cs="Verdana"/>
                <w:b/>
                <w:color w:val="FFFFFF"/>
                <w:sz w:val="18"/>
              </w:rPr>
              <w:t>Group</w:t>
            </w:r>
          </w:p>
        </w:tc>
      </w:tr>
      <w:tr w:rsidR="00576F87">
        <w:trPr>
          <w:trHeight w:val="290"/>
        </w:trPr>
        <w:tc>
          <w:tcPr>
            <w:tcW w:w="1269" w:type="dxa"/>
            <w:tcBorders>
              <w:top w:val="single" w:sz="8" w:space="0" w:color="269683"/>
              <w:left w:val="single" w:sz="12" w:space="0" w:color="269683"/>
              <w:bottom w:val="single" w:sz="8" w:space="0" w:color="269683"/>
              <w:right w:val="single" w:sz="8" w:space="0" w:color="269683"/>
            </w:tcBorders>
            <w:shd w:val="clear" w:color="auto" w:fill="FFFFFF"/>
          </w:tcPr>
          <w:p w:rsidR="00576F87" w:rsidRDefault="004165F5">
            <w:pPr>
              <w:spacing w:after="0"/>
              <w:ind w:right="42"/>
              <w:jc w:val="right"/>
            </w:pPr>
            <w:r>
              <w:rPr>
                <w:rFonts w:ascii="Verdana" w:eastAsia="Verdana" w:hAnsi="Verdana" w:cs="Verdana"/>
                <w:b/>
                <w:sz w:val="18"/>
              </w:rPr>
              <w:t>£'000</w:t>
            </w:r>
          </w:p>
        </w:tc>
        <w:tc>
          <w:tcPr>
            <w:tcW w:w="1258"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ind w:right="42"/>
              <w:jc w:val="right"/>
            </w:pPr>
            <w:r>
              <w:rPr>
                <w:rFonts w:ascii="Verdana" w:eastAsia="Verdana" w:hAnsi="Verdana" w:cs="Verdana"/>
                <w:b/>
                <w:sz w:val="18"/>
              </w:rPr>
              <w:t>£'000</w:t>
            </w:r>
          </w:p>
        </w:tc>
        <w:tc>
          <w:tcPr>
            <w:tcW w:w="4205"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576F87"/>
        </w:tc>
        <w:tc>
          <w:tcPr>
            <w:tcW w:w="773"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576F87"/>
        </w:tc>
        <w:tc>
          <w:tcPr>
            <w:tcW w:w="1111"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ind w:right="42"/>
              <w:jc w:val="right"/>
            </w:pPr>
            <w:r>
              <w:rPr>
                <w:rFonts w:ascii="Verdana" w:eastAsia="Verdana" w:hAnsi="Verdana" w:cs="Verdana"/>
                <w:b/>
                <w:sz w:val="18"/>
              </w:rPr>
              <w:t>£'000</w:t>
            </w:r>
          </w:p>
        </w:tc>
        <w:tc>
          <w:tcPr>
            <w:tcW w:w="1145" w:type="dxa"/>
            <w:tcBorders>
              <w:top w:val="single" w:sz="8" w:space="0" w:color="269683"/>
              <w:left w:val="single" w:sz="8" w:space="0" w:color="269683"/>
              <w:bottom w:val="single" w:sz="8" w:space="0" w:color="269683"/>
              <w:right w:val="single" w:sz="15" w:space="0" w:color="269683"/>
            </w:tcBorders>
            <w:shd w:val="clear" w:color="auto" w:fill="FFFFFF"/>
          </w:tcPr>
          <w:p w:rsidR="00576F87" w:rsidRDefault="004165F5">
            <w:pPr>
              <w:spacing w:after="0"/>
              <w:ind w:right="42"/>
              <w:jc w:val="right"/>
            </w:pPr>
            <w:r>
              <w:rPr>
                <w:rFonts w:ascii="Verdana" w:eastAsia="Verdana" w:hAnsi="Verdana" w:cs="Verdana"/>
                <w:b/>
                <w:sz w:val="18"/>
              </w:rPr>
              <w:t>£'000</w:t>
            </w:r>
          </w:p>
        </w:tc>
      </w:tr>
      <w:tr w:rsidR="00576F87">
        <w:trPr>
          <w:trHeight w:val="245"/>
        </w:trPr>
        <w:tc>
          <w:tcPr>
            <w:tcW w:w="1269" w:type="dxa"/>
            <w:tcBorders>
              <w:top w:val="single" w:sz="8" w:space="0" w:color="269683"/>
              <w:left w:val="single" w:sz="12" w:space="0" w:color="269683"/>
              <w:bottom w:val="single" w:sz="8" w:space="0" w:color="269683"/>
              <w:right w:val="single" w:sz="8" w:space="0" w:color="269683"/>
            </w:tcBorders>
            <w:shd w:val="clear" w:color="auto" w:fill="FFFFFF"/>
          </w:tcPr>
          <w:p w:rsidR="00576F87" w:rsidRDefault="00576F87"/>
        </w:tc>
        <w:tc>
          <w:tcPr>
            <w:tcW w:w="1258"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576F87"/>
        </w:tc>
        <w:tc>
          <w:tcPr>
            <w:tcW w:w="4205"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576F87"/>
        </w:tc>
        <w:tc>
          <w:tcPr>
            <w:tcW w:w="773"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576F87"/>
        </w:tc>
        <w:tc>
          <w:tcPr>
            <w:tcW w:w="1111"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576F87"/>
        </w:tc>
        <w:tc>
          <w:tcPr>
            <w:tcW w:w="1145" w:type="dxa"/>
            <w:tcBorders>
              <w:top w:val="single" w:sz="8" w:space="0" w:color="269683"/>
              <w:left w:val="single" w:sz="8" w:space="0" w:color="269683"/>
              <w:bottom w:val="single" w:sz="8" w:space="0" w:color="269683"/>
              <w:right w:val="single" w:sz="15" w:space="0" w:color="269683"/>
            </w:tcBorders>
            <w:shd w:val="clear" w:color="auto" w:fill="FFFFFF"/>
          </w:tcPr>
          <w:p w:rsidR="00576F87" w:rsidRDefault="00576F87"/>
        </w:tc>
      </w:tr>
      <w:tr w:rsidR="00576F87">
        <w:trPr>
          <w:trHeight w:val="290"/>
        </w:trPr>
        <w:tc>
          <w:tcPr>
            <w:tcW w:w="1269" w:type="dxa"/>
            <w:tcBorders>
              <w:top w:val="single" w:sz="8" w:space="0" w:color="269683"/>
              <w:left w:val="single" w:sz="12" w:space="0" w:color="269683"/>
              <w:bottom w:val="single" w:sz="8" w:space="0" w:color="269683"/>
              <w:right w:val="single" w:sz="8" w:space="0" w:color="269683"/>
            </w:tcBorders>
            <w:shd w:val="clear" w:color="auto" w:fill="FFFFFF"/>
          </w:tcPr>
          <w:p w:rsidR="00576F87" w:rsidRDefault="004165F5">
            <w:pPr>
              <w:spacing w:after="0"/>
              <w:ind w:right="39"/>
              <w:jc w:val="right"/>
            </w:pPr>
            <w:r>
              <w:rPr>
                <w:rFonts w:ascii="Verdana" w:eastAsia="Verdana" w:hAnsi="Verdana" w:cs="Verdana"/>
                <w:sz w:val="18"/>
              </w:rPr>
              <w:t>4,950</w:t>
            </w:r>
          </w:p>
        </w:tc>
        <w:tc>
          <w:tcPr>
            <w:tcW w:w="1258"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ind w:right="39"/>
              <w:jc w:val="right"/>
            </w:pPr>
            <w:r>
              <w:rPr>
                <w:rFonts w:ascii="Verdana" w:eastAsia="Verdana" w:hAnsi="Verdana" w:cs="Verdana"/>
                <w:sz w:val="18"/>
              </w:rPr>
              <w:t>4,950</w:t>
            </w:r>
          </w:p>
        </w:tc>
        <w:tc>
          <w:tcPr>
            <w:tcW w:w="4205"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pPr>
            <w:r>
              <w:rPr>
                <w:rFonts w:ascii="Verdana" w:eastAsia="Verdana" w:hAnsi="Verdana" w:cs="Verdana"/>
                <w:sz w:val="18"/>
              </w:rPr>
              <w:t>Income</w:t>
            </w:r>
          </w:p>
        </w:tc>
        <w:tc>
          <w:tcPr>
            <w:tcW w:w="773"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ind w:right="34"/>
              <w:jc w:val="center"/>
            </w:pPr>
            <w:r>
              <w:rPr>
                <w:rFonts w:ascii="Verdana" w:eastAsia="Verdana" w:hAnsi="Verdana" w:cs="Verdana"/>
                <w:sz w:val="18"/>
              </w:rPr>
              <w:t>5</w:t>
            </w:r>
          </w:p>
        </w:tc>
        <w:tc>
          <w:tcPr>
            <w:tcW w:w="1111"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ind w:right="39"/>
              <w:jc w:val="right"/>
            </w:pPr>
            <w:r>
              <w:rPr>
                <w:rFonts w:ascii="Verdana" w:eastAsia="Verdana" w:hAnsi="Verdana" w:cs="Verdana"/>
                <w:sz w:val="18"/>
              </w:rPr>
              <w:t>4,470</w:t>
            </w:r>
          </w:p>
        </w:tc>
        <w:tc>
          <w:tcPr>
            <w:tcW w:w="1145" w:type="dxa"/>
            <w:tcBorders>
              <w:top w:val="single" w:sz="8" w:space="0" w:color="269683"/>
              <w:left w:val="single" w:sz="8" w:space="0" w:color="269683"/>
              <w:bottom w:val="single" w:sz="8" w:space="0" w:color="269683"/>
              <w:right w:val="single" w:sz="15" w:space="0" w:color="269683"/>
            </w:tcBorders>
            <w:shd w:val="clear" w:color="auto" w:fill="FFFFFF"/>
          </w:tcPr>
          <w:p w:rsidR="00576F87" w:rsidRDefault="004165F5">
            <w:pPr>
              <w:spacing w:after="0"/>
              <w:ind w:right="39"/>
              <w:jc w:val="right"/>
            </w:pPr>
            <w:r>
              <w:rPr>
                <w:rFonts w:ascii="Verdana" w:eastAsia="Verdana" w:hAnsi="Verdana" w:cs="Verdana"/>
                <w:sz w:val="18"/>
              </w:rPr>
              <w:t>4,470</w:t>
            </w:r>
          </w:p>
        </w:tc>
      </w:tr>
      <w:tr w:rsidR="00576F87">
        <w:trPr>
          <w:trHeight w:val="290"/>
        </w:trPr>
        <w:tc>
          <w:tcPr>
            <w:tcW w:w="1269" w:type="dxa"/>
            <w:tcBorders>
              <w:top w:val="single" w:sz="8" w:space="0" w:color="269683"/>
              <w:left w:val="single" w:sz="12" w:space="0" w:color="269683"/>
              <w:bottom w:val="single" w:sz="8" w:space="0" w:color="269683"/>
              <w:right w:val="single" w:sz="8" w:space="0" w:color="269683"/>
            </w:tcBorders>
            <w:shd w:val="clear" w:color="auto" w:fill="FFFFFF"/>
          </w:tcPr>
          <w:p w:rsidR="00576F87" w:rsidRDefault="004165F5">
            <w:pPr>
              <w:spacing w:after="0"/>
              <w:ind w:right="39"/>
              <w:jc w:val="right"/>
            </w:pPr>
            <w:r>
              <w:rPr>
                <w:rFonts w:ascii="Verdana" w:eastAsia="Verdana" w:hAnsi="Verdana" w:cs="Verdana"/>
                <w:sz w:val="18"/>
              </w:rPr>
              <w:t>1,679</w:t>
            </w:r>
          </w:p>
        </w:tc>
        <w:tc>
          <w:tcPr>
            <w:tcW w:w="1258"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ind w:right="39"/>
              <w:jc w:val="right"/>
            </w:pPr>
            <w:r>
              <w:rPr>
                <w:rFonts w:ascii="Verdana" w:eastAsia="Verdana" w:hAnsi="Verdana" w:cs="Verdana"/>
                <w:sz w:val="18"/>
              </w:rPr>
              <w:t>1,679</w:t>
            </w:r>
          </w:p>
        </w:tc>
        <w:tc>
          <w:tcPr>
            <w:tcW w:w="4205"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pPr>
            <w:r>
              <w:rPr>
                <w:rFonts w:ascii="Verdana" w:eastAsia="Verdana" w:hAnsi="Verdana" w:cs="Verdana"/>
                <w:sz w:val="18"/>
              </w:rPr>
              <w:t>Other income</w:t>
            </w:r>
          </w:p>
        </w:tc>
        <w:tc>
          <w:tcPr>
            <w:tcW w:w="773"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ind w:right="34"/>
              <w:jc w:val="center"/>
            </w:pPr>
            <w:r>
              <w:rPr>
                <w:rFonts w:ascii="Verdana" w:eastAsia="Verdana" w:hAnsi="Verdana" w:cs="Verdana"/>
                <w:sz w:val="18"/>
              </w:rPr>
              <w:t>6</w:t>
            </w:r>
          </w:p>
        </w:tc>
        <w:tc>
          <w:tcPr>
            <w:tcW w:w="1111"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ind w:right="39"/>
              <w:jc w:val="right"/>
            </w:pPr>
            <w:r>
              <w:rPr>
                <w:rFonts w:ascii="Verdana" w:eastAsia="Verdana" w:hAnsi="Verdana" w:cs="Verdana"/>
                <w:sz w:val="18"/>
              </w:rPr>
              <w:t>492</w:t>
            </w:r>
          </w:p>
        </w:tc>
        <w:tc>
          <w:tcPr>
            <w:tcW w:w="1145" w:type="dxa"/>
            <w:tcBorders>
              <w:top w:val="single" w:sz="8" w:space="0" w:color="269683"/>
              <w:left w:val="single" w:sz="8" w:space="0" w:color="269683"/>
              <w:bottom w:val="single" w:sz="8" w:space="0" w:color="269683"/>
              <w:right w:val="single" w:sz="15" w:space="0" w:color="269683"/>
            </w:tcBorders>
            <w:shd w:val="clear" w:color="auto" w:fill="FFFFFF"/>
          </w:tcPr>
          <w:p w:rsidR="00576F87" w:rsidRDefault="004165F5">
            <w:pPr>
              <w:spacing w:after="0"/>
              <w:ind w:right="39"/>
              <w:jc w:val="right"/>
            </w:pPr>
            <w:r>
              <w:rPr>
                <w:rFonts w:ascii="Verdana" w:eastAsia="Verdana" w:hAnsi="Verdana" w:cs="Verdana"/>
                <w:sz w:val="18"/>
              </w:rPr>
              <w:t>492</w:t>
            </w:r>
          </w:p>
        </w:tc>
      </w:tr>
      <w:tr w:rsidR="00576F87">
        <w:trPr>
          <w:trHeight w:val="319"/>
        </w:trPr>
        <w:tc>
          <w:tcPr>
            <w:tcW w:w="1269" w:type="dxa"/>
            <w:tcBorders>
              <w:top w:val="single" w:sz="8" w:space="0" w:color="269683"/>
              <w:left w:val="single" w:sz="12" w:space="0" w:color="269683"/>
              <w:bottom w:val="single" w:sz="8" w:space="0" w:color="269683"/>
              <w:right w:val="single" w:sz="8" w:space="0" w:color="269683"/>
            </w:tcBorders>
            <w:shd w:val="clear" w:color="auto" w:fill="FFFFFF"/>
          </w:tcPr>
          <w:p w:rsidR="00576F87" w:rsidRDefault="004165F5">
            <w:pPr>
              <w:spacing w:after="0"/>
              <w:ind w:right="38"/>
              <w:jc w:val="right"/>
            </w:pPr>
            <w:r>
              <w:rPr>
                <w:rFonts w:ascii="Verdana" w:eastAsia="Verdana" w:hAnsi="Verdana" w:cs="Verdana"/>
                <w:sz w:val="18"/>
              </w:rPr>
              <w:t>(6,218)</w:t>
            </w:r>
          </w:p>
        </w:tc>
        <w:tc>
          <w:tcPr>
            <w:tcW w:w="1258"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ind w:right="38"/>
              <w:jc w:val="right"/>
            </w:pPr>
            <w:r>
              <w:rPr>
                <w:rFonts w:ascii="Verdana" w:eastAsia="Verdana" w:hAnsi="Verdana" w:cs="Verdana"/>
                <w:sz w:val="18"/>
              </w:rPr>
              <w:t>(6,218)</w:t>
            </w:r>
          </w:p>
        </w:tc>
        <w:tc>
          <w:tcPr>
            <w:tcW w:w="4205"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pPr>
            <w:r>
              <w:rPr>
                <w:rFonts w:ascii="Verdana" w:eastAsia="Verdana" w:hAnsi="Verdana" w:cs="Verdana"/>
                <w:sz w:val="18"/>
              </w:rPr>
              <w:t>Expenditure</w:t>
            </w:r>
          </w:p>
        </w:tc>
        <w:tc>
          <w:tcPr>
            <w:tcW w:w="773"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ind w:left="144"/>
            </w:pPr>
            <w:r>
              <w:rPr>
                <w:rFonts w:ascii="Verdana" w:eastAsia="Verdana" w:hAnsi="Verdana" w:cs="Verdana"/>
                <w:sz w:val="18"/>
              </w:rPr>
              <w:t>7-10</w:t>
            </w:r>
          </w:p>
        </w:tc>
        <w:tc>
          <w:tcPr>
            <w:tcW w:w="1111"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ind w:right="38"/>
              <w:jc w:val="right"/>
            </w:pPr>
            <w:r>
              <w:rPr>
                <w:rFonts w:ascii="Verdana" w:eastAsia="Verdana" w:hAnsi="Verdana" w:cs="Verdana"/>
                <w:sz w:val="18"/>
              </w:rPr>
              <w:t>(5,765)</w:t>
            </w:r>
          </w:p>
        </w:tc>
        <w:tc>
          <w:tcPr>
            <w:tcW w:w="1145" w:type="dxa"/>
            <w:tcBorders>
              <w:top w:val="single" w:sz="8" w:space="0" w:color="269683"/>
              <w:left w:val="single" w:sz="8" w:space="0" w:color="269683"/>
              <w:bottom w:val="single" w:sz="8" w:space="0" w:color="269683"/>
              <w:right w:val="single" w:sz="15" w:space="0" w:color="269683"/>
            </w:tcBorders>
            <w:shd w:val="clear" w:color="auto" w:fill="FFFFFF"/>
          </w:tcPr>
          <w:p w:rsidR="00576F87" w:rsidRDefault="004165F5">
            <w:pPr>
              <w:spacing w:after="0"/>
              <w:ind w:right="38"/>
              <w:jc w:val="right"/>
            </w:pPr>
            <w:r>
              <w:rPr>
                <w:rFonts w:ascii="Verdana" w:eastAsia="Verdana" w:hAnsi="Verdana" w:cs="Verdana"/>
                <w:sz w:val="18"/>
              </w:rPr>
              <w:t>(5,765)</w:t>
            </w:r>
          </w:p>
        </w:tc>
      </w:tr>
      <w:tr w:rsidR="00576F87">
        <w:trPr>
          <w:trHeight w:val="348"/>
        </w:trPr>
        <w:tc>
          <w:tcPr>
            <w:tcW w:w="1269" w:type="dxa"/>
            <w:tcBorders>
              <w:top w:val="single" w:sz="8" w:space="0" w:color="269683"/>
              <w:left w:val="single" w:sz="12" w:space="0" w:color="269683"/>
              <w:bottom w:val="single" w:sz="8" w:space="0" w:color="269683"/>
              <w:right w:val="single" w:sz="8" w:space="0" w:color="269683"/>
            </w:tcBorders>
            <w:shd w:val="clear" w:color="auto" w:fill="FFFFFF"/>
            <w:vAlign w:val="bottom"/>
          </w:tcPr>
          <w:p w:rsidR="00576F87" w:rsidRDefault="004165F5">
            <w:pPr>
              <w:spacing w:after="0"/>
              <w:ind w:right="39"/>
              <w:jc w:val="right"/>
            </w:pPr>
            <w:r>
              <w:rPr>
                <w:rFonts w:ascii="Verdana" w:eastAsia="Verdana" w:hAnsi="Verdana" w:cs="Verdana"/>
                <w:sz w:val="18"/>
              </w:rPr>
              <w:t>6,509</w:t>
            </w:r>
          </w:p>
        </w:tc>
        <w:tc>
          <w:tcPr>
            <w:tcW w:w="1258" w:type="dxa"/>
            <w:tcBorders>
              <w:top w:val="single" w:sz="8" w:space="0" w:color="269683"/>
              <w:left w:val="single" w:sz="8" w:space="0" w:color="269683"/>
              <w:bottom w:val="single" w:sz="8" w:space="0" w:color="269683"/>
              <w:right w:val="single" w:sz="8" w:space="0" w:color="269683"/>
            </w:tcBorders>
            <w:shd w:val="clear" w:color="auto" w:fill="FFFFFF"/>
            <w:vAlign w:val="bottom"/>
          </w:tcPr>
          <w:p w:rsidR="00576F87" w:rsidRDefault="004165F5">
            <w:pPr>
              <w:spacing w:after="0"/>
              <w:ind w:right="39"/>
              <w:jc w:val="right"/>
            </w:pPr>
            <w:r>
              <w:rPr>
                <w:rFonts w:ascii="Verdana" w:eastAsia="Verdana" w:hAnsi="Verdana" w:cs="Verdana"/>
                <w:sz w:val="18"/>
              </w:rPr>
              <w:t>6,509</w:t>
            </w:r>
          </w:p>
        </w:tc>
        <w:tc>
          <w:tcPr>
            <w:tcW w:w="4205" w:type="dxa"/>
            <w:tcBorders>
              <w:top w:val="single" w:sz="8" w:space="0" w:color="269683"/>
              <w:left w:val="single" w:sz="8" w:space="0" w:color="269683"/>
              <w:bottom w:val="single" w:sz="8" w:space="0" w:color="269683"/>
              <w:right w:val="single" w:sz="8" w:space="0" w:color="269683"/>
            </w:tcBorders>
            <w:shd w:val="clear" w:color="auto" w:fill="FFFFFF"/>
            <w:vAlign w:val="bottom"/>
          </w:tcPr>
          <w:p w:rsidR="00576F87" w:rsidRDefault="004165F5">
            <w:pPr>
              <w:spacing w:after="0"/>
            </w:pPr>
            <w:r>
              <w:rPr>
                <w:rFonts w:ascii="Verdana" w:eastAsia="Verdana" w:hAnsi="Verdana" w:cs="Verdana"/>
                <w:sz w:val="18"/>
              </w:rPr>
              <w:t>Exceptional Item - IAS19 adjustment</w:t>
            </w:r>
          </w:p>
        </w:tc>
        <w:tc>
          <w:tcPr>
            <w:tcW w:w="773" w:type="dxa"/>
            <w:tcBorders>
              <w:top w:val="single" w:sz="8" w:space="0" w:color="269683"/>
              <w:left w:val="single" w:sz="8" w:space="0" w:color="269683"/>
              <w:bottom w:val="single" w:sz="8" w:space="0" w:color="269683"/>
              <w:right w:val="single" w:sz="8" w:space="0" w:color="269683"/>
            </w:tcBorders>
            <w:shd w:val="clear" w:color="auto" w:fill="FFFFFF"/>
            <w:vAlign w:val="bottom"/>
          </w:tcPr>
          <w:p w:rsidR="00576F87" w:rsidRDefault="004165F5">
            <w:pPr>
              <w:spacing w:after="0"/>
              <w:ind w:right="17"/>
              <w:jc w:val="center"/>
            </w:pPr>
            <w:r>
              <w:rPr>
                <w:rFonts w:ascii="Verdana" w:eastAsia="Verdana" w:hAnsi="Verdana" w:cs="Verdana"/>
                <w:sz w:val="18"/>
              </w:rPr>
              <w:t>17</w:t>
            </w:r>
          </w:p>
        </w:tc>
        <w:tc>
          <w:tcPr>
            <w:tcW w:w="1111" w:type="dxa"/>
            <w:tcBorders>
              <w:top w:val="single" w:sz="8" w:space="0" w:color="269683"/>
              <w:left w:val="single" w:sz="8" w:space="0" w:color="269683"/>
              <w:bottom w:val="single" w:sz="8" w:space="0" w:color="269683"/>
              <w:right w:val="single" w:sz="8" w:space="0" w:color="269683"/>
            </w:tcBorders>
            <w:shd w:val="clear" w:color="auto" w:fill="FFFFFF"/>
            <w:vAlign w:val="bottom"/>
          </w:tcPr>
          <w:p w:rsidR="00576F87" w:rsidRDefault="004165F5">
            <w:pPr>
              <w:spacing w:after="0"/>
              <w:ind w:right="37"/>
              <w:jc w:val="right"/>
            </w:pPr>
            <w:r>
              <w:rPr>
                <w:rFonts w:ascii="Verdana" w:eastAsia="Verdana" w:hAnsi="Verdana" w:cs="Verdana"/>
                <w:sz w:val="18"/>
              </w:rPr>
              <w:t>-</w:t>
            </w:r>
          </w:p>
        </w:tc>
        <w:tc>
          <w:tcPr>
            <w:tcW w:w="1145" w:type="dxa"/>
            <w:tcBorders>
              <w:top w:val="single" w:sz="8" w:space="0" w:color="269683"/>
              <w:left w:val="single" w:sz="8" w:space="0" w:color="269683"/>
              <w:bottom w:val="single" w:sz="8" w:space="0" w:color="269683"/>
              <w:right w:val="single" w:sz="15" w:space="0" w:color="269683"/>
            </w:tcBorders>
            <w:shd w:val="clear" w:color="auto" w:fill="FFFFFF"/>
            <w:vAlign w:val="bottom"/>
          </w:tcPr>
          <w:p w:rsidR="00576F87" w:rsidRDefault="004165F5">
            <w:pPr>
              <w:spacing w:after="0"/>
              <w:ind w:right="37"/>
              <w:jc w:val="right"/>
            </w:pPr>
            <w:r>
              <w:rPr>
                <w:rFonts w:ascii="Verdana" w:eastAsia="Verdana" w:hAnsi="Verdana" w:cs="Verdana"/>
                <w:sz w:val="18"/>
              </w:rPr>
              <w:t>-</w:t>
            </w:r>
          </w:p>
        </w:tc>
      </w:tr>
      <w:tr w:rsidR="00576F87">
        <w:trPr>
          <w:trHeight w:val="521"/>
        </w:trPr>
        <w:tc>
          <w:tcPr>
            <w:tcW w:w="1269" w:type="dxa"/>
            <w:tcBorders>
              <w:top w:val="single" w:sz="8" w:space="0" w:color="269683"/>
              <w:left w:val="single" w:sz="12" w:space="0" w:color="269683"/>
              <w:bottom w:val="single" w:sz="8" w:space="0" w:color="269683"/>
              <w:right w:val="single" w:sz="8" w:space="0" w:color="269683"/>
            </w:tcBorders>
            <w:shd w:val="clear" w:color="auto" w:fill="FFFFFF"/>
            <w:vAlign w:val="bottom"/>
          </w:tcPr>
          <w:p w:rsidR="00576F87" w:rsidRDefault="004165F5">
            <w:pPr>
              <w:spacing w:after="0"/>
              <w:ind w:right="38"/>
              <w:jc w:val="right"/>
            </w:pPr>
            <w:r>
              <w:rPr>
                <w:rFonts w:ascii="Verdana" w:eastAsia="Verdana" w:hAnsi="Verdana" w:cs="Verdana"/>
                <w:sz w:val="18"/>
              </w:rPr>
              <w:t>-</w:t>
            </w:r>
          </w:p>
        </w:tc>
        <w:tc>
          <w:tcPr>
            <w:tcW w:w="1258" w:type="dxa"/>
            <w:tcBorders>
              <w:top w:val="single" w:sz="8" w:space="0" w:color="269683"/>
              <w:left w:val="single" w:sz="8" w:space="0" w:color="269683"/>
              <w:bottom w:val="single" w:sz="8" w:space="0" w:color="269683"/>
              <w:right w:val="single" w:sz="8" w:space="0" w:color="269683"/>
            </w:tcBorders>
            <w:shd w:val="clear" w:color="auto" w:fill="FFFFFF"/>
            <w:vAlign w:val="bottom"/>
          </w:tcPr>
          <w:p w:rsidR="00576F87" w:rsidRDefault="004165F5">
            <w:pPr>
              <w:spacing w:after="0"/>
              <w:ind w:right="38"/>
              <w:jc w:val="right"/>
            </w:pPr>
            <w:r>
              <w:rPr>
                <w:rFonts w:ascii="Verdana" w:eastAsia="Verdana" w:hAnsi="Verdana" w:cs="Verdana"/>
                <w:sz w:val="18"/>
              </w:rPr>
              <w:t>(4,029)</w:t>
            </w:r>
          </w:p>
        </w:tc>
        <w:tc>
          <w:tcPr>
            <w:tcW w:w="4205"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ind w:right="17"/>
            </w:pPr>
            <w:r>
              <w:rPr>
                <w:rFonts w:ascii="Verdana" w:eastAsia="Verdana" w:hAnsi="Verdana" w:cs="Verdana"/>
                <w:sz w:val="18"/>
              </w:rPr>
              <w:t>Exceptional item - share of pension liability in Joint Venture</w:t>
            </w:r>
          </w:p>
        </w:tc>
        <w:tc>
          <w:tcPr>
            <w:tcW w:w="773" w:type="dxa"/>
            <w:tcBorders>
              <w:top w:val="single" w:sz="8" w:space="0" w:color="269683"/>
              <w:left w:val="single" w:sz="8" w:space="0" w:color="269683"/>
              <w:bottom w:val="single" w:sz="8" w:space="0" w:color="269683"/>
              <w:right w:val="single" w:sz="8" w:space="0" w:color="269683"/>
            </w:tcBorders>
            <w:shd w:val="clear" w:color="auto" w:fill="FFFFFF"/>
            <w:vAlign w:val="bottom"/>
          </w:tcPr>
          <w:p w:rsidR="00576F87" w:rsidRDefault="004165F5">
            <w:pPr>
              <w:spacing w:after="0"/>
              <w:ind w:right="20"/>
              <w:jc w:val="center"/>
            </w:pPr>
            <w:r>
              <w:rPr>
                <w:rFonts w:ascii="Verdana" w:eastAsia="Verdana" w:hAnsi="Verdana" w:cs="Verdana"/>
                <w:sz w:val="18"/>
              </w:rPr>
              <w:t>17</w:t>
            </w:r>
          </w:p>
        </w:tc>
        <w:tc>
          <w:tcPr>
            <w:tcW w:w="1111" w:type="dxa"/>
            <w:tcBorders>
              <w:top w:val="single" w:sz="8" w:space="0" w:color="269683"/>
              <w:left w:val="single" w:sz="8" w:space="0" w:color="269683"/>
              <w:bottom w:val="single" w:sz="8" w:space="0" w:color="269683"/>
              <w:right w:val="single" w:sz="8" w:space="0" w:color="269683"/>
            </w:tcBorders>
            <w:shd w:val="clear" w:color="auto" w:fill="FFFFFF"/>
            <w:vAlign w:val="bottom"/>
          </w:tcPr>
          <w:p w:rsidR="00576F87" w:rsidRDefault="004165F5">
            <w:pPr>
              <w:spacing w:after="0"/>
              <w:ind w:right="38"/>
              <w:jc w:val="right"/>
            </w:pPr>
            <w:r>
              <w:rPr>
                <w:rFonts w:ascii="Verdana" w:eastAsia="Verdana" w:hAnsi="Verdana" w:cs="Verdana"/>
                <w:sz w:val="18"/>
              </w:rPr>
              <w:t>-</w:t>
            </w:r>
          </w:p>
        </w:tc>
        <w:tc>
          <w:tcPr>
            <w:tcW w:w="1145" w:type="dxa"/>
            <w:tcBorders>
              <w:top w:val="single" w:sz="8" w:space="0" w:color="269683"/>
              <w:left w:val="single" w:sz="8" w:space="0" w:color="269683"/>
              <w:bottom w:val="single" w:sz="8" w:space="0" w:color="269683"/>
              <w:right w:val="single" w:sz="15" w:space="0" w:color="269683"/>
            </w:tcBorders>
            <w:shd w:val="clear" w:color="auto" w:fill="FFFFFF"/>
            <w:vAlign w:val="bottom"/>
          </w:tcPr>
          <w:p w:rsidR="00576F87" w:rsidRDefault="004165F5">
            <w:pPr>
              <w:spacing w:after="0"/>
              <w:ind w:right="38"/>
              <w:jc w:val="right"/>
            </w:pPr>
            <w:r>
              <w:rPr>
                <w:rFonts w:ascii="Verdana" w:eastAsia="Verdana" w:hAnsi="Verdana" w:cs="Verdana"/>
                <w:sz w:val="18"/>
              </w:rPr>
              <w:t>-</w:t>
            </w:r>
          </w:p>
        </w:tc>
      </w:tr>
      <w:tr w:rsidR="00576F87">
        <w:trPr>
          <w:trHeight w:val="348"/>
        </w:trPr>
        <w:tc>
          <w:tcPr>
            <w:tcW w:w="1269" w:type="dxa"/>
            <w:tcBorders>
              <w:top w:val="single" w:sz="8" w:space="0" w:color="269683"/>
              <w:left w:val="single" w:sz="12" w:space="0" w:color="269683"/>
              <w:bottom w:val="single" w:sz="8" w:space="0" w:color="269683"/>
              <w:right w:val="single" w:sz="8" w:space="0" w:color="269683"/>
            </w:tcBorders>
            <w:shd w:val="clear" w:color="auto" w:fill="FFFFFF"/>
          </w:tcPr>
          <w:p w:rsidR="00576F87" w:rsidRDefault="004165F5">
            <w:pPr>
              <w:spacing w:after="0"/>
              <w:ind w:right="38"/>
              <w:jc w:val="right"/>
            </w:pPr>
            <w:r>
              <w:rPr>
                <w:rFonts w:ascii="Verdana" w:eastAsia="Verdana" w:hAnsi="Verdana" w:cs="Verdana"/>
                <w:b/>
                <w:sz w:val="18"/>
              </w:rPr>
              <w:t>6,920</w:t>
            </w:r>
          </w:p>
        </w:tc>
        <w:tc>
          <w:tcPr>
            <w:tcW w:w="1258"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ind w:right="38"/>
              <w:jc w:val="right"/>
            </w:pPr>
            <w:r>
              <w:rPr>
                <w:rFonts w:ascii="Verdana" w:eastAsia="Verdana" w:hAnsi="Verdana" w:cs="Verdana"/>
                <w:b/>
                <w:sz w:val="18"/>
              </w:rPr>
              <w:t>2,891</w:t>
            </w:r>
          </w:p>
        </w:tc>
        <w:tc>
          <w:tcPr>
            <w:tcW w:w="4205" w:type="dxa"/>
            <w:tcBorders>
              <w:top w:val="single" w:sz="8" w:space="0" w:color="269683"/>
              <w:left w:val="single" w:sz="8" w:space="0" w:color="269683"/>
              <w:bottom w:val="single" w:sz="8" w:space="0" w:color="269683"/>
              <w:right w:val="single" w:sz="8" w:space="0" w:color="269683"/>
            </w:tcBorders>
            <w:shd w:val="clear" w:color="auto" w:fill="FFFFFF"/>
            <w:vAlign w:val="bottom"/>
          </w:tcPr>
          <w:p w:rsidR="00576F87" w:rsidRDefault="004165F5">
            <w:pPr>
              <w:spacing w:after="0"/>
              <w:ind w:left="5"/>
            </w:pPr>
            <w:r>
              <w:rPr>
                <w:rFonts w:ascii="Verdana" w:eastAsia="Verdana" w:hAnsi="Verdana" w:cs="Verdana"/>
                <w:b/>
                <w:sz w:val="18"/>
              </w:rPr>
              <w:t>Cost Of Services</w:t>
            </w:r>
          </w:p>
        </w:tc>
        <w:tc>
          <w:tcPr>
            <w:tcW w:w="773"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576F87"/>
        </w:tc>
        <w:tc>
          <w:tcPr>
            <w:tcW w:w="1111"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4165F5">
            <w:pPr>
              <w:spacing w:after="0"/>
              <w:ind w:right="39"/>
              <w:jc w:val="right"/>
            </w:pPr>
            <w:r>
              <w:rPr>
                <w:rFonts w:ascii="Verdana" w:eastAsia="Verdana" w:hAnsi="Verdana" w:cs="Verdana"/>
                <w:b/>
                <w:sz w:val="18"/>
              </w:rPr>
              <w:t>(803)</w:t>
            </w:r>
          </w:p>
        </w:tc>
        <w:tc>
          <w:tcPr>
            <w:tcW w:w="1145" w:type="dxa"/>
            <w:tcBorders>
              <w:top w:val="single" w:sz="8" w:space="0" w:color="269683"/>
              <w:left w:val="single" w:sz="8" w:space="0" w:color="269683"/>
              <w:bottom w:val="single" w:sz="8" w:space="0" w:color="269683"/>
              <w:right w:val="single" w:sz="15" w:space="0" w:color="269683"/>
            </w:tcBorders>
            <w:shd w:val="clear" w:color="auto" w:fill="FFFFFF"/>
          </w:tcPr>
          <w:p w:rsidR="00576F87" w:rsidRDefault="004165F5">
            <w:pPr>
              <w:spacing w:after="0"/>
              <w:ind w:right="39"/>
              <w:jc w:val="right"/>
            </w:pPr>
            <w:r>
              <w:rPr>
                <w:rFonts w:ascii="Verdana" w:eastAsia="Verdana" w:hAnsi="Verdana" w:cs="Verdana"/>
                <w:b/>
                <w:sz w:val="18"/>
              </w:rPr>
              <w:t>(803)</w:t>
            </w:r>
          </w:p>
        </w:tc>
      </w:tr>
      <w:tr w:rsidR="00576F87">
        <w:trPr>
          <w:trHeight w:val="158"/>
        </w:trPr>
        <w:tc>
          <w:tcPr>
            <w:tcW w:w="1269" w:type="dxa"/>
            <w:tcBorders>
              <w:top w:val="single" w:sz="8" w:space="0" w:color="269683"/>
              <w:left w:val="single" w:sz="12" w:space="0" w:color="269683"/>
              <w:bottom w:val="single" w:sz="8" w:space="0" w:color="269683"/>
              <w:right w:val="single" w:sz="8" w:space="0" w:color="269683"/>
            </w:tcBorders>
            <w:shd w:val="clear" w:color="auto" w:fill="FFFFFF"/>
          </w:tcPr>
          <w:p w:rsidR="00576F87" w:rsidRDefault="00576F87"/>
        </w:tc>
        <w:tc>
          <w:tcPr>
            <w:tcW w:w="1258"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576F87"/>
        </w:tc>
        <w:tc>
          <w:tcPr>
            <w:tcW w:w="4205"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576F87"/>
        </w:tc>
        <w:tc>
          <w:tcPr>
            <w:tcW w:w="773"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576F87"/>
        </w:tc>
        <w:tc>
          <w:tcPr>
            <w:tcW w:w="1111" w:type="dxa"/>
            <w:tcBorders>
              <w:top w:val="single" w:sz="8" w:space="0" w:color="269683"/>
              <w:left w:val="single" w:sz="8" w:space="0" w:color="269683"/>
              <w:bottom w:val="single" w:sz="8" w:space="0" w:color="269683"/>
              <w:right w:val="single" w:sz="8" w:space="0" w:color="269683"/>
            </w:tcBorders>
            <w:shd w:val="clear" w:color="auto" w:fill="FFFFFF"/>
          </w:tcPr>
          <w:p w:rsidR="00576F87" w:rsidRDefault="00576F87"/>
        </w:tc>
        <w:tc>
          <w:tcPr>
            <w:tcW w:w="1145" w:type="dxa"/>
            <w:tcBorders>
              <w:top w:val="single" w:sz="8" w:space="0" w:color="269683"/>
              <w:left w:val="single" w:sz="8" w:space="0" w:color="269683"/>
              <w:bottom w:val="single" w:sz="8" w:space="0" w:color="269683"/>
              <w:right w:val="single" w:sz="15" w:space="0" w:color="269683"/>
            </w:tcBorders>
            <w:shd w:val="clear" w:color="auto" w:fill="FFFFFF"/>
          </w:tcPr>
          <w:p w:rsidR="00576F87" w:rsidRDefault="00576F87"/>
        </w:tc>
      </w:tr>
      <w:tr w:rsidR="00576F87">
        <w:trPr>
          <w:trHeight w:val="521"/>
        </w:trPr>
        <w:tc>
          <w:tcPr>
            <w:tcW w:w="1269" w:type="dxa"/>
            <w:tcBorders>
              <w:top w:val="single" w:sz="8" w:space="0" w:color="269683"/>
              <w:left w:val="single" w:sz="12" w:space="0" w:color="269683"/>
              <w:bottom w:val="single" w:sz="8" w:space="0" w:color="269683"/>
              <w:right w:val="single" w:sz="8" w:space="0" w:color="269683"/>
            </w:tcBorders>
            <w:vAlign w:val="bottom"/>
          </w:tcPr>
          <w:p w:rsidR="00576F87" w:rsidRDefault="004165F5">
            <w:pPr>
              <w:spacing w:after="0"/>
              <w:ind w:right="38"/>
              <w:jc w:val="right"/>
            </w:pPr>
            <w:r>
              <w:rPr>
                <w:rFonts w:ascii="Verdana" w:eastAsia="Verdana" w:hAnsi="Verdana" w:cs="Verdana"/>
                <w:sz w:val="18"/>
              </w:rPr>
              <w:t>(560)</w:t>
            </w:r>
          </w:p>
        </w:tc>
        <w:tc>
          <w:tcPr>
            <w:tcW w:w="1258"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38"/>
              <w:jc w:val="right"/>
            </w:pPr>
            <w:r>
              <w:rPr>
                <w:rFonts w:ascii="Verdana" w:eastAsia="Verdana" w:hAnsi="Verdana" w:cs="Verdana"/>
                <w:sz w:val="18"/>
              </w:rPr>
              <w:t>(560)</w:t>
            </w:r>
          </w:p>
        </w:tc>
        <w:tc>
          <w:tcPr>
            <w:tcW w:w="4205" w:type="dxa"/>
            <w:tcBorders>
              <w:top w:val="single" w:sz="8" w:space="0" w:color="269683"/>
              <w:left w:val="single" w:sz="8" w:space="0" w:color="269683"/>
              <w:bottom w:val="single" w:sz="8" w:space="0" w:color="269683"/>
              <w:right w:val="single" w:sz="8" w:space="0" w:color="269683"/>
            </w:tcBorders>
          </w:tcPr>
          <w:p w:rsidR="00576F87" w:rsidRDefault="004165F5">
            <w:pPr>
              <w:spacing w:after="3"/>
            </w:pPr>
            <w:r>
              <w:rPr>
                <w:rFonts w:ascii="Verdana" w:eastAsia="Verdana" w:hAnsi="Verdana" w:cs="Verdana"/>
                <w:sz w:val="18"/>
              </w:rPr>
              <w:t xml:space="preserve">Financing and Investment Income and </w:t>
            </w:r>
          </w:p>
          <w:p w:rsidR="00576F87" w:rsidRDefault="004165F5">
            <w:pPr>
              <w:spacing w:after="0"/>
            </w:pPr>
            <w:r>
              <w:rPr>
                <w:rFonts w:ascii="Verdana" w:eastAsia="Verdana" w:hAnsi="Verdana" w:cs="Verdana"/>
                <w:sz w:val="18"/>
              </w:rPr>
              <w:t>Expenditure</w:t>
            </w:r>
          </w:p>
        </w:tc>
        <w:tc>
          <w:tcPr>
            <w:tcW w:w="773" w:type="dxa"/>
            <w:tcBorders>
              <w:top w:val="single" w:sz="8" w:space="0" w:color="269683"/>
              <w:left w:val="single" w:sz="8" w:space="0" w:color="269683"/>
              <w:bottom w:val="single" w:sz="8" w:space="0" w:color="269683"/>
              <w:right w:val="single" w:sz="8" w:space="0" w:color="269683"/>
            </w:tcBorders>
          </w:tcPr>
          <w:p w:rsidR="00576F87" w:rsidRDefault="00576F87"/>
        </w:tc>
        <w:tc>
          <w:tcPr>
            <w:tcW w:w="1111"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38"/>
              <w:jc w:val="right"/>
            </w:pPr>
            <w:r>
              <w:rPr>
                <w:rFonts w:ascii="Verdana" w:eastAsia="Verdana" w:hAnsi="Verdana" w:cs="Verdana"/>
                <w:sz w:val="18"/>
              </w:rPr>
              <w:t>(508)</w:t>
            </w:r>
          </w:p>
        </w:tc>
        <w:tc>
          <w:tcPr>
            <w:tcW w:w="1145"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38"/>
              <w:jc w:val="right"/>
            </w:pPr>
            <w:r>
              <w:rPr>
                <w:rFonts w:ascii="Verdana" w:eastAsia="Verdana" w:hAnsi="Verdana" w:cs="Verdana"/>
                <w:sz w:val="18"/>
              </w:rPr>
              <w:t>(508)</w:t>
            </w:r>
          </w:p>
        </w:tc>
      </w:tr>
      <w:tr w:rsidR="00576F87">
        <w:trPr>
          <w:trHeight w:val="158"/>
        </w:trPr>
        <w:tc>
          <w:tcPr>
            <w:tcW w:w="1269" w:type="dxa"/>
            <w:tcBorders>
              <w:top w:val="single" w:sz="8" w:space="0" w:color="269683"/>
              <w:left w:val="single" w:sz="12" w:space="0" w:color="269683"/>
              <w:bottom w:val="single" w:sz="8" w:space="0" w:color="269683"/>
              <w:right w:val="single" w:sz="8" w:space="0" w:color="269683"/>
            </w:tcBorders>
          </w:tcPr>
          <w:p w:rsidR="00576F87" w:rsidRDefault="00576F87"/>
        </w:tc>
        <w:tc>
          <w:tcPr>
            <w:tcW w:w="1258" w:type="dxa"/>
            <w:tcBorders>
              <w:top w:val="single" w:sz="8" w:space="0" w:color="269683"/>
              <w:left w:val="single" w:sz="8" w:space="0" w:color="269683"/>
              <w:bottom w:val="single" w:sz="8" w:space="0" w:color="269683"/>
              <w:right w:val="single" w:sz="8" w:space="0" w:color="269683"/>
            </w:tcBorders>
          </w:tcPr>
          <w:p w:rsidR="00576F87" w:rsidRDefault="00576F87"/>
        </w:tc>
        <w:tc>
          <w:tcPr>
            <w:tcW w:w="4205" w:type="dxa"/>
            <w:tcBorders>
              <w:top w:val="single" w:sz="8" w:space="0" w:color="269683"/>
              <w:left w:val="single" w:sz="8" w:space="0" w:color="269683"/>
              <w:bottom w:val="single" w:sz="8" w:space="0" w:color="269683"/>
              <w:right w:val="single" w:sz="8" w:space="0" w:color="269683"/>
            </w:tcBorders>
          </w:tcPr>
          <w:p w:rsidR="00576F87" w:rsidRDefault="00576F87"/>
        </w:tc>
        <w:tc>
          <w:tcPr>
            <w:tcW w:w="773" w:type="dxa"/>
            <w:tcBorders>
              <w:top w:val="single" w:sz="8" w:space="0" w:color="269683"/>
              <w:left w:val="single" w:sz="8" w:space="0" w:color="269683"/>
              <w:bottom w:val="single" w:sz="8" w:space="0" w:color="269683"/>
              <w:right w:val="single" w:sz="8" w:space="0" w:color="269683"/>
            </w:tcBorders>
          </w:tcPr>
          <w:p w:rsidR="00576F87" w:rsidRDefault="00576F87"/>
        </w:tc>
        <w:tc>
          <w:tcPr>
            <w:tcW w:w="1111" w:type="dxa"/>
            <w:tcBorders>
              <w:top w:val="single" w:sz="8" w:space="0" w:color="269683"/>
              <w:left w:val="single" w:sz="8" w:space="0" w:color="269683"/>
              <w:bottom w:val="single" w:sz="8" w:space="0" w:color="269683"/>
              <w:right w:val="single" w:sz="8" w:space="0" w:color="269683"/>
            </w:tcBorders>
          </w:tcPr>
          <w:p w:rsidR="00576F87" w:rsidRDefault="00576F87"/>
        </w:tc>
        <w:tc>
          <w:tcPr>
            <w:tcW w:w="1145" w:type="dxa"/>
            <w:tcBorders>
              <w:top w:val="single" w:sz="8" w:space="0" w:color="269683"/>
              <w:left w:val="single" w:sz="8" w:space="0" w:color="269683"/>
              <w:bottom w:val="single" w:sz="8" w:space="0" w:color="269683"/>
              <w:right w:val="single" w:sz="15" w:space="0" w:color="269683"/>
            </w:tcBorders>
          </w:tcPr>
          <w:p w:rsidR="00576F87" w:rsidRDefault="00576F87"/>
        </w:tc>
      </w:tr>
      <w:tr w:rsidR="00576F87">
        <w:trPr>
          <w:trHeight w:val="521"/>
        </w:trPr>
        <w:tc>
          <w:tcPr>
            <w:tcW w:w="1269" w:type="dxa"/>
            <w:tcBorders>
              <w:top w:val="single" w:sz="8" w:space="0" w:color="269683"/>
              <w:left w:val="single" w:sz="12" w:space="0" w:color="269683"/>
              <w:bottom w:val="single" w:sz="8" w:space="0" w:color="269683"/>
              <w:right w:val="single" w:sz="8" w:space="0" w:color="269683"/>
            </w:tcBorders>
            <w:vAlign w:val="bottom"/>
          </w:tcPr>
          <w:p w:rsidR="00576F87" w:rsidRDefault="004165F5">
            <w:pPr>
              <w:spacing w:after="0"/>
              <w:ind w:right="43"/>
              <w:jc w:val="right"/>
            </w:pPr>
            <w:r>
              <w:rPr>
                <w:rFonts w:ascii="Verdana" w:eastAsia="Verdana" w:hAnsi="Verdana" w:cs="Verdana"/>
                <w:b/>
                <w:sz w:val="18"/>
              </w:rPr>
              <w:t>6,360</w:t>
            </w:r>
          </w:p>
        </w:tc>
        <w:tc>
          <w:tcPr>
            <w:tcW w:w="1258"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43"/>
              <w:jc w:val="right"/>
            </w:pPr>
            <w:r>
              <w:rPr>
                <w:rFonts w:ascii="Verdana" w:eastAsia="Verdana" w:hAnsi="Verdana" w:cs="Verdana"/>
                <w:b/>
                <w:sz w:val="18"/>
              </w:rPr>
              <w:t>2,331</w:t>
            </w:r>
          </w:p>
        </w:tc>
        <w:tc>
          <w:tcPr>
            <w:tcW w:w="4205" w:type="dxa"/>
            <w:tcBorders>
              <w:top w:val="single" w:sz="8" w:space="0" w:color="269683"/>
              <w:left w:val="single" w:sz="8" w:space="0" w:color="269683"/>
              <w:bottom w:val="single" w:sz="8" w:space="0" w:color="269683"/>
              <w:right w:val="single" w:sz="8" w:space="0" w:color="269683"/>
            </w:tcBorders>
          </w:tcPr>
          <w:p w:rsidR="00576F87" w:rsidRDefault="004165F5">
            <w:pPr>
              <w:spacing w:after="3"/>
              <w:ind w:left="5"/>
            </w:pPr>
            <w:r>
              <w:rPr>
                <w:rFonts w:ascii="Verdana" w:eastAsia="Verdana" w:hAnsi="Verdana" w:cs="Verdana"/>
                <w:b/>
                <w:sz w:val="18"/>
              </w:rPr>
              <w:t xml:space="preserve">Surplus/(deficit) on Provision of </w:t>
            </w:r>
          </w:p>
          <w:p w:rsidR="00576F87" w:rsidRDefault="004165F5">
            <w:pPr>
              <w:spacing w:after="0"/>
              <w:ind w:left="5"/>
            </w:pPr>
            <w:r>
              <w:rPr>
                <w:rFonts w:ascii="Verdana" w:eastAsia="Verdana" w:hAnsi="Verdana" w:cs="Verdana"/>
                <w:b/>
                <w:sz w:val="18"/>
              </w:rPr>
              <w:t>Services</w:t>
            </w:r>
          </w:p>
        </w:tc>
        <w:tc>
          <w:tcPr>
            <w:tcW w:w="773" w:type="dxa"/>
            <w:tcBorders>
              <w:top w:val="single" w:sz="8" w:space="0" w:color="269683"/>
              <w:left w:val="single" w:sz="8" w:space="0" w:color="269683"/>
              <w:bottom w:val="single" w:sz="8" w:space="0" w:color="269683"/>
              <w:right w:val="single" w:sz="8" w:space="0" w:color="269683"/>
            </w:tcBorders>
          </w:tcPr>
          <w:p w:rsidR="00576F87" w:rsidRDefault="00576F87"/>
        </w:tc>
        <w:tc>
          <w:tcPr>
            <w:tcW w:w="1111"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44"/>
              <w:jc w:val="right"/>
            </w:pPr>
            <w:r>
              <w:rPr>
                <w:rFonts w:ascii="Verdana" w:eastAsia="Verdana" w:hAnsi="Verdana" w:cs="Verdana"/>
                <w:b/>
                <w:sz w:val="18"/>
              </w:rPr>
              <w:t>(1,311)</w:t>
            </w:r>
          </w:p>
        </w:tc>
        <w:tc>
          <w:tcPr>
            <w:tcW w:w="1145" w:type="dxa"/>
            <w:tcBorders>
              <w:top w:val="single" w:sz="8" w:space="0" w:color="269683"/>
              <w:left w:val="single" w:sz="8" w:space="0" w:color="269683"/>
              <w:bottom w:val="single" w:sz="8" w:space="0" w:color="269683"/>
              <w:right w:val="single" w:sz="15" w:space="0" w:color="269683"/>
            </w:tcBorders>
            <w:vAlign w:val="bottom"/>
          </w:tcPr>
          <w:p w:rsidR="00576F87" w:rsidRDefault="004165F5">
            <w:pPr>
              <w:spacing w:after="0"/>
              <w:ind w:right="44"/>
              <w:jc w:val="right"/>
            </w:pPr>
            <w:r>
              <w:rPr>
                <w:rFonts w:ascii="Verdana" w:eastAsia="Verdana" w:hAnsi="Verdana" w:cs="Verdana"/>
                <w:b/>
                <w:sz w:val="18"/>
              </w:rPr>
              <w:t>(1,311)</w:t>
            </w:r>
          </w:p>
        </w:tc>
      </w:tr>
      <w:tr w:rsidR="00576F87">
        <w:trPr>
          <w:trHeight w:val="144"/>
        </w:trPr>
        <w:tc>
          <w:tcPr>
            <w:tcW w:w="1269" w:type="dxa"/>
            <w:tcBorders>
              <w:top w:val="single" w:sz="8" w:space="0" w:color="269683"/>
              <w:left w:val="single" w:sz="12" w:space="0" w:color="269683"/>
              <w:bottom w:val="single" w:sz="8" w:space="0" w:color="269683"/>
              <w:right w:val="single" w:sz="8" w:space="0" w:color="269683"/>
            </w:tcBorders>
          </w:tcPr>
          <w:p w:rsidR="00576F87" w:rsidRDefault="00576F87"/>
        </w:tc>
        <w:tc>
          <w:tcPr>
            <w:tcW w:w="1258" w:type="dxa"/>
            <w:tcBorders>
              <w:top w:val="single" w:sz="8" w:space="0" w:color="269683"/>
              <w:left w:val="single" w:sz="8" w:space="0" w:color="269683"/>
              <w:bottom w:val="single" w:sz="8" w:space="0" w:color="269683"/>
              <w:right w:val="single" w:sz="8" w:space="0" w:color="269683"/>
            </w:tcBorders>
          </w:tcPr>
          <w:p w:rsidR="00576F87" w:rsidRDefault="00576F87"/>
        </w:tc>
        <w:tc>
          <w:tcPr>
            <w:tcW w:w="4205" w:type="dxa"/>
            <w:tcBorders>
              <w:top w:val="single" w:sz="8" w:space="0" w:color="269683"/>
              <w:left w:val="single" w:sz="8" w:space="0" w:color="269683"/>
              <w:bottom w:val="single" w:sz="8" w:space="0" w:color="269683"/>
              <w:right w:val="single" w:sz="8" w:space="0" w:color="269683"/>
            </w:tcBorders>
          </w:tcPr>
          <w:p w:rsidR="00576F87" w:rsidRDefault="00576F87"/>
        </w:tc>
        <w:tc>
          <w:tcPr>
            <w:tcW w:w="773" w:type="dxa"/>
            <w:tcBorders>
              <w:top w:val="single" w:sz="8" w:space="0" w:color="269683"/>
              <w:left w:val="single" w:sz="8" w:space="0" w:color="269683"/>
              <w:bottom w:val="single" w:sz="8" w:space="0" w:color="269683"/>
              <w:right w:val="single" w:sz="8" w:space="0" w:color="269683"/>
            </w:tcBorders>
          </w:tcPr>
          <w:p w:rsidR="00576F87" w:rsidRDefault="00576F87"/>
        </w:tc>
        <w:tc>
          <w:tcPr>
            <w:tcW w:w="1111" w:type="dxa"/>
            <w:tcBorders>
              <w:top w:val="single" w:sz="8" w:space="0" w:color="269683"/>
              <w:left w:val="single" w:sz="8" w:space="0" w:color="269683"/>
              <w:bottom w:val="single" w:sz="8" w:space="0" w:color="269683"/>
              <w:right w:val="single" w:sz="8" w:space="0" w:color="269683"/>
            </w:tcBorders>
          </w:tcPr>
          <w:p w:rsidR="00576F87" w:rsidRDefault="00576F87"/>
        </w:tc>
        <w:tc>
          <w:tcPr>
            <w:tcW w:w="1145" w:type="dxa"/>
            <w:tcBorders>
              <w:top w:val="single" w:sz="8" w:space="0" w:color="269683"/>
              <w:left w:val="single" w:sz="8" w:space="0" w:color="269683"/>
              <w:bottom w:val="single" w:sz="8" w:space="0" w:color="269683"/>
              <w:right w:val="single" w:sz="15" w:space="0" w:color="269683"/>
            </w:tcBorders>
          </w:tcPr>
          <w:p w:rsidR="00576F87" w:rsidRDefault="00576F87"/>
        </w:tc>
      </w:tr>
      <w:tr w:rsidR="00576F87">
        <w:trPr>
          <w:trHeight w:val="535"/>
        </w:trPr>
        <w:tc>
          <w:tcPr>
            <w:tcW w:w="1269" w:type="dxa"/>
            <w:tcBorders>
              <w:top w:val="single" w:sz="8" w:space="0" w:color="269683"/>
              <w:left w:val="single" w:sz="12" w:space="0" w:color="269683"/>
              <w:bottom w:val="single" w:sz="8" w:space="0" w:color="269683"/>
              <w:right w:val="single" w:sz="8" w:space="0" w:color="269683"/>
            </w:tcBorders>
            <w:vAlign w:val="bottom"/>
          </w:tcPr>
          <w:p w:rsidR="00576F87" w:rsidRDefault="004165F5">
            <w:pPr>
              <w:spacing w:after="0"/>
              <w:ind w:right="38"/>
              <w:jc w:val="right"/>
            </w:pPr>
            <w:r>
              <w:rPr>
                <w:rFonts w:ascii="Verdana" w:eastAsia="Verdana" w:hAnsi="Verdana" w:cs="Verdana"/>
                <w:sz w:val="18"/>
              </w:rPr>
              <w:t>-</w:t>
            </w:r>
          </w:p>
        </w:tc>
        <w:tc>
          <w:tcPr>
            <w:tcW w:w="1258"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39"/>
              <w:jc w:val="right"/>
            </w:pPr>
            <w:r>
              <w:rPr>
                <w:rFonts w:ascii="Verdana" w:eastAsia="Verdana" w:hAnsi="Verdana" w:cs="Verdana"/>
                <w:sz w:val="18"/>
              </w:rPr>
              <w:t>2,179</w:t>
            </w:r>
          </w:p>
        </w:tc>
        <w:tc>
          <w:tcPr>
            <w:tcW w:w="4205" w:type="dxa"/>
            <w:tcBorders>
              <w:top w:val="single" w:sz="8" w:space="0" w:color="269683"/>
              <w:left w:val="single" w:sz="8" w:space="0" w:color="269683"/>
              <w:bottom w:val="single" w:sz="8" w:space="0" w:color="269683"/>
              <w:right w:val="single" w:sz="8" w:space="0" w:color="269683"/>
            </w:tcBorders>
          </w:tcPr>
          <w:p w:rsidR="00576F87" w:rsidRDefault="004165F5">
            <w:pPr>
              <w:spacing w:after="0"/>
              <w:ind w:left="5" w:right="19"/>
            </w:pPr>
            <w:r>
              <w:rPr>
                <w:rFonts w:ascii="Verdana" w:eastAsia="Verdana" w:hAnsi="Verdana" w:cs="Verdana"/>
                <w:b/>
                <w:sz w:val="18"/>
              </w:rPr>
              <w:t>Share of Surplus on Provision of services by LPP Joint Venture</w:t>
            </w:r>
          </w:p>
        </w:tc>
        <w:tc>
          <w:tcPr>
            <w:tcW w:w="773"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34"/>
              <w:jc w:val="center"/>
            </w:pPr>
            <w:r>
              <w:rPr>
                <w:rFonts w:ascii="Verdana" w:eastAsia="Verdana" w:hAnsi="Verdana" w:cs="Verdana"/>
                <w:sz w:val="18"/>
              </w:rPr>
              <w:t>16</w:t>
            </w:r>
          </w:p>
        </w:tc>
        <w:tc>
          <w:tcPr>
            <w:tcW w:w="1111"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38"/>
              <w:jc w:val="right"/>
            </w:pPr>
            <w:r>
              <w:rPr>
                <w:rFonts w:ascii="Verdana" w:eastAsia="Verdana" w:hAnsi="Verdana" w:cs="Verdana"/>
                <w:sz w:val="18"/>
              </w:rPr>
              <w:t>-</w:t>
            </w:r>
          </w:p>
        </w:tc>
        <w:tc>
          <w:tcPr>
            <w:tcW w:w="1145" w:type="dxa"/>
            <w:tcBorders>
              <w:top w:val="single" w:sz="8" w:space="0" w:color="269683"/>
              <w:left w:val="single" w:sz="8" w:space="0" w:color="269683"/>
              <w:bottom w:val="single" w:sz="8" w:space="0" w:color="269683"/>
              <w:right w:val="single" w:sz="15" w:space="0" w:color="269683"/>
            </w:tcBorders>
            <w:vAlign w:val="bottom"/>
          </w:tcPr>
          <w:p w:rsidR="00576F87" w:rsidRDefault="004165F5">
            <w:pPr>
              <w:spacing w:after="0"/>
              <w:ind w:right="38"/>
              <w:jc w:val="right"/>
            </w:pPr>
            <w:r>
              <w:rPr>
                <w:rFonts w:ascii="Verdana" w:eastAsia="Verdana" w:hAnsi="Verdana" w:cs="Verdana"/>
                <w:sz w:val="18"/>
              </w:rPr>
              <w:t>(1,246)</w:t>
            </w:r>
          </w:p>
        </w:tc>
      </w:tr>
      <w:tr w:rsidR="00576F87">
        <w:trPr>
          <w:trHeight w:val="362"/>
        </w:trPr>
        <w:tc>
          <w:tcPr>
            <w:tcW w:w="1269" w:type="dxa"/>
            <w:tcBorders>
              <w:top w:val="single" w:sz="8" w:space="0" w:color="269683"/>
              <w:left w:val="single" w:sz="12" w:space="0" w:color="269683"/>
              <w:bottom w:val="single" w:sz="8" w:space="0" w:color="269683"/>
              <w:right w:val="single" w:sz="8" w:space="0" w:color="269683"/>
            </w:tcBorders>
            <w:vAlign w:val="bottom"/>
          </w:tcPr>
          <w:p w:rsidR="00576F87" w:rsidRDefault="004165F5">
            <w:pPr>
              <w:spacing w:after="0"/>
              <w:ind w:right="43"/>
              <w:jc w:val="right"/>
            </w:pPr>
            <w:r>
              <w:rPr>
                <w:rFonts w:ascii="Verdana" w:eastAsia="Verdana" w:hAnsi="Verdana" w:cs="Verdana"/>
                <w:b/>
                <w:sz w:val="18"/>
              </w:rPr>
              <w:t>6,360</w:t>
            </w:r>
          </w:p>
        </w:tc>
        <w:tc>
          <w:tcPr>
            <w:tcW w:w="1258"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43"/>
              <w:jc w:val="right"/>
            </w:pPr>
            <w:r>
              <w:rPr>
                <w:rFonts w:ascii="Verdana" w:eastAsia="Verdana" w:hAnsi="Verdana" w:cs="Verdana"/>
                <w:b/>
                <w:sz w:val="18"/>
              </w:rPr>
              <w:t>4,510</w:t>
            </w:r>
          </w:p>
        </w:tc>
        <w:tc>
          <w:tcPr>
            <w:tcW w:w="4205"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left="5"/>
            </w:pPr>
            <w:r>
              <w:rPr>
                <w:rFonts w:ascii="Verdana" w:eastAsia="Verdana" w:hAnsi="Verdana" w:cs="Verdana"/>
                <w:b/>
                <w:sz w:val="18"/>
              </w:rPr>
              <w:t xml:space="preserve">Group Surplus </w:t>
            </w:r>
          </w:p>
        </w:tc>
        <w:tc>
          <w:tcPr>
            <w:tcW w:w="773" w:type="dxa"/>
            <w:tcBorders>
              <w:top w:val="single" w:sz="8" w:space="0" w:color="269683"/>
              <w:left w:val="single" w:sz="8" w:space="0" w:color="269683"/>
              <w:bottom w:val="single" w:sz="8" w:space="0" w:color="269683"/>
              <w:right w:val="single" w:sz="8" w:space="0" w:color="269683"/>
            </w:tcBorders>
          </w:tcPr>
          <w:p w:rsidR="00576F87" w:rsidRDefault="00576F87"/>
        </w:tc>
        <w:tc>
          <w:tcPr>
            <w:tcW w:w="1111"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44"/>
              <w:jc w:val="right"/>
            </w:pPr>
            <w:r>
              <w:rPr>
                <w:rFonts w:ascii="Verdana" w:eastAsia="Verdana" w:hAnsi="Verdana" w:cs="Verdana"/>
                <w:b/>
                <w:sz w:val="18"/>
              </w:rPr>
              <w:t>(1,311)</w:t>
            </w:r>
          </w:p>
        </w:tc>
        <w:tc>
          <w:tcPr>
            <w:tcW w:w="1145" w:type="dxa"/>
            <w:tcBorders>
              <w:top w:val="single" w:sz="8" w:space="0" w:color="269683"/>
              <w:left w:val="single" w:sz="8" w:space="0" w:color="269683"/>
              <w:bottom w:val="single" w:sz="8" w:space="0" w:color="269683"/>
              <w:right w:val="single" w:sz="15" w:space="0" w:color="269683"/>
            </w:tcBorders>
            <w:vAlign w:val="bottom"/>
          </w:tcPr>
          <w:p w:rsidR="00576F87" w:rsidRDefault="004165F5">
            <w:pPr>
              <w:spacing w:after="0"/>
              <w:ind w:right="44"/>
              <w:jc w:val="right"/>
            </w:pPr>
            <w:r>
              <w:rPr>
                <w:rFonts w:ascii="Verdana" w:eastAsia="Verdana" w:hAnsi="Verdana" w:cs="Verdana"/>
                <w:b/>
                <w:sz w:val="18"/>
              </w:rPr>
              <w:t>(2,557)</w:t>
            </w:r>
          </w:p>
        </w:tc>
      </w:tr>
      <w:tr w:rsidR="00576F87">
        <w:trPr>
          <w:trHeight w:val="173"/>
        </w:trPr>
        <w:tc>
          <w:tcPr>
            <w:tcW w:w="1269" w:type="dxa"/>
            <w:tcBorders>
              <w:top w:val="single" w:sz="8" w:space="0" w:color="269683"/>
              <w:left w:val="single" w:sz="12" w:space="0" w:color="269683"/>
              <w:bottom w:val="single" w:sz="8" w:space="0" w:color="269683"/>
              <w:right w:val="single" w:sz="8" w:space="0" w:color="269683"/>
            </w:tcBorders>
          </w:tcPr>
          <w:p w:rsidR="00576F87" w:rsidRDefault="00576F87"/>
        </w:tc>
        <w:tc>
          <w:tcPr>
            <w:tcW w:w="1258" w:type="dxa"/>
            <w:tcBorders>
              <w:top w:val="single" w:sz="8" w:space="0" w:color="269683"/>
              <w:left w:val="single" w:sz="8" w:space="0" w:color="269683"/>
              <w:bottom w:val="single" w:sz="8" w:space="0" w:color="269683"/>
              <w:right w:val="single" w:sz="8" w:space="0" w:color="269683"/>
            </w:tcBorders>
          </w:tcPr>
          <w:p w:rsidR="00576F87" w:rsidRDefault="00576F87"/>
        </w:tc>
        <w:tc>
          <w:tcPr>
            <w:tcW w:w="4205" w:type="dxa"/>
            <w:tcBorders>
              <w:top w:val="single" w:sz="8" w:space="0" w:color="269683"/>
              <w:left w:val="single" w:sz="8" w:space="0" w:color="269683"/>
              <w:bottom w:val="single" w:sz="8" w:space="0" w:color="269683"/>
              <w:right w:val="single" w:sz="8" w:space="0" w:color="269683"/>
            </w:tcBorders>
          </w:tcPr>
          <w:p w:rsidR="00576F87" w:rsidRDefault="00576F87"/>
        </w:tc>
        <w:tc>
          <w:tcPr>
            <w:tcW w:w="773" w:type="dxa"/>
            <w:tcBorders>
              <w:top w:val="single" w:sz="8" w:space="0" w:color="269683"/>
              <w:left w:val="single" w:sz="8" w:space="0" w:color="269683"/>
              <w:bottom w:val="single" w:sz="8" w:space="0" w:color="269683"/>
              <w:right w:val="single" w:sz="8" w:space="0" w:color="269683"/>
            </w:tcBorders>
          </w:tcPr>
          <w:p w:rsidR="00576F87" w:rsidRDefault="00576F87"/>
        </w:tc>
        <w:tc>
          <w:tcPr>
            <w:tcW w:w="1111" w:type="dxa"/>
            <w:tcBorders>
              <w:top w:val="single" w:sz="8" w:space="0" w:color="269683"/>
              <w:left w:val="single" w:sz="8" w:space="0" w:color="269683"/>
              <w:bottom w:val="single" w:sz="8" w:space="0" w:color="269683"/>
              <w:right w:val="single" w:sz="8" w:space="0" w:color="269683"/>
            </w:tcBorders>
          </w:tcPr>
          <w:p w:rsidR="00576F87" w:rsidRDefault="00576F87"/>
        </w:tc>
        <w:tc>
          <w:tcPr>
            <w:tcW w:w="1145" w:type="dxa"/>
            <w:tcBorders>
              <w:top w:val="single" w:sz="8" w:space="0" w:color="269683"/>
              <w:left w:val="single" w:sz="8" w:space="0" w:color="269683"/>
              <w:bottom w:val="single" w:sz="8" w:space="0" w:color="269683"/>
              <w:right w:val="single" w:sz="15" w:space="0" w:color="269683"/>
            </w:tcBorders>
          </w:tcPr>
          <w:p w:rsidR="00576F87" w:rsidRDefault="00576F87"/>
        </w:tc>
      </w:tr>
      <w:tr w:rsidR="00576F87">
        <w:trPr>
          <w:trHeight w:val="583"/>
        </w:trPr>
        <w:tc>
          <w:tcPr>
            <w:tcW w:w="1269" w:type="dxa"/>
            <w:tcBorders>
              <w:top w:val="single" w:sz="8" w:space="0" w:color="269683"/>
              <w:left w:val="single" w:sz="12" w:space="0" w:color="269683"/>
              <w:bottom w:val="single" w:sz="8" w:space="0" w:color="269683"/>
              <w:right w:val="single" w:sz="8" w:space="0" w:color="269683"/>
            </w:tcBorders>
            <w:vAlign w:val="bottom"/>
          </w:tcPr>
          <w:p w:rsidR="00576F87" w:rsidRDefault="004165F5">
            <w:pPr>
              <w:spacing w:after="0"/>
              <w:ind w:right="38"/>
              <w:jc w:val="right"/>
            </w:pPr>
            <w:r>
              <w:rPr>
                <w:rFonts w:ascii="Verdana" w:eastAsia="Verdana" w:hAnsi="Verdana" w:cs="Verdana"/>
                <w:sz w:val="18"/>
              </w:rPr>
              <w:t>-</w:t>
            </w:r>
          </w:p>
        </w:tc>
        <w:tc>
          <w:tcPr>
            <w:tcW w:w="1258"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38"/>
              <w:jc w:val="right"/>
            </w:pPr>
            <w:r>
              <w:rPr>
                <w:rFonts w:ascii="Verdana" w:eastAsia="Verdana" w:hAnsi="Verdana" w:cs="Verdana"/>
                <w:sz w:val="18"/>
              </w:rPr>
              <w:t>(458)</w:t>
            </w:r>
          </w:p>
        </w:tc>
        <w:tc>
          <w:tcPr>
            <w:tcW w:w="4205"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pPr>
            <w:r>
              <w:rPr>
                <w:rFonts w:ascii="Verdana" w:eastAsia="Verdana" w:hAnsi="Verdana" w:cs="Verdana"/>
                <w:sz w:val="18"/>
              </w:rPr>
              <w:t>Tax (expense)/credit of LPP Joint Venture</w:t>
            </w:r>
          </w:p>
        </w:tc>
        <w:tc>
          <w:tcPr>
            <w:tcW w:w="773"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20"/>
              <w:jc w:val="center"/>
            </w:pPr>
            <w:r>
              <w:rPr>
                <w:rFonts w:ascii="Verdana" w:eastAsia="Verdana" w:hAnsi="Verdana" w:cs="Verdana"/>
                <w:sz w:val="18"/>
              </w:rPr>
              <w:t>16</w:t>
            </w:r>
          </w:p>
        </w:tc>
        <w:tc>
          <w:tcPr>
            <w:tcW w:w="1111"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38"/>
              <w:jc w:val="right"/>
            </w:pPr>
            <w:r>
              <w:rPr>
                <w:rFonts w:ascii="Verdana" w:eastAsia="Verdana" w:hAnsi="Verdana" w:cs="Verdana"/>
                <w:sz w:val="18"/>
              </w:rPr>
              <w:t>-</w:t>
            </w:r>
          </w:p>
        </w:tc>
        <w:tc>
          <w:tcPr>
            <w:tcW w:w="1145" w:type="dxa"/>
            <w:tcBorders>
              <w:top w:val="single" w:sz="8" w:space="0" w:color="269683"/>
              <w:left w:val="single" w:sz="8" w:space="0" w:color="269683"/>
              <w:bottom w:val="single" w:sz="8" w:space="0" w:color="269683"/>
              <w:right w:val="single" w:sz="15" w:space="0" w:color="269683"/>
            </w:tcBorders>
            <w:vAlign w:val="bottom"/>
          </w:tcPr>
          <w:p w:rsidR="00576F87" w:rsidRDefault="004165F5">
            <w:pPr>
              <w:spacing w:after="0"/>
              <w:ind w:right="39"/>
              <w:jc w:val="right"/>
            </w:pPr>
            <w:r>
              <w:rPr>
                <w:rFonts w:ascii="Verdana" w:eastAsia="Verdana" w:hAnsi="Verdana" w:cs="Verdana"/>
                <w:sz w:val="18"/>
              </w:rPr>
              <w:t>191</w:t>
            </w:r>
          </w:p>
        </w:tc>
      </w:tr>
      <w:tr w:rsidR="00576F87">
        <w:trPr>
          <w:trHeight w:val="535"/>
        </w:trPr>
        <w:tc>
          <w:tcPr>
            <w:tcW w:w="1269" w:type="dxa"/>
            <w:tcBorders>
              <w:top w:val="single" w:sz="8" w:space="0" w:color="269683"/>
              <w:left w:val="single" w:sz="12" w:space="0" w:color="269683"/>
              <w:bottom w:val="single" w:sz="8" w:space="0" w:color="269683"/>
              <w:right w:val="single" w:sz="8" w:space="0" w:color="269683"/>
            </w:tcBorders>
            <w:vAlign w:val="bottom"/>
          </w:tcPr>
          <w:p w:rsidR="00576F87" w:rsidRDefault="004165F5">
            <w:pPr>
              <w:spacing w:after="0"/>
              <w:ind w:right="43"/>
              <w:jc w:val="right"/>
            </w:pPr>
            <w:r>
              <w:rPr>
                <w:rFonts w:ascii="Verdana" w:eastAsia="Verdana" w:hAnsi="Verdana" w:cs="Verdana"/>
                <w:b/>
                <w:sz w:val="18"/>
              </w:rPr>
              <w:t>6,360</w:t>
            </w:r>
          </w:p>
        </w:tc>
        <w:tc>
          <w:tcPr>
            <w:tcW w:w="1258"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43"/>
              <w:jc w:val="right"/>
            </w:pPr>
            <w:r>
              <w:rPr>
                <w:rFonts w:ascii="Verdana" w:eastAsia="Verdana" w:hAnsi="Verdana" w:cs="Verdana"/>
                <w:b/>
                <w:sz w:val="18"/>
              </w:rPr>
              <w:t>4,053</w:t>
            </w:r>
          </w:p>
        </w:tc>
        <w:tc>
          <w:tcPr>
            <w:tcW w:w="4205"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left="5"/>
            </w:pPr>
            <w:r>
              <w:rPr>
                <w:rFonts w:ascii="Verdana" w:eastAsia="Verdana" w:hAnsi="Verdana" w:cs="Verdana"/>
                <w:b/>
                <w:sz w:val="18"/>
              </w:rPr>
              <w:t>Surplus/(deficit) for the financial year</w:t>
            </w:r>
          </w:p>
        </w:tc>
        <w:tc>
          <w:tcPr>
            <w:tcW w:w="773" w:type="dxa"/>
            <w:tcBorders>
              <w:top w:val="single" w:sz="8" w:space="0" w:color="269683"/>
              <w:left w:val="single" w:sz="8" w:space="0" w:color="269683"/>
              <w:bottom w:val="single" w:sz="8" w:space="0" w:color="269683"/>
              <w:right w:val="single" w:sz="8" w:space="0" w:color="269683"/>
            </w:tcBorders>
          </w:tcPr>
          <w:p w:rsidR="00576F87" w:rsidRDefault="00576F87"/>
        </w:tc>
        <w:tc>
          <w:tcPr>
            <w:tcW w:w="1111"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44"/>
              <w:jc w:val="right"/>
            </w:pPr>
            <w:r>
              <w:rPr>
                <w:rFonts w:ascii="Verdana" w:eastAsia="Verdana" w:hAnsi="Verdana" w:cs="Verdana"/>
                <w:b/>
                <w:sz w:val="18"/>
              </w:rPr>
              <w:t>(1,311)</w:t>
            </w:r>
          </w:p>
        </w:tc>
        <w:tc>
          <w:tcPr>
            <w:tcW w:w="1145" w:type="dxa"/>
            <w:tcBorders>
              <w:top w:val="single" w:sz="8" w:space="0" w:color="269683"/>
              <w:left w:val="single" w:sz="8" w:space="0" w:color="269683"/>
              <w:bottom w:val="single" w:sz="8" w:space="0" w:color="269683"/>
              <w:right w:val="single" w:sz="15" w:space="0" w:color="269683"/>
            </w:tcBorders>
            <w:vAlign w:val="bottom"/>
          </w:tcPr>
          <w:p w:rsidR="00576F87" w:rsidRDefault="004165F5">
            <w:pPr>
              <w:spacing w:after="0"/>
              <w:ind w:right="44"/>
              <w:jc w:val="right"/>
            </w:pPr>
            <w:r>
              <w:rPr>
                <w:rFonts w:ascii="Verdana" w:eastAsia="Verdana" w:hAnsi="Verdana" w:cs="Verdana"/>
                <w:b/>
                <w:sz w:val="18"/>
              </w:rPr>
              <w:t>(2,366)</w:t>
            </w:r>
          </w:p>
        </w:tc>
      </w:tr>
      <w:tr w:rsidR="00576F87">
        <w:trPr>
          <w:trHeight w:val="566"/>
        </w:trPr>
        <w:tc>
          <w:tcPr>
            <w:tcW w:w="1269" w:type="dxa"/>
            <w:tcBorders>
              <w:top w:val="single" w:sz="8" w:space="0" w:color="269683"/>
              <w:left w:val="single" w:sz="12" w:space="0" w:color="269683"/>
              <w:bottom w:val="single" w:sz="8" w:space="0" w:color="269683"/>
              <w:right w:val="single" w:sz="8" w:space="0" w:color="269683"/>
            </w:tcBorders>
          </w:tcPr>
          <w:p w:rsidR="00576F87" w:rsidRDefault="00576F87"/>
        </w:tc>
        <w:tc>
          <w:tcPr>
            <w:tcW w:w="1258" w:type="dxa"/>
            <w:tcBorders>
              <w:top w:val="single" w:sz="8" w:space="0" w:color="269683"/>
              <w:left w:val="single" w:sz="8" w:space="0" w:color="269683"/>
              <w:bottom w:val="single" w:sz="8" w:space="0" w:color="269683"/>
              <w:right w:val="single" w:sz="8" w:space="0" w:color="269683"/>
            </w:tcBorders>
          </w:tcPr>
          <w:p w:rsidR="00576F87" w:rsidRDefault="00576F87"/>
        </w:tc>
        <w:tc>
          <w:tcPr>
            <w:tcW w:w="4205" w:type="dxa"/>
            <w:tcBorders>
              <w:top w:val="single" w:sz="8" w:space="0" w:color="269683"/>
              <w:left w:val="single" w:sz="8" w:space="0" w:color="269683"/>
              <w:bottom w:val="single" w:sz="8" w:space="0" w:color="269683"/>
              <w:right w:val="single" w:sz="8" w:space="0" w:color="269683"/>
            </w:tcBorders>
          </w:tcPr>
          <w:p w:rsidR="00576F87" w:rsidRDefault="004165F5">
            <w:pPr>
              <w:spacing w:after="0"/>
              <w:ind w:left="5"/>
            </w:pPr>
            <w:r>
              <w:rPr>
                <w:rFonts w:ascii="Verdana" w:eastAsia="Verdana" w:hAnsi="Verdana" w:cs="Verdana"/>
                <w:b/>
                <w:sz w:val="18"/>
              </w:rPr>
              <w:t>Items that will not be reclassified to surplus/ (deficit)</w:t>
            </w:r>
          </w:p>
        </w:tc>
        <w:tc>
          <w:tcPr>
            <w:tcW w:w="773" w:type="dxa"/>
            <w:tcBorders>
              <w:top w:val="single" w:sz="8" w:space="0" w:color="269683"/>
              <w:left w:val="single" w:sz="8" w:space="0" w:color="269683"/>
              <w:bottom w:val="single" w:sz="8" w:space="0" w:color="269683"/>
              <w:right w:val="single" w:sz="8" w:space="0" w:color="269683"/>
            </w:tcBorders>
          </w:tcPr>
          <w:p w:rsidR="00576F87" w:rsidRDefault="00576F87"/>
        </w:tc>
        <w:tc>
          <w:tcPr>
            <w:tcW w:w="1111" w:type="dxa"/>
            <w:tcBorders>
              <w:top w:val="single" w:sz="8" w:space="0" w:color="269683"/>
              <w:left w:val="single" w:sz="8" w:space="0" w:color="269683"/>
              <w:bottom w:val="single" w:sz="8" w:space="0" w:color="269683"/>
              <w:right w:val="single" w:sz="8" w:space="0" w:color="269683"/>
            </w:tcBorders>
          </w:tcPr>
          <w:p w:rsidR="00576F87" w:rsidRDefault="00576F87"/>
        </w:tc>
        <w:tc>
          <w:tcPr>
            <w:tcW w:w="1145" w:type="dxa"/>
            <w:tcBorders>
              <w:top w:val="single" w:sz="8" w:space="0" w:color="269683"/>
              <w:left w:val="single" w:sz="8" w:space="0" w:color="269683"/>
              <w:bottom w:val="single" w:sz="8" w:space="0" w:color="269683"/>
              <w:right w:val="single" w:sz="15" w:space="0" w:color="269683"/>
            </w:tcBorders>
          </w:tcPr>
          <w:p w:rsidR="00576F87" w:rsidRDefault="00576F87"/>
        </w:tc>
      </w:tr>
      <w:tr w:rsidR="00576F87">
        <w:trPr>
          <w:trHeight w:val="595"/>
        </w:trPr>
        <w:tc>
          <w:tcPr>
            <w:tcW w:w="1269" w:type="dxa"/>
            <w:tcBorders>
              <w:top w:val="single" w:sz="8" w:space="0" w:color="269683"/>
              <w:left w:val="single" w:sz="12" w:space="0" w:color="269683"/>
              <w:bottom w:val="single" w:sz="8" w:space="0" w:color="269683"/>
              <w:right w:val="single" w:sz="8" w:space="0" w:color="269683"/>
            </w:tcBorders>
            <w:vAlign w:val="bottom"/>
          </w:tcPr>
          <w:p w:rsidR="00576F87" w:rsidRDefault="004165F5">
            <w:pPr>
              <w:spacing w:after="0"/>
              <w:ind w:right="34"/>
              <w:jc w:val="right"/>
            </w:pPr>
            <w:r>
              <w:rPr>
                <w:sz w:val="18"/>
              </w:rPr>
              <w:t>(5,556)</w:t>
            </w:r>
          </w:p>
        </w:tc>
        <w:tc>
          <w:tcPr>
            <w:tcW w:w="1258"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34"/>
              <w:jc w:val="right"/>
            </w:pPr>
            <w:r>
              <w:rPr>
                <w:sz w:val="18"/>
              </w:rPr>
              <w:t>(5,556)</w:t>
            </w:r>
          </w:p>
        </w:tc>
        <w:tc>
          <w:tcPr>
            <w:tcW w:w="4205" w:type="dxa"/>
            <w:tcBorders>
              <w:top w:val="single" w:sz="8" w:space="0" w:color="269683"/>
              <w:left w:val="single" w:sz="8" w:space="0" w:color="269683"/>
              <w:bottom w:val="single" w:sz="8" w:space="0" w:color="269683"/>
              <w:right w:val="single" w:sz="8" w:space="0" w:color="269683"/>
            </w:tcBorders>
          </w:tcPr>
          <w:p w:rsidR="00576F87" w:rsidRDefault="004165F5">
            <w:pPr>
              <w:spacing w:after="0"/>
            </w:pPr>
            <w:r>
              <w:rPr>
                <w:rFonts w:ascii="Verdana" w:eastAsia="Verdana" w:hAnsi="Verdana" w:cs="Verdana"/>
                <w:sz w:val="18"/>
              </w:rPr>
              <w:t>Actuarial gains/(losses) on pension assets/liabilities</w:t>
            </w:r>
          </w:p>
        </w:tc>
        <w:tc>
          <w:tcPr>
            <w:tcW w:w="773"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20"/>
              <w:jc w:val="center"/>
            </w:pPr>
            <w:r>
              <w:rPr>
                <w:rFonts w:ascii="Verdana" w:eastAsia="Verdana" w:hAnsi="Verdana" w:cs="Verdana"/>
                <w:sz w:val="18"/>
              </w:rPr>
              <w:t>11</w:t>
            </w:r>
          </w:p>
        </w:tc>
        <w:tc>
          <w:tcPr>
            <w:tcW w:w="1111"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39"/>
              <w:jc w:val="right"/>
            </w:pPr>
            <w:r>
              <w:rPr>
                <w:rFonts w:ascii="Verdana" w:eastAsia="Verdana" w:hAnsi="Verdana" w:cs="Verdana"/>
                <w:sz w:val="18"/>
              </w:rPr>
              <w:t>2,555</w:t>
            </w:r>
          </w:p>
        </w:tc>
        <w:tc>
          <w:tcPr>
            <w:tcW w:w="1145" w:type="dxa"/>
            <w:tcBorders>
              <w:top w:val="single" w:sz="8" w:space="0" w:color="269683"/>
              <w:left w:val="single" w:sz="8" w:space="0" w:color="269683"/>
              <w:bottom w:val="single" w:sz="8" w:space="0" w:color="269683"/>
              <w:right w:val="single" w:sz="15" w:space="0" w:color="269683"/>
            </w:tcBorders>
            <w:vAlign w:val="bottom"/>
          </w:tcPr>
          <w:p w:rsidR="00576F87" w:rsidRDefault="004165F5">
            <w:pPr>
              <w:spacing w:after="0"/>
              <w:ind w:right="39"/>
              <w:jc w:val="right"/>
            </w:pPr>
            <w:r>
              <w:rPr>
                <w:rFonts w:ascii="Verdana" w:eastAsia="Verdana" w:hAnsi="Verdana" w:cs="Verdana"/>
                <w:sz w:val="18"/>
              </w:rPr>
              <w:t>2,555</w:t>
            </w:r>
          </w:p>
        </w:tc>
      </w:tr>
      <w:tr w:rsidR="00576F87">
        <w:trPr>
          <w:trHeight w:val="595"/>
        </w:trPr>
        <w:tc>
          <w:tcPr>
            <w:tcW w:w="1269" w:type="dxa"/>
            <w:tcBorders>
              <w:top w:val="single" w:sz="8" w:space="0" w:color="269683"/>
              <w:left w:val="single" w:sz="12" w:space="0" w:color="269683"/>
              <w:bottom w:val="single" w:sz="8" w:space="0" w:color="269683"/>
              <w:right w:val="single" w:sz="8" w:space="0" w:color="269683"/>
            </w:tcBorders>
            <w:vAlign w:val="bottom"/>
          </w:tcPr>
          <w:p w:rsidR="00576F87" w:rsidRDefault="004165F5">
            <w:pPr>
              <w:spacing w:after="0"/>
              <w:ind w:right="38"/>
              <w:jc w:val="right"/>
            </w:pPr>
            <w:r>
              <w:rPr>
                <w:rFonts w:ascii="Verdana" w:eastAsia="Verdana" w:hAnsi="Verdana" w:cs="Verdana"/>
                <w:sz w:val="18"/>
              </w:rPr>
              <w:t>-</w:t>
            </w:r>
          </w:p>
        </w:tc>
        <w:tc>
          <w:tcPr>
            <w:tcW w:w="1258"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38"/>
              <w:jc w:val="right"/>
            </w:pPr>
            <w:r>
              <w:rPr>
                <w:rFonts w:ascii="Verdana" w:eastAsia="Verdana" w:hAnsi="Verdana" w:cs="Verdana"/>
                <w:sz w:val="18"/>
              </w:rPr>
              <w:t>(2,785)</w:t>
            </w:r>
          </w:p>
        </w:tc>
        <w:tc>
          <w:tcPr>
            <w:tcW w:w="4205"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pPr>
            <w:r>
              <w:rPr>
                <w:rFonts w:ascii="Verdana" w:eastAsia="Verdana" w:hAnsi="Verdana" w:cs="Verdana"/>
                <w:sz w:val="18"/>
              </w:rPr>
              <w:t>Share of actuarial gain of LPP Joint Venture</w:t>
            </w:r>
          </w:p>
        </w:tc>
        <w:tc>
          <w:tcPr>
            <w:tcW w:w="773"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20"/>
              <w:jc w:val="center"/>
            </w:pPr>
            <w:r>
              <w:rPr>
                <w:rFonts w:ascii="Verdana" w:eastAsia="Verdana" w:hAnsi="Verdana" w:cs="Verdana"/>
                <w:sz w:val="18"/>
              </w:rPr>
              <w:t>16</w:t>
            </w:r>
          </w:p>
        </w:tc>
        <w:tc>
          <w:tcPr>
            <w:tcW w:w="1111"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38"/>
              <w:jc w:val="right"/>
            </w:pPr>
            <w:r>
              <w:rPr>
                <w:rFonts w:ascii="Verdana" w:eastAsia="Verdana" w:hAnsi="Verdana" w:cs="Verdana"/>
                <w:sz w:val="18"/>
              </w:rPr>
              <w:t>-</w:t>
            </w:r>
          </w:p>
        </w:tc>
        <w:tc>
          <w:tcPr>
            <w:tcW w:w="1145" w:type="dxa"/>
            <w:tcBorders>
              <w:top w:val="single" w:sz="8" w:space="0" w:color="269683"/>
              <w:left w:val="single" w:sz="8" w:space="0" w:color="269683"/>
              <w:bottom w:val="single" w:sz="8" w:space="0" w:color="269683"/>
              <w:right w:val="single" w:sz="15" w:space="0" w:color="269683"/>
            </w:tcBorders>
            <w:vAlign w:val="bottom"/>
          </w:tcPr>
          <w:p w:rsidR="00576F87" w:rsidRDefault="004165F5">
            <w:pPr>
              <w:spacing w:after="0"/>
              <w:ind w:right="39"/>
              <w:jc w:val="right"/>
            </w:pPr>
            <w:r>
              <w:rPr>
                <w:rFonts w:ascii="Verdana" w:eastAsia="Verdana" w:hAnsi="Verdana" w:cs="Verdana"/>
                <w:sz w:val="18"/>
              </w:rPr>
              <w:t>2,531</w:t>
            </w:r>
          </w:p>
        </w:tc>
      </w:tr>
      <w:tr w:rsidR="00576F87">
        <w:trPr>
          <w:trHeight w:val="552"/>
        </w:trPr>
        <w:tc>
          <w:tcPr>
            <w:tcW w:w="1269" w:type="dxa"/>
            <w:tcBorders>
              <w:top w:val="single" w:sz="8" w:space="0" w:color="269683"/>
              <w:left w:val="single" w:sz="12" w:space="0" w:color="269683"/>
              <w:bottom w:val="single" w:sz="8" w:space="0" w:color="269683"/>
              <w:right w:val="single" w:sz="8" w:space="0" w:color="269683"/>
            </w:tcBorders>
            <w:vAlign w:val="bottom"/>
          </w:tcPr>
          <w:p w:rsidR="00576F87" w:rsidRDefault="004165F5">
            <w:pPr>
              <w:spacing w:after="0"/>
              <w:ind w:right="38"/>
              <w:jc w:val="right"/>
            </w:pPr>
            <w:r>
              <w:rPr>
                <w:rFonts w:ascii="Verdana" w:eastAsia="Verdana" w:hAnsi="Verdana" w:cs="Verdana"/>
                <w:sz w:val="18"/>
              </w:rPr>
              <w:t>-</w:t>
            </w:r>
          </w:p>
        </w:tc>
        <w:tc>
          <w:tcPr>
            <w:tcW w:w="1258"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39"/>
              <w:jc w:val="right"/>
            </w:pPr>
            <w:r>
              <w:rPr>
                <w:rFonts w:ascii="Verdana" w:eastAsia="Verdana" w:hAnsi="Verdana" w:cs="Verdana"/>
                <w:sz w:val="18"/>
              </w:rPr>
              <w:t>474</w:t>
            </w:r>
          </w:p>
        </w:tc>
        <w:tc>
          <w:tcPr>
            <w:tcW w:w="4205" w:type="dxa"/>
            <w:tcBorders>
              <w:top w:val="single" w:sz="8" w:space="0" w:color="269683"/>
              <w:left w:val="single" w:sz="8" w:space="0" w:color="269683"/>
              <w:bottom w:val="single" w:sz="8" w:space="0" w:color="269683"/>
              <w:right w:val="single" w:sz="8" w:space="0" w:color="269683"/>
            </w:tcBorders>
          </w:tcPr>
          <w:p w:rsidR="00576F87" w:rsidRDefault="004165F5">
            <w:pPr>
              <w:spacing w:after="3"/>
            </w:pPr>
            <w:r>
              <w:rPr>
                <w:rFonts w:ascii="Verdana" w:eastAsia="Verdana" w:hAnsi="Verdana" w:cs="Verdana"/>
                <w:sz w:val="18"/>
              </w:rPr>
              <w:t xml:space="preserve">Deferred tax on actuarial Loss in LPP Joint </w:t>
            </w:r>
          </w:p>
          <w:p w:rsidR="00576F87" w:rsidRDefault="004165F5">
            <w:pPr>
              <w:spacing w:after="0"/>
            </w:pPr>
            <w:r>
              <w:rPr>
                <w:rFonts w:ascii="Verdana" w:eastAsia="Verdana" w:hAnsi="Verdana" w:cs="Verdana"/>
                <w:sz w:val="18"/>
              </w:rPr>
              <w:t>Venture</w:t>
            </w:r>
          </w:p>
        </w:tc>
        <w:tc>
          <w:tcPr>
            <w:tcW w:w="773"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20"/>
              <w:jc w:val="center"/>
            </w:pPr>
            <w:r>
              <w:rPr>
                <w:rFonts w:ascii="Verdana" w:eastAsia="Verdana" w:hAnsi="Verdana" w:cs="Verdana"/>
                <w:sz w:val="18"/>
              </w:rPr>
              <w:t>16</w:t>
            </w:r>
          </w:p>
        </w:tc>
        <w:tc>
          <w:tcPr>
            <w:tcW w:w="1111"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38"/>
              <w:jc w:val="right"/>
            </w:pPr>
            <w:r>
              <w:rPr>
                <w:rFonts w:ascii="Verdana" w:eastAsia="Verdana" w:hAnsi="Verdana" w:cs="Verdana"/>
                <w:sz w:val="18"/>
              </w:rPr>
              <w:t>-</w:t>
            </w:r>
          </w:p>
        </w:tc>
        <w:tc>
          <w:tcPr>
            <w:tcW w:w="1145" w:type="dxa"/>
            <w:tcBorders>
              <w:top w:val="single" w:sz="8" w:space="0" w:color="269683"/>
              <w:left w:val="single" w:sz="8" w:space="0" w:color="269683"/>
              <w:bottom w:val="single" w:sz="8" w:space="0" w:color="269683"/>
              <w:right w:val="single" w:sz="15" w:space="0" w:color="269683"/>
            </w:tcBorders>
            <w:vAlign w:val="bottom"/>
          </w:tcPr>
          <w:p w:rsidR="00576F87" w:rsidRDefault="004165F5">
            <w:pPr>
              <w:spacing w:after="0"/>
              <w:ind w:right="38"/>
              <w:jc w:val="right"/>
            </w:pPr>
            <w:r>
              <w:rPr>
                <w:rFonts w:ascii="Verdana" w:eastAsia="Verdana" w:hAnsi="Verdana" w:cs="Verdana"/>
                <w:sz w:val="18"/>
              </w:rPr>
              <w:t>(430)</w:t>
            </w:r>
          </w:p>
        </w:tc>
      </w:tr>
      <w:tr w:rsidR="00576F87">
        <w:trPr>
          <w:trHeight w:val="624"/>
        </w:trPr>
        <w:tc>
          <w:tcPr>
            <w:tcW w:w="1269"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44"/>
              <w:jc w:val="right"/>
            </w:pPr>
            <w:r>
              <w:rPr>
                <w:rFonts w:ascii="Verdana" w:eastAsia="Verdana" w:hAnsi="Verdana" w:cs="Verdana"/>
                <w:b/>
                <w:sz w:val="18"/>
              </w:rPr>
              <w:t>(5,556)</w:t>
            </w:r>
          </w:p>
        </w:tc>
        <w:tc>
          <w:tcPr>
            <w:tcW w:w="1258"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44"/>
              <w:jc w:val="right"/>
            </w:pPr>
            <w:r>
              <w:rPr>
                <w:rFonts w:ascii="Verdana" w:eastAsia="Verdana" w:hAnsi="Verdana" w:cs="Verdana"/>
                <w:b/>
                <w:sz w:val="18"/>
              </w:rPr>
              <w:t>(7,868)</w:t>
            </w:r>
          </w:p>
        </w:tc>
        <w:tc>
          <w:tcPr>
            <w:tcW w:w="4205" w:type="dxa"/>
            <w:tcBorders>
              <w:top w:val="single" w:sz="8" w:space="0" w:color="269683"/>
              <w:left w:val="single" w:sz="8" w:space="0" w:color="269683"/>
              <w:bottom w:val="single" w:sz="8" w:space="0" w:color="269683"/>
              <w:right w:val="single" w:sz="8" w:space="0" w:color="269683"/>
            </w:tcBorders>
          </w:tcPr>
          <w:p w:rsidR="00576F87" w:rsidRDefault="004165F5">
            <w:pPr>
              <w:spacing w:after="3"/>
              <w:ind w:left="5"/>
            </w:pPr>
            <w:r>
              <w:rPr>
                <w:rFonts w:ascii="Verdana" w:eastAsia="Verdana" w:hAnsi="Verdana" w:cs="Verdana"/>
                <w:b/>
                <w:sz w:val="18"/>
              </w:rPr>
              <w:t xml:space="preserve">Other Comprehensive Income and </w:t>
            </w:r>
          </w:p>
          <w:p w:rsidR="00576F87" w:rsidRDefault="004165F5">
            <w:pPr>
              <w:spacing w:after="0"/>
              <w:ind w:left="5"/>
            </w:pPr>
            <w:r>
              <w:rPr>
                <w:rFonts w:ascii="Verdana" w:eastAsia="Verdana" w:hAnsi="Verdana" w:cs="Verdana"/>
                <w:b/>
                <w:sz w:val="18"/>
              </w:rPr>
              <w:t>Expenditure</w:t>
            </w:r>
          </w:p>
        </w:tc>
        <w:tc>
          <w:tcPr>
            <w:tcW w:w="773" w:type="dxa"/>
            <w:tcBorders>
              <w:top w:val="single" w:sz="8" w:space="0" w:color="269683"/>
              <w:left w:val="single" w:sz="8" w:space="0" w:color="269683"/>
              <w:bottom w:val="single" w:sz="8" w:space="0" w:color="269683"/>
              <w:right w:val="single" w:sz="8" w:space="0" w:color="269683"/>
            </w:tcBorders>
          </w:tcPr>
          <w:p w:rsidR="00576F87" w:rsidRDefault="00576F87"/>
        </w:tc>
        <w:tc>
          <w:tcPr>
            <w:tcW w:w="1111"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42"/>
              <w:jc w:val="right"/>
            </w:pPr>
            <w:r>
              <w:rPr>
                <w:rFonts w:ascii="Verdana" w:eastAsia="Verdana" w:hAnsi="Verdana" w:cs="Verdana"/>
                <w:b/>
                <w:sz w:val="18"/>
              </w:rPr>
              <w:t>2,555</w:t>
            </w:r>
          </w:p>
        </w:tc>
        <w:tc>
          <w:tcPr>
            <w:tcW w:w="1145" w:type="dxa"/>
            <w:tcBorders>
              <w:top w:val="single" w:sz="8" w:space="0" w:color="269683"/>
              <w:left w:val="single" w:sz="8" w:space="0" w:color="269683"/>
              <w:bottom w:val="single" w:sz="8" w:space="0" w:color="269683"/>
              <w:right w:val="single" w:sz="8" w:space="0" w:color="269683"/>
            </w:tcBorders>
            <w:vAlign w:val="bottom"/>
          </w:tcPr>
          <w:p w:rsidR="00576F87" w:rsidRDefault="004165F5">
            <w:pPr>
              <w:spacing w:after="0"/>
              <w:ind w:right="42"/>
              <w:jc w:val="right"/>
            </w:pPr>
            <w:r>
              <w:rPr>
                <w:rFonts w:ascii="Verdana" w:eastAsia="Verdana" w:hAnsi="Verdana" w:cs="Verdana"/>
                <w:b/>
                <w:sz w:val="18"/>
              </w:rPr>
              <w:t>4,656</w:t>
            </w:r>
          </w:p>
        </w:tc>
      </w:tr>
      <w:tr w:rsidR="00576F87">
        <w:trPr>
          <w:trHeight w:val="552"/>
        </w:trPr>
        <w:tc>
          <w:tcPr>
            <w:tcW w:w="1269" w:type="dxa"/>
            <w:tcBorders>
              <w:top w:val="single" w:sz="8" w:space="0" w:color="269683"/>
              <w:left w:val="single" w:sz="8" w:space="0" w:color="269683"/>
              <w:bottom w:val="single" w:sz="15" w:space="0" w:color="269683"/>
              <w:right w:val="single" w:sz="8" w:space="0" w:color="269683"/>
            </w:tcBorders>
            <w:shd w:val="clear" w:color="auto" w:fill="209287"/>
            <w:vAlign w:val="bottom"/>
          </w:tcPr>
          <w:p w:rsidR="00576F87" w:rsidRDefault="004165F5">
            <w:pPr>
              <w:spacing w:after="0"/>
              <w:ind w:right="38"/>
              <w:jc w:val="right"/>
            </w:pPr>
            <w:r>
              <w:rPr>
                <w:rFonts w:ascii="Verdana" w:eastAsia="Verdana" w:hAnsi="Verdana" w:cs="Verdana"/>
                <w:b/>
                <w:color w:val="FFFFFF"/>
                <w:sz w:val="18"/>
              </w:rPr>
              <w:t>804</w:t>
            </w:r>
          </w:p>
        </w:tc>
        <w:tc>
          <w:tcPr>
            <w:tcW w:w="1258" w:type="dxa"/>
            <w:tcBorders>
              <w:top w:val="single" w:sz="8" w:space="0" w:color="269683"/>
              <w:left w:val="single" w:sz="8" w:space="0" w:color="269683"/>
              <w:bottom w:val="single" w:sz="15" w:space="0" w:color="269683"/>
              <w:right w:val="single" w:sz="8" w:space="0" w:color="269683"/>
            </w:tcBorders>
            <w:shd w:val="clear" w:color="auto" w:fill="209287"/>
            <w:vAlign w:val="bottom"/>
          </w:tcPr>
          <w:p w:rsidR="00576F87" w:rsidRDefault="004165F5">
            <w:pPr>
              <w:spacing w:after="0"/>
              <w:ind w:right="39"/>
              <w:jc w:val="right"/>
            </w:pPr>
            <w:r>
              <w:rPr>
                <w:rFonts w:ascii="Verdana" w:eastAsia="Verdana" w:hAnsi="Verdana" w:cs="Verdana"/>
                <w:b/>
                <w:color w:val="FFFFFF"/>
                <w:sz w:val="18"/>
              </w:rPr>
              <w:t>(3,815)</w:t>
            </w:r>
          </w:p>
        </w:tc>
        <w:tc>
          <w:tcPr>
            <w:tcW w:w="4205" w:type="dxa"/>
            <w:tcBorders>
              <w:top w:val="single" w:sz="8" w:space="0" w:color="269683"/>
              <w:left w:val="single" w:sz="8" w:space="0" w:color="269683"/>
              <w:bottom w:val="single" w:sz="15" w:space="0" w:color="269683"/>
              <w:right w:val="single" w:sz="8" w:space="0" w:color="269683"/>
            </w:tcBorders>
            <w:shd w:val="clear" w:color="auto" w:fill="209287"/>
          </w:tcPr>
          <w:p w:rsidR="00576F87" w:rsidRDefault="004165F5">
            <w:pPr>
              <w:spacing w:after="3"/>
              <w:ind w:left="5"/>
            </w:pPr>
            <w:r>
              <w:rPr>
                <w:rFonts w:ascii="Verdana" w:eastAsia="Verdana" w:hAnsi="Verdana" w:cs="Verdana"/>
                <w:b/>
                <w:color w:val="FFFFFF"/>
                <w:sz w:val="18"/>
              </w:rPr>
              <w:t xml:space="preserve">Total Comprehensive Income and </w:t>
            </w:r>
          </w:p>
          <w:p w:rsidR="00576F87" w:rsidRDefault="004165F5">
            <w:pPr>
              <w:spacing w:after="0"/>
              <w:ind w:left="5"/>
            </w:pPr>
            <w:r>
              <w:rPr>
                <w:rFonts w:ascii="Verdana" w:eastAsia="Verdana" w:hAnsi="Verdana" w:cs="Verdana"/>
                <w:b/>
                <w:color w:val="FFFFFF"/>
                <w:sz w:val="18"/>
              </w:rPr>
              <w:t>Expenditure</w:t>
            </w:r>
          </w:p>
        </w:tc>
        <w:tc>
          <w:tcPr>
            <w:tcW w:w="773" w:type="dxa"/>
            <w:tcBorders>
              <w:top w:val="single" w:sz="8" w:space="0" w:color="269683"/>
              <w:left w:val="single" w:sz="8" w:space="0" w:color="269683"/>
              <w:bottom w:val="single" w:sz="15" w:space="0" w:color="269683"/>
              <w:right w:val="single" w:sz="8" w:space="0" w:color="269683"/>
            </w:tcBorders>
            <w:shd w:val="clear" w:color="auto" w:fill="209287"/>
          </w:tcPr>
          <w:p w:rsidR="00576F87" w:rsidRDefault="00576F87"/>
        </w:tc>
        <w:tc>
          <w:tcPr>
            <w:tcW w:w="1111" w:type="dxa"/>
            <w:tcBorders>
              <w:top w:val="single" w:sz="8" w:space="0" w:color="269683"/>
              <w:left w:val="single" w:sz="8" w:space="0" w:color="269683"/>
              <w:bottom w:val="single" w:sz="15" w:space="0" w:color="269683"/>
              <w:right w:val="single" w:sz="8" w:space="0" w:color="269683"/>
            </w:tcBorders>
            <w:shd w:val="clear" w:color="auto" w:fill="209287"/>
            <w:vAlign w:val="bottom"/>
          </w:tcPr>
          <w:p w:rsidR="00576F87" w:rsidRDefault="004165F5">
            <w:pPr>
              <w:spacing w:after="0"/>
              <w:ind w:right="38"/>
              <w:jc w:val="right"/>
            </w:pPr>
            <w:r>
              <w:rPr>
                <w:rFonts w:ascii="Verdana" w:eastAsia="Verdana" w:hAnsi="Verdana" w:cs="Verdana"/>
                <w:b/>
                <w:color w:val="FFFFFF"/>
                <w:sz w:val="18"/>
              </w:rPr>
              <w:t>1,244</w:t>
            </w:r>
          </w:p>
        </w:tc>
        <w:tc>
          <w:tcPr>
            <w:tcW w:w="1145" w:type="dxa"/>
            <w:tcBorders>
              <w:top w:val="single" w:sz="8" w:space="0" w:color="269683"/>
              <w:left w:val="single" w:sz="8" w:space="0" w:color="269683"/>
              <w:bottom w:val="single" w:sz="15" w:space="0" w:color="269683"/>
              <w:right w:val="single" w:sz="8" w:space="0" w:color="269683"/>
            </w:tcBorders>
            <w:shd w:val="clear" w:color="auto" w:fill="209287"/>
            <w:vAlign w:val="bottom"/>
          </w:tcPr>
          <w:p w:rsidR="00576F87" w:rsidRDefault="004165F5">
            <w:pPr>
              <w:spacing w:after="0"/>
              <w:ind w:right="38"/>
              <w:jc w:val="right"/>
            </w:pPr>
            <w:r>
              <w:rPr>
                <w:rFonts w:ascii="Verdana" w:eastAsia="Verdana" w:hAnsi="Verdana" w:cs="Verdana"/>
                <w:b/>
                <w:color w:val="FFFFFF"/>
                <w:sz w:val="18"/>
              </w:rPr>
              <w:t>2,290</w:t>
            </w:r>
          </w:p>
        </w:tc>
      </w:tr>
    </w:tbl>
    <w:p w:rsidR="00576F87" w:rsidRDefault="004165F5">
      <w:pPr>
        <w:spacing w:after="146" w:line="268" w:lineRule="auto"/>
        <w:ind w:left="557" w:hanging="3"/>
        <w:jc w:val="both"/>
      </w:pPr>
      <w:r>
        <w:rPr>
          <w:rFonts w:ascii="Verdana" w:eastAsia="Verdana" w:hAnsi="Verdana" w:cs="Verdana"/>
          <w:sz w:val="18"/>
        </w:rPr>
        <w:t>Financing and Investment Income and Expenditure is the net interest on the defined benefit liability and the nominal administration cost.</w:t>
      </w:r>
    </w:p>
    <w:p w:rsidR="00576F87" w:rsidRDefault="004165F5">
      <w:pPr>
        <w:spacing w:after="841" w:line="268" w:lineRule="auto"/>
        <w:ind w:left="557" w:right="124" w:hanging="3"/>
        <w:jc w:val="both"/>
      </w:pPr>
      <w:r>
        <w:rPr>
          <w:rFonts w:ascii="Verdana" w:eastAsia="Verdana" w:hAnsi="Verdana" w:cs="Verdana"/>
          <w:sz w:val="18"/>
        </w:rPr>
        <w:t>The exceptional income of £6,509K is the extinguished pension liability net of the settlement paid to transfer the pension liability to the LPP partnership on the transfer of staff to the new entity. The exceptional cost of £4,029K disclosed in the group a</w:t>
      </w:r>
      <w:r>
        <w:rPr>
          <w:rFonts w:ascii="Verdana" w:eastAsia="Verdana" w:hAnsi="Verdana" w:cs="Verdana"/>
          <w:sz w:val="18"/>
        </w:rPr>
        <w:t>ccounts is 50% of the pension liability within the LPPJoint Venture.</w:t>
      </w:r>
    </w:p>
    <w:p w:rsidR="00576F87" w:rsidRDefault="004165F5">
      <w:pPr>
        <w:spacing w:after="6"/>
        <w:ind w:left="848" w:right="356" w:hanging="10"/>
        <w:jc w:val="center"/>
      </w:pPr>
      <w:r>
        <w:t>70</w:t>
      </w:r>
    </w:p>
    <w:p w:rsidR="00576F87" w:rsidRDefault="004165F5">
      <w:pPr>
        <w:spacing w:after="12"/>
        <w:ind w:left="562"/>
      </w:pPr>
      <w:r>
        <w:rPr>
          <w:rFonts w:ascii="Verdana" w:eastAsia="Verdana" w:hAnsi="Verdana" w:cs="Verdana"/>
          <w:sz w:val="24"/>
        </w:rPr>
        <w:t>Group Balance Sheet as at 31 March 2018</w:t>
      </w:r>
    </w:p>
    <w:tbl>
      <w:tblPr>
        <w:tblStyle w:val="TableGrid"/>
        <w:tblW w:w="9830" w:type="dxa"/>
        <w:tblInd w:w="514" w:type="dxa"/>
        <w:tblCellMar>
          <w:top w:w="60" w:type="dxa"/>
          <w:left w:w="38" w:type="dxa"/>
          <w:bottom w:w="31" w:type="dxa"/>
          <w:right w:w="0" w:type="dxa"/>
        </w:tblCellMar>
        <w:tblLook w:val="04A0" w:firstRow="1" w:lastRow="0" w:firstColumn="1" w:lastColumn="0" w:noHBand="0" w:noVBand="1"/>
      </w:tblPr>
      <w:tblGrid>
        <w:gridCol w:w="1337"/>
        <w:gridCol w:w="1370"/>
        <w:gridCol w:w="3818"/>
        <w:gridCol w:w="919"/>
        <w:gridCol w:w="1193"/>
        <w:gridCol w:w="1193"/>
      </w:tblGrid>
      <w:tr w:rsidR="00576F87">
        <w:trPr>
          <w:trHeight w:val="552"/>
        </w:trPr>
        <w:tc>
          <w:tcPr>
            <w:tcW w:w="1337" w:type="dxa"/>
            <w:tcBorders>
              <w:top w:val="single" w:sz="15" w:space="0" w:color="209287"/>
              <w:left w:val="single" w:sz="15" w:space="0" w:color="209287"/>
              <w:bottom w:val="single" w:sz="8" w:space="0" w:color="209287"/>
              <w:right w:val="single" w:sz="8" w:space="0" w:color="209287"/>
            </w:tcBorders>
            <w:shd w:val="clear" w:color="auto" w:fill="1F938D"/>
          </w:tcPr>
          <w:p w:rsidR="00576F87" w:rsidRDefault="004165F5">
            <w:pPr>
              <w:spacing w:after="3"/>
              <w:ind w:right="36"/>
              <w:jc w:val="right"/>
            </w:pPr>
            <w:r>
              <w:rPr>
                <w:rFonts w:ascii="Verdana" w:eastAsia="Verdana" w:hAnsi="Verdana" w:cs="Verdana"/>
                <w:b/>
                <w:color w:val="FFFFFF"/>
                <w:sz w:val="18"/>
              </w:rPr>
              <w:t xml:space="preserve">31 March </w:t>
            </w:r>
          </w:p>
          <w:p w:rsidR="00576F87" w:rsidRDefault="004165F5">
            <w:pPr>
              <w:spacing w:after="0"/>
              <w:ind w:right="36"/>
              <w:jc w:val="right"/>
            </w:pPr>
            <w:r>
              <w:rPr>
                <w:rFonts w:ascii="Verdana" w:eastAsia="Verdana" w:hAnsi="Verdana" w:cs="Verdana"/>
                <w:b/>
                <w:color w:val="FFFFFF"/>
                <w:sz w:val="18"/>
              </w:rPr>
              <w:t>2017</w:t>
            </w:r>
          </w:p>
        </w:tc>
        <w:tc>
          <w:tcPr>
            <w:tcW w:w="1370" w:type="dxa"/>
            <w:tcBorders>
              <w:top w:val="single" w:sz="15" w:space="0" w:color="209287"/>
              <w:left w:val="single" w:sz="8" w:space="0" w:color="209287"/>
              <w:bottom w:val="single" w:sz="8" w:space="0" w:color="209287"/>
              <w:right w:val="single" w:sz="8" w:space="0" w:color="209287"/>
            </w:tcBorders>
            <w:shd w:val="clear" w:color="auto" w:fill="1F938D"/>
          </w:tcPr>
          <w:p w:rsidR="00576F87" w:rsidRDefault="004165F5">
            <w:pPr>
              <w:spacing w:after="3"/>
              <w:ind w:right="36"/>
              <w:jc w:val="right"/>
            </w:pPr>
            <w:r>
              <w:rPr>
                <w:rFonts w:ascii="Verdana" w:eastAsia="Verdana" w:hAnsi="Verdana" w:cs="Verdana"/>
                <w:b/>
                <w:color w:val="FFFFFF"/>
                <w:sz w:val="18"/>
              </w:rPr>
              <w:t xml:space="preserve">31 March </w:t>
            </w:r>
          </w:p>
          <w:p w:rsidR="00576F87" w:rsidRDefault="004165F5">
            <w:pPr>
              <w:spacing w:after="0"/>
              <w:ind w:right="36"/>
              <w:jc w:val="right"/>
            </w:pPr>
            <w:r>
              <w:rPr>
                <w:rFonts w:ascii="Verdana" w:eastAsia="Verdana" w:hAnsi="Verdana" w:cs="Verdana"/>
                <w:b/>
                <w:color w:val="FFFFFF"/>
                <w:sz w:val="18"/>
              </w:rPr>
              <w:t>2017</w:t>
            </w:r>
          </w:p>
        </w:tc>
        <w:tc>
          <w:tcPr>
            <w:tcW w:w="3818" w:type="dxa"/>
            <w:tcBorders>
              <w:top w:val="single" w:sz="15" w:space="0" w:color="209287"/>
              <w:left w:val="single" w:sz="8" w:space="0" w:color="209287"/>
              <w:bottom w:val="single" w:sz="8" w:space="0" w:color="209287"/>
              <w:right w:val="single" w:sz="8" w:space="0" w:color="209287"/>
            </w:tcBorders>
            <w:shd w:val="clear" w:color="auto" w:fill="1F938D"/>
          </w:tcPr>
          <w:p w:rsidR="00576F87" w:rsidRDefault="00576F87"/>
        </w:tc>
        <w:tc>
          <w:tcPr>
            <w:tcW w:w="919" w:type="dxa"/>
            <w:tcBorders>
              <w:top w:val="single" w:sz="15" w:space="0" w:color="209287"/>
              <w:left w:val="single" w:sz="8" w:space="0" w:color="209287"/>
              <w:bottom w:val="single" w:sz="8" w:space="0" w:color="209287"/>
              <w:right w:val="single" w:sz="8" w:space="0" w:color="209287"/>
            </w:tcBorders>
            <w:shd w:val="clear" w:color="auto" w:fill="1F938D"/>
            <w:vAlign w:val="bottom"/>
          </w:tcPr>
          <w:p w:rsidR="00576F87" w:rsidRDefault="004165F5">
            <w:pPr>
              <w:spacing w:after="0"/>
              <w:ind w:left="130"/>
            </w:pPr>
            <w:r>
              <w:rPr>
                <w:rFonts w:ascii="Verdana" w:eastAsia="Verdana" w:hAnsi="Verdana" w:cs="Verdana"/>
                <w:b/>
                <w:color w:val="FFFFFF"/>
                <w:sz w:val="18"/>
              </w:rPr>
              <w:t>Notes</w:t>
            </w:r>
          </w:p>
        </w:tc>
        <w:tc>
          <w:tcPr>
            <w:tcW w:w="1193" w:type="dxa"/>
            <w:tcBorders>
              <w:top w:val="single" w:sz="15" w:space="0" w:color="209287"/>
              <w:left w:val="single" w:sz="8" w:space="0" w:color="209287"/>
              <w:bottom w:val="single" w:sz="8" w:space="0" w:color="209287"/>
              <w:right w:val="single" w:sz="8" w:space="0" w:color="209287"/>
            </w:tcBorders>
            <w:shd w:val="clear" w:color="auto" w:fill="1F938D"/>
          </w:tcPr>
          <w:p w:rsidR="00576F87" w:rsidRDefault="004165F5">
            <w:pPr>
              <w:spacing w:after="3"/>
              <w:ind w:right="36"/>
              <w:jc w:val="right"/>
            </w:pPr>
            <w:r>
              <w:rPr>
                <w:rFonts w:ascii="Verdana" w:eastAsia="Verdana" w:hAnsi="Verdana" w:cs="Verdana"/>
                <w:b/>
                <w:color w:val="FFFFFF"/>
                <w:sz w:val="18"/>
              </w:rPr>
              <w:t xml:space="preserve">31 March </w:t>
            </w:r>
          </w:p>
          <w:p w:rsidR="00576F87" w:rsidRDefault="004165F5">
            <w:pPr>
              <w:spacing w:after="0"/>
              <w:ind w:right="36"/>
              <w:jc w:val="right"/>
            </w:pPr>
            <w:r>
              <w:rPr>
                <w:rFonts w:ascii="Verdana" w:eastAsia="Verdana" w:hAnsi="Verdana" w:cs="Verdana"/>
                <w:b/>
                <w:color w:val="FFFFFF"/>
                <w:sz w:val="18"/>
              </w:rPr>
              <w:t>2018</w:t>
            </w:r>
          </w:p>
        </w:tc>
        <w:tc>
          <w:tcPr>
            <w:tcW w:w="1193" w:type="dxa"/>
            <w:tcBorders>
              <w:top w:val="single" w:sz="15" w:space="0" w:color="209287"/>
              <w:left w:val="single" w:sz="8" w:space="0" w:color="209287"/>
              <w:bottom w:val="single" w:sz="8" w:space="0" w:color="209287"/>
              <w:right w:val="single" w:sz="15" w:space="0" w:color="209287"/>
            </w:tcBorders>
            <w:shd w:val="clear" w:color="auto" w:fill="1F938D"/>
          </w:tcPr>
          <w:p w:rsidR="00576F87" w:rsidRDefault="004165F5">
            <w:pPr>
              <w:spacing w:after="0"/>
              <w:ind w:right="36"/>
              <w:jc w:val="right"/>
            </w:pPr>
            <w:r>
              <w:rPr>
                <w:rFonts w:ascii="Verdana" w:eastAsia="Verdana" w:hAnsi="Verdana" w:cs="Verdana"/>
                <w:b/>
                <w:color w:val="FFFFFF"/>
                <w:sz w:val="18"/>
              </w:rPr>
              <w:t>31 March 2018</w:t>
            </w:r>
          </w:p>
        </w:tc>
      </w:tr>
      <w:tr w:rsidR="00576F87">
        <w:trPr>
          <w:trHeight w:val="362"/>
        </w:trPr>
        <w:tc>
          <w:tcPr>
            <w:tcW w:w="1337" w:type="dxa"/>
            <w:tcBorders>
              <w:top w:val="single" w:sz="8" w:space="0" w:color="209287"/>
              <w:left w:val="single" w:sz="15" w:space="0" w:color="209287"/>
              <w:bottom w:val="single" w:sz="8" w:space="0" w:color="209287"/>
              <w:right w:val="single" w:sz="15" w:space="0" w:color="209287"/>
            </w:tcBorders>
            <w:shd w:val="clear" w:color="auto" w:fill="1F938D"/>
          </w:tcPr>
          <w:p w:rsidR="00576F87" w:rsidRDefault="004165F5">
            <w:pPr>
              <w:spacing w:after="0"/>
              <w:ind w:left="166"/>
            </w:pPr>
            <w:r>
              <w:rPr>
                <w:rFonts w:ascii="Verdana" w:eastAsia="Verdana" w:hAnsi="Verdana" w:cs="Verdana"/>
                <w:b/>
                <w:color w:val="FFFFFF"/>
                <w:sz w:val="18"/>
              </w:rPr>
              <w:t>(Restated)</w:t>
            </w:r>
          </w:p>
        </w:tc>
        <w:tc>
          <w:tcPr>
            <w:tcW w:w="1370" w:type="dxa"/>
            <w:tcBorders>
              <w:top w:val="single" w:sz="8" w:space="0" w:color="209287"/>
              <w:left w:val="single" w:sz="15" w:space="0" w:color="209287"/>
              <w:bottom w:val="single" w:sz="8" w:space="0" w:color="209287"/>
              <w:right w:val="single" w:sz="8" w:space="0" w:color="209287"/>
            </w:tcBorders>
            <w:shd w:val="clear" w:color="auto" w:fill="1F938D"/>
          </w:tcPr>
          <w:p w:rsidR="00576F87" w:rsidRDefault="004165F5">
            <w:pPr>
              <w:spacing w:after="0"/>
              <w:ind w:right="41"/>
              <w:jc w:val="right"/>
            </w:pPr>
            <w:r>
              <w:rPr>
                <w:rFonts w:ascii="Verdana" w:eastAsia="Verdana" w:hAnsi="Verdana" w:cs="Verdana"/>
                <w:b/>
                <w:color w:val="FFFFFF"/>
                <w:sz w:val="18"/>
              </w:rPr>
              <w:t>(Restated)</w:t>
            </w:r>
          </w:p>
        </w:tc>
        <w:tc>
          <w:tcPr>
            <w:tcW w:w="3818" w:type="dxa"/>
            <w:tcBorders>
              <w:top w:val="single" w:sz="8" w:space="0" w:color="209287"/>
              <w:left w:val="single" w:sz="8" w:space="0" w:color="209287"/>
              <w:bottom w:val="single" w:sz="8" w:space="0" w:color="209287"/>
              <w:right w:val="single" w:sz="8" w:space="0" w:color="209287"/>
            </w:tcBorders>
            <w:shd w:val="clear" w:color="auto" w:fill="1F938D"/>
          </w:tcPr>
          <w:p w:rsidR="00576F87" w:rsidRDefault="00576F87"/>
        </w:tc>
        <w:tc>
          <w:tcPr>
            <w:tcW w:w="919" w:type="dxa"/>
            <w:tcBorders>
              <w:top w:val="single" w:sz="8" w:space="0" w:color="209287"/>
              <w:left w:val="single" w:sz="8" w:space="0" w:color="209287"/>
              <w:bottom w:val="single" w:sz="8" w:space="0" w:color="209287"/>
              <w:right w:val="single" w:sz="8" w:space="0" w:color="209287"/>
            </w:tcBorders>
            <w:shd w:val="clear" w:color="auto" w:fill="1F938D"/>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1F938D"/>
          </w:tcPr>
          <w:p w:rsidR="00576F87" w:rsidRDefault="00576F87"/>
        </w:tc>
        <w:tc>
          <w:tcPr>
            <w:tcW w:w="1193" w:type="dxa"/>
            <w:tcBorders>
              <w:top w:val="single" w:sz="8" w:space="0" w:color="209287"/>
              <w:left w:val="single" w:sz="8" w:space="0" w:color="209287"/>
              <w:bottom w:val="single" w:sz="8" w:space="0" w:color="209287"/>
              <w:right w:val="single" w:sz="15" w:space="0" w:color="209287"/>
            </w:tcBorders>
            <w:shd w:val="clear" w:color="auto" w:fill="1F938D"/>
          </w:tcPr>
          <w:p w:rsidR="00576F87" w:rsidRDefault="00576F87"/>
        </w:tc>
      </w:tr>
      <w:tr w:rsidR="00576F87">
        <w:trPr>
          <w:trHeight w:val="348"/>
        </w:trPr>
        <w:tc>
          <w:tcPr>
            <w:tcW w:w="1337" w:type="dxa"/>
            <w:tcBorders>
              <w:top w:val="single" w:sz="8" w:space="0" w:color="209287"/>
              <w:left w:val="single" w:sz="15" w:space="0" w:color="209287"/>
              <w:bottom w:val="single" w:sz="8" w:space="0" w:color="209287"/>
              <w:right w:val="single" w:sz="8" w:space="0" w:color="209287"/>
            </w:tcBorders>
            <w:shd w:val="clear" w:color="auto" w:fill="1F938D"/>
          </w:tcPr>
          <w:p w:rsidR="00576F87" w:rsidRDefault="004165F5">
            <w:pPr>
              <w:spacing w:after="0"/>
              <w:ind w:right="38"/>
              <w:jc w:val="right"/>
            </w:pPr>
            <w:r>
              <w:rPr>
                <w:rFonts w:ascii="Verdana" w:eastAsia="Verdana" w:hAnsi="Verdana" w:cs="Verdana"/>
                <w:b/>
                <w:color w:val="FFFFFF"/>
                <w:sz w:val="18"/>
              </w:rPr>
              <w:t>Entity</w:t>
            </w:r>
          </w:p>
        </w:tc>
        <w:tc>
          <w:tcPr>
            <w:tcW w:w="1370" w:type="dxa"/>
            <w:tcBorders>
              <w:top w:val="single" w:sz="8" w:space="0" w:color="209287"/>
              <w:left w:val="single" w:sz="8" w:space="0" w:color="209287"/>
              <w:bottom w:val="single" w:sz="8" w:space="0" w:color="209287"/>
              <w:right w:val="single" w:sz="8" w:space="0" w:color="209287"/>
            </w:tcBorders>
            <w:shd w:val="clear" w:color="auto" w:fill="1F938D"/>
          </w:tcPr>
          <w:p w:rsidR="00576F87" w:rsidRDefault="004165F5">
            <w:pPr>
              <w:spacing w:after="0"/>
              <w:ind w:right="35"/>
              <w:jc w:val="right"/>
            </w:pPr>
            <w:r>
              <w:rPr>
                <w:rFonts w:ascii="Verdana" w:eastAsia="Verdana" w:hAnsi="Verdana" w:cs="Verdana"/>
                <w:b/>
                <w:color w:val="FFFFFF"/>
                <w:sz w:val="18"/>
              </w:rPr>
              <w:t>Group</w:t>
            </w:r>
          </w:p>
        </w:tc>
        <w:tc>
          <w:tcPr>
            <w:tcW w:w="3818" w:type="dxa"/>
            <w:tcBorders>
              <w:top w:val="single" w:sz="8" w:space="0" w:color="209287"/>
              <w:left w:val="single" w:sz="8" w:space="0" w:color="209287"/>
              <w:bottom w:val="single" w:sz="8" w:space="0" w:color="209287"/>
              <w:right w:val="single" w:sz="8" w:space="0" w:color="209287"/>
            </w:tcBorders>
            <w:shd w:val="clear" w:color="auto" w:fill="1F938D"/>
          </w:tcPr>
          <w:p w:rsidR="00576F87" w:rsidRDefault="00576F87"/>
        </w:tc>
        <w:tc>
          <w:tcPr>
            <w:tcW w:w="919" w:type="dxa"/>
            <w:tcBorders>
              <w:top w:val="single" w:sz="8" w:space="0" w:color="209287"/>
              <w:left w:val="single" w:sz="8" w:space="0" w:color="209287"/>
              <w:bottom w:val="single" w:sz="8" w:space="0" w:color="209287"/>
              <w:right w:val="single" w:sz="8" w:space="0" w:color="209287"/>
            </w:tcBorders>
            <w:shd w:val="clear" w:color="auto" w:fill="1F938D"/>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1F938D"/>
          </w:tcPr>
          <w:p w:rsidR="00576F87" w:rsidRDefault="004165F5">
            <w:pPr>
              <w:spacing w:after="0"/>
              <w:ind w:right="38"/>
              <w:jc w:val="right"/>
            </w:pPr>
            <w:r>
              <w:rPr>
                <w:rFonts w:ascii="Verdana" w:eastAsia="Verdana" w:hAnsi="Verdana" w:cs="Verdana"/>
                <w:b/>
                <w:color w:val="FFFFFF"/>
                <w:sz w:val="18"/>
              </w:rPr>
              <w:t>Entity</w:t>
            </w:r>
          </w:p>
        </w:tc>
        <w:tc>
          <w:tcPr>
            <w:tcW w:w="1193" w:type="dxa"/>
            <w:tcBorders>
              <w:top w:val="single" w:sz="8" w:space="0" w:color="209287"/>
              <w:left w:val="single" w:sz="8" w:space="0" w:color="209287"/>
              <w:bottom w:val="single" w:sz="8" w:space="0" w:color="209287"/>
              <w:right w:val="single" w:sz="15" w:space="0" w:color="209287"/>
            </w:tcBorders>
            <w:shd w:val="clear" w:color="auto" w:fill="1F938D"/>
          </w:tcPr>
          <w:p w:rsidR="00576F87" w:rsidRDefault="004165F5">
            <w:pPr>
              <w:spacing w:after="0"/>
              <w:ind w:right="35"/>
              <w:jc w:val="right"/>
            </w:pPr>
            <w:r>
              <w:rPr>
                <w:rFonts w:ascii="Verdana" w:eastAsia="Verdana" w:hAnsi="Verdana" w:cs="Verdana"/>
                <w:b/>
                <w:color w:val="FFFFFF"/>
                <w:sz w:val="18"/>
              </w:rPr>
              <w:t>Group</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7"/>
              <w:jc w:val="right"/>
            </w:pPr>
            <w:r>
              <w:rPr>
                <w:rFonts w:ascii="Verdana" w:eastAsia="Verdana" w:hAnsi="Verdana" w:cs="Verdana"/>
                <w:b/>
                <w:sz w:val="20"/>
              </w:rPr>
              <w:t>£'000</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7"/>
              <w:jc w:val="right"/>
            </w:pPr>
            <w:r>
              <w:rPr>
                <w:rFonts w:ascii="Verdana" w:eastAsia="Verdana" w:hAnsi="Verdana" w:cs="Verdana"/>
                <w:b/>
                <w:sz w:val="20"/>
              </w:rPr>
              <w:t>£'000</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7"/>
              <w:jc w:val="right"/>
            </w:pPr>
            <w:r>
              <w:rPr>
                <w:rFonts w:ascii="Verdana" w:eastAsia="Verdana" w:hAnsi="Verdana" w:cs="Verdana"/>
                <w:b/>
                <w:sz w:val="20"/>
              </w:rPr>
              <w:t>£'000</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47"/>
              <w:jc w:val="right"/>
            </w:pPr>
            <w:r>
              <w:rPr>
                <w:rFonts w:ascii="Verdana" w:eastAsia="Verdana" w:hAnsi="Verdana" w:cs="Verdana"/>
                <w:b/>
                <w:sz w:val="20"/>
              </w:rPr>
              <w:t>£'000</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576F87"/>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576F87"/>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4"/>
              <w:jc w:val="right"/>
            </w:pPr>
            <w:r>
              <w:rPr>
                <w:rFonts w:ascii="Verdana" w:eastAsia="Verdana" w:hAnsi="Verdana" w:cs="Verdana"/>
                <w:sz w:val="20"/>
              </w:rPr>
              <w:t>55</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4"/>
              <w:jc w:val="right"/>
            </w:pPr>
            <w:r>
              <w:rPr>
                <w:rFonts w:ascii="Verdana" w:eastAsia="Verdana" w:hAnsi="Verdana" w:cs="Verdana"/>
                <w:sz w:val="20"/>
              </w:rPr>
              <w:t>55</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Property, Plant &amp; Equipment</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22"/>
              <w:jc w:val="center"/>
            </w:pPr>
            <w:r>
              <w:rPr>
                <w:rFonts w:ascii="Verdana" w:eastAsia="Verdana" w:hAnsi="Verdana" w:cs="Verdana"/>
                <w:b/>
                <w:sz w:val="20"/>
              </w:rPr>
              <w:t>13</w:t>
            </w:r>
          </w:p>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38"/>
              <w:jc w:val="right"/>
            </w:pPr>
            <w:r>
              <w:t>-</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38"/>
              <w:jc w:val="right"/>
            </w:pPr>
            <w:r>
              <w:t>-</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393</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393</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Intangible Assets</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22"/>
              <w:jc w:val="center"/>
            </w:pPr>
            <w:r>
              <w:rPr>
                <w:rFonts w:ascii="Verdana" w:eastAsia="Verdana" w:hAnsi="Verdana" w:cs="Verdana"/>
                <w:b/>
                <w:sz w:val="20"/>
              </w:rPr>
              <w:t>14</w:t>
            </w:r>
          </w:p>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201</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45"/>
              <w:jc w:val="right"/>
            </w:pPr>
            <w:r>
              <w:rPr>
                <w:rFonts w:ascii="Verdana" w:eastAsia="Verdana" w:hAnsi="Verdana" w:cs="Verdana"/>
                <w:sz w:val="20"/>
              </w:rPr>
              <w:t>201</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576F87"/>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576F87"/>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6"/>
              <w:jc w:val="right"/>
            </w:pPr>
            <w:r>
              <w:rPr>
                <w:rFonts w:ascii="Verdana" w:eastAsia="Verdana" w:hAnsi="Verdana" w:cs="Verdana"/>
                <w:b/>
                <w:sz w:val="20"/>
              </w:rPr>
              <w:t>448</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6"/>
              <w:jc w:val="right"/>
            </w:pPr>
            <w:r>
              <w:rPr>
                <w:rFonts w:ascii="Verdana" w:eastAsia="Verdana" w:hAnsi="Verdana" w:cs="Verdana"/>
                <w:b/>
                <w:sz w:val="20"/>
              </w:rPr>
              <w:t>448</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left="7"/>
            </w:pPr>
            <w:r>
              <w:rPr>
                <w:rFonts w:ascii="Verdana" w:eastAsia="Verdana" w:hAnsi="Verdana" w:cs="Verdana"/>
                <w:b/>
                <w:sz w:val="20"/>
              </w:rPr>
              <w:t>Non-current assets</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6"/>
              <w:jc w:val="right"/>
            </w:pPr>
            <w:r>
              <w:rPr>
                <w:rFonts w:ascii="Verdana" w:eastAsia="Verdana" w:hAnsi="Verdana" w:cs="Verdana"/>
                <w:b/>
                <w:sz w:val="20"/>
              </w:rPr>
              <w:t>201</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46"/>
              <w:jc w:val="right"/>
            </w:pPr>
            <w:r>
              <w:rPr>
                <w:rFonts w:ascii="Verdana" w:eastAsia="Verdana" w:hAnsi="Verdana" w:cs="Verdana"/>
                <w:b/>
                <w:sz w:val="20"/>
              </w:rPr>
              <w:t>201</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576F87"/>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576F87"/>
        </w:tc>
      </w:tr>
      <w:tr w:rsidR="00576F87">
        <w:trPr>
          <w:trHeight w:val="319"/>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1,102</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1,102</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Debtors</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22"/>
              <w:jc w:val="center"/>
            </w:pPr>
            <w:r>
              <w:rPr>
                <w:rFonts w:ascii="Verdana" w:eastAsia="Verdana" w:hAnsi="Verdana" w:cs="Verdana"/>
                <w:b/>
                <w:sz w:val="20"/>
              </w:rPr>
              <w:t>18</w:t>
            </w:r>
          </w:p>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372</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45"/>
              <w:jc w:val="right"/>
            </w:pPr>
            <w:r>
              <w:rPr>
                <w:rFonts w:ascii="Verdana" w:eastAsia="Verdana" w:hAnsi="Verdana" w:cs="Verdana"/>
                <w:sz w:val="20"/>
              </w:rPr>
              <w:t>372</w:t>
            </w:r>
          </w:p>
        </w:tc>
      </w:tr>
      <w:tr w:rsidR="00576F87">
        <w:trPr>
          <w:trHeight w:val="305"/>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2"/>
              <w:jc w:val="right"/>
            </w:pPr>
            <w:r>
              <w:t>2,636</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2"/>
              <w:jc w:val="right"/>
            </w:pPr>
            <w:r>
              <w:t>2,636</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Bank</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2,321</w:t>
            </w:r>
          </w:p>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2,321</w:t>
            </w:r>
          </w:p>
        </w:tc>
      </w:tr>
      <w:tr w:rsidR="00576F87">
        <w:trPr>
          <w:trHeight w:val="202"/>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576F87"/>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576F87"/>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6"/>
              <w:jc w:val="right"/>
            </w:pPr>
            <w:r>
              <w:rPr>
                <w:rFonts w:ascii="Verdana" w:eastAsia="Verdana" w:hAnsi="Verdana" w:cs="Verdana"/>
                <w:b/>
                <w:sz w:val="20"/>
              </w:rPr>
              <w:t>3,738</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6"/>
              <w:jc w:val="right"/>
            </w:pPr>
            <w:r>
              <w:rPr>
                <w:rFonts w:ascii="Verdana" w:eastAsia="Verdana" w:hAnsi="Verdana" w:cs="Verdana"/>
                <w:b/>
                <w:sz w:val="20"/>
              </w:rPr>
              <w:t>3,738</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left="7"/>
            </w:pPr>
            <w:r>
              <w:rPr>
                <w:rFonts w:ascii="Verdana" w:eastAsia="Verdana" w:hAnsi="Verdana" w:cs="Verdana"/>
                <w:b/>
                <w:sz w:val="20"/>
              </w:rPr>
              <w:t>Current Assets</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6"/>
              <w:jc w:val="right"/>
            </w:pPr>
            <w:r>
              <w:rPr>
                <w:rFonts w:ascii="Verdana" w:eastAsia="Verdana" w:hAnsi="Verdana" w:cs="Verdana"/>
                <w:b/>
                <w:sz w:val="20"/>
              </w:rPr>
              <w:t>2,693</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46"/>
              <w:jc w:val="right"/>
            </w:pPr>
            <w:r>
              <w:rPr>
                <w:rFonts w:ascii="Verdana" w:eastAsia="Verdana" w:hAnsi="Verdana" w:cs="Verdana"/>
                <w:b/>
                <w:sz w:val="20"/>
              </w:rPr>
              <w:t>2,693</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576F87"/>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576F87"/>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7"/>
              <w:jc w:val="right"/>
            </w:pPr>
            <w:r>
              <w:rPr>
                <w:rFonts w:ascii="Verdana" w:eastAsia="Verdana" w:hAnsi="Verdana" w:cs="Verdana"/>
                <w:sz w:val="20"/>
              </w:rPr>
              <w:t>(1,442)</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7"/>
              <w:jc w:val="right"/>
            </w:pPr>
            <w:r>
              <w:rPr>
                <w:rFonts w:ascii="Verdana" w:eastAsia="Verdana" w:hAnsi="Verdana" w:cs="Verdana"/>
                <w:sz w:val="20"/>
              </w:rPr>
              <w:t>(1,442)</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Creditors</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22"/>
              <w:jc w:val="center"/>
            </w:pPr>
            <w:r>
              <w:rPr>
                <w:rFonts w:ascii="Verdana" w:eastAsia="Verdana" w:hAnsi="Verdana" w:cs="Verdana"/>
                <w:b/>
                <w:sz w:val="20"/>
              </w:rPr>
              <w:t>19</w:t>
            </w:r>
          </w:p>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7"/>
              <w:jc w:val="right"/>
            </w:pPr>
            <w:r>
              <w:rPr>
                <w:rFonts w:ascii="Verdana" w:eastAsia="Verdana" w:hAnsi="Verdana" w:cs="Verdana"/>
                <w:sz w:val="20"/>
              </w:rPr>
              <w:t>(1,158)</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47"/>
              <w:jc w:val="right"/>
            </w:pPr>
            <w:r>
              <w:rPr>
                <w:rFonts w:ascii="Verdana" w:eastAsia="Verdana" w:hAnsi="Verdana" w:cs="Verdana"/>
                <w:sz w:val="20"/>
              </w:rPr>
              <w:t>(1,158)</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576F87"/>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576F87"/>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6"/>
              <w:jc w:val="right"/>
            </w:pPr>
            <w:r>
              <w:rPr>
                <w:rFonts w:ascii="Verdana" w:eastAsia="Verdana" w:hAnsi="Verdana" w:cs="Verdana"/>
                <w:b/>
                <w:sz w:val="20"/>
              </w:rPr>
              <w:t>(1,442)</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6"/>
              <w:jc w:val="right"/>
            </w:pPr>
            <w:r>
              <w:rPr>
                <w:rFonts w:ascii="Verdana" w:eastAsia="Verdana" w:hAnsi="Verdana" w:cs="Verdana"/>
                <w:b/>
                <w:sz w:val="20"/>
              </w:rPr>
              <w:t>(1,442)</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left="7"/>
            </w:pPr>
            <w:r>
              <w:rPr>
                <w:rFonts w:ascii="Verdana" w:eastAsia="Verdana" w:hAnsi="Verdana" w:cs="Verdana"/>
                <w:b/>
                <w:sz w:val="20"/>
              </w:rPr>
              <w:t>Current Liabilities</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6"/>
              <w:jc w:val="right"/>
            </w:pPr>
            <w:r>
              <w:rPr>
                <w:rFonts w:ascii="Verdana" w:eastAsia="Verdana" w:hAnsi="Verdana" w:cs="Verdana"/>
                <w:b/>
                <w:sz w:val="20"/>
              </w:rPr>
              <w:t>(1,158)</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46"/>
              <w:jc w:val="right"/>
            </w:pPr>
            <w:r>
              <w:rPr>
                <w:rFonts w:ascii="Verdana" w:eastAsia="Verdana" w:hAnsi="Verdana" w:cs="Verdana"/>
                <w:b/>
                <w:sz w:val="20"/>
              </w:rPr>
              <w:t>(1,158)</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576F87"/>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576F87"/>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576F87"/>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left="7"/>
            </w:pPr>
            <w:r>
              <w:rPr>
                <w:rFonts w:ascii="Verdana" w:eastAsia="Verdana" w:hAnsi="Verdana" w:cs="Verdana"/>
                <w:b/>
                <w:sz w:val="20"/>
              </w:rPr>
              <w:t>Non-current liabilities</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576F87"/>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7"/>
              <w:jc w:val="right"/>
            </w:pPr>
            <w:r>
              <w:rPr>
                <w:rFonts w:ascii="Verdana" w:eastAsia="Verdana" w:hAnsi="Verdana" w:cs="Verdana"/>
                <w:sz w:val="20"/>
              </w:rPr>
              <w:t>(17,882)</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7"/>
              <w:jc w:val="right"/>
            </w:pPr>
            <w:r>
              <w:rPr>
                <w:rFonts w:ascii="Verdana" w:eastAsia="Verdana" w:hAnsi="Verdana" w:cs="Verdana"/>
                <w:sz w:val="20"/>
              </w:rPr>
              <w:t>(17,882)</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Pension liability</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21"/>
              <w:jc w:val="center"/>
            </w:pPr>
            <w:r>
              <w:rPr>
                <w:rFonts w:ascii="Verdana" w:eastAsia="Verdana" w:hAnsi="Verdana" w:cs="Verdana"/>
                <w:b/>
                <w:sz w:val="20"/>
              </w:rPr>
              <w:t xml:space="preserve"> </w:t>
            </w:r>
          </w:p>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7"/>
              <w:jc w:val="right"/>
            </w:pPr>
            <w:r>
              <w:rPr>
                <w:rFonts w:ascii="Verdana" w:eastAsia="Verdana" w:hAnsi="Verdana" w:cs="Verdana"/>
                <w:sz w:val="20"/>
              </w:rPr>
              <w:t>(15,630)</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47"/>
              <w:jc w:val="right"/>
            </w:pPr>
            <w:r>
              <w:rPr>
                <w:rFonts w:ascii="Verdana" w:eastAsia="Verdana" w:hAnsi="Verdana" w:cs="Verdana"/>
                <w:sz w:val="20"/>
              </w:rPr>
              <w:t>(15,630)</w:t>
            </w:r>
          </w:p>
        </w:tc>
      </w:tr>
      <w:tr w:rsidR="00576F87">
        <w:trPr>
          <w:trHeight w:val="290"/>
        </w:trPr>
        <w:tc>
          <w:tcPr>
            <w:tcW w:w="1337"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4"/>
              <w:jc w:val="right"/>
            </w:pPr>
            <w:r>
              <w:rPr>
                <w:rFonts w:ascii="Verdana" w:eastAsia="Verdana" w:hAnsi="Verdana" w:cs="Verdana"/>
                <w:sz w:val="20"/>
              </w:rPr>
              <w:t>-</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3"/>
              <w:jc w:val="right"/>
            </w:pPr>
            <w:r>
              <w:t>(4,619)</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Provision in Joint Venture</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22"/>
              <w:jc w:val="center"/>
            </w:pPr>
            <w:r>
              <w:rPr>
                <w:rFonts w:ascii="Verdana" w:eastAsia="Verdana" w:hAnsi="Verdana" w:cs="Verdana"/>
                <w:b/>
                <w:sz w:val="20"/>
              </w:rPr>
              <w:t>16</w:t>
            </w:r>
          </w:p>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4"/>
              <w:jc w:val="right"/>
            </w:pPr>
            <w:r>
              <w:rPr>
                <w:rFonts w:ascii="Verdana" w:eastAsia="Verdana" w:hAnsi="Verdana" w:cs="Verdana"/>
                <w:sz w:val="20"/>
              </w:rPr>
              <w:t>-</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47"/>
              <w:jc w:val="right"/>
            </w:pPr>
            <w:r>
              <w:rPr>
                <w:rFonts w:ascii="Verdana" w:eastAsia="Verdana" w:hAnsi="Verdana" w:cs="Verdana"/>
                <w:sz w:val="20"/>
              </w:rPr>
              <w:t>(3,573)</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576F87"/>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576F87"/>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24988A"/>
          </w:tcPr>
          <w:p w:rsidR="00576F87" w:rsidRDefault="004165F5">
            <w:pPr>
              <w:spacing w:after="0"/>
              <w:ind w:right="36"/>
              <w:jc w:val="right"/>
            </w:pPr>
            <w:r>
              <w:rPr>
                <w:rFonts w:ascii="Verdana" w:eastAsia="Verdana" w:hAnsi="Verdana" w:cs="Verdana"/>
                <w:b/>
                <w:color w:val="FFFFFF"/>
                <w:sz w:val="18"/>
              </w:rPr>
              <w:t>(15,138)</w:t>
            </w:r>
          </w:p>
        </w:tc>
        <w:tc>
          <w:tcPr>
            <w:tcW w:w="1370" w:type="dxa"/>
            <w:tcBorders>
              <w:top w:val="single" w:sz="8" w:space="0" w:color="209287"/>
              <w:left w:val="single" w:sz="8" w:space="0" w:color="209287"/>
              <w:bottom w:val="single" w:sz="8" w:space="0" w:color="209287"/>
              <w:right w:val="single" w:sz="8" w:space="0" w:color="209287"/>
            </w:tcBorders>
            <w:shd w:val="clear" w:color="auto" w:fill="24988A"/>
          </w:tcPr>
          <w:p w:rsidR="00576F87" w:rsidRDefault="004165F5">
            <w:pPr>
              <w:spacing w:after="0"/>
              <w:ind w:right="36"/>
              <w:jc w:val="right"/>
            </w:pPr>
            <w:r>
              <w:rPr>
                <w:rFonts w:ascii="Verdana" w:eastAsia="Verdana" w:hAnsi="Verdana" w:cs="Verdana"/>
                <w:b/>
                <w:color w:val="FFFFFF"/>
                <w:sz w:val="18"/>
              </w:rPr>
              <w:t>(19,757)</w:t>
            </w:r>
          </w:p>
        </w:tc>
        <w:tc>
          <w:tcPr>
            <w:tcW w:w="3818" w:type="dxa"/>
            <w:tcBorders>
              <w:top w:val="single" w:sz="8" w:space="0" w:color="209287"/>
              <w:left w:val="single" w:sz="8" w:space="0" w:color="209287"/>
              <w:bottom w:val="single" w:sz="8" w:space="0" w:color="209287"/>
              <w:right w:val="single" w:sz="8" w:space="0" w:color="209287"/>
            </w:tcBorders>
            <w:shd w:val="clear" w:color="auto" w:fill="24988A"/>
          </w:tcPr>
          <w:p w:rsidR="00576F87" w:rsidRDefault="004165F5">
            <w:pPr>
              <w:spacing w:after="0"/>
              <w:ind w:left="4"/>
            </w:pPr>
            <w:r>
              <w:rPr>
                <w:rFonts w:ascii="Verdana" w:eastAsia="Verdana" w:hAnsi="Verdana" w:cs="Verdana"/>
                <w:b/>
                <w:color w:val="FFFFFF"/>
                <w:sz w:val="18"/>
              </w:rPr>
              <w:t>Net assets</w:t>
            </w:r>
          </w:p>
        </w:tc>
        <w:tc>
          <w:tcPr>
            <w:tcW w:w="919" w:type="dxa"/>
            <w:tcBorders>
              <w:top w:val="single" w:sz="8" w:space="0" w:color="209287"/>
              <w:left w:val="single" w:sz="8" w:space="0" w:color="209287"/>
              <w:bottom w:val="single" w:sz="8" w:space="0" w:color="209287"/>
              <w:right w:val="single" w:sz="8" w:space="0" w:color="209287"/>
            </w:tcBorders>
            <w:shd w:val="clear" w:color="auto" w:fill="24988A"/>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24988A"/>
          </w:tcPr>
          <w:p w:rsidR="00576F87" w:rsidRDefault="004165F5">
            <w:pPr>
              <w:spacing w:after="0"/>
              <w:ind w:right="36"/>
              <w:jc w:val="right"/>
            </w:pPr>
            <w:r>
              <w:rPr>
                <w:rFonts w:ascii="Verdana" w:eastAsia="Verdana" w:hAnsi="Verdana" w:cs="Verdana"/>
                <w:b/>
                <w:color w:val="FFFFFF"/>
                <w:sz w:val="18"/>
              </w:rPr>
              <w:t>(13,894)</w:t>
            </w:r>
          </w:p>
        </w:tc>
        <w:tc>
          <w:tcPr>
            <w:tcW w:w="1193" w:type="dxa"/>
            <w:tcBorders>
              <w:top w:val="single" w:sz="8" w:space="0" w:color="209287"/>
              <w:left w:val="single" w:sz="8" w:space="0" w:color="209287"/>
              <w:bottom w:val="single" w:sz="8" w:space="0" w:color="209287"/>
              <w:right w:val="single" w:sz="8" w:space="0" w:color="209287"/>
            </w:tcBorders>
            <w:shd w:val="clear" w:color="auto" w:fill="24988A"/>
          </w:tcPr>
          <w:p w:rsidR="00576F87" w:rsidRDefault="004165F5">
            <w:pPr>
              <w:spacing w:after="0"/>
              <w:ind w:right="36"/>
              <w:jc w:val="right"/>
            </w:pPr>
            <w:r>
              <w:rPr>
                <w:rFonts w:ascii="Verdana" w:eastAsia="Verdana" w:hAnsi="Verdana" w:cs="Verdana"/>
                <w:b/>
                <w:color w:val="FFFFFF"/>
                <w:sz w:val="18"/>
              </w:rPr>
              <w:t>(17,467)</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576F87"/>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576F87"/>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576F87"/>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left="7"/>
            </w:pPr>
            <w:r>
              <w:rPr>
                <w:rFonts w:ascii="Verdana" w:eastAsia="Verdana" w:hAnsi="Verdana" w:cs="Verdana"/>
                <w:b/>
                <w:sz w:val="20"/>
              </w:rPr>
              <w:t>Reserves</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576F87"/>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576F87"/>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576F87"/>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2"/>
              <w:jc w:val="right"/>
            </w:pPr>
            <w:r>
              <w:t>1,736</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3"/>
              <w:jc w:val="right"/>
            </w:pPr>
            <w:r>
              <w:t>(2,883)</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 xml:space="preserve">General Reserve </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888</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47"/>
              <w:jc w:val="right"/>
            </w:pPr>
            <w:r>
              <w:rPr>
                <w:rFonts w:ascii="Verdana" w:eastAsia="Verdana" w:hAnsi="Verdana" w:cs="Verdana"/>
                <w:sz w:val="20"/>
              </w:rPr>
              <w:t>(2,684)</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4"/>
              <w:jc w:val="right"/>
            </w:pPr>
            <w:r>
              <w:rPr>
                <w:rFonts w:ascii="Verdana" w:eastAsia="Verdana" w:hAnsi="Verdana" w:cs="Verdana"/>
                <w:sz w:val="20"/>
              </w:rPr>
              <w:t>50</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4"/>
              <w:jc w:val="right"/>
            </w:pPr>
            <w:r>
              <w:rPr>
                <w:rFonts w:ascii="Verdana" w:eastAsia="Verdana" w:hAnsi="Verdana" w:cs="Verdana"/>
                <w:sz w:val="20"/>
              </w:rPr>
              <w:t>50</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Business reserve</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38"/>
              <w:jc w:val="right"/>
            </w:pPr>
            <w:r>
              <w:t>-</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38"/>
              <w:jc w:val="right"/>
            </w:pPr>
            <w:r>
              <w:t>-</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4"/>
              <w:jc w:val="right"/>
            </w:pPr>
            <w:r>
              <w:rPr>
                <w:rFonts w:ascii="Verdana" w:eastAsia="Verdana" w:hAnsi="Verdana" w:cs="Verdana"/>
                <w:sz w:val="20"/>
              </w:rPr>
              <w:t>20</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4"/>
              <w:jc w:val="right"/>
            </w:pPr>
            <w:r>
              <w:rPr>
                <w:rFonts w:ascii="Verdana" w:eastAsia="Verdana" w:hAnsi="Verdana" w:cs="Verdana"/>
                <w:sz w:val="20"/>
              </w:rPr>
              <w:t>20</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Valuation reserve</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38"/>
              <w:jc w:val="right"/>
            </w:pPr>
            <w:r>
              <w:t>-</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38"/>
              <w:jc w:val="right"/>
            </w:pPr>
            <w:r>
              <w:t>-</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4"/>
              <w:jc w:val="right"/>
            </w:pPr>
            <w:r>
              <w:rPr>
                <w:rFonts w:ascii="Verdana" w:eastAsia="Verdana" w:hAnsi="Verdana" w:cs="Verdana"/>
                <w:sz w:val="20"/>
              </w:rPr>
              <w:t>53</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4"/>
              <w:jc w:val="right"/>
            </w:pPr>
            <w:r>
              <w:rPr>
                <w:rFonts w:ascii="Verdana" w:eastAsia="Verdana" w:hAnsi="Verdana" w:cs="Verdana"/>
                <w:sz w:val="20"/>
              </w:rPr>
              <w:t>53</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Organisational Development reserve</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38"/>
              <w:jc w:val="right"/>
            </w:pPr>
            <w:r>
              <w:t>-</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38"/>
              <w:jc w:val="right"/>
            </w:pPr>
            <w:r>
              <w:t>-</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400</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400</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New Premises Reserve</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400</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45"/>
              <w:jc w:val="right"/>
            </w:pPr>
            <w:r>
              <w:rPr>
                <w:rFonts w:ascii="Verdana" w:eastAsia="Verdana" w:hAnsi="Verdana" w:cs="Verdana"/>
                <w:sz w:val="20"/>
              </w:rPr>
              <w:t>400</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4"/>
              <w:jc w:val="right"/>
            </w:pPr>
            <w:r>
              <w:rPr>
                <w:rFonts w:ascii="Verdana" w:eastAsia="Verdana" w:hAnsi="Verdana" w:cs="Verdana"/>
                <w:sz w:val="20"/>
              </w:rPr>
              <w:t>40</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4"/>
              <w:jc w:val="right"/>
            </w:pPr>
            <w:r>
              <w:rPr>
                <w:rFonts w:ascii="Verdana" w:eastAsia="Verdana" w:hAnsi="Verdana" w:cs="Verdana"/>
                <w:sz w:val="20"/>
              </w:rPr>
              <w:t>40</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Invest to Save Reserve</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38"/>
              <w:jc w:val="right"/>
            </w:pPr>
            <w:r>
              <w:t>-</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38"/>
              <w:jc w:val="right"/>
            </w:pPr>
            <w:r>
              <w:t>-</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448</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448</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Capital Contributions Reserve</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448</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45"/>
              <w:jc w:val="right"/>
            </w:pPr>
            <w:r>
              <w:rPr>
                <w:rFonts w:ascii="Verdana" w:eastAsia="Verdana" w:hAnsi="Verdana" w:cs="Verdana"/>
                <w:sz w:val="20"/>
              </w:rPr>
              <w:t>448</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576F87"/>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left="7"/>
            </w:pPr>
            <w:r>
              <w:rPr>
                <w:rFonts w:ascii="Verdana" w:eastAsia="Verdana" w:hAnsi="Verdana" w:cs="Verdana"/>
                <w:b/>
                <w:sz w:val="20"/>
              </w:rPr>
              <w:t>Unusable reserves</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38"/>
              <w:jc w:val="right"/>
            </w:pPr>
            <w:r>
              <w:t>-</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38"/>
              <w:jc w:val="right"/>
            </w:pPr>
            <w:r>
              <w:t>-</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(3)</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5"/>
              <w:jc w:val="right"/>
            </w:pPr>
            <w:r>
              <w:rPr>
                <w:rFonts w:ascii="Verdana" w:eastAsia="Verdana" w:hAnsi="Verdana" w:cs="Verdana"/>
                <w:sz w:val="20"/>
              </w:rPr>
              <w:t>(3)</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Compensated Absences</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38"/>
              <w:jc w:val="right"/>
            </w:pPr>
            <w:r>
              <w:t>-</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38"/>
              <w:jc w:val="right"/>
            </w:pPr>
            <w:r>
              <w:t>-</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4165F5">
            <w:pPr>
              <w:spacing w:after="0"/>
              <w:ind w:right="47"/>
              <w:jc w:val="right"/>
            </w:pPr>
            <w:r>
              <w:rPr>
                <w:rFonts w:ascii="Verdana" w:eastAsia="Verdana" w:hAnsi="Verdana" w:cs="Verdana"/>
                <w:sz w:val="20"/>
              </w:rPr>
              <w:t>(17,882)</w:t>
            </w:r>
          </w:p>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7"/>
              <w:jc w:val="right"/>
            </w:pPr>
            <w:r>
              <w:rPr>
                <w:rFonts w:ascii="Verdana" w:eastAsia="Verdana" w:hAnsi="Verdana" w:cs="Verdana"/>
                <w:sz w:val="20"/>
              </w:rPr>
              <w:t>(17,882)</w:t>
            </w:r>
          </w:p>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pPr>
            <w:r>
              <w:rPr>
                <w:rFonts w:ascii="Verdana" w:eastAsia="Verdana" w:hAnsi="Verdana" w:cs="Verdana"/>
                <w:sz w:val="18"/>
              </w:rPr>
              <w:t xml:space="preserve">Pension Reserve </w:t>
            </w:r>
          </w:p>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4165F5">
            <w:pPr>
              <w:spacing w:after="0"/>
              <w:ind w:right="47"/>
              <w:jc w:val="right"/>
            </w:pPr>
            <w:r>
              <w:rPr>
                <w:rFonts w:ascii="Verdana" w:eastAsia="Verdana" w:hAnsi="Verdana" w:cs="Verdana"/>
                <w:sz w:val="20"/>
              </w:rPr>
              <w:t>(15,630)</w:t>
            </w:r>
          </w:p>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4165F5">
            <w:pPr>
              <w:spacing w:after="0"/>
              <w:ind w:right="47"/>
              <w:jc w:val="right"/>
            </w:pPr>
            <w:r>
              <w:rPr>
                <w:rFonts w:ascii="Verdana" w:eastAsia="Verdana" w:hAnsi="Verdana" w:cs="Verdana"/>
                <w:sz w:val="20"/>
              </w:rPr>
              <w:t>(15,630)</w:t>
            </w:r>
          </w:p>
        </w:tc>
      </w:tr>
      <w:tr w:rsidR="00576F87">
        <w:trPr>
          <w:trHeight w:val="290"/>
        </w:trPr>
        <w:tc>
          <w:tcPr>
            <w:tcW w:w="1337" w:type="dxa"/>
            <w:tcBorders>
              <w:top w:val="single" w:sz="8" w:space="0" w:color="209287"/>
              <w:left w:val="single" w:sz="15" w:space="0" w:color="209287"/>
              <w:bottom w:val="single" w:sz="8" w:space="0" w:color="209287"/>
              <w:right w:val="single" w:sz="8" w:space="0" w:color="209287"/>
            </w:tcBorders>
            <w:shd w:val="clear" w:color="auto" w:fill="FFFFFF"/>
          </w:tcPr>
          <w:p w:rsidR="00576F87" w:rsidRDefault="00576F87"/>
        </w:tc>
        <w:tc>
          <w:tcPr>
            <w:tcW w:w="1370"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3818"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919"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8" w:space="0" w:color="209287"/>
            </w:tcBorders>
            <w:shd w:val="clear" w:color="auto" w:fill="FFFFFF"/>
          </w:tcPr>
          <w:p w:rsidR="00576F87" w:rsidRDefault="00576F87"/>
        </w:tc>
        <w:tc>
          <w:tcPr>
            <w:tcW w:w="1193" w:type="dxa"/>
            <w:tcBorders>
              <w:top w:val="single" w:sz="8" w:space="0" w:color="209287"/>
              <w:left w:val="single" w:sz="8" w:space="0" w:color="209287"/>
              <w:bottom w:val="single" w:sz="8" w:space="0" w:color="209287"/>
              <w:right w:val="single" w:sz="15" w:space="0" w:color="209287"/>
            </w:tcBorders>
            <w:shd w:val="clear" w:color="auto" w:fill="FFFFFF"/>
          </w:tcPr>
          <w:p w:rsidR="00576F87" w:rsidRDefault="00576F87"/>
        </w:tc>
      </w:tr>
      <w:tr w:rsidR="00576F87">
        <w:trPr>
          <w:trHeight w:val="305"/>
        </w:trPr>
        <w:tc>
          <w:tcPr>
            <w:tcW w:w="1337" w:type="dxa"/>
            <w:tcBorders>
              <w:top w:val="single" w:sz="8" w:space="0" w:color="209287"/>
              <w:left w:val="single" w:sz="15" w:space="0" w:color="209287"/>
              <w:bottom w:val="single" w:sz="15" w:space="0" w:color="209287"/>
              <w:right w:val="single" w:sz="8" w:space="0" w:color="209287"/>
            </w:tcBorders>
            <w:shd w:val="clear" w:color="auto" w:fill="24988A"/>
          </w:tcPr>
          <w:p w:rsidR="00576F87" w:rsidRDefault="004165F5">
            <w:pPr>
              <w:spacing w:after="0"/>
              <w:ind w:right="36"/>
              <w:jc w:val="right"/>
            </w:pPr>
            <w:r>
              <w:rPr>
                <w:rFonts w:ascii="Verdana" w:eastAsia="Verdana" w:hAnsi="Verdana" w:cs="Verdana"/>
                <w:b/>
                <w:color w:val="FFFFFF"/>
                <w:sz w:val="18"/>
              </w:rPr>
              <w:t>(15,138)</w:t>
            </w:r>
          </w:p>
        </w:tc>
        <w:tc>
          <w:tcPr>
            <w:tcW w:w="1370" w:type="dxa"/>
            <w:tcBorders>
              <w:top w:val="single" w:sz="8" w:space="0" w:color="209287"/>
              <w:left w:val="single" w:sz="8" w:space="0" w:color="209287"/>
              <w:bottom w:val="single" w:sz="15" w:space="0" w:color="209287"/>
              <w:right w:val="single" w:sz="8" w:space="0" w:color="209287"/>
            </w:tcBorders>
            <w:shd w:val="clear" w:color="auto" w:fill="24988A"/>
          </w:tcPr>
          <w:p w:rsidR="00576F87" w:rsidRDefault="004165F5">
            <w:pPr>
              <w:spacing w:after="0"/>
              <w:ind w:right="36"/>
              <w:jc w:val="right"/>
            </w:pPr>
            <w:r>
              <w:rPr>
                <w:rFonts w:ascii="Verdana" w:eastAsia="Verdana" w:hAnsi="Verdana" w:cs="Verdana"/>
                <w:b/>
                <w:color w:val="FFFFFF"/>
                <w:sz w:val="18"/>
              </w:rPr>
              <w:t>(19,757)</w:t>
            </w:r>
          </w:p>
        </w:tc>
        <w:tc>
          <w:tcPr>
            <w:tcW w:w="3818" w:type="dxa"/>
            <w:tcBorders>
              <w:top w:val="single" w:sz="8" w:space="0" w:color="209287"/>
              <w:left w:val="single" w:sz="8" w:space="0" w:color="209287"/>
              <w:bottom w:val="single" w:sz="15" w:space="0" w:color="209287"/>
              <w:right w:val="single" w:sz="8" w:space="0" w:color="209287"/>
            </w:tcBorders>
            <w:shd w:val="clear" w:color="auto" w:fill="24988A"/>
          </w:tcPr>
          <w:p w:rsidR="00576F87" w:rsidRDefault="00576F87"/>
        </w:tc>
        <w:tc>
          <w:tcPr>
            <w:tcW w:w="919" w:type="dxa"/>
            <w:tcBorders>
              <w:top w:val="single" w:sz="8" w:space="0" w:color="209287"/>
              <w:left w:val="single" w:sz="8" w:space="0" w:color="209287"/>
              <w:bottom w:val="single" w:sz="15" w:space="0" w:color="209287"/>
              <w:right w:val="single" w:sz="8" w:space="0" w:color="209287"/>
            </w:tcBorders>
            <w:shd w:val="clear" w:color="auto" w:fill="24988A"/>
          </w:tcPr>
          <w:p w:rsidR="00576F87" w:rsidRDefault="00576F87"/>
        </w:tc>
        <w:tc>
          <w:tcPr>
            <w:tcW w:w="1193" w:type="dxa"/>
            <w:tcBorders>
              <w:top w:val="single" w:sz="8" w:space="0" w:color="209287"/>
              <w:left w:val="single" w:sz="8" w:space="0" w:color="209287"/>
              <w:bottom w:val="single" w:sz="15" w:space="0" w:color="209287"/>
              <w:right w:val="single" w:sz="8" w:space="0" w:color="209287"/>
            </w:tcBorders>
            <w:shd w:val="clear" w:color="auto" w:fill="24988A"/>
          </w:tcPr>
          <w:p w:rsidR="00576F87" w:rsidRDefault="004165F5">
            <w:pPr>
              <w:spacing w:after="0"/>
              <w:ind w:right="36"/>
              <w:jc w:val="right"/>
            </w:pPr>
            <w:r>
              <w:rPr>
                <w:rFonts w:ascii="Verdana" w:eastAsia="Verdana" w:hAnsi="Verdana" w:cs="Verdana"/>
                <w:b/>
                <w:color w:val="FFFFFF"/>
                <w:sz w:val="18"/>
              </w:rPr>
              <w:t>(13,894)</w:t>
            </w:r>
          </w:p>
        </w:tc>
        <w:tc>
          <w:tcPr>
            <w:tcW w:w="1193" w:type="dxa"/>
            <w:tcBorders>
              <w:top w:val="single" w:sz="8" w:space="0" w:color="209287"/>
              <w:left w:val="single" w:sz="8" w:space="0" w:color="209287"/>
              <w:bottom w:val="single" w:sz="15" w:space="0" w:color="209287"/>
              <w:right w:val="single" w:sz="15" w:space="0" w:color="209287"/>
            </w:tcBorders>
            <w:shd w:val="clear" w:color="auto" w:fill="24988A"/>
          </w:tcPr>
          <w:p w:rsidR="00576F87" w:rsidRDefault="004165F5">
            <w:pPr>
              <w:spacing w:after="0"/>
              <w:ind w:right="36"/>
              <w:jc w:val="right"/>
            </w:pPr>
            <w:r>
              <w:rPr>
                <w:rFonts w:ascii="Verdana" w:eastAsia="Verdana" w:hAnsi="Verdana" w:cs="Verdana"/>
                <w:b/>
                <w:color w:val="FFFFFF"/>
                <w:sz w:val="18"/>
              </w:rPr>
              <w:t>(17,467)</w:t>
            </w:r>
          </w:p>
        </w:tc>
      </w:tr>
    </w:tbl>
    <w:p w:rsidR="00576F87" w:rsidRDefault="004165F5">
      <w:pPr>
        <w:spacing w:after="6"/>
        <w:ind w:left="848" w:right="361" w:hanging="10"/>
        <w:jc w:val="center"/>
      </w:pPr>
      <w:r>
        <w:t>71</w:t>
      </w:r>
    </w:p>
    <w:p w:rsidR="00576F87" w:rsidRDefault="004165F5">
      <w:pPr>
        <w:pStyle w:val="Heading2"/>
        <w:spacing w:after="555"/>
        <w:ind w:left="19"/>
      </w:pPr>
      <w:r>
        <w:rPr>
          <w:b/>
          <w:color w:val="3F977F"/>
        </w:rPr>
        <w:t>LPFA Accounts 31 March 2018</w:t>
      </w:r>
    </w:p>
    <w:p w:rsidR="00576F87" w:rsidRDefault="004165F5">
      <w:pPr>
        <w:spacing w:after="240"/>
        <w:ind w:left="19" w:right="1224" w:hanging="10"/>
      </w:pPr>
      <w:r>
        <w:rPr>
          <w:rFonts w:ascii="Verdana" w:eastAsia="Verdana" w:hAnsi="Verdana" w:cs="Verdana"/>
          <w:sz w:val="28"/>
        </w:rPr>
        <w:t>Group Account Cashflow Statement for the year ended 31 March 2018</w:t>
      </w:r>
    </w:p>
    <w:tbl>
      <w:tblPr>
        <w:tblStyle w:val="TableGrid"/>
        <w:tblW w:w="10310" w:type="dxa"/>
        <w:tblInd w:w="-55" w:type="dxa"/>
        <w:tblCellMar>
          <w:top w:w="23" w:type="dxa"/>
          <w:left w:w="38" w:type="dxa"/>
          <w:bottom w:w="35" w:type="dxa"/>
          <w:right w:w="0" w:type="dxa"/>
        </w:tblCellMar>
        <w:tblLook w:val="04A0" w:firstRow="1" w:lastRow="0" w:firstColumn="1" w:lastColumn="0" w:noHBand="0" w:noVBand="1"/>
      </w:tblPr>
      <w:tblGrid>
        <w:gridCol w:w="1337"/>
        <w:gridCol w:w="1337"/>
        <w:gridCol w:w="3948"/>
        <w:gridCol w:w="1015"/>
        <w:gridCol w:w="1337"/>
        <w:gridCol w:w="1337"/>
      </w:tblGrid>
      <w:tr w:rsidR="00576F87">
        <w:trPr>
          <w:trHeight w:val="638"/>
        </w:trPr>
        <w:tc>
          <w:tcPr>
            <w:tcW w:w="1337" w:type="dxa"/>
            <w:tcBorders>
              <w:top w:val="single" w:sz="15" w:space="0" w:color="2F9582"/>
              <w:left w:val="single" w:sz="15" w:space="0" w:color="2F9582"/>
              <w:bottom w:val="single" w:sz="8" w:space="0" w:color="2F9582"/>
              <w:right w:val="single" w:sz="8" w:space="0" w:color="2F9582"/>
            </w:tcBorders>
            <w:shd w:val="clear" w:color="auto" w:fill="009999"/>
            <w:vAlign w:val="bottom"/>
          </w:tcPr>
          <w:p w:rsidR="00576F87" w:rsidRDefault="004165F5">
            <w:pPr>
              <w:spacing w:after="3"/>
              <w:ind w:right="36"/>
              <w:jc w:val="right"/>
            </w:pPr>
            <w:r>
              <w:rPr>
                <w:rFonts w:ascii="Verdana" w:eastAsia="Verdana" w:hAnsi="Verdana" w:cs="Verdana"/>
                <w:b/>
                <w:color w:val="FFFFFF"/>
                <w:sz w:val="18"/>
              </w:rPr>
              <w:t xml:space="preserve">31 March </w:t>
            </w:r>
          </w:p>
          <w:p w:rsidR="00576F87" w:rsidRDefault="004165F5">
            <w:pPr>
              <w:spacing w:after="0"/>
              <w:ind w:right="36"/>
              <w:jc w:val="right"/>
            </w:pPr>
            <w:r>
              <w:rPr>
                <w:rFonts w:ascii="Verdana" w:eastAsia="Verdana" w:hAnsi="Verdana" w:cs="Verdana"/>
                <w:b/>
                <w:color w:val="FFFFFF"/>
                <w:sz w:val="18"/>
              </w:rPr>
              <w:t>2017</w:t>
            </w:r>
          </w:p>
        </w:tc>
        <w:tc>
          <w:tcPr>
            <w:tcW w:w="1337" w:type="dxa"/>
            <w:tcBorders>
              <w:top w:val="single" w:sz="15" w:space="0" w:color="2F9582"/>
              <w:left w:val="single" w:sz="8" w:space="0" w:color="2F9582"/>
              <w:bottom w:val="single" w:sz="8" w:space="0" w:color="2F9582"/>
              <w:right w:val="single" w:sz="8" w:space="0" w:color="2F9582"/>
            </w:tcBorders>
            <w:shd w:val="clear" w:color="auto" w:fill="009999"/>
            <w:vAlign w:val="bottom"/>
          </w:tcPr>
          <w:p w:rsidR="00576F87" w:rsidRDefault="004165F5">
            <w:pPr>
              <w:spacing w:after="3"/>
              <w:ind w:right="36"/>
              <w:jc w:val="right"/>
            </w:pPr>
            <w:r>
              <w:rPr>
                <w:rFonts w:ascii="Verdana" w:eastAsia="Verdana" w:hAnsi="Verdana" w:cs="Verdana"/>
                <w:b/>
                <w:color w:val="FFFFFF"/>
                <w:sz w:val="18"/>
              </w:rPr>
              <w:t xml:space="preserve">31 March </w:t>
            </w:r>
          </w:p>
          <w:p w:rsidR="00576F87" w:rsidRDefault="004165F5">
            <w:pPr>
              <w:spacing w:after="0"/>
              <w:ind w:right="36"/>
              <w:jc w:val="right"/>
            </w:pPr>
            <w:r>
              <w:rPr>
                <w:rFonts w:ascii="Verdana" w:eastAsia="Verdana" w:hAnsi="Verdana" w:cs="Verdana"/>
                <w:b/>
                <w:color w:val="FFFFFF"/>
                <w:sz w:val="18"/>
              </w:rPr>
              <w:t>2017</w:t>
            </w:r>
          </w:p>
        </w:tc>
        <w:tc>
          <w:tcPr>
            <w:tcW w:w="3948" w:type="dxa"/>
            <w:tcBorders>
              <w:top w:val="single" w:sz="15" w:space="0" w:color="2F9582"/>
              <w:left w:val="single" w:sz="8" w:space="0" w:color="2F9582"/>
              <w:bottom w:val="single" w:sz="8" w:space="0" w:color="2F9582"/>
              <w:right w:val="single" w:sz="8" w:space="0" w:color="2F9582"/>
            </w:tcBorders>
            <w:shd w:val="clear" w:color="auto" w:fill="009999"/>
          </w:tcPr>
          <w:p w:rsidR="00576F87" w:rsidRDefault="00576F87"/>
        </w:tc>
        <w:tc>
          <w:tcPr>
            <w:tcW w:w="1015" w:type="dxa"/>
            <w:tcBorders>
              <w:top w:val="single" w:sz="15" w:space="0" w:color="2F9582"/>
              <w:left w:val="single" w:sz="8" w:space="0" w:color="2F9582"/>
              <w:bottom w:val="single" w:sz="8" w:space="0" w:color="2F9582"/>
              <w:right w:val="single" w:sz="8" w:space="0" w:color="2F9582"/>
            </w:tcBorders>
            <w:shd w:val="clear" w:color="auto" w:fill="009999"/>
            <w:vAlign w:val="bottom"/>
          </w:tcPr>
          <w:p w:rsidR="00576F87" w:rsidRDefault="004165F5">
            <w:pPr>
              <w:spacing w:after="0"/>
              <w:ind w:left="185"/>
            </w:pPr>
            <w:r>
              <w:rPr>
                <w:rFonts w:ascii="Verdana" w:eastAsia="Verdana" w:hAnsi="Verdana" w:cs="Verdana"/>
                <w:b/>
                <w:color w:val="FFFFFF"/>
                <w:sz w:val="18"/>
              </w:rPr>
              <w:t>Notes</w:t>
            </w:r>
          </w:p>
        </w:tc>
        <w:tc>
          <w:tcPr>
            <w:tcW w:w="1337" w:type="dxa"/>
            <w:tcBorders>
              <w:top w:val="single" w:sz="15" w:space="0" w:color="2F9582"/>
              <w:left w:val="single" w:sz="8" w:space="0" w:color="2F9582"/>
              <w:bottom w:val="single" w:sz="8" w:space="0" w:color="2F9582"/>
              <w:right w:val="single" w:sz="8" w:space="0" w:color="2F9582"/>
            </w:tcBorders>
            <w:shd w:val="clear" w:color="auto" w:fill="009999"/>
            <w:vAlign w:val="bottom"/>
          </w:tcPr>
          <w:p w:rsidR="00576F87" w:rsidRDefault="004165F5">
            <w:pPr>
              <w:spacing w:after="3"/>
              <w:ind w:right="36"/>
              <w:jc w:val="right"/>
            </w:pPr>
            <w:r>
              <w:rPr>
                <w:rFonts w:ascii="Verdana" w:eastAsia="Verdana" w:hAnsi="Verdana" w:cs="Verdana"/>
                <w:b/>
                <w:color w:val="FFFFFF"/>
                <w:sz w:val="18"/>
              </w:rPr>
              <w:t xml:space="preserve">31 March </w:t>
            </w:r>
          </w:p>
          <w:p w:rsidR="00576F87" w:rsidRDefault="004165F5">
            <w:pPr>
              <w:spacing w:after="0"/>
              <w:ind w:right="36"/>
              <w:jc w:val="right"/>
            </w:pPr>
            <w:r>
              <w:rPr>
                <w:rFonts w:ascii="Verdana" w:eastAsia="Verdana" w:hAnsi="Verdana" w:cs="Verdana"/>
                <w:b/>
                <w:color w:val="FFFFFF"/>
                <w:sz w:val="18"/>
              </w:rPr>
              <w:t>2018</w:t>
            </w:r>
          </w:p>
        </w:tc>
        <w:tc>
          <w:tcPr>
            <w:tcW w:w="1337" w:type="dxa"/>
            <w:tcBorders>
              <w:top w:val="single" w:sz="15" w:space="0" w:color="2F9582"/>
              <w:left w:val="single" w:sz="8" w:space="0" w:color="2F9582"/>
              <w:bottom w:val="single" w:sz="8" w:space="0" w:color="2F9582"/>
              <w:right w:val="single" w:sz="15" w:space="0" w:color="2F9582"/>
            </w:tcBorders>
            <w:shd w:val="clear" w:color="auto" w:fill="009999"/>
            <w:vAlign w:val="bottom"/>
          </w:tcPr>
          <w:p w:rsidR="00576F87" w:rsidRDefault="004165F5">
            <w:pPr>
              <w:spacing w:after="0"/>
              <w:ind w:right="36"/>
              <w:jc w:val="right"/>
            </w:pPr>
            <w:r>
              <w:rPr>
                <w:rFonts w:ascii="Verdana" w:eastAsia="Verdana" w:hAnsi="Verdana" w:cs="Verdana"/>
                <w:b/>
                <w:color w:val="FFFFFF"/>
                <w:sz w:val="18"/>
              </w:rPr>
              <w:t>31 March 2018</w:t>
            </w:r>
          </w:p>
        </w:tc>
      </w:tr>
      <w:tr w:rsidR="00576F87">
        <w:trPr>
          <w:trHeight w:val="638"/>
        </w:trPr>
        <w:tc>
          <w:tcPr>
            <w:tcW w:w="1337" w:type="dxa"/>
            <w:tcBorders>
              <w:top w:val="single" w:sz="8" w:space="0" w:color="2F9582"/>
              <w:left w:val="single" w:sz="15" w:space="0" w:color="2F9582"/>
              <w:bottom w:val="single" w:sz="8" w:space="0" w:color="2F9582"/>
              <w:right w:val="single" w:sz="8" w:space="0" w:color="2F9582"/>
            </w:tcBorders>
            <w:shd w:val="clear" w:color="auto" w:fill="009999"/>
            <w:vAlign w:val="bottom"/>
          </w:tcPr>
          <w:p w:rsidR="00576F87" w:rsidRDefault="004165F5">
            <w:pPr>
              <w:spacing w:after="0"/>
              <w:ind w:right="38"/>
              <w:jc w:val="right"/>
            </w:pPr>
            <w:r>
              <w:rPr>
                <w:rFonts w:ascii="Verdana" w:eastAsia="Verdana" w:hAnsi="Verdana" w:cs="Verdana"/>
                <w:b/>
                <w:color w:val="FFFFFF"/>
                <w:sz w:val="18"/>
              </w:rPr>
              <w:t>Entity</w:t>
            </w:r>
          </w:p>
        </w:tc>
        <w:tc>
          <w:tcPr>
            <w:tcW w:w="1337" w:type="dxa"/>
            <w:tcBorders>
              <w:top w:val="single" w:sz="8" w:space="0" w:color="2F9582"/>
              <w:left w:val="single" w:sz="8" w:space="0" w:color="2F9582"/>
              <w:bottom w:val="single" w:sz="8" w:space="0" w:color="2F9582"/>
              <w:right w:val="single" w:sz="8" w:space="0" w:color="2F9582"/>
            </w:tcBorders>
            <w:shd w:val="clear" w:color="auto" w:fill="009999"/>
            <w:vAlign w:val="bottom"/>
          </w:tcPr>
          <w:p w:rsidR="00576F87" w:rsidRDefault="004165F5">
            <w:pPr>
              <w:spacing w:after="0"/>
              <w:ind w:right="35"/>
              <w:jc w:val="right"/>
            </w:pPr>
            <w:r>
              <w:rPr>
                <w:rFonts w:ascii="Verdana" w:eastAsia="Verdana" w:hAnsi="Verdana" w:cs="Verdana"/>
                <w:b/>
                <w:color w:val="FFFFFF"/>
                <w:sz w:val="18"/>
              </w:rPr>
              <w:t>Group</w:t>
            </w:r>
          </w:p>
        </w:tc>
        <w:tc>
          <w:tcPr>
            <w:tcW w:w="3948" w:type="dxa"/>
            <w:tcBorders>
              <w:top w:val="single" w:sz="8" w:space="0" w:color="2F9582"/>
              <w:left w:val="single" w:sz="8" w:space="0" w:color="2F9582"/>
              <w:bottom w:val="single" w:sz="8" w:space="0" w:color="2F9582"/>
              <w:right w:val="single" w:sz="8" w:space="0" w:color="2F9582"/>
            </w:tcBorders>
            <w:shd w:val="clear" w:color="auto" w:fill="009999"/>
          </w:tcPr>
          <w:p w:rsidR="00576F87" w:rsidRDefault="00576F87"/>
        </w:tc>
        <w:tc>
          <w:tcPr>
            <w:tcW w:w="1015" w:type="dxa"/>
            <w:tcBorders>
              <w:top w:val="single" w:sz="8" w:space="0" w:color="2F9582"/>
              <w:left w:val="single" w:sz="8" w:space="0" w:color="2F9582"/>
              <w:bottom w:val="single" w:sz="8" w:space="0" w:color="2F9582"/>
              <w:right w:val="single" w:sz="8" w:space="0" w:color="2F9582"/>
            </w:tcBorders>
            <w:shd w:val="clear" w:color="auto" w:fill="009999"/>
          </w:tcPr>
          <w:p w:rsidR="00576F87" w:rsidRDefault="00576F87"/>
        </w:tc>
        <w:tc>
          <w:tcPr>
            <w:tcW w:w="1337" w:type="dxa"/>
            <w:tcBorders>
              <w:top w:val="single" w:sz="8" w:space="0" w:color="2F9582"/>
              <w:left w:val="single" w:sz="8" w:space="0" w:color="2F9582"/>
              <w:bottom w:val="single" w:sz="8" w:space="0" w:color="2F9582"/>
              <w:right w:val="single" w:sz="8" w:space="0" w:color="2F9582"/>
            </w:tcBorders>
            <w:shd w:val="clear" w:color="auto" w:fill="009999"/>
            <w:vAlign w:val="bottom"/>
          </w:tcPr>
          <w:p w:rsidR="00576F87" w:rsidRDefault="004165F5">
            <w:pPr>
              <w:spacing w:after="0"/>
              <w:ind w:right="38"/>
              <w:jc w:val="right"/>
            </w:pPr>
            <w:r>
              <w:rPr>
                <w:rFonts w:ascii="Verdana" w:eastAsia="Verdana" w:hAnsi="Verdana" w:cs="Verdana"/>
                <w:b/>
                <w:color w:val="FFFFFF"/>
                <w:sz w:val="18"/>
              </w:rPr>
              <w:t>Entity</w:t>
            </w:r>
          </w:p>
        </w:tc>
        <w:tc>
          <w:tcPr>
            <w:tcW w:w="1337" w:type="dxa"/>
            <w:tcBorders>
              <w:top w:val="single" w:sz="8" w:space="0" w:color="2F9582"/>
              <w:left w:val="single" w:sz="8" w:space="0" w:color="2F9582"/>
              <w:bottom w:val="single" w:sz="8" w:space="0" w:color="2F9582"/>
              <w:right w:val="single" w:sz="15" w:space="0" w:color="2F9582"/>
            </w:tcBorders>
            <w:shd w:val="clear" w:color="auto" w:fill="009999"/>
            <w:vAlign w:val="bottom"/>
          </w:tcPr>
          <w:p w:rsidR="00576F87" w:rsidRDefault="004165F5">
            <w:pPr>
              <w:spacing w:after="0"/>
              <w:ind w:right="35"/>
              <w:jc w:val="right"/>
            </w:pPr>
            <w:r>
              <w:rPr>
                <w:rFonts w:ascii="Verdana" w:eastAsia="Verdana" w:hAnsi="Verdana" w:cs="Verdana"/>
                <w:b/>
                <w:color w:val="FFFFFF"/>
                <w:sz w:val="18"/>
              </w:rPr>
              <w:t>Group</w:t>
            </w:r>
          </w:p>
        </w:tc>
      </w:tr>
      <w:tr w:rsidR="00576F87">
        <w:trPr>
          <w:trHeight w:val="290"/>
        </w:trPr>
        <w:tc>
          <w:tcPr>
            <w:tcW w:w="1337" w:type="dxa"/>
            <w:tcBorders>
              <w:top w:val="single" w:sz="8" w:space="0" w:color="2F9582"/>
              <w:left w:val="single" w:sz="15" w:space="0" w:color="2F9582"/>
              <w:bottom w:val="single" w:sz="8" w:space="0" w:color="2F9582"/>
              <w:right w:val="single" w:sz="8" w:space="0" w:color="2F9582"/>
            </w:tcBorders>
            <w:shd w:val="clear" w:color="auto" w:fill="FFFFFF"/>
          </w:tcPr>
          <w:p w:rsidR="00576F87" w:rsidRDefault="004165F5">
            <w:pPr>
              <w:spacing w:after="0"/>
              <w:ind w:right="41"/>
              <w:jc w:val="right"/>
            </w:pPr>
            <w:r>
              <w:rPr>
                <w:rFonts w:ascii="Verdana" w:eastAsia="Verdana" w:hAnsi="Verdana" w:cs="Verdana"/>
                <w:b/>
                <w:sz w:val="18"/>
              </w:rPr>
              <w:t>£'000</w:t>
            </w:r>
          </w:p>
        </w:tc>
        <w:tc>
          <w:tcPr>
            <w:tcW w:w="1337"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4165F5">
            <w:pPr>
              <w:spacing w:after="0"/>
              <w:ind w:right="41"/>
              <w:jc w:val="right"/>
            </w:pPr>
            <w:r>
              <w:rPr>
                <w:rFonts w:ascii="Verdana" w:eastAsia="Verdana" w:hAnsi="Verdana" w:cs="Verdana"/>
                <w:b/>
                <w:sz w:val="18"/>
              </w:rPr>
              <w:t>£'000</w:t>
            </w:r>
          </w:p>
        </w:tc>
        <w:tc>
          <w:tcPr>
            <w:tcW w:w="3948"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576F87"/>
        </w:tc>
        <w:tc>
          <w:tcPr>
            <w:tcW w:w="1015"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576F87"/>
        </w:tc>
        <w:tc>
          <w:tcPr>
            <w:tcW w:w="1337"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4165F5">
            <w:pPr>
              <w:spacing w:after="0"/>
              <w:ind w:right="41"/>
              <w:jc w:val="right"/>
            </w:pPr>
            <w:r>
              <w:rPr>
                <w:rFonts w:ascii="Verdana" w:eastAsia="Verdana" w:hAnsi="Verdana" w:cs="Verdana"/>
                <w:b/>
                <w:sz w:val="18"/>
              </w:rPr>
              <w:t>£'000</w:t>
            </w:r>
          </w:p>
        </w:tc>
        <w:tc>
          <w:tcPr>
            <w:tcW w:w="1337" w:type="dxa"/>
            <w:tcBorders>
              <w:top w:val="single" w:sz="8" w:space="0" w:color="2F9582"/>
              <w:left w:val="single" w:sz="8" w:space="0" w:color="2F9582"/>
              <w:bottom w:val="single" w:sz="8" w:space="0" w:color="2F9582"/>
              <w:right w:val="single" w:sz="15" w:space="0" w:color="2F9582"/>
            </w:tcBorders>
            <w:shd w:val="clear" w:color="auto" w:fill="FFFFFF"/>
          </w:tcPr>
          <w:p w:rsidR="00576F87" w:rsidRDefault="004165F5">
            <w:pPr>
              <w:spacing w:after="0"/>
              <w:ind w:right="41"/>
              <w:jc w:val="right"/>
            </w:pPr>
            <w:r>
              <w:rPr>
                <w:rFonts w:ascii="Verdana" w:eastAsia="Verdana" w:hAnsi="Verdana" w:cs="Verdana"/>
                <w:b/>
                <w:sz w:val="18"/>
              </w:rPr>
              <w:t>£'000</w:t>
            </w:r>
          </w:p>
        </w:tc>
      </w:tr>
      <w:tr w:rsidR="00576F87">
        <w:trPr>
          <w:trHeight w:val="290"/>
        </w:trPr>
        <w:tc>
          <w:tcPr>
            <w:tcW w:w="1337" w:type="dxa"/>
            <w:tcBorders>
              <w:top w:val="single" w:sz="8" w:space="0" w:color="2F9582"/>
              <w:left w:val="single" w:sz="15" w:space="0" w:color="2F9582"/>
              <w:bottom w:val="single" w:sz="8" w:space="0" w:color="2F9582"/>
              <w:right w:val="single" w:sz="8" w:space="0" w:color="2F9582"/>
            </w:tcBorders>
            <w:shd w:val="clear" w:color="auto" w:fill="FFFFFF"/>
          </w:tcPr>
          <w:p w:rsidR="00576F87" w:rsidRDefault="00576F87"/>
        </w:tc>
        <w:tc>
          <w:tcPr>
            <w:tcW w:w="1337"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576F87"/>
        </w:tc>
        <w:tc>
          <w:tcPr>
            <w:tcW w:w="3948"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576F87"/>
        </w:tc>
        <w:tc>
          <w:tcPr>
            <w:tcW w:w="1015"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576F87"/>
        </w:tc>
        <w:tc>
          <w:tcPr>
            <w:tcW w:w="1337"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576F87"/>
        </w:tc>
        <w:tc>
          <w:tcPr>
            <w:tcW w:w="1337" w:type="dxa"/>
            <w:tcBorders>
              <w:top w:val="single" w:sz="8" w:space="0" w:color="2F9582"/>
              <w:left w:val="single" w:sz="8" w:space="0" w:color="2F9582"/>
              <w:bottom w:val="single" w:sz="8" w:space="0" w:color="2F9582"/>
              <w:right w:val="single" w:sz="15" w:space="0" w:color="2F9582"/>
            </w:tcBorders>
            <w:shd w:val="clear" w:color="auto" w:fill="FFFFFF"/>
          </w:tcPr>
          <w:p w:rsidR="00576F87" w:rsidRDefault="00576F87"/>
        </w:tc>
      </w:tr>
      <w:tr w:rsidR="00576F87">
        <w:trPr>
          <w:trHeight w:val="552"/>
        </w:trPr>
        <w:tc>
          <w:tcPr>
            <w:tcW w:w="1337" w:type="dxa"/>
            <w:tcBorders>
              <w:top w:val="single" w:sz="8" w:space="0" w:color="2F9582"/>
              <w:left w:val="single" w:sz="15" w:space="0" w:color="2F9582"/>
              <w:bottom w:val="single" w:sz="8" w:space="0" w:color="2F9582"/>
              <w:right w:val="single" w:sz="8" w:space="0" w:color="2F9582"/>
            </w:tcBorders>
            <w:shd w:val="clear" w:color="auto" w:fill="FFFFFF"/>
            <w:vAlign w:val="bottom"/>
          </w:tcPr>
          <w:p w:rsidR="00576F87" w:rsidRDefault="004165F5">
            <w:pPr>
              <w:spacing w:after="0"/>
              <w:ind w:right="36"/>
              <w:jc w:val="right"/>
            </w:pPr>
            <w:r>
              <w:rPr>
                <w:rFonts w:ascii="Verdana" w:eastAsia="Verdana" w:hAnsi="Verdana" w:cs="Verdana"/>
                <w:sz w:val="18"/>
              </w:rPr>
              <w:t>6,360</w:t>
            </w:r>
          </w:p>
        </w:tc>
        <w:tc>
          <w:tcPr>
            <w:tcW w:w="1337" w:type="dxa"/>
            <w:tcBorders>
              <w:top w:val="single" w:sz="8" w:space="0" w:color="2F9582"/>
              <w:left w:val="single" w:sz="8" w:space="0" w:color="2F9582"/>
              <w:bottom w:val="single" w:sz="8" w:space="0" w:color="2F9582"/>
              <w:right w:val="single" w:sz="8" w:space="0" w:color="2F9582"/>
            </w:tcBorders>
            <w:shd w:val="clear" w:color="auto" w:fill="FFFFFF"/>
            <w:vAlign w:val="bottom"/>
          </w:tcPr>
          <w:p w:rsidR="00576F87" w:rsidRDefault="004165F5">
            <w:pPr>
              <w:spacing w:after="0"/>
              <w:ind w:right="36"/>
              <w:jc w:val="right"/>
            </w:pPr>
            <w:r>
              <w:rPr>
                <w:rFonts w:ascii="Verdana" w:eastAsia="Verdana" w:hAnsi="Verdana" w:cs="Verdana"/>
                <w:sz w:val="18"/>
              </w:rPr>
              <w:t>4,053</w:t>
            </w:r>
          </w:p>
        </w:tc>
        <w:tc>
          <w:tcPr>
            <w:tcW w:w="3948"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4165F5">
            <w:pPr>
              <w:spacing w:after="0"/>
            </w:pPr>
            <w:r>
              <w:rPr>
                <w:rFonts w:ascii="Verdana" w:eastAsia="Verdana" w:hAnsi="Verdana" w:cs="Verdana"/>
                <w:sz w:val="18"/>
              </w:rPr>
              <w:t>Net surplus/(deficit) on the provision of services</w:t>
            </w:r>
          </w:p>
        </w:tc>
        <w:tc>
          <w:tcPr>
            <w:tcW w:w="1015"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576F87"/>
        </w:tc>
        <w:tc>
          <w:tcPr>
            <w:tcW w:w="1337" w:type="dxa"/>
            <w:tcBorders>
              <w:top w:val="single" w:sz="8" w:space="0" w:color="2F9582"/>
              <w:left w:val="single" w:sz="8" w:space="0" w:color="2F9582"/>
              <w:bottom w:val="single" w:sz="8" w:space="0" w:color="2F9582"/>
              <w:right w:val="single" w:sz="8" w:space="0" w:color="2F9582"/>
            </w:tcBorders>
            <w:shd w:val="clear" w:color="auto" w:fill="FFFFFF"/>
            <w:vAlign w:val="bottom"/>
          </w:tcPr>
          <w:p w:rsidR="00576F87" w:rsidRDefault="004165F5">
            <w:pPr>
              <w:spacing w:after="0"/>
              <w:ind w:right="36"/>
              <w:jc w:val="right"/>
            </w:pPr>
            <w:r>
              <w:rPr>
                <w:rFonts w:ascii="Verdana" w:eastAsia="Verdana" w:hAnsi="Verdana" w:cs="Verdana"/>
                <w:sz w:val="18"/>
              </w:rPr>
              <w:t>(1,311)</w:t>
            </w:r>
          </w:p>
        </w:tc>
        <w:tc>
          <w:tcPr>
            <w:tcW w:w="1337" w:type="dxa"/>
            <w:tcBorders>
              <w:top w:val="single" w:sz="8" w:space="0" w:color="2F9582"/>
              <w:left w:val="single" w:sz="8" w:space="0" w:color="2F9582"/>
              <w:bottom w:val="single" w:sz="8" w:space="0" w:color="2F9582"/>
              <w:right w:val="single" w:sz="15" w:space="0" w:color="2F9582"/>
            </w:tcBorders>
            <w:shd w:val="clear" w:color="auto" w:fill="FFFFFF"/>
            <w:vAlign w:val="bottom"/>
          </w:tcPr>
          <w:p w:rsidR="00576F87" w:rsidRDefault="004165F5">
            <w:pPr>
              <w:spacing w:after="0"/>
              <w:ind w:right="36"/>
              <w:jc w:val="right"/>
            </w:pPr>
            <w:r>
              <w:rPr>
                <w:rFonts w:ascii="Verdana" w:eastAsia="Verdana" w:hAnsi="Verdana" w:cs="Verdana"/>
                <w:sz w:val="18"/>
              </w:rPr>
              <w:t>(2,366)</w:t>
            </w:r>
          </w:p>
        </w:tc>
      </w:tr>
      <w:tr w:rsidR="00576F87">
        <w:trPr>
          <w:trHeight w:val="826"/>
        </w:trPr>
        <w:tc>
          <w:tcPr>
            <w:tcW w:w="1337" w:type="dxa"/>
            <w:tcBorders>
              <w:top w:val="single" w:sz="8" w:space="0" w:color="2F9582"/>
              <w:left w:val="single" w:sz="15" w:space="0" w:color="2F9582"/>
              <w:bottom w:val="single" w:sz="8" w:space="0" w:color="2F9582"/>
              <w:right w:val="single" w:sz="8" w:space="0" w:color="2F9582"/>
            </w:tcBorders>
            <w:shd w:val="clear" w:color="auto" w:fill="FFFFFF"/>
            <w:vAlign w:val="bottom"/>
          </w:tcPr>
          <w:p w:rsidR="00576F87" w:rsidRDefault="004165F5">
            <w:pPr>
              <w:spacing w:after="0"/>
              <w:ind w:right="36"/>
              <w:jc w:val="right"/>
            </w:pPr>
            <w:r>
              <w:rPr>
                <w:rFonts w:ascii="Verdana" w:eastAsia="Verdana" w:hAnsi="Verdana" w:cs="Verdana"/>
                <w:sz w:val="18"/>
              </w:rPr>
              <w:t>(4,754)</w:t>
            </w:r>
          </w:p>
        </w:tc>
        <w:tc>
          <w:tcPr>
            <w:tcW w:w="1337" w:type="dxa"/>
            <w:tcBorders>
              <w:top w:val="single" w:sz="8" w:space="0" w:color="2F9582"/>
              <w:left w:val="single" w:sz="8" w:space="0" w:color="2F9582"/>
              <w:bottom w:val="single" w:sz="8" w:space="0" w:color="2F9582"/>
              <w:right w:val="single" w:sz="8" w:space="0" w:color="2F9582"/>
            </w:tcBorders>
            <w:shd w:val="clear" w:color="auto" w:fill="FFFFFF"/>
            <w:vAlign w:val="bottom"/>
          </w:tcPr>
          <w:p w:rsidR="00576F87" w:rsidRDefault="004165F5">
            <w:pPr>
              <w:spacing w:after="0"/>
              <w:ind w:right="36"/>
              <w:jc w:val="right"/>
            </w:pPr>
            <w:r>
              <w:rPr>
                <w:rFonts w:ascii="Verdana" w:eastAsia="Verdana" w:hAnsi="Verdana" w:cs="Verdana"/>
                <w:sz w:val="18"/>
              </w:rPr>
              <w:t>(2,446)</w:t>
            </w:r>
          </w:p>
        </w:tc>
        <w:tc>
          <w:tcPr>
            <w:tcW w:w="3948"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4165F5">
            <w:pPr>
              <w:spacing w:after="0"/>
              <w:ind w:right="25"/>
            </w:pPr>
            <w:r>
              <w:rPr>
                <w:rFonts w:ascii="Verdana" w:eastAsia="Verdana" w:hAnsi="Verdana" w:cs="Verdana"/>
                <w:sz w:val="18"/>
              </w:rPr>
              <w:t>Adjustments to net surplus/(deficit) on the provision of services for non-cash movements</w:t>
            </w:r>
          </w:p>
        </w:tc>
        <w:tc>
          <w:tcPr>
            <w:tcW w:w="1015" w:type="dxa"/>
            <w:tcBorders>
              <w:top w:val="single" w:sz="8" w:space="0" w:color="2F9582"/>
              <w:left w:val="single" w:sz="8" w:space="0" w:color="2F9582"/>
              <w:bottom w:val="single" w:sz="8" w:space="0" w:color="2F9582"/>
              <w:right w:val="single" w:sz="8" w:space="0" w:color="2F9582"/>
            </w:tcBorders>
            <w:shd w:val="clear" w:color="auto" w:fill="FFFFFF"/>
            <w:vAlign w:val="bottom"/>
          </w:tcPr>
          <w:p w:rsidR="00576F87" w:rsidRDefault="004165F5">
            <w:pPr>
              <w:spacing w:after="0"/>
              <w:ind w:right="35"/>
              <w:jc w:val="center"/>
            </w:pPr>
            <w:r>
              <w:rPr>
                <w:rFonts w:ascii="Verdana" w:eastAsia="Verdana" w:hAnsi="Verdana" w:cs="Verdana"/>
                <w:b/>
                <w:sz w:val="18"/>
              </w:rPr>
              <w:t>15</w:t>
            </w:r>
          </w:p>
        </w:tc>
        <w:tc>
          <w:tcPr>
            <w:tcW w:w="1337" w:type="dxa"/>
            <w:tcBorders>
              <w:top w:val="single" w:sz="8" w:space="0" w:color="2F9582"/>
              <w:left w:val="single" w:sz="8" w:space="0" w:color="2F9582"/>
              <w:bottom w:val="single" w:sz="8" w:space="0" w:color="2F9582"/>
              <w:right w:val="single" w:sz="8" w:space="0" w:color="2F9582"/>
            </w:tcBorders>
            <w:shd w:val="clear" w:color="auto" w:fill="FFFFFF"/>
            <w:vAlign w:val="bottom"/>
          </w:tcPr>
          <w:p w:rsidR="00576F87" w:rsidRDefault="004165F5">
            <w:pPr>
              <w:spacing w:after="0"/>
              <w:ind w:right="36"/>
              <w:jc w:val="right"/>
            </w:pPr>
            <w:r>
              <w:rPr>
                <w:rFonts w:ascii="Verdana" w:eastAsia="Verdana" w:hAnsi="Verdana" w:cs="Verdana"/>
                <w:sz w:val="18"/>
              </w:rPr>
              <w:t>996</w:t>
            </w:r>
          </w:p>
        </w:tc>
        <w:tc>
          <w:tcPr>
            <w:tcW w:w="1337" w:type="dxa"/>
            <w:tcBorders>
              <w:top w:val="single" w:sz="8" w:space="0" w:color="2F9582"/>
              <w:left w:val="single" w:sz="8" w:space="0" w:color="2F9582"/>
              <w:bottom w:val="single" w:sz="8" w:space="0" w:color="2F9582"/>
              <w:right w:val="single" w:sz="15" w:space="0" w:color="2F9582"/>
            </w:tcBorders>
            <w:shd w:val="clear" w:color="auto" w:fill="FFFFFF"/>
            <w:vAlign w:val="bottom"/>
          </w:tcPr>
          <w:p w:rsidR="00576F87" w:rsidRDefault="004165F5">
            <w:pPr>
              <w:spacing w:after="0"/>
              <w:ind w:right="36"/>
              <w:jc w:val="right"/>
            </w:pPr>
            <w:r>
              <w:rPr>
                <w:rFonts w:ascii="Verdana" w:eastAsia="Verdana" w:hAnsi="Verdana" w:cs="Verdana"/>
                <w:sz w:val="18"/>
              </w:rPr>
              <w:t>2,051</w:t>
            </w:r>
          </w:p>
        </w:tc>
      </w:tr>
      <w:tr w:rsidR="00576F87">
        <w:trPr>
          <w:trHeight w:val="552"/>
        </w:trPr>
        <w:tc>
          <w:tcPr>
            <w:tcW w:w="1337" w:type="dxa"/>
            <w:tcBorders>
              <w:top w:val="single" w:sz="8" w:space="0" w:color="2F9582"/>
              <w:left w:val="single" w:sz="15" w:space="0" w:color="2F9582"/>
              <w:bottom w:val="single" w:sz="8" w:space="0" w:color="2F9582"/>
              <w:right w:val="single" w:sz="8" w:space="0" w:color="2F9582"/>
            </w:tcBorders>
            <w:shd w:val="clear" w:color="auto" w:fill="FFFFFF"/>
            <w:vAlign w:val="bottom"/>
          </w:tcPr>
          <w:p w:rsidR="00576F87" w:rsidRDefault="004165F5">
            <w:pPr>
              <w:spacing w:after="0"/>
              <w:ind w:right="35"/>
              <w:jc w:val="right"/>
            </w:pPr>
            <w:r>
              <w:rPr>
                <w:rFonts w:ascii="Verdana" w:eastAsia="Verdana" w:hAnsi="Verdana" w:cs="Verdana"/>
                <w:b/>
                <w:sz w:val="18"/>
              </w:rPr>
              <w:t>1,606</w:t>
            </w:r>
          </w:p>
        </w:tc>
        <w:tc>
          <w:tcPr>
            <w:tcW w:w="1337" w:type="dxa"/>
            <w:tcBorders>
              <w:top w:val="single" w:sz="8" w:space="0" w:color="2F9582"/>
              <w:left w:val="single" w:sz="8" w:space="0" w:color="2F9582"/>
              <w:bottom w:val="single" w:sz="8" w:space="0" w:color="2F9582"/>
              <w:right w:val="single" w:sz="8" w:space="0" w:color="2F9582"/>
            </w:tcBorders>
            <w:shd w:val="clear" w:color="auto" w:fill="FFFFFF"/>
            <w:vAlign w:val="bottom"/>
          </w:tcPr>
          <w:p w:rsidR="00576F87" w:rsidRDefault="004165F5">
            <w:pPr>
              <w:spacing w:after="0"/>
              <w:ind w:right="35"/>
              <w:jc w:val="right"/>
            </w:pPr>
            <w:r>
              <w:rPr>
                <w:rFonts w:ascii="Verdana" w:eastAsia="Verdana" w:hAnsi="Verdana" w:cs="Verdana"/>
                <w:b/>
                <w:sz w:val="18"/>
              </w:rPr>
              <w:t>1,606</w:t>
            </w:r>
          </w:p>
        </w:tc>
        <w:tc>
          <w:tcPr>
            <w:tcW w:w="3948"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4165F5">
            <w:pPr>
              <w:spacing w:after="3"/>
              <w:ind w:left="5"/>
            </w:pPr>
            <w:r>
              <w:rPr>
                <w:rFonts w:ascii="Verdana" w:eastAsia="Verdana" w:hAnsi="Verdana" w:cs="Verdana"/>
                <w:b/>
                <w:sz w:val="18"/>
              </w:rPr>
              <w:t xml:space="preserve">Net cash flows from Operating </w:t>
            </w:r>
          </w:p>
          <w:p w:rsidR="00576F87" w:rsidRDefault="004165F5">
            <w:pPr>
              <w:spacing w:after="0"/>
              <w:ind w:left="5"/>
            </w:pPr>
            <w:r>
              <w:rPr>
                <w:rFonts w:ascii="Verdana" w:eastAsia="Verdana" w:hAnsi="Verdana" w:cs="Verdana"/>
                <w:b/>
                <w:sz w:val="18"/>
              </w:rPr>
              <w:t xml:space="preserve">Activities </w:t>
            </w:r>
          </w:p>
        </w:tc>
        <w:tc>
          <w:tcPr>
            <w:tcW w:w="1015"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576F87"/>
        </w:tc>
        <w:tc>
          <w:tcPr>
            <w:tcW w:w="1337" w:type="dxa"/>
            <w:tcBorders>
              <w:top w:val="single" w:sz="8" w:space="0" w:color="2F9582"/>
              <w:left w:val="single" w:sz="8" w:space="0" w:color="2F9582"/>
              <w:bottom w:val="single" w:sz="8" w:space="0" w:color="2F9582"/>
              <w:right w:val="single" w:sz="8" w:space="0" w:color="2F9582"/>
            </w:tcBorders>
            <w:shd w:val="clear" w:color="auto" w:fill="FFFFFF"/>
            <w:vAlign w:val="bottom"/>
          </w:tcPr>
          <w:p w:rsidR="00576F87" w:rsidRDefault="004165F5">
            <w:pPr>
              <w:spacing w:after="0"/>
              <w:ind w:right="38"/>
              <w:jc w:val="right"/>
            </w:pPr>
            <w:r>
              <w:rPr>
                <w:rFonts w:ascii="Verdana" w:eastAsia="Verdana" w:hAnsi="Verdana" w:cs="Verdana"/>
                <w:b/>
                <w:sz w:val="18"/>
              </w:rPr>
              <w:t>(315)</w:t>
            </w:r>
          </w:p>
        </w:tc>
        <w:tc>
          <w:tcPr>
            <w:tcW w:w="1337" w:type="dxa"/>
            <w:tcBorders>
              <w:top w:val="single" w:sz="8" w:space="0" w:color="2F9582"/>
              <w:left w:val="single" w:sz="8" w:space="0" w:color="2F9582"/>
              <w:bottom w:val="single" w:sz="8" w:space="0" w:color="2F9582"/>
              <w:right w:val="single" w:sz="15" w:space="0" w:color="2F9582"/>
            </w:tcBorders>
            <w:shd w:val="clear" w:color="auto" w:fill="FFFFFF"/>
            <w:vAlign w:val="bottom"/>
          </w:tcPr>
          <w:p w:rsidR="00576F87" w:rsidRDefault="004165F5">
            <w:pPr>
              <w:spacing w:after="0"/>
              <w:ind w:right="38"/>
              <w:jc w:val="right"/>
            </w:pPr>
            <w:r>
              <w:rPr>
                <w:rFonts w:ascii="Verdana" w:eastAsia="Verdana" w:hAnsi="Verdana" w:cs="Verdana"/>
                <w:b/>
                <w:sz w:val="18"/>
              </w:rPr>
              <w:t>(315)</w:t>
            </w:r>
          </w:p>
        </w:tc>
      </w:tr>
      <w:tr w:rsidR="00576F87">
        <w:trPr>
          <w:trHeight w:val="552"/>
        </w:trPr>
        <w:tc>
          <w:tcPr>
            <w:tcW w:w="1337" w:type="dxa"/>
            <w:tcBorders>
              <w:top w:val="single" w:sz="8" w:space="0" w:color="2F9582"/>
              <w:left w:val="single" w:sz="15" w:space="0" w:color="2F9582"/>
              <w:bottom w:val="single" w:sz="8" w:space="0" w:color="2F9582"/>
              <w:right w:val="single" w:sz="8" w:space="0" w:color="2F9582"/>
            </w:tcBorders>
            <w:shd w:val="clear" w:color="auto" w:fill="FFFFFF"/>
            <w:vAlign w:val="bottom"/>
          </w:tcPr>
          <w:p w:rsidR="00576F87" w:rsidRDefault="004165F5">
            <w:pPr>
              <w:spacing w:after="0"/>
              <w:ind w:right="34"/>
              <w:jc w:val="right"/>
            </w:pPr>
            <w:r>
              <w:rPr>
                <w:rFonts w:ascii="Verdana" w:eastAsia="Verdana" w:hAnsi="Verdana" w:cs="Verdana"/>
                <w:sz w:val="18"/>
              </w:rPr>
              <w:t>-</w:t>
            </w:r>
          </w:p>
        </w:tc>
        <w:tc>
          <w:tcPr>
            <w:tcW w:w="1337" w:type="dxa"/>
            <w:tcBorders>
              <w:top w:val="single" w:sz="8" w:space="0" w:color="2F9582"/>
              <w:left w:val="single" w:sz="8" w:space="0" w:color="2F9582"/>
              <w:bottom w:val="single" w:sz="8" w:space="0" w:color="2F9582"/>
              <w:right w:val="single" w:sz="8" w:space="0" w:color="2F9582"/>
            </w:tcBorders>
            <w:shd w:val="clear" w:color="auto" w:fill="FFFFFF"/>
            <w:vAlign w:val="bottom"/>
          </w:tcPr>
          <w:p w:rsidR="00576F87" w:rsidRDefault="004165F5">
            <w:pPr>
              <w:spacing w:after="0"/>
              <w:ind w:right="34"/>
              <w:jc w:val="right"/>
            </w:pPr>
            <w:r>
              <w:rPr>
                <w:rFonts w:ascii="Verdana" w:eastAsia="Verdana" w:hAnsi="Verdana" w:cs="Verdana"/>
                <w:sz w:val="18"/>
              </w:rPr>
              <w:t>-</w:t>
            </w:r>
          </w:p>
        </w:tc>
        <w:tc>
          <w:tcPr>
            <w:tcW w:w="3948"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4165F5">
            <w:pPr>
              <w:spacing w:after="0"/>
            </w:pPr>
            <w:r>
              <w:rPr>
                <w:rFonts w:ascii="Verdana" w:eastAsia="Verdana" w:hAnsi="Verdana" w:cs="Verdana"/>
                <w:sz w:val="18"/>
              </w:rPr>
              <w:t>Investing Activities - acquisition on noncurrent assets</w:t>
            </w:r>
          </w:p>
        </w:tc>
        <w:tc>
          <w:tcPr>
            <w:tcW w:w="1015" w:type="dxa"/>
            <w:tcBorders>
              <w:top w:val="single" w:sz="8" w:space="0" w:color="2F9582"/>
              <w:left w:val="single" w:sz="8" w:space="0" w:color="2F9582"/>
              <w:bottom w:val="single" w:sz="8" w:space="0" w:color="2F9582"/>
              <w:right w:val="single" w:sz="8" w:space="0" w:color="2F9582"/>
            </w:tcBorders>
            <w:shd w:val="clear" w:color="auto" w:fill="FFFFFF"/>
            <w:vAlign w:val="bottom"/>
          </w:tcPr>
          <w:p w:rsidR="00576F87" w:rsidRDefault="004165F5">
            <w:pPr>
              <w:spacing w:after="0"/>
              <w:ind w:left="77"/>
            </w:pPr>
            <w:r>
              <w:rPr>
                <w:rFonts w:ascii="Verdana" w:eastAsia="Verdana" w:hAnsi="Verdana" w:cs="Verdana"/>
                <w:b/>
                <w:sz w:val="18"/>
              </w:rPr>
              <w:t>13 &amp; 14</w:t>
            </w:r>
          </w:p>
        </w:tc>
        <w:tc>
          <w:tcPr>
            <w:tcW w:w="1337" w:type="dxa"/>
            <w:tcBorders>
              <w:top w:val="single" w:sz="8" w:space="0" w:color="2F9582"/>
              <w:left w:val="single" w:sz="8" w:space="0" w:color="2F9582"/>
              <w:bottom w:val="single" w:sz="8" w:space="0" w:color="2F9582"/>
              <w:right w:val="single" w:sz="8" w:space="0" w:color="2F9582"/>
            </w:tcBorders>
            <w:shd w:val="clear" w:color="auto" w:fill="FFFFFF"/>
            <w:vAlign w:val="bottom"/>
          </w:tcPr>
          <w:p w:rsidR="00576F87" w:rsidRDefault="004165F5">
            <w:pPr>
              <w:spacing w:after="0"/>
              <w:ind w:right="34"/>
              <w:jc w:val="right"/>
            </w:pPr>
            <w:r>
              <w:rPr>
                <w:rFonts w:ascii="Verdana" w:eastAsia="Verdana" w:hAnsi="Verdana" w:cs="Verdana"/>
                <w:sz w:val="18"/>
              </w:rPr>
              <w:t>-</w:t>
            </w:r>
          </w:p>
        </w:tc>
        <w:tc>
          <w:tcPr>
            <w:tcW w:w="1337" w:type="dxa"/>
            <w:tcBorders>
              <w:top w:val="single" w:sz="8" w:space="0" w:color="2F9582"/>
              <w:left w:val="single" w:sz="8" w:space="0" w:color="2F9582"/>
              <w:bottom w:val="single" w:sz="8" w:space="0" w:color="2F9582"/>
              <w:right w:val="single" w:sz="15" w:space="0" w:color="2F9582"/>
            </w:tcBorders>
            <w:shd w:val="clear" w:color="auto" w:fill="FFFFFF"/>
            <w:vAlign w:val="bottom"/>
          </w:tcPr>
          <w:p w:rsidR="00576F87" w:rsidRDefault="004165F5">
            <w:pPr>
              <w:spacing w:after="0"/>
              <w:ind w:right="34"/>
              <w:jc w:val="right"/>
            </w:pPr>
            <w:r>
              <w:rPr>
                <w:rFonts w:ascii="Verdana" w:eastAsia="Verdana" w:hAnsi="Verdana" w:cs="Verdana"/>
                <w:sz w:val="18"/>
              </w:rPr>
              <w:t>-</w:t>
            </w:r>
          </w:p>
        </w:tc>
      </w:tr>
      <w:tr w:rsidR="00576F87">
        <w:trPr>
          <w:trHeight w:val="552"/>
        </w:trPr>
        <w:tc>
          <w:tcPr>
            <w:tcW w:w="1337" w:type="dxa"/>
            <w:tcBorders>
              <w:top w:val="single" w:sz="8" w:space="0" w:color="2F9582"/>
              <w:left w:val="single" w:sz="15" w:space="0" w:color="2F9582"/>
              <w:bottom w:val="single" w:sz="8" w:space="0" w:color="2F9582"/>
              <w:right w:val="single" w:sz="8" w:space="0" w:color="2F9582"/>
            </w:tcBorders>
            <w:shd w:val="clear" w:color="auto" w:fill="FFFFFF"/>
            <w:vAlign w:val="bottom"/>
          </w:tcPr>
          <w:p w:rsidR="00576F87" w:rsidRDefault="004165F5">
            <w:pPr>
              <w:spacing w:after="0"/>
              <w:ind w:right="35"/>
              <w:jc w:val="right"/>
            </w:pPr>
            <w:r>
              <w:rPr>
                <w:rFonts w:ascii="Verdana" w:eastAsia="Verdana" w:hAnsi="Verdana" w:cs="Verdana"/>
                <w:b/>
                <w:sz w:val="18"/>
              </w:rPr>
              <w:t>1,606</w:t>
            </w:r>
          </w:p>
        </w:tc>
        <w:tc>
          <w:tcPr>
            <w:tcW w:w="1337" w:type="dxa"/>
            <w:tcBorders>
              <w:top w:val="single" w:sz="8" w:space="0" w:color="2F9582"/>
              <w:left w:val="single" w:sz="8" w:space="0" w:color="2F9582"/>
              <w:bottom w:val="single" w:sz="8" w:space="0" w:color="2F9582"/>
              <w:right w:val="single" w:sz="8" w:space="0" w:color="2F9582"/>
            </w:tcBorders>
            <w:shd w:val="clear" w:color="auto" w:fill="FFFFFF"/>
            <w:vAlign w:val="bottom"/>
          </w:tcPr>
          <w:p w:rsidR="00576F87" w:rsidRDefault="004165F5">
            <w:pPr>
              <w:spacing w:after="0"/>
              <w:ind w:right="35"/>
              <w:jc w:val="right"/>
            </w:pPr>
            <w:r>
              <w:rPr>
                <w:rFonts w:ascii="Verdana" w:eastAsia="Verdana" w:hAnsi="Verdana" w:cs="Verdana"/>
                <w:b/>
                <w:sz w:val="18"/>
              </w:rPr>
              <w:t>1,606</w:t>
            </w:r>
          </w:p>
        </w:tc>
        <w:tc>
          <w:tcPr>
            <w:tcW w:w="3948"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4165F5">
            <w:pPr>
              <w:spacing w:after="0"/>
              <w:ind w:left="5"/>
            </w:pPr>
            <w:r>
              <w:rPr>
                <w:rFonts w:ascii="Verdana" w:eastAsia="Verdana" w:hAnsi="Verdana" w:cs="Verdana"/>
                <w:b/>
                <w:sz w:val="18"/>
              </w:rPr>
              <w:t>Net increase or (decrease) in cash and cash equivalents</w:t>
            </w:r>
          </w:p>
        </w:tc>
        <w:tc>
          <w:tcPr>
            <w:tcW w:w="1015"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576F87"/>
        </w:tc>
        <w:tc>
          <w:tcPr>
            <w:tcW w:w="1337" w:type="dxa"/>
            <w:tcBorders>
              <w:top w:val="single" w:sz="8" w:space="0" w:color="2F9582"/>
              <w:left w:val="single" w:sz="8" w:space="0" w:color="2F9582"/>
              <w:bottom w:val="single" w:sz="8" w:space="0" w:color="2F9582"/>
              <w:right w:val="single" w:sz="8" w:space="0" w:color="2F9582"/>
            </w:tcBorders>
            <w:shd w:val="clear" w:color="auto" w:fill="FFFFFF"/>
            <w:vAlign w:val="bottom"/>
          </w:tcPr>
          <w:p w:rsidR="00576F87" w:rsidRDefault="004165F5">
            <w:pPr>
              <w:spacing w:after="0"/>
              <w:ind w:right="38"/>
              <w:jc w:val="right"/>
            </w:pPr>
            <w:r>
              <w:rPr>
                <w:rFonts w:ascii="Verdana" w:eastAsia="Verdana" w:hAnsi="Verdana" w:cs="Verdana"/>
                <w:b/>
                <w:sz w:val="18"/>
              </w:rPr>
              <w:t>(315)</w:t>
            </w:r>
          </w:p>
        </w:tc>
        <w:tc>
          <w:tcPr>
            <w:tcW w:w="1337" w:type="dxa"/>
            <w:tcBorders>
              <w:top w:val="single" w:sz="8" w:space="0" w:color="2F9582"/>
              <w:left w:val="single" w:sz="8" w:space="0" w:color="2F9582"/>
              <w:bottom w:val="single" w:sz="8" w:space="0" w:color="2F9582"/>
              <w:right w:val="single" w:sz="15" w:space="0" w:color="2F9582"/>
            </w:tcBorders>
            <w:shd w:val="clear" w:color="auto" w:fill="FFFFFF"/>
            <w:vAlign w:val="bottom"/>
          </w:tcPr>
          <w:p w:rsidR="00576F87" w:rsidRDefault="004165F5">
            <w:pPr>
              <w:spacing w:after="0"/>
              <w:ind w:right="38"/>
              <w:jc w:val="right"/>
            </w:pPr>
            <w:r>
              <w:rPr>
                <w:rFonts w:ascii="Verdana" w:eastAsia="Verdana" w:hAnsi="Verdana" w:cs="Verdana"/>
                <w:b/>
                <w:sz w:val="18"/>
              </w:rPr>
              <w:t>(315)</w:t>
            </w:r>
          </w:p>
        </w:tc>
      </w:tr>
      <w:tr w:rsidR="00576F87">
        <w:trPr>
          <w:trHeight w:val="624"/>
        </w:trPr>
        <w:tc>
          <w:tcPr>
            <w:tcW w:w="1337" w:type="dxa"/>
            <w:tcBorders>
              <w:top w:val="single" w:sz="8" w:space="0" w:color="2F9582"/>
              <w:left w:val="single" w:sz="15" w:space="0" w:color="2F9582"/>
              <w:bottom w:val="single" w:sz="8" w:space="0" w:color="2F9582"/>
              <w:right w:val="single" w:sz="8" w:space="0" w:color="2F9582"/>
            </w:tcBorders>
            <w:shd w:val="clear" w:color="auto" w:fill="FFFFFF"/>
            <w:vAlign w:val="bottom"/>
          </w:tcPr>
          <w:p w:rsidR="00576F87" w:rsidRDefault="004165F5">
            <w:pPr>
              <w:spacing w:after="0"/>
              <w:ind w:right="36"/>
              <w:jc w:val="right"/>
            </w:pPr>
            <w:r>
              <w:rPr>
                <w:rFonts w:ascii="Verdana" w:eastAsia="Verdana" w:hAnsi="Verdana" w:cs="Verdana"/>
                <w:sz w:val="18"/>
              </w:rPr>
              <w:t>1,030</w:t>
            </w:r>
          </w:p>
        </w:tc>
        <w:tc>
          <w:tcPr>
            <w:tcW w:w="1337" w:type="dxa"/>
            <w:tcBorders>
              <w:top w:val="single" w:sz="8" w:space="0" w:color="2F9582"/>
              <w:left w:val="single" w:sz="8" w:space="0" w:color="2F9582"/>
              <w:bottom w:val="single" w:sz="8" w:space="0" w:color="2F9582"/>
              <w:right w:val="single" w:sz="8" w:space="0" w:color="2F9582"/>
            </w:tcBorders>
            <w:shd w:val="clear" w:color="auto" w:fill="FFFFFF"/>
            <w:vAlign w:val="bottom"/>
          </w:tcPr>
          <w:p w:rsidR="00576F87" w:rsidRDefault="004165F5">
            <w:pPr>
              <w:spacing w:after="0"/>
              <w:ind w:right="36"/>
              <w:jc w:val="right"/>
            </w:pPr>
            <w:r>
              <w:rPr>
                <w:rFonts w:ascii="Verdana" w:eastAsia="Verdana" w:hAnsi="Verdana" w:cs="Verdana"/>
                <w:sz w:val="18"/>
              </w:rPr>
              <w:t>1,030</w:t>
            </w:r>
          </w:p>
        </w:tc>
        <w:tc>
          <w:tcPr>
            <w:tcW w:w="3948"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4165F5">
            <w:pPr>
              <w:spacing w:after="0"/>
            </w:pPr>
            <w:r>
              <w:rPr>
                <w:rFonts w:ascii="Verdana" w:eastAsia="Verdana" w:hAnsi="Verdana" w:cs="Verdana"/>
                <w:sz w:val="18"/>
              </w:rPr>
              <w:t>Cash and cash equivalents at the beginning of the reporting period</w:t>
            </w:r>
          </w:p>
        </w:tc>
        <w:tc>
          <w:tcPr>
            <w:tcW w:w="1015" w:type="dxa"/>
            <w:tcBorders>
              <w:top w:val="single" w:sz="8" w:space="0" w:color="2F9582"/>
              <w:left w:val="single" w:sz="8" w:space="0" w:color="2F9582"/>
              <w:bottom w:val="single" w:sz="8" w:space="0" w:color="2F9582"/>
              <w:right w:val="single" w:sz="8" w:space="0" w:color="2F9582"/>
            </w:tcBorders>
            <w:shd w:val="clear" w:color="auto" w:fill="FFFFFF"/>
          </w:tcPr>
          <w:p w:rsidR="00576F87" w:rsidRDefault="00576F87"/>
        </w:tc>
        <w:tc>
          <w:tcPr>
            <w:tcW w:w="1337" w:type="dxa"/>
            <w:tcBorders>
              <w:top w:val="single" w:sz="8" w:space="0" w:color="2F9582"/>
              <w:left w:val="single" w:sz="8" w:space="0" w:color="2F9582"/>
              <w:bottom w:val="single" w:sz="8" w:space="0" w:color="2F9582"/>
              <w:right w:val="single" w:sz="8" w:space="0" w:color="2F9582"/>
            </w:tcBorders>
            <w:shd w:val="clear" w:color="auto" w:fill="FFFFFF"/>
            <w:vAlign w:val="bottom"/>
          </w:tcPr>
          <w:p w:rsidR="00576F87" w:rsidRDefault="004165F5">
            <w:pPr>
              <w:spacing w:after="0"/>
              <w:ind w:right="36"/>
              <w:jc w:val="right"/>
            </w:pPr>
            <w:r>
              <w:rPr>
                <w:rFonts w:ascii="Verdana" w:eastAsia="Verdana" w:hAnsi="Verdana" w:cs="Verdana"/>
                <w:sz w:val="18"/>
              </w:rPr>
              <w:t>2,636</w:t>
            </w:r>
          </w:p>
        </w:tc>
        <w:tc>
          <w:tcPr>
            <w:tcW w:w="1337" w:type="dxa"/>
            <w:tcBorders>
              <w:top w:val="single" w:sz="8" w:space="0" w:color="2F9582"/>
              <w:left w:val="single" w:sz="8" w:space="0" w:color="2F9582"/>
              <w:bottom w:val="single" w:sz="8" w:space="0" w:color="2F9582"/>
              <w:right w:val="single" w:sz="15" w:space="0" w:color="2F9582"/>
            </w:tcBorders>
            <w:shd w:val="clear" w:color="auto" w:fill="FFFFFF"/>
            <w:vAlign w:val="bottom"/>
          </w:tcPr>
          <w:p w:rsidR="00576F87" w:rsidRDefault="004165F5">
            <w:pPr>
              <w:spacing w:after="0"/>
              <w:ind w:right="35"/>
              <w:jc w:val="right"/>
            </w:pPr>
            <w:r>
              <w:rPr>
                <w:rFonts w:ascii="Verdana" w:eastAsia="Verdana" w:hAnsi="Verdana" w:cs="Verdana"/>
                <w:sz w:val="18"/>
              </w:rPr>
              <w:t>2,636</w:t>
            </w:r>
          </w:p>
        </w:tc>
      </w:tr>
      <w:tr w:rsidR="00576F87">
        <w:trPr>
          <w:trHeight w:val="535"/>
        </w:trPr>
        <w:tc>
          <w:tcPr>
            <w:tcW w:w="1337" w:type="dxa"/>
            <w:tcBorders>
              <w:top w:val="single" w:sz="8" w:space="0" w:color="2F9582"/>
              <w:left w:val="single" w:sz="15" w:space="0" w:color="2F9582"/>
              <w:bottom w:val="single" w:sz="15" w:space="0" w:color="2F9582"/>
              <w:right w:val="single" w:sz="8" w:space="0" w:color="2F9582"/>
            </w:tcBorders>
            <w:shd w:val="clear" w:color="auto" w:fill="009999"/>
            <w:vAlign w:val="bottom"/>
          </w:tcPr>
          <w:p w:rsidR="00576F87" w:rsidRDefault="004165F5">
            <w:pPr>
              <w:spacing w:after="0"/>
              <w:ind w:right="40"/>
              <w:jc w:val="right"/>
            </w:pPr>
            <w:r>
              <w:rPr>
                <w:rFonts w:ascii="Verdana" w:eastAsia="Verdana" w:hAnsi="Verdana" w:cs="Verdana"/>
                <w:b/>
                <w:color w:val="FFFFFF"/>
                <w:sz w:val="18"/>
              </w:rPr>
              <w:t>2,636</w:t>
            </w:r>
          </w:p>
        </w:tc>
        <w:tc>
          <w:tcPr>
            <w:tcW w:w="1337" w:type="dxa"/>
            <w:tcBorders>
              <w:top w:val="single" w:sz="8" w:space="0" w:color="2F9582"/>
              <w:left w:val="single" w:sz="8" w:space="0" w:color="2F9582"/>
              <w:bottom w:val="single" w:sz="15" w:space="0" w:color="2F9582"/>
              <w:right w:val="single" w:sz="8" w:space="0" w:color="2F9582"/>
            </w:tcBorders>
            <w:shd w:val="clear" w:color="auto" w:fill="009999"/>
            <w:vAlign w:val="bottom"/>
          </w:tcPr>
          <w:p w:rsidR="00576F87" w:rsidRDefault="004165F5">
            <w:pPr>
              <w:spacing w:after="0"/>
              <w:ind w:right="40"/>
              <w:jc w:val="right"/>
            </w:pPr>
            <w:r>
              <w:rPr>
                <w:rFonts w:ascii="Verdana" w:eastAsia="Verdana" w:hAnsi="Verdana" w:cs="Verdana"/>
                <w:b/>
                <w:color w:val="FFFFFF"/>
                <w:sz w:val="18"/>
              </w:rPr>
              <w:t>2,636</w:t>
            </w:r>
          </w:p>
        </w:tc>
        <w:tc>
          <w:tcPr>
            <w:tcW w:w="3948" w:type="dxa"/>
            <w:tcBorders>
              <w:top w:val="single" w:sz="8" w:space="0" w:color="2F9582"/>
              <w:left w:val="single" w:sz="8" w:space="0" w:color="2F9582"/>
              <w:bottom w:val="single" w:sz="15" w:space="0" w:color="2F9582"/>
              <w:right w:val="single" w:sz="8" w:space="0" w:color="2F9582"/>
            </w:tcBorders>
            <w:shd w:val="clear" w:color="auto" w:fill="009999"/>
          </w:tcPr>
          <w:p w:rsidR="00576F87" w:rsidRDefault="004165F5">
            <w:pPr>
              <w:spacing w:after="0"/>
              <w:ind w:left="5"/>
            </w:pPr>
            <w:r>
              <w:rPr>
                <w:rFonts w:ascii="Verdana" w:eastAsia="Verdana" w:hAnsi="Verdana" w:cs="Verdana"/>
                <w:b/>
                <w:color w:val="FFFFFF"/>
                <w:sz w:val="18"/>
              </w:rPr>
              <w:t>Cash and cash equivalents at the end of the reporting period</w:t>
            </w:r>
          </w:p>
        </w:tc>
        <w:tc>
          <w:tcPr>
            <w:tcW w:w="1015" w:type="dxa"/>
            <w:tcBorders>
              <w:top w:val="single" w:sz="8" w:space="0" w:color="2F9582"/>
              <w:left w:val="single" w:sz="8" w:space="0" w:color="2F9582"/>
              <w:bottom w:val="single" w:sz="15" w:space="0" w:color="2F9582"/>
              <w:right w:val="single" w:sz="8" w:space="0" w:color="2F9582"/>
            </w:tcBorders>
            <w:shd w:val="clear" w:color="auto" w:fill="009999"/>
          </w:tcPr>
          <w:p w:rsidR="00576F87" w:rsidRDefault="00576F87"/>
        </w:tc>
        <w:tc>
          <w:tcPr>
            <w:tcW w:w="1337" w:type="dxa"/>
            <w:tcBorders>
              <w:top w:val="single" w:sz="8" w:space="0" w:color="2F9582"/>
              <w:left w:val="single" w:sz="8" w:space="0" w:color="2F9582"/>
              <w:bottom w:val="single" w:sz="15" w:space="0" w:color="2F9582"/>
              <w:right w:val="single" w:sz="8" w:space="0" w:color="2F9582"/>
            </w:tcBorders>
            <w:shd w:val="clear" w:color="auto" w:fill="009999"/>
            <w:vAlign w:val="bottom"/>
          </w:tcPr>
          <w:p w:rsidR="00576F87" w:rsidRDefault="004165F5">
            <w:pPr>
              <w:spacing w:after="0"/>
              <w:ind w:right="40"/>
              <w:jc w:val="right"/>
            </w:pPr>
            <w:r>
              <w:rPr>
                <w:rFonts w:ascii="Verdana" w:eastAsia="Verdana" w:hAnsi="Verdana" w:cs="Verdana"/>
                <w:b/>
                <w:color w:val="FFFFFF"/>
                <w:sz w:val="18"/>
              </w:rPr>
              <w:t>2,321</w:t>
            </w:r>
          </w:p>
        </w:tc>
        <w:tc>
          <w:tcPr>
            <w:tcW w:w="1337" w:type="dxa"/>
            <w:tcBorders>
              <w:top w:val="single" w:sz="8" w:space="0" w:color="2F9582"/>
              <w:left w:val="single" w:sz="8" w:space="0" w:color="2F9582"/>
              <w:bottom w:val="single" w:sz="15" w:space="0" w:color="2F9582"/>
              <w:right w:val="single" w:sz="15" w:space="0" w:color="2F9582"/>
            </w:tcBorders>
            <w:shd w:val="clear" w:color="auto" w:fill="009999"/>
            <w:vAlign w:val="bottom"/>
          </w:tcPr>
          <w:p w:rsidR="00576F87" w:rsidRDefault="004165F5">
            <w:pPr>
              <w:spacing w:after="0"/>
              <w:ind w:right="40"/>
              <w:jc w:val="right"/>
            </w:pPr>
            <w:r>
              <w:rPr>
                <w:rFonts w:ascii="Verdana" w:eastAsia="Verdana" w:hAnsi="Verdana" w:cs="Verdana"/>
                <w:b/>
                <w:color w:val="FFFFFF"/>
                <w:sz w:val="18"/>
              </w:rPr>
              <w:t>2,321</w:t>
            </w:r>
          </w:p>
        </w:tc>
      </w:tr>
    </w:tbl>
    <w:p w:rsidR="00576F87" w:rsidRDefault="004165F5">
      <w:pPr>
        <w:spacing w:after="6"/>
        <w:ind w:left="848" w:right="78" w:hanging="10"/>
        <w:jc w:val="center"/>
      </w:pPr>
      <w:r>
        <w:t>72</w:t>
      </w:r>
    </w:p>
    <w:p w:rsidR="00576F87" w:rsidRDefault="00576F87">
      <w:pPr>
        <w:sectPr w:rsidR="00576F87">
          <w:headerReference w:type="even" r:id="rId114"/>
          <w:headerReference w:type="default" r:id="rId115"/>
          <w:footerReference w:type="even" r:id="rId116"/>
          <w:footerReference w:type="default" r:id="rId117"/>
          <w:headerReference w:type="first" r:id="rId118"/>
          <w:footerReference w:type="first" r:id="rId119"/>
          <w:pgSz w:w="11900" w:h="16840"/>
          <w:pgMar w:top="1146" w:right="1014" w:bottom="507" w:left="516" w:header="720" w:footer="720" w:gutter="0"/>
          <w:cols w:space="720"/>
        </w:sectPr>
      </w:pPr>
    </w:p>
    <w:p w:rsidR="00576F87" w:rsidRDefault="004165F5">
      <w:pPr>
        <w:spacing w:after="0" w:line="265" w:lineRule="auto"/>
        <w:ind w:left="17" w:hanging="10"/>
      </w:pPr>
      <w:r>
        <w:rPr>
          <w:rFonts w:ascii="Verdana" w:eastAsia="Verdana" w:hAnsi="Verdana" w:cs="Verdana"/>
          <w:b/>
          <w:color w:val="009999"/>
          <w:sz w:val="80"/>
        </w:rPr>
        <w:t xml:space="preserve">10 </w:t>
      </w:r>
      <w:r>
        <w:rPr>
          <w:rFonts w:ascii="Verdana" w:eastAsia="Verdana" w:hAnsi="Verdana" w:cs="Verdana"/>
          <w:color w:val="35437C"/>
          <w:sz w:val="28"/>
        </w:rPr>
        <w:t>Notes to the financial statements for the year ended 31</w:t>
      </w:r>
    </w:p>
    <w:p w:rsidR="00576F87" w:rsidRDefault="004165F5">
      <w:pPr>
        <w:pStyle w:val="Heading3"/>
        <w:spacing w:after="289"/>
      </w:pPr>
      <w:r>
        <w:rPr>
          <w:b w:val="0"/>
          <w:color w:val="35437C"/>
          <w:sz w:val="28"/>
        </w:rPr>
        <w:t>March 2018</w:t>
      </w:r>
    </w:p>
    <w:p w:rsidR="00576F87" w:rsidRDefault="004165F5">
      <w:pPr>
        <w:pStyle w:val="Heading4"/>
        <w:spacing w:after="250"/>
        <w:ind w:left="3"/>
      </w:pPr>
      <w:r>
        <w:t>General Information</w:t>
      </w:r>
    </w:p>
    <w:p w:rsidR="00576F87" w:rsidRDefault="004165F5">
      <w:pPr>
        <w:spacing w:after="434" w:line="268" w:lineRule="auto"/>
        <w:ind w:left="-7" w:hanging="3"/>
        <w:jc w:val="both"/>
      </w:pPr>
      <w:r>
        <w:rPr>
          <w:rFonts w:ascii="Verdana" w:eastAsia="Verdana" w:hAnsi="Verdana" w:cs="Verdana"/>
          <w:sz w:val="18"/>
        </w:rPr>
        <w:t>The operational costs incurred by LPFA in administering the pension fund, residual liabilities fund and agency contracts are accumulated in the operational accounts and are reimbursed from the respective source.</w:t>
      </w:r>
    </w:p>
    <w:p w:rsidR="00576F87" w:rsidRDefault="004165F5">
      <w:pPr>
        <w:pStyle w:val="Heading4"/>
        <w:spacing w:after="217" w:line="265" w:lineRule="auto"/>
        <w:ind w:left="17" w:hanging="10"/>
      </w:pPr>
      <w:r>
        <w:rPr>
          <w:sz w:val="28"/>
        </w:rPr>
        <w:t>1.  Summary of Significant Accounting Policies</w:t>
      </w:r>
    </w:p>
    <w:p w:rsidR="00576F87" w:rsidRDefault="004165F5">
      <w:pPr>
        <w:pStyle w:val="Heading5"/>
        <w:spacing w:after="338"/>
        <w:ind w:left="5" w:hanging="10"/>
      </w:pPr>
      <w:r>
        <w:rPr>
          <w:color w:val="99CA3C"/>
        </w:rPr>
        <w:t>General Principles</w:t>
      </w:r>
    </w:p>
    <w:p w:rsidR="00576F87" w:rsidRDefault="004165F5">
      <w:pPr>
        <w:spacing w:after="268" w:line="268" w:lineRule="auto"/>
        <w:ind w:left="-7" w:hanging="3"/>
        <w:jc w:val="both"/>
      </w:pPr>
      <w:r>
        <w:rPr>
          <w:rFonts w:ascii="Verdana" w:eastAsia="Verdana" w:hAnsi="Verdana" w:cs="Verdana"/>
          <w:sz w:val="18"/>
        </w:rPr>
        <w:t>The Statement of Accounts summarises LPFA’s transactions for the 2017/18 financial year and its position at year-end of 31 March 2018. It has been prepared in accordance with the Code of Pra</w:t>
      </w:r>
      <w:r>
        <w:rPr>
          <w:rFonts w:ascii="Verdana" w:eastAsia="Verdana" w:hAnsi="Verdana" w:cs="Verdana"/>
          <w:sz w:val="18"/>
        </w:rPr>
        <w:t xml:space="preserve">ctice on Local Authority Accounting in the United Kingdom 2017/18: based upon International Financial Reporting Standards (IFRS).   </w:t>
      </w:r>
    </w:p>
    <w:p w:rsidR="00576F87" w:rsidRDefault="004165F5">
      <w:pPr>
        <w:spacing w:after="263" w:line="268" w:lineRule="auto"/>
        <w:ind w:left="-7" w:hanging="3"/>
        <w:jc w:val="both"/>
      </w:pPr>
      <w:r>
        <w:rPr>
          <w:rFonts w:ascii="Verdana" w:eastAsia="Verdana" w:hAnsi="Verdana" w:cs="Verdana"/>
          <w:sz w:val="18"/>
        </w:rPr>
        <w:t xml:space="preserve">The accounting convention adopted is historical cost. </w:t>
      </w:r>
    </w:p>
    <w:p w:rsidR="00576F87" w:rsidRDefault="004165F5">
      <w:pPr>
        <w:spacing w:after="340" w:line="268" w:lineRule="auto"/>
        <w:ind w:left="-7" w:hanging="3"/>
        <w:jc w:val="both"/>
      </w:pPr>
      <w:r>
        <w:rPr>
          <w:rFonts w:ascii="Verdana" w:eastAsia="Verdana" w:hAnsi="Verdana" w:cs="Verdana"/>
          <w:sz w:val="18"/>
        </w:rPr>
        <w:t xml:space="preserve">The financial statements and accounts have been prepared on a going </w:t>
      </w:r>
      <w:r>
        <w:rPr>
          <w:rFonts w:ascii="Verdana" w:eastAsia="Verdana" w:hAnsi="Verdana" w:cs="Verdana"/>
          <w:sz w:val="18"/>
        </w:rPr>
        <w:t xml:space="preserve">concern basis. </w:t>
      </w:r>
    </w:p>
    <w:p w:rsidR="00576F87" w:rsidRDefault="004165F5">
      <w:pPr>
        <w:pStyle w:val="Heading5"/>
        <w:spacing w:after="123"/>
        <w:ind w:left="5" w:hanging="10"/>
      </w:pPr>
      <w:r>
        <w:rPr>
          <w:color w:val="99CA3C"/>
        </w:rPr>
        <w:t>Accruals of Income and Expenditure</w:t>
      </w:r>
    </w:p>
    <w:p w:rsidR="00576F87" w:rsidRDefault="004165F5">
      <w:pPr>
        <w:spacing w:after="189" w:line="268" w:lineRule="auto"/>
        <w:ind w:left="-7" w:hanging="3"/>
        <w:jc w:val="both"/>
      </w:pPr>
      <w:r>
        <w:rPr>
          <w:rFonts w:ascii="Verdana" w:eastAsia="Verdana" w:hAnsi="Verdana" w:cs="Verdana"/>
          <w:sz w:val="18"/>
        </w:rPr>
        <w:t>Activity is accounted for in the year that it takes place, not simply when cash payments are made or received. In particular:</w:t>
      </w:r>
    </w:p>
    <w:p w:rsidR="00576F87" w:rsidRDefault="004165F5">
      <w:pPr>
        <w:spacing w:after="181" w:line="268" w:lineRule="auto"/>
        <w:ind w:left="-7" w:hanging="3"/>
        <w:jc w:val="both"/>
      </w:pPr>
      <w:r>
        <w:rPr>
          <w:rFonts w:ascii="Verdana" w:eastAsia="Verdana" w:hAnsi="Verdana" w:cs="Verdana"/>
          <w:sz w:val="18"/>
        </w:rPr>
        <w:t>Fees and charges are accounted for as income at the date LPFA provides the relevant services.</w:t>
      </w:r>
    </w:p>
    <w:p w:rsidR="00576F87" w:rsidRDefault="004165F5">
      <w:pPr>
        <w:spacing w:after="149" w:line="268" w:lineRule="auto"/>
        <w:ind w:left="-7" w:hanging="3"/>
        <w:jc w:val="both"/>
      </w:pPr>
      <w:r>
        <w:rPr>
          <w:rFonts w:ascii="Verdana" w:eastAsia="Verdana" w:hAnsi="Verdana" w:cs="Verdana"/>
          <w:sz w:val="18"/>
        </w:rPr>
        <w:t>Supplies are recorded as expenditure when they are consumed.</w:t>
      </w:r>
    </w:p>
    <w:p w:rsidR="00576F87" w:rsidRDefault="004165F5">
      <w:pPr>
        <w:spacing w:after="339" w:line="268" w:lineRule="auto"/>
        <w:ind w:left="-7" w:hanging="3"/>
        <w:jc w:val="both"/>
      </w:pPr>
      <w:r>
        <w:rPr>
          <w:rFonts w:ascii="Verdana" w:eastAsia="Verdana" w:hAnsi="Verdana" w:cs="Verdana"/>
          <w:sz w:val="18"/>
        </w:rPr>
        <w:t xml:space="preserve">Where income or expenditure has been recognised but cash has not been received or paid, a receivable </w:t>
      </w:r>
      <w:r>
        <w:rPr>
          <w:rFonts w:ascii="Verdana" w:eastAsia="Verdana" w:hAnsi="Verdana" w:cs="Verdana"/>
          <w:sz w:val="18"/>
        </w:rPr>
        <w:t>or payable for the relevant amount is recorded in the balance sheet. Where it is doubtful that debts will be settled, the balance of receivables is written down and a charge is made to revenue for the income that might not be collected.</w:t>
      </w:r>
    </w:p>
    <w:p w:rsidR="00576F87" w:rsidRDefault="004165F5">
      <w:pPr>
        <w:pStyle w:val="Heading5"/>
        <w:spacing w:after="166"/>
        <w:ind w:left="5" w:hanging="10"/>
      </w:pPr>
      <w:r>
        <w:rPr>
          <w:color w:val="99CA3C"/>
        </w:rPr>
        <w:t>Cash and Cash Equiv</w:t>
      </w:r>
      <w:r>
        <w:rPr>
          <w:color w:val="99CA3C"/>
        </w:rPr>
        <w:t>alents</w:t>
      </w:r>
    </w:p>
    <w:p w:rsidR="00576F87" w:rsidRDefault="004165F5">
      <w:pPr>
        <w:spacing w:after="299" w:line="268" w:lineRule="auto"/>
        <w:ind w:left="-7" w:hanging="3"/>
        <w:jc w:val="both"/>
      </w:pPr>
      <w:r>
        <w:rPr>
          <w:rFonts w:ascii="Verdana" w:eastAsia="Verdana" w:hAnsi="Verdana" w:cs="Verdana"/>
          <w:sz w:val="18"/>
        </w:rPr>
        <w:t>Cash and cash equivalents comprise cash in hand and demand deposits, together with short term, highly liquid investments that are readily convertible to a known amount of cash, and that are subject to an insignificant risk of change in value. An inv</w:t>
      </w:r>
      <w:r>
        <w:rPr>
          <w:rFonts w:ascii="Verdana" w:eastAsia="Verdana" w:hAnsi="Verdana" w:cs="Verdana"/>
          <w:sz w:val="18"/>
        </w:rPr>
        <w:t>estment normally meets the definition of a cash equivalent when it has a maturity of three months or less from the date of acquisition. Bank overdrafts which are repayable on demand and which form an integral part of an entity’s cash management are also in</w:t>
      </w:r>
      <w:r>
        <w:rPr>
          <w:rFonts w:ascii="Verdana" w:eastAsia="Verdana" w:hAnsi="Verdana" w:cs="Verdana"/>
          <w:sz w:val="18"/>
        </w:rPr>
        <w:t>cluded as a component of cash and cash equivalents.</w:t>
      </w:r>
    </w:p>
    <w:p w:rsidR="00576F87" w:rsidRDefault="004165F5">
      <w:pPr>
        <w:spacing w:after="5" w:line="268" w:lineRule="auto"/>
        <w:ind w:left="-7" w:hanging="3"/>
        <w:jc w:val="both"/>
      </w:pPr>
      <w:r>
        <w:rPr>
          <w:rFonts w:ascii="Verdana" w:eastAsia="Verdana" w:hAnsi="Verdana" w:cs="Verdana"/>
          <w:sz w:val="18"/>
        </w:rPr>
        <w:t>Cash balances not required for immediate use are invested in accordance with LPFA’s Treasury Management Strategy. Interest earned on LPFA’s balances is credited to the Comprehensive Income and Expenditure</w:t>
      </w:r>
      <w:r>
        <w:rPr>
          <w:rFonts w:ascii="Verdana" w:eastAsia="Verdana" w:hAnsi="Verdana" w:cs="Verdana"/>
          <w:sz w:val="18"/>
        </w:rPr>
        <w:t xml:space="preserve"> Statement during the year and appropriate accruals are made at year-end.</w:t>
      </w:r>
    </w:p>
    <w:p w:rsidR="00576F87" w:rsidRDefault="004165F5">
      <w:pPr>
        <w:pStyle w:val="Heading5"/>
        <w:spacing w:after="288"/>
        <w:ind w:left="5" w:hanging="10"/>
      </w:pPr>
      <w:r>
        <w:rPr>
          <w:color w:val="99CA3C"/>
        </w:rPr>
        <w:t>Employee Benefits</w:t>
      </w:r>
    </w:p>
    <w:p w:rsidR="00576F87" w:rsidRDefault="004165F5">
      <w:pPr>
        <w:spacing w:after="193"/>
        <w:ind w:left="5" w:hanging="10"/>
      </w:pPr>
      <w:r>
        <w:rPr>
          <w:rFonts w:ascii="Verdana" w:eastAsia="Verdana" w:hAnsi="Verdana" w:cs="Verdana"/>
          <w:b/>
          <w:sz w:val="18"/>
        </w:rPr>
        <w:t>Benefits payable during employment</w:t>
      </w:r>
    </w:p>
    <w:p w:rsidR="00576F87" w:rsidRDefault="004165F5">
      <w:pPr>
        <w:spacing w:after="394" w:line="268" w:lineRule="auto"/>
        <w:ind w:left="-7" w:hanging="3"/>
        <w:jc w:val="both"/>
      </w:pPr>
      <w:r>
        <w:rPr>
          <w:rFonts w:ascii="Verdana" w:eastAsia="Verdana" w:hAnsi="Verdana" w:cs="Verdana"/>
          <w:sz w:val="18"/>
        </w:rPr>
        <w:t>Employee benefits are those due to be settled in the financial year. They include salaries, bonuses, paid annual leave and paid s</w:t>
      </w:r>
      <w:r>
        <w:rPr>
          <w:rFonts w:ascii="Verdana" w:eastAsia="Verdana" w:hAnsi="Verdana" w:cs="Verdana"/>
          <w:sz w:val="18"/>
        </w:rPr>
        <w:t>ick leave for employees and are recognised as an expense in the year in which the employee renders services to LPFA. An accrual is made for leave and flexi-time carry-forward at the end of the financial year.  This is reversed out through the movement in r</w:t>
      </w:r>
      <w:r>
        <w:rPr>
          <w:rFonts w:ascii="Verdana" w:eastAsia="Verdana" w:hAnsi="Verdana" w:cs="Verdana"/>
          <w:sz w:val="18"/>
        </w:rPr>
        <w:t>eserves statement.</w:t>
      </w:r>
    </w:p>
    <w:p w:rsidR="00576F87" w:rsidRDefault="004165F5">
      <w:pPr>
        <w:spacing w:after="203"/>
        <w:ind w:left="5" w:hanging="10"/>
      </w:pPr>
      <w:r>
        <w:rPr>
          <w:rFonts w:ascii="Verdana" w:eastAsia="Verdana" w:hAnsi="Verdana" w:cs="Verdana"/>
          <w:b/>
          <w:sz w:val="18"/>
        </w:rPr>
        <w:t>Post-employment benefits</w:t>
      </w:r>
    </w:p>
    <w:p w:rsidR="00576F87" w:rsidRDefault="004165F5">
      <w:pPr>
        <w:spacing w:after="5" w:line="268" w:lineRule="auto"/>
        <w:ind w:left="-7" w:hanging="3"/>
        <w:jc w:val="both"/>
      </w:pPr>
      <w:r>
        <w:rPr>
          <w:rFonts w:ascii="Verdana" w:eastAsia="Verdana" w:hAnsi="Verdana" w:cs="Verdana"/>
          <w:sz w:val="18"/>
        </w:rPr>
        <w:t>LPFA participates in the Local Government Pension Scheme (LGPS) administered by the LPFA. This is a</w:t>
      </w:r>
    </w:p>
    <w:p w:rsidR="00576F87" w:rsidRDefault="004165F5">
      <w:pPr>
        <w:spacing w:after="385" w:line="268" w:lineRule="auto"/>
        <w:ind w:left="-7" w:hanging="3"/>
        <w:jc w:val="both"/>
      </w:pPr>
      <w:r>
        <w:rPr>
          <w:rFonts w:ascii="Verdana" w:eastAsia="Verdana" w:hAnsi="Verdana" w:cs="Verdana"/>
          <w:sz w:val="18"/>
        </w:rPr>
        <w:t>funded, defined benefit scheme. Employees’ and employers’ contributions are paid in to the LGPS. Employers’ contribution rates are advised by the LPFA Fund’s Actuary, Barnett Waddingham. The pension liabilities of the LPFA are included on the Balance Sheet</w:t>
      </w:r>
      <w:r>
        <w:rPr>
          <w:rFonts w:ascii="Verdana" w:eastAsia="Verdana" w:hAnsi="Verdana" w:cs="Verdana"/>
          <w:sz w:val="18"/>
        </w:rPr>
        <w:t xml:space="preserve"> on an actuarial basis i.e. an assessment of the future payments (retirement benefits) based on assumptions made by the Actuary about mortality rates, employee turnover rates etc. and projections of earnings for current employees. </w:t>
      </w:r>
    </w:p>
    <w:p w:rsidR="00576F87" w:rsidRDefault="004165F5">
      <w:pPr>
        <w:spacing w:after="382" w:line="268" w:lineRule="auto"/>
        <w:ind w:left="-7" w:hanging="3"/>
        <w:jc w:val="both"/>
      </w:pPr>
      <w:r>
        <w:rPr>
          <w:rFonts w:ascii="Verdana" w:eastAsia="Verdana" w:hAnsi="Verdana" w:cs="Verdana"/>
          <w:sz w:val="18"/>
        </w:rPr>
        <w:t>The financial statements</w:t>
      </w:r>
      <w:r>
        <w:rPr>
          <w:rFonts w:ascii="Verdana" w:eastAsia="Verdana" w:hAnsi="Verdana" w:cs="Verdana"/>
          <w:sz w:val="18"/>
        </w:rPr>
        <w:t xml:space="preserve"> disclose the cost of providing retirement benefits and related gains, losses, assets and liabilities under IAS 19. In line with directions from Government, future pensions liabilities are now measured using the Consumer Prices Index. The Code of Practice </w:t>
      </w:r>
      <w:r>
        <w:rPr>
          <w:rFonts w:ascii="Verdana" w:eastAsia="Verdana" w:hAnsi="Verdana" w:cs="Verdana"/>
          <w:sz w:val="18"/>
        </w:rPr>
        <w:t>requires the net pensions asset or liability be matched by a pensions reserve in the Balance sheet.</w:t>
      </w:r>
    </w:p>
    <w:p w:rsidR="00576F87" w:rsidRDefault="004165F5">
      <w:pPr>
        <w:spacing w:after="292" w:line="268" w:lineRule="auto"/>
        <w:ind w:left="-7" w:hanging="3"/>
        <w:jc w:val="both"/>
      </w:pPr>
      <w:r>
        <w:rPr>
          <w:rFonts w:ascii="Verdana" w:eastAsia="Verdana" w:hAnsi="Verdana" w:cs="Verdana"/>
          <w:sz w:val="18"/>
        </w:rPr>
        <w:t>The movement in the defined benefit obligation is analysed into the following components:</w:t>
      </w:r>
    </w:p>
    <w:p w:rsidR="00576F87" w:rsidRDefault="004165F5">
      <w:pPr>
        <w:spacing w:after="5" w:line="268" w:lineRule="auto"/>
        <w:ind w:left="1292" w:hanging="3"/>
        <w:jc w:val="both"/>
      </w:pPr>
      <w:r>
        <w:rPr>
          <w:rFonts w:ascii="Verdana" w:eastAsia="Verdana" w:hAnsi="Verdana" w:cs="Verdana"/>
          <w:sz w:val="18"/>
        </w:rPr>
        <w:t>Service cost: the increase in the present value of a defined benef</w:t>
      </w:r>
      <w:r>
        <w:rPr>
          <w:rFonts w:ascii="Verdana" w:eastAsia="Verdana" w:hAnsi="Verdana" w:cs="Verdana"/>
          <w:sz w:val="18"/>
        </w:rPr>
        <w:t xml:space="preserve">it obligation (liabilities) </w:t>
      </w:r>
    </w:p>
    <w:p w:rsidR="00576F87" w:rsidRDefault="004165F5">
      <w:pPr>
        <w:spacing w:after="0"/>
        <w:ind w:left="679"/>
      </w:pPr>
      <w:r>
        <w:rPr>
          <w:rFonts w:ascii="Segoe UI Symbol" w:eastAsia="Segoe UI Symbol" w:hAnsi="Segoe UI Symbol" w:cs="Segoe UI Symbol"/>
          <w:sz w:val="24"/>
        </w:rPr>
        <w:t>•</w:t>
      </w:r>
      <w:r>
        <w:rPr>
          <w:rFonts w:ascii="Times New Roman" w:eastAsia="Times New Roman" w:hAnsi="Times New Roman" w:cs="Times New Roman"/>
          <w:sz w:val="24"/>
        </w:rPr>
        <w:t xml:space="preserve">       </w:t>
      </w:r>
    </w:p>
    <w:p w:rsidR="00576F87" w:rsidRDefault="004165F5">
      <w:pPr>
        <w:spacing w:after="345" w:line="268" w:lineRule="auto"/>
        <w:ind w:left="1292" w:hanging="3"/>
        <w:jc w:val="both"/>
      </w:pPr>
      <w:r>
        <w:rPr>
          <w:rFonts w:ascii="Verdana" w:eastAsia="Verdana" w:hAnsi="Verdana" w:cs="Verdana"/>
          <w:sz w:val="18"/>
        </w:rPr>
        <w:t>resulting from employee service in the current period.</w:t>
      </w:r>
    </w:p>
    <w:p w:rsidR="00576F87" w:rsidRDefault="004165F5">
      <w:pPr>
        <w:numPr>
          <w:ilvl w:val="0"/>
          <w:numId w:val="14"/>
        </w:numPr>
        <w:spacing w:after="324" w:line="268" w:lineRule="auto"/>
        <w:ind w:hanging="670"/>
        <w:jc w:val="both"/>
      </w:pPr>
      <w:r>
        <w:rPr>
          <w:rFonts w:ascii="Verdana" w:eastAsia="Verdana" w:hAnsi="Verdana" w:cs="Verdana"/>
          <w:sz w:val="18"/>
        </w:rPr>
        <w:t>Interest cost: the change during the period in the defined benefit liability that arises from the passage of time.</w:t>
      </w:r>
    </w:p>
    <w:p w:rsidR="00576F87" w:rsidRDefault="004165F5">
      <w:pPr>
        <w:numPr>
          <w:ilvl w:val="0"/>
          <w:numId w:val="14"/>
        </w:numPr>
        <w:spacing w:after="532" w:line="268" w:lineRule="auto"/>
        <w:ind w:hanging="670"/>
        <w:jc w:val="both"/>
      </w:pPr>
      <w:r>
        <w:rPr>
          <w:rFonts w:ascii="Verdana" w:eastAsia="Verdana" w:hAnsi="Verdana" w:cs="Verdana"/>
          <w:sz w:val="18"/>
        </w:rPr>
        <w:t xml:space="preserve">Change in financial assumptions: changes in the </w:t>
      </w:r>
      <w:r>
        <w:rPr>
          <w:rFonts w:ascii="Verdana" w:eastAsia="Verdana" w:hAnsi="Verdana" w:cs="Verdana"/>
          <w:sz w:val="18"/>
        </w:rPr>
        <w:t>present value of the defined benefit obligation resulting from a change in financial assumptions made by the actuary;</w:t>
      </w:r>
    </w:p>
    <w:p w:rsidR="00576F87" w:rsidRDefault="004165F5">
      <w:pPr>
        <w:numPr>
          <w:ilvl w:val="0"/>
          <w:numId w:val="14"/>
        </w:numPr>
        <w:spacing w:after="310" w:line="268" w:lineRule="auto"/>
        <w:ind w:hanging="670"/>
        <w:jc w:val="both"/>
      </w:pPr>
      <w:r>
        <w:rPr>
          <w:rFonts w:ascii="Verdana" w:eastAsia="Verdana" w:hAnsi="Verdana" w:cs="Verdana"/>
          <w:sz w:val="18"/>
        </w:rPr>
        <w:t>Change in demographic assumptions: changes in the present value of the defined benefit obligation resulting from a change in demographic assumptions made by the Actuary;</w:t>
      </w:r>
    </w:p>
    <w:p w:rsidR="00576F87" w:rsidRDefault="004165F5">
      <w:pPr>
        <w:spacing w:after="79" w:line="268" w:lineRule="auto"/>
        <w:ind w:left="1292" w:hanging="3"/>
        <w:jc w:val="both"/>
      </w:pPr>
      <w:r>
        <w:rPr>
          <w:rFonts w:ascii="Verdana" w:eastAsia="Verdana" w:hAnsi="Verdana" w:cs="Verdana"/>
          <w:sz w:val="18"/>
        </w:rPr>
        <w:t xml:space="preserve">Experience loss/(gain) on defined benefit obligation: changes in the present value of </w:t>
      </w:r>
      <w:r>
        <w:rPr>
          <w:rFonts w:ascii="Verdana" w:eastAsia="Verdana" w:hAnsi="Verdana" w:cs="Verdana"/>
          <w:sz w:val="18"/>
        </w:rPr>
        <w:t xml:space="preserve">the </w:t>
      </w:r>
    </w:p>
    <w:p w:rsidR="00576F87" w:rsidRDefault="004165F5">
      <w:pPr>
        <w:numPr>
          <w:ilvl w:val="0"/>
          <w:numId w:val="14"/>
        </w:numPr>
        <w:spacing w:after="440" w:line="268" w:lineRule="auto"/>
        <w:ind w:hanging="670"/>
        <w:jc w:val="both"/>
      </w:pPr>
      <w:r>
        <w:rPr>
          <w:rFonts w:ascii="Verdana" w:eastAsia="Verdana" w:hAnsi="Verdana" w:cs="Verdana"/>
          <w:sz w:val="18"/>
        </w:rPr>
        <w:t>defined benefit obligation resulting from the effects of the differences between the previous actuarial assumptions and what has actually occurred;</w:t>
      </w:r>
    </w:p>
    <w:p w:rsidR="00576F87" w:rsidRDefault="004165F5">
      <w:pPr>
        <w:numPr>
          <w:ilvl w:val="0"/>
          <w:numId w:val="14"/>
        </w:numPr>
        <w:spacing w:after="282" w:line="268" w:lineRule="auto"/>
        <w:ind w:hanging="670"/>
        <w:jc w:val="both"/>
      </w:pPr>
      <w:r>
        <w:rPr>
          <w:rFonts w:ascii="Verdana" w:eastAsia="Verdana" w:hAnsi="Verdana" w:cs="Verdana"/>
          <w:sz w:val="18"/>
        </w:rPr>
        <w:t>Estimated benefits paid (net of transfers in): Payments to discharge liabilities directly to pensioners</w:t>
      </w:r>
      <w:r>
        <w:rPr>
          <w:rFonts w:ascii="Verdana" w:eastAsia="Verdana" w:hAnsi="Verdana" w:cs="Verdana"/>
          <w:sz w:val="18"/>
        </w:rPr>
        <w:t>;</w:t>
      </w:r>
    </w:p>
    <w:p w:rsidR="00576F87" w:rsidRDefault="004165F5">
      <w:pPr>
        <w:spacing w:after="80" w:line="268" w:lineRule="auto"/>
        <w:ind w:left="1292" w:hanging="3"/>
        <w:jc w:val="both"/>
      </w:pPr>
      <w:r>
        <w:rPr>
          <w:rFonts w:ascii="Verdana" w:eastAsia="Verdana" w:hAnsi="Verdana" w:cs="Verdana"/>
          <w:sz w:val="18"/>
        </w:rPr>
        <w:t xml:space="preserve">Contributions by scheme participants: the increase in scheme liabilities and assets due to </w:t>
      </w:r>
    </w:p>
    <w:p w:rsidR="00576F87" w:rsidRDefault="004165F5">
      <w:pPr>
        <w:numPr>
          <w:ilvl w:val="0"/>
          <w:numId w:val="14"/>
        </w:numPr>
        <w:spacing w:after="5" w:line="268" w:lineRule="auto"/>
        <w:ind w:hanging="670"/>
        <w:jc w:val="both"/>
      </w:pPr>
      <w:r>
        <w:rPr>
          <w:rFonts w:ascii="Verdana" w:eastAsia="Verdana" w:hAnsi="Verdana" w:cs="Verdana"/>
          <w:sz w:val="18"/>
        </w:rPr>
        <w:t>payments made into the scheme by employees (where increased contribution increases pensions due to the employee in the future).</w:t>
      </w:r>
    </w:p>
    <w:p w:rsidR="00576F87" w:rsidRDefault="004165F5">
      <w:pPr>
        <w:pStyle w:val="Heading5"/>
        <w:spacing w:after="238"/>
        <w:ind w:left="5" w:hanging="10"/>
      </w:pPr>
      <w:r>
        <w:rPr>
          <w:color w:val="99CA3C"/>
        </w:rPr>
        <w:t>Provisions</w:t>
      </w:r>
    </w:p>
    <w:p w:rsidR="00576F87" w:rsidRDefault="004165F5">
      <w:pPr>
        <w:spacing w:after="172" w:line="268" w:lineRule="auto"/>
        <w:ind w:left="-7" w:hanging="3"/>
        <w:jc w:val="both"/>
      </w:pPr>
      <w:r>
        <w:rPr>
          <w:rFonts w:ascii="Verdana" w:eastAsia="Verdana" w:hAnsi="Verdana" w:cs="Verdana"/>
          <w:sz w:val="18"/>
        </w:rPr>
        <w:t>Provisions are made whe</w:t>
      </w:r>
      <w:r>
        <w:rPr>
          <w:rFonts w:ascii="Verdana" w:eastAsia="Verdana" w:hAnsi="Verdana" w:cs="Verdana"/>
          <w:sz w:val="18"/>
        </w:rPr>
        <w:t xml:space="preserve">re an event has taken place that gives LPFA an obligation that probably requires settlement by transfer of economic benefits, but where the timing of the transfer is uncertain. </w:t>
      </w:r>
    </w:p>
    <w:p w:rsidR="00576F87" w:rsidRDefault="004165F5">
      <w:pPr>
        <w:spacing w:after="339" w:line="268" w:lineRule="auto"/>
        <w:ind w:left="-7" w:hanging="3"/>
        <w:jc w:val="both"/>
      </w:pPr>
      <w:r>
        <w:rPr>
          <w:rFonts w:ascii="Verdana" w:eastAsia="Verdana" w:hAnsi="Verdana" w:cs="Verdana"/>
          <w:sz w:val="18"/>
        </w:rPr>
        <w:t>Provisions are charged to the comprehensive income and expenditure statement i</w:t>
      </w:r>
      <w:r>
        <w:rPr>
          <w:rFonts w:ascii="Verdana" w:eastAsia="Verdana" w:hAnsi="Verdana" w:cs="Verdana"/>
          <w:sz w:val="18"/>
        </w:rPr>
        <w:t>n the year that LPFA becomes aware of the obligation, based on the best estimate of the likely settlement. When payments are eventually made they are charged directly to the provision set up on the balance sheet. Estimated settlements are reviewed at the e</w:t>
      </w:r>
      <w:r>
        <w:rPr>
          <w:rFonts w:ascii="Verdana" w:eastAsia="Verdana" w:hAnsi="Verdana" w:cs="Verdana"/>
          <w:sz w:val="18"/>
        </w:rPr>
        <w:t xml:space="preserve">nd of each financial year and the provision increased or reversed back to the revenue account if it becomes more likely than not that a transfer of benefits will not be made or a lower settlement than anticipated could be made.  </w:t>
      </w:r>
    </w:p>
    <w:p w:rsidR="00576F87" w:rsidRDefault="004165F5">
      <w:pPr>
        <w:pStyle w:val="Heading5"/>
        <w:spacing w:after="70"/>
        <w:ind w:left="5" w:hanging="10"/>
      </w:pPr>
      <w:r>
        <w:rPr>
          <w:color w:val="99CA3C"/>
        </w:rPr>
        <w:t>Contingent Liabilities</w:t>
      </w:r>
    </w:p>
    <w:p w:rsidR="00576F87" w:rsidRDefault="004165F5">
      <w:pPr>
        <w:spacing w:after="384" w:line="268" w:lineRule="auto"/>
        <w:ind w:left="-7" w:hanging="3"/>
        <w:jc w:val="both"/>
      </w:pPr>
      <w:r>
        <w:rPr>
          <w:rFonts w:ascii="Verdana" w:eastAsia="Verdana" w:hAnsi="Verdana" w:cs="Verdana"/>
          <w:sz w:val="18"/>
        </w:rPr>
        <w:t>Contingent liabilities arise where an event has taken place that gives LPFA a possible obligation whose existence will only be confirmed by the occurrence or otherwise of uncertain future events not wholly within the control of LPFA. These are not recognis</w:t>
      </w:r>
      <w:r>
        <w:rPr>
          <w:rFonts w:ascii="Verdana" w:eastAsia="Verdana" w:hAnsi="Verdana" w:cs="Verdana"/>
          <w:sz w:val="18"/>
        </w:rPr>
        <w:t>ed as liabilities in the accounts but disclosed in the financial statements where it is probable that an outflow of economic benefit to settle the obligation is more than remote.</w:t>
      </w:r>
    </w:p>
    <w:p w:rsidR="00576F87" w:rsidRDefault="004165F5">
      <w:pPr>
        <w:spacing w:after="259" w:line="265" w:lineRule="auto"/>
        <w:ind w:left="5" w:hanging="10"/>
      </w:pPr>
      <w:r>
        <w:rPr>
          <w:rFonts w:ascii="Verdana" w:eastAsia="Verdana" w:hAnsi="Verdana" w:cs="Verdana"/>
          <w:b/>
          <w:color w:val="99CA3C"/>
          <w:sz w:val="20"/>
        </w:rPr>
        <w:t xml:space="preserve">Property, Plant and Equipment </w:t>
      </w:r>
    </w:p>
    <w:p w:rsidR="00576F87" w:rsidRDefault="004165F5">
      <w:pPr>
        <w:pStyle w:val="Heading5"/>
        <w:spacing w:after="231"/>
        <w:ind w:left="5"/>
      </w:pPr>
      <w:r>
        <w:t>Recognition</w:t>
      </w:r>
    </w:p>
    <w:p w:rsidR="00576F87" w:rsidRDefault="004165F5">
      <w:pPr>
        <w:spacing w:after="336" w:line="268" w:lineRule="auto"/>
        <w:ind w:left="-7" w:hanging="3"/>
        <w:jc w:val="both"/>
      </w:pPr>
      <w:r>
        <w:rPr>
          <w:rFonts w:ascii="Verdana" w:eastAsia="Verdana" w:hAnsi="Verdana" w:cs="Verdana"/>
          <w:sz w:val="18"/>
        </w:rPr>
        <w:t xml:space="preserve">Property, plant and equipment are assets that have physical substance and are held for use in the provision of services or for administrative purposes on a continuing basis. Expenditure is capitalised on an accruals basis, provided that it yields benefits </w:t>
      </w:r>
      <w:r>
        <w:rPr>
          <w:rFonts w:ascii="Verdana" w:eastAsia="Verdana" w:hAnsi="Verdana" w:cs="Verdana"/>
          <w:sz w:val="18"/>
        </w:rPr>
        <w:t>to LPFA and its services for more than one financial year.</w:t>
      </w:r>
    </w:p>
    <w:p w:rsidR="00576F87" w:rsidRDefault="004165F5">
      <w:pPr>
        <w:pStyle w:val="Heading5"/>
        <w:ind w:left="5"/>
      </w:pPr>
      <w:r>
        <w:t>Measurement</w:t>
      </w:r>
    </w:p>
    <w:p w:rsidR="00576F87" w:rsidRDefault="004165F5">
      <w:pPr>
        <w:spacing w:after="286" w:line="268" w:lineRule="auto"/>
        <w:ind w:left="-7" w:hanging="3"/>
        <w:jc w:val="both"/>
      </w:pPr>
      <w:r>
        <w:rPr>
          <w:rFonts w:ascii="Verdana" w:eastAsia="Verdana" w:hAnsi="Verdana" w:cs="Verdana"/>
          <w:sz w:val="18"/>
        </w:rPr>
        <w:t>Assets, including those under construction, are initially measured at cost, comprising all expenditure that is directly attributable to bringing the asset in to working condition for it</w:t>
      </w:r>
      <w:r>
        <w:rPr>
          <w:rFonts w:ascii="Verdana" w:eastAsia="Verdana" w:hAnsi="Verdana" w:cs="Verdana"/>
          <w:sz w:val="18"/>
        </w:rPr>
        <w:t>s intended use. Assets are then carried in the balance sheet at depreciated replacement cost.</w:t>
      </w:r>
    </w:p>
    <w:p w:rsidR="00576F87" w:rsidRDefault="004165F5">
      <w:pPr>
        <w:pStyle w:val="Heading5"/>
        <w:ind w:left="5"/>
      </w:pPr>
      <w:r>
        <w:t>Impairment</w:t>
      </w:r>
    </w:p>
    <w:p w:rsidR="00576F87" w:rsidRDefault="004165F5">
      <w:pPr>
        <w:spacing w:after="468" w:line="268" w:lineRule="auto"/>
        <w:ind w:left="-7" w:hanging="3"/>
        <w:jc w:val="both"/>
      </w:pPr>
      <w:r>
        <w:rPr>
          <w:rFonts w:ascii="Verdana" w:eastAsia="Verdana" w:hAnsi="Verdana" w:cs="Verdana"/>
          <w:sz w:val="18"/>
        </w:rPr>
        <w:t xml:space="preserve">Asset values are reviewed at the end of each financial year for evidence of reductions in value.  </w:t>
      </w:r>
    </w:p>
    <w:p w:rsidR="00576F87" w:rsidRDefault="004165F5">
      <w:pPr>
        <w:spacing w:after="370" w:line="268" w:lineRule="auto"/>
        <w:ind w:left="-7" w:hanging="3"/>
        <w:jc w:val="both"/>
      </w:pPr>
      <w:r>
        <w:rPr>
          <w:rFonts w:ascii="Verdana" w:eastAsia="Verdana" w:hAnsi="Verdana" w:cs="Verdana"/>
          <w:sz w:val="18"/>
        </w:rPr>
        <w:t>Property,</w:t>
      </w:r>
      <w:r>
        <w:rPr>
          <w:rFonts w:ascii="Verdana" w:eastAsia="Verdana" w:hAnsi="Verdana" w:cs="Verdana"/>
          <w:b/>
          <w:sz w:val="31"/>
          <w:vertAlign w:val="superscript"/>
        </w:rPr>
        <w:t>Depreciation</w:t>
      </w:r>
      <w:r>
        <w:rPr>
          <w:rFonts w:ascii="Verdana" w:eastAsia="Verdana" w:hAnsi="Verdana" w:cs="Verdana"/>
          <w:sz w:val="18"/>
        </w:rPr>
        <w:t>plant and equipment have been i</w:t>
      </w:r>
      <w:r>
        <w:rPr>
          <w:rFonts w:ascii="Verdana" w:eastAsia="Verdana" w:hAnsi="Verdana" w:cs="Verdana"/>
          <w:sz w:val="18"/>
        </w:rPr>
        <w:t xml:space="preserve">ncluded in the balance sheet at their cost, net of depreciation. Depreciation is calculated using the straight-line method over the economic life of the investment to reflect </w:t>
      </w:r>
    </w:p>
    <w:p w:rsidR="00576F87" w:rsidRDefault="004165F5">
      <w:pPr>
        <w:spacing w:after="5" w:line="268" w:lineRule="auto"/>
        <w:ind w:left="-7" w:hanging="3"/>
        <w:jc w:val="both"/>
      </w:pPr>
      <w:r>
        <w:rPr>
          <w:rFonts w:ascii="Verdana" w:eastAsia="Verdana" w:hAnsi="Verdana" w:cs="Verdana"/>
          <w:sz w:val="18"/>
        </w:rPr>
        <w:t>Whilst assets are under construction they are not depreciated but a valuation wi</w:t>
      </w:r>
      <w:r>
        <w:rPr>
          <w:rFonts w:ascii="Verdana" w:eastAsia="Verdana" w:hAnsi="Verdana" w:cs="Verdana"/>
          <w:sz w:val="18"/>
        </w:rPr>
        <w:t>ll be made at the time the</w:t>
      </w:r>
    </w:p>
    <w:p w:rsidR="00576F87" w:rsidRDefault="004165F5">
      <w:pPr>
        <w:spacing w:after="5" w:line="268" w:lineRule="auto"/>
        <w:ind w:left="-7" w:hanging="3"/>
        <w:jc w:val="both"/>
      </w:pPr>
      <w:r>
        <w:rPr>
          <w:rFonts w:ascii="Verdana" w:eastAsia="Verdana" w:hAnsi="Verdana" w:cs="Verdana"/>
          <w:sz w:val="18"/>
        </w:rPr>
        <w:t>asset is brought into use;</w:t>
      </w:r>
    </w:p>
    <w:tbl>
      <w:tblPr>
        <w:tblStyle w:val="TableGrid"/>
        <w:tblW w:w="5845" w:type="dxa"/>
        <w:tblInd w:w="-35" w:type="dxa"/>
        <w:tblCellMar>
          <w:top w:w="33" w:type="dxa"/>
          <w:left w:w="40" w:type="dxa"/>
          <w:bottom w:w="33" w:type="dxa"/>
          <w:right w:w="38" w:type="dxa"/>
        </w:tblCellMar>
        <w:tblLook w:val="04A0" w:firstRow="1" w:lastRow="0" w:firstColumn="1" w:lastColumn="0" w:noHBand="0" w:noVBand="1"/>
      </w:tblPr>
      <w:tblGrid>
        <w:gridCol w:w="2543"/>
        <w:gridCol w:w="3302"/>
      </w:tblGrid>
      <w:tr w:rsidR="00576F87">
        <w:trPr>
          <w:trHeight w:val="266"/>
        </w:trPr>
        <w:tc>
          <w:tcPr>
            <w:tcW w:w="2543" w:type="dxa"/>
            <w:tcBorders>
              <w:top w:val="single" w:sz="15" w:space="0" w:color="35437C"/>
              <w:left w:val="single" w:sz="12" w:space="0" w:color="35437C"/>
              <w:bottom w:val="nil"/>
              <w:right w:val="nil"/>
            </w:tcBorders>
            <w:shd w:val="clear" w:color="auto" w:fill="35437C"/>
          </w:tcPr>
          <w:p w:rsidR="00576F87" w:rsidRDefault="00576F87"/>
        </w:tc>
        <w:tc>
          <w:tcPr>
            <w:tcW w:w="3302" w:type="dxa"/>
            <w:tcBorders>
              <w:top w:val="single" w:sz="15" w:space="0" w:color="35437C"/>
              <w:left w:val="nil"/>
              <w:bottom w:val="nil"/>
              <w:right w:val="single" w:sz="15" w:space="0" w:color="35437C"/>
            </w:tcBorders>
            <w:shd w:val="clear" w:color="auto" w:fill="35437C"/>
          </w:tcPr>
          <w:p w:rsidR="00576F87" w:rsidRDefault="004165F5">
            <w:pPr>
              <w:spacing w:after="0"/>
              <w:ind w:left="64"/>
              <w:jc w:val="both"/>
            </w:pPr>
            <w:r>
              <w:rPr>
                <w:rFonts w:ascii="Verdana" w:eastAsia="Verdana" w:hAnsi="Verdana" w:cs="Verdana"/>
                <w:b/>
                <w:color w:val="FFFFFF"/>
                <w:sz w:val="20"/>
              </w:rPr>
              <w:t>Useful life of Property, plant</w:t>
            </w:r>
          </w:p>
        </w:tc>
      </w:tr>
      <w:tr w:rsidR="00576F87">
        <w:trPr>
          <w:trHeight w:val="317"/>
        </w:trPr>
        <w:tc>
          <w:tcPr>
            <w:tcW w:w="2543" w:type="dxa"/>
            <w:tcBorders>
              <w:top w:val="nil"/>
              <w:left w:val="single" w:sz="12" w:space="0" w:color="35437C"/>
              <w:bottom w:val="single" w:sz="15" w:space="0" w:color="35437C"/>
              <w:right w:val="nil"/>
            </w:tcBorders>
            <w:shd w:val="clear" w:color="auto" w:fill="35437C"/>
          </w:tcPr>
          <w:p w:rsidR="00576F87" w:rsidRDefault="004165F5">
            <w:pPr>
              <w:spacing w:after="0"/>
              <w:ind w:left="2"/>
            </w:pPr>
            <w:r>
              <w:rPr>
                <w:rFonts w:ascii="Verdana" w:eastAsia="Verdana" w:hAnsi="Verdana" w:cs="Verdana"/>
                <w:b/>
                <w:color w:val="FFFFFF"/>
                <w:sz w:val="20"/>
              </w:rPr>
              <w:t>Classification:</w:t>
            </w:r>
          </w:p>
        </w:tc>
        <w:tc>
          <w:tcPr>
            <w:tcW w:w="3302" w:type="dxa"/>
            <w:tcBorders>
              <w:top w:val="nil"/>
              <w:left w:val="nil"/>
              <w:bottom w:val="single" w:sz="15" w:space="0" w:color="35437C"/>
              <w:right w:val="single" w:sz="15" w:space="0" w:color="35437C"/>
            </w:tcBorders>
            <w:shd w:val="clear" w:color="auto" w:fill="35437C"/>
          </w:tcPr>
          <w:p w:rsidR="00576F87" w:rsidRDefault="004165F5">
            <w:pPr>
              <w:spacing w:after="0"/>
              <w:ind w:right="4"/>
              <w:jc w:val="right"/>
            </w:pPr>
            <w:r>
              <w:rPr>
                <w:rFonts w:ascii="Verdana" w:eastAsia="Verdana" w:hAnsi="Verdana" w:cs="Verdana"/>
                <w:b/>
                <w:color w:val="FFFFFF"/>
                <w:sz w:val="20"/>
              </w:rPr>
              <w:t>and equipment</w:t>
            </w:r>
          </w:p>
        </w:tc>
      </w:tr>
      <w:tr w:rsidR="00576F87">
        <w:trPr>
          <w:trHeight w:val="667"/>
        </w:trPr>
        <w:tc>
          <w:tcPr>
            <w:tcW w:w="2543" w:type="dxa"/>
            <w:tcBorders>
              <w:top w:val="single" w:sz="15" w:space="0" w:color="35437C"/>
              <w:left w:val="single" w:sz="12" w:space="0" w:color="35437C"/>
              <w:bottom w:val="single" w:sz="8" w:space="0" w:color="35437C"/>
              <w:right w:val="single" w:sz="8" w:space="0" w:color="35437C"/>
            </w:tcBorders>
            <w:vAlign w:val="bottom"/>
          </w:tcPr>
          <w:p w:rsidR="00576F87" w:rsidRDefault="004165F5">
            <w:pPr>
              <w:spacing w:after="0"/>
            </w:pPr>
            <w:r>
              <w:rPr>
                <w:rFonts w:ascii="Verdana" w:eastAsia="Verdana" w:hAnsi="Verdana" w:cs="Verdana"/>
                <w:sz w:val="20"/>
              </w:rPr>
              <w:t>Computers</w:t>
            </w:r>
          </w:p>
        </w:tc>
        <w:tc>
          <w:tcPr>
            <w:tcW w:w="3302" w:type="dxa"/>
            <w:tcBorders>
              <w:top w:val="single" w:sz="15" w:space="0" w:color="35437C"/>
              <w:left w:val="single" w:sz="8" w:space="0" w:color="35437C"/>
              <w:bottom w:val="single" w:sz="8" w:space="0" w:color="35437C"/>
              <w:right w:val="single" w:sz="15" w:space="0" w:color="35437C"/>
            </w:tcBorders>
            <w:vAlign w:val="bottom"/>
          </w:tcPr>
          <w:p w:rsidR="00576F87" w:rsidRDefault="004165F5">
            <w:pPr>
              <w:spacing w:after="0"/>
              <w:jc w:val="right"/>
            </w:pPr>
            <w:r>
              <w:rPr>
                <w:rFonts w:ascii="Verdana" w:eastAsia="Verdana" w:hAnsi="Verdana" w:cs="Verdana"/>
                <w:sz w:val="20"/>
              </w:rPr>
              <w:t>3 years</w:t>
            </w:r>
          </w:p>
        </w:tc>
      </w:tr>
      <w:tr w:rsidR="00576F87">
        <w:trPr>
          <w:trHeight w:val="552"/>
        </w:trPr>
        <w:tc>
          <w:tcPr>
            <w:tcW w:w="2543" w:type="dxa"/>
            <w:tcBorders>
              <w:top w:val="single" w:sz="8" w:space="0" w:color="35437C"/>
              <w:left w:val="single" w:sz="12" w:space="0" w:color="35437C"/>
              <w:bottom w:val="single" w:sz="15" w:space="0" w:color="35437C"/>
              <w:right w:val="single" w:sz="8" w:space="0" w:color="35437C"/>
            </w:tcBorders>
            <w:vAlign w:val="bottom"/>
          </w:tcPr>
          <w:p w:rsidR="00576F87" w:rsidRDefault="004165F5">
            <w:pPr>
              <w:spacing w:after="0"/>
            </w:pPr>
            <w:r>
              <w:rPr>
                <w:rFonts w:ascii="Verdana" w:eastAsia="Verdana" w:hAnsi="Verdana" w:cs="Verdana"/>
                <w:sz w:val="20"/>
              </w:rPr>
              <w:t>Servers</w:t>
            </w:r>
          </w:p>
        </w:tc>
        <w:tc>
          <w:tcPr>
            <w:tcW w:w="3302" w:type="dxa"/>
            <w:tcBorders>
              <w:top w:val="single" w:sz="8" w:space="0" w:color="35437C"/>
              <w:left w:val="single" w:sz="8" w:space="0" w:color="35437C"/>
              <w:bottom w:val="single" w:sz="15" w:space="0" w:color="35437C"/>
              <w:right w:val="single" w:sz="15" w:space="0" w:color="35437C"/>
            </w:tcBorders>
            <w:vAlign w:val="bottom"/>
          </w:tcPr>
          <w:p w:rsidR="00576F87" w:rsidRDefault="004165F5">
            <w:pPr>
              <w:spacing w:after="0"/>
              <w:jc w:val="right"/>
            </w:pPr>
            <w:r>
              <w:rPr>
                <w:rFonts w:ascii="Verdana" w:eastAsia="Verdana" w:hAnsi="Verdana" w:cs="Verdana"/>
                <w:sz w:val="20"/>
              </w:rPr>
              <w:t>5 years</w:t>
            </w:r>
          </w:p>
        </w:tc>
      </w:tr>
    </w:tbl>
    <w:p w:rsidR="00576F87" w:rsidRDefault="004165F5">
      <w:pPr>
        <w:pStyle w:val="Heading6"/>
        <w:spacing w:after="148"/>
        <w:ind w:left="5"/>
      </w:pPr>
      <w:r>
        <w:rPr>
          <w:rFonts w:ascii="Verdana" w:eastAsia="Verdana" w:hAnsi="Verdana" w:cs="Verdana"/>
          <w:color w:val="99CA3C"/>
          <w:sz w:val="20"/>
        </w:rPr>
        <w:t>Intangible Assets</w:t>
      </w:r>
    </w:p>
    <w:p w:rsidR="00576F87" w:rsidRDefault="004165F5">
      <w:pPr>
        <w:spacing w:after="132" w:line="268" w:lineRule="auto"/>
        <w:ind w:left="-7" w:hanging="3"/>
        <w:jc w:val="both"/>
      </w:pPr>
      <w:r>
        <w:rPr>
          <w:rFonts w:ascii="Verdana" w:eastAsia="Verdana" w:hAnsi="Verdana" w:cs="Verdana"/>
          <w:sz w:val="18"/>
        </w:rPr>
        <w:t>Expenditure on assets that do not have physical substance but are identifiable and controlled by LPFA (e.g. software licences) is capitalised when it will bring benefits to LPFA for more than one financial year. The balance is amortised to the Comprehensiv</w:t>
      </w:r>
      <w:r>
        <w:rPr>
          <w:rFonts w:ascii="Verdana" w:eastAsia="Verdana" w:hAnsi="Verdana" w:cs="Verdana"/>
          <w:sz w:val="18"/>
        </w:rPr>
        <w:t>e Income and Expenditure Statement through a straight-line depreciation charge over the economic life of the investment to reflect the pattern of the consumption of economic benefits:</w:t>
      </w:r>
    </w:p>
    <w:tbl>
      <w:tblPr>
        <w:tblStyle w:val="TableGrid"/>
        <w:tblW w:w="5845" w:type="dxa"/>
        <w:tblInd w:w="-35" w:type="dxa"/>
        <w:tblCellMar>
          <w:top w:w="52" w:type="dxa"/>
          <w:left w:w="40" w:type="dxa"/>
          <w:bottom w:w="33" w:type="dxa"/>
          <w:right w:w="37" w:type="dxa"/>
        </w:tblCellMar>
        <w:tblLook w:val="04A0" w:firstRow="1" w:lastRow="0" w:firstColumn="1" w:lastColumn="0" w:noHBand="0" w:noVBand="1"/>
      </w:tblPr>
      <w:tblGrid>
        <w:gridCol w:w="2543"/>
        <w:gridCol w:w="3302"/>
      </w:tblGrid>
      <w:tr w:rsidR="00576F87">
        <w:trPr>
          <w:trHeight w:val="336"/>
        </w:trPr>
        <w:tc>
          <w:tcPr>
            <w:tcW w:w="2543" w:type="dxa"/>
            <w:tcBorders>
              <w:top w:val="single" w:sz="15" w:space="0" w:color="35437C"/>
              <w:left w:val="single" w:sz="12" w:space="0" w:color="35437C"/>
              <w:bottom w:val="single" w:sz="15" w:space="0" w:color="35437C"/>
              <w:right w:val="single" w:sz="15" w:space="0" w:color="35437C"/>
            </w:tcBorders>
            <w:shd w:val="clear" w:color="auto" w:fill="35437C"/>
          </w:tcPr>
          <w:p w:rsidR="00576F87" w:rsidRDefault="004165F5">
            <w:pPr>
              <w:spacing w:after="0"/>
              <w:ind w:left="2"/>
            </w:pPr>
            <w:r>
              <w:rPr>
                <w:rFonts w:ascii="Verdana" w:eastAsia="Verdana" w:hAnsi="Verdana" w:cs="Verdana"/>
                <w:b/>
                <w:color w:val="FFFFFF"/>
                <w:sz w:val="20"/>
              </w:rPr>
              <w:t>Classification:</w:t>
            </w:r>
          </w:p>
        </w:tc>
        <w:tc>
          <w:tcPr>
            <w:tcW w:w="3302" w:type="dxa"/>
            <w:tcBorders>
              <w:top w:val="single" w:sz="15" w:space="0" w:color="35437C"/>
              <w:left w:val="single" w:sz="15" w:space="0" w:color="35437C"/>
              <w:bottom w:val="single" w:sz="15" w:space="0" w:color="35437C"/>
              <w:right w:val="single" w:sz="15" w:space="0" w:color="35437C"/>
            </w:tcBorders>
            <w:shd w:val="clear" w:color="auto" w:fill="35437C"/>
          </w:tcPr>
          <w:p w:rsidR="00576F87" w:rsidRDefault="004165F5">
            <w:pPr>
              <w:spacing w:after="0"/>
              <w:ind w:right="3"/>
              <w:jc w:val="right"/>
            </w:pPr>
            <w:r>
              <w:rPr>
                <w:rFonts w:ascii="Verdana" w:eastAsia="Verdana" w:hAnsi="Verdana" w:cs="Verdana"/>
                <w:b/>
                <w:color w:val="FFFFFF"/>
                <w:sz w:val="20"/>
              </w:rPr>
              <w:t>Useful life of asset:</w:t>
            </w:r>
          </w:p>
        </w:tc>
      </w:tr>
      <w:tr w:rsidR="00576F87">
        <w:trPr>
          <w:trHeight w:val="377"/>
        </w:trPr>
        <w:tc>
          <w:tcPr>
            <w:tcW w:w="2543" w:type="dxa"/>
            <w:tcBorders>
              <w:top w:val="single" w:sz="15" w:space="0" w:color="35437C"/>
              <w:left w:val="single" w:sz="12" w:space="0" w:color="35437C"/>
              <w:bottom w:val="single" w:sz="8" w:space="0" w:color="35437C"/>
              <w:right w:val="single" w:sz="8" w:space="0" w:color="35437C"/>
            </w:tcBorders>
            <w:shd w:val="clear" w:color="auto" w:fill="FFFFFF"/>
            <w:vAlign w:val="bottom"/>
          </w:tcPr>
          <w:p w:rsidR="00576F87" w:rsidRDefault="004165F5">
            <w:pPr>
              <w:spacing w:after="0"/>
            </w:pPr>
            <w:r>
              <w:rPr>
                <w:rFonts w:ascii="Verdana" w:eastAsia="Verdana" w:hAnsi="Verdana" w:cs="Verdana"/>
                <w:sz w:val="20"/>
              </w:rPr>
              <w:t>Software licenses</w:t>
            </w:r>
          </w:p>
        </w:tc>
        <w:tc>
          <w:tcPr>
            <w:tcW w:w="3302" w:type="dxa"/>
            <w:tcBorders>
              <w:top w:val="single" w:sz="15" w:space="0" w:color="35437C"/>
              <w:left w:val="single" w:sz="8" w:space="0" w:color="35437C"/>
              <w:bottom w:val="single" w:sz="8" w:space="0" w:color="35437C"/>
              <w:right w:val="single" w:sz="15" w:space="0" w:color="35437C"/>
            </w:tcBorders>
            <w:shd w:val="clear" w:color="auto" w:fill="FFFFFF"/>
          </w:tcPr>
          <w:p w:rsidR="00576F87" w:rsidRDefault="004165F5">
            <w:pPr>
              <w:spacing w:after="0"/>
              <w:jc w:val="right"/>
            </w:pPr>
            <w:r>
              <w:rPr>
                <w:rFonts w:ascii="Verdana" w:eastAsia="Verdana" w:hAnsi="Verdana" w:cs="Verdana"/>
                <w:sz w:val="20"/>
              </w:rPr>
              <w:t>5 years</w:t>
            </w:r>
          </w:p>
        </w:tc>
      </w:tr>
      <w:tr w:rsidR="00576F87">
        <w:trPr>
          <w:trHeight w:val="684"/>
        </w:trPr>
        <w:tc>
          <w:tcPr>
            <w:tcW w:w="2543" w:type="dxa"/>
            <w:tcBorders>
              <w:top w:val="single" w:sz="8" w:space="0" w:color="35437C"/>
              <w:left w:val="single" w:sz="12" w:space="0" w:color="35437C"/>
              <w:bottom w:val="single" w:sz="15" w:space="0" w:color="35437C"/>
              <w:right w:val="single" w:sz="8" w:space="0" w:color="35437C"/>
            </w:tcBorders>
            <w:shd w:val="clear" w:color="auto" w:fill="FFFFFF"/>
          </w:tcPr>
          <w:p w:rsidR="00576F87" w:rsidRDefault="004165F5">
            <w:pPr>
              <w:spacing w:after="0"/>
            </w:pPr>
            <w:r>
              <w:rPr>
                <w:rFonts w:ascii="Verdana" w:eastAsia="Verdana" w:hAnsi="Verdana" w:cs="Verdana"/>
                <w:sz w:val="20"/>
              </w:rPr>
              <w:t>Altair related (Pensions admin system)</w:t>
            </w:r>
          </w:p>
        </w:tc>
        <w:tc>
          <w:tcPr>
            <w:tcW w:w="3302" w:type="dxa"/>
            <w:tcBorders>
              <w:top w:val="single" w:sz="8" w:space="0" w:color="35437C"/>
              <w:left w:val="single" w:sz="8" w:space="0" w:color="35437C"/>
              <w:bottom w:val="single" w:sz="15" w:space="0" w:color="35437C"/>
              <w:right w:val="single" w:sz="15" w:space="0" w:color="35437C"/>
            </w:tcBorders>
            <w:shd w:val="clear" w:color="auto" w:fill="FFFFFF"/>
            <w:vAlign w:val="bottom"/>
          </w:tcPr>
          <w:p w:rsidR="00576F87" w:rsidRDefault="004165F5">
            <w:pPr>
              <w:spacing w:after="0"/>
              <w:jc w:val="right"/>
            </w:pPr>
            <w:r>
              <w:rPr>
                <w:rFonts w:ascii="Verdana" w:eastAsia="Verdana" w:hAnsi="Verdana" w:cs="Verdana"/>
                <w:sz w:val="20"/>
              </w:rPr>
              <w:t>10 years</w:t>
            </w:r>
          </w:p>
        </w:tc>
      </w:tr>
    </w:tbl>
    <w:p w:rsidR="00576F87" w:rsidRDefault="004165F5">
      <w:pPr>
        <w:pStyle w:val="Heading6"/>
        <w:spacing w:after="273"/>
        <w:ind w:left="5"/>
      </w:pPr>
      <w:r>
        <w:rPr>
          <w:rFonts w:ascii="Verdana" w:eastAsia="Verdana" w:hAnsi="Verdana" w:cs="Verdana"/>
          <w:color w:val="99CA3C"/>
          <w:sz w:val="20"/>
        </w:rPr>
        <w:t>Value Added Tax</w:t>
      </w:r>
    </w:p>
    <w:p w:rsidR="00576F87" w:rsidRDefault="004165F5">
      <w:pPr>
        <w:spacing w:after="397" w:line="268" w:lineRule="auto"/>
        <w:ind w:left="-7" w:hanging="3"/>
        <w:jc w:val="both"/>
      </w:pPr>
      <w:r>
        <w:rPr>
          <w:rFonts w:ascii="Verdana" w:eastAsia="Verdana" w:hAnsi="Verdana" w:cs="Verdana"/>
          <w:sz w:val="18"/>
        </w:rPr>
        <w:t xml:space="preserve">LPFA is VAT registered, so all income and expenditure amounts exclude VAT, with the exception of where VAT is not fully recoverable.  </w:t>
      </w:r>
    </w:p>
    <w:p w:rsidR="00576F87" w:rsidRDefault="004165F5">
      <w:pPr>
        <w:pStyle w:val="Heading6"/>
        <w:spacing w:after="70"/>
        <w:ind w:left="5"/>
      </w:pPr>
      <w:r>
        <w:rPr>
          <w:rFonts w:ascii="Verdana" w:eastAsia="Verdana" w:hAnsi="Verdana" w:cs="Verdana"/>
          <w:color w:val="99CA3C"/>
          <w:sz w:val="20"/>
        </w:rPr>
        <w:t>Financial Assets / Liabilities</w:t>
      </w:r>
    </w:p>
    <w:p w:rsidR="00576F87" w:rsidRDefault="004165F5">
      <w:pPr>
        <w:spacing w:after="37" w:line="268" w:lineRule="auto"/>
        <w:ind w:left="-7" w:hanging="3"/>
        <w:jc w:val="both"/>
      </w:pPr>
      <w:r>
        <w:rPr>
          <w:rFonts w:ascii="Verdana" w:eastAsia="Verdana" w:hAnsi="Verdana" w:cs="Verdana"/>
          <w:sz w:val="18"/>
        </w:rPr>
        <w:t xml:space="preserve">Financial Assets/Liabilities represents transactions, with a contract, that result in a financial asset for one entity and a financial liability for another.  </w:t>
      </w:r>
    </w:p>
    <w:p w:rsidR="00576F87" w:rsidRDefault="004165F5">
      <w:pPr>
        <w:spacing w:after="269" w:line="268" w:lineRule="auto"/>
        <w:ind w:left="-7" w:hanging="3"/>
        <w:jc w:val="both"/>
      </w:pPr>
      <w:r>
        <w:rPr>
          <w:rFonts w:ascii="Verdana" w:eastAsia="Verdana" w:hAnsi="Verdana" w:cs="Verdana"/>
          <w:sz w:val="18"/>
        </w:rPr>
        <w:t>Financial assets are recognised by LPFA on the Balance Sheet, initially at their fair value, onl</w:t>
      </w:r>
      <w:r>
        <w:rPr>
          <w:rFonts w:ascii="Verdana" w:eastAsia="Verdana" w:hAnsi="Verdana" w:cs="Verdana"/>
          <w:sz w:val="18"/>
        </w:rPr>
        <w:t>y when goods or services have been provided or rendered to a third party.</w:t>
      </w:r>
    </w:p>
    <w:p w:rsidR="00576F87" w:rsidRDefault="004165F5">
      <w:pPr>
        <w:spacing w:after="339" w:line="268" w:lineRule="auto"/>
        <w:ind w:left="-7" w:hanging="3"/>
        <w:jc w:val="both"/>
      </w:pPr>
      <w:r>
        <w:rPr>
          <w:rFonts w:ascii="Verdana" w:eastAsia="Verdana" w:hAnsi="Verdana" w:cs="Verdana"/>
          <w:sz w:val="18"/>
        </w:rPr>
        <w:t>Financial liabilities are recognised, initially at their fair value, when the goods or services ordered from a third party have been received by LPFA and the third party has performed its contractual obligations.</w:t>
      </w:r>
    </w:p>
    <w:p w:rsidR="00576F87" w:rsidRDefault="004165F5">
      <w:pPr>
        <w:pStyle w:val="Heading6"/>
        <w:spacing w:after="40"/>
        <w:ind w:left="5"/>
      </w:pPr>
      <w:r>
        <w:rPr>
          <w:rFonts w:ascii="Verdana" w:eastAsia="Verdana" w:hAnsi="Verdana" w:cs="Verdana"/>
          <w:color w:val="99CA3C"/>
          <w:sz w:val="20"/>
        </w:rPr>
        <w:t>Joint Venture</w:t>
      </w:r>
    </w:p>
    <w:p w:rsidR="00576F87" w:rsidRDefault="004165F5">
      <w:pPr>
        <w:spacing w:after="5" w:line="268" w:lineRule="auto"/>
        <w:ind w:left="-7" w:hanging="3"/>
        <w:jc w:val="both"/>
      </w:pPr>
      <w:r>
        <w:rPr>
          <w:rFonts w:ascii="Verdana" w:eastAsia="Verdana" w:hAnsi="Verdana" w:cs="Verdana"/>
          <w:sz w:val="18"/>
        </w:rPr>
        <w:t xml:space="preserve">The London Pensions Authority has a joint venture, Local Pensions Partnership (LPP), with the Lancashire </w:t>
      </w:r>
    </w:p>
    <w:p w:rsidR="00576F87" w:rsidRDefault="004165F5">
      <w:pPr>
        <w:spacing w:after="162" w:line="258" w:lineRule="auto"/>
        <w:ind w:left="-15"/>
      </w:pPr>
      <w:r>
        <w:rPr>
          <w:rFonts w:ascii="Verdana" w:eastAsia="Verdana" w:hAnsi="Verdana" w:cs="Verdana"/>
          <w:sz w:val="18"/>
        </w:rPr>
        <w:t>County Pension Fund. This was established  on 8 April 2016.  It is owned in equal shares by London Pension Fund Authority (LPFA) and the Lancashire Co</w:t>
      </w:r>
      <w:r>
        <w:rPr>
          <w:rFonts w:ascii="Verdana" w:eastAsia="Verdana" w:hAnsi="Verdana" w:cs="Verdana"/>
          <w:sz w:val="18"/>
        </w:rPr>
        <w:t>unty Council and the LPP manages the administration and investment functions on behalf of the two funds.</w:t>
      </w:r>
    </w:p>
    <w:p w:rsidR="00576F87" w:rsidRDefault="004165F5">
      <w:pPr>
        <w:spacing w:after="94" w:line="268" w:lineRule="auto"/>
        <w:ind w:left="-7" w:hanging="3"/>
        <w:jc w:val="both"/>
      </w:pPr>
      <w:r>
        <w:rPr>
          <w:rFonts w:ascii="Verdana" w:eastAsia="Verdana" w:hAnsi="Verdana" w:cs="Verdana"/>
          <w:sz w:val="18"/>
        </w:rPr>
        <w:t>In the accounts of the entity the value of the investment in LPP is disclosed at cost, being £nil. The cost of acquisition was £nil as LPP was acquired</w:t>
      </w:r>
      <w:r>
        <w:rPr>
          <w:rFonts w:ascii="Verdana" w:eastAsia="Verdana" w:hAnsi="Verdana" w:cs="Verdana"/>
          <w:sz w:val="18"/>
        </w:rPr>
        <w:t xml:space="preserve"> as a start up.</w:t>
      </w:r>
    </w:p>
    <w:p w:rsidR="00576F87" w:rsidRDefault="004165F5">
      <w:pPr>
        <w:spacing w:after="357" w:line="258" w:lineRule="auto"/>
        <w:ind w:left="-15"/>
      </w:pPr>
      <w:r>
        <w:rPr>
          <w:rFonts w:ascii="Verdana" w:eastAsia="Verdana" w:hAnsi="Verdana" w:cs="Verdana"/>
          <w:sz w:val="18"/>
        </w:rPr>
        <w:t>Group Accounts have been included  recognising the LPFA's significant interest in the LPP.  As a Joint Venture, the LPP is consolidated into the Fund's Group Accounts using the equity method. The judgement in defining LPP as a Joint Venture</w:t>
      </w:r>
      <w:r>
        <w:rPr>
          <w:rFonts w:ascii="Verdana" w:eastAsia="Verdana" w:hAnsi="Verdana" w:cs="Verdana"/>
          <w:sz w:val="18"/>
        </w:rPr>
        <w:t xml:space="preserve"> is reached due LPP being an arrangement under which two (or more) parties have contractually agreed to share control, such that decisions about activities that significantly affect returns require the unanimous consent of the parties sharing control, and </w:t>
      </w:r>
      <w:r>
        <w:rPr>
          <w:rFonts w:ascii="Verdana" w:eastAsia="Verdana" w:hAnsi="Verdana" w:cs="Verdana"/>
          <w:sz w:val="18"/>
        </w:rPr>
        <w:t xml:space="preserve">the two Funds have rights to the net assets of the arrangement. This remains the case in 2017/18. </w:t>
      </w:r>
    </w:p>
    <w:p w:rsidR="00576F87" w:rsidRDefault="004165F5">
      <w:pPr>
        <w:pStyle w:val="Heading6"/>
        <w:spacing w:after="45"/>
        <w:ind w:left="5"/>
      </w:pPr>
      <w:r>
        <w:rPr>
          <w:rFonts w:ascii="Verdana" w:eastAsia="Verdana" w:hAnsi="Verdana" w:cs="Verdana"/>
          <w:color w:val="99CA3C"/>
          <w:sz w:val="20"/>
        </w:rPr>
        <w:t>Reserves</w:t>
      </w:r>
    </w:p>
    <w:p w:rsidR="00576F87" w:rsidRDefault="004165F5">
      <w:pPr>
        <w:spacing w:after="353" w:line="268" w:lineRule="auto"/>
        <w:ind w:left="-7" w:hanging="3"/>
        <w:jc w:val="both"/>
      </w:pPr>
      <w:r>
        <w:rPr>
          <w:rFonts w:ascii="Verdana" w:eastAsia="Verdana" w:hAnsi="Verdana" w:cs="Verdana"/>
          <w:sz w:val="18"/>
        </w:rPr>
        <w:t xml:space="preserve">LPFA sets aside specific amounts as reserves for future policy purposes or to cover contingencies. Reserves are created by appropriating amounts in </w:t>
      </w:r>
      <w:r>
        <w:rPr>
          <w:rFonts w:ascii="Verdana" w:eastAsia="Verdana" w:hAnsi="Verdana" w:cs="Verdana"/>
          <w:sz w:val="18"/>
        </w:rPr>
        <w:t xml:space="preserve">the General Fund Balance in the Movement on Reserves Statement. Where expenditure to be financed from a reserve is incurred, it is charged to the Comprehensive Income and Expenditure Statement and the reserve is then applied to offset this charge. </w:t>
      </w:r>
    </w:p>
    <w:p w:rsidR="00576F87" w:rsidRDefault="004165F5">
      <w:pPr>
        <w:pStyle w:val="Heading5"/>
        <w:ind w:left="5"/>
      </w:pPr>
      <w:r>
        <w:t>General</w:t>
      </w:r>
      <w:r>
        <w:t xml:space="preserve"> Reserve</w:t>
      </w:r>
    </w:p>
    <w:p w:rsidR="00576F87" w:rsidRDefault="004165F5">
      <w:pPr>
        <w:spacing w:after="5" w:line="268" w:lineRule="auto"/>
        <w:ind w:left="-7" w:hanging="3"/>
        <w:jc w:val="both"/>
      </w:pPr>
      <w:r>
        <w:rPr>
          <w:rFonts w:ascii="Verdana" w:eastAsia="Verdana" w:hAnsi="Verdana" w:cs="Verdana"/>
          <w:sz w:val="18"/>
        </w:rPr>
        <w:t>The General Reserve is a usable reserve. During the year four reserves were transferred into the General Reserve, these reserves being: the Business Reserve, the Innovations Reserve, the Organisational Development Reserve and the Valuation Reserve</w:t>
      </w:r>
      <w:r>
        <w:rPr>
          <w:rFonts w:ascii="Verdana" w:eastAsia="Verdana" w:hAnsi="Verdana" w:cs="Verdana"/>
          <w:sz w:val="18"/>
        </w:rPr>
        <w:t>.</w:t>
      </w:r>
    </w:p>
    <w:p w:rsidR="00576F87" w:rsidRDefault="004165F5">
      <w:pPr>
        <w:spacing w:after="22" w:line="265" w:lineRule="auto"/>
        <w:ind w:left="5" w:hanging="8"/>
      </w:pPr>
      <w:r>
        <w:rPr>
          <w:rFonts w:ascii="Verdana" w:eastAsia="Verdana" w:hAnsi="Verdana" w:cs="Verdana"/>
          <w:b/>
          <w:sz w:val="20"/>
        </w:rPr>
        <w:t>Capital Contributions Reserve</w:t>
      </w:r>
    </w:p>
    <w:p w:rsidR="00576F87" w:rsidRDefault="004165F5">
      <w:pPr>
        <w:spacing w:after="385" w:line="268" w:lineRule="auto"/>
        <w:ind w:left="-7" w:hanging="3"/>
        <w:jc w:val="both"/>
      </w:pPr>
      <w:r>
        <w:rPr>
          <w:rFonts w:ascii="Verdana" w:eastAsia="Verdana" w:hAnsi="Verdana" w:cs="Verdana"/>
          <w:sz w:val="18"/>
        </w:rPr>
        <w:t>This is a reserve which reflects the net funding of capital spending from the Pension Fund.</w:t>
      </w:r>
    </w:p>
    <w:p w:rsidR="00576F87" w:rsidRDefault="004165F5">
      <w:pPr>
        <w:pStyle w:val="Heading5"/>
        <w:spacing w:after="57"/>
        <w:ind w:left="5"/>
      </w:pPr>
      <w:r>
        <w:t>Premises Reserve</w:t>
      </w:r>
    </w:p>
    <w:p w:rsidR="00576F87" w:rsidRDefault="004165F5">
      <w:pPr>
        <w:spacing w:after="206" w:line="268" w:lineRule="auto"/>
        <w:ind w:left="-7" w:hanging="3"/>
        <w:jc w:val="both"/>
      </w:pPr>
      <w:r>
        <w:rPr>
          <w:rFonts w:ascii="Verdana" w:eastAsia="Verdana" w:hAnsi="Verdana" w:cs="Verdana"/>
          <w:sz w:val="18"/>
        </w:rPr>
        <w:t>LPFA rented office accommodation under an operating lease agreement at Dexter House 2 Royal Mint Court until December 2014.</w:t>
      </w:r>
    </w:p>
    <w:p w:rsidR="00576F87" w:rsidRDefault="004165F5">
      <w:pPr>
        <w:spacing w:after="324" w:line="268" w:lineRule="auto"/>
        <w:ind w:left="-7" w:hanging="3"/>
        <w:jc w:val="both"/>
      </w:pPr>
      <w:r>
        <w:rPr>
          <w:rFonts w:ascii="Verdana" w:eastAsia="Verdana" w:hAnsi="Verdana" w:cs="Verdana"/>
          <w:sz w:val="18"/>
        </w:rPr>
        <w:t>This reserve was established by LPFA in 2014 when the lease on Dexter House expired. The reserve was used to fund work to consider t</w:t>
      </w:r>
      <w:r>
        <w:rPr>
          <w:rFonts w:ascii="Verdana" w:eastAsia="Verdana" w:hAnsi="Verdana" w:cs="Verdana"/>
          <w:sz w:val="18"/>
        </w:rPr>
        <w:t>he options, and to fund the costs associated with moving premises. The reserve now remains in order to fund the possibly significant costs in re-instating Dexter House to its original state should LPFA be required to do so.</w:t>
      </w:r>
    </w:p>
    <w:p w:rsidR="00576F87" w:rsidRDefault="004165F5">
      <w:pPr>
        <w:pStyle w:val="Heading5"/>
        <w:spacing w:after="0"/>
        <w:ind w:left="5"/>
      </w:pPr>
      <w:r>
        <w:t>Valuation Reserve</w:t>
      </w:r>
    </w:p>
    <w:p w:rsidR="00576F87" w:rsidRDefault="004165F5">
      <w:pPr>
        <w:spacing w:after="302" w:line="258" w:lineRule="auto"/>
        <w:ind w:left="-15"/>
      </w:pPr>
      <w:r>
        <w:rPr>
          <w:rFonts w:ascii="Verdana" w:eastAsia="Verdana" w:hAnsi="Verdana" w:cs="Verdana"/>
          <w:sz w:val="18"/>
        </w:rPr>
        <w:t>The carrying o</w:t>
      </w:r>
      <w:r>
        <w:rPr>
          <w:rFonts w:ascii="Verdana" w:eastAsia="Verdana" w:hAnsi="Verdana" w:cs="Verdana"/>
          <w:sz w:val="18"/>
        </w:rPr>
        <w:t xml:space="preserve">ut of the fund triennial valuation adds about £30,000 to the LPFA’s operational costs in the valuation year. From 2016-17 the LPFA will put resources into the reserve to fund the 2019 valuation (in 2019-18). </w:t>
      </w:r>
    </w:p>
    <w:p w:rsidR="00576F87" w:rsidRDefault="004165F5">
      <w:pPr>
        <w:pStyle w:val="Heading5"/>
        <w:spacing w:after="122"/>
        <w:ind w:left="5"/>
      </w:pPr>
      <w:r>
        <w:t>Business Reserve</w:t>
      </w:r>
    </w:p>
    <w:p w:rsidR="00576F87" w:rsidRDefault="004165F5">
      <w:pPr>
        <w:spacing w:after="265" w:line="268" w:lineRule="auto"/>
        <w:ind w:left="-7" w:hanging="3"/>
        <w:jc w:val="both"/>
      </w:pPr>
      <w:r>
        <w:rPr>
          <w:rFonts w:ascii="Verdana" w:eastAsia="Verdana" w:hAnsi="Verdana" w:cs="Verdana"/>
          <w:sz w:val="18"/>
        </w:rPr>
        <w:t>A business reserve will cope w</w:t>
      </w:r>
      <w:r>
        <w:rPr>
          <w:rFonts w:ascii="Verdana" w:eastAsia="Verdana" w:hAnsi="Verdana" w:cs="Verdana"/>
          <w:sz w:val="18"/>
        </w:rPr>
        <w:t xml:space="preserve">ith planned one off and unexpected additional costs on our commercial operations. The reserve would be used to fund investment in obtaining new contracts, any costs of the loss of a contract, and any short-term additional resources to meet any problems on </w:t>
      </w:r>
      <w:r>
        <w:rPr>
          <w:rFonts w:ascii="Verdana" w:eastAsia="Verdana" w:hAnsi="Verdana" w:cs="Verdana"/>
          <w:sz w:val="18"/>
        </w:rPr>
        <w:t xml:space="preserve">an existing contract.  </w:t>
      </w:r>
    </w:p>
    <w:p w:rsidR="00576F87" w:rsidRDefault="004165F5">
      <w:pPr>
        <w:pStyle w:val="Heading5"/>
        <w:spacing w:after="158"/>
        <w:ind w:left="5"/>
      </w:pPr>
      <w:r>
        <w:t>Organisational Development Reserve</w:t>
      </w:r>
    </w:p>
    <w:p w:rsidR="00576F87" w:rsidRDefault="004165F5">
      <w:pPr>
        <w:spacing w:after="325" w:line="268" w:lineRule="auto"/>
        <w:ind w:left="-7" w:hanging="3"/>
        <w:jc w:val="both"/>
      </w:pPr>
      <w:r>
        <w:rPr>
          <w:rFonts w:ascii="Verdana" w:eastAsia="Verdana" w:hAnsi="Verdana" w:cs="Verdana"/>
          <w:sz w:val="18"/>
        </w:rPr>
        <w:t>The reserve supports improvements in working practices, and the development and retention of staff, this would include funding temporary staff, consultancy, departure costs and similar type expendi</w:t>
      </w:r>
      <w:r>
        <w:rPr>
          <w:rFonts w:ascii="Verdana" w:eastAsia="Verdana" w:hAnsi="Verdana" w:cs="Verdana"/>
          <w:sz w:val="18"/>
        </w:rPr>
        <w:t>ture.</w:t>
      </w:r>
    </w:p>
    <w:p w:rsidR="00576F87" w:rsidRDefault="004165F5">
      <w:pPr>
        <w:pStyle w:val="Heading5"/>
        <w:ind w:left="5"/>
      </w:pPr>
      <w:r>
        <w:t>Innovations Reserve</w:t>
      </w:r>
    </w:p>
    <w:p w:rsidR="00576F87" w:rsidRDefault="004165F5">
      <w:pPr>
        <w:spacing w:after="5" w:line="268" w:lineRule="auto"/>
        <w:ind w:left="-7" w:hanging="3"/>
        <w:jc w:val="both"/>
      </w:pPr>
      <w:r>
        <w:rPr>
          <w:rFonts w:ascii="Verdana" w:eastAsia="Verdana" w:hAnsi="Verdana" w:cs="Verdana"/>
          <w:sz w:val="18"/>
        </w:rPr>
        <w:t>The reserve is used to fund invest to save projects.</w:t>
      </w:r>
    </w:p>
    <w:p w:rsidR="00576F87" w:rsidRDefault="004165F5">
      <w:pPr>
        <w:spacing w:after="67"/>
        <w:ind w:left="5"/>
      </w:pPr>
      <w:r>
        <w:rPr>
          <w:rFonts w:ascii="Verdana" w:eastAsia="Verdana" w:hAnsi="Verdana" w:cs="Verdana"/>
          <w:sz w:val="20"/>
        </w:rPr>
        <w:t xml:space="preserve"> </w:t>
      </w:r>
    </w:p>
    <w:p w:rsidR="00576F87" w:rsidRDefault="004165F5">
      <w:pPr>
        <w:spacing w:after="293" w:line="268" w:lineRule="auto"/>
        <w:ind w:left="-7" w:hanging="3"/>
        <w:jc w:val="both"/>
      </w:pPr>
      <w:r>
        <w:rPr>
          <w:rFonts w:ascii="Verdana" w:eastAsia="Verdana" w:hAnsi="Verdana" w:cs="Verdana"/>
          <w:sz w:val="18"/>
        </w:rPr>
        <w:t xml:space="preserve">Certain reserves are kept to manage accounting processes and do not represent usable resources for LPFA. These are the Pensions Reserve and the Accumulated Leave Reserve. </w:t>
      </w:r>
    </w:p>
    <w:p w:rsidR="00576F87" w:rsidRDefault="004165F5">
      <w:pPr>
        <w:pStyle w:val="Heading5"/>
        <w:spacing w:after="144"/>
        <w:ind w:left="5"/>
      </w:pPr>
      <w:r>
        <w:t>Pension Reserve</w:t>
      </w:r>
    </w:p>
    <w:p w:rsidR="00576F87" w:rsidRDefault="004165F5">
      <w:pPr>
        <w:spacing w:after="221" w:line="268" w:lineRule="auto"/>
        <w:ind w:left="-7" w:hanging="3"/>
        <w:jc w:val="both"/>
      </w:pPr>
      <w:r>
        <w:rPr>
          <w:rFonts w:ascii="Verdana" w:eastAsia="Verdana" w:hAnsi="Verdana" w:cs="Verdana"/>
          <w:sz w:val="18"/>
        </w:rPr>
        <w:t xml:space="preserve">The Pension Reserve has been set up to ring-fence the accounting for the pension costs. It merely represents the actuarially calculated deficit between the value of all pension liabilities and the assets held. </w:t>
      </w:r>
    </w:p>
    <w:p w:rsidR="00576F87" w:rsidRDefault="004165F5">
      <w:pPr>
        <w:spacing w:after="242" w:line="265" w:lineRule="auto"/>
        <w:ind w:left="5" w:hanging="8"/>
      </w:pPr>
      <w:r>
        <w:rPr>
          <w:rFonts w:ascii="Verdana" w:eastAsia="Verdana" w:hAnsi="Verdana" w:cs="Verdana"/>
          <w:b/>
          <w:sz w:val="20"/>
        </w:rPr>
        <w:t>Accumulated Leave Reserve</w:t>
      </w:r>
    </w:p>
    <w:p w:rsidR="00576F87" w:rsidRDefault="004165F5">
      <w:pPr>
        <w:spacing w:after="541" w:line="268" w:lineRule="auto"/>
        <w:ind w:left="-7" w:hanging="3"/>
        <w:jc w:val="both"/>
      </w:pPr>
      <w:r>
        <w:rPr>
          <w:rFonts w:ascii="Verdana" w:eastAsia="Verdana" w:hAnsi="Verdana" w:cs="Verdana"/>
          <w:sz w:val="18"/>
        </w:rPr>
        <w:t>The</w:t>
      </w:r>
      <w:r>
        <w:rPr>
          <w:rFonts w:ascii="Verdana" w:eastAsia="Verdana" w:hAnsi="Verdana" w:cs="Verdana"/>
          <w:sz w:val="18"/>
        </w:rPr>
        <w:t xml:space="preserve"> accumulated leave reserve has been set up to ring fence the accounting for the untaken leave accruals. </w:t>
      </w:r>
    </w:p>
    <w:p w:rsidR="00576F87" w:rsidRDefault="004165F5">
      <w:pPr>
        <w:pStyle w:val="Heading4"/>
        <w:spacing w:after="334" w:line="265" w:lineRule="auto"/>
        <w:ind w:left="17" w:hanging="10"/>
      </w:pPr>
      <w:r>
        <w:rPr>
          <w:sz w:val="28"/>
        </w:rPr>
        <w:t>2.  Accounting standards issued, but not yet adopted</w:t>
      </w:r>
    </w:p>
    <w:p w:rsidR="00576F87" w:rsidRDefault="004165F5">
      <w:pPr>
        <w:spacing w:after="157" w:line="268" w:lineRule="auto"/>
        <w:ind w:left="-7" w:hanging="3"/>
        <w:jc w:val="both"/>
      </w:pPr>
      <w:r>
        <w:rPr>
          <w:rFonts w:ascii="Verdana" w:eastAsia="Verdana" w:hAnsi="Verdana" w:cs="Verdana"/>
          <w:sz w:val="18"/>
        </w:rPr>
        <w:t>IFRS 9 Financial instruments - Includes changes to the classification of financial assets and a fo</w:t>
      </w:r>
      <w:r>
        <w:rPr>
          <w:rFonts w:ascii="Verdana" w:eastAsia="Verdana" w:hAnsi="Verdana" w:cs="Verdana"/>
          <w:sz w:val="18"/>
        </w:rPr>
        <w:t>rward looking 'expected loss' model for impairment rather than the 'incurred loss' model under IAS 39.</w:t>
      </w:r>
    </w:p>
    <w:p w:rsidR="00576F87" w:rsidRDefault="004165F5">
      <w:pPr>
        <w:spacing w:after="248" w:line="268" w:lineRule="auto"/>
        <w:ind w:left="-7" w:hanging="3"/>
        <w:jc w:val="both"/>
      </w:pPr>
      <w:r>
        <w:rPr>
          <w:rFonts w:ascii="Verdana" w:eastAsia="Verdana" w:hAnsi="Verdana" w:cs="Verdana"/>
          <w:sz w:val="18"/>
        </w:rPr>
        <w:t>IFRS 16 Leases - It replaces IAS17 and requires lessees to recognise both assets and liabilities on the balance sheet, for all leases (now including oper</w:t>
      </w:r>
      <w:r>
        <w:rPr>
          <w:rFonts w:ascii="Verdana" w:eastAsia="Verdana" w:hAnsi="Verdana" w:cs="Verdana"/>
          <w:sz w:val="18"/>
        </w:rPr>
        <w:t>ating leases).</w:t>
      </w:r>
    </w:p>
    <w:p w:rsidR="00576F87" w:rsidRDefault="004165F5">
      <w:pPr>
        <w:spacing w:after="5" w:line="268" w:lineRule="auto"/>
        <w:ind w:left="-7" w:hanging="3"/>
        <w:jc w:val="both"/>
      </w:pPr>
      <w:r>
        <w:rPr>
          <w:rFonts w:ascii="Verdana" w:eastAsia="Verdana" w:hAnsi="Verdana" w:cs="Verdana"/>
          <w:sz w:val="18"/>
        </w:rPr>
        <w:t>The impact of the standards issued but not yet adopted cannot yet be quantified.</w:t>
      </w:r>
    </w:p>
    <w:p w:rsidR="00576F87" w:rsidRDefault="004165F5">
      <w:pPr>
        <w:pStyle w:val="Heading4"/>
        <w:spacing w:after="181" w:line="265" w:lineRule="auto"/>
        <w:ind w:left="17" w:hanging="10"/>
      </w:pPr>
      <w:r>
        <w:rPr>
          <w:sz w:val="28"/>
        </w:rPr>
        <w:t>3.  Financial Risk M</w:t>
      </w:r>
      <w:r>
        <w:rPr>
          <w:color w:val="244061"/>
          <w:sz w:val="28"/>
        </w:rPr>
        <w:t>anagement</w:t>
      </w:r>
    </w:p>
    <w:p w:rsidR="00576F87" w:rsidRDefault="004165F5">
      <w:pPr>
        <w:spacing w:after="673" w:line="268" w:lineRule="auto"/>
        <w:ind w:left="-7" w:hanging="3"/>
        <w:jc w:val="both"/>
      </w:pPr>
      <w:r>
        <w:rPr>
          <w:rFonts w:ascii="Verdana" w:eastAsia="Verdana" w:hAnsi="Verdana" w:cs="Verdana"/>
          <w:sz w:val="18"/>
        </w:rPr>
        <w:t>There is a robust budget setting process in place that includes: strategic business direction set by the Board, budget challenge by both Officers and the Audit and Risk Committee prior to the draft budget being presented to Board for its initial comment an</w:t>
      </w:r>
      <w:r>
        <w:rPr>
          <w:rFonts w:ascii="Verdana" w:eastAsia="Verdana" w:hAnsi="Verdana" w:cs="Verdana"/>
          <w:sz w:val="18"/>
        </w:rPr>
        <w:t>d approval prior to dispatch to the Mayor of London for formal consultation. Subsequently a revised budget paper, including comments and other changes is presented back to Board for final approval. The budget contains income generated from commercial contr</w:t>
      </w:r>
      <w:r>
        <w:rPr>
          <w:rFonts w:ascii="Verdana" w:eastAsia="Verdana" w:hAnsi="Verdana" w:cs="Verdana"/>
          <w:sz w:val="18"/>
        </w:rPr>
        <w:t xml:space="preserve">acts and assumptions have been made regarding renewal of those contracts. During the course of the year, as contracts are renewed, or not, then actual events may not accurately reflect the assumptions allowed for in the budget. Events affecting commercial </w:t>
      </w:r>
      <w:r>
        <w:rPr>
          <w:rFonts w:ascii="Verdana" w:eastAsia="Verdana" w:hAnsi="Verdana" w:cs="Verdana"/>
          <w:sz w:val="18"/>
        </w:rPr>
        <w:t>contracts are reviewed as they happen and on a monthly basis as part of the budget monitoring arrangements.</w:t>
      </w:r>
    </w:p>
    <w:p w:rsidR="00576F87" w:rsidRDefault="004165F5">
      <w:pPr>
        <w:pStyle w:val="Heading4"/>
        <w:spacing w:after="186" w:line="265" w:lineRule="auto"/>
        <w:ind w:left="17" w:hanging="10"/>
      </w:pPr>
      <w:r>
        <w:rPr>
          <w:sz w:val="28"/>
        </w:rPr>
        <w:t>4.  Critical Accounting Judgements and Estimates</w:t>
      </w:r>
    </w:p>
    <w:p w:rsidR="00576F87" w:rsidRDefault="004165F5">
      <w:pPr>
        <w:pStyle w:val="Heading5"/>
        <w:spacing w:after="110"/>
        <w:ind w:left="5" w:hanging="10"/>
      </w:pPr>
      <w:r>
        <w:rPr>
          <w:color w:val="99CA3C"/>
        </w:rPr>
        <w:t>Useful Lives of Property, Plant and Equipment</w:t>
      </w:r>
    </w:p>
    <w:p w:rsidR="00576F87" w:rsidRDefault="004165F5">
      <w:pPr>
        <w:spacing w:after="353" w:line="268" w:lineRule="auto"/>
        <w:ind w:left="-7" w:hanging="3"/>
        <w:jc w:val="both"/>
      </w:pPr>
      <w:r>
        <w:rPr>
          <w:rFonts w:ascii="Verdana" w:eastAsia="Verdana" w:hAnsi="Verdana" w:cs="Verdana"/>
          <w:sz w:val="18"/>
        </w:rPr>
        <w:t>LPFA estimates the useful lives of property, plant an</w:t>
      </w:r>
      <w:r>
        <w:rPr>
          <w:rFonts w:ascii="Verdana" w:eastAsia="Verdana" w:hAnsi="Verdana" w:cs="Verdana"/>
          <w:sz w:val="18"/>
        </w:rPr>
        <w:t>d equipment based on the period over which the assets are expected to be available for use. The estimated useful lives are reviewed periodically and are updated if expectations differ from previous estimates due to physical wear and tear, technical or comm</w:t>
      </w:r>
      <w:r>
        <w:rPr>
          <w:rFonts w:ascii="Verdana" w:eastAsia="Verdana" w:hAnsi="Verdana" w:cs="Verdana"/>
          <w:sz w:val="18"/>
        </w:rPr>
        <w:t>ercial obsolescence and legal or other limits on the use of the relevant assets. In addition, the estimation of the useful lives of property, plant and equipment are based on internal technical evaluation and experience with similar assets. It is possible,</w:t>
      </w:r>
      <w:r>
        <w:rPr>
          <w:rFonts w:ascii="Verdana" w:eastAsia="Verdana" w:hAnsi="Verdana" w:cs="Verdana"/>
          <w:sz w:val="18"/>
        </w:rPr>
        <w:t xml:space="preserve"> however, that future results of operations could be materially affected by changes in the estimates brought about by changes in factors mentioned above. The amounts and timing of recorded expenses for any period would be affected by changes in these facto</w:t>
      </w:r>
      <w:r>
        <w:rPr>
          <w:rFonts w:ascii="Verdana" w:eastAsia="Verdana" w:hAnsi="Verdana" w:cs="Verdana"/>
          <w:sz w:val="18"/>
        </w:rPr>
        <w:t>rs and circumstances. A reduction in the estimated useful lives of property, plant and equipment would increase the recorded expenses and decrease the value of such within the balance sheet.</w:t>
      </w:r>
    </w:p>
    <w:p w:rsidR="00576F87" w:rsidRDefault="004165F5">
      <w:pPr>
        <w:pStyle w:val="Heading5"/>
        <w:spacing w:after="163"/>
        <w:ind w:left="5" w:hanging="10"/>
      </w:pPr>
      <w:r>
        <w:rPr>
          <w:color w:val="99CA3C"/>
        </w:rPr>
        <w:t>Pensions Liability</w:t>
      </w:r>
    </w:p>
    <w:p w:rsidR="00576F87" w:rsidRDefault="004165F5">
      <w:pPr>
        <w:spacing w:after="309" w:line="268" w:lineRule="auto"/>
        <w:ind w:left="-7" w:hanging="3"/>
        <w:jc w:val="both"/>
      </w:pPr>
      <w:r>
        <w:rPr>
          <w:rFonts w:ascii="Verdana" w:eastAsia="Verdana" w:hAnsi="Verdana" w:cs="Verdana"/>
          <w:sz w:val="18"/>
        </w:rPr>
        <w:t>Estimation of the net liability to pay pensions depend on a number of complex judgements relating to the discount rate used, the rate at which salaries are projected to increase, changes in retirement ages, mortality rates and expected returns on pension f</w:t>
      </w:r>
      <w:r>
        <w:rPr>
          <w:rFonts w:ascii="Verdana" w:eastAsia="Verdana" w:hAnsi="Verdana" w:cs="Verdana"/>
          <w:sz w:val="18"/>
        </w:rPr>
        <w:t>und assets. A firm of consulting actuaries are engaged to provide LPFA with expert advice about the assumptions to be applied. However, because these judgements cannot be determined with certainty, actual results could be materially different from the assu</w:t>
      </w:r>
      <w:r>
        <w:rPr>
          <w:rFonts w:ascii="Verdana" w:eastAsia="Verdana" w:hAnsi="Verdana" w:cs="Verdana"/>
          <w:sz w:val="18"/>
        </w:rPr>
        <w:t>mptions and estimates.</w:t>
      </w:r>
    </w:p>
    <w:p w:rsidR="00576F87" w:rsidRDefault="004165F5">
      <w:pPr>
        <w:pStyle w:val="Heading5"/>
        <w:spacing w:after="204"/>
        <w:ind w:left="5" w:hanging="10"/>
      </w:pPr>
      <w:r>
        <w:rPr>
          <w:color w:val="99CA3C"/>
        </w:rPr>
        <w:t>Pensions Liability Guarantee</w:t>
      </w:r>
    </w:p>
    <w:p w:rsidR="00576F87" w:rsidRDefault="004165F5">
      <w:pPr>
        <w:spacing w:after="5" w:line="268" w:lineRule="auto"/>
        <w:ind w:left="-7" w:hanging="3"/>
        <w:jc w:val="both"/>
      </w:pPr>
      <w:r>
        <w:rPr>
          <w:rFonts w:ascii="Verdana" w:eastAsia="Verdana" w:hAnsi="Verdana" w:cs="Verdana"/>
          <w:sz w:val="18"/>
        </w:rPr>
        <w:t>The LPFA has provided a guarantee, under the Admission Agreements, to settle the LPP and LPPI pension deficits in the event of both entities ceasing to trade and exiting the LGPS. To determine how this gu</w:t>
      </w:r>
      <w:r>
        <w:rPr>
          <w:rFonts w:ascii="Verdana" w:eastAsia="Verdana" w:hAnsi="Verdana" w:cs="Verdana"/>
          <w:sz w:val="18"/>
        </w:rPr>
        <w:t xml:space="preserve">arantee is treated within the LPFA financial statements requires several judgements to be made regarding the balance between financial risks such as the discount rate and non financial risks from such things as changes in life expectancy or final salaries </w:t>
      </w:r>
      <w:r>
        <w:rPr>
          <w:rFonts w:ascii="Verdana" w:eastAsia="Verdana" w:hAnsi="Verdana" w:cs="Verdana"/>
          <w:sz w:val="18"/>
        </w:rPr>
        <w:t>of members. The non-financial risks falls within the definition of an insurance contract under IFRS 4. As the financial and non-financial risks are both significant, the guarantee has not been deemed to be a derivative under IAS 39. IAS 37 excludes obligat</w:t>
      </w:r>
      <w:r>
        <w:rPr>
          <w:rFonts w:ascii="Verdana" w:eastAsia="Verdana" w:hAnsi="Verdana" w:cs="Verdana"/>
          <w:sz w:val="18"/>
        </w:rPr>
        <w:t>ions and contingencies arising from insurance contracts, but it does apply to other provisions, contingent liabilities and contingent assets of an insurer. The LPFA Admissions Agreement states that LPFA is providing a guarantee if LPP exits the LGPS. In su</w:t>
      </w:r>
      <w:r>
        <w:rPr>
          <w:rFonts w:ascii="Verdana" w:eastAsia="Verdana" w:hAnsi="Verdana" w:cs="Verdana"/>
          <w:sz w:val="18"/>
        </w:rPr>
        <w:t>ch an event LPFA would suffer a loss equivalent to the amount required to settle the pensions liability. After consideration of IAS 28 and IAS 37, the possible liability to settle the pension deficit within LPP should be disclosed in LPFA financial stateme</w:t>
      </w:r>
      <w:r>
        <w:rPr>
          <w:rFonts w:ascii="Verdana" w:eastAsia="Verdana" w:hAnsi="Verdana" w:cs="Verdana"/>
          <w:sz w:val="18"/>
        </w:rPr>
        <w:t>nts, as a contingent liability in accordance with IAS 37 due to the very low probability of a cessation event triggering the LPFA guarantee.</w:t>
      </w:r>
    </w:p>
    <w:p w:rsidR="00576F87" w:rsidRDefault="00576F87">
      <w:pPr>
        <w:sectPr w:rsidR="00576F87">
          <w:headerReference w:type="even" r:id="rId120"/>
          <w:headerReference w:type="default" r:id="rId121"/>
          <w:footerReference w:type="even" r:id="rId122"/>
          <w:footerReference w:type="default" r:id="rId123"/>
          <w:headerReference w:type="first" r:id="rId124"/>
          <w:footerReference w:type="first" r:id="rId125"/>
          <w:pgSz w:w="11900" w:h="16840"/>
          <w:pgMar w:top="1643" w:right="846" w:bottom="1193" w:left="1070" w:header="1149" w:footer="507" w:gutter="0"/>
          <w:cols w:space="720"/>
        </w:sectPr>
      </w:pPr>
    </w:p>
    <w:p w:rsidR="00576F87" w:rsidRDefault="004165F5">
      <w:pPr>
        <w:tabs>
          <w:tab w:val="center" w:pos="2399"/>
        </w:tabs>
        <w:spacing w:after="0"/>
      </w:pPr>
      <w:r>
        <w:rPr>
          <w:rFonts w:ascii="Verdana" w:eastAsia="Verdana" w:hAnsi="Verdana" w:cs="Verdana"/>
          <w:b/>
          <w:sz w:val="28"/>
        </w:rPr>
        <w:t>5</w:t>
      </w:r>
      <w:r>
        <w:rPr>
          <w:rFonts w:ascii="Verdana" w:eastAsia="Verdana" w:hAnsi="Verdana" w:cs="Verdana"/>
          <w:b/>
          <w:sz w:val="28"/>
        </w:rPr>
        <w:tab/>
      </w:r>
      <w:r>
        <w:rPr>
          <w:rFonts w:ascii="Verdana" w:eastAsia="Verdana" w:hAnsi="Verdana" w:cs="Verdana"/>
          <w:sz w:val="28"/>
        </w:rPr>
        <w:t>Income</w:t>
      </w:r>
    </w:p>
    <w:tbl>
      <w:tblPr>
        <w:tblStyle w:val="TableGrid"/>
        <w:tblW w:w="9522" w:type="dxa"/>
        <w:tblInd w:w="-33" w:type="dxa"/>
        <w:tblCellMar>
          <w:top w:w="78" w:type="dxa"/>
          <w:left w:w="0" w:type="dxa"/>
          <w:bottom w:w="35" w:type="dxa"/>
          <w:right w:w="38" w:type="dxa"/>
        </w:tblCellMar>
        <w:tblLook w:val="04A0" w:firstRow="1" w:lastRow="0" w:firstColumn="1" w:lastColumn="0" w:noHBand="0" w:noVBand="1"/>
      </w:tblPr>
      <w:tblGrid>
        <w:gridCol w:w="923"/>
        <w:gridCol w:w="926"/>
        <w:gridCol w:w="2530"/>
        <w:gridCol w:w="1822"/>
        <w:gridCol w:w="1548"/>
        <w:gridCol w:w="1774"/>
      </w:tblGrid>
      <w:tr w:rsidR="00576F87">
        <w:trPr>
          <w:trHeight w:val="290"/>
        </w:trPr>
        <w:tc>
          <w:tcPr>
            <w:tcW w:w="923" w:type="dxa"/>
            <w:tcBorders>
              <w:top w:val="single" w:sz="15" w:space="0" w:color="35437C"/>
              <w:left w:val="single" w:sz="12" w:space="0" w:color="35437C"/>
              <w:bottom w:val="single" w:sz="8" w:space="0" w:color="35437C"/>
              <w:right w:val="nil"/>
            </w:tcBorders>
            <w:shd w:val="clear" w:color="auto" w:fill="35437C"/>
          </w:tcPr>
          <w:p w:rsidR="00576F87" w:rsidRDefault="00576F87"/>
        </w:tc>
        <w:tc>
          <w:tcPr>
            <w:tcW w:w="926" w:type="dxa"/>
            <w:tcBorders>
              <w:top w:val="single" w:sz="15" w:space="0" w:color="35437C"/>
              <w:left w:val="nil"/>
              <w:bottom w:val="single" w:sz="8" w:space="0" w:color="35437C"/>
              <w:right w:val="single" w:sz="15" w:space="0" w:color="35437C"/>
            </w:tcBorders>
            <w:shd w:val="clear" w:color="auto" w:fill="35437C"/>
          </w:tcPr>
          <w:p w:rsidR="00576F87" w:rsidRDefault="004165F5">
            <w:pPr>
              <w:spacing w:after="0"/>
              <w:jc w:val="both"/>
            </w:pPr>
            <w:r>
              <w:rPr>
                <w:rFonts w:ascii="Verdana" w:eastAsia="Verdana" w:hAnsi="Verdana" w:cs="Verdana"/>
                <w:b/>
                <w:color w:val="FFFFFF"/>
                <w:sz w:val="18"/>
              </w:rPr>
              <w:t>2016/17</w:t>
            </w:r>
          </w:p>
        </w:tc>
        <w:tc>
          <w:tcPr>
            <w:tcW w:w="2530"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576F87"/>
        </w:tc>
        <w:tc>
          <w:tcPr>
            <w:tcW w:w="1822"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576F87"/>
        </w:tc>
        <w:tc>
          <w:tcPr>
            <w:tcW w:w="1548"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576F87"/>
        </w:tc>
        <w:tc>
          <w:tcPr>
            <w:tcW w:w="1774"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2017/18</w:t>
            </w:r>
          </w:p>
        </w:tc>
      </w:tr>
      <w:tr w:rsidR="00576F87">
        <w:trPr>
          <w:trHeight w:val="290"/>
        </w:trPr>
        <w:tc>
          <w:tcPr>
            <w:tcW w:w="923" w:type="dxa"/>
            <w:tcBorders>
              <w:top w:val="single" w:sz="8" w:space="0" w:color="35437C"/>
              <w:left w:val="single" w:sz="8" w:space="0" w:color="35437C"/>
              <w:bottom w:val="single" w:sz="8" w:space="0" w:color="35437C"/>
              <w:right w:val="nil"/>
            </w:tcBorders>
            <w:shd w:val="clear" w:color="auto" w:fill="FFFFFF"/>
          </w:tcPr>
          <w:p w:rsidR="00576F87" w:rsidRDefault="00576F87"/>
        </w:tc>
        <w:tc>
          <w:tcPr>
            <w:tcW w:w="926" w:type="dxa"/>
            <w:tcBorders>
              <w:top w:val="single" w:sz="8" w:space="0" w:color="35437C"/>
              <w:left w:val="nil"/>
              <w:bottom w:val="single" w:sz="8" w:space="0" w:color="35437C"/>
              <w:right w:val="single" w:sz="8"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c>
          <w:tcPr>
            <w:tcW w:w="5899" w:type="dxa"/>
            <w:gridSpan w:val="3"/>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r>
      <w:tr w:rsidR="00576F87">
        <w:trPr>
          <w:trHeight w:val="290"/>
        </w:trPr>
        <w:tc>
          <w:tcPr>
            <w:tcW w:w="923" w:type="dxa"/>
            <w:tcBorders>
              <w:top w:val="single" w:sz="8" w:space="0" w:color="35437C"/>
              <w:left w:val="single" w:sz="8" w:space="0" w:color="35437C"/>
              <w:bottom w:val="single" w:sz="8" w:space="0" w:color="35437C"/>
              <w:right w:val="nil"/>
            </w:tcBorders>
            <w:shd w:val="clear" w:color="auto" w:fill="FFFFFF"/>
          </w:tcPr>
          <w:p w:rsidR="00576F87" w:rsidRDefault="00576F87"/>
        </w:tc>
        <w:tc>
          <w:tcPr>
            <w:tcW w:w="926"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5899" w:type="dxa"/>
            <w:gridSpan w:val="3"/>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r>
      <w:tr w:rsidR="00576F87">
        <w:trPr>
          <w:trHeight w:val="290"/>
        </w:trPr>
        <w:tc>
          <w:tcPr>
            <w:tcW w:w="923" w:type="dxa"/>
            <w:tcBorders>
              <w:top w:val="single" w:sz="8" w:space="0" w:color="35437C"/>
              <w:left w:val="single" w:sz="8" w:space="0" w:color="35437C"/>
              <w:bottom w:val="single" w:sz="8" w:space="0" w:color="35437C"/>
              <w:right w:val="nil"/>
            </w:tcBorders>
            <w:shd w:val="clear" w:color="auto" w:fill="FFFFFF"/>
          </w:tcPr>
          <w:p w:rsidR="00576F87" w:rsidRDefault="00576F87"/>
        </w:tc>
        <w:tc>
          <w:tcPr>
            <w:tcW w:w="926" w:type="dxa"/>
            <w:tcBorders>
              <w:top w:val="single" w:sz="8" w:space="0" w:color="35437C"/>
              <w:left w:val="nil"/>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4,309</w:t>
            </w:r>
          </w:p>
        </w:tc>
        <w:tc>
          <w:tcPr>
            <w:tcW w:w="5899" w:type="dxa"/>
            <w:gridSpan w:val="3"/>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39"/>
            </w:pPr>
            <w:r>
              <w:rPr>
                <w:rFonts w:ascii="Verdana" w:eastAsia="Verdana" w:hAnsi="Verdana" w:cs="Verdana"/>
                <w:sz w:val="18"/>
              </w:rPr>
              <w:t>Management Fee</w:t>
            </w:r>
          </w:p>
        </w:tc>
        <w:tc>
          <w:tcPr>
            <w:tcW w:w="177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3,857</w:t>
            </w:r>
          </w:p>
        </w:tc>
      </w:tr>
      <w:tr w:rsidR="00576F87">
        <w:trPr>
          <w:trHeight w:val="290"/>
        </w:trPr>
        <w:tc>
          <w:tcPr>
            <w:tcW w:w="923" w:type="dxa"/>
            <w:tcBorders>
              <w:top w:val="single" w:sz="8" w:space="0" w:color="35437C"/>
              <w:left w:val="single" w:sz="8" w:space="0" w:color="35437C"/>
              <w:bottom w:val="single" w:sz="8" w:space="0" w:color="35437C"/>
              <w:right w:val="nil"/>
            </w:tcBorders>
            <w:shd w:val="clear" w:color="auto" w:fill="FFFFFF"/>
          </w:tcPr>
          <w:p w:rsidR="00576F87" w:rsidRDefault="00576F87"/>
        </w:tc>
        <w:tc>
          <w:tcPr>
            <w:tcW w:w="926" w:type="dxa"/>
            <w:tcBorders>
              <w:top w:val="single" w:sz="8" w:space="0" w:color="35437C"/>
              <w:left w:val="nil"/>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641</w:t>
            </w:r>
          </w:p>
        </w:tc>
        <w:tc>
          <w:tcPr>
            <w:tcW w:w="5899" w:type="dxa"/>
            <w:gridSpan w:val="3"/>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39"/>
            </w:pPr>
            <w:r>
              <w:rPr>
                <w:rFonts w:ascii="Verdana" w:eastAsia="Verdana" w:hAnsi="Verdana" w:cs="Verdana"/>
                <w:sz w:val="18"/>
              </w:rPr>
              <w:t>Funded by Residual Liabilities</w:t>
            </w:r>
          </w:p>
        </w:tc>
        <w:tc>
          <w:tcPr>
            <w:tcW w:w="177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613</w:t>
            </w:r>
          </w:p>
        </w:tc>
      </w:tr>
      <w:tr w:rsidR="00576F87">
        <w:trPr>
          <w:trHeight w:val="290"/>
        </w:trPr>
        <w:tc>
          <w:tcPr>
            <w:tcW w:w="923" w:type="dxa"/>
            <w:tcBorders>
              <w:top w:val="single" w:sz="8" w:space="0" w:color="35437C"/>
              <w:left w:val="single" w:sz="8" w:space="0" w:color="35437C"/>
              <w:bottom w:val="single" w:sz="8" w:space="0" w:color="35437C"/>
              <w:right w:val="nil"/>
            </w:tcBorders>
            <w:shd w:val="clear" w:color="auto" w:fill="FFFFFF"/>
          </w:tcPr>
          <w:p w:rsidR="00576F87" w:rsidRDefault="00576F87"/>
        </w:tc>
        <w:tc>
          <w:tcPr>
            <w:tcW w:w="926"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5899" w:type="dxa"/>
            <w:gridSpan w:val="3"/>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r>
      <w:tr w:rsidR="00576F87">
        <w:trPr>
          <w:trHeight w:val="292"/>
        </w:trPr>
        <w:tc>
          <w:tcPr>
            <w:tcW w:w="923" w:type="dxa"/>
            <w:tcBorders>
              <w:top w:val="single" w:sz="8" w:space="0" w:color="35437C"/>
              <w:left w:val="single" w:sz="12" w:space="0" w:color="35437C"/>
              <w:bottom w:val="nil"/>
              <w:right w:val="nil"/>
            </w:tcBorders>
            <w:shd w:val="clear" w:color="auto" w:fill="35437C"/>
          </w:tcPr>
          <w:p w:rsidR="00576F87" w:rsidRDefault="00576F87"/>
        </w:tc>
        <w:tc>
          <w:tcPr>
            <w:tcW w:w="926" w:type="dxa"/>
            <w:tcBorders>
              <w:top w:val="single" w:sz="8" w:space="0" w:color="35437C"/>
              <w:left w:val="nil"/>
              <w:bottom w:val="nil"/>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4,950</w:t>
            </w:r>
          </w:p>
        </w:tc>
        <w:tc>
          <w:tcPr>
            <w:tcW w:w="2530" w:type="dxa"/>
            <w:tcBorders>
              <w:top w:val="single" w:sz="8" w:space="0" w:color="35437C"/>
              <w:left w:val="single" w:sz="15" w:space="0" w:color="35437C"/>
              <w:bottom w:val="nil"/>
              <w:right w:val="single" w:sz="15" w:space="0" w:color="35437C"/>
            </w:tcBorders>
            <w:shd w:val="clear" w:color="auto" w:fill="35437C"/>
          </w:tcPr>
          <w:p w:rsidR="00576F87" w:rsidRDefault="00576F87"/>
        </w:tc>
        <w:tc>
          <w:tcPr>
            <w:tcW w:w="1822" w:type="dxa"/>
            <w:tcBorders>
              <w:top w:val="single" w:sz="8" w:space="0" w:color="35437C"/>
              <w:left w:val="single" w:sz="15" w:space="0" w:color="35437C"/>
              <w:bottom w:val="nil"/>
              <w:right w:val="single" w:sz="15" w:space="0" w:color="35437C"/>
            </w:tcBorders>
            <w:shd w:val="clear" w:color="auto" w:fill="35437C"/>
          </w:tcPr>
          <w:p w:rsidR="00576F87" w:rsidRDefault="00576F87"/>
        </w:tc>
        <w:tc>
          <w:tcPr>
            <w:tcW w:w="1548" w:type="dxa"/>
            <w:tcBorders>
              <w:top w:val="single" w:sz="8" w:space="0" w:color="35437C"/>
              <w:left w:val="single" w:sz="15" w:space="0" w:color="35437C"/>
              <w:bottom w:val="nil"/>
              <w:right w:val="single" w:sz="15" w:space="0" w:color="35437C"/>
            </w:tcBorders>
            <w:shd w:val="clear" w:color="auto" w:fill="35437C"/>
          </w:tcPr>
          <w:p w:rsidR="00576F87" w:rsidRDefault="00576F87"/>
        </w:tc>
        <w:tc>
          <w:tcPr>
            <w:tcW w:w="1774" w:type="dxa"/>
            <w:tcBorders>
              <w:top w:val="single" w:sz="8" w:space="0" w:color="35437C"/>
              <w:left w:val="single" w:sz="15" w:space="0" w:color="35437C"/>
              <w:bottom w:val="nil"/>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4,470</w:t>
            </w:r>
          </w:p>
        </w:tc>
      </w:tr>
      <w:tr w:rsidR="00576F87">
        <w:trPr>
          <w:trHeight w:val="956"/>
        </w:trPr>
        <w:tc>
          <w:tcPr>
            <w:tcW w:w="923" w:type="dxa"/>
            <w:tcBorders>
              <w:top w:val="nil"/>
              <w:left w:val="nil"/>
              <w:bottom w:val="single" w:sz="15" w:space="0" w:color="35437C"/>
              <w:right w:val="nil"/>
            </w:tcBorders>
            <w:shd w:val="clear" w:color="auto" w:fill="FFFFFF"/>
            <w:vAlign w:val="bottom"/>
          </w:tcPr>
          <w:p w:rsidR="00576F87" w:rsidRDefault="004165F5">
            <w:pPr>
              <w:spacing w:after="0"/>
              <w:ind w:left="42"/>
            </w:pPr>
            <w:r>
              <w:rPr>
                <w:b/>
                <w:sz w:val="28"/>
              </w:rPr>
              <w:t>6</w:t>
            </w:r>
          </w:p>
        </w:tc>
        <w:tc>
          <w:tcPr>
            <w:tcW w:w="8599" w:type="dxa"/>
            <w:gridSpan w:val="5"/>
            <w:tcBorders>
              <w:top w:val="nil"/>
              <w:left w:val="nil"/>
              <w:bottom w:val="single" w:sz="15" w:space="0" w:color="35437C"/>
              <w:right w:val="nil"/>
            </w:tcBorders>
            <w:shd w:val="clear" w:color="auto" w:fill="FFFFFF"/>
            <w:vAlign w:val="bottom"/>
          </w:tcPr>
          <w:p w:rsidR="00576F87" w:rsidRDefault="004165F5">
            <w:pPr>
              <w:spacing w:after="0"/>
              <w:ind w:left="982"/>
            </w:pPr>
            <w:r>
              <w:rPr>
                <w:rFonts w:ascii="Verdana" w:eastAsia="Verdana" w:hAnsi="Verdana" w:cs="Verdana"/>
                <w:sz w:val="28"/>
              </w:rPr>
              <w:t>Other Income</w:t>
            </w:r>
          </w:p>
        </w:tc>
      </w:tr>
      <w:tr w:rsidR="00576F87">
        <w:trPr>
          <w:trHeight w:val="235"/>
        </w:trPr>
        <w:tc>
          <w:tcPr>
            <w:tcW w:w="923" w:type="dxa"/>
            <w:tcBorders>
              <w:top w:val="single" w:sz="15" w:space="0" w:color="35437C"/>
              <w:left w:val="single" w:sz="12" w:space="0" w:color="35437C"/>
              <w:bottom w:val="single" w:sz="8" w:space="0" w:color="003399"/>
              <w:right w:val="nil"/>
            </w:tcBorders>
            <w:shd w:val="clear" w:color="auto" w:fill="35437C"/>
          </w:tcPr>
          <w:p w:rsidR="00576F87" w:rsidRDefault="00576F87"/>
        </w:tc>
        <w:tc>
          <w:tcPr>
            <w:tcW w:w="926" w:type="dxa"/>
            <w:tcBorders>
              <w:top w:val="single" w:sz="15" w:space="0" w:color="35437C"/>
              <w:left w:val="nil"/>
              <w:bottom w:val="single" w:sz="8" w:space="0" w:color="003399"/>
              <w:right w:val="single" w:sz="15" w:space="0" w:color="35437C"/>
            </w:tcBorders>
            <w:shd w:val="clear" w:color="auto" w:fill="35437C"/>
          </w:tcPr>
          <w:p w:rsidR="00576F87" w:rsidRDefault="00576F87"/>
        </w:tc>
        <w:tc>
          <w:tcPr>
            <w:tcW w:w="2530" w:type="dxa"/>
            <w:tcBorders>
              <w:top w:val="single" w:sz="15" w:space="0" w:color="35437C"/>
              <w:left w:val="single" w:sz="15" w:space="0" w:color="35437C"/>
              <w:bottom w:val="single" w:sz="8" w:space="0" w:color="003399"/>
              <w:right w:val="single" w:sz="15" w:space="0" w:color="35437C"/>
            </w:tcBorders>
            <w:shd w:val="clear" w:color="auto" w:fill="35437C"/>
          </w:tcPr>
          <w:p w:rsidR="00576F87" w:rsidRDefault="00576F87"/>
        </w:tc>
        <w:tc>
          <w:tcPr>
            <w:tcW w:w="1822" w:type="dxa"/>
            <w:tcBorders>
              <w:top w:val="single" w:sz="15" w:space="0" w:color="35437C"/>
              <w:left w:val="single" w:sz="15" w:space="0" w:color="35437C"/>
              <w:bottom w:val="single" w:sz="8" w:space="0" w:color="003399"/>
              <w:right w:val="single" w:sz="15" w:space="0" w:color="35437C"/>
            </w:tcBorders>
            <w:shd w:val="clear" w:color="auto" w:fill="35437C"/>
          </w:tcPr>
          <w:p w:rsidR="00576F87" w:rsidRDefault="00576F87"/>
        </w:tc>
        <w:tc>
          <w:tcPr>
            <w:tcW w:w="1548" w:type="dxa"/>
            <w:tcBorders>
              <w:top w:val="single" w:sz="15" w:space="0" w:color="35437C"/>
              <w:left w:val="single" w:sz="15" w:space="0" w:color="35437C"/>
              <w:bottom w:val="single" w:sz="8" w:space="0" w:color="003399"/>
              <w:right w:val="single" w:sz="15" w:space="0" w:color="35437C"/>
            </w:tcBorders>
            <w:shd w:val="clear" w:color="auto" w:fill="35437C"/>
          </w:tcPr>
          <w:p w:rsidR="00576F87" w:rsidRDefault="00576F87"/>
        </w:tc>
        <w:tc>
          <w:tcPr>
            <w:tcW w:w="1774" w:type="dxa"/>
            <w:tcBorders>
              <w:top w:val="single" w:sz="15" w:space="0" w:color="35437C"/>
              <w:left w:val="single" w:sz="15" w:space="0" w:color="35437C"/>
              <w:bottom w:val="single" w:sz="8" w:space="0" w:color="003399"/>
              <w:right w:val="single" w:sz="15" w:space="0" w:color="35437C"/>
            </w:tcBorders>
            <w:shd w:val="clear" w:color="auto" w:fill="35437C"/>
          </w:tcPr>
          <w:p w:rsidR="00576F87" w:rsidRDefault="00576F87"/>
        </w:tc>
      </w:tr>
      <w:tr w:rsidR="00576F87">
        <w:trPr>
          <w:trHeight w:val="290"/>
        </w:trPr>
        <w:tc>
          <w:tcPr>
            <w:tcW w:w="923" w:type="dxa"/>
            <w:tcBorders>
              <w:top w:val="single" w:sz="8" w:space="0" w:color="003399"/>
              <w:left w:val="single" w:sz="8" w:space="0" w:color="003399"/>
              <w:bottom w:val="single" w:sz="8" w:space="0" w:color="003399"/>
              <w:right w:val="nil"/>
            </w:tcBorders>
            <w:shd w:val="clear" w:color="auto" w:fill="FFFFFF"/>
          </w:tcPr>
          <w:p w:rsidR="00576F87" w:rsidRDefault="00576F87"/>
        </w:tc>
        <w:tc>
          <w:tcPr>
            <w:tcW w:w="926" w:type="dxa"/>
            <w:tcBorders>
              <w:top w:val="single" w:sz="8" w:space="0" w:color="003399"/>
              <w:left w:val="nil"/>
              <w:bottom w:val="single" w:sz="8" w:space="0" w:color="003399"/>
              <w:right w:val="single" w:sz="8" w:space="0" w:color="003399"/>
            </w:tcBorders>
            <w:shd w:val="clear" w:color="auto" w:fill="FFFFFF"/>
          </w:tcPr>
          <w:p w:rsidR="00576F87" w:rsidRDefault="004165F5">
            <w:pPr>
              <w:spacing w:after="0"/>
              <w:ind w:right="5"/>
              <w:jc w:val="right"/>
            </w:pPr>
            <w:r>
              <w:rPr>
                <w:rFonts w:ascii="Verdana" w:eastAsia="Verdana" w:hAnsi="Verdana" w:cs="Verdana"/>
                <w:b/>
                <w:sz w:val="18"/>
              </w:rPr>
              <w:t>£'000</w:t>
            </w:r>
          </w:p>
        </w:tc>
        <w:tc>
          <w:tcPr>
            <w:tcW w:w="5899" w:type="dxa"/>
            <w:gridSpan w:val="3"/>
            <w:tcBorders>
              <w:top w:val="single" w:sz="8" w:space="0" w:color="003399"/>
              <w:left w:val="single" w:sz="8" w:space="0" w:color="003399"/>
              <w:bottom w:val="single" w:sz="8" w:space="0" w:color="003399"/>
              <w:right w:val="single" w:sz="8" w:space="0" w:color="003399"/>
            </w:tcBorders>
            <w:shd w:val="clear" w:color="auto" w:fill="FFFFFF"/>
          </w:tcPr>
          <w:p w:rsidR="00576F87" w:rsidRDefault="00576F87"/>
        </w:tc>
        <w:tc>
          <w:tcPr>
            <w:tcW w:w="1774" w:type="dxa"/>
            <w:tcBorders>
              <w:top w:val="single" w:sz="8" w:space="0" w:color="003399"/>
              <w:left w:val="single" w:sz="8" w:space="0" w:color="003399"/>
              <w:bottom w:val="single" w:sz="8" w:space="0" w:color="002776"/>
              <w:right w:val="single" w:sz="8" w:space="0" w:color="003399"/>
            </w:tcBorders>
            <w:shd w:val="clear" w:color="auto" w:fill="FFFFFF"/>
          </w:tcPr>
          <w:p w:rsidR="00576F87" w:rsidRDefault="004165F5">
            <w:pPr>
              <w:spacing w:after="0"/>
              <w:ind w:right="5"/>
              <w:jc w:val="right"/>
            </w:pPr>
            <w:r>
              <w:rPr>
                <w:rFonts w:ascii="Verdana" w:eastAsia="Verdana" w:hAnsi="Verdana" w:cs="Verdana"/>
                <w:b/>
                <w:sz w:val="18"/>
              </w:rPr>
              <w:t>£'000</w:t>
            </w:r>
          </w:p>
        </w:tc>
      </w:tr>
      <w:tr w:rsidR="00576F87">
        <w:trPr>
          <w:trHeight w:val="290"/>
        </w:trPr>
        <w:tc>
          <w:tcPr>
            <w:tcW w:w="923" w:type="dxa"/>
            <w:tcBorders>
              <w:top w:val="single" w:sz="8" w:space="0" w:color="003399"/>
              <w:left w:val="single" w:sz="8" w:space="0" w:color="003399"/>
              <w:bottom w:val="single" w:sz="8" w:space="0" w:color="003399"/>
              <w:right w:val="nil"/>
            </w:tcBorders>
            <w:shd w:val="clear" w:color="auto" w:fill="FFFFFF"/>
          </w:tcPr>
          <w:p w:rsidR="00576F87" w:rsidRDefault="00576F87"/>
        </w:tc>
        <w:tc>
          <w:tcPr>
            <w:tcW w:w="926" w:type="dxa"/>
            <w:tcBorders>
              <w:top w:val="single" w:sz="8" w:space="0" w:color="003399"/>
              <w:left w:val="nil"/>
              <w:bottom w:val="single" w:sz="8" w:space="0" w:color="003399"/>
              <w:right w:val="single" w:sz="8" w:space="0" w:color="003399"/>
            </w:tcBorders>
            <w:shd w:val="clear" w:color="auto" w:fill="FFFFFF"/>
          </w:tcPr>
          <w:p w:rsidR="00576F87" w:rsidRDefault="004165F5">
            <w:pPr>
              <w:spacing w:after="0"/>
              <w:ind w:right="1"/>
              <w:jc w:val="right"/>
            </w:pPr>
            <w:r>
              <w:rPr>
                <w:rFonts w:ascii="Verdana" w:eastAsia="Verdana" w:hAnsi="Verdana" w:cs="Verdana"/>
                <w:sz w:val="18"/>
              </w:rPr>
              <w:t>702</w:t>
            </w:r>
          </w:p>
        </w:tc>
        <w:tc>
          <w:tcPr>
            <w:tcW w:w="5899" w:type="dxa"/>
            <w:gridSpan w:val="3"/>
            <w:tcBorders>
              <w:top w:val="single" w:sz="8" w:space="0" w:color="003399"/>
              <w:left w:val="single" w:sz="8" w:space="0" w:color="003399"/>
              <w:bottom w:val="single" w:sz="8" w:space="0" w:color="003399"/>
              <w:right w:val="single" w:sz="8" w:space="0" w:color="002776"/>
            </w:tcBorders>
            <w:shd w:val="clear" w:color="auto" w:fill="FFFFFF"/>
          </w:tcPr>
          <w:p w:rsidR="00576F87" w:rsidRDefault="004165F5">
            <w:pPr>
              <w:spacing w:after="0"/>
              <w:ind w:left="39"/>
            </w:pPr>
            <w:r>
              <w:rPr>
                <w:rFonts w:ascii="Verdana" w:eastAsia="Verdana" w:hAnsi="Verdana" w:cs="Verdana"/>
                <w:sz w:val="18"/>
              </w:rPr>
              <w:t>Agency work</w:t>
            </w:r>
          </w:p>
        </w:tc>
        <w:tc>
          <w:tcPr>
            <w:tcW w:w="1774" w:type="dxa"/>
            <w:tcBorders>
              <w:top w:val="single" w:sz="8" w:space="0" w:color="002776"/>
              <w:left w:val="single" w:sz="8" w:space="0" w:color="002776"/>
              <w:bottom w:val="single" w:sz="8" w:space="0" w:color="002776"/>
              <w:right w:val="single" w:sz="8" w:space="0" w:color="002776"/>
            </w:tcBorders>
            <w:shd w:val="clear" w:color="auto" w:fill="FFFFFF"/>
          </w:tcPr>
          <w:p w:rsidR="00576F87" w:rsidRDefault="004165F5">
            <w:pPr>
              <w:spacing w:after="0"/>
              <w:ind w:right="1"/>
              <w:jc w:val="right"/>
            </w:pPr>
            <w:r>
              <w:rPr>
                <w:rFonts w:ascii="Verdana" w:eastAsia="Verdana" w:hAnsi="Verdana" w:cs="Verdana"/>
                <w:sz w:val="18"/>
              </w:rPr>
              <w:t>136</w:t>
            </w:r>
          </w:p>
        </w:tc>
      </w:tr>
      <w:tr w:rsidR="00576F87">
        <w:trPr>
          <w:trHeight w:val="290"/>
        </w:trPr>
        <w:tc>
          <w:tcPr>
            <w:tcW w:w="923" w:type="dxa"/>
            <w:tcBorders>
              <w:top w:val="single" w:sz="8" w:space="0" w:color="003399"/>
              <w:left w:val="single" w:sz="8" w:space="0" w:color="003399"/>
              <w:bottom w:val="single" w:sz="8" w:space="0" w:color="003399"/>
              <w:right w:val="nil"/>
            </w:tcBorders>
            <w:shd w:val="clear" w:color="auto" w:fill="FFFFFF"/>
          </w:tcPr>
          <w:p w:rsidR="00576F87" w:rsidRDefault="00576F87"/>
        </w:tc>
        <w:tc>
          <w:tcPr>
            <w:tcW w:w="926" w:type="dxa"/>
            <w:tcBorders>
              <w:top w:val="single" w:sz="8" w:space="0" w:color="003399"/>
              <w:left w:val="nil"/>
              <w:bottom w:val="single" w:sz="8" w:space="0" w:color="003399"/>
              <w:right w:val="single" w:sz="8" w:space="0" w:color="003399"/>
            </w:tcBorders>
            <w:shd w:val="clear" w:color="auto" w:fill="FFFFFF"/>
          </w:tcPr>
          <w:p w:rsidR="00576F87" w:rsidRDefault="004165F5">
            <w:pPr>
              <w:spacing w:after="0"/>
              <w:ind w:right="2"/>
              <w:jc w:val="right"/>
            </w:pPr>
            <w:r>
              <w:rPr>
                <w:rFonts w:ascii="Verdana" w:eastAsia="Verdana" w:hAnsi="Verdana" w:cs="Verdana"/>
                <w:sz w:val="18"/>
              </w:rPr>
              <w:t>1</w:t>
            </w:r>
          </w:p>
        </w:tc>
        <w:tc>
          <w:tcPr>
            <w:tcW w:w="5899" w:type="dxa"/>
            <w:gridSpan w:val="3"/>
            <w:tcBorders>
              <w:top w:val="single" w:sz="8" w:space="0" w:color="003399"/>
              <w:left w:val="single" w:sz="8" w:space="0" w:color="003399"/>
              <w:bottom w:val="single" w:sz="8" w:space="0" w:color="003399"/>
              <w:right w:val="single" w:sz="8" w:space="0" w:color="002776"/>
            </w:tcBorders>
            <w:shd w:val="clear" w:color="auto" w:fill="FFFFFF"/>
          </w:tcPr>
          <w:p w:rsidR="00576F87" w:rsidRDefault="004165F5">
            <w:pPr>
              <w:spacing w:after="0"/>
              <w:ind w:left="38"/>
            </w:pPr>
            <w:r>
              <w:rPr>
                <w:rFonts w:ascii="Verdana" w:eastAsia="Verdana" w:hAnsi="Verdana" w:cs="Verdana"/>
                <w:sz w:val="18"/>
              </w:rPr>
              <w:t>Divorce case charges</w:t>
            </w:r>
          </w:p>
        </w:tc>
        <w:tc>
          <w:tcPr>
            <w:tcW w:w="1774" w:type="dxa"/>
            <w:tcBorders>
              <w:top w:val="single" w:sz="8" w:space="0" w:color="002776"/>
              <w:left w:val="single" w:sz="8" w:space="0" w:color="002776"/>
              <w:bottom w:val="single" w:sz="8" w:space="0" w:color="002776"/>
              <w:right w:val="single" w:sz="8" w:space="0" w:color="002776"/>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923" w:type="dxa"/>
            <w:tcBorders>
              <w:top w:val="single" w:sz="8" w:space="0" w:color="003399"/>
              <w:left w:val="single" w:sz="8" w:space="0" w:color="003399"/>
              <w:bottom w:val="single" w:sz="8" w:space="0" w:color="003399"/>
              <w:right w:val="nil"/>
            </w:tcBorders>
            <w:shd w:val="clear" w:color="auto" w:fill="FFFFFF"/>
          </w:tcPr>
          <w:p w:rsidR="00576F87" w:rsidRDefault="00576F87"/>
        </w:tc>
        <w:tc>
          <w:tcPr>
            <w:tcW w:w="926" w:type="dxa"/>
            <w:tcBorders>
              <w:top w:val="single" w:sz="8" w:space="0" w:color="003399"/>
              <w:left w:val="nil"/>
              <w:bottom w:val="single" w:sz="8" w:space="0" w:color="003399"/>
              <w:right w:val="single" w:sz="8" w:space="0" w:color="003399"/>
            </w:tcBorders>
            <w:shd w:val="clear" w:color="auto" w:fill="FFFFFF"/>
          </w:tcPr>
          <w:p w:rsidR="00576F87" w:rsidRDefault="004165F5">
            <w:pPr>
              <w:spacing w:after="0"/>
              <w:ind w:right="2"/>
              <w:jc w:val="right"/>
            </w:pPr>
            <w:r>
              <w:rPr>
                <w:rFonts w:ascii="Verdana" w:eastAsia="Verdana" w:hAnsi="Verdana" w:cs="Verdana"/>
                <w:sz w:val="18"/>
              </w:rPr>
              <w:t>5</w:t>
            </w:r>
          </w:p>
        </w:tc>
        <w:tc>
          <w:tcPr>
            <w:tcW w:w="5899" w:type="dxa"/>
            <w:gridSpan w:val="3"/>
            <w:tcBorders>
              <w:top w:val="single" w:sz="8" w:space="0" w:color="003399"/>
              <w:left w:val="single" w:sz="8" w:space="0" w:color="003399"/>
              <w:bottom w:val="single" w:sz="8" w:space="0" w:color="003399"/>
              <w:right w:val="single" w:sz="8" w:space="0" w:color="003399"/>
            </w:tcBorders>
            <w:shd w:val="clear" w:color="auto" w:fill="FFFFFF"/>
          </w:tcPr>
          <w:p w:rsidR="00576F87" w:rsidRDefault="004165F5">
            <w:pPr>
              <w:spacing w:after="0"/>
              <w:ind w:left="38"/>
            </w:pPr>
            <w:r>
              <w:rPr>
                <w:rFonts w:ascii="Verdana" w:eastAsia="Verdana" w:hAnsi="Verdana" w:cs="Verdana"/>
                <w:sz w:val="18"/>
              </w:rPr>
              <w:t>Bank interest</w:t>
            </w:r>
          </w:p>
        </w:tc>
        <w:tc>
          <w:tcPr>
            <w:tcW w:w="1774" w:type="dxa"/>
            <w:tcBorders>
              <w:top w:val="single" w:sz="8" w:space="0" w:color="002776"/>
              <w:left w:val="single" w:sz="8" w:space="0" w:color="003399"/>
              <w:bottom w:val="single" w:sz="8" w:space="0" w:color="002776"/>
              <w:right w:val="single" w:sz="8" w:space="0" w:color="003399"/>
            </w:tcBorders>
            <w:shd w:val="clear" w:color="auto" w:fill="FFFFFF"/>
          </w:tcPr>
          <w:p w:rsidR="00576F87" w:rsidRDefault="004165F5">
            <w:pPr>
              <w:spacing w:after="0"/>
              <w:ind w:right="1"/>
              <w:jc w:val="right"/>
            </w:pPr>
            <w:r>
              <w:rPr>
                <w:rFonts w:ascii="Verdana" w:eastAsia="Verdana" w:hAnsi="Verdana" w:cs="Verdana"/>
                <w:sz w:val="18"/>
              </w:rPr>
              <w:t>50</w:t>
            </w:r>
          </w:p>
        </w:tc>
      </w:tr>
      <w:tr w:rsidR="00576F87">
        <w:trPr>
          <w:trHeight w:val="290"/>
        </w:trPr>
        <w:tc>
          <w:tcPr>
            <w:tcW w:w="923" w:type="dxa"/>
            <w:tcBorders>
              <w:top w:val="single" w:sz="8" w:space="0" w:color="003399"/>
              <w:left w:val="single" w:sz="8" w:space="0" w:color="003399"/>
              <w:bottom w:val="single" w:sz="8" w:space="0" w:color="003399"/>
              <w:right w:val="nil"/>
            </w:tcBorders>
          </w:tcPr>
          <w:p w:rsidR="00576F87" w:rsidRDefault="00576F87"/>
        </w:tc>
        <w:tc>
          <w:tcPr>
            <w:tcW w:w="926" w:type="dxa"/>
            <w:tcBorders>
              <w:top w:val="single" w:sz="8" w:space="0" w:color="003399"/>
              <w:left w:val="nil"/>
              <w:bottom w:val="single" w:sz="8" w:space="0" w:color="003399"/>
              <w:right w:val="single" w:sz="8" w:space="0" w:color="003399"/>
            </w:tcBorders>
          </w:tcPr>
          <w:p w:rsidR="00576F87" w:rsidRDefault="004165F5">
            <w:pPr>
              <w:spacing w:after="0"/>
              <w:ind w:right="1"/>
              <w:jc w:val="right"/>
            </w:pPr>
            <w:r>
              <w:rPr>
                <w:rFonts w:ascii="Verdana" w:eastAsia="Verdana" w:hAnsi="Verdana" w:cs="Verdana"/>
                <w:sz w:val="18"/>
              </w:rPr>
              <w:t>(1)</w:t>
            </w:r>
          </w:p>
        </w:tc>
        <w:tc>
          <w:tcPr>
            <w:tcW w:w="5899" w:type="dxa"/>
            <w:gridSpan w:val="3"/>
            <w:tcBorders>
              <w:top w:val="single" w:sz="8" w:space="0" w:color="003399"/>
              <w:left w:val="single" w:sz="8" w:space="0" w:color="003399"/>
              <w:bottom w:val="single" w:sz="8" w:space="0" w:color="003399"/>
              <w:right w:val="single" w:sz="8" w:space="0" w:color="002776"/>
            </w:tcBorders>
          </w:tcPr>
          <w:p w:rsidR="00576F87" w:rsidRDefault="004165F5">
            <w:pPr>
              <w:spacing w:after="0"/>
              <w:ind w:left="38"/>
            </w:pPr>
            <w:r>
              <w:rPr>
                <w:rFonts w:ascii="Verdana" w:eastAsia="Verdana" w:hAnsi="Verdana" w:cs="Verdana"/>
                <w:sz w:val="18"/>
              </w:rPr>
              <w:t>Value added business</w:t>
            </w:r>
          </w:p>
        </w:tc>
        <w:tc>
          <w:tcPr>
            <w:tcW w:w="1774" w:type="dxa"/>
            <w:tcBorders>
              <w:top w:val="single" w:sz="8" w:space="0" w:color="002776"/>
              <w:left w:val="single" w:sz="8" w:space="0" w:color="002776"/>
              <w:bottom w:val="single" w:sz="8" w:space="0" w:color="002776"/>
              <w:right w:val="single" w:sz="8" w:space="0" w:color="002776"/>
            </w:tcBorders>
          </w:tcPr>
          <w:p w:rsidR="00576F87" w:rsidRDefault="004165F5">
            <w:pPr>
              <w:spacing w:after="0"/>
              <w:ind w:right="1"/>
              <w:jc w:val="right"/>
            </w:pPr>
            <w:r>
              <w:rPr>
                <w:rFonts w:ascii="Verdana" w:eastAsia="Verdana" w:hAnsi="Verdana" w:cs="Verdana"/>
                <w:sz w:val="18"/>
              </w:rPr>
              <w:t>-</w:t>
            </w:r>
          </w:p>
        </w:tc>
      </w:tr>
      <w:tr w:rsidR="00576F87">
        <w:trPr>
          <w:trHeight w:val="290"/>
        </w:trPr>
        <w:tc>
          <w:tcPr>
            <w:tcW w:w="923" w:type="dxa"/>
            <w:tcBorders>
              <w:top w:val="single" w:sz="8" w:space="0" w:color="003399"/>
              <w:left w:val="single" w:sz="8" w:space="0" w:color="003399"/>
              <w:bottom w:val="single" w:sz="8" w:space="0" w:color="003399"/>
              <w:right w:val="nil"/>
            </w:tcBorders>
          </w:tcPr>
          <w:p w:rsidR="00576F87" w:rsidRDefault="00576F87"/>
        </w:tc>
        <w:tc>
          <w:tcPr>
            <w:tcW w:w="926" w:type="dxa"/>
            <w:tcBorders>
              <w:top w:val="single" w:sz="8" w:space="0" w:color="003399"/>
              <w:left w:val="nil"/>
              <w:bottom w:val="single" w:sz="8" w:space="0" w:color="003399"/>
              <w:right w:val="single" w:sz="8" w:space="0" w:color="003399"/>
            </w:tcBorders>
          </w:tcPr>
          <w:p w:rsidR="00576F87" w:rsidRDefault="004165F5">
            <w:pPr>
              <w:spacing w:after="0"/>
              <w:ind w:right="1"/>
              <w:jc w:val="right"/>
            </w:pPr>
            <w:r>
              <w:rPr>
                <w:rFonts w:ascii="Verdana" w:eastAsia="Verdana" w:hAnsi="Verdana" w:cs="Verdana"/>
                <w:sz w:val="18"/>
              </w:rPr>
              <w:t>639</w:t>
            </w:r>
          </w:p>
        </w:tc>
        <w:tc>
          <w:tcPr>
            <w:tcW w:w="5899" w:type="dxa"/>
            <w:gridSpan w:val="3"/>
            <w:tcBorders>
              <w:top w:val="single" w:sz="8" w:space="0" w:color="003399"/>
              <w:left w:val="single" w:sz="8" w:space="0" w:color="003399"/>
              <w:bottom w:val="single" w:sz="8" w:space="0" w:color="003399"/>
              <w:right w:val="single" w:sz="8" w:space="0" w:color="002776"/>
            </w:tcBorders>
          </w:tcPr>
          <w:p w:rsidR="00576F87" w:rsidRDefault="004165F5">
            <w:pPr>
              <w:spacing w:after="0"/>
              <w:ind w:left="39"/>
            </w:pPr>
            <w:r>
              <w:rPr>
                <w:rFonts w:ascii="Verdana" w:eastAsia="Verdana" w:hAnsi="Verdana" w:cs="Verdana"/>
                <w:sz w:val="18"/>
              </w:rPr>
              <w:t>Recharge of costs paid on behalf of LPP</w:t>
            </w:r>
          </w:p>
        </w:tc>
        <w:tc>
          <w:tcPr>
            <w:tcW w:w="1774" w:type="dxa"/>
            <w:tcBorders>
              <w:top w:val="single" w:sz="8" w:space="0" w:color="002776"/>
              <w:left w:val="single" w:sz="8" w:space="0" w:color="002776"/>
              <w:bottom w:val="single" w:sz="8" w:space="0" w:color="002776"/>
              <w:right w:val="single" w:sz="8" w:space="0" w:color="002776"/>
            </w:tcBorders>
          </w:tcPr>
          <w:p w:rsidR="00576F87" w:rsidRDefault="004165F5">
            <w:pPr>
              <w:spacing w:after="0"/>
              <w:ind w:right="1"/>
              <w:jc w:val="right"/>
            </w:pPr>
            <w:r>
              <w:rPr>
                <w:rFonts w:ascii="Verdana" w:eastAsia="Verdana" w:hAnsi="Verdana" w:cs="Verdana"/>
                <w:sz w:val="18"/>
              </w:rPr>
              <w:t>-</w:t>
            </w:r>
          </w:p>
        </w:tc>
      </w:tr>
      <w:tr w:rsidR="00576F87">
        <w:trPr>
          <w:trHeight w:val="290"/>
        </w:trPr>
        <w:tc>
          <w:tcPr>
            <w:tcW w:w="923" w:type="dxa"/>
            <w:tcBorders>
              <w:top w:val="single" w:sz="8" w:space="0" w:color="003399"/>
              <w:left w:val="single" w:sz="8" w:space="0" w:color="003399"/>
              <w:bottom w:val="single" w:sz="8" w:space="0" w:color="003399"/>
              <w:right w:val="nil"/>
            </w:tcBorders>
          </w:tcPr>
          <w:p w:rsidR="00576F87" w:rsidRDefault="00576F87"/>
        </w:tc>
        <w:tc>
          <w:tcPr>
            <w:tcW w:w="926" w:type="dxa"/>
            <w:tcBorders>
              <w:top w:val="single" w:sz="8" w:space="0" w:color="003399"/>
              <w:left w:val="nil"/>
              <w:bottom w:val="single" w:sz="8" w:space="0" w:color="003399"/>
              <w:right w:val="single" w:sz="8" w:space="0" w:color="003399"/>
            </w:tcBorders>
          </w:tcPr>
          <w:p w:rsidR="00576F87" w:rsidRDefault="004165F5">
            <w:pPr>
              <w:spacing w:after="0"/>
              <w:ind w:right="1"/>
              <w:jc w:val="right"/>
            </w:pPr>
            <w:r>
              <w:rPr>
                <w:rFonts w:ascii="Verdana" w:eastAsia="Verdana" w:hAnsi="Verdana" w:cs="Verdana"/>
                <w:sz w:val="18"/>
              </w:rPr>
              <w:t>158</w:t>
            </w:r>
          </w:p>
        </w:tc>
        <w:tc>
          <w:tcPr>
            <w:tcW w:w="5899" w:type="dxa"/>
            <w:gridSpan w:val="3"/>
            <w:tcBorders>
              <w:top w:val="single" w:sz="8" w:space="0" w:color="003399"/>
              <w:left w:val="single" w:sz="8" w:space="0" w:color="003399"/>
              <w:bottom w:val="single" w:sz="8" w:space="0" w:color="003399"/>
              <w:right w:val="single" w:sz="8" w:space="0" w:color="003399"/>
            </w:tcBorders>
          </w:tcPr>
          <w:p w:rsidR="00576F87" w:rsidRDefault="004165F5">
            <w:pPr>
              <w:spacing w:after="0"/>
              <w:ind w:left="39"/>
            </w:pPr>
            <w:r>
              <w:rPr>
                <w:rFonts w:ascii="Verdana" w:eastAsia="Verdana" w:hAnsi="Verdana" w:cs="Verdana"/>
                <w:sz w:val="18"/>
              </w:rPr>
              <w:t>Other fees and charges</w:t>
            </w:r>
          </w:p>
        </w:tc>
        <w:tc>
          <w:tcPr>
            <w:tcW w:w="1774" w:type="dxa"/>
            <w:tcBorders>
              <w:top w:val="single" w:sz="8" w:space="0" w:color="002776"/>
              <w:left w:val="single" w:sz="8" w:space="0" w:color="003399"/>
              <w:bottom w:val="single" w:sz="8" w:space="0" w:color="003399"/>
              <w:right w:val="single" w:sz="8" w:space="0" w:color="003399"/>
            </w:tcBorders>
          </w:tcPr>
          <w:p w:rsidR="00576F87" w:rsidRDefault="004165F5">
            <w:pPr>
              <w:spacing w:after="0"/>
              <w:ind w:right="1"/>
              <w:jc w:val="right"/>
            </w:pPr>
            <w:r>
              <w:rPr>
                <w:rFonts w:ascii="Verdana" w:eastAsia="Verdana" w:hAnsi="Verdana" w:cs="Verdana"/>
                <w:sz w:val="18"/>
              </w:rPr>
              <w:t>151</w:t>
            </w:r>
          </w:p>
        </w:tc>
      </w:tr>
      <w:tr w:rsidR="00576F87">
        <w:trPr>
          <w:trHeight w:val="290"/>
        </w:trPr>
        <w:tc>
          <w:tcPr>
            <w:tcW w:w="923" w:type="dxa"/>
            <w:tcBorders>
              <w:top w:val="single" w:sz="8" w:space="0" w:color="003399"/>
              <w:left w:val="single" w:sz="8" w:space="0" w:color="003399"/>
              <w:bottom w:val="single" w:sz="8" w:space="0" w:color="003399"/>
              <w:right w:val="nil"/>
            </w:tcBorders>
          </w:tcPr>
          <w:p w:rsidR="00576F87" w:rsidRDefault="00576F87"/>
        </w:tc>
        <w:tc>
          <w:tcPr>
            <w:tcW w:w="926" w:type="dxa"/>
            <w:tcBorders>
              <w:top w:val="single" w:sz="8" w:space="0" w:color="003399"/>
              <w:left w:val="nil"/>
              <w:bottom w:val="single" w:sz="8" w:space="0" w:color="003399"/>
              <w:right w:val="single" w:sz="8" w:space="0" w:color="003399"/>
            </w:tcBorders>
          </w:tcPr>
          <w:p w:rsidR="00576F87" w:rsidRDefault="004165F5">
            <w:pPr>
              <w:spacing w:after="0"/>
              <w:ind w:right="1"/>
              <w:jc w:val="right"/>
            </w:pPr>
            <w:r>
              <w:rPr>
                <w:rFonts w:ascii="Verdana" w:eastAsia="Verdana" w:hAnsi="Verdana" w:cs="Verdana"/>
                <w:sz w:val="18"/>
              </w:rPr>
              <w:t>175</w:t>
            </w:r>
          </w:p>
        </w:tc>
        <w:tc>
          <w:tcPr>
            <w:tcW w:w="5899" w:type="dxa"/>
            <w:gridSpan w:val="3"/>
            <w:tcBorders>
              <w:top w:val="single" w:sz="8" w:space="0" w:color="003399"/>
              <w:left w:val="single" w:sz="8" w:space="0" w:color="003399"/>
              <w:bottom w:val="single" w:sz="8" w:space="0" w:color="003399"/>
              <w:right w:val="single" w:sz="8" w:space="0" w:color="003399"/>
            </w:tcBorders>
          </w:tcPr>
          <w:p w:rsidR="00576F87" w:rsidRDefault="004165F5">
            <w:pPr>
              <w:spacing w:after="0"/>
              <w:ind w:left="39"/>
            </w:pPr>
            <w:r>
              <w:rPr>
                <w:rFonts w:ascii="Verdana" w:eastAsia="Verdana" w:hAnsi="Verdana" w:cs="Verdana"/>
                <w:sz w:val="18"/>
              </w:rPr>
              <w:t>Fixed Asset recharge</w:t>
            </w:r>
          </w:p>
        </w:tc>
        <w:tc>
          <w:tcPr>
            <w:tcW w:w="1774" w:type="dxa"/>
            <w:tcBorders>
              <w:top w:val="single" w:sz="8" w:space="0" w:color="003399"/>
              <w:left w:val="single" w:sz="8" w:space="0" w:color="003399"/>
              <w:bottom w:val="single" w:sz="8" w:space="0" w:color="003399"/>
              <w:right w:val="single" w:sz="8" w:space="0" w:color="003399"/>
            </w:tcBorders>
          </w:tcPr>
          <w:p w:rsidR="00576F87" w:rsidRDefault="004165F5">
            <w:pPr>
              <w:spacing w:after="0"/>
              <w:ind w:right="1"/>
              <w:jc w:val="right"/>
            </w:pPr>
            <w:r>
              <w:rPr>
                <w:rFonts w:ascii="Verdana" w:eastAsia="Verdana" w:hAnsi="Verdana" w:cs="Verdana"/>
                <w:sz w:val="18"/>
              </w:rPr>
              <w:t>155</w:t>
            </w:r>
          </w:p>
        </w:tc>
      </w:tr>
      <w:tr w:rsidR="00576F87">
        <w:trPr>
          <w:trHeight w:val="292"/>
        </w:trPr>
        <w:tc>
          <w:tcPr>
            <w:tcW w:w="923" w:type="dxa"/>
            <w:tcBorders>
              <w:top w:val="single" w:sz="8" w:space="0" w:color="003399"/>
              <w:left w:val="single" w:sz="12" w:space="0" w:color="35437C"/>
              <w:bottom w:val="nil"/>
              <w:right w:val="nil"/>
            </w:tcBorders>
            <w:shd w:val="clear" w:color="auto" w:fill="35437C"/>
          </w:tcPr>
          <w:p w:rsidR="00576F87" w:rsidRDefault="00576F87"/>
        </w:tc>
        <w:tc>
          <w:tcPr>
            <w:tcW w:w="926" w:type="dxa"/>
            <w:tcBorders>
              <w:top w:val="single" w:sz="8" w:space="0" w:color="003399"/>
              <w:left w:val="nil"/>
              <w:bottom w:val="nil"/>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1,679</w:t>
            </w:r>
          </w:p>
        </w:tc>
        <w:tc>
          <w:tcPr>
            <w:tcW w:w="2530" w:type="dxa"/>
            <w:tcBorders>
              <w:top w:val="single" w:sz="8" w:space="0" w:color="003399"/>
              <w:left w:val="single" w:sz="15" w:space="0" w:color="35437C"/>
              <w:bottom w:val="nil"/>
              <w:right w:val="single" w:sz="15" w:space="0" w:color="35437C"/>
            </w:tcBorders>
            <w:shd w:val="clear" w:color="auto" w:fill="35437C"/>
          </w:tcPr>
          <w:p w:rsidR="00576F87" w:rsidRDefault="00576F87"/>
        </w:tc>
        <w:tc>
          <w:tcPr>
            <w:tcW w:w="1822" w:type="dxa"/>
            <w:tcBorders>
              <w:top w:val="single" w:sz="8" w:space="0" w:color="003399"/>
              <w:left w:val="single" w:sz="15" w:space="0" w:color="35437C"/>
              <w:bottom w:val="nil"/>
              <w:right w:val="single" w:sz="15" w:space="0" w:color="35437C"/>
            </w:tcBorders>
            <w:shd w:val="clear" w:color="auto" w:fill="35437C"/>
          </w:tcPr>
          <w:p w:rsidR="00576F87" w:rsidRDefault="00576F87"/>
        </w:tc>
        <w:tc>
          <w:tcPr>
            <w:tcW w:w="1548" w:type="dxa"/>
            <w:tcBorders>
              <w:top w:val="single" w:sz="8" w:space="0" w:color="003399"/>
              <w:left w:val="single" w:sz="15" w:space="0" w:color="35437C"/>
              <w:bottom w:val="nil"/>
              <w:right w:val="single" w:sz="15" w:space="0" w:color="35437C"/>
            </w:tcBorders>
            <w:shd w:val="clear" w:color="auto" w:fill="35437C"/>
          </w:tcPr>
          <w:p w:rsidR="00576F87" w:rsidRDefault="00576F87"/>
        </w:tc>
        <w:tc>
          <w:tcPr>
            <w:tcW w:w="1774" w:type="dxa"/>
            <w:tcBorders>
              <w:top w:val="single" w:sz="8" w:space="0" w:color="003399"/>
              <w:left w:val="single" w:sz="15" w:space="0" w:color="35437C"/>
              <w:bottom w:val="nil"/>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492</w:t>
            </w:r>
          </w:p>
        </w:tc>
      </w:tr>
      <w:tr w:rsidR="00576F87">
        <w:trPr>
          <w:trHeight w:val="858"/>
        </w:trPr>
        <w:tc>
          <w:tcPr>
            <w:tcW w:w="923" w:type="dxa"/>
            <w:tcBorders>
              <w:top w:val="nil"/>
              <w:left w:val="nil"/>
              <w:bottom w:val="single" w:sz="15" w:space="0" w:color="35437C"/>
              <w:right w:val="nil"/>
            </w:tcBorders>
            <w:shd w:val="clear" w:color="auto" w:fill="FFFFFF"/>
            <w:vAlign w:val="bottom"/>
          </w:tcPr>
          <w:p w:rsidR="00576F87" w:rsidRDefault="004165F5">
            <w:pPr>
              <w:spacing w:after="0"/>
              <w:ind w:left="57"/>
            </w:pPr>
            <w:r>
              <w:rPr>
                <w:rFonts w:ascii="Verdana" w:eastAsia="Verdana" w:hAnsi="Verdana" w:cs="Verdana"/>
                <w:b/>
                <w:sz w:val="28"/>
              </w:rPr>
              <w:t>7</w:t>
            </w:r>
          </w:p>
        </w:tc>
        <w:tc>
          <w:tcPr>
            <w:tcW w:w="8599" w:type="dxa"/>
            <w:gridSpan w:val="5"/>
            <w:tcBorders>
              <w:top w:val="nil"/>
              <w:left w:val="nil"/>
              <w:bottom w:val="single" w:sz="15" w:space="0" w:color="35437C"/>
              <w:right w:val="nil"/>
            </w:tcBorders>
            <w:shd w:val="clear" w:color="auto" w:fill="FFFFFF"/>
            <w:vAlign w:val="bottom"/>
          </w:tcPr>
          <w:p w:rsidR="00576F87" w:rsidRDefault="004165F5">
            <w:pPr>
              <w:spacing w:after="0"/>
              <w:ind w:left="344"/>
              <w:jc w:val="center"/>
            </w:pPr>
            <w:r>
              <w:rPr>
                <w:rFonts w:ascii="Verdana" w:eastAsia="Verdana" w:hAnsi="Verdana" w:cs="Verdana"/>
                <w:sz w:val="28"/>
              </w:rPr>
              <w:t>Remuneration and Other Costs - Board members</w:t>
            </w:r>
          </w:p>
        </w:tc>
      </w:tr>
      <w:tr w:rsidR="00576F87">
        <w:trPr>
          <w:trHeight w:val="290"/>
        </w:trPr>
        <w:tc>
          <w:tcPr>
            <w:tcW w:w="923" w:type="dxa"/>
            <w:tcBorders>
              <w:top w:val="single" w:sz="15" w:space="0" w:color="35437C"/>
              <w:left w:val="single" w:sz="12" w:space="0" w:color="35437C"/>
              <w:bottom w:val="single" w:sz="8" w:space="0" w:color="002776"/>
              <w:right w:val="nil"/>
            </w:tcBorders>
            <w:shd w:val="clear" w:color="auto" w:fill="35437C"/>
          </w:tcPr>
          <w:p w:rsidR="00576F87" w:rsidRDefault="00576F87"/>
        </w:tc>
        <w:tc>
          <w:tcPr>
            <w:tcW w:w="926" w:type="dxa"/>
            <w:tcBorders>
              <w:top w:val="single" w:sz="15" w:space="0" w:color="35437C"/>
              <w:left w:val="nil"/>
              <w:bottom w:val="single" w:sz="8" w:space="0" w:color="002776"/>
              <w:right w:val="single" w:sz="15" w:space="0" w:color="35437C"/>
            </w:tcBorders>
            <w:shd w:val="clear" w:color="auto" w:fill="35437C"/>
          </w:tcPr>
          <w:p w:rsidR="00576F87" w:rsidRDefault="004165F5">
            <w:pPr>
              <w:spacing w:after="0"/>
              <w:jc w:val="both"/>
            </w:pPr>
            <w:r>
              <w:rPr>
                <w:rFonts w:ascii="Verdana" w:eastAsia="Verdana" w:hAnsi="Verdana" w:cs="Verdana"/>
                <w:b/>
                <w:color w:val="FFFFFF"/>
                <w:sz w:val="18"/>
              </w:rPr>
              <w:t>2016/17</w:t>
            </w:r>
          </w:p>
        </w:tc>
        <w:tc>
          <w:tcPr>
            <w:tcW w:w="2530" w:type="dxa"/>
            <w:tcBorders>
              <w:top w:val="single" w:sz="15" w:space="0" w:color="35437C"/>
              <w:left w:val="single" w:sz="15" w:space="0" w:color="35437C"/>
              <w:bottom w:val="single" w:sz="8" w:space="0" w:color="002776"/>
              <w:right w:val="single" w:sz="15" w:space="0" w:color="35437C"/>
            </w:tcBorders>
            <w:shd w:val="clear" w:color="auto" w:fill="35437C"/>
          </w:tcPr>
          <w:p w:rsidR="00576F87" w:rsidRDefault="00576F87"/>
        </w:tc>
        <w:tc>
          <w:tcPr>
            <w:tcW w:w="1822" w:type="dxa"/>
            <w:tcBorders>
              <w:top w:val="single" w:sz="15" w:space="0" w:color="35437C"/>
              <w:left w:val="single" w:sz="15" w:space="0" w:color="35437C"/>
              <w:bottom w:val="single" w:sz="8" w:space="0" w:color="002776"/>
              <w:right w:val="single" w:sz="15" w:space="0" w:color="35437C"/>
            </w:tcBorders>
            <w:shd w:val="clear" w:color="auto" w:fill="35437C"/>
          </w:tcPr>
          <w:p w:rsidR="00576F87" w:rsidRDefault="00576F87"/>
        </w:tc>
        <w:tc>
          <w:tcPr>
            <w:tcW w:w="1548" w:type="dxa"/>
            <w:tcBorders>
              <w:top w:val="single" w:sz="15" w:space="0" w:color="35437C"/>
              <w:left w:val="single" w:sz="15" w:space="0" w:color="35437C"/>
              <w:bottom w:val="single" w:sz="8" w:space="0" w:color="002776"/>
              <w:right w:val="single" w:sz="15" w:space="0" w:color="35437C"/>
            </w:tcBorders>
            <w:shd w:val="clear" w:color="auto" w:fill="35437C"/>
          </w:tcPr>
          <w:p w:rsidR="00576F87" w:rsidRDefault="00576F87"/>
        </w:tc>
        <w:tc>
          <w:tcPr>
            <w:tcW w:w="1774" w:type="dxa"/>
            <w:tcBorders>
              <w:top w:val="single" w:sz="15" w:space="0" w:color="35437C"/>
              <w:left w:val="single" w:sz="15" w:space="0" w:color="35437C"/>
              <w:bottom w:val="single" w:sz="8" w:space="0" w:color="002776"/>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2017/18</w:t>
            </w:r>
          </w:p>
        </w:tc>
      </w:tr>
      <w:tr w:rsidR="00576F87">
        <w:trPr>
          <w:trHeight w:val="290"/>
        </w:trPr>
        <w:tc>
          <w:tcPr>
            <w:tcW w:w="923" w:type="dxa"/>
            <w:tcBorders>
              <w:top w:val="single" w:sz="8" w:space="0" w:color="002776"/>
              <w:left w:val="single" w:sz="8" w:space="0" w:color="002776"/>
              <w:bottom w:val="single" w:sz="8" w:space="0" w:color="002776"/>
              <w:right w:val="nil"/>
            </w:tcBorders>
            <w:shd w:val="clear" w:color="auto" w:fill="FFFFFF"/>
          </w:tcPr>
          <w:p w:rsidR="00576F87" w:rsidRDefault="00576F87"/>
        </w:tc>
        <w:tc>
          <w:tcPr>
            <w:tcW w:w="926" w:type="dxa"/>
            <w:tcBorders>
              <w:top w:val="single" w:sz="8" w:space="0" w:color="002776"/>
              <w:left w:val="nil"/>
              <w:bottom w:val="single" w:sz="8" w:space="0" w:color="002776"/>
              <w:right w:val="single" w:sz="8" w:space="0" w:color="002776"/>
            </w:tcBorders>
            <w:shd w:val="clear" w:color="auto" w:fill="FFFFFF"/>
          </w:tcPr>
          <w:p w:rsidR="00576F87" w:rsidRDefault="004165F5">
            <w:pPr>
              <w:spacing w:after="0"/>
              <w:ind w:right="5"/>
              <w:jc w:val="right"/>
            </w:pPr>
            <w:r>
              <w:rPr>
                <w:rFonts w:ascii="Verdana" w:eastAsia="Verdana" w:hAnsi="Verdana" w:cs="Verdana"/>
                <w:b/>
                <w:sz w:val="18"/>
              </w:rPr>
              <w:t>£'000</w:t>
            </w:r>
          </w:p>
        </w:tc>
        <w:tc>
          <w:tcPr>
            <w:tcW w:w="5899" w:type="dxa"/>
            <w:gridSpan w:val="3"/>
            <w:tcBorders>
              <w:top w:val="single" w:sz="8" w:space="0" w:color="002776"/>
              <w:left w:val="single" w:sz="8" w:space="0" w:color="002776"/>
              <w:bottom w:val="single" w:sz="8" w:space="0" w:color="002776"/>
              <w:right w:val="single" w:sz="8" w:space="0" w:color="002776"/>
            </w:tcBorders>
            <w:shd w:val="clear" w:color="auto" w:fill="FFFFFF"/>
          </w:tcPr>
          <w:p w:rsidR="00576F87" w:rsidRDefault="00576F87"/>
        </w:tc>
        <w:tc>
          <w:tcPr>
            <w:tcW w:w="1774" w:type="dxa"/>
            <w:tcBorders>
              <w:top w:val="single" w:sz="8" w:space="0" w:color="002776"/>
              <w:left w:val="single" w:sz="8" w:space="0" w:color="002776"/>
              <w:bottom w:val="single" w:sz="8" w:space="0" w:color="002776"/>
              <w:right w:val="single" w:sz="8" w:space="0" w:color="002776"/>
            </w:tcBorders>
            <w:shd w:val="clear" w:color="auto" w:fill="FFFFFF"/>
          </w:tcPr>
          <w:p w:rsidR="00576F87" w:rsidRDefault="004165F5">
            <w:pPr>
              <w:spacing w:after="0"/>
              <w:ind w:right="5"/>
              <w:jc w:val="right"/>
            </w:pPr>
            <w:r>
              <w:rPr>
                <w:rFonts w:ascii="Verdana" w:eastAsia="Verdana" w:hAnsi="Verdana" w:cs="Verdana"/>
                <w:b/>
                <w:sz w:val="18"/>
              </w:rPr>
              <w:t>£'000</w:t>
            </w:r>
          </w:p>
        </w:tc>
      </w:tr>
      <w:tr w:rsidR="00576F87">
        <w:trPr>
          <w:trHeight w:val="290"/>
        </w:trPr>
        <w:tc>
          <w:tcPr>
            <w:tcW w:w="923" w:type="dxa"/>
            <w:tcBorders>
              <w:top w:val="single" w:sz="8" w:space="0" w:color="002776"/>
              <w:left w:val="single" w:sz="8" w:space="0" w:color="002776"/>
              <w:bottom w:val="single" w:sz="8" w:space="0" w:color="002776"/>
              <w:right w:val="nil"/>
            </w:tcBorders>
            <w:shd w:val="clear" w:color="auto" w:fill="FFFFFF"/>
          </w:tcPr>
          <w:p w:rsidR="00576F87" w:rsidRDefault="00576F87"/>
        </w:tc>
        <w:tc>
          <w:tcPr>
            <w:tcW w:w="926" w:type="dxa"/>
            <w:tcBorders>
              <w:top w:val="single" w:sz="8" w:space="0" w:color="002776"/>
              <w:left w:val="nil"/>
              <w:bottom w:val="single" w:sz="8" w:space="0" w:color="002776"/>
              <w:right w:val="single" w:sz="8" w:space="0" w:color="002776"/>
            </w:tcBorders>
            <w:shd w:val="clear" w:color="auto" w:fill="FFFFFF"/>
          </w:tcPr>
          <w:p w:rsidR="00576F87" w:rsidRDefault="00576F87"/>
        </w:tc>
        <w:tc>
          <w:tcPr>
            <w:tcW w:w="5899" w:type="dxa"/>
            <w:gridSpan w:val="3"/>
            <w:tcBorders>
              <w:top w:val="single" w:sz="8" w:space="0" w:color="002776"/>
              <w:left w:val="single" w:sz="8" w:space="0" w:color="002776"/>
              <w:bottom w:val="single" w:sz="8" w:space="0" w:color="002776"/>
              <w:right w:val="single" w:sz="8" w:space="0" w:color="002776"/>
            </w:tcBorders>
            <w:shd w:val="clear" w:color="auto" w:fill="FFFFFF"/>
          </w:tcPr>
          <w:p w:rsidR="00576F87" w:rsidRDefault="004165F5">
            <w:pPr>
              <w:spacing w:after="0"/>
              <w:ind w:left="43"/>
            </w:pPr>
            <w:r>
              <w:rPr>
                <w:rFonts w:ascii="Verdana" w:eastAsia="Verdana" w:hAnsi="Verdana" w:cs="Verdana"/>
                <w:b/>
                <w:sz w:val="18"/>
              </w:rPr>
              <w:t>Emoluments and other costs - Board members</w:t>
            </w:r>
          </w:p>
        </w:tc>
        <w:tc>
          <w:tcPr>
            <w:tcW w:w="1774" w:type="dxa"/>
            <w:tcBorders>
              <w:top w:val="single" w:sz="8" w:space="0" w:color="002776"/>
              <w:left w:val="single" w:sz="8" w:space="0" w:color="002776"/>
              <w:bottom w:val="single" w:sz="8" w:space="0" w:color="002776"/>
              <w:right w:val="single" w:sz="8" w:space="0" w:color="002776"/>
            </w:tcBorders>
            <w:shd w:val="clear" w:color="auto" w:fill="FFFFFF"/>
          </w:tcPr>
          <w:p w:rsidR="00576F87" w:rsidRDefault="00576F87"/>
        </w:tc>
      </w:tr>
      <w:tr w:rsidR="00576F87">
        <w:trPr>
          <w:trHeight w:val="290"/>
        </w:trPr>
        <w:tc>
          <w:tcPr>
            <w:tcW w:w="923" w:type="dxa"/>
            <w:tcBorders>
              <w:top w:val="single" w:sz="8" w:space="0" w:color="002776"/>
              <w:left w:val="single" w:sz="8" w:space="0" w:color="002776"/>
              <w:bottom w:val="single" w:sz="8" w:space="0" w:color="002776"/>
              <w:right w:val="nil"/>
            </w:tcBorders>
            <w:shd w:val="clear" w:color="auto" w:fill="FFFFFF"/>
          </w:tcPr>
          <w:p w:rsidR="00576F87" w:rsidRDefault="00576F87"/>
        </w:tc>
        <w:tc>
          <w:tcPr>
            <w:tcW w:w="926" w:type="dxa"/>
            <w:tcBorders>
              <w:top w:val="single" w:sz="8" w:space="0" w:color="002776"/>
              <w:left w:val="nil"/>
              <w:bottom w:val="single" w:sz="8" w:space="0" w:color="002776"/>
              <w:right w:val="single" w:sz="8" w:space="0" w:color="002776"/>
            </w:tcBorders>
            <w:shd w:val="clear" w:color="auto" w:fill="FFFFFF"/>
          </w:tcPr>
          <w:p w:rsidR="00576F87" w:rsidRDefault="004165F5">
            <w:pPr>
              <w:spacing w:after="0"/>
              <w:ind w:right="1"/>
              <w:jc w:val="right"/>
            </w:pPr>
            <w:r>
              <w:rPr>
                <w:rFonts w:ascii="Verdana" w:eastAsia="Verdana" w:hAnsi="Verdana" w:cs="Verdana"/>
                <w:sz w:val="18"/>
              </w:rPr>
              <w:t>149</w:t>
            </w:r>
          </w:p>
        </w:tc>
        <w:tc>
          <w:tcPr>
            <w:tcW w:w="5899" w:type="dxa"/>
            <w:gridSpan w:val="3"/>
            <w:tcBorders>
              <w:top w:val="single" w:sz="8" w:space="0" w:color="002776"/>
              <w:left w:val="single" w:sz="8" w:space="0" w:color="002776"/>
              <w:bottom w:val="single" w:sz="8" w:space="0" w:color="002776"/>
              <w:right w:val="single" w:sz="8" w:space="0" w:color="002776"/>
            </w:tcBorders>
            <w:shd w:val="clear" w:color="auto" w:fill="FFFFFF"/>
          </w:tcPr>
          <w:p w:rsidR="00576F87" w:rsidRDefault="004165F5">
            <w:pPr>
              <w:spacing w:after="0"/>
              <w:ind w:left="39"/>
            </w:pPr>
            <w:r>
              <w:rPr>
                <w:rFonts w:ascii="Verdana" w:eastAsia="Verdana" w:hAnsi="Verdana" w:cs="Verdana"/>
                <w:sz w:val="18"/>
              </w:rPr>
              <w:t>Emoluments</w:t>
            </w:r>
          </w:p>
        </w:tc>
        <w:tc>
          <w:tcPr>
            <w:tcW w:w="1774" w:type="dxa"/>
            <w:tcBorders>
              <w:top w:val="single" w:sz="8" w:space="0" w:color="002776"/>
              <w:left w:val="single" w:sz="8" w:space="0" w:color="002776"/>
              <w:bottom w:val="single" w:sz="8" w:space="0" w:color="002776"/>
              <w:right w:val="single" w:sz="8" w:space="0" w:color="002776"/>
            </w:tcBorders>
            <w:shd w:val="clear" w:color="auto" w:fill="FFFFFF"/>
          </w:tcPr>
          <w:p w:rsidR="00576F87" w:rsidRDefault="004165F5">
            <w:pPr>
              <w:spacing w:after="0"/>
              <w:ind w:right="1"/>
              <w:jc w:val="right"/>
            </w:pPr>
            <w:r>
              <w:rPr>
                <w:rFonts w:ascii="Verdana" w:eastAsia="Verdana" w:hAnsi="Verdana" w:cs="Verdana"/>
                <w:sz w:val="18"/>
              </w:rPr>
              <w:t>164</w:t>
            </w:r>
          </w:p>
        </w:tc>
      </w:tr>
      <w:tr w:rsidR="00576F87">
        <w:trPr>
          <w:trHeight w:val="290"/>
        </w:trPr>
        <w:tc>
          <w:tcPr>
            <w:tcW w:w="923" w:type="dxa"/>
            <w:tcBorders>
              <w:top w:val="single" w:sz="8" w:space="0" w:color="002776"/>
              <w:left w:val="single" w:sz="8" w:space="0" w:color="002776"/>
              <w:bottom w:val="single" w:sz="8" w:space="0" w:color="002776"/>
              <w:right w:val="nil"/>
            </w:tcBorders>
            <w:shd w:val="clear" w:color="auto" w:fill="FFFFFF"/>
          </w:tcPr>
          <w:p w:rsidR="00576F87" w:rsidRDefault="00576F87"/>
        </w:tc>
        <w:tc>
          <w:tcPr>
            <w:tcW w:w="926" w:type="dxa"/>
            <w:tcBorders>
              <w:top w:val="single" w:sz="8" w:space="0" w:color="002776"/>
              <w:left w:val="nil"/>
              <w:bottom w:val="single" w:sz="8" w:space="0" w:color="002776"/>
              <w:right w:val="single" w:sz="8" w:space="0" w:color="002776"/>
            </w:tcBorders>
            <w:shd w:val="clear" w:color="auto" w:fill="FFFFFF"/>
          </w:tcPr>
          <w:p w:rsidR="00576F87" w:rsidRDefault="004165F5">
            <w:pPr>
              <w:spacing w:after="0"/>
              <w:ind w:right="1"/>
              <w:jc w:val="right"/>
            </w:pPr>
            <w:r>
              <w:rPr>
                <w:rFonts w:ascii="Verdana" w:eastAsia="Verdana" w:hAnsi="Verdana" w:cs="Verdana"/>
                <w:sz w:val="18"/>
              </w:rPr>
              <w:t>13</w:t>
            </w:r>
          </w:p>
        </w:tc>
        <w:tc>
          <w:tcPr>
            <w:tcW w:w="5899" w:type="dxa"/>
            <w:gridSpan w:val="3"/>
            <w:tcBorders>
              <w:top w:val="single" w:sz="8" w:space="0" w:color="002776"/>
              <w:left w:val="single" w:sz="8" w:space="0" w:color="002776"/>
              <w:bottom w:val="single" w:sz="8" w:space="0" w:color="002776"/>
              <w:right w:val="single" w:sz="8" w:space="0" w:color="002776"/>
            </w:tcBorders>
            <w:shd w:val="clear" w:color="auto" w:fill="FFFFFF"/>
          </w:tcPr>
          <w:p w:rsidR="00576F87" w:rsidRDefault="004165F5">
            <w:pPr>
              <w:spacing w:after="0"/>
              <w:ind w:left="38"/>
            </w:pPr>
            <w:r>
              <w:rPr>
                <w:rFonts w:ascii="Verdana" w:eastAsia="Verdana" w:hAnsi="Verdana" w:cs="Verdana"/>
                <w:sz w:val="18"/>
              </w:rPr>
              <w:t>Employers NI contributions</w:t>
            </w:r>
          </w:p>
        </w:tc>
        <w:tc>
          <w:tcPr>
            <w:tcW w:w="1774" w:type="dxa"/>
            <w:tcBorders>
              <w:top w:val="single" w:sz="8" w:space="0" w:color="002776"/>
              <w:left w:val="single" w:sz="8" w:space="0" w:color="002776"/>
              <w:bottom w:val="single" w:sz="8" w:space="0" w:color="002776"/>
              <w:right w:val="single" w:sz="8" w:space="0" w:color="002776"/>
            </w:tcBorders>
            <w:shd w:val="clear" w:color="auto" w:fill="FFFFFF"/>
          </w:tcPr>
          <w:p w:rsidR="00576F87" w:rsidRDefault="004165F5">
            <w:pPr>
              <w:spacing w:after="0"/>
              <w:ind w:right="2"/>
              <w:jc w:val="right"/>
            </w:pPr>
            <w:r>
              <w:rPr>
                <w:rFonts w:ascii="Verdana" w:eastAsia="Verdana" w:hAnsi="Verdana" w:cs="Verdana"/>
                <w:sz w:val="18"/>
              </w:rPr>
              <w:t>8</w:t>
            </w:r>
          </w:p>
        </w:tc>
      </w:tr>
      <w:tr w:rsidR="00576F87">
        <w:trPr>
          <w:trHeight w:val="290"/>
        </w:trPr>
        <w:tc>
          <w:tcPr>
            <w:tcW w:w="923" w:type="dxa"/>
            <w:tcBorders>
              <w:top w:val="single" w:sz="8" w:space="0" w:color="002776"/>
              <w:left w:val="single" w:sz="8" w:space="0" w:color="002776"/>
              <w:bottom w:val="single" w:sz="8" w:space="0" w:color="002776"/>
              <w:right w:val="nil"/>
            </w:tcBorders>
            <w:shd w:val="clear" w:color="auto" w:fill="FFFFFF"/>
          </w:tcPr>
          <w:p w:rsidR="00576F87" w:rsidRDefault="00576F87"/>
        </w:tc>
        <w:tc>
          <w:tcPr>
            <w:tcW w:w="926" w:type="dxa"/>
            <w:tcBorders>
              <w:top w:val="single" w:sz="8" w:space="0" w:color="002776"/>
              <w:left w:val="nil"/>
              <w:bottom w:val="single" w:sz="8" w:space="0" w:color="002776"/>
              <w:right w:val="single" w:sz="8" w:space="0" w:color="002776"/>
            </w:tcBorders>
            <w:shd w:val="clear" w:color="auto" w:fill="FFFFFF"/>
          </w:tcPr>
          <w:p w:rsidR="00576F87" w:rsidRDefault="004165F5">
            <w:pPr>
              <w:spacing w:after="0"/>
              <w:ind w:right="1"/>
              <w:jc w:val="right"/>
            </w:pPr>
            <w:r>
              <w:rPr>
                <w:rFonts w:ascii="Verdana" w:eastAsia="Verdana" w:hAnsi="Verdana" w:cs="Verdana"/>
                <w:sz w:val="18"/>
              </w:rPr>
              <w:t>-</w:t>
            </w:r>
          </w:p>
        </w:tc>
        <w:tc>
          <w:tcPr>
            <w:tcW w:w="5899" w:type="dxa"/>
            <w:gridSpan w:val="3"/>
            <w:tcBorders>
              <w:top w:val="single" w:sz="8" w:space="0" w:color="002776"/>
              <w:left w:val="single" w:sz="8" w:space="0" w:color="002776"/>
              <w:bottom w:val="single" w:sz="8" w:space="0" w:color="002776"/>
              <w:right w:val="single" w:sz="8" w:space="0" w:color="002776"/>
            </w:tcBorders>
            <w:shd w:val="clear" w:color="auto" w:fill="FFFFFF"/>
          </w:tcPr>
          <w:p w:rsidR="00576F87" w:rsidRDefault="004165F5">
            <w:pPr>
              <w:spacing w:after="0"/>
              <w:ind w:left="38"/>
            </w:pPr>
            <w:r>
              <w:rPr>
                <w:rFonts w:ascii="Verdana" w:eastAsia="Verdana" w:hAnsi="Verdana" w:cs="Verdana"/>
                <w:sz w:val="18"/>
              </w:rPr>
              <w:t>Training</w:t>
            </w:r>
          </w:p>
        </w:tc>
        <w:tc>
          <w:tcPr>
            <w:tcW w:w="1774" w:type="dxa"/>
            <w:tcBorders>
              <w:top w:val="single" w:sz="8" w:space="0" w:color="002776"/>
              <w:left w:val="single" w:sz="8" w:space="0" w:color="002776"/>
              <w:bottom w:val="single" w:sz="8" w:space="0" w:color="002776"/>
              <w:right w:val="single" w:sz="8" w:space="0" w:color="002776"/>
            </w:tcBorders>
            <w:shd w:val="clear" w:color="auto" w:fill="FFFFFF"/>
          </w:tcPr>
          <w:p w:rsidR="00576F87" w:rsidRDefault="004165F5">
            <w:pPr>
              <w:spacing w:after="0"/>
              <w:ind w:right="2"/>
              <w:jc w:val="right"/>
            </w:pPr>
            <w:r>
              <w:rPr>
                <w:rFonts w:ascii="Verdana" w:eastAsia="Verdana" w:hAnsi="Verdana" w:cs="Verdana"/>
                <w:sz w:val="18"/>
              </w:rPr>
              <w:t>1</w:t>
            </w:r>
          </w:p>
        </w:tc>
      </w:tr>
      <w:tr w:rsidR="00576F87">
        <w:trPr>
          <w:trHeight w:val="290"/>
        </w:trPr>
        <w:tc>
          <w:tcPr>
            <w:tcW w:w="923" w:type="dxa"/>
            <w:tcBorders>
              <w:top w:val="single" w:sz="8" w:space="0" w:color="002776"/>
              <w:left w:val="single" w:sz="8" w:space="0" w:color="002776"/>
              <w:bottom w:val="single" w:sz="8" w:space="0" w:color="002776"/>
              <w:right w:val="nil"/>
            </w:tcBorders>
            <w:shd w:val="clear" w:color="auto" w:fill="FFFFFF"/>
          </w:tcPr>
          <w:p w:rsidR="00576F87" w:rsidRDefault="00576F87"/>
        </w:tc>
        <w:tc>
          <w:tcPr>
            <w:tcW w:w="926" w:type="dxa"/>
            <w:tcBorders>
              <w:top w:val="single" w:sz="8" w:space="0" w:color="002776"/>
              <w:left w:val="nil"/>
              <w:bottom w:val="single" w:sz="8" w:space="0" w:color="002776"/>
              <w:right w:val="single" w:sz="8" w:space="0" w:color="002776"/>
            </w:tcBorders>
            <w:shd w:val="clear" w:color="auto" w:fill="FFFFFF"/>
          </w:tcPr>
          <w:p w:rsidR="00576F87" w:rsidRDefault="004165F5">
            <w:pPr>
              <w:spacing w:after="0"/>
              <w:ind w:right="1"/>
              <w:jc w:val="right"/>
            </w:pPr>
            <w:r>
              <w:rPr>
                <w:rFonts w:ascii="Verdana" w:eastAsia="Verdana" w:hAnsi="Verdana" w:cs="Verdana"/>
                <w:sz w:val="18"/>
              </w:rPr>
              <w:t>-</w:t>
            </w:r>
          </w:p>
        </w:tc>
        <w:tc>
          <w:tcPr>
            <w:tcW w:w="5899" w:type="dxa"/>
            <w:gridSpan w:val="3"/>
            <w:tcBorders>
              <w:top w:val="single" w:sz="8" w:space="0" w:color="002776"/>
              <w:left w:val="single" w:sz="8" w:space="0" w:color="002776"/>
              <w:bottom w:val="single" w:sz="8" w:space="0" w:color="002776"/>
              <w:right w:val="single" w:sz="8" w:space="0" w:color="002776"/>
            </w:tcBorders>
            <w:shd w:val="clear" w:color="auto" w:fill="FFFFFF"/>
          </w:tcPr>
          <w:p w:rsidR="00576F87" w:rsidRDefault="004165F5">
            <w:pPr>
              <w:spacing w:after="0"/>
              <w:ind w:left="38"/>
            </w:pPr>
            <w:r>
              <w:rPr>
                <w:rFonts w:ascii="Verdana" w:eastAsia="Verdana" w:hAnsi="Verdana" w:cs="Verdana"/>
                <w:sz w:val="18"/>
              </w:rPr>
              <w:t>Reimbursable Expenses</w:t>
            </w:r>
          </w:p>
        </w:tc>
        <w:tc>
          <w:tcPr>
            <w:tcW w:w="1774" w:type="dxa"/>
            <w:tcBorders>
              <w:top w:val="single" w:sz="8" w:space="0" w:color="002776"/>
              <w:left w:val="single" w:sz="8" w:space="0" w:color="002776"/>
              <w:bottom w:val="single" w:sz="8" w:space="0" w:color="002776"/>
              <w:right w:val="single" w:sz="8" w:space="0" w:color="002776"/>
            </w:tcBorders>
            <w:shd w:val="clear" w:color="auto" w:fill="FFFFFF"/>
          </w:tcPr>
          <w:p w:rsidR="00576F87" w:rsidRDefault="004165F5">
            <w:pPr>
              <w:spacing w:after="0"/>
              <w:ind w:right="2"/>
              <w:jc w:val="right"/>
            </w:pPr>
            <w:r>
              <w:rPr>
                <w:rFonts w:ascii="Verdana" w:eastAsia="Verdana" w:hAnsi="Verdana" w:cs="Verdana"/>
                <w:sz w:val="18"/>
              </w:rPr>
              <w:t>1</w:t>
            </w:r>
          </w:p>
        </w:tc>
      </w:tr>
      <w:tr w:rsidR="00576F87">
        <w:trPr>
          <w:trHeight w:val="364"/>
        </w:trPr>
        <w:tc>
          <w:tcPr>
            <w:tcW w:w="923" w:type="dxa"/>
            <w:tcBorders>
              <w:top w:val="single" w:sz="8" w:space="0" w:color="002776"/>
              <w:left w:val="single" w:sz="12" w:space="0" w:color="35437C"/>
              <w:bottom w:val="nil"/>
              <w:right w:val="nil"/>
            </w:tcBorders>
            <w:shd w:val="clear" w:color="auto" w:fill="35437C"/>
          </w:tcPr>
          <w:p w:rsidR="00576F87" w:rsidRDefault="00576F87"/>
        </w:tc>
        <w:tc>
          <w:tcPr>
            <w:tcW w:w="926" w:type="dxa"/>
            <w:tcBorders>
              <w:top w:val="single" w:sz="8" w:space="0" w:color="002776"/>
              <w:left w:val="nil"/>
              <w:bottom w:val="nil"/>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162</w:t>
            </w:r>
          </w:p>
        </w:tc>
        <w:tc>
          <w:tcPr>
            <w:tcW w:w="2530" w:type="dxa"/>
            <w:tcBorders>
              <w:top w:val="single" w:sz="8" w:space="0" w:color="002776"/>
              <w:left w:val="single" w:sz="15" w:space="0" w:color="35437C"/>
              <w:bottom w:val="nil"/>
              <w:right w:val="single" w:sz="15" w:space="0" w:color="35437C"/>
            </w:tcBorders>
            <w:shd w:val="clear" w:color="auto" w:fill="35437C"/>
          </w:tcPr>
          <w:p w:rsidR="00576F87" w:rsidRDefault="00576F87"/>
        </w:tc>
        <w:tc>
          <w:tcPr>
            <w:tcW w:w="1822" w:type="dxa"/>
            <w:tcBorders>
              <w:top w:val="single" w:sz="8" w:space="0" w:color="002776"/>
              <w:left w:val="single" w:sz="15" w:space="0" w:color="35437C"/>
              <w:bottom w:val="nil"/>
              <w:right w:val="single" w:sz="15" w:space="0" w:color="35437C"/>
            </w:tcBorders>
            <w:shd w:val="clear" w:color="auto" w:fill="35437C"/>
          </w:tcPr>
          <w:p w:rsidR="00576F87" w:rsidRDefault="00576F87"/>
        </w:tc>
        <w:tc>
          <w:tcPr>
            <w:tcW w:w="1548" w:type="dxa"/>
            <w:tcBorders>
              <w:top w:val="single" w:sz="8" w:space="0" w:color="002776"/>
              <w:left w:val="single" w:sz="15" w:space="0" w:color="35437C"/>
              <w:bottom w:val="nil"/>
              <w:right w:val="single" w:sz="15" w:space="0" w:color="35437C"/>
            </w:tcBorders>
            <w:shd w:val="clear" w:color="auto" w:fill="35437C"/>
          </w:tcPr>
          <w:p w:rsidR="00576F87" w:rsidRDefault="00576F87"/>
        </w:tc>
        <w:tc>
          <w:tcPr>
            <w:tcW w:w="1774" w:type="dxa"/>
            <w:tcBorders>
              <w:top w:val="single" w:sz="8" w:space="0" w:color="002776"/>
              <w:left w:val="single" w:sz="15" w:space="0" w:color="35437C"/>
              <w:bottom w:val="nil"/>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174</w:t>
            </w:r>
          </w:p>
        </w:tc>
      </w:tr>
      <w:tr w:rsidR="00576F87">
        <w:trPr>
          <w:trHeight w:val="292"/>
        </w:trPr>
        <w:tc>
          <w:tcPr>
            <w:tcW w:w="923" w:type="dxa"/>
            <w:tcBorders>
              <w:top w:val="nil"/>
              <w:left w:val="nil"/>
              <w:bottom w:val="nil"/>
              <w:right w:val="nil"/>
            </w:tcBorders>
            <w:shd w:val="clear" w:color="auto" w:fill="FFFFFF"/>
          </w:tcPr>
          <w:p w:rsidR="00576F87" w:rsidRDefault="00576F87"/>
        </w:tc>
        <w:tc>
          <w:tcPr>
            <w:tcW w:w="8599" w:type="dxa"/>
            <w:gridSpan w:val="5"/>
            <w:tcBorders>
              <w:top w:val="nil"/>
              <w:left w:val="nil"/>
              <w:bottom w:val="nil"/>
              <w:right w:val="nil"/>
            </w:tcBorders>
            <w:shd w:val="clear" w:color="auto" w:fill="FFFFFF"/>
          </w:tcPr>
          <w:p w:rsidR="00576F87" w:rsidRDefault="00576F87"/>
        </w:tc>
      </w:tr>
    </w:tbl>
    <w:p w:rsidR="00576F87" w:rsidRDefault="004165F5">
      <w:pPr>
        <w:spacing w:after="5" w:line="268" w:lineRule="auto"/>
        <w:ind w:left="-7" w:hanging="3"/>
        <w:jc w:val="both"/>
      </w:pPr>
      <w:r>
        <w:rPr>
          <w:rFonts w:ascii="Verdana" w:eastAsia="Verdana" w:hAnsi="Verdana" w:cs="Verdana"/>
          <w:sz w:val="18"/>
        </w:rPr>
        <w:t>Emoluments were paid in the following bands:</w:t>
      </w:r>
    </w:p>
    <w:tbl>
      <w:tblPr>
        <w:tblStyle w:val="TableGrid"/>
        <w:tblW w:w="9522" w:type="dxa"/>
        <w:tblInd w:w="-32" w:type="dxa"/>
        <w:tblCellMar>
          <w:top w:w="75" w:type="dxa"/>
          <w:left w:w="38" w:type="dxa"/>
          <w:bottom w:w="0" w:type="dxa"/>
          <w:right w:w="38" w:type="dxa"/>
        </w:tblCellMar>
        <w:tblLook w:val="04A0" w:firstRow="1" w:lastRow="0" w:firstColumn="1" w:lastColumn="0" w:noHBand="0" w:noVBand="1"/>
      </w:tblPr>
      <w:tblGrid>
        <w:gridCol w:w="1849"/>
        <w:gridCol w:w="5899"/>
        <w:gridCol w:w="1774"/>
      </w:tblGrid>
      <w:tr w:rsidR="00576F87">
        <w:trPr>
          <w:trHeight w:val="290"/>
        </w:trPr>
        <w:tc>
          <w:tcPr>
            <w:tcW w:w="1849" w:type="dxa"/>
            <w:tcBorders>
              <w:top w:val="single" w:sz="15" w:space="0" w:color="002060"/>
              <w:left w:val="single" w:sz="12" w:space="0" w:color="002060"/>
              <w:bottom w:val="single" w:sz="8" w:space="0" w:color="16365C"/>
              <w:right w:val="single" w:sz="8" w:space="0" w:color="002060"/>
            </w:tcBorders>
          </w:tcPr>
          <w:p w:rsidR="00576F87" w:rsidRDefault="004165F5">
            <w:pPr>
              <w:spacing w:after="0"/>
              <w:jc w:val="right"/>
            </w:pPr>
            <w:r>
              <w:rPr>
                <w:rFonts w:ascii="Verdana" w:eastAsia="Verdana" w:hAnsi="Verdana" w:cs="Verdana"/>
                <w:sz w:val="18"/>
              </w:rPr>
              <w:t>-</w:t>
            </w:r>
          </w:p>
        </w:tc>
        <w:tc>
          <w:tcPr>
            <w:tcW w:w="5899" w:type="dxa"/>
            <w:tcBorders>
              <w:top w:val="single" w:sz="15" w:space="0" w:color="002060"/>
              <w:left w:val="single" w:sz="8" w:space="0" w:color="002060"/>
              <w:bottom w:val="single" w:sz="8" w:space="0" w:color="16365C"/>
              <w:right w:val="single" w:sz="8" w:space="0" w:color="002060"/>
            </w:tcBorders>
          </w:tcPr>
          <w:p w:rsidR="00576F87" w:rsidRDefault="004165F5">
            <w:pPr>
              <w:spacing w:after="0"/>
            </w:pPr>
            <w:r>
              <w:rPr>
                <w:rFonts w:ascii="Verdana" w:eastAsia="Verdana" w:hAnsi="Verdana" w:cs="Verdana"/>
                <w:sz w:val="18"/>
              </w:rPr>
              <w:t>£5,001 to £10,000</w:t>
            </w:r>
          </w:p>
        </w:tc>
        <w:tc>
          <w:tcPr>
            <w:tcW w:w="1774" w:type="dxa"/>
            <w:tcBorders>
              <w:top w:val="single" w:sz="15" w:space="0" w:color="002060"/>
              <w:left w:val="single" w:sz="8" w:space="0" w:color="002060"/>
              <w:bottom w:val="single" w:sz="8" w:space="0" w:color="16365C"/>
              <w:right w:val="single" w:sz="15" w:space="0" w:color="002060"/>
            </w:tcBorders>
          </w:tcPr>
          <w:p w:rsidR="00576F87" w:rsidRDefault="004165F5">
            <w:pPr>
              <w:spacing w:after="0"/>
              <w:ind w:right="1"/>
              <w:jc w:val="right"/>
            </w:pPr>
            <w:r>
              <w:rPr>
                <w:rFonts w:ascii="Verdana" w:eastAsia="Verdana" w:hAnsi="Verdana" w:cs="Verdana"/>
                <w:sz w:val="18"/>
              </w:rPr>
              <w:t>3</w:t>
            </w:r>
          </w:p>
        </w:tc>
      </w:tr>
      <w:tr w:rsidR="00576F87">
        <w:trPr>
          <w:trHeight w:val="290"/>
        </w:trPr>
        <w:tc>
          <w:tcPr>
            <w:tcW w:w="1849" w:type="dxa"/>
            <w:tcBorders>
              <w:top w:val="single" w:sz="8" w:space="0" w:color="16365C"/>
              <w:left w:val="single" w:sz="12" w:space="0" w:color="002060"/>
              <w:bottom w:val="single" w:sz="8" w:space="0" w:color="16365C"/>
              <w:right w:val="single" w:sz="8" w:space="0" w:color="002060"/>
            </w:tcBorders>
          </w:tcPr>
          <w:p w:rsidR="00576F87" w:rsidRDefault="004165F5">
            <w:pPr>
              <w:spacing w:after="0"/>
              <w:ind w:right="1"/>
              <w:jc w:val="right"/>
            </w:pPr>
            <w:r>
              <w:rPr>
                <w:rFonts w:ascii="Verdana" w:eastAsia="Verdana" w:hAnsi="Verdana" w:cs="Verdana"/>
                <w:sz w:val="18"/>
              </w:rPr>
              <w:t>5</w:t>
            </w:r>
          </w:p>
        </w:tc>
        <w:tc>
          <w:tcPr>
            <w:tcW w:w="5899" w:type="dxa"/>
            <w:tcBorders>
              <w:top w:val="single" w:sz="8" w:space="0" w:color="16365C"/>
              <w:left w:val="single" w:sz="8" w:space="0" w:color="002060"/>
              <w:bottom w:val="single" w:sz="8" w:space="0" w:color="16365C"/>
              <w:right w:val="single" w:sz="8" w:space="0" w:color="002060"/>
            </w:tcBorders>
          </w:tcPr>
          <w:p w:rsidR="00576F87" w:rsidRDefault="004165F5">
            <w:pPr>
              <w:spacing w:after="0"/>
            </w:pPr>
            <w:r>
              <w:rPr>
                <w:rFonts w:ascii="Verdana" w:eastAsia="Verdana" w:hAnsi="Verdana" w:cs="Verdana"/>
                <w:sz w:val="18"/>
              </w:rPr>
              <w:t>£10,001 to £15,000</w:t>
            </w:r>
          </w:p>
        </w:tc>
        <w:tc>
          <w:tcPr>
            <w:tcW w:w="1774" w:type="dxa"/>
            <w:tcBorders>
              <w:top w:val="single" w:sz="8" w:space="0" w:color="16365C"/>
              <w:left w:val="single" w:sz="8" w:space="0" w:color="002060"/>
              <w:bottom w:val="single" w:sz="8" w:space="0" w:color="16365C"/>
              <w:right w:val="single" w:sz="15" w:space="0" w:color="002060"/>
            </w:tcBorders>
          </w:tcPr>
          <w:p w:rsidR="00576F87" w:rsidRDefault="004165F5">
            <w:pPr>
              <w:spacing w:after="0"/>
              <w:ind w:right="1"/>
              <w:jc w:val="right"/>
            </w:pPr>
            <w:r>
              <w:rPr>
                <w:rFonts w:ascii="Verdana" w:eastAsia="Verdana" w:hAnsi="Verdana" w:cs="Verdana"/>
                <w:sz w:val="18"/>
              </w:rPr>
              <w:t>4</w:t>
            </w:r>
          </w:p>
        </w:tc>
      </w:tr>
      <w:tr w:rsidR="00576F87">
        <w:trPr>
          <w:trHeight w:val="290"/>
        </w:trPr>
        <w:tc>
          <w:tcPr>
            <w:tcW w:w="1849" w:type="dxa"/>
            <w:tcBorders>
              <w:top w:val="single" w:sz="8" w:space="0" w:color="16365C"/>
              <w:left w:val="single" w:sz="12" w:space="0" w:color="002060"/>
              <w:bottom w:val="single" w:sz="8" w:space="0" w:color="16365C"/>
              <w:right w:val="single" w:sz="8" w:space="0" w:color="002060"/>
            </w:tcBorders>
          </w:tcPr>
          <w:p w:rsidR="00576F87" w:rsidRDefault="004165F5">
            <w:pPr>
              <w:spacing w:after="0"/>
              <w:ind w:right="1"/>
              <w:jc w:val="right"/>
            </w:pPr>
            <w:r>
              <w:rPr>
                <w:rFonts w:ascii="Verdana" w:eastAsia="Verdana" w:hAnsi="Verdana" w:cs="Verdana"/>
                <w:sz w:val="18"/>
              </w:rPr>
              <w:t>2</w:t>
            </w:r>
          </w:p>
        </w:tc>
        <w:tc>
          <w:tcPr>
            <w:tcW w:w="5899" w:type="dxa"/>
            <w:tcBorders>
              <w:top w:val="single" w:sz="8" w:space="0" w:color="16365C"/>
              <w:left w:val="single" w:sz="8" w:space="0" w:color="002060"/>
              <w:bottom w:val="single" w:sz="8" w:space="0" w:color="16365C"/>
              <w:right w:val="single" w:sz="8" w:space="0" w:color="002060"/>
            </w:tcBorders>
          </w:tcPr>
          <w:p w:rsidR="00576F87" w:rsidRDefault="004165F5">
            <w:pPr>
              <w:spacing w:after="0"/>
            </w:pPr>
            <w:r>
              <w:rPr>
                <w:rFonts w:ascii="Verdana" w:eastAsia="Verdana" w:hAnsi="Verdana" w:cs="Verdana"/>
                <w:sz w:val="18"/>
              </w:rPr>
              <w:t>£15,001 to £20,000</w:t>
            </w:r>
          </w:p>
        </w:tc>
        <w:tc>
          <w:tcPr>
            <w:tcW w:w="1774" w:type="dxa"/>
            <w:tcBorders>
              <w:top w:val="single" w:sz="8" w:space="0" w:color="16365C"/>
              <w:left w:val="single" w:sz="8" w:space="0" w:color="002060"/>
              <w:bottom w:val="single" w:sz="8" w:space="0" w:color="16365C"/>
              <w:right w:val="single" w:sz="15" w:space="0" w:color="002060"/>
            </w:tcBorders>
          </w:tcPr>
          <w:p w:rsidR="00576F87" w:rsidRDefault="004165F5">
            <w:pPr>
              <w:spacing w:after="0"/>
              <w:ind w:right="1"/>
              <w:jc w:val="right"/>
            </w:pPr>
            <w:r>
              <w:rPr>
                <w:rFonts w:ascii="Verdana" w:eastAsia="Verdana" w:hAnsi="Verdana" w:cs="Verdana"/>
                <w:sz w:val="18"/>
              </w:rPr>
              <w:t>2</w:t>
            </w:r>
          </w:p>
        </w:tc>
      </w:tr>
      <w:tr w:rsidR="00576F87">
        <w:trPr>
          <w:trHeight w:val="305"/>
        </w:trPr>
        <w:tc>
          <w:tcPr>
            <w:tcW w:w="1849" w:type="dxa"/>
            <w:tcBorders>
              <w:top w:val="single" w:sz="8" w:space="0" w:color="16365C"/>
              <w:left w:val="single" w:sz="12" w:space="0" w:color="002060"/>
              <w:bottom w:val="single" w:sz="15" w:space="0" w:color="002060"/>
              <w:right w:val="single" w:sz="8" w:space="0" w:color="002060"/>
            </w:tcBorders>
          </w:tcPr>
          <w:p w:rsidR="00576F87" w:rsidRDefault="004165F5">
            <w:pPr>
              <w:spacing w:after="0"/>
              <w:ind w:right="1"/>
              <w:jc w:val="right"/>
            </w:pPr>
            <w:r>
              <w:rPr>
                <w:rFonts w:ascii="Verdana" w:eastAsia="Verdana" w:hAnsi="Verdana" w:cs="Verdana"/>
                <w:sz w:val="18"/>
              </w:rPr>
              <w:t>1</w:t>
            </w:r>
          </w:p>
        </w:tc>
        <w:tc>
          <w:tcPr>
            <w:tcW w:w="5899" w:type="dxa"/>
            <w:tcBorders>
              <w:top w:val="single" w:sz="8" w:space="0" w:color="16365C"/>
              <w:left w:val="single" w:sz="8" w:space="0" w:color="002060"/>
              <w:bottom w:val="single" w:sz="15" w:space="0" w:color="002060"/>
              <w:right w:val="single" w:sz="8" w:space="0" w:color="002060"/>
            </w:tcBorders>
          </w:tcPr>
          <w:p w:rsidR="00576F87" w:rsidRDefault="004165F5">
            <w:pPr>
              <w:spacing w:after="0"/>
            </w:pPr>
            <w:r>
              <w:rPr>
                <w:rFonts w:ascii="Verdana" w:eastAsia="Verdana" w:hAnsi="Verdana" w:cs="Verdana"/>
                <w:sz w:val="18"/>
              </w:rPr>
              <w:t>£50,001 to £55,000</w:t>
            </w:r>
          </w:p>
        </w:tc>
        <w:tc>
          <w:tcPr>
            <w:tcW w:w="1774" w:type="dxa"/>
            <w:tcBorders>
              <w:top w:val="single" w:sz="8" w:space="0" w:color="16365C"/>
              <w:left w:val="single" w:sz="8" w:space="0" w:color="002060"/>
              <w:bottom w:val="single" w:sz="15" w:space="0" w:color="002060"/>
              <w:right w:val="single" w:sz="15" w:space="0" w:color="002060"/>
            </w:tcBorders>
          </w:tcPr>
          <w:p w:rsidR="00576F87" w:rsidRDefault="004165F5">
            <w:pPr>
              <w:spacing w:after="0"/>
              <w:ind w:right="1"/>
              <w:jc w:val="right"/>
            </w:pPr>
            <w:r>
              <w:rPr>
                <w:rFonts w:ascii="Verdana" w:eastAsia="Verdana" w:hAnsi="Verdana" w:cs="Verdana"/>
                <w:sz w:val="18"/>
              </w:rPr>
              <w:t>1</w:t>
            </w:r>
          </w:p>
        </w:tc>
      </w:tr>
    </w:tbl>
    <w:p w:rsidR="00576F87" w:rsidRDefault="004165F5">
      <w:pPr>
        <w:tabs>
          <w:tab w:val="center" w:pos="4926"/>
        </w:tabs>
        <w:spacing w:after="0"/>
      </w:pPr>
      <w:r>
        <w:rPr>
          <w:b/>
          <w:sz w:val="28"/>
        </w:rPr>
        <w:t>8a</w:t>
      </w:r>
      <w:r>
        <w:rPr>
          <w:b/>
          <w:sz w:val="28"/>
        </w:rPr>
        <w:tab/>
      </w:r>
      <w:r>
        <w:rPr>
          <w:rFonts w:ascii="Verdana" w:eastAsia="Verdana" w:hAnsi="Verdana" w:cs="Verdana"/>
          <w:sz w:val="28"/>
        </w:rPr>
        <w:t>Remuneration and other costs - employees</w:t>
      </w:r>
    </w:p>
    <w:tbl>
      <w:tblPr>
        <w:tblStyle w:val="TableGrid"/>
        <w:tblW w:w="9522" w:type="dxa"/>
        <w:tblInd w:w="-32" w:type="dxa"/>
        <w:tblCellMar>
          <w:top w:w="75" w:type="dxa"/>
          <w:left w:w="38" w:type="dxa"/>
          <w:bottom w:w="0" w:type="dxa"/>
          <w:right w:w="38" w:type="dxa"/>
        </w:tblCellMar>
        <w:tblLook w:val="04A0" w:firstRow="1" w:lastRow="0" w:firstColumn="1" w:lastColumn="0" w:noHBand="0" w:noVBand="1"/>
      </w:tblPr>
      <w:tblGrid>
        <w:gridCol w:w="1849"/>
        <w:gridCol w:w="5899"/>
        <w:gridCol w:w="1774"/>
      </w:tblGrid>
      <w:tr w:rsidR="00576F87">
        <w:trPr>
          <w:trHeight w:val="305"/>
        </w:trPr>
        <w:tc>
          <w:tcPr>
            <w:tcW w:w="7748" w:type="dxa"/>
            <w:gridSpan w:val="2"/>
            <w:tcBorders>
              <w:top w:val="single" w:sz="15" w:space="0" w:color="35437C"/>
              <w:left w:val="single" w:sz="12" w:space="0" w:color="35437C"/>
              <w:bottom w:val="single" w:sz="15" w:space="0" w:color="002776"/>
              <w:right w:val="nil"/>
            </w:tcBorders>
            <w:shd w:val="clear" w:color="auto" w:fill="35437C"/>
          </w:tcPr>
          <w:p w:rsidR="00576F87" w:rsidRDefault="004165F5">
            <w:pPr>
              <w:spacing w:after="0"/>
              <w:ind w:left="884"/>
            </w:pPr>
            <w:r>
              <w:rPr>
                <w:rFonts w:ascii="Verdana" w:eastAsia="Verdana" w:hAnsi="Verdana" w:cs="Verdana"/>
                <w:b/>
                <w:color w:val="FFFFFF"/>
                <w:sz w:val="18"/>
              </w:rPr>
              <w:t>2016/17</w:t>
            </w:r>
          </w:p>
        </w:tc>
        <w:tc>
          <w:tcPr>
            <w:tcW w:w="1774" w:type="dxa"/>
            <w:tcBorders>
              <w:top w:val="single" w:sz="15" w:space="0" w:color="35437C"/>
              <w:left w:val="nil"/>
              <w:bottom w:val="single" w:sz="15" w:space="0" w:color="002776"/>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2017/18</w:t>
            </w:r>
          </w:p>
        </w:tc>
      </w:tr>
      <w:tr w:rsidR="00576F87">
        <w:trPr>
          <w:trHeight w:val="290"/>
        </w:trPr>
        <w:tc>
          <w:tcPr>
            <w:tcW w:w="1849" w:type="dxa"/>
            <w:tcBorders>
              <w:top w:val="single" w:sz="15" w:space="0" w:color="002776"/>
              <w:left w:val="single" w:sz="12" w:space="0" w:color="002776"/>
              <w:bottom w:val="single" w:sz="8" w:space="0" w:color="002776"/>
              <w:right w:val="single" w:sz="8" w:space="0" w:color="002776"/>
            </w:tcBorders>
            <w:shd w:val="clear" w:color="auto" w:fill="FFFFFF"/>
          </w:tcPr>
          <w:p w:rsidR="00576F87" w:rsidRDefault="004165F5">
            <w:pPr>
              <w:spacing w:after="0"/>
              <w:ind w:right="5"/>
              <w:jc w:val="right"/>
            </w:pPr>
            <w:r>
              <w:rPr>
                <w:rFonts w:ascii="Verdana" w:eastAsia="Verdana" w:hAnsi="Verdana" w:cs="Verdana"/>
                <w:b/>
                <w:sz w:val="18"/>
              </w:rPr>
              <w:t>£'000</w:t>
            </w:r>
          </w:p>
        </w:tc>
        <w:tc>
          <w:tcPr>
            <w:tcW w:w="5899" w:type="dxa"/>
            <w:tcBorders>
              <w:top w:val="single" w:sz="15" w:space="0" w:color="002776"/>
              <w:left w:val="single" w:sz="8" w:space="0" w:color="002776"/>
              <w:bottom w:val="single" w:sz="8" w:space="0" w:color="002776"/>
              <w:right w:val="single" w:sz="8" w:space="0" w:color="002776"/>
            </w:tcBorders>
            <w:shd w:val="clear" w:color="auto" w:fill="FFFFFF"/>
          </w:tcPr>
          <w:p w:rsidR="00576F87" w:rsidRDefault="00576F87"/>
        </w:tc>
        <w:tc>
          <w:tcPr>
            <w:tcW w:w="1774" w:type="dxa"/>
            <w:tcBorders>
              <w:top w:val="single" w:sz="15" w:space="0" w:color="002776"/>
              <w:left w:val="single" w:sz="8" w:space="0" w:color="002776"/>
              <w:bottom w:val="single" w:sz="8" w:space="0" w:color="002776"/>
              <w:right w:val="single" w:sz="15" w:space="0" w:color="002776"/>
            </w:tcBorders>
            <w:shd w:val="clear" w:color="auto" w:fill="FFFFFF"/>
          </w:tcPr>
          <w:p w:rsidR="00576F87" w:rsidRDefault="004165F5">
            <w:pPr>
              <w:spacing w:after="0"/>
              <w:ind w:right="5"/>
              <w:jc w:val="right"/>
            </w:pPr>
            <w:r>
              <w:rPr>
                <w:rFonts w:ascii="Verdana" w:eastAsia="Verdana" w:hAnsi="Verdana" w:cs="Verdana"/>
                <w:b/>
                <w:sz w:val="18"/>
              </w:rPr>
              <w:t>£'000</w:t>
            </w:r>
          </w:p>
        </w:tc>
      </w:tr>
      <w:tr w:rsidR="00576F87">
        <w:trPr>
          <w:trHeight w:val="290"/>
        </w:trPr>
        <w:tc>
          <w:tcPr>
            <w:tcW w:w="1849" w:type="dxa"/>
            <w:tcBorders>
              <w:top w:val="single" w:sz="8" w:space="0" w:color="002776"/>
              <w:left w:val="single" w:sz="12" w:space="0" w:color="002776"/>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697</w:t>
            </w:r>
          </w:p>
        </w:tc>
        <w:tc>
          <w:tcPr>
            <w:tcW w:w="5899" w:type="dxa"/>
            <w:tcBorders>
              <w:top w:val="single" w:sz="8" w:space="0" w:color="002776"/>
              <w:left w:val="single" w:sz="8" w:space="0" w:color="35437C"/>
              <w:bottom w:val="single" w:sz="8" w:space="0" w:color="35437C"/>
              <w:right w:val="single" w:sz="8" w:space="0" w:color="35437C"/>
            </w:tcBorders>
            <w:shd w:val="clear" w:color="auto" w:fill="FFFFFF"/>
          </w:tcPr>
          <w:p w:rsidR="00576F87" w:rsidRDefault="004165F5">
            <w:pPr>
              <w:spacing w:after="0"/>
            </w:pPr>
            <w:r>
              <w:rPr>
                <w:rFonts w:ascii="Verdana" w:eastAsia="Verdana" w:hAnsi="Verdana" w:cs="Verdana"/>
                <w:sz w:val="18"/>
              </w:rPr>
              <w:t>Salaries</w:t>
            </w:r>
          </w:p>
        </w:tc>
        <w:tc>
          <w:tcPr>
            <w:tcW w:w="1774" w:type="dxa"/>
            <w:tcBorders>
              <w:top w:val="single" w:sz="8" w:space="0" w:color="002776"/>
              <w:left w:val="single" w:sz="8" w:space="0" w:color="35437C"/>
              <w:bottom w:val="single" w:sz="8" w:space="0" w:color="35437C"/>
              <w:right w:val="single" w:sz="15" w:space="0" w:color="002776"/>
            </w:tcBorders>
            <w:shd w:val="clear" w:color="auto" w:fill="FFFFFF"/>
          </w:tcPr>
          <w:p w:rsidR="00576F87" w:rsidRDefault="004165F5">
            <w:pPr>
              <w:spacing w:after="0"/>
              <w:ind w:right="1"/>
              <w:jc w:val="right"/>
            </w:pPr>
            <w:r>
              <w:rPr>
                <w:rFonts w:ascii="Verdana" w:eastAsia="Verdana" w:hAnsi="Verdana" w:cs="Verdana"/>
                <w:sz w:val="18"/>
              </w:rPr>
              <w:t>254</w:t>
            </w:r>
          </w:p>
        </w:tc>
      </w:tr>
      <w:tr w:rsidR="00576F87">
        <w:trPr>
          <w:trHeight w:val="290"/>
        </w:trPr>
        <w:tc>
          <w:tcPr>
            <w:tcW w:w="1849" w:type="dxa"/>
            <w:tcBorders>
              <w:top w:val="single" w:sz="8" w:space="0" w:color="35437C"/>
              <w:left w:val="single" w:sz="12" w:space="0" w:color="002776"/>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67</w:t>
            </w:r>
          </w:p>
        </w:tc>
        <w:tc>
          <w:tcPr>
            <w:tcW w:w="5899"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rPr>
                <w:rFonts w:ascii="Verdana" w:eastAsia="Verdana" w:hAnsi="Verdana" w:cs="Verdana"/>
                <w:sz w:val="18"/>
              </w:rPr>
              <w:t>Employers NI contributions</w:t>
            </w:r>
          </w:p>
        </w:tc>
        <w:tc>
          <w:tcPr>
            <w:tcW w:w="1774" w:type="dxa"/>
            <w:tcBorders>
              <w:top w:val="single" w:sz="8" w:space="0" w:color="35437C"/>
              <w:left w:val="single" w:sz="8" w:space="0" w:color="35437C"/>
              <w:bottom w:val="single" w:sz="8" w:space="0" w:color="35437C"/>
              <w:right w:val="single" w:sz="15" w:space="0" w:color="002776"/>
            </w:tcBorders>
            <w:shd w:val="clear" w:color="auto" w:fill="FFFFFF"/>
          </w:tcPr>
          <w:p w:rsidR="00576F87" w:rsidRDefault="004165F5">
            <w:pPr>
              <w:spacing w:after="0"/>
              <w:ind w:right="1"/>
              <w:jc w:val="right"/>
            </w:pPr>
            <w:r>
              <w:rPr>
                <w:rFonts w:ascii="Verdana" w:eastAsia="Verdana" w:hAnsi="Verdana" w:cs="Verdana"/>
                <w:sz w:val="18"/>
              </w:rPr>
              <w:t>31</w:t>
            </w:r>
          </w:p>
        </w:tc>
      </w:tr>
      <w:tr w:rsidR="00576F87">
        <w:trPr>
          <w:trHeight w:val="290"/>
        </w:trPr>
        <w:tc>
          <w:tcPr>
            <w:tcW w:w="1849" w:type="dxa"/>
            <w:tcBorders>
              <w:top w:val="single" w:sz="8" w:space="0" w:color="35437C"/>
              <w:left w:val="single" w:sz="12" w:space="0" w:color="002776"/>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11</w:t>
            </w:r>
          </w:p>
        </w:tc>
        <w:tc>
          <w:tcPr>
            <w:tcW w:w="5899"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rPr>
                <w:rFonts w:ascii="Verdana" w:eastAsia="Verdana" w:hAnsi="Verdana" w:cs="Verdana"/>
                <w:sz w:val="18"/>
              </w:rPr>
              <w:t>Reimbursable Expenses</w:t>
            </w:r>
          </w:p>
        </w:tc>
        <w:tc>
          <w:tcPr>
            <w:tcW w:w="1774" w:type="dxa"/>
            <w:tcBorders>
              <w:top w:val="single" w:sz="8" w:space="0" w:color="35437C"/>
              <w:left w:val="single" w:sz="8" w:space="0" w:color="35437C"/>
              <w:bottom w:val="single" w:sz="8" w:space="0" w:color="35437C"/>
              <w:right w:val="single" w:sz="15" w:space="0" w:color="002776"/>
            </w:tcBorders>
            <w:shd w:val="clear" w:color="auto" w:fill="FFFFFF"/>
          </w:tcPr>
          <w:p w:rsidR="00576F87" w:rsidRDefault="004165F5">
            <w:pPr>
              <w:spacing w:after="0"/>
              <w:ind w:right="2"/>
              <w:jc w:val="right"/>
            </w:pPr>
            <w:r>
              <w:rPr>
                <w:rFonts w:ascii="Verdana" w:eastAsia="Verdana" w:hAnsi="Verdana" w:cs="Verdana"/>
                <w:sz w:val="18"/>
              </w:rPr>
              <w:t>6</w:t>
            </w:r>
          </w:p>
        </w:tc>
      </w:tr>
      <w:tr w:rsidR="00576F87">
        <w:trPr>
          <w:trHeight w:val="290"/>
        </w:trPr>
        <w:tc>
          <w:tcPr>
            <w:tcW w:w="1849" w:type="dxa"/>
            <w:tcBorders>
              <w:top w:val="single" w:sz="8" w:space="0" w:color="35437C"/>
              <w:left w:val="single" w:sz="12" w:space="0" w:color="002776"/>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(119)</w:t>
            </w:r>
          </w:p>
        </w:tc>
        <w:tc>
          <w:tcPr>
            <w:tcW w:w="5899"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rPr>
                <w:rFonts w:ascii="Verdana" w:eastAsia="Verdana" w:hAnsi="Verdana" w:cs="Verdana"/>
                <w:sz w:val="18"/>
              </w:rPr>
              <w:t>IAS 19 Current service costs</w:t>
            </w:r>
          </w:p>
        </w:tc>
        <w:tc>
          <w:tcPr>
            <w:tcW w:w="1774" w:type="dxa"/>
            <w:tcBorders>
              <w:top w:val="single" w:sz="8" w:space="0" w:color="35437C"/>
              <w:left w:val="single" w:sz="8" w:space="0" w:color="35437C"/>
              <w:bottom w:val="single" w:sz="8" w:space="0" w:color="35437C"/>
              <w:right w:val="single" w:sz="15" w:space="0" w:color="002776"/>
            </w:tcBorders>
            <w:shd w:val="clear" w:color="auto" w:fill="FFFFFF"/>
          </w:tcPr>
          <w:p w:rsidR="00576F87" w:rsidRDefault="004165F5">
            <w:pPr>
              <w:spacing w:after="0"/>
              <w:ind w:right="1"/>
              <w:jc w:val="right"/>
            </w:pPr>
            <w:r>
              <w:rPr>
                <w:rFonts w:ascii="Verdana" w:eastAsia="Verdana" w:hAnsi="Verdana" w:cs="Verdana"/>
                <w:sz w:val="18"/>
              </w:rPr>
              <w:t>106</w:t>
            </w:r>
          </w:p>
        </w:tc>
      </w:tr>
      <w:tr w:rsidR="00576F87">
        <w:trPr>
          <w:trHeight w:val="290"/>
        </w:trPr>
        <w:tc>
          <w:tcPr>
            <w:tcW w:w="1849" w:type="dxa"/>
            <w:tcBorders>
              <w:top w:val="single" w:sz="8" w:space="0" w:color="35437C"/>
              <w:left w:val="single" w:sz="12" w:space="0" w:color="002776"/>
              <w:bottom w:val="single" w:sz="8" w:space="0" w:color="35437C"/>
              <w:right w:val="single" w:sz="8" w:space="0" w:color="35437C"/>
            </w:tcBorders>
            <w:shd w:val="clear" w:color="auto" w:fill="FFFFFF"/>
          </w:tcPr>
          <w:p w:rsidR="00576F87" w:rsidRDefault="004165F5">
            <w:pPr>
              <w:spacing w:after="0"/>
              <w:ind w:right="2"/>
              <w:jc w:val="right"/>
            </w:pPr>
            <w:r>
              <w:rPr>
                <w:rFonts w:ascii="Verdana" w:eastAsia="Verdana" w:hAnsi="Verdana" w:cs="Verdana"/>
                <w:sz w:val="18"/>
              </w:rPr>
              <w:t>2</w:t>
            </w:r>
          </w:p>
        </w:tc>
        <w:tc>
          <w:tcPr>
            <w:tcW w:w="5899"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rPr>
                <w:rFonts w:ascii="Verdana" w:eastAsia="Verdana" w:hAnsi="Verdana" w:cs="Verdana"/>
                <w:sz w:val="18"/>
              </w:rPr>
              <w:t>Temporary staff</w:t>
            </w:r>
          </w:p>
        </w:tc>
        <w:tc>
          <w:tcPr>
            <w:tcW w:w="1774" w:type="dxa"/>
            <w:tcBorders>
              <w:top w:val="single" w:sz="8" w:space="0" w:color="35437C"/>
              <w:left w:val="single" w:sz="8" w:space="0" w:color="35437C"/>
              <w:bottom w:val="single" w:sz="8" w:space="0" w:color="35437C"/>
              <w:right w:val="single" w:sz="15" w:space="0" w:color="002776"/>
            </w:tcBorders>
            <w:shd w:val="clear" w:color="auto" w:fill="FFFFFF"/>
          </w:tcPr>
          <w:p w:rsidR="00576F87" w:rsidRDefault="004165F5">
            <w:pPr>
              <w:spacing w:after="0"/>
              <w:ind w:right="1"/>
              <w:jc w:val="right"/>
            </w:pPr>
            <w:r>
              <w:rPr>
                <w:rFonts w:ascii="Verdana" w:eastAsia="Verdana" w:hAnsi="Verdana" w:cs="Verdana"/>
                <w:sz w:val="18"/>
              </w:rPr>
              <w:t>10</w:t>
            </w:r>
          </w:p>
        </w:tc>
      </w:tr>
      <w:tr w:rsidR="00576F87">
        <w:trPr>
          <w:trHeight w:val="290"/>
        </w:trPr>
        <w:tc>
          <w:tcPr>
            <w:tcW w:w="1849" w:type="dxa"/>
            <w:tcBorders>
              <w:top w:val="single" w:sz="8" w:space="0" w:color="35437C"/>
              <w:left w:val="single" w:sz="12" w:space="0" w:color="002776"/>
              <w:bottom w:val="single" w:sz="8" w:space="0" w:color="35437C"/>
              <w:right w:val="single" w:sz="8" w:space="0" w:color="35437C"/>
            </w:tcBorders>
            <w:shd w:val="clear" w:color="auto" w:fill="FFFFFF"/>
          </w:tcPr>
          <w:p w:rsidR="00576F87" w:rsidRDefault="004165F5">
            <w:pPr>
              <w:spacing w:after="0"/>
              <w:ind w:right="2"/>
              <w:jc w:val="right"/>
            </w:pPr>
            <w:r>
              <w:rPr>
                <w:rFonts w:ascii="Verdana" w:eastAsia="Verdana" w:hAnsi="Verdana" w:cs="Verdana"/>
                <w:sz w:val="18"/>
              </w:rPr>
              <w:t>7</w:t>
            </w:r>
          </w:p>
        </w:tc>
        <w:tc>
          <w:tcPr>
            <w:tcW w:w="5899"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rPr>
                <w:rFonts w:ascii="Verdana" w:eastAsia="Verdana" w:hAnsi="Verdana" w:cs="Verdana"/>
                <w:sz w:val="18"/>
              </w:rPr>
              <w:t>Training costs</w:t>
            </w:r>
          </w:p>
        </w:tc>
        <w:tc>
          <w:tcPr>
            <w:tcW w:w="1774" w:type="dxa"/>
            <w:tcBorders>
              <w:top w:val="single" w:sz="8" w:space="0" w:color="35437C"/>
              <w:left w:val="single" w:sz="8" w:space="0" w:color="35437C"/>
              <w:bottom w:val="single" w:sz="8" w:space="0" w:color="35437C"/>
              <w:right w:val="single" w:sz="15" w:space="0" w:color="002776"/>
            </w:tcBorders>
            <w:shd w:val="clear" w:color="auto" w:fill="FFFFFF"/>
          </w:tcPr>
          <w:p w:rsidR="00576F87" w:rsidRDefault="004165F5">
            <w:pPr>
              <w:spacing w:after="0"/>
              <w:ind w:right="2"/>
              <w:jc w:val="right"/>
            </w:pPr>
            <w:r>
              <w:rPr>
                <w:rFonts w:ascii="Verdana" w:eastAsia="Verdana" w:hAnsi="Verdana" w:cs="Verdana"/>
                <w:sz w:val="18"/>
              </w:rPr>
              <w:t>1</w:t>
            </w:r>
          </w:p>
        </w:tc>
      </w:tr>
      <w:tr w:rsidR="00576F87">
        <w:trPr>
          <w:trHeight w:val="290"/>
        </w:trPr>
        <w:tc>
          <w:tcPr>
            <w:tcW w:w="1849" w:type="dxa"/>
            <w:tcBorders>
              <w:top w:val="single" w:sz="8" w:space="0" w:color="35437C"/>
              <w:left w:val="single" w:sz="12" w:space="0" w:color="002776"/>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(2)</w:t>
            </w:r>
          </w:p>
        </w:tc>
        <w:tc>
          <w:tcPr>
            <w:tcW w:w="5899"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rPr>
                <w:rFonts w:ascii="Verdana" w:eastAsia="Verdana" w:hAnsi="Verdana" w:cs="Verdana"/>
                <w:sz w:val="18"/>
              </w:rPr>
              <w:t>Recruitment costs</w:t>
            </w:r>
          </w:p>
        </w:tc>
        <w:tc>
          <w:tcPr>
            <w:tcW w:w="1774" w:type="dxa"/>
            <w:tcBorders>
              <w:top w:val="single" w:sz="8" w:space="0" w:color="35437C"/>
              <w:left w:val="single" w:sz="8" w:space="0" w:color="35437C"/>
              <w:bottom w:val="single" w:sz="8" w:space="0" w:color="35437C"/>
              <w:right w:val="single" w:sz="15" w:space="0" w:color="002776"/>
            </w:tcBorders>
            <w:shd w:val="clear" w:color="auto" w:fill="FFFFFF"/>
          </w:tcPr>
          <w:p w:rsidR="00576F87" w:rsidRDefault="004165F5">
            <w:pPr>
              <w:spacing w:after="0"/>
              <w:ind w:right="1"/>
              <w:jc w:val="right"/>
            </w:pPr>
            <w:r>
              <w:rPr>
                <w:rFonts w:ascii="Verdana" w:eastAsia="Verdana" w:hAnsi="Verdana" w:cs="Verdana"/>
                <w:sz w:val="18"/>
              </w:rPr>
              <w:t>(3)</w:t>
            </w:r>
          </w:p>
        </w:tc>
      </w:tr>
      <w:tr w:rsidR="00576F87">
        <w:trPr>
          <w:trHeight w:val="290"/>
        </w:trPr>
        <w:tc>
          <w:tcPr>
            <w:tcW w:w="1849" w:type="dxa"/>
            <w:tcBorders>
              <w:top w:val="single" w:sz="8" w:space="0" w:color="35437C"/>
              <w:left w:val="single" w:sz="12" w:space="0" w:color="002776"/>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19</w:t>
            </w:r>
          </w:p>
        </w:tc>
        <w:tc>
          <w:tcPr>
            <w:tcW w:w="5899"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rPr>
                <w:rFonts w:ascii="Verdana" w:eastAsia="Verdana" w:hAnsi="Verdana" w:cs="Verdana"/>
                <w:sz w:val="18"/>
              </w:rPr>
              <w:t>Overtime</w:t>
            </w:r>
          </w:p>
        </w:tc>
        <w:tc>
          <w:tcPr>
            <w:tcW w:w="1774" w:type="dxa"/>
            <w:tcBorders>
              <w:top w:val="single" w:sz="8" w:space="0" w:color="35437C"/>
              <w:left w:val="single" w:sz="8" w:space="0" w:color="35437C"/>
              <w:bottom w:val="single" w:sz="8" w:space="0" w:color="35437C"/>
              <w:right w:val="single" w:sz="15" w:space="0" w:color="002776"/>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849" w:type="dxa"/>
            <w:tcBorders>
              <w:top w:val="single" w:sz="8" w:space="0" w:color="35437C"/>
              <w:left w:val="single" w:sz="12" w:space="0" w:color="002776"/>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37</w:t>
            </w:r>
          </w:p>
        </w:tc>
        <w:tc>
          <w:tcPr>
            <w:tcW w:w="5899"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rPr>
                <w:rFonts w:ascii="Verdana" w:eastAsia="Verdana" w:hAnsi="Verdana" w:cs="Verdana"/>
                <w:sz w:val="18"/>
              </w:rPr>
              <w:t>Other employee related costs</w:t>
            </w:r>
          </w:p>
        </w:tc>
        <w:tc>
          <w:tcPr>
            <w:tcW w:w="1774" w:type="dxa"/>
            <w:tcBorders>
              <w:top w:val="single" w:sz="8" w:space="0" w:color="35437C"/>
              <w:left w:val="single" w:sz="8" w:space="0" w:color="35437C"/>
              <w:bottom w:val="single" w:sz="8" w:space="0" w:color="35437C"/>
              <w:right w:val="single" w:sz="15" w:space="0" w:color="002776"/>
            </w:tcBorders>
            <w:shd w:val="clear" w:color="auto" w:fill="FFFFFF"/>
          </w:tcPr>
          <w:p w:rsidR="00576F87" w:rsidRDefault="004165F5">
            <w:pPr>
              <w:spacing w:after="0"/>
              <w:ind w:right="2"/>
              <w:jc w:val="right"/>
            </w:pPr>
            <w:r>
              <w:rPr>
                <w:rFonts w:ascii="Verdana" w:eastAsia="Verdana" w:hAnsi="Verdana" w:cs="Verdana"/>
                <w:sz w:val="18"/>
              </w:rPr>
              <w:t>6</w:t>
            </w:r>
          </w:p>
        </w:tc>
      </w:tr>
      <w:tr w:rsidR="00576F87">
        <w:trPr>
          <w:trHeight w:val="305"/>
        </w:trPr>
        <w:tc>
          <w:tcPr>
            <w:tcW w:w="1849" w:type="dxa"/>
            <w:tcBorders>
              <w:top w:val="single" w:sz="8" w:space="0" w:color="35437C"/>
              <w:left w:val="single" w:sz="12" w:space="0" w:color="002776"/>
              <w:bottom w:val="single" w:sz="15"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(107)</w:t>
            </w:r>
          </w:p>
        </w:tc>
        <w:tc>
          <w:tcPr>
            <w:tcW w:w="5899" w:type="dxa"/>
            <w:tcBorders>
              <w:top w:val="single" w:sz="8" w:space="0" w:color="35437C"/>
              <w:left w:val="single" w:sz="8" w:space="0" w:color="35437C"/>
              <w:bottom w:val="single" w:sz="15" w:space="0" w:color="35437C"/>
              <w:right w:val="single" w:sz="8" w:space="0" w:color="35437C"/>
            </w:tcBorders>
            <w:shd w:val="clear" w:color="auto" w:fill="FFFFFF"/>
          </w:tcPr>
          <w:p w:rsidR="00576F87" w:rsidRDefault="004165F5">
            <w:pPr>
              <w:spacing w:after="0"/>
            </w:pPr>
            <w:r>
              <w:rPr>
                <w:rFonts w:ascii="Verdana" w:eastAsia="Verdana" w:hAnsi="Verdana" w:cs="Verdana"/>
                <w:sz w:val="18"/>
              </w:rPr>
              <w:t>Accumulated compensated absences</w:t>
            </w:r>
          </w:p>
        </w:tc>
        <w:tc>
          <w:tcPr>
            <w:tcW w:w="1774" w:type="dxa"/>
            <w:tcBorders>
              <w:top w:val="single" w:sz="8" w:space="0" w:color="35437C"/>
              <w:left w:val="single" w:sz="8" w:space="0" w:color="35437C"/>
              <w:bottom w:val="single" w:sz="15" w:space="0" w:color="35437C"/>
              <w:right w:val="single" w:sz="15" w:space="0" w:color="002776"/>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305"/>
        </w:trPr>
        <w:tc>
          <w:tcPr>
            <w:tcW w:w="7748" w:type="dxa"/>
            <w:gridSpan w:val="2"/>
            <w:tcBorders>
              <w:top w:val="single" w:sz="15" w:space="0" w:color="35437C"/>
              <w:left w:val="single" w:sz="12" w:space="0" w:color="002776"/>
              <w:bottom w:val="single" w:sz="15" w:space="0" w:color="002776"/>
              <w:right w:val="nil"/>
            </w:tcBorders>
            <w:shd w:val="clear" w:color="auto" w:fill="35437C"/>
          </w:tcPr>
          <w:p w:rsidR="00576F87" w:rsidRDefault="004165F5">
            <w:pPr>
              <w:spacing w:after="0"/>
              <w:ind w:left="1391"/>
            </w:pPr>
            <w:r>
              <w:rPr>
                <w:rFonts w:ascii="Verdana" w:eastAsia="Verdana" w:hAnsi="Verdana" w:cs="Verdana"/>
                <w:b/>
                <w:color w:val="FFFFFF"/>
                <w:sz w:val="18"/>
              </w:rPr>
              <w:t>612</w:t>
            </w:r>
          </w:p>
        </w:tc>
        <w:tc>
          <w:tcPr>
            <w:tcW w:w="1774" w:type="dxa"/>
            <w:tcBorders>
              <w:top w:val="single" w:sz="15" w:space="0" w:color="35437C"/>
              <w:left w:val="nil"/>
              <w:bottom w:val="single" w:sz="15" w:space="0" w:color="002776"/>
              <w:right w:val="single" w:sz="15" w:space="0" w:color="002776"/>
            </w:tcBorders>
            <w:shd w:val="clear" w:color="auto" w:fill="35437C"/>
          </w:tcPr>
          <w:p w:rsidR="00576F87" w:rsidRDefault="004165F5">
            <w:pPr>
              <w:spacing w:after="0"/>
              <w:jc w:val="right"/>
            </w:pPr>
            <w:r>
              <w:rPr>
                <w:rFonts w:ascii="Verdana" w:eastAsia="Verdana" w:hAnsi="Verdana" w:cs="Verdana"/>
                <w:b/>
                <w:color w:val="FFFFFF"/>
                <w:sz w:val="18"/>
              </w:rPr>
              <w:t>411</w:t>
            </w:r>
          </w:p>
        </w:tc>
      </w:tr>
      <w:tr w:rsidR="00576F87">
        <w:trPr>
          <w:trHeight w:val="293"/>
        </w:trPr>
        <w:tc>
          <w:tcPr>
            <w:tcW w:w="9522" w:type="dxa"/>
            <w:gridSpan w:val="3"/>
            <w:tcBorders>
              <w:top w:val="single" w:sz="15" w:space="0" w:color="002776"/>
              <w:left w:val="nil"/>
              <w:bottom w:val="nil"/>
              <w:right w:val="nil"/>
            </w:tcBorders>
            <w:shd w:val="clear" w:color="auto" w:fill="FFFFFF"/>
          </w:tcPr>
          <w:p w:rsidR="00576F87" w:rsidRDefault="00576F87"/>
        </w:tc>
      </w:tr>
    </w:tbl>
    <w:p w:rsidR="00576F87" w:rsidRDefault="004165F5">
      <w:pPr>
        <w:tabs>
          <w:tab w:val="center" w:pos="5316"/>
        </w:tabs>
        <w:spacing w:after="196"/>
      </w:pPr>
      <w:r>
        <w:rPr>
          <w:rFonts w:ascii="Verdana" w:eastAsia="Verdana" w:hAnsi="Verdana" w:cs="Verdana"/>
          <w:b/>
          <w:sz w:val="28"/>
        </w:rPr>
        <w:t>8b</w:t>
      </w:r>
      <w:r>
        <w:rPr>
          <w:rFonts w:ascii="Verdana" w:eastAsia="Verdana" w:hAnsi="Verdana" w:cs="Verdana"/>
          <w:b/>
          <w:sz w:val="28"/>
        </w:rPr>
        <w:tab/>
      </w:r>
      <w:r>
        <w:rPr>
          <w:rFonts w:ascii="Verdana" w:eastAsia="Verdana" w:hAnsi="Verdana" w:cs="Verdana"/>
          <w:sz w:val="28"/>
        </w:rPr>
        <w:t>Disclosure of remuneration for senior employees</w:t>
      </w:r>
    </w:p>
    <w:p w:rsidR="00576F87" w:rsidRDefault="004165F5">
      <w:pPr>
        <w:spacing w:after="101" w:line="268" w:lineRule="auto"/>
        <w:ind w:left="-7" w:hanging="3"/>
        <w:jc w:val="both"/>
      </w:pPr>
      <w:r>
        <w:rPr>
          <w:rFonts w:ascii="Verdana" w:eastAsia="Verdana" w:hAnsi="Verdana" w:cs="Verdana"/>
          <w:sz w:val="18"/>
        </w:rPr>
        <w:t>The following table sets out the remuneration disclosures for Senior Officers whose salary is greater than £50,000 per year.</w:t>
      </w:r>
    </w:p>
    <w:tbl>
      <w:tblPr>
        <w:tblStyle w:val="TableGrid"/>
        <w:tblW w:w="9522" w:type="dxa"/>
        <w:tblInd w:w="-32" w:type="dxa"/>
        <w:tblCellMar>
          <w:top w:w="69" w:type="dxa"/>
          <w:left w:w="35" w:type="dxa"/>
          <w:bottom w:w="0" w:type="dxa"/>
          <w:right w:w="0" w:type="dxa"/>
        </w:tblCellMar>
        <w:tblLook w:val="04A0" w:firstRow="1" w:lastRow="0" w:firstColumn="1" w:lastColumn="0" w:noHBand="0" w:noVBand="1"/>
      </w:tblPr>
      <w:tblGrid>
        <w:gridCol w:w="1849"/>
        <w:gridCol w:w="2530"/>
        <w:gridCol w:w="1822"/>
        <w:gridCol w:w="1548"/>
        <w:gridCol w:w="1774"/>
      </w:tblGrid>
      <w:tr w:rsidR="00576F87">
        <w:trPr>
          <w:trHeight w:val="725"/>
        </w:trPr>
        <w:tc>
          <w:tcPr>
            <w:tcW w:w="1849" w:type="dxa"/>
            <w:tcBorders>
              <w:top w:val="single" w:sz="15" w:space="0" w:color="35437C"/>
              <w:left w:val="single" w:sz="12" w:space="0" w:color="35437C"/>
              <w:bottom w:val="single" w:sz="8" w:space="0" w:color="35437C"/>
              <w:right w:val="nil"/>
            </w:tcBorders>
            <w:shd w:val="clear" w:color="auto" w:fill="35437C"/>
          </w:tcPr>
          <w:p w:rsidR="00576F87" w:rsidRDefault="004165F5">
            <w:pPr>
              <w:spacing w:after="135"/>
              <w:ind w:right="-151"/>
              <w:jc w:val="right"/>
            </w:pPr>
            <w:r>
              <w:rPr>
                <w:rFonts w:ascii="Verdana" w:eastAsia="Verdana" w:hAnsi="Verdana" w:cs="Verdana"/>
                <w:b/>
                <w:color w:val="FFFFFF"/>
                <w:sz w:val="18"/>
              </w:rPr>
              <w:t>31-</w:t>
            </w:r>
          </w:p>
          <w:p w:rsidR="00576F87" w:rsidRDefault="004165F5">
            <w:pPr>
              <w:spacing w:after="0"/>
              <w:ind w:left="5"/>
            </w:pPr>
            <w:r>
              <w:rPr>
                <w:rFonts w:ascii="Verdana" w:eastAsia="Verdana" w:hAnsi="Verdana" w:cs="Verdana"/>
                <w:b/>
                <w:color w:val="FFFFFF"/>
                <w:sz w:val="18"/>
              </w:rPr>
              <w:t>Post Holder</w:t>
            </w:r>
          </w:p>
        </w:tc>
        <w:tc>
          <w:tcPr>
            <w:tcW w:w="2530" w:type="dxa"/>
            <w:tcBorders>
              <w:top w:val="single" w:sz="15" w:space="0" w:color="35437C"/>
              <w:left w:val="nil"/>
              <w:bottom w:val="single" w:sz="8" w:space="0" w:color="35437C"/>
              <w:right w:val="single" w:sz="8" w:space="0" w:color="35437C"/>
            </w:tcBorders>
            <w:shd w:val="clear" w:color="auto" w:fill="35437C"/>
          </w:tcPr>
          <w:p w:rsidR="00576F87" w:rsidRDefault="004165F5">
            <w:pPr>
              <w:spacing w:after="18"/>
              <w:ind w:left="116"/>
            </w:pPr>
            <w:r>
              <w:rPr>
                <w:rFonts w:ascii="Verdana" w:eastAsia="Verdana" w:hAnsi="Verdana" w:cs="Verdana"/>
                <w:b/>
                <w:color w:val="FFFFFF"/>
                <w:sz w:val="18"/>
              </w:rPr>
              <w:t>Mar-18</w:t>
            </w:r>
          </w:p>
          <w:p w:rsidR="00576F87" w:rsidRDefault="004165F5">
            <w:pPr>
              <w:spacing w:after="3"/>
              <w:ind w:left="30"/>
              <w:jc w:val="both"/>
            </w:pPr>
            <w:r>
              <w:rPr>
                <w:rFonts w:ascii="Verdana" w:eastAsia="Verdana" w:hAnsi="Verdana" w:cs="Verdana"/>
                <w:b/>
                <w:color w:val="FFFFFF"/>
                <w:sz w:val="18"/>
              </w:rPr>
              <w:t xml:space="preserve">Salary (including fees &amp; </w:t>
            </w:r>
          </w:p>
          <w:p w:rsidR="00576F87" w:rsidRDefault="004165F5">
            <w:pPr>
              <w:spacing w:after="0"/>
              <w:ind w:right="39"/>
              <w:jc w:val="right"/>
            </w:pPr>
            <w:r>
              <w:rPr>
                <w:rFonts w:ascii="Verdana" w:eastAsia="Verdana" w:hAnsi="Verdana" w:cs="Verdana"/>
                <w:b/>
                <w:color w:val="FFFFFF"/>
                <w:sz w:val="18"/>
              </w:rPr>
              <w:t>allowances)</w:t>
            </w:r>
          </w:p>
        </w:tc>
        <w:tc>
          <w:tcPr>
            <w:tcW w:w="1822" w:type="dxa"/>
            <w:tcBorders>
              <w:top w:val="single" w:sz="15" w:space="0" w:color="35437C"/>
              <w:left w:val="single" w:sz="8" w:space="0" w:color="35437C"/>
              <w:bottom w:val="single" w:sz="8" w:space="0" w:color="35437C"/>
              <w:right w:val="single" w:sz="8" w:space="0" w:color="35437C"/>
            </w:tcBorders>
            <w:shd w:val="clear" w:color="auto" w:fill="35437C"/>
            <w:vAlign w:val="bottom"/>
          </w:tcPr>
          <w:p w:rsidR="00576F87" w:rsidRDefault="004165F5">
            <w:pPr>
              <w:spacing w:after="0"/>
              <w:ind w:right="40"/>
              <w:jc w:val="right"/>
            </w:pPr>
            <w:r>
              <w:rPr>
                <w:rFonts w:ascii="Verdana" w:eastAsia="Verdana" w:hAnsi="Verdana" w:cs="Verdana"/>
                <w:b/>
                <w:color w:val="FFFFFF"/>
                <w:sz w:val="18"/>
              </w:rPr>
              <w:t>Bonus</w:t>
            </w:r>
          </w:p>
        </w:tc>
        <w:tc>
          <w:tcPr>
            <w:tcW w:w="1548" w:type="dxa"/>
            <w:tcBorders>
              <w:top w:val="single" w:sz="15" w:space="0" w:color="35437C"/>
              <w:left w:val="single" w:sz="8" w:space="0" w:color="35437C"/>
              <w:bottom w:val="single" w:sz="8" w:space="0" w:color="35437C"/>
              <w:right w:val="single" w:sz="8" w:space="0" w:color="35437C"/>
            </w:tcBorders>
            <w:shd w:val="clear" w:color="auto" w:fill="35437C"/>
            <w:vAlign w:val="bottom"/>
          </w:tcPr>
          <w:p w:rsidR="00576F87" w:rsidRDefault="004165F5">
            <w:pPr>
              <w:spacing w:after="0"/>
              <w:ind w:right="38"/>
              <w:jc w:val="right"/>
            </w:pPr>
            <w:r>
              <w:rPr>
                <w:rFonts w:ascii="Verdana" w:eastAsia="Verdana" w:hAnsi="Verdana" w:cs="Verdana"/>
                <w:b/>
                <w:color w:val="FFFFFF"/>
                <w:sz w:val="18"/>
              </w:rPr>
              <w:t>Pension contributions</w:t>
            </w:r>
          </w:p>
        </w:tc>
        <w:tc>
          <w:tcPr>
            <w:tcW w:w="1774" w:type="dxa"/>
            <w:tcBorders>
              <w:top w:val="single" w:sz="15" w:space="0" w:color="35437C"/>
              <w:left w:val="single" w:sz="8" w:space="0" w:color="35437C"/>
              <w:bottom w:val="single" w:sz="8" w:space="0" w:color="35437C"/>
              <w:right w:val="single" w:sz="15" w:space="0" w:color="35437C"/>
            </w:tcBorders>
            <w:shd w:val="clear" w:color="auto" w:fill="35437C"/>
            <w:vAlign w:val="bottom"/>
          </w:tcPr>
          <w:p w:rsidR="00576F87" w:rsidRDefault="004165F5">
            <w:pPr>
              <w:spacing w:after="0"/>
              <w:ind w:right="38"/>
              <w:jc w:val="right"/>
            </w:pPr>
            <w:r>
              <w:rPr>
                <w:rFonts w:ascii="Verdana" w:eastAsia="Verdana" w:hAnsi="Verdana" w:cs="Verdana"/>
                <w:b/>
                <w:color w:val="FFFFFF"/>
                <w:sz w:val="18"/>
              </w:rPr>
              <w:t>Total remuneration</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tcPr>
          <w:p w:rsidR="00576F87" w:rsidRDefault="00576F87"/>
        </w:tc>
        <w:tc>
          <w:tcPr>
            <w:tcW w:w="2530"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Times New Roman" w:eastAsia="Times New Roman" w:hAnsi="Times New Roman" w:cs="Times New Roman"/>
                <w:b/>
                <w:sz w:val="18"/>
              </w:rPr>
              <w:t>£</w:t>
            </w:r>
          </w:p>
        </w:tc>
        <w:tc>
          <w:tcPr>
            <w:tcW w:w="1822" w:type="dxa"/>
            <w:tcBorders>
              <w:top w:val="single" w:sz="8" w:space="0" w:color="35437C"/>
              <w:left w:val="single" w:sz="8" w:space="0" w:color="35437C"/>
              <w:bottom w:val="single" w:sz="8" w:space="0" w:color="35437C"/>
              <w:right w:val="single" w:sz="8" w:space="0" w:color="35437C"/>
            </w:tcBorders>
          </w:tcPr>
          <w:p w:rsidR="00576F87" w:rsidRDefault="00576F87"/>
        </w:tc>
        <w:tc>
          <w:tcPr>
            <w:tcW w:w="154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Times New Roman" w:eastAsia="Times New Roman" w:hAnsi="Times New Roman" w:cs="Times New Roman"/>
                <w:b/>
                <w:sz w:val="18"/>
              </w:rPr>
              <w:t>£</w:t>
            </w:r>
          </w:p>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0"/>
              <w:jc w:val="right"/>
            </w:pPr>
            <w:r>
              <w:rPr>
                <w:rFonts w:ascii="Times New Roman" w:eastAsia="Times New Roman" w:hAnsi="Times New Roman" w:cs="Times New Roman"/>
                <w:b/>
                <w:sz w:val="18"/>
              </w:rPr>
              <w:t>£</w:t>
            </w:r>
          </w:p>
        </w:tc>
      </w:tr>
      <w:tr w:rsidR="00576F87">
        <w:trPr>
          <w:trHeight w:val="420"/>
        </w:trPr>
        <w:tc>
          <w:tcPr>
            <w:tcW w:w="1849" w:type="dxa"/>
            <w:tcBorders>
              <w:top w:val="single" w:sz="8" w:space="0" w:color="35437C"/>
              <w:left w:val="single" w:sz="12" w:space="0" w:color="35437C"/>
              <w:bottom w:val="single" w:sz="15" w:space="0" w:color="35437C"/>
              <w:right w:val="single" w:sz="8" w:space="0" w:color="35437C"/>
            </w:tcBorders>
            <w:vAlign w:val="center"/>
          </w:tcPr>
          <w:p w:rsidR="00576F87" w:rsidRDefault="004165F5">
            <w:pPr>
              <w:spacing w:after="0"/>
              <w:jc w:val="both"/>
            </w:pPr>
            <w:r>
              <w:rPr>
                <w:rFonts w:ascii="Verdana" w:eastAsia="Verdana" w:hAnsi="Verdana" w:cs="Verdana"/>
                <w:sz w:val="18"/>
              </w:rPr>
              <w:t>Managing Director*</w:t>
            </w:r>
          </w:p>
        </w:tc>
        <w:tc>
          <w:tcPr>
            <w:tcW w:w="2530" w:type="dxa"/>
            <w:tcBorders>
              <w:top w:val="single" w:sz="8" w:space="0" w:color="35437C"/>
              <w:left w:val="single" w:sz="8" w:space="0" w:color="35437C"/>
              <w:bottom w:val="single" w:sz="15" w:space="0" w:color="35437C"/>
              <w:right w:val="single" w:sz="8" w:space="0" w:color="35437C"/>
            </w:tcBorders>
            <w:vAlign w:val="center"/>
          </w:tcPr>
          <w:p w:rsidR="00576F87" w:rsidRDefault="004165F5">
            <w:pPr>
              <w:spacing w:after="0"/>
              <w:ind w:right="34"/>
              <w:jc w:val="right"/>
            </w:pPr>
            <w:r>
              <w:rPr>
                <w:rFonts w:ascii="Verdana" w:eastAsia="Verdana" w:hAnsi="Verdana" w:cs="Verdana"/>
                <w:sz w:val="18"/>
              </w:rPr>
              <w:t>149,733</w:t>
            </w:r>
          </w:p>
        </w:tc>
        <w:tc>
          <w:tcPr>
            <w:tcW w:w="1822" w:type="dxa"/>
            <w:tcBorders>
              <w:top w:val="single" w:sz="8" w:space="0" w:color="35437C"/>
              <w:left w:val="single" w:sz="8" w:space="0" w:color="35437C"/>
              <w:bottom w:val="single" w:sz="15" w:space="0" w:color="35437C"/>
              <w:right w:val="single" w:sz="8" w:space="0" w:color="35437C"/>
            </w:tcBorders>
            <w:vAlign w:val="center"/>
          </w:tcPr>
          <w:p w:rsidR="00576F87" w:rsidRDefault="004165F5">
            <w:pPr>
              <w:spacing w:after="0"/>
              <w:ind w:right="33"/>
              <w:jc w:val="right"/>
            </w:pPr>
            <w:r>
              <w:rPr>
                <w:rFonts w:ascii="Verdana" w:eastAsia="Verdana" w:hAnsi="Verdana" w:cs="Verdana"/>
                <w:sz w:val="18"/>
              </w:rPr>
              <w:t>24,900</w:t>
            </w:r>
          </w:p>
        </w:tc>
        <w:tc>
          <w:tcPr>
            <w:tcW w:w="1548" w:type="dxa"/>
            <w:tcBorders>
              <w:top w:val="single" w:sz="8" w:space="0" w:color="35437C"/>
              <w:left w:val="single" w:sz="8" w:space="0" w:color="35437C"/>
              <w:bottom w:val="single" w:sz="15" w:space="0" w:color="35437C"/>
              <w:right w:val="single" w:sz="8" w:space="0" w:color="35437C"/>
            </w:tcBorders>
            <w:vAlign w:val="center"/>
          </w:tcPr>
          <w:p w:rsidR="00576F87" w:rsidRDefault="004165F5">
            <w:pPr>
              <w:spacing w:after="0"/>
              <w:ind w:right="33"/>
              <w:jc w:val="right"/>
            </w:pPr>
            <w:r>
              <w:rPr>
                <w:rFonts w:ascii="Verdana" w:eastAsia="Verdana" w:hAnsi="Verdana" w:cs="Verdana"/>
                <w:sz w:val="18"/>
              </w:rPr>
              <w:t>20,223</w:t>
            </w:r>
          </w:p>
        </w:tc>
        <w:tc>
          <w:tcPr>
            <w:tcW w:w="1774" w:type="dxa"/>
            <w:tcBorders>
              <w:top w:val="single" w:sz="8" w:space="0" w:color="35437C"/>
              <w:left w:val="single" w:sz="8" w:space="0" w:color="35437C"/>
              <w:bottom w:val="single" w:sz="15" w:space="0" w:color="35437C"/>
              <w:right w:val="single" w:sz="15" w:space="0" w:color="35437C"/>
            </w:tcBorders>
            <w:vAlign w:val="center"/>
          </w:tcPr>
          <w:p w:rsidR="00576F87" w:rsidRDefault="004165F5">
            <w:pPr>
              <w:spacing w:after="0"/>
              <w:ind w:right="33"/>
              <w:jc w:val="right"/>
            </w:pPr>
            <w:r>
              <w:rPr>
                <w:rFonts w:ascii="Verdana" w:eastAsia="Verdana" w:hAnsi="Verdana" w:cs="Verdana"/>
                <w:sz w:val="18"/>
              </w:rPr>
              <w:t>194,856</w:t>
            </w:r>
          </w:p>
        </w:tc>
      </w:tr>
    </w:tbl>
    <w:p w:rsidR="00576F87" w:rsidRDefault="004165F5">
      <w:pPr>
        <w:spacing w:after="151" w:line="260" w:lineRule="auto"/>
        <w:ind w:left="-5" w:right="561" w:hanging="10"/>
        <w:jc w:val="both"/>
      </w:pPr>
      <w:r>
        <w:rPr>
          <w:rFonts w:ascii="Verdana" w:eastAsia="Verdana" w:hAnsi="Verdana" w:cs="Verdana"/>
          <w:sz w:val="16"/>
        </w:rPr>
        <w:t>* Left post in 31 March 2018</w:t>
      </w:r>
    </w:p>
    <w:tbl>
      <w:tblPr>
        <w:tblStyle w:val="TableGrid"/>
        <w:tblW w:w="9522" w:type="dxa"/>
        <w:tblInd w:w="-32" w:type="dxa"/>
        <w:tblCellMar>
          <w:top w:w="69" w:type="dxa"/>
          <w:left w:w="35" w:type="dxa"/>
          <w:bottom w:w="0" w:type="dxa"/>
          <w:right w:w="0" w:type="dxa"/>
        </w:tblCellMar>
        <w:tblLook w:val="04A0" w:firstRow="1" w:lastRow="0" w:firstColumn="1" w:lastColumn="0" w:noHBand="0" w:noVBand="1"/>
      </w:tblPr>
      <w:tblGrid>
        <w:gridCol w:w="1849"/>
        <w:gridCol w:w="2530"/>
        <w:gridCol w:w="1822"/>
        <w:gridCol w:w="1548"/>
        <w:gridCol w:w="1774"/>
      </w:tblGrid>
      <w:tr w:rsidR="00576F87">
        <w:trPr>
          <w:trHeight w:val="725"/>
        </w:trPr>
        <w:tc>
          <w:tcPr>
            <w:tcW w:w="1849" w:type="dxa"/>
            <w:tcBorders>
              <w:top w:val="single" w:sz="15" w:space="0" w:color="35437C"/>
              <w:left w:val="single" w:sz="12" w:space="0" w:color="35437C"/>
              <w:bottom w:val="single" w:sz="8" w:space="0" w:color="35437C"/>
              <w:right w:val="nil"/>
            </w:tcBorders>
            <w:shd w:val="clear" w:color="auto" w:fill="35437C"/>
          </w:tcPr>
          <w:p w:rsidR="00576F87" w:rsidRDefault="004165F5">
            <w:pPr>
              <w:spacing w:after="135"/>
              <w:ind w:right="-151"/>
              <w:jc w:val="right"/>
            </w:pPr>
            <w:r>
              <w:rPr>
                <w:rFonts w:ascii="Verdana" w:eastAsia="Verdana" w:hAnsi="Verdana" w:cs="Verdana"/>
                <w:b/>
                <w:color w:val="FFFFFF"/>
                <w:sz w:val="18"/>
              </w:rPr>
              <w:t>31-</w:t>
            </w:r>
          </w:p>
          <w:p w:rsidR="00576F87" w:rsidRDefault="004165F5">
            <w:pPr>
              <w:spacing w:after="0"/>
              <w:ind w:left="5"/>
            </w:pPr>
            <w:r>
              <w:rPr>
                <w:rFonts w:ascii="Verdana" w:eastAsia="Verdana" w:hAnsi="Verdana" w:cs="Verdana"/>
                <w:b/>
                <w:color w:val="FFFFFF"/>
                <w:sz w:val="18"/>
              </w:rPr>
              <w:t>Post Holder</w:t>
            </w:r>
          </w:p>
        </w:tc>
        <w:tc>
          <w:tcPr>
            <w:tcW w:w="2530" w:type="dxa"/>
            <w:tcBorders>
              <w:top w:val="single" w:sz="15" w:space="0" w:color="35437C"/>
              <w:left w:val="nil"/>
              <w:bottom w:val="single" w:sz="8" w:space="0" w:color="35437C"/>
              <w:right w:val="single" w:sz="8" w:space="0" w:color="35437C"/>
            </w:tcBorders>
            <w:shd w:val="clear" w:color="auto" w:fill="35437C"/>
          </w:tcPr>
          <w:p w:rsidR="00576F87" w:rsidRDefault="004165F5">
            <w:pPr>
              <w:spacing w:after="18"/>
              <w:ind w:left="116"/>
            </w:pPr>
            <w:r>
              <w:rPr>
                <w:rFonts w:ascii="Verdana" w:eastAsia="Verdana" w:hAnsi="Verdana" w:cs="Verdana"/>
                <w:b/>
                <w:color w:val="FFFFFF"/>
                <w:sz w:val="18"/>
              </w:rPr>
              <w:t>Mar-17</w:t>
            </w:r>
          </w:p>
          <w:p w:rsidR="00576F87" w:rsidRDefault="004165F5">
            <w:pPr>
              <w:spacing w:after="3"/>
              <w:ind w:left="30"/>
              <w:jc w:val="both"/>
            </w:pPr>
            <w:r>
              <w:rPr>
                <w:rFonts w:ascii="Verdana" w:eastAsia="Verdana" w:hAnsi="Verdana" w:cs="Verdana"/>
                <w:b/>
                <w:color w:val="FFFFFF"/>
                <w:sz w:val="18"/>
              </w:rPr>
              <w:t xml:space="preserve">Salary (including fees &amp; </w:t>
            </w:r>
          </w:p>
          <w:p w:rsidR="00576F87" w:rsidRDefault="004165F5">
            <w:pPr>
              <w:spacing w:after="0"/>
              <w:ind w:right="39"/>
              <w:jc w:val="right"/>
            </w:pPr>
            <w:r>
              <w:rPr>
                <w:rFonts w:ascii="Verdana" w:eastAsia="Verdana" w:hAnsi="Verdana" w:cs="Verdana"/>
                <w:b/>
                <w:color w:val="FFFFFF"/>
                <w:sz w:val="18"/>
              </w:rPr>
              <w:t>allowances)</w:t>
            </w:r>
          </w:p>
        </w:tc>
        <w:tc>
          <w:tcPr>
            <w:tcW w:w="1822" w:type="dxa"/>
            <w:tcBorders>
              <w:top w:val="single" w:sz="15" w:space="0" w:color="35437C"/>
              <w:left w:val="single" w:sz="8" w:space="0" w:color="35437C"/>
              <w:bottom w:val="single" w:sz="8" w:space="0" w:color="35437C"/>
              <w:right w:val="single" w:sz="8" w:space="0" w:color="35437C"/>
            </w:tcBorders>
            <w:shd w:val="clear" w:color="auto" w:fill="35437C"/>
            <w:vAlign w:val="bottom"/>
          </w:tcPr>
          <w:p w:rsidR="00576F87" w:rsidRDefault="004165F5">
            <w:pPr>
              <w:spacing w:after="0"/>
              <w:ind w:right="40"/>
              <w:jc w:val="right"/>
            </w:pPr>
            <w:r>
              <w:rPr>
                <w:rFonts w:ascii="Verdana" w:eastAsia="Verdana" w:hAnsi="Verdana" w:cs="Verdana"/>
                <w:b/>
                <w:color w:val="FFFFFF"/>
                <w:sz w:val="18"/>
              </w:rPr>
              <w:t>Bonus</w:t>
            </w:r>
          </w:p>
        </w:tc>
        <w:tc>
          <w:tcPr>
            <w:tcW w:w="1548" w:type="dxa"/>
            <w:tcBorders>
              <w:top w:val="single" w:sz="15" w:space="0" w:color="35437C"/>
              <w:left w:val="single" w:sz="8" w:space="0" w:color="35437C"/>
              <w:bottom w:val="single" w:sz="8" w:space="0" w:color="35437C"/>
              <w:right w:val="single" w:sz="8" w:space="0" w:color="35437C"/>
            </w:tcBorders>
            <w:shd w:val="clear" w:color="auto" w:fill="35437C"/>
            <w:vAlign w:val="bottom"/>
          </w:tcPr>
          <w:p w:rsidR="00576F87" w:rsidRDefault="004165F5">
            <w:pPr>
              <w:spacing w:after="0"/>
              <w:ind w:right="38"/>
              <w:jc w:val="right"/>
            </w:pPr>
            <w:r>
              <w:rPr>
                <w:rFonts w:ascii="Verdana" w:eastAsia="Verdana" w:hAnsi="Verdana" w:cs="Verdana"/>
                <w:b/>
                <w:color w:val="FFFFFF"/>
                <w:sz w:val="18"/>
              </w:rPr>
              <w:t>Pension contributions</w:t>
            </w:r>
          </w:p>
        </w:tc>
        <w:tc>
          <w:tcPr>
            <w:tcW w:w="1774" w:type="dxa"/>
            <w:tcBorders>
              <w:top w:val="single" w:sz="15" w:space="0" w:color="35437C"/>
              <w:left w:val="single" w:sz="8" w:space="0" w:color="35437C"/>
              <w:bottom w:val="single" w:sz="8" w:space="0" w:color="35437C"/>
              <w:right w:val="single" w:sz="15" w:space="0" w:color="35437C"/>
            </w:tcBorders>
            <w:shd w:val="clear" w:color="auto" w:fill="35437C"/>
            <w:vAlign w:val="bottom"/>
          </w:tcPr>
          <w:p w:rsidR="00576F87" w:rsidRDefault="004165F5">
            <w:pPr>
              <w:spacing w:after="0"/>
              <w:ind w:right="38"/>
              <w:jc w:val="right"/>
            </w:pPr>
            <w:r>
              <w:rPr>
                <w:rFonts w:ascii="Verdana" w:eastAsia="Verdana" w:hAnsi="Verdana" w:cs="Verdana"/>
                <w:b/>
                <w:color w:val="FFFFFF"/>
                <w:sz w:val="18"/>
              </w:rPr>
              <w:t>Total remuneration</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tcPr>
          <w:p w:rsidR="00576F87" w:rsidRDefault="00576F87"/>
        </w:tc>
        <w:tc>
          <w:tcPr>
            <w:tcW w:w="2530"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Times New Roman" w:eastAsia="Times New Roman" w:hAnsi="Times New Roman" w:cs="Times New Roman"/>
                <w:b/>
                <w:sz w:val="18"/>
              </w:rPr>
              <w:t>£</w:t>
            </w:r>
          </w:p>
        </w:tc>
        <w:tc>
          <w:tcPr>
            <w:tcW w:w="18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Times New Roman" w:eastAsia="Times New Roman" w:hAnsi="Times New Roman" w:cs="Times New Roman"/>
                <w:b/>
                <w:sz w:val="18"/>
              </w:rPr>
              <w:t>£</w:t>
            </w:r>
          </w:p>
        </w:tc>
        <w:tc>
          <w:tcPr>
            <w:tcW w:w="154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Times New Roman" w:eastAsia="Times New Roman" w:hAnsi="Times New Roman" w:cs="Times New Roman"/>
                <w:b/>
                <w:sz w:val="18"/>
              </w:rPr>
              <w:t>£</w:t>
            </w:r>
          </w:p>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0"/>
              <w:jc w:val="right"/>
            </w:pPr>
            <w:r>
              <w:rPr>
                <w:rFonts w:ascii="Times New Roman" w:eastAsia="Times New Roman" w:hAnsi="Times New Roman" w:cs="Times New Roman"/>
                <w:b/>
                <w:sz w:val="18"/>
              </w:rPr>
              <w:t>£</w:t>
            </w:r>
          </w:p>
        </w:tc>
      </w:tr>
      <w:tr w:rsidR="00576F87">
        <w:trPr>
          <w:trHeight w:val="362"/>
        </w:trPr>
        <w:tc>
          <w:tcPr>
            <w:tcW w:w="1849" w:type="dxa"/>
            <w:tcBorders>
              <w:top w:val="single" w:sz="8" w:space="0" w:color="35437C"/>
              <w:left w:val="single" w:sz="12" w:space="0" w:color="35437C"/>
              <w:bottom w:val="single" w:sz="15" w:space="0" w:color="35437C"/>
              <w:right w:val="single" w:sz="8" w:space="0" w:color="35437C"/>
            </w:tcBorders>
          </w:tcPr>
          <w:p w:rsidR="00576F87" w:rsidRDefault="004165F5">
            <w:pPr>
              <w:spacing w:after="0"/>
            </w:pPr>
            <w:r>
              <w:rPr>
                <w:rFonts w:ascii="Verdana" w:eastAsia="Verdana" w:hAnsi="Verdana" w:cs="Verdana"/>
                <w:sz w:val="18"/>
              </w:rPr>
              <w:t>Managing Director</w:t>
            </w:r>
          </w:p>
        </w:tc>
        <w:tc>
          <w:tcPr>
            <w:tcW w:w="2530" w:type="dxa"/>
            <w:tcBorders>
              <w:top w:val="single" w:sz="8" w:space="0" w:color="35437C"/>
              <w:left w:val="single" w:sz="8" w:space="0" w:color="35437C"/>
              <w:bottom w:val="single" w:sz="15" w:space="0" w:color="35437C"/>
              <w:right w:val="single" w:sz="8" w:space="0" w:color="35437C"/>
            </w:tcBorders>
          </w:tcPr>
          <w:p w:rsidR="00576F87" w:rsidRDefault="004165F5">
            <w:pPr>
              <w:spacing w:after="0"/>
              <w:ind w:right="34"/>
              <w:jc w:val="right"/>
            </w:pPr>
            <w:r>
              <w:rPr>
                <w:rFonts w:ascii="Verdana" w:eastAsia="Verdana" w:hAnsi="Verdana" w:cs="Verdana"/>
                <w:sz w:val="18"/>
              </w:rPr>
              <w:t>117,850</w:t>
            </w:r>
          </w:p>
        </w:tc>
        <w:tc>
          <w:tcPr>
            <w:tcW w:w="1822" w:type="dxa"/>
            <w:tcBorders>
              <w:top w:val="single" w:sz="8" w:space="0" w:color="35437C"/>
              <w:left w:val="single" w:sz="8" w:space="0" w:color="35437C"/>
              <w:bottom w:val="single" w:sz="15" w:space="0" w:color="35437C"/>
              <w:right w:val="single" w:sz="8" w:space="0" w:color="35437C"/>
            </w:tcBorders>
          </w:tcPr>
          <w:p w:rsidR="00576F87" w:rsidRDefault="004165F5">
            <w:pPr>
              <w:spacing w:after="0"/>
              <w:ind w:right="33"/>
              <w:jc w:val="right"/>
            </w:pPr>
            <w:r>
              <w:rPr>
                <w:rFonts w:ascii="Verdana" w:eastAsia="Verdana" w:hAnsi="Verdana" w:cs="Verdana"/>
                <w:sz w:val="18"/>
              </w:rPr>
              <w:t>-</w:t>
            </w:r>
          </w:p>
        </w:tc>
        <w:tc>
          <w:tcPr>
            <w:tcW w:w="1548" w:type="dxa"/>
            <w:tcBorders>
              <w:top w:val="single" w:sz="8" w:space="0" w:color="35437C"/>
              <w:left w:val="single" w:sz="8" w:space="0" w:color="35437C"/>
              <w:bottom w:val="single" w:sz="15" w:space="0" w:color="35437C"/>
              <w:right w:val="single" w:sz="8" w:space="0" w:color="35437C"/>
            </w:tcBorders>
          </w:tcPr>
          <w:p w:rsidR="00576F87" w:rsidRDefault="004165F5">
            <w:pPr>
              <w:spacing w:after="0"/>
              <w:ind w:right="33"/>
              <w:jc w:val="right"/>
            </w:pPr>
            <w:r>
              <w:rPr>
                <w:rFonts w:ascii="Verdana" w:eastAsia="Verdana" w:hAnsi="Verdana" w:cs="Verdana"/>
                <w:sz w:val="18"/>
              </w:rPr>
              <w:t>14,142</w:t>
            </w:r>
          </w:p>
        </w:tc>
        <w:tc>
          <w:tcPr>
            <w:tcW w:w="1774" w:type="dxa"/>
            <w:tcBorders>
              <w:top w:val="single" w:sz="8" w:space="0" w:color="35437C"/>
              <w:left w:val="single" w:sz="8" w:space="0" w:color="35437C"/>
              <w:bottom w:val="single" w:sz="15" w:space="0" w:color="35437C"/>
              <w:right w:val="single" w:sz="15" w:space="0" w:color="35437C"/>
            </w:tcBorders>
          </w:tcPr>
          <w:p w:rsidR="00576F87" w:rsidRDefault="004165F5">
            <w:pPr>
              <w:spacing w:after="0"/>
              <w:ind w:right="33"/>
              <w:jc w:val="right"/>
            </w:pPr>
            <w:r>
              <w:rPr>
                <w:rFonts w:ascii="Verdana" w:eastAsia="Verdana" w:hAnsi="Verdana" w:cs="Verdana"/>
                <w:sz w:val="18"/>
              </w:rPr>
              <w:t>131,992</w:t>
            </w:r>
          </w:p>
        </w:tc>
      </w:tr>
    </w:tbl>
    <w:p w:rsidR="00576F87" w:rsidRDefault="004165F5">
      <w:pPr>
        <w:spacing w:after="5" w:line="268" w:lineRule="auto"/>
        <w:ind w:left="-7" w:hanging="3"/>
        <w:jc w:val="both"/>
      </w:pPr>
      <w:r>
        <w:rPr>
          <w:rFonts w:ascii="Verdana" w:eastAsia="Verdana" w:hAnsi="Verdana" w:cs="Verdana"/>
          <w:sz w:val="18"/>
        </w:rPr>
        <w:t>The number of other senior employees whose remuneration, excluding employer’s pension contributions, was £50,000 or more in bands of £5,000 as follows:</w:t>
      </w:r>
    </w:p>
    <w:tbl>
      <w:tblPr>
        <w:tblStyle w:val="TableGrid"/>
        <w:tblW w:w="9522" w:type="dxa"/>
        <w:tblInd w:w="-32" w:type="dxa"/>
        <w:tblCellMar>
          <w:top w:w="68" w:type="dxa"/>
          <w:left w:w="115" w:type="dxa"/>
          <w:bottom w:w="9" w:type="dxa"/>
          <w:right w:w="115" w:type="dxa"/>
        </w:tblCellMar>
        <w:tblLook w:val="04A0" w:firstRow="1" w:lastRow="0" w:firstColumn="1" w:lastColumn="0" w:noHBand="0" w:noVBand="1"/>
      </w:tblPr>
      <w:tblGrid>
        <w:gridCol w:w="1849"/>
        <w:gridCol w:w="5899"/>
        <w:gridCol w:w="1774"/>
      </w:tblGrid>
      <w:tr w:rsidR="00576F87">
        <w:trPr>
          <w:trHeight w:val="1087"/>
        </w:trPr>
        <w:tc>
          <w:tcPr>
            <w:tcW w:w="1849" w:type="dxa"/>
            <w:tcBorders>
              <w:top w:val="single" w:sz="15" w:space="0" w:color="35437C"/>
              <w:left w:val="single" w:sz="12" w:space="0" w:color="35437C"/>
              <w:bottom w:val="single" w:sz="8" w:space="0" w:color="35437C"/>
              <w:right w:val="single" w:sz="8" w:space="0" w:color="35437C"/>
            </w:tcBorders>
            <w:shd w:val="clear" w:color="auto" w:fill="35437C"/>
            <w:vAlign w:val="bottom"/>
          </w:tcPr>
          <w:p w:rsidR="00576F87" w:rsidRDefault="004165F5">
            <w:pPr>
              <w:spacing w:after="44"/>
              <w:ind w:left="2"/>
              <w:jc w:val="center"/>
            </w:pPr>
            <w:r>
              <w:rPr>
                <w:rFonts w:ascii="Verdana" w:eastAsia="Verdana" w:hAnsi="Verdana" w:cs="Verdana"/>
                <w:b/>
                <w:color w:val="FFFFFF"/>
                <w:sz w:val="18"/>
              </w:rPr>
              <w:t>2016/17</w:t>
            </w:r>
          </w:p>
          <w:p w:rsidR="00576F87" w:rsidRDefault="004165F5">
            <w:pPr>
              <w:spacing w:after="0"/>
              <w:jc w:val="center"/>
            </w:pPr>
            <w:r>
              <w:rPr>
                <w:rFonts w:ascii="Verdana" w:eastAsia="Verdana" w:hAnsi="Verdana" w:cs="Verdana"/>
                <w:b/>
                <w:color w:val="FFFFFF"/>
                <w:sz w:val="18"/>
              </w:rPr>
              <w:t>Number of employees</w:t>
            </w:r>
          </w:p>
        </w:tc>
        <w:tc>
          <w:tcPr>
            <w:tcW w:w="5899" w:type="dxa"/>
            <w:tcBorders>
              <w:top w:val="nil"/>
              <w:left w:val="single" w:sz="8" w:space="0" w:color="35437C"/>
              <w:bottom w:val="nil"/>
              <w:right w:val="single" w:sz="8" w:space="0" w:color="35437C"/>
            </w:tcBorders>
            <w:shd w:val="clear" w:color="auto" w:fill="35437C"/>
            <w:vAlign w:val="center"/>
          </w:tcPr>
          <w:p w:rsidR="00576F87" w:rsidRDefault="004165F5">
            <w:pPr>
              <w:spacing w:after="0"/>
              <w:ind w:left="1"/>
              <w:jc w:val="center"/>
            </w:pPr>
            <w:r>
              <w:rPr>
                <w:rFonts w:ascii="Verdana" w:eastAsia="Verdana" w:hAnsi="Verdana" w:cs="Verdana"/>
                <w:b/>
                <w:color w:val="FFFFFF"/>
                <w:sz w:val="18"/>
              </w:rPr>
              <w:t>Remuneration bands</w:t>
            </w:r>
          </w:p>
        </w:tc>
        <w:tc>
          <w:tcPr>
            <w:tcW w:w="1774" w:type="dxa"/>
            <w:tcBorders>
              <w:top w:val="single" w:sz="15" w:space="0" w:color="35437C"/>
              <w:left w:val="single" w:sz="8" w:space="0" w:color="35437C"/>
              <w:bottom w:val="single" w:sz="8" w:space="0" w:color="35437C"/>
              <w:right w:val="single" w:sz="15" w:space="0" w:color="35437C"/>
            </w:tcBorders>
            <w:shd w:val="clear" w:color="auto" w:fill="35437C"/>
            <w:vAlign w:val="bottom"/>
          </w:tcPr>
          <w:p w:rsidR="00576F87" w:rsidRDefault="004165F5">
            <w:pPr>
              <w:spacing w:after="44"/>
              <w:ind w:left="3"/>
              <w:jc w:val="center"/>
            </w:pPr>
            <w:r>
              <w:rPr>
                <w:rFonts w:ascii="Verdana" w:eastAsia="Verdana" w:hAnsi="Verdana" w:cs="Verdana"/>
                <w:b/>
                <w:color w:val="FFFFFF"/>
                <w:sz w:val="18"/>
              </w:rPr>
              <w:t>2017/18</w:t>
            </w:r>
          </w:p>
          <w:p w:rsidR="00576F87" w:rsidRDefault="004165F5">
            <w:pPr>
              <w:spacing w:after="0"/>
              <w:jc w:val="center"/>
            </w:pPr>
            <w:r>
              <w:rPr>
                <w:rFonts w:ascii="Verdana" w:eastAsia="Verdana" w:hAnsi="Verdana" w:cs="Verdana"/>
                <w:b/>
                <w:color w:val="FFFFFF"/>
                <w:sz w:val="18"/>
              </w:rPr>
              <w:t>Number of employees</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tcPr>
          <w:p w:rsidR="00576F87" w:rsidRDefault="004165F5">
            <w:pPr>
              <w:spacing w:after="0"/>
              <w:jc w:val="center"/>
            </w:pPr>
            <w:r>
              <w:rPr>
                <w:rFonts w:ascii="Verdana" w:eastAsia="Verdana" w:hAnsi="Verdana" w:cs="Verdana"/>
                <w:sz w:val="18"/>
              </w:rPr>
              <w:t>1</w:t>
            </w:r>
          </w:p>
        </w:tc>
        <w:tc>
          <w:tcPr>
            <w:tcW w:w="5899" w:type="dxa"/>
            <w:tcBorders>
              <w:top w:val="nil"/>
              <w:left w:val="single" w:sz="8" w:space="0" w:color="35437C"/>
              <w:bottom w:val="single" w:sz="8" w:space="0" w:color="35437C"/>
              <w:right w:val="single" w:sz="8" w:space="0" w:color="35437C"/>
            </w:tcBorders>
          </w:tcPr>
          <w:p w:rsidR="00576F87" w:rsidRDefault="004165F5">
            <w:pPr>
              <w:spacing w:after="0"/>
              <w:ind w:left="19"/>
              <w:jc w:val="center"/>
            </w:pPr>
            <w:r>
              <w:rPr>
                <w:rFonts w:ascii="Verdana" w:eastAsia="Verdana" w:hAnsi="Verdana" w:cs="Verdana"/>
                <w:sz w:val="18"/>
              </w:rPr>
              <w:t>£115,000 - £119,999</w:t>
            </w:r>
          </w:p>
        </w:tc>
        <w:tc>
          <w:tcPr>
            <w:tcW w:w="177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left="2"/>
              <w:jc w:val="center"/>
            </w:pPr>
            <w:r>
              <w:rPr>
                <w:rFonts w:ascii="Verdana" w:eastAsia="Verdana" w:hAnsi="Verdana" w:cs="Verdana"/>
                <w:sz w:val="18"/>
              </w:rPr>
              <w:t>-</w:t>
            </w:r>
          </w:p>
        </w:tc>
      </w:tr>
      <w:tr w:rsidR="00576F87">
        <w:trPr>
          <w:trHeight w:val="305"/>
        </w:trPr>
        <w:tc>
          <w:tcPr>
            <w:tcW w:w="1849" w:type="dxa"/>
            <w:tcBorders>
              <w:top w:val="single" w:sz="8" w:space="0" w:color="35437C"/>
              <w:left w:val="single" w:sz="12" w:space="0" w:color="35437C"/>
              <w:bottom w:val="single" w:sz="15" w:space="0" w:color="35437C"/>
              <w:right w:val="single" w:sz="8" w:space="0" w:color="35437C"/>
            </w:tcBorders>
          </w:tcPr>
          <w:p w:rsidR="00576F87" w:rsidRDefault="004165F5">
            <w:pPr>
              <w:spacing w:after="0"/>
              <w:ind w:left="1"/>
              <w:jc w:val="center"/>
            </w:pPr>
            <w:r>
              <w:rPr>
                <w:rFonts w:ascii="Verdana" w:eastAsia="Verdana" w:hAnsi="Verdana" w:cs="Verdana"/>
                <w:sz w:val="18"/>
              </w:rPr>
              <w:t>-</w:t>
            </w:r>
          </w:p>
        </w:tc>
        <w:tc>
          <w:tcPr>
            <w:tcW w:w="589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jc w:val="center"/>
            </w:pPr>
            <w:r>
              <w:rPr>
                <w:rFonts w:ascii="Verdana" w:eastAsia="Verdana" w:hAnsi="Verdana" w:cs="Verdana"/>
                <w:sz w:val="18"/>
              </w:rPr>
              <w:t>£170,000 - £174,999</w:t>
            </w:r>
          </w:p>
        </w:tc>
        <w:tc>
          <w:tcPr>
            <w:tcW w:w="1774" w:type="dxa"/>
            <w:tcBorders>
              <w:top w:val="single" w:sz="8" w:space="0" w:color="35437C"/>
              <w:left w:val="single" w:sz="8" w:space="0" w:color="35437C"/>
              <w:bottom w:val="single" w:sz="15" w:space="0" w:color="35437C"/>
              <w:right w:val="single" w:sz="15" w:space="0" w:color="35437C"/>
            </w:tcBorders>
          </w:tcPr>
          <w:p w:rsidR="00576F87" w:rsidRDefault="004165F5">
            <w:pPr>
              <w:spacing w:after="0"/>
              <w:ind w:left="2"/>
              <w:jc w:val="center"/>
            </w:pPr>
            <w:r>
              <w:rPr>
                <w:rFonts w:ascii="Verdana" w:eastAsia="Verdana" w:hAnsi="Verdana" w:cs="Verdana"/>
                <w:sz w:val="18"/>
              </w:rPr>
              <w:t>1</w:t>
            </w:r>
          </w:p>
        </w:tc>
      </w:tr>
    </w:tbl>
    <w:p w:rsidR="00576F87" w:rsidRDefault="004165F5">
      <w:pPr>
        <w:spacing w:after="5" w:line="268" w:lineRule="auto"/>
        <w:ind w:left="-7" w:hanging="3"/>
        <w:jc w:val="both"/>
      </w:pPr>
      <w:r>
        <w:rPr>
          <w:rFonts w:ascii="Verdana" w:eastAsia="Verdana" w:hAnsi="Verdana" w:cs="Verdana"/>
          <w:sz w:val="18"/>
        </w:rPr>
        <w:t>Please note that the above includes bonus payments.</w:t>
      </w:r>
    </w:p>
    <w:p w:rsidR="00576F87" w:rsidRDefault="004165F5">
      <w:pPr>
        <w:numPr>
          <w:ilvl w:val="0"/>
          <w:numId w:val="15"/>
        </w:numPr>
        <w:spacing w:after="0"/>
        <w:ind w:hanging="1848"/>
      </w:pPr>
      <w:r>
        <w:rPr>
          <w:rFonts w:ascii="Verdana" w:eastAsia="Verdana" w:hAnsi="Verdana" w:cs="Verdana"/>
          <w:sz w:val="28"/>
        </w:rPr>
        <w:t>Other services</w:t>
      </w:r>
    </w:p>
    <w:tbl>
      <w:tblPr>
        <w:tblStyle w:val="TableGrid"/>
        <w:tblW w:w="9522" w:type="dxa"/>
        <w:tblInd w:w="-32" w:type="dxa"/>
        <w:tblCellMar>
          <w:top w:w="78" w:type="dxa"/>
          <w:left w:w="38" w:type="dxa"/>
          <w:bottom w:w="0" w:type="dxa"/>
          <w:right w:w="38" w:type="dxa"/>
        </w:tblCellMar>
        <w:tblLook w:val="04A0" w:firstRow="1" w:lastRow="0" w:firstColumn="1" w:lastColumn="0" w:noHBand="0" w:noVBand="1"/>
      </w:tblPr>
      <w:tblGrid>
        <w:gridCol w:w="1849"/>
        <w:gridCol w:w="2530"/>
        <w:gridCol w:w="1822"/>
        <w:gridCol w:w="1548"/>
        <w:gridCol w:w="1774"/>
      </w:tblGrid>
      <w:tr w:rsidR="00576F87">
        <w:trPr>
          <w:trHeight w:val="290"/>
        </w:trPr>
        <w:tc>
          <w:tcPr>
            <w:tcW w:w="1849"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2016/17</w:t>
            </w:r>
          </w:p>
        </w:tc>
        <w:tc>
          <w:tcPr>
            <w:tcW w:w="2530"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822"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548"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774"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2017/18</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576F87"/>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37</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Internal audit</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57</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41</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External audit</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41</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208</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Professional fees (including consultancy)</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467</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72</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Insurance</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34</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53</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Bank costs</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54</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14</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Pensioner forum and meetings</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12</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Marketing expenses</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1</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6</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Other miscellaneous services</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114</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1</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Accommodation</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361</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Costs paid on behalf of LPP</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41</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Strategic project</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13</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Pension system charges</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425</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Equipment and external support</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163</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Loss on Disposal of fixed assets</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92</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4</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Printing and stationary</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(20)</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Postage</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10</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Telephones</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4</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30</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Subscriptions &amp; publications</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42</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1</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Courier services</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576F87"/>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Bad debt provision</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679</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1,600</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Management Charge - Governance</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1,608</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1,802</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Management Charge - Pension Admin</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1,811</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746</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Additional Services</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General management charge</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305"/>
        </w:trPr>
        <w:tc>
          <w:tcPr>
            <w:tcW w:w="1849"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5,444</w:t>
            </w:r>
          </w:p>
        </w:tc>
        <w:tc>
          <w:tcPr>
            <w:tcW w:w="4351" w:type="dxa"/>
            <w:gridSpan w:val="2"/>
            <w:tcBorders>
              <w:top w:val="single" w:sz="8" w:space="0" w:color="35437C"/>
              <w:left w:val="single" w:sz="8" w:space="0" w:color="35437C"/>
              <w:bottom w:val="single" w:sz="15" w:space="0" w:color="35437C"/>
              <w:right w:val="nil"/>
            </w:tcBorders>
            <w:shd w:val="clear" w:color="auto" w:fill="35437C"/>
          </w:tcPr>
          <w:p w:rsidR="00576F87" w:rsidRDefault="00576F87"/>
        </w:tc>
        <w:tc>
          <w:tcPr>
            <w:tcW w:w="1548" w:type="dxa"/>
            <w:tcBorders>
              <w:top w:val="single" w:sz="8" w:space="0" w:color="35437C"/>
              <w:left w:val="nil"/>
              <w:bottom w:val="single" w:sz="15" w:space="0" w:color="35437C"/>
              <w:right w:val="single" w:sz="8" w:space="0" w:color="35437C"/>
            </w:tcBorders>
            <w:shd w:val="clear" w:color="auto" w:fill="35437C"/>
          </w:tcPr>
          <w:p w:rsidR="00576F87" w:rsidRDefault="00576F87"/>
        </w:tc>
        <w:tc>
          <w:tcPr>
            <w:tcW w:w="1774"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5,179</w:t>
            </w:r>
          </w:p>
        </w:tc>
      </w:tr>
      <w:tr w:rsidR="00576F87">
        <w:trPr>
          <w:trHeight w:val="293"/>
        </w:trPr>
        <w:tc>
          <w:tcPr>
            <w:tcW w:w="6200" w:type="dxa"/>
            <w:gridSpan w:val="3"/>
            <w:tcBorders>
              <w:top w:val="single" w:sz="15" w:space="0" w:color="35437C"/>
              <w:left w:val="nil"/>
              <w:bottom w:val="nil"/>
              <w:right w:val="nil"/>
            </w:tcBorders>
            <w:shd w:val="clear" w:color="auto" w:fill="FFFFFF"/>
          </w:tcPr>
          <w:p w:rsidR="00576F87" w:rsidRDefault="00576F87"/>
        </w:tc>
        <w:tc>
          <w:tcPr>
            <w:tcW w:w="3322" w:type="dxa"/>
            <w:gridSpan w:val="2"/>
            <w:tcBorders>
              <w:top w:val="single" w:sz="15" w:space="0" w:color="35437C"/>
              <w:left w:val="nil"/>
              <w:bottom w:val="nil"/>
              <w:right w:val="nil"/>
            </w:tcBorders>
            <w:shd w:val="clear" w:color="auto" w:fill="FFFFFF"/>
          </w:tcPr>
          <w:p w:rsidR="00576F87" w:rsidRDefault="00576F87"/>
        </w:tc>
      </w:tr>
    </w:tbl>
    <w:p w:rsidR="00576F87" w:rsidRDefault="004165F5">
      <w:pPr>
        <w:numPr>
          <w:ilvl w:val="0"/>
          <w:numId w:val="15"/>
        </w:numPr>
        <w:spacing w:after="0"/>
        <w:ind w:hanging="1848"/>
      </w:pPr>
      <w:r>
        <w:rPr>
          <w:rFonts w:ascii="Verdana" w:eastAsia="Verdana" w:hAnsi="Verdana" w:cs="Verdana"/>
          <w:sz w:val="28"/>
        </w:rPr>
        <w:t>Disclosure of Audit Costs</w:t>
      </w:r>
    </w:p>
    <w:tbl>
      <w:tblPr>
        <w:tblStyle w:val="TableGrid"/>
        <w:tblW w:w="9522" w:type="dxa"/>
        <w:tblInd w:w="-32" w:type="dxa"/>
        <w:tblCellMar>
          <w:top w:w="78" w:type="dxa"/>
          <w:left w:w="38" w:type="dxa"/>
          <w:bottom w:w="0" w:type="dxa"/>
          <w:right w:w="38" w:type="dxa"/>
        </w:tblCellMar>
        <w:tblLook w:val="04A0" w:firstRow="1" w:lastRow="0" w:firstColumn="1" w:lastColumn="0" w:noHBand="0" w:noVBand="1"/>
      </w:tblPr>
      <w:tblGrid>
        <w:gridCol w:w="1849"/>
        <w:gridCol w:w="2530"/>
        <w:gridCol w:w="1822"/>
        <w:gridCol w:w="1548"/>
        <w:gridCol w:w="1774"/>
      </w:tblGrid>
      <w:tr w:rsidR="00576F87">
        <w:trPr>
          <w:trHeight w:val="290"/>
        </w:trPr>
        <w:tc>
          <w:tcPr>
            <w:tcW w:w="1849" w:type="dxa"/>
            <w:tcBorders>
              <w:top w:val="single" w:sz="15" w:space="0" w:color="35437C"/>
              <w:left w:val="single" w:sz="12"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2016/17</w:t>
            </w:r>
          </w:p>
        </w:tc>
        <w:tc>
          <w:tcPr>
            <w:tcW w:w="2530"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576F87"/>
        </w:tc>
        <w:tc>
          <w:tcPr>
            <w:tcW w:w="1822"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576F87"/>
        </w:tc>
        <w:tc>
          <w:tcPr>
            <w:tcW w:w="1548"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576F87"/>
        </w:tc>
        <w:tc>
          <w:tcPr>
            <w:tcW w:w="1774"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2017/18</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576F87"/>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41</w:t>
            </w:r>
          </w:p>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4165F5">
            <w:pPr>
              <w:spacing w:after="0"/>
            </w:pPr>
            <w:r>
              <w:rPr>
                <w:rFonts w:ascii="Verdana" w:eastAsia="Verdana" w:hAnsi="Verdana" w:cs="Verdana"/>
                <w:sz w:val="18"/>
              </w:rPr>
              <w:t>External audit - Code of audit practice</w:t>
            </w:r>
          </w:p>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41</w:t>
            </w:r>
          </w:p>
        </w:tc>
      </w:tr>
      <w:tr w:rsidR="00576F87">
        <w:trPr>
          <w:trHeight w:val="290"/>
        </w:trPr>
        <w:tc>
          <w:tcPr>
            <w:tcW w:w="184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576F87"/>
        </w:tc>
        <w:tc>
          <w:tcPr>
            <w:tcW w:w="4351" w:type="dxa"/>
            <w:gridSpan w:val="2"/>
            <w:tcBorders>
              <w:top w:val="single" w:sz="8" w:space="0" w:color="35437C"/>
              <w:left w:val="single" w:sz="8" w:space="0" w:color="35437C"/>
              <w:bottom w:val="single" w:sz="8" w:space="0" w:color="35437C"/>
              <w:right w:val="nil"/>
            </w:tcBorders>
            <w:shd w:val="clear" w:color="auto" w:fill="FFFFFF"/>
          </w:tcPr>
          <w:p w:rsidR="00576F87" w:rsidRDefault="00576F87"/>
        </w:tc>
        <w:tc>
          <w:tcPr>
            <w:tcW w:w="1548" w:type="dxa"/>
            <w:tcBorders>
              <w:top w:val="single" w:sz="8" w:space="0" w:color="35437C"/>
              <w:left w:val="nil"/>
              <w:bottom w:val="single" w:sz="8" w:space="0" w:color="35437C"/>
              <w:right w:val="single" w:sz="8" w:space="0" w:color="35437C"/>
            </w:tcBorders>
            <w:shd w:val="clear" w:color="auto" w:fill="FFFFFF"/>
          </w:tcPr>
          <w:p w:rsidR="00576F87" w:rsidRDefault="00576F87"/>
        </w:tc>
        <w:tc>
          <w:tcPr>
            <w:tcW w:w="177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576F87"/>
        </w:tc>
      </w:tr>
      <w:tr w:rsidR="00576F87">
        <w:trPr>
          <w:trHeight w:val="305"/>
        </w:trPr>
        <w:tc>
          <w:tcPr>
            <w:tcW w:w="1849" w:type="dxa"/>
            <w:tcBorders>
              <w:top w:val="single" w:sz="8" w:space="0" w:color="35437C"/>
              <w:left w:val="single" w:sz="12" w:space="0" w:color="35437C"/>
              <w:bottom w:val="single" w:sz="15"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41</w:t>
            </w:r>
          </w:p>
        </w:tc>
        <w:tc>
          <w:tcPr>
            <w:tcW w:w="2530" w:type="dxa"/>
            <w:tcBorders>
              <w:top w:val="single" w:sz="8" w:space="0" w:color="35437C"/>
              <w:left w:val="single" w:sz="15" w:space="0" w:color="35437C"/>
              <w:bottom w:val="single" w:sz="15" w:space="0" w:color="35437C"/>
              <w:right w:val="single" w:sz="15" w:space="0" w:color="35437C"/>
            </w:tcBorders>
            <w:shd w:val="clear" w:color="auto" w:fill="35437C"/>
          </w:tcPr>
          <w:p w:rsidR="00576F87" w:rsidRDefault="00576F87"/>
        </w:tc>
        <w:tc>
          <w:tcPr>
            <w:tcW w:w="1822" w:type="dxa"/>
            <w:tcBorders>
              <w:top w:val="single" w:sz="8" w:space="0" w:color="35437C"/>
              <w:left w:val="single" w:sz="15" w:space="0" w:color="35437C"/>
              <w:bottom w:val="single" w:sz="15" w:space="0" w:color="35437C"/>
              <w:right w:val="single" w:sz="15" w:space="0" w:color="35437C"/>
            </w:tcBorders>
            <w:shd w:val="clear" w:color="auto" w:fill="35437C"/>
          </w:tcPr>
          <w:p w:rsidR="00576F87" w:rsidRDefault="00576F87"/>
        </w:tc>
        <w:tc>
          <w:tcPr>
            <w:tcW w:w="1548" w:type="dxa"/>
            <w:tcBorders>
              <w:top w:val="single" w:sz="8" w:space="0" w:color="35437C"/>
              <w:left w:val="single" w:sz="15" w:space="0" w:color="35437C"/>
              <w:bottom w:val="single" w:sz="15" w:space="0" w:color="35437C"/>
              <w:right w:val="single" w:sz="15" w:space="0" w:color="35437C"/>
            </w:tcBorders>
            <w:shd w:val="clear" w:color="auto" w:fill="35437C"/>
          </w:tcPr>
          <w:p w:rsidR="00576F87" w:rsidRDefault="00576F87"/>
        </w:tc>
        <w:tc>
          <w:tcPr>
            <w:tcW w:w="1774" w:type="dxa"/>
            <w:tcBorders>
              <w:top w:val="single" w:sz="8" w:space="0" w:color="35437C"/>
              <w:left w:val="single" w:sz="15" w:space="0" w:color="35437C"/>
              <w:bottom w:val="single" w:sz="15"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41</w:t>
            </w:r>
          </w:p>
        </w:tc>
      </w:tr>
    </w:tbl>
    <w:p w:rsidR="00576F87" w:rsidRDefault="00576F87">
      <w:pPr>
        <w:sectPr w:rsidR="00576F87">
          <w:headerReference w:type="even" r:id="rId126"/>
          <w:headerReference w:type="default" r:id="rId127"/>
          <w:footerReference w:type="even" r:id="rId128"/>
          <w:footerReference w:type="default" r:id="rId129"/>
          <w:headerReference w:type="first" r:id="rId130"/>
          <w:footerReference w:type="first" r:id="rId131"/>
          <w:pgSz w:w="11900" w:h="16840"/>
          <w:pgMar w:top="1495" w:right="1319" w:bottom="2773" w:left="1068" w:header="865" w:footer="507" w:gutter="0"/>
          <w:cols w:space="720"/>
        </w:sectPr>
      </w:pPr>
    </w:p>
    <w:p w:rsidR="00576F87" w:rsidRDefault="004165F5">
      <w:pPr>
        <w:numPr>
          <w:ilvl w:val="0"/>
          <w:numId w:val="15"/>
        </w:numPr>
        <w:spacing w:after="0"/>
        <w:ind w:hanging="1848"/>
      </w:pPr>
      <w:r>
        <w:rPr>
          <w:rFonts w:ascii="Verdana" w:eastAsia="Verdana" w:hAnsi="Verdana" w:cs="Verdana"/>
          <w:sz w:val="28"/>
        </w:rPr>
        <w:t>Retirement Benefit Obligations</w:t>
      </w:r>
    </w:p>
    <w:p w:rsidR="00576F87" w:rsidRDefault="004165F5">
      <w:pPr>
        <w:spacing w:after="96" w:line="268" w:lineRule="auto"/>
        <w:ind w:left="-7" w:hanging="3"/>
        <w:jc w:val="both"/>
      </w:pPr>
      <w:r>
        <w:rPr>
          <w:rFonts w:ascii="Verdana" w:eastAsia="Verdana" w:hAnsi="Verdana" w:cs="Verdana"/>
          <w:sz w:val="18"/>
        </w:rPr>
        <w:t>Amounts recognised in the balance sheet are determined as follows:</w:t>
      </w:r>
    </w:p>
    <w:tbl>
      <w:tblPr>
        <w:tblStyle w:val="TableGrid"/>
        <w:tblW w:w="8668" w:type="dxa"/>
        <w:tblInd w:w="-33" w:type="dxa"/>
        <w:tblCellMar>
          <w:top w:w="66" w:type="dxa"/>
          <w:left w:w="35" w:type="dxa"/>
          <w:bottom w:w="35" w:type="dxa"/>
          <w:right w:w="38" w:type="dxa"/>
        </w:tblCellMar>
        <w:tblLook w:val="04A0" w:firstRow="1" w:lastRow="0" w:firstColumn="1" w:lastColumn="0" w:noHBand="0" w:noVBand="1"/>
      </w:tblPr>
      <w:tblGrid>
        <w:gridCol w:w="1657"/>
        <w:gridCol w:w="1418"/>
        <w:gridCol w:w="3931"/>
        <w:gridCol w:w="1661"/>
      </w:tblGrid>
      <w:tr w:rsidR="00576F87">
        <w:trPr>
          <w:trHeight w:val="290"/>
        </w:trPr>
        <w:tc>
          <w:tcPr>
            <w:tcW w:w="1657" w:type="dxa"/>
            <w:tcBorders>
              <w:top w:val="single" w:sz="15" w:space="0" w:color="35437C"/>
              <w:left w:val="single" w:sz="12"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2016/17</w:t>
            </w:r>
          </w:p>
        </w:tc>
        <w:tc>
          <w:tcPr>
            <w:tcW w:w="1418"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576F87"/>
        </w:tc>
        <w:tc>
          <w:tcPr>
            <w:tcW w:w="3931"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576F87"/>
        </w:tc>
        <w:tc>
          <w:tcPr>
            <w:tcW w:w="1661" w:type="dxa"/>
            <w:tcBorders>
              <w:top w:val="single" w:sz="15" w:space="0" w:color="35437C"/>
              <w:left w:val="single" w:sz="15"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2017/18</w:t>
            </w:r>
          </w:p>
        </w:tc>
      </w:tr>
      <w:tr w:rsidR="00576F87">
        <w:trPr>
          <w:trHeight w:val="290"/>
        </w:trPr>
        <w:tc>
          <w:tcPr>
            <w:tcW w:w="1657"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661"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r>
      <w:tr w:rsidR="00576F87">
        <w:trPr>
          <w:trHeight w:val="290"/>
        </w:trPr>
        <w:tc>
          <w:tcPr>
            <w:tcW w:w="1657"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22,390</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Estimated employer asset</w:t>
            </w:r>
          </w:p>
        </w:tc>
        <w:tc>
          <w:tcPr>
            <w:tcW w:w="1661"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23,211</w:t>
            </w:r>
          </w:p>
        </w:tc>
      </w:tr>
      <w:tr w:rsidR="00576F87">
        <w:trPr>
          <w:trHeight w:val="305"/>
        </w:trPr>
        <w:tc>
          <w:tcPr>
            <w:tcW w:w="1657" w:type="dxa"/>
            <w:tcBorders>
              <w:top w:val="single" w:sz="8" w:space="0" w:color="35437C"/>
              <w:left w:val="single" w:sz="8" w:space="0" w:color="35437C"/>
              <w:bottom w:val="single" w:sz="15" w:space="0" w:color="35437C"/>
              <w:right w:val="single" w:sz="8" w:space="0" w:color="35437C"/>
            </w:tcBorders>
            <w:shd w:val="clear" w:color="auto" w:fill="FFFFFF"/>
          </w:tcPr>
          <w:p w:rsidR="00576F87" w:rsidRDefault="004165F5">
            <w:pPr>
              <w:spacing w:after="0"/>
              <w:jc w:val="right"/>
            </w:pPr>
            <w:r>
              <w:rPr>
                <w:rFonts w:ascii="Verdana" w:eastAsia="Verdana" w:hAnsi="Verdana" w:cs="Verdana"/>
                <w:sz w:val="18"/>
              </w:rPr>
              <w:t>(40,272)</w:t>
            </w:r>
          </w:p>
        </w:tc>
        <w:tc>
          <w:tcPr>
            <w:tcW w:w="5350" w:type="dxa"/>
            <w:gridSpan w:val="2"/>
            <w:tcBorders>
              <w:top w:val="single" w:sz="8" w:space="0" w:color="35437C"/>
              <w:left w:val="single" w:sz="8" w:space="0" w:color="35437C"/>
              <w:bottom w:val="single" w:sz="15"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Present value of scheme liabilities</w:t>
            </w:r>
          </w:p>
        </w:tc>
        <w:tc>
          <w:tcPr>
            <w:tcW w:w="1661" w:type="dxa"/>
            <w:tcBorders>
              <w:top w:val="single" w:sz="8" w:space="0" w:color="35437C"/>
              <w:left w:val="single" w:sz="8" w:space="0" w:color="35437C"/>
              <w:bottom w:val="single" w:sz="15" w:space="0" w:color="35437C"/>
              <w:right w:val="single" w:sz="8" w:space="0" w:color="35437C"/>
            </w:tcBorders>
            <w:shd w:val="clear" w:color="auto" w:fill="FFFFFF"/>
          </w:tcPr>
          <w:p w:rsidR="00576F87" w:rsidRDefault="004165F5">
            <w:pPr>
              <w:spacing w:after="0"/>
              <w:jc w:val="right"/>
            </w:pPr>
            <w:r>
              <w:rPr>
                <w:rFonts w:ascii="Verdana" w:eastAsia="Verdana" w:hAnsi="Verdana" w:cs="Verdana"/>
                <w:sz w:val="18"/>
              </w:rPr>
              <w:t>(38,841)</w:t>
            </w:r>
          </w:p>
        </w:tc>
      </w:tr>
      <w:tr w:rsidR="00576F87">
        <w:trPr>
          <w:trHeight w:val="292"/>
        </w:trPr>
        <w:tc>
          <w:tcPr>
            <w:tcW w:w="8668" w:type="dxa"/>
            <w:gridSpan w:val="4"/>
            <w:tcBorders>
              <w:top w:val="single" w:sz="15" w:space="0" w:color="35437C"/>
              <w:left w:val="nil"/>
              <w:bottom w:val="nil"/>
              <w:right w:val="single" w:sz="15" w:space="0" w:color="35437C"/>
            </w:tcBorders>
            <w:shd w:val="clear" w:color="auto" w:fill="35437C"/>
          </w:tcPr>
          <w:p w:rsidR="00576F87" w:rsidRDefault="004165F5">
            <w:pPr>
              <w:tabs>
                <w:tab w:val="center" w:pos="2220"/>
                <w:tab w:val="right" w:pos="8595"/>
              </w:tabs>
              <w:spacing w:after="0"/>
            </w:pPr>
            <w:r>
              <w:tab/>
            </w:r>
            <w:r>
              <w:rPr>
                <w:rFonts w:ascii="Verdana" w:eastAsia="Verdana" w:hAnsi="Verdana" w:cs="Verdana"/>
                <w:b/>
                <w:color w:val="FFFFFF"/>
                <w:sz w:val="18"/>
              </w:rPr>
              <w:t xml:space="preserve">(17,882) </w:t>
            </w:r>
            <w:r>
              <w:rPr>
                <w:rFonts w:ascii="Verdana" w:eastAsia="Verdana" w:hAnsi="Verdana" w:cs="Verdana"/>
                <w:b/>
                <w:color w:val="FFFFFF"/>
                <w:sz w:val="18"/>
              </w:rPr>
              <w:t>Net Pension Liability</w:t>
            </w:r>
            <w:r>
              <w:rPr>
                <w:rFonts w:ascii="Verdana" w:eastAsia="Verdana" w:hAnsi="Verdana" w:cs="Verdana"/>
                <w:b/>
                <w:color w:val="FFFFFF"/>
                <w:sz w:val="18"/>
              </w:rPr>
              <w:tab/>
              <w:t>(15,630)</w:t>
            </w:r>
          </w:p>
        </w:tc>
      </w:tr>
      <w:tr w:rsidR="00576F87">
        <w:trPr>
          <w:trHeight w:val="1218"/>
        </w:trPr>
        <w:tc>
          <w:tcPr>
            <w:tcW w:w="8668" w:type="dxa"/>
            <w:gridSpan w:val="4"/>
            <w:tcBorders>
              <w:top w:val="nil"/>
              <w:left w:val="nil"/>
              <w:bottom w:val="single" w:sz="15" w:space="0" w:color="35437C"/>
              <w:right w:val="nil"/>
            </w:tcBorders>
            <w:shd w:val="clear" w:color="auto" w:fill="FFFFFF"/>
            <w:vAlign w:val="center"/>
          </w:tcPr>
          <w:p w:rsidR="00576F87" w:rsidRDefault="004165F5">
            <w:pPr>
              <w:spacing w:after="0"/>
            </w:pPr>
            <w:r>
              <w:t>Reconciliation of the opening and closing balance of the present value of the defined benefit obligation.</w:t>
            </w:r>
          </w:p>
        </w:tc>
      </w:tr>
      <w:tr w:rsidR="00576F87">
        <w:trPr>
          <w:trHeight w:val="290"/>
        </w:trPr>
        <w:tc>
          <w:tcPr>
            <w:tcW w:w="1657"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2016/17</w:t>
            </w:r>
          </w:p>
        </w:tc>
        <w:tc>
          <w:tcPr>
            <w:tcW w:w="1418"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3931"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661"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2017/18</w:t>
            </w:r>
          </w:p>
        </w:tc>
      </w:tr>
      <w:tr w:rsidR="00576F87">
        <w:trPr>
          <w:trHeight w:val="276"/>
        </w:trPr>
        <w:tc>
          <w:tcPr>
            <w:tcW w:w="1657"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661"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44,345</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At 1 April</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40,272</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345</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3"/>
            </w:pPr>
            <w:r>
              <w:rPr>
                <w:rFonts w:ascii="Verdana" w:eastAsia="Verdana" w:hAnsi="Verdana" w:cs="Verdana"/>
                <w:sz w:val="18"/>
              </w:rPr>
              <w:t>Service cost</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106</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1,282</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Interest cost</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1,078</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9,985</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Change in financial assumptions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jc w:val="right"/>
            </w:pPr>
            <w:r>
              <w:rPr>
                <w:rFonts w:ascii="Verdana" w:eastAsia="Verdana" w:hAnsi="Verdana" w:cs="Verdana"/>
                <w:sz w:val="18"/>
              </w:rPr>
              <w:t>(1,918)</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(47)</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3"/>
            </w:pPr>
            <w:r>
              <w:rPr>
                <w:rFonts w:ascii="Verdana" w:eastAsia="Verdana" w:hAnsi="Verdana" w:cs="Verdana"/>
                <w:sz w:val="18"/>
              </w:rPr>
              <w:t>Change in demographic assumptions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(939)</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3"/>
            </w:pPr>
            <w:r>
              <w:rPr>
                <w:rFonts w:ascii="Verdana" w:eastAsia="Verdana" w:hAnsi="Verdana" w:cs="Verdana"/>
                <w:sz w:val="18"/>
              </w:rPr>
              <w:t>Experience loss/(gain) on defined benefit obligation</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jc w:val="right"/>
            </w:pPr>
            <w:r>
              <w:rPr>
                <w:rFonts w:ascii="Verdana" w:eastAsia="Verdana" w:hAnsi="Verdana" w:cs="Verdana"/>
                <w:sz w:val="18"/>
              </w:rPr>
              <w:t>(14,147)</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Liabilities assumed/(extinguished) on settlements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jc w:val="right"/>
            </w:pPr>
            <w:r>
              <w:rPr>
                <w:rFonts w:ascii="Verdana" w:eastAsia="Verdana" w:hAnsi="Verdana" w:cs="Verdana"/>
                <w:sz w:val="18"/>
              </w:rPr>
              <w:t>-</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(662)</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3"/>
            </w:pPr>
            <w:r>
              <w:rPr>
                <w:rFonts w:ascii="Verdana" w:eastAsia="Verdana" w:hAnsi="Verdana" w:cs="Verdana"/>
                <w:sz w:val="18"/>
              </w:rPr>
              <w:t>Estimated benefits paid (net of transfers in)</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(718)</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110</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3"/>
            </w:pPr>
            <w:r>
              <w:rPr>
                <w:rFonts w:ascii="Verdana" w:eastAsia="Verdana" w:hAnsi="Verdana" w:cs="Verdana"/>
                <w:sz w:val="18"/>
              </w:rPr>
              <w:t>Contributions by scheme participants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21</w:t>
            </w:r>
          </w:p>
        </w:tc>
      </w:tr>
      <w:tr w:rsidR="00576F87">
        <w:trPr>
          <w:trHeight w:val="305"/>
        </w:trPr>
        <w:tc>
          <w:tcPr>
            <w:tcW w:w="1657"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40,272</w:t>
            </w:r>
          </w:p>
        </w:tc>
        <w:tc>
          <w:tcPr>
            <w:tcW w:w="5350" w:type="dxa"/>
            <w:gridSpan w:val="2"/>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left="8"/>
            </w:pPr>
            <w:r>
              <w:rPr>
                <w:rFonts w:ascii="Verdana" w:eastAsia="Verdana" w:hAnsi="Verdana" w:cs="Verdana"/>
                <w:b/>
                <w:color w:val="FFFFFF"/>
                <w:sz w:val="18"/>
              </w:rPr>
              <w:t>As at 31 March</w:t>
            </w:r>
          </w:p>
        </w:tc>
        <w:tc>
          <w:tcPr>
            <w:tcW w:w="1661"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38,841</w:t>
            </w:r>
          </w:p>
        </w:tc>
      </w:tr>
      <w:tr w:rsidR="00576F87">
        <w:trPr>
          <w:trHeight w:val="886"/>
        </w:trPr>
        <w:tc>
          <w:tcPr>
            <w:tcW w:w="8668" w:type="dxa"/>
            <w:gridSpan w:val="4"/>
            <w:tcBorders>
              <w:top w:val="single" w:sz="15" w:space="0" w:color="35437C"/>
              <w:left w:val="nil"/>
              <w:bottom w:val="single" w:sz="15" w:space="0" w:color="35437C"/>
              <w:right w:val="nil"/>
            </w:tcBorders>
            <w:shd w:val="clear" w:color="auto" w:fill="FFFFFF"/>
            <w:vAlign w:val="center"/>
          </w:tcPr>
          <w:p w:rsidR="00576F87" w:rsidRDefault="004165F5">
            <w:pPr>
              <w:spacing w:after="0"/>
            </w:pPr>
            <w:r>
              <w:rPr>
                <w:rFonts w:ascii="Verdana" w:eastAsia="Verdana" w:hAnsi="Verdana" w:cs="Verdana"/>
                <w:sz w:val="18"/>
              </w:rPr>
              <w:t>The movement in the fair value of plan assets over the year is as follows:</w:t>
            </w:r>
          </w:p>
        </w:tc>
      </w:tr>
      <w:tr w:rsidR="00576F87">
        <w:trPr>
          <w:trHeight w:val="290"/>
        </w:trPr>
        <w:tc>
          <w:tcPr>
            <w:tcW w:w="1657"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2016/17</w:t>
            </w:r>
          </w:p>
        </w:tc>
        <w:tc>
          <w:tcPr>
            <w:tcW w:w="1418"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3931"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661"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2017/18</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25,870</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At 1 April</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22,390</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757</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3"/>
            </w:pPr>
            <w:r>
              <w:rPr>
                <w:rFonts w:ascii="Verdana" w:eastAsia="Verdana" w:hAnsi="Verdana" w:cs="Verdana"/>
                <w:sz w:val="18"/>
              </w:rPr>
              <w:t>Interest on assets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599</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3,103</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Return on assets less interest</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637</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340</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3"/>
            </w:pPr>
            <w:r>
              <w:rPr>
                <w:rFonts w:ascii="Verdana" w:eastAsia="Verdana" w:hAnsi="Verdana" w:cs="Verdana"/>
                <w:sz w:val="18"/>
              </w:rPr>
              <w:t>Other actuarial gains/(losses)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(34)</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3"/>
            </w:pPr>
            <w:r>
              <w:rPr>
                <w:rFonts w:ascii="Verdana" w:eastAsia="Verdana" w:hAnsi="Verdana" w:cs="Verdana"/>
                <w:sz w:val="18"/>
              </w:rPr>
              <w:t>Admin expenses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(29)</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544</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3"/>
            </w:pPr>
            <w:r>
              <w:rPr>
                <w:rFonts w:ascii="Verdana" w:eastAsia="Verdana" w:hAnsi="Verdana" w:cs="Verdana"/>
                <w:sz w:val="18"/>
              </w:rPr>
              <w:t>Contributions by employer including unfunded</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311</w:t>
            </w:r>
          </w:p>
        </w:tc>
      </w:tr>
      <w:tr w:rsidR="00576F87">
        <w:trPr>
          <w:trHeight w:val="612"/>
        </w:trPr>
        <w:tc>
          <w:tcPr>
            <w:tcW w:w="1657" w:type="dxa"/>
            <w:tcBorders>
              <w:top w:val="single" w:sz="8" w:space="0" w:color="35437C"/>
              <w:left w:val="single" w:sz="12" w:space="0" w:color="35437C"/>
              <w:bottom w:val="single" w:sz="8" w:space="0" w:color="35437C"/>
              <w:right w:val="single" w:sz="8" w:space="0" w:color="35437C"/>
            </w:tcBorders>
            <w:shd w:val="clear" w:color="auto" w:fill="FFFFFF"/>
            <w:vAlign w:val="bottom"/>
          </w:tcPr>
          <w:p w:rsidR="00576F87" w:rsidRDefault="004165F5">
            <w:pPr>
              <w:spacing w:after="0"/>
              <w:ind w:right="1"/>
              <w:jc w:val="right"/>
            </w:pPr>
            <w:r>
              <w:rPr>
                <w:rFonts w:ascii="Verdana" w:eastAsia="Verdana" w:hAnsi="Verdana" w:cs="Verdana"/>
                <w:sz w:val="18"/>
              </w:rPr>
              <w:t>110</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vAlign w:val="bottom"/>
          </w:tcPr>
          <w:p w:rsidR="00576F87" w:rsidRDefault="004165F5">
            <w:pPr>
              <w:spacing w:after="0"/>
              <w:ind w:left="3"/>
            </w:pPr>
            <w:r>
              <w:rPr>
                <w:rFonts w:ascii="Verdana" w:eastAsia="Verdana" w:hAnsi="Verdana" w:cs="Verdana"/>
                <w:sz w:val="18"/>
              </w:rPr>
              <w:t>Contributions by scheme participants and other employers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vAlign w:val="bottom"/>
          </w:tcPr>
          <w:p w:rsidR="00576F87" w:rsidRDefault="004165F5">
            <w:pPr>
              <w:spacing w:after="0"/>
              <w:ind w:right="1"/>
              <w:jc w:val="right"/>
            </w:pPr>
            <w:r>
              <w:rPr>
                <w:rFonts w:ascii="Verdana" w:eastAsia="Verdana" w:hAnsi="Verdana" w:cs="Verdana"/>
                <w:sz w:val="18"/>
              </w:rPr>
              <w:t>21</w:t>
            </w:r>
          </w:p>
        </w:tc>
      </w:tr>
      <w:tr w:rsidR="00576F87">
        <w:trPr>
          <w:trHeight w:val="566"/>
        </w:trPr>
        <w:tc>
          <w:tcPr>
            <w:tcW w:w="1657" w:type="dxa"/>
            <w:tcBorders>
              <w:top w:val="single" w:sz="8" w:space="0" w:color="35437C"/>
              <w:left w:val="single" w:sz="12" w:space="0" w:color="35437C"/>
              <w:bottom w:val="single" w:sz="8" w:space="0" w:color="35437C"/>
              <w:right w:val="single" w:sz="8" w:space="0" w:color="35437C"/>
            </w:tcBorders>
            <w:shd w:val="clear" w:color="auto" w:fill="FFFFFF"/>
            <w:vAlign w:val="bottom"/>
          </w:tcPr>
          <w:p w:rsidR="00576F87" w:rsidRDefault="004165F5">
            <w:pPr>
              <w:spacing w:after="0"/>
              <w:ind w:right="1"/>
              <w:jc w:val="right"/>
            </w:pPr>
            <w:r>
              <w:rPr>
                <w:rFonts w:ascii="Verdana" w:eastAsia="Verdana" w:hAnsi="Verdana" w:cs="Verdana"/>
                <w:sz w:val="18"/>
              </w:rPr>
              <w:t>(662)</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3"/>
            </w:pPr>
            <w:r>
              <w:rPr>
                <w:rFonts w:ascii="Verdana" w:eastAsia="Verdana" w:hAnsi="Verdana" w:cs="Verdana"/>
                <w:sz w:val="18"/>
              </w:rPr>
              <w:t>Estimated benefits paid including unfunded net of transfers in</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vAlign w:val="bottom"/>
          </w:tcPr>
          <w:p w:rsidR="00576F87" w:rsidRDefault="004165F5">
            <w:pPr>
              <w:spacing w:after="0"/>
              <w:ind w:right="1"/>
              <w:jc w:val="right"/>
            </w:pPr>
            <w:r>
              <w:rPr>
                <w:rFonts w:ascii="Verdana" w:eastAsia="Verdana" w:hAnsi="Verdana" w:cs="Verdana"/>
                <w:sz w:val="18"/>
              </w:rPr>
              <w:t>(718)</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jc w:val="right"/>
            </w:pPr>
            <w:r>
              <w:rPr>
                <w:rFonts w:ascii="Verdana" w:eastAsia="Verdana" w:hAnsi="Verdana" w:cs="Verdana"/>
                <w:sz w:val="18"/>
              </w:rPr>
              <w:t>(7,638)</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3"/>
            </w:pPr>
            <w:r>
              <w:rPr>
                <w:rFonts w:ascii="Verdana" w:eastAsia="Verdana" w:hAnsi="Verdana" w:cs="Verdana"/>
                <w:sz w:val="18"/>
              </w:rPr>
              <w:t>Settlement prices received/(paid)</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305"/>
        </w:trPr>
        <w:tc>
          <w:tcPr>
            <w:tcW w:w="1657"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22,390</w:t>
            </w:r>
          </w:p>
        </w:tc>
        <w:tc>
          <w:tcPr>
            <w:tcW w:w="5350" w:type="dxa"/>
            <w:gridSpan w:val="2"/>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left="8"/>
            </w:pPr>
            <w:r>
              <w:rPr>
                <w:rFonts w:ascii="Verdana" w:eastAsia="Verdana" w:hAnsi="Verdana" w:cs="Verdana"/>
                <w:b/>
                <w:color w:val="FFFFFF"/>
                <w:sz w:val="18"/>
              </w:rPr>
              <w:t xml:space="preserve">Assets </w:t>
            </w:r>
          </w:p>
        </w:tc>
        <w:tc>
          <w:tcPr>
            <w:tcW w:w="1661"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23,211</w:t>
            </w:r>
          </w:p>
        </w:tc>
      </w:tr>
      <w:tr w:rsidR="00576F87">
        <w:trPr>
          <w:trHeight w:val="293"/>
        </w:trPr>
        <w:tc>
          <w:tcPr>
            <w:tcW w:w="8668" w:type="dxa"/>
            <w:gridSpan w:val="4"/>
            <w:tcBorders>
              <w:top w:val="single" w:sz="15" w:space="0" w:color="35437C"/>
              <w:left w:val="nil"/>
              <w:bottom w:val="nil"/>
              <w:right w:val="nil"/>
            </w:tcBorders>
            <w:shd w:val="clear" w:color="auto" w:fill="FFFFFF"/>
          </w:tcPr>
          <w:p w:rsidR="00576F87" w:rsidRDefault="00576F87"/>
        </w:tc>
      </w:tr>
    </w:tbl>
    <w:p w:rsidR="00576F87" w:rsidRDefault="004165F5">
      <w:pPr>
        <w:spacing w:after="26" w:line="265" w:lineRule="auto"/>
        <w:ind w:left="4772" w:hanging="10"/>
      </w:pPr>
      <w:r>
        <w:t>82</w:t>
      </w:r>
    </w:p>
    <w:p w:rsidR="00576F87" w:rsidRDefault="004165F5">
      <w:pPr>
        <w:spacing w:after="5" w:line="268" w:lineRule="auto"/>
        <w:ind w:left="-7" w:hanging="3"/>
        <w:jc w:val="both"/>
      </w:pPr>
      <w:r>
        <w:rPr>
          <w:rFonts w:ascii="Verdana" w:eastAsia="Verdana" w:hAnsi="Verdana" w:cs="Verdana"/>
          <w:sz w:val="18"/>
        </w:rPr>
        <w:t>Amounts recognised in Group Operational Account:</w:t>
      </w:r>
    </w:p>
    <w:tbl>
      <w:tblPr>
        <w:tblStyle w:val="TableGrid"/>
        <w:tblW w:w="8668" w:type="dxa"/>
        <w:tblInd w:w="-32" w:type="dxa"/>
        <w:tblCellMar>
          <w:top w:w="75" w:type="dxa"/>
          <w:left w:w="35" w:type="dxa"/>
          <w:bottom w:w="35" w:type="dxa"/>
          <w:right w:w="38" w:type="dxa"/>
        </w:tblCellMar>
        <w:tblLook w:val="04A0" w:firstRow="1" w:lastRow="0" w:firstColumn="1" w:lastColumn="0" w:noHBand="0" w:noVBand="1"/>
      </w:tblPr>
      <w:tblGrid>
        <w:gridCol w:w="1657"/>
        <w:gridCol w:w="1418"/>
        <w:gridCol w:w="3931"/>
        <w:gridCol w:w="1661"/>
      </w:tblGrid>
      <w:tr w:rsidR="00576F87">
        <w:trPr>
          <w:trHeight w:val="290"/>
        </w:trPr>
        <w:tc>
          <w:tcPr>
            <w:tcW w:w="1657"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2016/17</w:t>
            </w:r>
          </w:p>
        </w:tc>
        <w:tc>
          <w:tcPr>
            <w:tcW w:w="1418"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3931"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661"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2017/18</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576F87"/>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576F87"/>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jc w:val="right"/>
            </w:pPr>
            <w:r>
              <w:rPr>
                <w:rFonts w:ascii="Verdana" w:eastAsia="Verdana" w:hAnsi="Verdana" w:cs="Verdana"/>
                <w:sz w:val="18"/>
              </w:rPr>
              <w:t>(6,164)</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Service cost</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106</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525</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Net interest on the defined liability (asset)</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479</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34</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Admin expenses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29</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576F87"/>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576F87"/>
        </w:tc>
      </w:tr>
      <w:tr w:rsidR="00576F87">
        <w:trPr>
          <w:trHeight w:val="305"/>
        </w:trPr>
        <w:tc>
          <w:tcPr>
            <w:tcW w:w="1657"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right="2"/>
              <w:jc w:val="right"/>
            </w:pPr>
            <w:r>
              <w:rPr>
                <w:rFonts w:ascii="Verdana" w:eastAsia="Verdana" w:hAnsi="Verdana" w:cs="Verdana"/>
                <w:b/>
                <w:color w:val="FFFFFF"/>
                <w:sz w:val="18"/>
              </w:rPr>
              <w:t>(5,605)</w:t>
            </w:r>
          </w:p>
        </w:tc>
        <w:tc>
          <w:tcPr>
            <w:tcW w:w="5350" w:type="dxa"/>
            <w:gridSpan w:val="2"/>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left="8"/>
            </w:pPr>
            <w:r>
              <w:rPr>
                <w:rFonts w:ascii="Verdana" w:eastAsia="Verdana" w:hAnsi="Verdana" w:cs="Verdana"/>
                <w:b/>
                <w:color w:val="FFFFFF"/>
                <w:sz w:val="18"/>
              </w:rPr>
              <w:t>Total Operating Charge</w:t>
            </w:r>
          </w:p>
        </w:tc>
        <w:tc>
          <w:tcPr>
            <w:tcW w:w="1661"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614</w:t>
            </w:r>
          </w:p>
        </w:tc>
      </w:tr>
      <w:tr w:rsidR="00576F87">
        <w:trPr>
          <w:trHeight w:val="886"/>
        </w:trPr>
        <w:tc>
          <w:tcPr>
            <w:tcW w:w="8668" w:type="dxa"/>
            <w:gridSpan w:val="4"/>
            <w:tcBorders>
              <w:top w:val="single" w:sz="15" w:space="0" w:color="35437C"/>
              <w:left w:val="nil"/>
              <w:bottom w:val="single" w:sz="15" w:space="0" w:color="35437C"/>
              <w:right w:val="nil"/>
            </w:tcBorders>
            <w:shd w:val="clear" w:color="auto" w:fill="FFFFFF"/>
            <w:vAlign w:val="bottom"/>
          </w:tcPr>
          <w:p w:rsidR="00576F87" w:rsidRDefault="004165F5">
            <w:pPr>
              <w:spacing w:after="0"/>
            </w:pPr>
            <w:r>
              <w:rPr>
                <w:rFonts w:ascii="Verdana" w:eastAsia="Verdana" w:hAnsi="Verdana" w:cs="Verdana"/>
                <w:sz w:val="18"/>
              </w:rPr>
              <w:t>Amounts recognised in the Statement of Other Comprehensive Income and Expenditure:</w:t>
            </w:r>
          </w:p>
        </w:tc>
      </w:tr>
      <w:tr w:rsidR="00576F87">
        <w:trPr>
          <w:trHeight w:val="290"/>
        </w:trPr>
        <w:tc>
          <w:tcPr>
            <w:tcW w:w="1657"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2016/17</w:t>
            </w:r>
          </w:p>
        </w:tc>
        <w:tc>
          <w:tcPr>
            <w:tcW w:w="1418"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3931"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661"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2017/18</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3,103</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Return on plan assets in excess of interest</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jc w:val="right"/>
            </w:pPr>
            <w:r>
              <w:rPr>
                <w:rFonts w:ascii="Verdana" w:eastAsia="Verdana" w:hAnsi="Verdana" w:cs="Verdana"/>
                <w:sz w:val="18"/>
              </w:rPr>
              <w:t>637</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340</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Other actuarial gains/(losses) on assets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jc w:val="right"/>
            </w:pPr>
            <w:r>
              <w:rPr>
                <w:rFonts w:ascii="Verdana" w:eastAsia="Verdana" w:hAnsi="Verdana" w:cs="Verdana"/>
                <w:sz w:val="18"/>
              </w:rPr>
              <w:t>(9,985)</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Change in financial assumptions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1,918</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47</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Change in demographic assumptions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939</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Experience gain/(loss) on defined benefit obligation</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576F87"/>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576F87"/>
        </w:tc>
      </w:tr>
      <w:tr w:rsidR="00576F87">
        <w:trPr>
          <w:trHeight w:val="305"/>
        </w:trPr>
        <w:tc>
          <w:tcPr>
            <w:tcW w:w="1657"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right="2"/>
              <w:jc w:val="right"/>
            </w:pPr>
            <w:r>
              <w:rPr>
                <w:rFonts w:ascii="Verdana" w:eastAsia="Verdana" w:hAnsi="Verdana" w:cs="Verdana"/>
                <w:b/>
                <w:color w:val="FFFFFF"/>
                <w:sz w:val="18"/>
              </w:rPr>
              <w:t>(5,556)</w:t>
            </w:r>
          </w:p>
        </w:tc>
        <w:tc>
          <w:tcPr>
            <w:tcW w:w="5350" w:type="dxa"/>
            <w:gridSpan w:val="2"/>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left="8"/>
            </w:pPr>
            <w:r>
              <w:rPr>
                <w:rFonts w:ascii="Verdana" w:eastAsia="Verdana" w:hAnsi="Verdana" w:cs="Verdana"/>
                <w:b/>
                <w:color w:val="FFFFFF"/>
                <w:sz w:val="18"/>
              </w:rPr>
              <w:t>Re-measurements</w:t>
            </w:r>
          </w:p>
        </w:tc>
        <w:tc>
          <w:tcPr>
            <w:tcW w:w="1661"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2,555</w:t>
            </w:r>
          </w:p>
        </w:tc>
      </w:tr>
      <w:tr w:rsidR="00576F87">
        <w:trPr>
          <w:trHeight w:val="886"/>
        </w:trPr>
        <w:tc>
          <w:tcPr>
            <w:tcW w:w="8668" w:type="dxa"/>
            <w:gridSpan w:val="4"/>
            <w:tcBorders>
              <w:top w:val="single" w:sz="15" w:space="0" w:color="35437C"/>
              <w:left w:val="nil"/>
              <w:bottom w:val="single" w:sz="15" w:space="0" w:color="35437C"/>
              <w:right w:val="nil"/>
            </w:tcBorders>
            <w:shd w:val="clear" w:color="auto" w:fill="FFFFFF"/>
            <w:vAlign w:val="bottom"/>
          </w:tcPr>
          <w:p w:rsidR="00576F87" w:rsidRDefault="004165F5">
            <w:pPr>
              <w:spacing w:after="0"/>
            </w:pPr>
            <w:r>
              <w:rPr>
                <w:rFonts w:ascii="Verdana" w:eastAsia="Verdana" w:hAnsi="Verdana" w:cs="Verdana"/>
                <w:sz w:val="18"/>
              </w:rPr>
              <w:t>The movement in the defined benefit liability:</w:t>
            </w:r>
          </w:p>
        </w:tc>
      </w:tr>
      <w:tr w:rsidR="00576F87">
        <w:trPr>
          <w:trHeight w:val="290"/>
        </w:trPr>
        <w:tc>
          <w:tcPr>
            <w:tcW w:w="1657"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2016/17</w:t>
            </w:r>
          </w:p>
        </w:tc>
        <w:tc>
          <w:tcPr>
            <w:tcW w:w="1418"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3931"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661"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jc w:val="right"/>
            </w:pPr>
            <w:r>
              <w:rPr>
                <w:rFonts w:ascii="Verdana" w:eastAsia="Verdana" w:hAnsi="Verdana" w:cs="Verdana"/>
                <w:b/>
                <w:color w:val="FFFFFF"/>
                <w:sz w:val="18"/>
              </w:rPr>
              <w:t>2017/18</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5"/>
              <w:jc w:val="right"/>
            </w:pPr>
            <w:r>
              <w:rPr>
                <w:rFonts w:ascii="Verdana" w:eastAsia="Verdana" w:hAnsi="Verdana" w:cs="Verdana"/>
                <w:b/>
                <w:sz w:val="18"/>
              </w:rPr>
              <w:t>£'000</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jc w:val="right"/>
            </w:pPr>
            <w:r>
              <w:rPr>
                <w:rFonts w:ascii="Verdana" w:eastAsia="Verdana" w:hAnsi="Verdana" w:cs="Verdana"/>
                <w:sz w:val="18"/>
              </w:rPr>
              <w:t>(18,475)</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At 1 April</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jc w:val="right"/>
            </w:pPr>
            <w:r>
              <w:rPr>
                <w:rFonts w:ascii="Verdana" w:eastAsia="Verdana" w:hAnsi="Verdana" w:cs="Verdana"/>
                <w:sz w:val="18"/>
              </w:rPr>
              <w:t>(17,882)</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(345)</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Current service cost</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(106)</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544</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Contributions by employer including unfunded</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311</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6,509</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Movement in settlements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(525)</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Interest costs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(479)</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3,103</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Return on plan assets in excess of interest</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637</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(34)</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Admin costs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(29)</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jc w:val="right"/>
            </w:pPr>
            <w:r>
              <w:rPr>
                <w:rFonts w:ascii="Verdana" w:eastAsia="Verdana" w:hAnsi="Verdana" w:cs="Verdana"/>
                <w:sz w:val="18"/>
              </w:rPr>
              <w:t>(8,659)</w:t>
            </w:r>
          </w:p>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4"/>
            </w:pPr>
            <w:r>
              <w:rPr>
                <w:rFonts w:ascii="Verdana" w:eastAsia="Verdana" w:hAnsi="Verdana" w:cs="Verdana"/>
                <w:sz w:val="18"/>
              </w:rPr>
              <w:t>Actuarial gains/losses</w:t>
            </w:r>
          </w:p>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1,918</w:t>
            </w:r>
          </w:p>
        </w:tc>
      </w:tr>
      <w:tr w:rsidR="00576F87">
        <w:trPr>
          <w:trHeight w:val="290"/>
        </w:trPr>
        <w:tc>
          <w:tcPr>
            <w:tcW w:w="1657"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576F87"/>
        </w:tc>
        <w:tc>
          <w:tcPr>
            <w:tcW w:w="5350" w:type="dxa"/>
            <w:gridSpan w:val="2"/>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661"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576F87"/>
        </w:tc>
      </w:tr>
      <w:tr w:rsidR="00576F87">
        <w:trPr>
          <w:trHeight w:val="305"/>
        </w:trPr>
        <w:tc>
          <w:tcPr>
            <w:tcW w:w="1657"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right="2"/>
              <w:jc w:val="right"/>
            </w:pPr>
            <w:r>
              <w:rPr>
                <w:rFonts w:ascii="Verdana" w:eastAsia="Verdana" w:hAnsi="Verdana" w:cs="Verdana"/>
                <w:b/>
                <w:color w:val="FFFFFF"/>
                <w:sz w:val="18"/>
              </w:rPr>
              <w:t>(17,882)</w:t>
            </w:r>
          </w:p>
        </w:tc>
        <w:tc>
          <w:tcPr>
            <w:tcW w:w="5350" w:type="dxa"/>
            <w:gridSpan w:val="2"/>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left="8"/>
            </w:pPr>
            <w:r>
              <w:rPr>
                <w:rFonts w:ascii="Verdana" w:eastAsia="Verdana" w:hAnsi="Verdana" w:cs="Verdana"/>
                <w:b/>
                <w:color w:val="FFFFFF"/>
                <w:sz w:val="18"/>
              </w:rPr>
              <w:t>Liabilities</w:t>
            </w:r>
          </w:p>
        </w:tc>
        <w:tc>
          <w:tcPr>
            <w:tcW w:w="1661"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2"/>
              <w:jc w:val="right"/>
            </w:pPr>
            <w:r>
              <w:rPr>
                <w:rFonts w:ascii="Verdana" w:eastAsia="Verdana" w:hAnsi="Verdana" w:cs="Verdana"/>
                <w:b/>
                <w:color w:val="FFFFFF"/>
                <w:sz w:val="18"/>
              </w:rPr>
              <w:t>(15,630)</w:t>
            </w:r>
          </w:p>
        </w:tc>
      </w:tr>
    </w:tbl>
    <w:p w:rsidR="00576F87" w:rsidRDefault="004165F5">
      <w:pPr>
        <w:spacing w:after="3"/>
        <w:ind w:left="10" w:right="3740" w:hanging="10"/>
        <w:jc w:val="right"/>
      </w:pPr>
      <w:r>
        <w:t>83</w:t>
      </w:r>
    </w:p>
    <w:p w:rsidR="00576F87" w:rsidRDefault="004165F5">
      <w:pPr>
        <w:spacing w:after="70" w:line="265" w:lineRule="auto"/>
        <w:ind w:left="5" w:hanging="10"/>
      </w:pPr>
      <w:r>
        <w:rPr>
          <w:rFonts w:ascii="Verdana" w:eastAsia="Verdana" w:hAnsi="Verdana" w:cs="Verdana"/>
          <w:b/>
          <w:color w:val="99CA3C"/>
          <w:sz w:val="20"/>
        </w:rPr>
        <w:t>The principle actuarial assumptions were as follows:</w:t>
      </w:r>
    </w:p>
    <w:tbl>
      <w:tblPr>
        <w:tblStyle w:val="TableGrid"/>
        <w:tblW w:w="9779" w:type="dxa"/>
        <w:tblInd w:w="-32" w:type="dxa"/>
        <w:tblCellMar>
          <w:top w:w="68" w:type="dxa"/>
          <w:left w:w="35" w:type="dxa"/>
          <w:bottom w:w="0" w:type="dxa"/>
          <w:right w:w="34" w:type="dxa"/>
        </w:tblCellMar>
        <w:tblLook w:val="04A0" w:firstRow="1" w:lastRow="0" w:firstColumn="1" w:lastColumn="0" w:noHBand="0" w:noVBand="1"/>
      </w:tblPr>
      <w:tblGrid>
        <w:gridCol w:w="6908"/>
        <w:gridCol w:w="1322"/>
        <w:gridCol w:w="1548"/>
      </w:tblGrid>
      <w:tr w:rsidR="00576F87">
        <w:trPr>
          <w:trHeight w:val="290"/>
        </w:trPr>
        <w:tc>
          <w:tcPr>
            <w:tcW w:w="6908"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576F87"/>
        </w:tc>
        <w:tc>
          <w:tcPr>
            <w:tcW w:w="1322"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4165F5">
            <w:pPr>
              <w:spacing w:after="0"/>
              <w:ind w:left="97"/>
            </w:pPr>
            <w:r>
              <w:rPr>
                <w:rFonts w:ascii="Verdana" w:eastAsia="Verdana" w:hAnsi="Verdana" w:cs="Verdana"/>
                <w:b/>
                <w:color w:val="FFFFFF"/>
                <w:sz w:val="18"/>
              </w:rPr>
              <w:t>31-Mar-18</w:t>
            </w:r>
          </w:p>
        </w:tc>
        <w:tc>
          <w:tcPr>
            <w:tcW w:w="1548"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left="3"/>
              <w:jc w:val="center"/>
            </w:pPr>
            <w:r>
              <w:rPr>
                <w:rFonts w:ascii="Verdana" w:eastAsia="Verdana" w:hAnsi="Verdana" w:cs="Verdana"/>
                <w:b/>
                <w:color w:val="FFFFFF"/>
                <w:sz w:val="18"/>
              </w:rPr>
              <w:t>31-Mar-17</w:t>
            </w:r>
          </w:p>
        </w:tc>
      </w:tr>
      <w:tr w:rsidR="00576F87">
        <w:trPr>
          <w:trHeight w:val="595"/>
        </w:trPr>
        <w:tc>
          <w:tcPr>
            <w:tcW w:w="6908" w:type="dxa"/>
            <w:tcBorders>
              <w:top w:val="single" w:sz="8" w:space="0" w:color="35437C"/>
              <w:left w:val="single" w:sz="12" w:space="0" w:color="35437C"/>
              <w:bottom w:val="single" w:sz="8" w:space="0" w:color="35437C"/>
              <w:right w:val="single" w:sz="8" w:space="0" w:color="35437C"/>
            </w:tcBorders>
            <w:vAlign w:val="center"/>
          </w:tcPr>
          <w:p w:rsidR="00576F87" w:rsidRDefault="004165F5">
            <w:pPr>
              <w:spacing w:after="0"/>
              <w:ind w:left="5"/>
            </w:pPr>
            <w:r>
              <w:rPr>
                <w:rFonts w:ascii="Verdana" w:eastAsia="Verdana" w:hAnsi="Verdana" w:cs="Verdana"/>
                <w:b/>
                <w:sz w:val="18"/>
              </w:rPr>
              <w:t>Mortality rate for 65 year olds - retiring today</w:t>
            </w:r>
          </w:p>
        </w:tc>
        <w:tc>
          <w:tcPr>
            <w:tcW w:w="1322" w:type="dxa"/>
            <w:tcBorders>
              <w:top w:val="single" w:sz="8" w:space="0" w:color="35437C"/>
              <w:left w:val="single" w:sz="8" w:space="0" w:color="35437C"/>
              <w:bottom w:val="single" w:sz="8" w:space="0" w:color="35437C"/>
              <w:right w:val="single" w:sz="8" w:space="0" w:color="35437C"/>
            </w:tcBorders>
          </w:tcPr>
          <w:p w:rsidR="00576F87" w:rsidRDefault="00576F87"/>
        </w:tc>
        <w:tc>
          <w:tcPr>
            <w:tcW w:w="1548"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6908" w:type="dxa"/>
            <w:tcBorders>
              <w:top w:val="single" w:sz="8" w:space="0" w:color="35437C"/>
              <w:left w:val="single" w:sz="12"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Males</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21.8</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8"/>
              </w:rPr>
              <w:t>21.7</w:t>
            </w:r>
          </w:p>
        </w:tc>
      </w:tr>
      <w:tr w:rsidR="00576F87">
        <w:trPr>
          <w:trHeight w:val="290"/>
        </w:trPr>
        <w:tc>
          <w:tcPr>
            <w:tcW w:w="6908" w:type="dxa"/>
            <w:tcBorders>
              <w:top w:val="single" w:sz="8" w:space="0" w:color="35437C"/>
              <w:left w:val="single" w:sz="12"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Females</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24.6</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8"/>
              </w:rPr>
              <w:t>24.5</w:t>
            </w:r>
          </w:p>
        </w:tc>
      </w:tr>
      <w:tr w:rsidR="00576F87">
        <w:trPr>
          <w:trHeight w:val="420"/>
        </w:trPr>
        <w:tc>
          <w:tcPr>
            <w:tcW w:w="6908" w:type="dxa"/>
            <w:tcBorders>
              <w:top w:val="single" w:sz="8" w:space="0" w:color="35437C"/>
              <w:left w:val="single" w:sz="12" w:space="0" w:color="35437C"/>
              <w:bottom w:val="single" w:sz="8" w:space="0" w:color="35437C"/>
              <w:right w:val="single" w:sz="8" w:space="0" w:color="35437C"/>
            </w:tcBorders>
            <w:vAlign w:val="center"/>
          </w:tcPr>
          <w:p w:rsidR="00576F87" w:rsidRDefault="004165F5">
            <w:pPr>
              <w:spacing w:after="0"/>
              <w:ind w:left="5"/>
            </w:pPr>
            <w:r>
              <w:rPr>
                <w:rFonts w:ascii="Verdana" w:eastAsia="Verdana" w:hAnsi="Verdana" w:cs="Verdana"/>
                <w:b/>
                <w:sz w:val="18"/>
              </w:rPr>
              <w:t>Mortality rate for 65 year olds - retiring in 20 years time</w:t>
            </w:r>
          </w:p>
        </w:tc>
        <w:tc>
          <w:tcPr>
            <w:tcW w:w="1322" w:type="dxa"/>
            <w:tcBorders>
              <w:top w:val="single" w:sz="8" w:space="0" w:color="35437C"/>
              <w:left w:val="single" w:sz="8" w:space="0" w:color="35437C"/>
              <w:bottom w:val="single" w:sz="8" w:space="0" w:color="35437C"/>
              <w:right w:val="single" w:sz="8" w:space="0" w:color="35437C"/>
            </w:tcBorders>
          </w:tcPr>
          <w:p w:rsidR="00576F87" w:rsidRDefault="00576F87"/>
        </w:tc>
        <w:tc>
          <w:tcPr>
            <w:tcW w:w="1548"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6908" w:type="dxa"/>
            <w:tcBorders>
              <w:top w:val="single" w:sz="8" w:space="0" w:color="35437C"/>
              <w:left w:val="single" w:sz="12"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Males</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24.1</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8"/>
              </w:rPr>
              <w:t>24</w:t>
            </w:r>
          </w:p>
        </w:tc>
      </w:tr>
      <w:tr w:rsidR="00576F87">
        <w:trPr>
          <w:trHeight w:val="305"/>
        </w:trPr>
        <w:tc>
          <w:tcPr>
            <w:tcW w:w="6908" w:type="dxa"/>
            <w:tcBorders>
              <w:top w:val="single" w:sz="8" w:space="0" w:color="35437C"/>
              <w:left w:val="single" w:sz="12" w:space="0" w:color="35437C"/>
              <w:bottom w:val="single" w:sz="15" w:space="0" w:color="35437C"/>
              <w:right w:val="single" w:sz="8" w:space="0" w:color="35437C"/>
            </w:tcBorders>
          </w:tcPr>
          <w:p w:rsidR="00576F87" w:rsidRDefault="004165F5">
            <w:pPr>
              <w:spacing w:after="0"/>
            </w:pPr>
            <w:r>
              <w:rPr>
                <w:rFonts w:ascii="Verdana" w:eastAsia="Verdana" w:hAnsi="Verdana" w:cs="Verdana"/>
                <w:sz w:val="18"/>
              </w:rPr>
              <w:t>Females</w:t>
            </w:r>
          </w:p>
        </w:tc>
        <w:tc>
          <w:tcPr>
            <w:tcW w:w="1322" w:type="dxa"/>
            <w:tcBorders>
              <w:top w:val="single" w:sz="8" w:space="0" w:color="35437C"/>
              <w:left w:val="single" w:sz="8" w:space="0" w:color="35437C"/>
              <w:bottom w:val="single" w:sz="15" w:space="0" w:color="35437C"/>
              <w:right w:val="single" w:sz="8" w:space="0" w:color="35437C"/>
            </w:tcBorders>
          </w:tcPr>
          <w:p w:rsidR="00576F87" w:rsidRDefault="004165F5">
            <w:pPr>
              <w:spacing w:after="0"/>
              <w:jc w:val="right"/>
            </w:pPr>
            <w:r>
              <w:rPr>
                <w:rFonts w:ascii="Verdana" w:eastAsia="Verdana" w:hAnsi="Verdana" w:cs="Verdana"/>
                <w:sz w:val="18"/>
              </w:rPr>
              <w:t>26.8</w:t>
            </w:r>
          </w:p>
        </w:tc>
        <w:tc>
          <w:tcPr>
            <w:tcW w:w="1548" w:type="dxa"/>
            <w:tcBorders>
              <w:top w:val="single" w:sz="8" w:space="0" w:color="35437C"/>
              <w:left w:val="single" w:sz="8" w:space="0" w:color="35437C"/>
              <w:bottom w:val="single" w:sz="15" w:space="0" w:color="35437C"/>
              <w:right w:val="single" w:sz="15" w:space="0" w:color="35437C"/>
            </w:tcBorders>
          </w:tcPr>
          <w:p w:rsidR="00576F87" w:rsidRDefault="004165F5">
            <w:pPr>
              <w:spacing w:after="0"/>
              <w:jc w:val="right"/>
            </w:pPr>
            <w:r>
              <w:rPr>
                <w:rFonts w:ascii="Verdana" w:eastAsia="Verdana" w:hAnsi="Verdana" w:cs="Verdana"/>
                <w:sz w:val="18"/>
              </w:rPr>
              <w:t>26.7</w:t>
            </w:r>
          </w:p>
        </w:tc>
      </w:tr>
    </w:tbl>
    <w:p w:rsidR="00576F87" w:rsidRDefault="004165F5">
      <w:pPr>
        <w:spacing w:after="130" w:line="268" w:lineRule="auto"/>
        <w:ind w:left="-7" w:hanging="3"/>
        <w:jc w:val="both"/>
      </w:pPr>
      <w:r>
        <w:rPr>
          <w:rFonts w:ascii="Verdana" w:eastAsia="Verdana" w:hAnsi="Verdana" w:cs="Verdana"/>
          <w:sz w:val="18"/>
        </w:rPr>
        <w:t>The following assumptions were also made:</w:t>
      </w:r>
    </w:p>
    <w:p w:rsidR="00576F87" w:rsidRDefault="004165F5">
      <w:pPr>
        <w:numPr>
          <w:ilvl w:val="0"/>
          <w:numId w:val="16"/>
        </w:numPr>
        <w:spacing w:after="171" w:line="268" w:lineRule="auto"/>
        <w:ind w:hanging="415"/>
        <w:jc w:val="both"/>
      </w:pPr>
      <w:r>
        <w:rPr>
          <w:rFonts w:ascii="Verdana" w:eastAsia="Verdana" w:hAnsi="Verdana" w:cs="Verdana"/>
          <w:sz w:val="18"/>
        </w:rPr>
        <w:t>Members will exchange half of their commutable pension for cash at retirement.</w:t>
      </w:r>
    </w:p>
    <w:p w:rsidR="00576F87" w:rsidRDefault="004165F5">
      <w:pPr>
        <w:numPr>
          <w:ilvl w:val="0"/>
          <w:numId w:val="16"/>
        </w:numPr>
        <w:spacing w:after="101" w:line="268" w:lineRule="auto"/>
        <w:ind w:hanging="415"/>
        <w:jc w:val="both"/>
      </w:pPr>
      <w:r>
        <w:rPr>
          <w:rFonts w:ascii="Verdana" w:eastAsia="Verdana" w:hAnsi="Verdana" w:cs="Verdana"/>
          <w:sz w:val="18"/>
        </w:rPr>
        <w:t>The proportion of the membership that had taken up the option under the new LGPS to        pay 50% of contributions for 50% of benefits at the previous valuation date will remain the        same.</w:t>
      </w:r>
    </w:p>
    <w:tbl>
      <w:tblPr>
        <w:tblStyle w:val="TableGrid"/>
        <w:tblW w:w="9779" w:type="dxa"/>
        <w:tblInd w:w="-32" w:type="dxa"/>
        <w:tblCellMar>
          <w:top w:w="63" w:type="dxa"/>
          <w:left w:w="35" w:type="dxa"/>
          <w:bottom w:w="0" w:type="dxa"/>
          <w:right w:w="33" w:type="dxa"/>
        </w:tblCellMar>
        <w:tblLook w:val="04A0" w:firstRow="1" w:lastRow="0" w:firstColumn="1" w:lastColumn="0" w:noHBand="0" w:noVBand="1"/>
      </w:tblPr>
      <w:tblGrid>
        <w:gridCol w:w="1592"/>
        <w:gridCol w:w="1224"/>
        <w:gridCol w:w="1402"/>
        <w:gridCol w:w="1402"/>
        <w:gridCol w:w="1289"/>
        <w:gridCol w:w="1322"/>
        <w:gridCol w:w="1548"/>
      </w:tblGrid>
      <w:tr w:rsidR="00576F87">
        <w:trPr>
          <w:trHeight w:val="306"/>
        </w:trPr>
        <w:tc>
          <w:tcPr>
            <w:tcW w:w="1592" w:type="dxa"/>
            <w:tcBorders>
              <w:top w:val="single" w:sz="15" w:space="0" w:color="35437C"/>
              <w:left w:val="single" w:sz="12" w:space="0" w:color="35437C"/>
              <w:bottom w:val="nil"/>
              <w:right w:val="single" w:sz="8" w:space="0" w:color="35437C"/>
            </w:tcBorders>
            <w:shd w:val="clear" w:color="auto" w:fill="35437C"/>
          </w:tcPr>
          <w:p w:rsidR="00576F87" w:rsidRDefault="00576F87"/>
        </w:tc>
        <w:tc>
          <w:tcPr>
            <w:tcW w:w="2626" w:type="dxa"/>
            <w:gridSpan w:val="2"/>
            <w:tcBorders>
              <w:top w:val="single" w:sz="15" w:space="0" w:color="35437C"/>
              <w:left w:val="single" w:sz="8" w:space="0" w:color="35437C"/>
              <w:bottom w:val="nil"/>
              <w:right w:val="single" w:sz="8" w:space="0" w:color="35437C"/>
            </w:tcBorders>
            <w:shd w:val="clear" w:color="auto" w:fill="35437C"/>
          </w:tcPr>
          <w:p w:rsidR="00576F87" w:rsidRDefault="004165F5">
            <w:pPr>
              <w:spacing w:after="0"/>
              <w:ind w:left="4"/>
              <w:jc w:val="center"/>
            </w:pPr>
            <w:r>
              <w:rPr>
                <w:rFonts w:ascii="Verdana" w:eastAsia="Verdana" w:hAnsi="Verdana" w:cs="Verdana"/>
                <w:b/>
                <w:color w:val="FFFFFF"/>
                <w:sz w:val="18"/>
              </w:rPr>
              <w:t>31-Mar-18</w:t>
            </w:r>
          </w:p>
        </w:tc>
        <w:tc>
          <w:tcPr>
            <w:tcW w:w="2690" w:type="dxa"/>
            <w:gridSpan w:val="2"/>
            <w:tcBorders>
              <w:top w:val="single" w:sz="15" w:space="0" w:color="35437C"/>
              <w:left w:val="single" w:sz="8" w:space="0" w:color="35437C"/>
              <w:bottom w:val="nil"/>
              <w:right w:val="single" w:sz="8" w:space="0" w:color="35437C"/>
            </w:tcBorders>
            <w:shd w:val="clear" w:color="auto" w:fill="35437C"/>
          </w:tcPr>
          <w:p w:rsidR="00576F87" w:rsidRDefault="004165F5">
            <w:pPr>
              <w:spacing w:after="0"/>
              <w:ind w:left="2"/>
              <w:jc w:val="center"/>
            </w:pPr>
            <w:r>
              <w:rPr>
                <w:rFonts w:ascii="Verdana" w:eastAsia="Verdana" w:hAnsi="Verdana" w:cs="Verdana"/>
                <w:b/>
                <w:color w:val="FFFFFF"/>
                <w:sz w:val="18"/>
              </w:rPr>
              <w:t>31-Mar-17</w:t>
            </w:r>
          </w:p>
        </w:tc>
        <w:tc>
          <w:tcPr>
            <w:tcW w:w="2870" w:type="dxa"/>
            <w:gridSpan w:val="2"/>
            <w:tcBorders>
              <w:top w:val="single" w:sz="15" w:space="0" w:color="35437C"/>
              <w:left w:val="single" w:sz="8" w:space="0" w:color="35437C"/>
              <w:bottom w:val="nil"/>
              <w:right w:val="single" w:sz="15" w:space="0" w:color="35437C"/>
            </w:tcBorders>
            <w:shd w:val="clear" w:color="auto" w:fill="35437C"/>
          </w:tcPr>
          <w:p w:rsidR="00576F87" w:rsidRDefault="004165F5">
            <w:pPr>
              <w:spacing w:after="0"/>
              <w:ind w:left="4"/>
              <w:jc w:val="center"/>
            </w:pPr>
            <w:r>
              <w:rPr>
                <w:rFonts w:ascii="Verdana" w:eastAsia="Verdana" w:hAnsi="Verdana" w:cs="Verdana"/>
                <w:b/>
                <w:color w:val="FFFFFF"/>
                <w:sz w:val="18"/>
              </w:rPr>
              <w:t>31-Mar-16</w:t>
            </w:r>
          </w:p>
        </w:tc>
      </w:tr>
      <w:tr w:rsidR="00576F87">
        <w:trPr>
          <w:trHeight w:val="275"/>
        </w:trPr>
        <w:tc>
          <w:tcPr>
            <w:tcW w:w="1592" w:type="dxa"/>
            <w:tcBorders>
              <w:top w:val="nil"/>
              <w:left w:val="single" w:sz="12" w:space="0" w:color="35437C"/>
              <w:bottom w:val="single" w:sz="8" w:space="0" w:color="35437C"/>
              <w:right w:val="single" w:sz="8" w:space="0" w:color="35437C"/>
            </w:tcBorders>
            <w:shd w:val="clear" w:color="auto" w:fill="35437C"/>
          </w:tcPr>
          <w:p w:rsidR="00576F87" w:rsidRDefault="00576F87"/>
        </w:tc>
        <w:tc>
          <w:tcPr>
            <w:tcW w:w="1224" w:type="dxa"/>
            <w:tcBorders>
              <w:top w:val="nil"/>
              <w:left w:val="single" w:sz="8" w:space="0" w:color="35437C"/>
              <w:bottom w:val="single" w:sz="8" w:space="0" w:color="35437C"/>
              <w:right w:val="single" w:sz="8" w:space="0" w:color="35437C"/>
            </w:tcBorders>
            <w:shd w:val="clear" w:color="auto" w:fill="35437C"/>
          </w:tcPr>
          <w:p w:rsidR="00576F87" w:rsidRDefault="004165F5">
            <w:pPr>
              <w:spacing w:after="0"/>
              <w:ind w:left="1"/>
              <w:jc w:val="center"/>
            </w:pPr>
            <w:r>
              <w:rPr>
                <w:rFonts w:ascii="Verdana" w:eastAsia="Verdana" w:hAnsi="Verdana" w:cs="Verdana"/>
                <w:b/>
                <w:color w:val="FFFFFF"/>
                <w:sz w:val="18"/>
              </w:rPr>
              <w:t>%p.a.</w:t>
            </w:r>
          </w:p>
        </w:tc>
        <w:tc>
          <w:tcPr>
            <w:tcW w:w="1402" w:type="dxa"/>
            <w:tcBorders>
              <w:top w:val="nil"/>
              <w:left w:val="single" w:sz="8" w:space="0" w:color="35437C"/>
              <w:bottom w:val="single" w:sz="8" w:space="0" w:color="35437C"/>
              <w:right w:val="single" w:sz="8" w:space="0" w:color="35437C"/>
            </w:tcBorders>
            <w:shd w:val="clear" w:color="auto" w:fill="35437C"/>
          </w:tcPr>
          <w:p w:rsidR="00576F87" w:rsidRDefault="004165F5">
            <w:pPr>
              <w:spacing w:after="0"/>
              <w:ind w:left="4"/>
              <w:jc w:val="center"/>
            </w:pPr>
            <w:r>
              <w:rPr>
                <w:rFonts w:ascii="Verdana" w:eastAsia="Verdana" w:hAnsi="Verdana" w:cs="Verdana"/>
                <w:b/>
                <w:color w:val="FFFFFF"/>
                <w:sz w:val="18"/>
              </w:rPr>
              <w:t>Real %</w:t>
            </w:r>
          </w:p>
        </w:tc>
        <w:tc>
          <w:tcPr>
            <w:tcW w:w="1402" w:type="dxa"/>
            <w:tcBorders>
              <w:top w:val="nil"/>
              <w:left w:val="single" w:sz="8" w:space="0" w:color="35437C"/>
              <w:bottom w:val="single" w:sz="8" w:space="0" w:color="35437C"/>
              <w:right w:val="single" w:sz="8" w:space="0" w:color="35437C"/>
            </w:tcBorders>
            <w:shd w:val="clear" w:color="auto" w:fill="35437C"/>
          </w:tcPr>
          <w:p w:rsidR="00576F87" w:rsidRDefault="004165F5">
            <w:pPr>
              <w:spacing w:after="0"/>
              <w:jc w:val="center"/>
            </w:pPr>
            <w:r>
              <w:rPr>
                <w:rFonts w:ascii="Verdana" w:eastAsia="Verdana" w:hAnsi="Verdana" w:cs="Verdana"/>
                <w:b/>
                <w:color w:val="FFFFFF"/>
                <w:sz w:val="18"/>
              </w:rPr>
              <w:t>%p.a.</w:t>
            </w:r>
          </w:p>
        </w:tc>
        <w:tc>
          <w:tcPr>
            <w:tcW w:w="1289" w:type="dxa"/>
            <w:tcBorders>
              <w:top w:val="nil"/>
              <w:left w:val="single" w:sz="8" w:space="0" w:color="35437C"/>
              <w:bottom w:val="single" w:sz="8" w:space="0" w:color="35437C"/>
              <w:right w:val="single" w:sz="8" w:space="0" w:color="35437C"/>
            </w:tcBorders>
            <w:shd w:val="clear" w:color="auto" w:fill="35437C"/>
          </w:tcPr>
          <w:p w:rsidR="00576F87" w:rsidRDefault="004165F5">
            <w:pPr>
              <w:spacing w:after="0"/>
              <w:ind w:left="1"/>
              <w:jc w:val="center"/>
            </w:pPr>
            <w:r>
              <w:rPr>
                <w:rFonts w:ascii="Verdana" w:eastAsia="Verdana" w:hAnsi="Verdana" w:cs="Verdana"/>
                <w:b/>
                <w:color w:val="FFFFFF"/>
                <w:sz w:val="18"/>
              </w:rPr>
              <w:t>Real %</w:t>
            </w:r>
          </w:p>
        </w:tc>
        <w:tc>
          <w:tcPr>
            <w:tcW w:w="1322" w:type="dxa"/>
            <w:tcBorders>
              <w:top w:val="nil"/>
              <w:left w:val="single" w:sz="8" w:space="0" w:color="35437C"/>
              <w:bottom w:val="single" w:sz="8" w:space="0" w:color="35437C"/>
              <w:right w:val="single" w:sz="8" w:space="0" w:color="35437C"/>
            </w:tcBorders>
            <w:shd w:val="clear" w:color="auto" w:fill="35437C"/>
          </w:tcPr>
          <w:p w:rsidR="00576F87" w:rsidRDefault="004165F5">
            <w:pPr>
              <w:spacing w:after="0"/>
              <w:ind w:left="3"/>
              <w:jc w:val="center"/>
            </w:pPr>
            <w:r>
              <w:rPr>
                <w:rFonts w:ascii="Verdana" w:eastAsia="Verdana" w:hAnsi="Verdana" w:cs="Verdana"/>
                <w:b/>
                <w:color w:val="FFFFFF"/>
                <w:sz w:val="18"/>
              </w:rPr>
              <w:t>%p.a.</w:t>
            </w:r>
          </w:p>
        </w:tc>
        <w:tc>
          <w:tcPr>
            <w:tcW w:w="1548" w:type="dxa"/>
            <w:tcBorders>
              <w:top w:val="nil"/>
              <w:left w:val="single" w:sz="8" w:space="0" w:color="35437C"/>
              <w:bottom w:val="single" w:sz="8" w:space="0" w:color="35437C"/>
              <w:right w:val="single" w:sz="15" w:space="0" w:color="35437C"/>
            </w:tcBorders>
            <w:shd w:val="clear" w:color="auto" w:fill="35437C"/>
          </w:tcPr>
          <w:p w:rsidR="00576F87" w:rsidRDefault="004165F5">
            <w:pPr>
              <w:spacing w:after="0"/>
              <w:ind w:left="1"/>
              <w:jc w:val="center"/>
            </w:pPr>
            <w:r>
              <w:rPr>
                <w:rFonts w:ascii="Verdana" w:eastAsia="Verdana" w:hAnsi="Verdana" w:cs="Verdana"/>
                <w:b/>
                <w:color w:val="FFFFFF"/>
                <w:sz w:val="18"/>
              </w:rPr>
              <w:t>Real %</w:t>
            </w:r>
          </w:p>
        </w:tc>
      </w:tr>
      <w:tr w:rsidR="00576F87">
        <w:trPr>
          <w:trHeight w:val="377"/>
        </w:trPr>
        <w:tc>
          <w:tcPr>
            <w:tcW w:w="1592" w:type="dxa"/>
            <w:tcBorders>
              <w:top w:val="single" w:sz="8" w:space="0" w:color="35437C"/>
              <w:left w:val="single" w:sz="12"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RPI Increases</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3.3</w:t>
            </w:r>
          </w:p>
        </w:tc>
        <w:tc>
          <w:tcPr>
            <w:tcW w:w="140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0</w:t>
            </w:r>
          </w:p>
        </w:tc>
        <w:tc>
          <w:tcPr>
            <w:tcW w:w="140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3.6</w:t>
            </w:r>
          </w:p>
        </w:tc>
        <w:tc>
          <w:tcPr>
            <w:tcW w:w="128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0</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3.4</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
              <w:jc w:val="right"/>
            </w:pPr>
            <w:r>
              <w:rPr>
                <w:rFonts w:ascii="Verdana" w:eastAsia="Verdana" w:hAnsi="Verdana" w:cs="Verdana"/>
                <w:sz w:val="18"/>
              </w:rPr>
              <w:t>0</w:t>
            </w:r>
          </w:p>
        </w:tc>
      </w:tr>
      <w:tr w:rsidR="00576F87">
        <w:trPr>
          <w:trHeight w:val="391"/>
        </w:trPr>
        <w:tc>
          <w:tcPr>
            <w:tcW w:w="1592" w:type="dxa"/>
            <w:tcBorders>
              <w:top w:val="single" w:sz="8" w:space="0" w:color="35437C"/>
              <w:left w:val="single" w:sz="12"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CPI Increases</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2.3</w:t>
            </w:r>
          </w:p>
        </w:tc>
        <w:tc>
          <w:tcPr>
            <w:tcW w:w="140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-1</w:t>
            </w:r>
          </w:p>
        </w:tc>
        <w:tc>
          <w:tcPr>
            <w:tcW w:w="140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2.7</w:t>
            </w:r>
          </w:p>
        </w:tc>
        <w:tc>
          <w:tcPr>
            <w:tcW w:w="128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-0.9</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2.5</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8"/>
              </w:rPr>
              <w:t>-0.9</w:t>
            </w:r>
          </w:p>
        </w:tc>
      </w:tr>
      <w:tr w:rsidR="00576F87">
        <w:trPr>
          <w:trHeight w:val="583"/>
        </w:trPr>
        <w:tc>
          <w:tcPr>
            <w:tcW w:w="1592" w:type="dxa"/>
            <w:tcBorders>
              <w:top w:val="single" w:sz="8" w:space="0" w:color="35437C"/>
              <w:left w:val="single" w:sz="12" w:space="0" w:color="35437C"/>
              <w:bottom w:val="single" w:sz="8" w:space="0" w:color="35437C"/>
              <w:right w:val="single" w:sz="8" w:space="0" w:color="35437C"/>
            </w:tcBorders>
            <w:vAlign w:val="center"/>
          </w:tcPr>
          <w:p w:rsidR="00576F87" w:rsidRDefault="004165F5">
            <w:pPr>
              <w:spacing w:after="0"/>
              <w:jc w:val="both"/>
            </w:pPr>
            <w:r>
              <w:rPr>
                <w:rFonts w:ascii="Verdana" w:eastAsia="Verdana" w:hAnsi="Verdana" w:cs="Verdana"/>
                <w:sz w:val="18"/>
              </w:rPr>
              <w:t>Salary Increases</w:t>
            </w:r>
          </w:p>
        </w:tc>
        <w:tc>
          <w:tcPr>
            <w:tcW w:w="1224"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1"/>
              <w:jc w:val="right"/>
            </w:pPr>
            <w:r>
              <w:rPr>
                <w:rFonts w:ascii="Verdana" w:eastAsia="Verdana" w:hAnsi="Verdana" w:cs="Verdana"/>
                <w:sz w:val="18"/>
              </w:rPr>
              <w:t>3.8</w:t>
            </w:r>
          </w:p>
        </w:tc>
        <w:tc>
          <w:tcPr>
            <w:tcW w:w="140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1"/>
              <w:jc w:val="right"/>
            </w:pPr>
            <w:r>
              <w:rPr>
                <w:rFonts w:ascii="Verdana" w:eastAsia="Verdana" w:hAnsi="Verdana" w:cs="Verdana"/>
                <w:sz w:val="18"/>
              </w:rPr>
              <w:t>0.5</w:t>
            </w:r>
          </w:p>
        </w:tc>
        <w:tc>
          <w:tcPr>
            <w:tcW w:w="140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jc w:val="right"/>
            </w:pPr>
            <w:r>
              <w:rPr>
                <w:rFonts w:ascii="Verdana" w:eastAsia="Verdana" w:hAnsi="Verdana" w:cs="Verdana"/>
                <w:sz w:val="18"/>
              </w:rPr>
              <w:t>4.2</w:t>
            </w:r>
          </w:p>
        </w:tc>
        <w:tc>
          <w:tcPr>
            <w:tcW w:w="1289"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jc w:val="right"/>
            </w:pPr>
            <w:r>
              <w:rPr>
                <w:rFonts w:ascii="Verdana" w:eastAsia="Verdana" w:hAnsi="Verdana" w:cs="Verdana"/>
                <w:sz w:val="18"/>
              </w:rPr>
              <w:t>0.6</w:t>
            </w:r>
          </w:p>
        </w:tc>
        <w:tc>
          <w:tcPr>
            <w:tcW w:w="132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jc w:val="right"/>
            </w:pPr>
            <w:r>
              <w:rPr>
                <w:rFonts w:ascii="Verdana" w:eastAsia="Verdana" w:hAnsi="Verdana" w:cs="Verdana"/>
                <w:sz w:val="18"/>
              </w:rPr>
              <w:t>4.3</w:t>
            </w:r>
          </w:p>
        </w:tc>
        <w:tc>
          <w:tcPr>
            <w:tcW w:w="1548"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jc w:val="right"/>
            </w:pPr>
            <w:r>
              <w:rPr>
                <w:rFonts w:ascii="Verdana" w:eastAsia="Verdana" w:hAnsi="Verdana" w:cs="Verdana"/>
                <w:sz w:val="18"/>
              </w:rPr>
              <w:t>0.9</w:t>
            </w:r>
          </w:p>
        </w:tc>
      </w:tr>
      <w:tr w:rsidR="00576F87">
        <w:trPr>
          <w:trHeight w:val="566"/>
        </w:trPr>
        <w:tc>
          <w:tcPr>
            <w:tcW w:w="1592" w:type="dxa"/>
            <w:tcBorders>
              <w:top w:val="single" w:sz="8" w:space="0" w:color="35437C"/>
              <w:left w:val="single" w:sz="12" w:space="0" w:color="35437C"/>
              <w:bottom w:val="single" w:sz="8" w:space="0" w:color="35437C"/>
              <w:right w:val="single" w:sz="8" w:space="0" w:color="35437C"/>
            </w:tcBorders>
          </w:tcPr>
          <w:p w:rsidR="00576F87" w:rsidRDefault="004165F5">
            <w:pPr>
              <w:spacing w:after="3"/>
            </w:pPr>
            <w:r>
              <w:rPr>
                <w:rFonts w:ascii="Verdana" w:eastAsia="Verdana" w:hAnsi="Verdana" w:cs="Verdana"/>
                <w:sz w:val="18"/>
              </w:rPr>
              <w:t xml:space="preserve">Pension </w:t>
            </w:r>
          </w:p>
          <w:p w:rsidR="00576F87" w:rsidRDefault="004165F5">
            <w:pPr>
              <w:spacing w:after="0"/>
            </w:pPr>
            <w:r>
              <w:rPr>
                <w:rFonts w:ascii="Verdana" w:eastAsia="Verdana" w:hAnsi="Verdana" w:cs="Verdana"/>
                <w:sz w:val="18"/>
              </w:rPr>
              <w:t>Increases</w:t>
            </w:r>
          </w:p>
        </w:tc>
        <w:tc>
          <w:tcPr>
            <w:tcW w:w="1224"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1"/>
              <w:jc w:val="right"/>
            </w:pPr>
            <w:r>
              <w:rPr>
                <w:rFonts w:ascii="Verdana" w:eastAsia="Verdana" w:hAnsi="Verdana" w:cs="Verdana"/>
                <w:sz w:val="18"/>
              </w:rPr>
              <w:t>2.3</w:t>
            </w:r>
          </w:p>
        </w:tc>
        <w:tc>
          <w:tcPr>
            <w:tcW w:w="140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1"/>
              <w:jc w:val="right"/>
            </w:pPr>
            <w:r>
              <w:rPr>
                <w:rFonts w:ascii="Verdana" w:eastAsia="Verdana" w:hAnsi="Verdana" w:cs="Verdana"/>
                <w:sz w:val="18"/>
              </w:rPr>
              <w:t>-1</w:t>
            </w:r>
          </w:p>
        </w:tc>
        <w:tc>
          <w:tcPr>
            <w:tcW w:w="140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1"/>
              <w:jc w:val="right"/>
            </w:pPr>
            <w:r>
              <w:rPr>
                <w:rFonts w:ascii="Verdana" w:eastAsia="Verdana" w:hAnsi="Verdana" w:cs="Verdana"/>
                <w:sz w:val="18"/>
              </w:rPr>
              <w:t>2.7</w:t>
            </w:r>
          </w:p>
        </w:tc>
        <w:tc>
          <w:tcPr>
            <w:tcW w:w="1289"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1"/>
              <w:jc w:val="right"/>
            </w:pPr>
            <w:r>
              <w:rPr>
                <w:rFonts w:ascii="Verdana" w:eastAsia="Verdana" w:hAnsi="Verdana" w:cs="Verdana"/>
                <w:sz w:val="18"/>
              </w:rPr>
              <w:t>-0.9</w:t>
            </w:r>
          </w:p>
        </w:tc>
        <w:tc>
          <w:tcPr>
            <w:tcW w:w="132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1"/>
              <w:jc w:val="right"/>
            </w:pPr>
            <w:r>
              <w:rPr>
                <w:rFonts w:ascii="Verdana" w:eastAsia="Verdana" w:hAnsi="Verdana" w:cs="Verdana"/>
                <w:sz w:val="18"/>
              </w:rPr>
              <w:t>2.5</w:t>
            </w:r>
          </w:p>
        </w:tc>
        <w:tc>
          <w:tcPr>
            <w:tcW w:w="1548"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1"/>
              <w:jc w:val="right"/>
            </w:pPr>
            <w:r>
              <w:rPr>
                <w:rFonts w:ascii="Verdana" w:eastAsia="Verdana" w:hAnsi="Verdana" w:cs="Verdana"/>
                <w:sz w:val="18"/>
              </w:rPr>
              <w:t>-0.9</w:t>
            </w:r>
          </w:p>
        </w:tc>
      </w:tr>
      <w:tr w:rsidR="00576F87">
        <w:trPr>
          <w:trHeight w:val="377"/>
        </w:trPr>
        <w:tc>
          <w:tcPr>
            <w:tcW w:w="1592" w:type="dxa"/>
            <w:tcBorders>
              <w:top w:val="single" w:sz="8" w:space="0" w:color="35437C"/>
              <w:left w:val="single" w:sz="12" w:space="0" w:color="35437C"/>
              <w:bottom w:val="single" w:sz="15" w:space="0" w:color="35437C"/>
              <w:right w:val="single" w:sz="8" w:space="0" w:color="35437C"/>
            </w:tcBorders>
          </w:tcPr>
          <w:p w:rsidR="00576F87" w:rsidRDefault="004165F5">
            <w:pPr>
              <w:spacing w:after="0"/>
            </w:pPr>
            <w:r>
              <w:rPr>
                <w:rFonts w:ascii="Verdana" w:eastAsia="Verdana" w:hAnsi="Verdana" w:cs="Verdana"/>
                <w:sz w:val="18"/>
              </w:rPr>
              <w:t>Discount Rate</w:t>
            </w:r>
          </w:p>
        </w:tc>
        <w:tc>
          <w:tcPr>
            <w:tcW w:w="1224" w:type="dxa"/>
            <w:tcBorders>
              <w:top w:val="single" w:sz="8" w:space="0" w:color="35437C"/>
              <w:left w:val="single" w:sz="8" w:space="0" w:color="35437C"/>
              <w:bottom w:val="single" w:sz="15" w:space="0" w:color="35437C"/>
              <w:right w:val="single" w:sz="8" w:space="0" w:color="35437C"/>
            </w:tcBorders>
          </w:tcPr>
          <w:p w:rsidR="00576F87" w:rsidRDefault="004165F5">
            <w:pPr>
              <w:spacing w:after="0"/>
              <w:ind w:right="1"/>
              <w:jc w:val="right"/>
            </w:pPr>
            <w:r>
              <w:rPr>
                <w:rFonts w:ascii="Verdana" w:eastAsia="Verdana" w:hAnsi="Verdana" w:cs="Verdana"/>
                <w:sz w:val="18"/>
              </w:rPr>
              <w:t>2.55</w:t>
            </w:r>
          </w:p>
        </w:tc>
        <w:tc>
          <w:tcPr>
            <w:tcW w:w="1402" w:type="dxa"/>
            <w:tcBorders>
              <w:top w:val="single" w:sz="8" w:space="0" w:color="35437C"/>
              <w:left w:val="single" w:sz="8" w:space="0" w:color="35437C"/>
              <w:bottom w:val="single" w:sz="15" w:space="0" w:color="35437C"/>
              <w:right w:val="single" w:sz="8" w:space="0" w:color="35437C"/>
            </w:tcBorders>
          </w:tcPr>
          <w:p w:rsidR="00576F87" w:rsidRDefault="004165F5">
            <w:pPr>
              <w:spacing w:after="0"/>
              <w:ind w:right="1"/>
              <w:jc w:val="right"/>
            </w:pPr>
            <w:r>
              <w:rPr>
                <w:rFonts w:ascii="Verdana" w:eastAsia="Verdana" w:hAnsi="Verdana" w:cs="Verdana"/>
                <w:sz w:val="18"/>
              </w:rPr>
              <w:t>-0.75</w:t>
            </w:r>
          </w:p>
        </w:tc>
        <w:tc>
          <w:tcPr>
            <w:tcW w:w="1402" w:type="dxa"/>
            <w:tcBorders>
              <w:top w:val="single" w:sz="8" w:space="0" w:color="35437C"/>
              <w:left w:val="single" w:sz="8" w:space="0" w:color="35437C"/>
              <w:bottom w:val="single" w:sz="15" w:space="0" w:color="35437C"/>
              <w:right w:val="single" w:sz="8" w:space="0" w:color="35437C"/>
            </w:tcBorders>
          </w:tcPr>
          <w:p w:rsidR="00576F87" w:rsidRDefault="004165F5">
            <w:pPr>
              <w:spacing w:after="0"/>
              <w:ind w:right="1"/>
              <w:jc w:val="right"/>
            </w:pPr>
            <w:r>
              <w:rPr>
                <w:rFonts w:ascii="Verdana" w:eastAsia="Verdana" w:hAnsi="Verdana" w:cs="Verdana"/>
                <w:sz w:val="18"/>
              </w:rPr>
              <w:t>2.7</w:t>
            </w:r>
          </w:p>
        </w:tc>
        <w:tc>
          <w:tcPr>
            <w:tcW w:w="1289" w:type="dxa"/>
            <w:tcBorders>
              <w:top w:val="single" w:sz="8" w:space="0" w:color="35437C"/>
              <w:left w:val="single" w:sz="8" w:space="0" w:color="35437C"/>
              <w:bottom w:val="single" w:sz="15" w:space="0" w:color="35437C"/>
              <w:right w:val="single" w:sz="8" w:space="0" w:color="35437C"/>
            </w:tcBorders>
          </w:tcPr>
          <w:p w:rsidR="00576F87" w:rsidRDefault="004165F5">
            <w:pPr>
              <w:spacing w:after="0"/>
              <w:ind w:right="1"/>
              <w:jc w:val="right"/>
            </w:pPr>
            <w:r>
              <w:rPr>
                <w:rFonts w:ascii="Verdana" w:eastAsia="Verdana" w:hAnsi="Verdana" w:cs="Verdana"/>
                <w:sz w:val="18"/>
              </w:rPr>
              <w:t>-0.9</w:t>
            </w:r>
          </w:p>
        </w:tc>
        <w:tc>
          <w:tcPr>
            <w:tcW w:w="1322" w:type="dxa"/>
            <w:tcBorders>
              <w:top w:val="single" w:sz="8" w:space="0" w:color="35437C"/>
              <w:left w:val="single" w:sz="8" w:space="0" w:color="35437C"/>
              <w:bottom w:val="single" w:sz="15" w:space="0" w:color="35437C"/>
              <w:right w:val="single" w:sz="8" w:space="0" w:color="35437C"/>
            </w:tcBorders>
          </w:tcPr>
          <w:p w:rsidR="00576F87" w:rsidRDefault="004165F5">
            <w:pPr>
              <w:spacing w:after="0"/>
              <w:jc w:val="right"/>
            </w:pPr>
            <w:r>
              <w:rPr>
                <w:rFonts w:ascii="Verdana" w:eastAsia="Verdana" w:hAnsi="Verdana" w:cs="Verdana"/>
                <w:sz w:val="18"/>
              </w:rPr>
              <w:t>3.8</w:t>
            </w:r>
          </w:p>
        </w:tc>
        <w:tc>
          <w:tcPr>
            <w:tcW w:w="1548" w:type="dxa"/>
            <w:tcBorders>
              <w:top w:val="single" w:sz="8" w:space="0" w:color="35437C"/>
              <w:left w:val="single" w:sz="8" w:space="0" w:color="35437C"/>
              <w:bottom w:val="single" w:sz="15" w:space="0" w:color="35437C"/>
              <w:right w:val="single" w:sz="15" w:space="0" w:color="35437C"/>
            </w:tcBorders>
          </w:tcPr>
          <w:p w:rsidR="00576F87" w:rsidRDefault="004165F5">
            <w:pPr>
              <w:spacing w:after="0"/>
              <w:jc w:val="right"/>
            </w:pPr>
            <w:r>
              <w:rPr>
                <w:rFonts w:ascii="Verdana" w:eastAsia="Verdana" w:hAnsi="Verdana" w:cs="Verdana"/>
                <w:sz w:val="18"/>
              </w:rPr>
              <w:t>0.4</w:t>
            </w:r>
          </w:p>
        </w:tc>
      </w:tr>
    </w:tbl>
    <w:p w:rsidR="00576F87" w:rsidRDefault="004165F5">
      <w:pPr>
        <w:spacing w:after="79"/>
        <w:ind w:left="10"/>
      </w:pPr>
      <w:r>
        <w:rPr>
          <w:rFonts w:ascii="Verdana" w:eastAsia="Verdana" w:hAnsi="Verdana" w:cs="Verdana"/>
          <w:b/>
          <w:color w:val="92D050"/>
          <w:sz w:val="20"/>
        </w:rPr>
        <w:t>Sensitivity Analysis:</w:t>
      </w:r>
    </w:p>
    <w:tbl>
      <w:tblPr>
        <w:tblStyle w:val="TableGrid"/>
        <w:tblW w:w="9779" w:type="dxa"/>
        <w:tblInd w:w="-32" w:type="dxa"/>
        <w:tblCellMar>
          <w:top w:w="64" w:type="dxa"/>
          <w:left w:w="35" w:type="dxa"/>
          <w:bottom w:w="0" w:type="dxa"/>
          <w:right w:w="33" w:type="dxa"/>
        </w:tblCellMar>
        <w:tblLook w:val="04A0" w:firstRow="1" w:lastRow="0" w:firstColumn="1" w:lastColumn="0" w:noHBand="0" w:noVBand="1"/>
      </w:tblPr>
      <w:tblGrid>
        <w:gridCol w:w="5620"/>
        <w:gridCol w:w="1289"/>
        <w:gridCol w:w="1322"/>
        <w:gridCol w:w="1548"/>
      </w:tblGrid>
      <w:tr w:rsidR="00576F87">
        <w:trPr>
          <w:trHeight w:val="290"/>
        </w:trPr>
        <w:tc>
          <w:tcPr>
            <w:tcW w:w="5620"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ind w:left="5"/>
            </w:pPr>
            <w:r>
              <w:rPr>
                <w:rFonts w:ascii="Verdana" w:eastAsia="Verdana" w:hAnsi="Verdana" w:cs="Verdana"/>
                <w:b/>
                <w:color w:val="FFFFFF"/>
                <w:sz w:val="18"/>
              </w:rPr>
              <w:t>31-Mar-18</w:t>
            </w:r>
          </w:p>
        </w:tc>
        <w:tc>
          <w:tcPr>
            <w:tcW w:w="1289"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5"/>
              <w:jc w:val="right"/>
            </w:pPr>
            <w:r>
              <w:rPr>
                <w:rFonts w:ascii="Verdana" w:eastAsia="Verdana" w:hAnsi="Verdana" w:cs="Verdana"/>
                <w:b/>
                <w:color w:val="FFFFFF"/>
                <w:sz w:val="18"/>
              </w:rPr>
              <w:t>£'000</w:t>
            </w:r>
          </w:p>
        </w:tc>
        <w:tc>
          <w:tcPr>
            <w:tcW w:w="1322"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5"/>
              <w:jc w:val="right"/>
            </w:pPr>
            <w:r>
              <w:rPr>
                <w:rFonts w:ascii="Verdana" w:eastAsia="Verdana" w:hAnsi="Verdana" w:cs="Verdana"/>
                <w:b/>
                <w:color w:val="FFFFFF"/>
                <w:sz w:val="18"/>
              </w:rPr>
              <w:t>£'000</w:t>
            </w:r>
          </w:p>
        </w:tc>
        <w:tc>
          <w:tcPr>
            <w:tcW w:w="1548"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5"/>
              <w:jc w:val="right"/>
            </w:pPr>
            <w:r>
              <w:rPr>
                <w:rFonts w:ascii="Verdana" w:eastAsia="Verdana" w:hAnsi="Verdana" w:cs="Verdana"/>
                <w:b/>
                <w:color w:val="FFFFFF"/>
                <w:sz w:val="18"/>
              </w:rPr>
              <w:t>£'000</w:t>
            </w:r>
          </w:p>
        </w:tc>
      </w:tr>
      <w:tr w:rsidR="00576F87">
        <w:trPr>
          <w:trHeight w:val="290"/>
        </w:trPr>
        <w:tc>
          <w:tcPr>
            <w:tcW w:w="5620"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Adjustment to discount rate</w:t>
            </w:r>
          </w:p>
        </w:tc>
        <w:tc>
          <w:tcPr>
            <w:tcW w:w="128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0.10%</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0.00%</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
              <w:jc w:val="right"/>
            </w:pPr>
            <w:r>
              <w:rPr>
                <w:rFonts w:ascii="Verdana" w:eastAsia="Verdana" w:hAnsi="Verdana" w:cs="Verdana"/>
                <w:sz w:val="18"/>
              </w:rPr>
              <w:t>-0.10%</w:t>
            </w:r>
          </w:p>
        </w:tc>
      </w:tr>
      <w:tr w:rsidR="00576F87">
        <w:trPr>
          <w:trHeight w:val="290"/>
        </w:trPr>
        <w:tc>
          <w:tcPr>
            <w:tcW w:w="5620" w:type="dxa"/>
            <w:tcBorders>
              <w:top w:val="single" w:sz="8" w:space="0" w:color="35437C"/>
              <w:left w:val="single" w:sz="12"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Present Value of Total Obligation</w:t>
            </w:r>
          </w:p>
        </w:tc>
        <w:tc>
          <w:tcPr>
            <w:tcW w:w="128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38,119</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38,841</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
              <w:jc w:val="right"/>
            </w:pPr>
            <w:r>
              <w:rPr>
                <w:rFonts w:ascii="Verdana" w:eastAsia="Verdana" w:hAnsi="Verdana" w:cs="Verdana"/>
                <w:sz w:val="18"/>
              </w:rPr>
              <w:t>39,577</w:t>
            </w:r>
          </w:p>
        </w:tc>
      </w:tr>
      <w:tr w:rsidR="00576F87">
        <w:trPr>
          <w:trHeight w:val="290"/>
        </w:trPr>
        <w:tc>
          <w:tcPr>
            <w:tcW w:w="5620" w:type="dxa"/>
            <w:tcBorders>
              <w:top w:val="single" w:sz="8" w:space="0" w:color="35437C"/>
              <w:left w:val="single" w:sz="12"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Projected Service Cost</w:t>
            </w:r>
          </w:p>
        </w:tc>
        <w:tc>
          <w:tcPr>
            <w:tcW w:w="128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95</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98</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
              <w:jc w:val="right"/>
            </w:pPr>
            <w:r>
              <w:rPr>
                <w:rFonts w:ascii="Verdana" w:eastAsia="Verdana" w:hAnsi="Verdana" w:cs="Verdana"/>
                <w:sz w:val="18"/>
              </w:rPr>
              <w:t>101</w:t>
            </w:r>
          </w:p>
        </w:tc>
      </w:tr>
      <w:tr w:rsidR="00576F87">
        <w:trPr>
          <w:trHeight w:val="290"/>
        </w:trPr>
        <w:tc>
          <w:tcPr>
            <w:tcW w:w="5620" w:type="dxa"/>
            <w:tcBorders>
              <w:top w:val="single" w:sz="8" w:space="0" w:color="35437C"/>
              <w:left w:val="single" w:sz="12" w:space="0" w:color="35437C"/>
              <w:bottom w:val="single" w:sz="8" w:space="0" w:color="35437C"/>
              <w:right w:val="single" w:sz="8" w:space="0" w:color="35437C"/>
            </w:tcBorders>
          </w:tcPr>
          <w:p w:rsidR="00576F87" w:rsidRDefault="00576F87"/>
        </w:tc>
        <w:tc>
          <w:tcPr>
            <w:tcW w:w="1289" w:type="dxa"/>
            <w:tcBorders>
              <w:top w:val="single" w:sz="8" w:space="0" w:color="35437C"/>
              <w:left w:val="single" w:sz="8" w:space="0" w:color="35437C"/>
              <w:bottom w:val="single" w:sz="8" w:space="0" w:color="35437C"/>
              <w:right w:val="single" w:sz="8" w:space="0" w:color="35437C"/>
            </w:tcBorders>
          </w:tcPr>
          <w:p w:rsidR="00576F87" w:rsidRDefault="00576F87"/>
        </w:tc>
        <w:tc>
          <w:tcPr>
            <w:tcW w:w="1322" w:type="dxa"/>
            <w:tcBorders>
              <w:top w:val="single" w:sz="8" w:space="0" w:color="35437C"/>
              <w:left w:val="single" w:sz="8" w:space="0" w:color="35437C"/>
              <w:bottom w:val="single" w:sz="8" w:space="0" w:color="35437C"/>
              <w:right w:val="single" w:sz="8" w:space="0" w:color="35437C"/>
            </w:tcBorders>
          </w:tcPr>
          <w:p w:rsidR="00576F87" w:rsidRDefault="00576F87"/>
        </w:tc>
        <w:tc>
          <w:tcPr>
            <w:tcW w:w="1548"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5620"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Adjustment to long term salary increase</w:t>
            </w:r>
          </w:p>
        </w:tc>
        <w:tc>
          <w:tcPr>
            <w:tcW w:w="128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0.10%</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0.00%</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
              <w:jc w:val="right"/>
            </w:pPr>
            <w:r>
              <w:rPr>
                <w:rFonts w:ascii="Verdana" w:eastAsia="Verdana" w:hAnsi="Verdana" w:cs="Verdana"/>
                <w:sz w:val="18"/>
              </w:rPr>
              <w:t>-0.10%</w:t>
            </w:r>
          </w:p>
        </w:tc>
      </w:tr>
      <w:tr w:rsidR="00576F87">
        <w:trPr>
          <w:trHeight w:val="290"/>
        </w:trPr>
        <w:tc>
          <w:tcPr>
            <w:tcW w:w="5620" w:type="dxa"/>
            <w:tcBorders>
              <w:top w:val="single" w:sz="8" w:space="0" w:color="35437C"/>
              <w:left w:val="single" w:sz="12"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Present Value of Total Obligation</w:t>
            </w:r>
          </w:p>
        </w:tc>
        <w:tc>
          <w:tcPr>
            <w:tcW w:w="128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38,855</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38,841</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
              <w:jc w:val="right"/>
            </w:pPr>
            <w:r>
              <w:rPr>
                <w:rFonts w:ascii="Verdana" w:eastAsia="Verdana" w:hAnsi="Verdana" w:cs="Verdana"/>
                <w:sz w:val="18"/>
              </w:rPr>
              <w:t>38,827</w:t>
            </w:r>
          </w:p>
        </w:tc>
      </w:tr>
      <w:tr w:rsidR="00576F87">
        <w:trPr>
          <w:trHeight w:val="290"/>
        </w:trPr>
        <w:tc>
          <w:tcPr>
            <w:tcW w:w="5620" w:type="dxa"/>
            <w:tcBorders>
              <w:top w:val="single" w:sz="8" w:space="0" w:color="35437C"/>
              <w:left w:val="single" w:sz="12"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Projected Service Cost</w:t>
            </w:r>
          </w:p>
        </w:tc>
        <w:tc>
          <w:tcPr>
            <w:tcW w:w="128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98</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98</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
              <w:jc w:val="right"/>
            </w:pPr>
            <w:r>
              <w:rPr>
                <w:rFonts w:ascii="Verdana" w:eastAsia="Verdana" w:hAnsi="Verdana" w:cs="Verdana"/>
                <w:sz w:val="18"/>
              </w:rPr>
              <w:t>98</w:t>
            </w:r>
          </w:p>
        </w:tc>
      </w:tr>
      <w:tr w:rsidR="00576F87">
        <w:trPr>
          <w:trHeight w:val="290"/>
        </w:trPr>
        <w:tc>
          <w:tcPr>
            <w:tcW w:w="5620" w:type="dxa"/>
            <w:tcBorders>
              <w:top w:val="single" w:sz="8" w:space="0" w:color="35437C"/>
              <w:left w:val="single" w:sz="12" w:space="0" w:color="35437C"/>
              <w:bottom w:val="single" w:sz="8" w:space="0" w:color="35437C"/>
              <w:right w:val="single" w:sz="8" w:space="0" w:color="35437C"/>
            </w:tcBorders>
          </w:tcPr>
          <w:p w:rsidR="00576F87" w:rsidRDefault="00576F87"/>
        </w:tc>
        <w:tc>
          <w:tcPr>
            <w:tcW w:w="1289" w:type="dxa"/>
            <w:tcBorders>
              <w:top w:val="single" w:sz="8" w:space="0" w:color="35437C"/>
              <w:left w:val="single" w:sz="8" w:space="0" w:color="35437C"/>
              <w:bottom w:val="single" w:sz="8" w:space="0" w:color="35437C"/>
              <w:right w:val="single" w:sz="8" w:space="0" w:color="35437C"/>
            </w:tcBorders>
          </w:tcPr>
          <w:p w:rsidR="00576F87" w:rsidRDefault="00576F87"/>
        </w:tc>
        <w:tc>
          <w:tcPr>
            <w:tcW w:w="1322" w:type="dxa"/>
            <w:tcBorders>
              <w:top w:val="single" w:sz="8" w:space="0" w:color="35437C"/>
              <w:left w:val="single" w:sz="8" w:space="0" w:color="35437C"/>
              <w:bottom w:val="single" w:sz="8" w:space="0" w:color="35437C"/>
              <w:right w:val="single" w:sz="8" w:space="0" w:color="35437C"/>
            </w:tcBorders>
          </w:tcPr>
          <w:p w:rsidR="00576F87" w:rsidRDefault="00576F87"/>
        </w:tc>
        <w:tc>
          <w:tcPr>
            <w:tcW w:w="1548"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521"/>
        </w:trPr>
        <w:tc>
          <w:tcPr>
            <w:tcW w:w="5620"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Adjustment to pension increases and deferred revaluation</w:t>
            </w:r>
          </w:p>
        </w:tc>
        <w:tc>
          <w:tcPr>
            <w:tcW w:w="1289"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1"/>
              <w:jc w:val="right"/>
            </w:pPr>
            <w:r>
              <w:rPr>
                <w:rFonts w:ascii="Verdana" w:eastAsia="Verdana" w:hAnsi="Verdana" w:cs="Verdana"/>
                <w:sz w:val="18"/>
              </w:rPr>
              <w:t>0.10%</w:t>
            </w:r>
          </w:p>
        </w:tc>
        <w:tc>
          <w:tcPr>
            <w:tcW w:w="132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1"/>
              <w:jc w:val="right"/>
            </w:pPr>
            <w:r>
              <w:rPr>
                <w:rFonts w:ascii="Verdana" w:eastAsia="Verdana" w:hAnsi="Verdana" w:cs="Verdana"/>
                <w:sz w:val="18"/>
              </w:rPr>
              <w:t>0.00%</w:t>
            </w:r>
          </w:p>
        </w:tc>
        <w:tc>
          <w:tcPr>
            <w:tcW w:w="1548"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1"/>
              <w:jc w:val="right"/>
            </w:pPr>
            <w:r>
              <w:rPr>
                <w:rFonts w:ascii="Verdana" w:eastAsia="Verdana" w:hAnsi="Verdana" w:cs="Verdana"/>
                <w:sz w:val="18"/>
              </w:rPr>
              <w:t>-0.10%</w:t>
            </w:r>
          </w:p>
        </w:tc>
      </w:tr>
      <w:tr w:rsidR="00576F87">
        <w:trPr>
          <w:trHeight w:val="290"/>
        </w:trPr>
        <w:tc>
          <w:tcPr>
            <w:tcW w:w="5620" w:type="dxa"/>
            <w:tcBorders>
              <w:top w:val="single" w:sz="8" w:space="0" w:color="35437C"/>
              <w:left w:val="single" w:sz="12"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Present Value of Total Obligation</w:t>
            </w:r>
          </w:p>
        </w:tc>
        <w:tc>
          <w:tcPr>
            <w:tcW w:w="128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39,564</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38,841</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
              <w:jc w:val="right"/>
            </w:pPr>
            <w:r>
              <w:rPr>
                <w:rFonts w:ascii="Verdana" w:eastAsia="Verdana" w:hAnsi="Verdana" w:cs="Verdana"/>
                <w:sz w:val="18"/>
              </w:rPr>
              <w:t>38,131</w:t>
            </w:r>
          </w:p>
        </w:tc>
      </w:tr>
      <w:tr w:rsidR="00576F87">
        <w:trPr>
          <w:trHeight w:val="290"/>
        </w:trPr>
        <w:tc>
          <w:tcPr>
            <w:tcW w:w="5620" w:type="dxa"/>
            <w:tcBorders>
              <w:top w:val="single" w:sz="8" w:space="0" w:color="35437C"/>
              <w:left w:val="single" w:sz="12"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Projected Service Cost</w:t>
            </w:r>
          </w:p>
        </w:tc>
        <w:tc>
          <w:tcPr>
            <w:tcW w:w="128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101</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98</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
              <w:jc w:val="right"/>
            </w:pPr>
            <w:r>
              <w:rPr>
                <w:rFonts w:ascii="Verdana" w:eastAsia="Verdana" w:hAnsi="Verdana" w:cs="Verdana"/>
                <w:sz w:val="18"/>
              </w:rPr>
              <w:t>95</w:t>
            </w:r>
          </w:p>
        </w:tc>
      </w:tr>
      <w:tr w:rsidR="00576F87">
        <w:trPr>
          <w:trHeight w:val="290"/>
        </w:trPr>
        <w:tc>
          <w:tcPr>
            <w:tcW w:w="5620" w:type="dxa"/>
            <w:tcBorders>
              <w:top w:val="single" w:sz="8" w:space="0" w:color="35437C"/>
              <w:left w:val="single" w:sz="12" w:space="0" w:color="35437C"/>
              <w:bottom w:val="single" w:sz="8" w:space="0" w:color="35437C"/>
              <w:right w:val="single" w:sz="8" w:space="0" w:color="35437C"/>
            </w:tcBorders>
          </w:tcPr>
          <w:p w:rsidR="00576F87" w:rsidRDefault="00576F87"/>
        </w:tc>
        <w:tc>
          <w:tcPr>
            <w:tcW w:w="1289" w:type="dxa"/>
            <w:tcBorders>
              <w:top w:val="single" w:sz="8" w:space="0" w:color="35437C"/>
              <w:left w:val="single" w:sz="8" w:space="0" w:color="35437C"/>
              <w:bottom w:val="single" w:sz="8" w:space="0" w:color="35437C"/>
              <w:right w:val="single" w:sz="8" w:space="0" w:color="35437C"/>
            </w:tcBorders>
          </w:tcPr>
          <w:p w:rsidR="00576F87" w:rsidRDefault="00576F87"/>
        </w:tc>
        <w:tc>
          <w:tcPr>
            <w:tcW w:w="1322" w:type="dxa"/>
            <w:tcBorders>
              <w:top w:val="single" w:sz="8" w:space="0" w:color="35437C"/>
              <w:left w:val="single" w:sz="8" w:space="0" w:color="35437C"/>
              <w:bottom w:val="single" w:sz="8" w:space="0" w:color="35437C"/>
              <w:right w:val="single" w:sz="8" w:space="0" w:color="35437C"/>
            </w:tcBorders>
          </w:tcPr>
          <w:p w:rsidR="00576F87" w:rsidRDefault="00576F87"/>
        </w:tc>
        <w:tc>
          <w:tcPr>
            <w:tcW w:w="1548"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5620"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Adjustment to mortality age rating assumption</w:t>
            </w:r>
          </w:p>
        </w:tc>
        <w:tc>
          <w:tcPr>
            <w:tcW w:w="1289"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+1 year</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None</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8"/>
              </w:rPr>
              <w:t>-1 year</w:t>
            </w:r>
          </w:p>
        </w:tc>
      </w:tr>
      <w:tr w:rsidR="00576F87">
        <w:trPr>
          <w:trHeight w:val="290"/>
        </w:trPr>
        <w:tc>
          <w:tcPr>
            <w:tcW w:w="5620" w:type="dxa"/>
            <w:tcBorders>
              <w:top w:val="single" w:sz="8" w:space="0" w:color="35437C"/>
              <w:left w:val="single" w:sz="12"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Present Value of Total Obligation</w:t>
            </w:r>
          </w:p>
        </w:tc>
        <w:tc>
          <w:tcPr>
            <w:tcW w:w="1289"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40,347</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8"/>
              </w:rPr>
              <w:t>38,841</w:t>
            </w:r>
          </w:p>
        </w:tc>
        <w:tc>
          <w:tcPr>
            <w:tcW w:w="154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
              <w:jc w:val="right"/>
            </w:pPr>
            <w:r>
              <w:rPr>
                <w:rFonts w:ascii="Verdana" w:eastAsia="Verdana" w:hAnsi="Verdana" w:cs="Verdana"/>
                <w:sz w:val="18"/>
              </w:rPr>
              <w:t>37,393</w:t>
            </w:r>
          </w:p>
        </w:tc>
      </w:tr>
      <w:tr w:rsidR="00576F87">
        <w:trPr>
          <w:trHeight w:val="305"/>
        </w:trPr>
        <w:tc>
          <w:tcPr>
            <w:tcW w:w="5620" w:type="dxa"/>
            <w:tcBorders>
              <w:top w:val="single" w:sz="8" w:space="0" w:color="35437C"/>
              <w:left w:val="single" w:sz="12" w:space="0" w:color="35437C"/>
              <w:bottom w:val="single" w:sz="15" w:space="0" w:color="35437C"/>
              <w:right w:val="single" w:sz="8" w:space="0" w:color="35437C"/>
            </w:tcBorders>
          </w:tcPr>
          <w:p w:rsidR="00576F87" w:rsidRDefault="004165F5">
            <w:pPr>
              <w:spacing w:after="0"/>
            </w:pPr>
            <w:r>
              <w:rPr>
                <w:rFonts w:ascii="Verdana" w:eastAsia="Verdana" w:hAnsi="Verdana" w:cs="Verdana"/>
                <w:sz w:val="18"/>
              </w:rPr>
              <w:t>Projected Service Cost</w:t>
            </w:r>
          </w:p>
        </w:tc>
        <w:tc>
          <w:tcPr>
            <w:tcW w:w="1289" w:type="dxa"/>
            <w:tcBorders>
              <w:top w:val="single" w:sz="8" w:space="0" w:color="35437C"/>
              <w:left w:val="single" w:sz="8" w:space="0" w:color="35437C"/>
              <w:bottom w:val="single" w:sz="15" w:space="0" w:color="35437C"/>
              <w:right w:val="single" w:sz="8" w:space="0" w:color="35437C"/>
            </w:tcBorders>
          </w:tcPr>
          <w:p w:rsidR="00576F87" w:rsidRDefault="004165F5">
            <w:pPr>
              <w:spacing w:after="0"/>
              <w:ind w:right="1"/>
              <w:jc w:val="right"/>
            </w:pPr>
            <w:r>
              <w:rPr>
                <w:rFonts w:ascii="Verdana" w:eastAsia="Verdana" w:hAnsi="Verdana" w:cs="Verdana"/>
                <w:sz w:val="18"/>
              </w:rPr>
              <w:t>101</w:t>
            </w:r>
          </w:p>
        </w:tc>
        <w:tc>
          <w:tcPr>
            <w:tcW w:w="1322" w:type="dxa"/>
            <w:tcBorders>
              <w:top w:val="single" w:sz="8" w:space="0" w:color="35437C"/>
              <w:left w:val="single" w:sz="8" w:space="0" w:color="35437C"/>
              <w:bottom w:val="single" w:sz="15" w:space="0" w:color="35437C"/>
              <w:right w:val="single" w:sz="8" w:space="0" w:color="35437C"/>
            </w:tcBorders>
          </w:tcPr>
          <w:p w:rsidR="00576F87" w:rsidRDefault="004165F5">
            <w:pPr>
              <w:spacing w:after="0"/>
              <w:ind w:right="1"/>
              <w:jc w:val="right"/>
            </w:pPr>
            <w:r>
              <w:rPr>
                <w:rFonts w:ascii="Verdana" w:eastAsia="Verdana" w:hAnsi="Verdana" w:cs="Verdana"/>
                <w:sz w:val="18"/>
              </w:rPr>
              <w:t>98</w:t>
            </w:r>
          </w:p>
        </w:tc>
        <w:tc>
          <w:tcPr>
            <w:tcW w:w="1548" w:type="dxa"/>
            <w:tcBorders>
              <w:top w:val="single" w:sz="8" w:space="0" w:color="35437C"/>
              <w:left w:val="single" w:sz="8" w:space="0" w:color="35437C"/>
              <w:bottom w:val="single" w:sz="15" w:space="0" w:color="35437C"/>
              <w:right w:val="single" w:sz="15" w:space="0" w:color="35437C"/>
            </w:tcBorders>
          </w:tcPr>
          <w:p w:rsidR="00576F87" w:rsidRDefault="004165F5">
            <w:pPr>
              <w:spacing w:after="0"/>
              <w:ind w:right="1"/>
              <w:jc w:val="right"/>
            </w:pPr>
            <w:r>
              <w:rPr>
                <w:rFonts w:ascii="Verdana" w:eastAsia="Verdana" w:hAnsi="Verdana" w:cs="Verdana"/>
                <w:sz w:val="18"/>
              </w:rPr>
              <w:t>95</w:t>
            </w:r>
          </w:p>
        </w:tc>
      </w:tr>
    </w:tbl>
    <w:p w:rsidR="00576F87" w:rsidRDefault="00576F87">
      <w:pPr>
        <w:sectPr w:rsidR="00576F87">
          <w:headerReference w:type="even" r:id="rId132"/>
          <w:headerReference w:type="default" r:id="rId133"/>
          <w:footerReference w:type="even" r:id="rId134"/>
          <w:footerReference w:type="default" r:id="rId135"/>
          <w:headerReference w:type="first" r:id="rId136"/>
          <w:footerReference w:type="first" r:id="rId137"/>
          <w:pgSz w:w="11900" w:h="16840"/>
          <w:pgMar w:top="1783" w:right="2091" w:bottom="507" w:left="1068" w:header="1149" w:footer="720" w:gutter="0"/>
          <w:cols w:space="720"/>
          <w:titlePg/>
        </w:sectPr>
      </w:pPr>
    </w:p>
    <w:p w:rsidR="00576F87" w:rsidRDefault="004165F5">
      <w:pPr>
        <w:spacing w:after="161" w:line="468" w:lineRule="auto"/>
        <w:ind w:left="-7" w:right="2833" w:hanging="3"/>
        <w:jc w:val="both"/>
      </w:pPr>
      <w:r>
        <w:rPr>
          <w:rFonts w:ascii="Verdana" w:eastAsia="Verdana" w:hAnsi="Verdana" w:cs="Verdana"/>
          <w:b/>
          <w:sz w:val="20"/>
        </w:rPr>
        <w:t xml:space="preserve">Contributions to the Pension Fund during 2017/18 </w:t>
      </w:r>
      <w:r>
        <w:rPr>
          <w:rFonts w:ascii="Verdana" w:eastAsia="Verdana" w:hAnsi="Verdana" w:cs="Verdana"/>
          <w:sz w:val="18"/>
        </w:rPr>
        <w:t>Contributions from the employer amounts to £311,000.</w:t>
      </w:r>
    </w:p>
    <w:p w:rsidR="00576F87" w:rsidRDefault="004165F5">
      <w:pPr>
        <w:pStyle w:val="Heading5"/>
        <w:spacing w:after="344"/>
        <w:ind w:left="5"/>
      </w:pPr>
      <w:r>
        <w:t>Impact on Authority’s Cash flows</w:t>
      </w:r>
    </w:p>
    <w:p w:rsidR="00576F87" w:rsidRDefault="004165F5">
      <w:pPr>
        <w:spacing w:after="271" w:line="268" w:lineRule="auto"/>
        <w:ind w:left="-7" w:hanging="3"/>
        <w:jc w:val="both"/>
      </w:pPr>
      <w:r>
        <w:rPr>
          <w:rFonts w:ascii="Verdana" w:eastAsia="Verdana" w:hAnsi="Verdana" w:cs="Verdana"/>
          <w:sz w:val="18"/>
        </w:rPr>
        <w:t xml:space="preserve">The next triennial valuation is due as at 31 March 2019 and may have an impact on the future liability cashflows, further detail on this can be found on page 56. </w:t>
      </w:r>
    </w:p>
    <w:p w:rsidR="00576F87" w:rsidRDefault="004165F5">
      <w:pPr>
        <w:spacing w:after="452" w:line="268" w:lineRule="auto"/>
        <w:ind w:left="-7" w:hanging="3"/>
        <w:jc w:val="both"/>
      </w:pPr>
      <w:r>
        <w:rPr>
          <w:rFonts w:ascii="Verdana" w:eastAsia="Verdana" w:hAnsi="Verdana" w:cs="Verdana"/>
          <w:sz w:val="18"/>
        </w:rPr>
        <w:t>The authority expects to pay increased contributions in 2017/18 due to the change in structur</w:t>
      </w:r>
      <w:r>
        <w:rPr>
          <w:rFonts w:ascii="Verdana" w:eastAsia="Verdana" w:hAnsi="Verdana" w:cs="Verdana"/>
          <w:sz w:val="18"/>
        </w:rPr>
        <w:t>e of the LPFA, this should amount to £327k.</w:t>
      </w:r>
    </w:p>
    <w:p w:rsidR="00576F87" w:rsidRDefault="004165F5">
      <w:pPr>
        <w:spacing w:after="5" w:line="268" w:lineRule="auto"/>
        <w:ind w:left="-7" w:hanging="3"/>
        <w:jc w:val="both"/>
      </w:pPr>
      <w:r>
        <w:rPr>
          <w:rFonts w:ascii="Verdana" w:eastAsia="Verdana" w:hAnsi="Verdana" w:cs="Verdana"/>
          <w:sz w:val="18"/>
        </w:rPr>
        <w:t>The weighted average duration of the defined benefit obligation for scheme members is 19 years.</w:t>
      </w:r>
      <w:r>
        <w:br w:type="page"/>
      </w:r>
    </w:p>
    <w:p w:rsidR="00576F87" w:rsidRDefault="004165F5">
      <w:pPr>
        <w:spacing w:after="0"/>
        <w:ind w:left="5" w:hanging="10"/>
      </w:pPr>
      <w:r>
        <w:rPr>
          <w:rFonts w:ascii="Verdana" w:eastAsia="Verdana" w:hAnsi="Verdana" w:cs="Verdana"/>
          <w:b/>
          <w:sz w:val="18"/>
        </w:rPr>
        <w:t>As at date of the last asset breakdown report pension scheme assets comprised:</w:t>
      </w:r>
    </w:p>
    <w:p w:rsidR="00576F87" w:rsidRDefault="004165F5">
      <w:pPr>
        <w:spacing w:after="0"/>
        <w:ind w:left="-46"/>
      </w:pPr>
      <w:r>
        <w:rPr>
          <w:noProof/>
        </w:rPr>
        <w:drawing>
          <wp:inline distT="0" distB="0" distL="0" distR="0">
            <wp:extent cx="6184392" cy="8436864"/>
            <wp:effectExtent l="0" t="0" r="0" b="0"/>
            <wp:docPr id="9620" name="Picture 9620"/>
            <wp:cNvGraphicFramePr/>
            <a:graphic xmlns:a="http://schemas.openxmlformats.org/drawingml/2006/main">
              <a:graphicData uri="http://schemas.openxmlformats.org/drawingml/2006/picture">
                <pic:pic xmlns:pic="http://schemas.openxmlformats.org/drawingml/2006/picture">
                  <pic:nvPicPr>
                    <pic:cNvPr id="9620" name="Picture 9620"/>
                    <pic:cNvPicPr/>
                  </pic:nvPicPr>
                  <pic:blipFill>
                    <a:blip r:embed="rId138"/>
                    <a:stretch>
                      <a:fillRect/>
                    </a:stretch>
                  </pic:blipFill>
                  <pic:spPr>
                    <a:xfrm>
                      <a:off x="0" y="0"/>
                      <a:ext cx="6184392" cy="8436864"/>
                    </a:xfrm>
                    <a:prstGeom prst="rect">
                      <a:avLst/>
                    </a:prstGeom>
                  </pic:spPr>
                </pic:pic>
              </a:graphicData>
            </a:graphic>
          </wp:inline>
        </w:drawing>
      </w:r>
    </w:p>
    <w:p w:rsidR="00576F87" w:rsidRDefault="004165F5">
      <w:pPr>
        <w:spacing w:after="195"/>
        <w:ind w:left="19"/>
      </w:pPr>
      <w:r>
        <w:rPr>
          <w:rFonts w:ascii="Verdana" w:eastAsia="Verdana" w:hAnsi="Verdana" w:cs="Verdana"/>
          <w:b/>
          <w:color w:val="3F977F"/>
          <w:sz w:val="25"/>
        </w:rPr>
        <w:t>LPFA Accounts 31 March 2018</w:t>
      </w:r>
    </w:p>
    <w:p w:rsidR="00576F87" w:rsidRDefault="004165F5">
      <w:pPr>
        <w:tabs>
          <w:tab w:val="center" w:pos="2489"/>
        </w:tabs>
        <w:spacing w:after="211"/>
      </w:pPr>
      <w:r>
        <w:rPr>
          <w:b/>
          <w:sz w:val="25"/>
        </w:rPr>
        <w:t>12</w:t>
      </w:r>
      <w:r>
        <w:rPr>
          <w:b/>
          <w:sz w:val="25"/>
        </w:rPr>
        <w:tab/>
      </w:r>
      <w:r>
        <w:rPr>
          <w:sz w:val="25"/>
        </w:rPr>
        <w:t xml:space="preserve"> Retirement Benefit Obligations</w:t>
      </w:r>
    </w:p>
    <w:p w:rsidR="00576F87" w:rsidRDefault="004165F5">
      <w:pPr>
        <w:pStyle w:val="Heading6"/>
        <w:spacing w:after="334"/>
        <w:ind w:left="0"/>
      </w:pPr>
      <w:r>
        <w:rPr>
          <w:rFonts w:ascii="Verdana" w:eastAsia="Verdana" w:hAnsi="Verdana" w:cs="Verdana"/>
          <w:color w:val="99CA3C"/>
          <w:sz w:val="18"/>
        </w:rPr>
        <w:t>Employee Benefits</w:t>
      </w:r>
    </w:p>
    <w:p w:rsidR="00576F87" w:rsidRDefault="004165F5">
      <w:pPr>
        <w:spacing w:after="305" w:line="260" w:lineRule="auto"/>
        <w:ind w:left="-5" w:right="561" w:hanging="10"/>
        <w:jc w:val="both"/>
      </w:pPr>
      <w:r>
        <w:rPr>
          <w:rFonts w:ascii="Verdana" w:eastAsia="Verdana" w:hAnsi="Verdana" w:cs="Verdana"/>
          <w:sz w:val="16"/>
        </w:rPr>
        <w:t>The LPFA had 3 out of 3 staff who are members of the Local Government Pension Scheme (LGPS) as at 31 March 2018. The LGPS is a tax approved, defined benefit occupational pension scheme set up under the Supe</w:t>
      </w:r>
      <w:r>
        <w:rPr>
          <w:rFonts w:ascii="Verdana" w:eastAsia="Verdana" w:hAnsi="Verdana" w:cs="Verdana"/>
          <w:sz w:val="16"/>
        </w:rPr>
        <w:t>rannuation Act 1972. The benefits under the scheme are based on the length of membership and the average salary. Each member contributes a proportion of their salary, within a 5.5% to 12.5% range depending of their rate of pay. The LPFA, as the employing b</w:t>
      </w:r>
      <w:r>
        <w:rPr>
          <w:rFonts w:ascii="Verdana" w:eastAsia="Verdana" w:hAnsi="Verdana" w:cs="Verdana"/>
          <w:sz w:val="16"/>
        </w:rPr>
        <w:t xml:space="preserve">ody, also contributes in to the scheme on the employee’s behalf at 12.0% of the employee’s salary as well as a past service cost of £nil (2016-17 £214k).  </w:t>
      </w:r>
    </w:p>
    <w:p w:rsidR="00576F87" w:rsidRDefault="004165F5">
      <w:pPr>
        <w:pStyle w:val="Heading6"/>
        <w:spacing w:after="183"/>
        <w:ind w:left="0"/>
      </w:pPr>
      <w:r>
        <w:rPr>
          <w:rFonts w:ascii="Verdana" w:eastAsia="Verdana" w:hAnsi="Verdana" w:cs="Verdana"/>
          <w:color w:val="99CA3C"/>
          <w:sz w:val="18"/>
        </w:rPr>
        <w:t>Benefits Payable During Employment</w:t>
      </w:r>
    </w:p>
    <w:p w:rsidR="00576F87" w:rsidRDefault="004165F5">
      <w:pPr>
        <w:spacing w:after="305" w:line="260" w:lineRule="auto"/>
        <w:ind w:left="-5" w:right="561" w:hanging="10"/>
        <w:jc w:val="both"/>
      </w:pPr>
      <w:r>
        <w:rPr>
          <w:rFonts w:ascii="Verdana" w:eastAsia="Verdana" w:hAnsi="Verdana" w:cs="Verdana"/>
          <w:sz w:val="16"/>
        </w:rPr>
        <w:t>Short-term employee benefits are those due to be settled within 1</w:t>
      </w:r>
      <w:r>
        <w:rPr>
          <w:rFonts w:ascii="Verdana" w:eastAsia="Verdana" w:hAnsi="Verdana" w:cs="Verdana"/>
          <w:sz w:val="16"/>
        </w:rPr>
        <w:t>2 months of the year-end. They include such benefits as wages and salaries, paid annual leave and paid sick leave, bonuses and non-monetary benefits (e.g. cars) for current employees and are recognised as an expense for services in the year in which employ</w:t>
      </w:r>
      <w:r>
        <w:rPr>
          <w:rFonts w:ascii="Verdana" w:eastAsia="Verdana" w:hAnsi="Verdana" w:cs="Verdana"/>
          <w:sz w:val="16"/>
        </w:rPr>
        <w:t>ees render service to LPFA. An accrual is made for the cost of holiday entitlements (or any form of leave, e.g. time off in lieu) earned by employees but not taken before the year-end which employees can carry forward into the next financial year. The accr</w:t>
      </w:r>
      <w:r>
        <w:rPr>
          <w:rFonts w:ascii="Verdana" w:eastAsia="Verdana" w:hAnsi="Verdana" w:cs="Verdana"/>
          <w:sz w:val="16"/>
        </w:rPr>
        <w:t>ual is made at the wage and salary rates applicable in the following accounting year, being the period in which the employee takes the benefit. The accrual is charged to surplus or deficit on the Provision of Services, but then reversed out through the Mov</w:t>
      </w:r>
      <w:r>
        <w:rPr>
          <w:rFonts w:ascii="Verdana" w:eastAsia="Verdana" w:hAnsi="Verdana" w:cs="Verdana"/>
          <w:sz w:val="16"/>
        </w:rPr>
        <w:t>ement in Reserves Statement so that holiday benefits are charged to revenue in the financial year in which the holiday absence occurs.</w:t>
      </w:r>
    </w:p>
    <w:p w:rsidR="00576F87" w:rsidRDefault="004165F5">
      <w:pPr>
        <w:pStyle w:val="Heading6"/>
        <w:spacing w:after="169"/>
        <w:ind w:left="0"/>
      </w:pPr>
      <w:r>
        <w:rPr>
          <w:rFonts w:ascii="Verdana" w:eastAsia="Verdana" w:hAnsi="Verdana" w:cs="Verdana"/>
          <w:color w:val="99CA3C"/>
          <w:sz w:val="18"/>
        </w:rPr>
        <w:t>Termination Benefits</w:t>
      </w:r>
    </w:p>
    <w:p w:rsidR="00576F87" w:rsidRDefault="004165F5">
      <w:pPr>
        <w:spacing w:after="219" w:line="268" w:lineRule="auto"/>
        <w:ind w:left="-7" w:right="578" w:hanging="3"/>
        <w:jc w:val="both"/>
      </w:pPr>
      <w:r>
        <w:rPr>
          <w:rFonts w:ascii="Verdana" w:eastAsia="Verdana" w:hAnsi="Verdana" w:cs="Verdana"/>
          <w:sz w:val="18"/>
        </w:rPr>
        <w:t>Termination benefits are amounts payable as a result of a decision by LPFA to terminate an officer’s employment before the normal retirement date or an officer’s decision to accept voluntary redundancy and are charged on an accruals basis to the Cost of Se</w:t>
      </w:r>
      <w:r>
        <w:rPr>
          <w:rFonts w:ascii="Verdana" w:eastAsia="Verdana" w:hAnsi="Verdana" w:cs="Verdana"/>
          <w:sz w:val="18"/>
        </w:rPr>
        <w:t>rvices line in the Comprehensive Income and Expenditure Statement at the earlier of when LPFA can no longer withdraw the offer or when the authority recognises costs for a restructuring under IAS37. Where termination benefits involve the enhancement of pen</w:t>
      </w:r>
      <w:r>
        <w:rPr>
          <w:rFonts w:ascii="Verdana" w:eastAsia="Verdana" w:hAnsi="Verdana" w:cs="Verdana"/>
          <w:sz w:val="18"/>
        </w:rPr>
        <w:t>sions, statutory provisions require the General Fund balance to be charged with the amount payable by LPFA to the pension fund or pensioner in the year, not the amount calculated according to the relevant accounting standards. In the Movement in Reserves S</w:t>
      </w:r>
      <w:r>
        <w:rPr>
          <w:rFonts w:ascii="Verdana" w:eastAsia="Verdana" w:hAnsi="Verdana" w:cs="Verdana"/>
          <w:sz w:val="18"/>
        </w:rPr>
        <w:t>tatement, appropriations are required to and from the Pensions Reserve to remove the notional debits and credits for pension enhancement termination benefits and replace them with debits for the cash paid to the pension fund and pensioners and any such amo</w:t>
      </w:r>
      <w:r>
        <w:rPr>
          <w:rFonts w:ascii="Verdana" w:eastAsia="Verdana" w:hAnsi="Verdana" w:cs="Verdana"/>
          <w:sz w:val="18"/>
        </w:rPr>
        <w:t xml:space="preserve">unts payable but unpaid at the year-end. </w:t>
      </w:r>
    </w:p>
    <w:p w:rsidR="00576F87" w:rsidRDefault="004165F5">
      <w:pPr>
        <w:pStyle w:val="Heading6"/>
        <w:spacing w:after="93"/>
        <w:ind w:left="0"/>
      </w:pPr>
      <w:r>
        <w:rPr>
          <w:rFonts w:ascii="Verdana" w:eastAsia="Verdana" w:hAnsi="Verdana" w:cs="Verdana"/>
          <w:color w:val="99CA3C"/>
          <w:sz w:val="18"/>
        </w:rPr>
        <w:t>Post-Employment Benefits</w:t>
      </w:r>
    </w:p>
    <w:p w:rsidR="00576F87" w:rsidRDefault="004165F5">
      <w:pPr>
        <w:spacing w:after="262" w:line="260" w:lineRule="auto"/>
        <w:ind w:left="-5" w:right="561" w:hanging="10"/>
        <w:jc w:val="both"/>
      </w:pPr>
      <w:r>
        <w:rPr>
          <w:rFonts w:ascii="Verdana" w:eastAsia="Verdana" w:hAnsi="Verdana" w:cs="Verdana"/>
          <w:sz w:val="16"/>
        </w:rPr>
        <w:t>Employees of LPFA are members of the LGPS, administered by the LPFA. The scheme provides defined benefits to members (retirement lump sums and pensions), earned as employees worked for LPFA</w:t>
      </w:r>
      <w:r>
        <w:rPr>
          <w:rFonts w:ascii="Verdana" w:eastAsia="Verdana" w:hAnsi="Verdana" w:cs="Verdana"/>
          <w:sz w:val="16"/>
        </w:rPr>
        <w:t>.</w:t>
      </w:r>
    </w:p>
    <w:p w:rsidR="00576F87" w:rsidRDefault="004165F5">
      <w:pPr>
        <w:spacing w:after="67" w:line="260" w:lineRule="auto"/>
        <w:ind w:left="-5" w:right="561" w:hanging="10"/>
        <w:jc w:val="both"/>
      </w:pPr>
      <w:r>
        <w:rPr>
          <w:rFonts w:ascii="Verdana" w:eastAsia="Verdana" w:hAnsi="Verdana" w:cs="Verdana"/>
          <w:sz w:val="16"/>
        </w:rPr>
        <w:t>The Local Government Pension Scheme</w:t>
      </w:r>
    </w:p>
    <w:p w:rsidR="00576F87" w:rsidRDefault="004165F5">
      <w:pPr>
        <w:spacing w:after="272" w:line="268" w:lineRule="auto"/>
        <w:ind w:left="-7" w:right="578" w:hanging="3"/>
        <w:jc w:val="both"/>
      </w:pPr>
      <w:r>
        <w:rPr>
          <w:rFonts w:ascii="Verdana" w:eastAsia="Verdana" w:hAnsi="Verdana" w:cs="Verdana"/>
          <w:sz w:val="18"/>
        </w:rPr>
        <w:t>LGPS is accounted for as a defined benefits scheme: The liabilities of the LPFA pension fund attributable to LPFA are included in the balance sheet on an actuarial basis using the projected unit method – i.e. an assess</w:t>
      </w:r>
      <w:r>
        <w:rPr>
          <w:rFonts w:ascii="Verdana" w:eastAsia="Verdana" w:hAnsi="Verdana" w:cs="Verdana"/>
          <w:sz w:val="18"/>
        </w:rPr>
        <w:t xml:space="preserve">ment of the future payments that will be made in relation to retirement benefits earned to date by employees, based on assumptions about mortality rates, employee turnover rates, etc., and projections of projected earnings for current employees.  </w:t>
      </w:r>
    </w:p>
    <w:p w:rsidR="00576F87" w:rsidRDefault="004165F5">
      <w:pPr>
        <w:pStyle w:val="Heading6"/>
        <w:spacing w:after="17"/>
        <w:ind w:left="0"/>
      </w:pPr>
      <w:r>
        <w:rPr>
          <w:rFonts w:ascii="Verdana" w:eastAsia="Verdana" w:hAnsi="Verdana" w:cs="Verdana"/>
          <w:color w:val="99CA3C"/>
          <w:sz w:val="18"/>
        </w:rPr>
        <w:t>Discreti</w:t>
      </w:r>
      <w:r>
        <w:rPr>
          <w:rFonts w:ascii="Verdana" w:eastAsia="Verdana" w:hAnsi="Verdana" w:cs="Verdana"/>
          <w:color w:val="99CA3C"/>
          <w:sz w:val="18"/>
        </w:rPr>
        <w:t>onary Benefits</w:t>
      </w:r>
    </w:p>
    <w:p w:rsidR="00576F87" w:rsidRDefault="004165F5">
      <w:pPr>
        <w:spacing w:after="305" w:line="260" w:lineRule="auto"/>
        <w:ind w:left="-5" w:right="561" w:hanging="10"/>
        <w:jc w:val="both"/>
      </w:pPr>
      <w:r>
        <w:rPr>
          <w:rFonts w:ascii="Verdana" w:eastAsia="Verdana" w:hAnsi="Verdana" w:cs="Verdana"/>
          <w:sz w:val="16"/>
        </w:rPr>
        <w:t xml:space="preserve">LPFA also has restricted powers to make discretionary awards of retirement benefits in the event of early retirements. Any liabilities estimated to arise as a result of an award to any member of staff (including teachers) are accrued in the </w:t>
      </w:r>
      <w:r>
        <w:rPr>
          <w:rFonts w:ascii="Verdana" w:eastAsia="Verdana" w:hAnsi="Verdana" w:cs="Verdana"/>
          <w:sz w:val="16"/>
        </w:rPr>
        <w:t>year of the decision to make the award and accounted for using the same policies as are applied to the Local Government Pension Scheme.</w:t>
      </w:r>
    </w:p>
    <w:p w:rsidR="00576F87" w:rsidRDefault="00576F87">
      <w:pPr>
        <w:sectPr w:rsidR="00576F87">
          <w:headerReference w:type="even" r:id="rId139"/>
          <w:headerReference w:type="default" r:id="rId140"/>
          <w:footerReference w:type="even" r:id="rId141"/>
          <w:footerReference w:type="default" r:id="rId142"/>
          <w:headerReference w:type="first" r:id="rId143"/>
          <w:footerReference w:type="first" r:id="rId144"/>
          <w:pgSz w:w="11900" w:h="16840"/>
          <w:pgMar w:top="1136" w:right="1118" w:bottom="1449" w:left="1066" w:header="720" w:footer="507" w:gutter="0"/>
          <w:cols w:space="720"/>
          <w:titlePg/>
        </w:sectPr>
      </w:pPr>
    </w:p>
    <w:p w:rsidR="00576F87" w:rsidRDefault="004165F5">
      <w:pPr>
        <w:pStyle w:val="Heading2"/>
        <w:spacing w:after="260"/>
        <w:ind w:left="19"/>
      </w:pPr>
      <w:r>
        <w:rPr>
          <w:b/>
          <w:color w:val="3F977F"/>
        </w:rPr>
        <w:t>LPFA Accounts 31 March 2018</w:t>
      </w:r>
    </w:p>
    <w:p w:rsidR="00576F87" w:rsidRDefault="004165F5">
      <w:pPr>
        <w:spacing w:after="0"/>
        <w:ind w:left="19" w:hanging="10"/>
      </w:pPr>
      <w:r>
        <w:rPr>
          <w:rFonts w:ascii="Verdana" w:eastAsia="Verdana" w:hAnsi="Verdana" w:cs="Verdana"/>
          <w:b/>
          <w:sz w:val="28"/>
        </w:rPr>
        <w:t xml:space="preserve">13        </w:t>
      </w:r>
      <w:r>
        <w:rPr>
          <w:rFonts w:ascii="Verdana" w:eastAsia="Verdana" w:hAnsi="Verdana" w:cs="Verdana"/>
          <w:sz w:val="28"/>
        </w:rPr>
        <w:t xml:space="preserve"> Tangible assets</w:t>
      </w:r>
    </w:p>
    <w:tbl>
      <w:tblPr>
        <w:tblStyle w:val="TableGrid"/>
        <w:tblW w:w="9314" w:type="dxa"/>
        <w:tblInd w:w="-55" w:type="dxa"/>
        <w:tblCellMar>
          <w:top w:w="78" w:type="dxa"/>
          <w:left w:w="38" w:type="dxa"/>
          <w:bottom w:w="35" w:type="dxa"/>
          <w:right w:w="0" w:type="dxa"/>
        </w:tblCellMar>
        <w:tblLook w:val="04A0" w:firstRow="1" w:lastRow="0" w:firstColumn="1" w:lastColumn="0" w:noHBand="0" w:noVBand="1"/>
      </w:tblPr>
      <w:tblGrid>
        <w:gridCol w:w="4351"/>
        <w:gridCol w:w="1562"/>
        <w:gridCol w:w="1692"/>
        <w:gridCol w:w="1709"/>
      </w:tblGrid>
      <w:tr w:rsidR="00576F87">
        <w:trPr>
          <w:trHeight w:val="660"/>
        </w:trPr>
        <w:tc>
          <w:tcPr>
            <w:tcW w:w="4351" w:type="dxa"/>
            <w:tcBorders>
              <w:top w:val="single" w:sz="15" w:space="0" w:color="35437C"/>
              <w:left w:val="single" w:sz="15" w:space="0" w:color="35437C"/>
              <w:bottom w:val="single" w:sz="8" w:space="0" w:color="35437C"/>
              <w:right w:val="single" w:sz="8" w:space="0" w:color="35437C"/>
            </w:tcBorders>
            <w:shd w:val="clear" w:color="auto" w:fill="366092"/>
          </w:tcPr>
          <w:p w:rsidR="00576F87" w:rsidRDefault="00576F87"/>
        </w:tc>
        <w:tc>
          <w:tcPr>
            <w:tcW w:w="1562" w:type="dxa"/>
            <w:tcBorders>
              <w:top w:val="single" w:sz="15" w:space="0" w:color="35437C"/>
              <w:left w:val="single" w:sz="8" w:space="0" w:color="35437C"/>
              <w:bottom w:val="single" w:sz="8" w:space="0" w:color="35437C"/>
              <w:right w:val="single" w:sz="8" w:space="0" w:color="35437C"/>
            </w:tcBorders>
            <w:shd w:val="clear" w:color="auto" w:fill="366092"/>
            <w:vAlign w:val="center"/>
          </w:tcPr>
          <w:p w:rsidR="00576F87" w:rsidRDefault="004165F5">
            <w:pPr>
              <w:spacing w:after="0"/>
              <w:ind w:right="38"/>
              <w:jc w:val="right"/>
            </w:pPr>
            <w:r>
              <w:rPr>
                <w:rFonts w:ascii="Verdana" w:eastAsia="Verdana" w:hAnsi="Verdana" w:cs="Verdana"/>
                <w:b/>
                <w:color w:val="FFFFFF"/>
                <w:sz w:val="16"/>
              </w:rPr>
              <w:t>Servers</w:t>
            </w:r>
          </w:p>
        </w:tc>
        <w:tc>
          <w:tcPr>
            <w:tcW w:w="1692" w:type="dxa"/>
            <w:tcBorders>
              <w:top w:val="single" w:sz="15" w:space="0" w:color="35437C"/>
              <w:left w:val="single" w:sz="8" w:space="0" w:color="35437C"/>
              <w:bottom w:val="single" w:sz="8" w:space="0" w:color="35437C"/>
              <w:right w:val="single" w:sz="15" w:space="0" w:color="35437C"/>
            </w:tcBorders>
            <w:shd w:val="clear" w:color="auto" w:fill="366092"/>
            <w:vAlign w:val="center"/>
          </w:tcPr>
          <w:p w:rsidR="00576F87" w:rsidRDefault="004165F5">
            <w:pPr>
              <w:spacing w:after="0"/>
              <w:ind w:right="37"/>
              <w:jc w:val="right"/>
            </w:pPr>
            <w:r>
              <w:rPr>
                <w:rFonts w:ascii="Verdana" w:eastAsia="Verdana" w:hAnsi="Verdana" w:cs="Verdana"/>
                <w:b/>
                <w:color w:val="FFFFFF"/>
                <w:sz w:val="16"/>
              </w:rPr>
              <w:t>Total</w:t>
            </w:r>
          </w:p>
        </w:tc>
        <w:tc>
          <w:tcPr>
            <w:tcW w:w="1709" w:type="dxa"/>
            <w:tcBorders>
              <w:top w:val="nil"/>
              <w:left w:val="single" w:sz="15" w:space="0" w:color="35437C"/>
              <w:bottom w:val="nil"/>
              <w:right w:val="nil"/>
            </w:tcBorders>
            <w:shd w:val="clear" w:color="auto" w:fill="FFFFFF"/>
          </w:tcPr>
          <w:p w:rsidR="00576F87" w:rsidRDefault="00576F87"/>
        </w:tc>
      </w:tr>
      <w:tr w:rsidR="00576F87">
        <w:trPr>
          <w:trHeight w:val="290"/>
        </w:trPr>
        <w:tc>
          <w:tcPr>
            <w:tcW w:w="4351" w:type="dxa"/>
            <w:tcBorders>
              <w:top w:val="single" w:sz="8" w:space="0" w:color="35437C"/>
              <w:left w:val="single" w:sz="15" w:space="0" w:color="35437C"/>
              <w:bottom w:val="single" w:sz="8" w:space="0" w:color="35437C"/>
              <w:right w:val="single" w:sz="8" w:space="0" w:color="35437C"/>
            </w:tcBorders>
            <w:shd w:val="clear" w:color="auto" w:fill="FFFFFF"/>
          </w:tcPr>
          <w:p w:rsidR="00576F87" w:rsidRDefault="004165F5">
            <w:pPr>
              <w:spacing w:after="0"/>
              <w:ind w:left="5"/>
            </w:pPr>
            <w:r>
              <w:rPr>
                <w:rFonts w:ascii="Verdana" w:eastAsia="Verdana" w:hAnsi="Verdana" w:cs="Verdana"/>
                <w:b/>
                <w:sz w:val="18"/>
              </w:rPr>
              <w:t>Cost</w:t>
            </w:r>
          </w:p>
        </w:tc>
        <w:tc>
          <w:tcPr>
            <w:tcW w:w="156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35"/>
              <w:jc w:val="right"/>
            </w:pPr>
            <w:r>
              <w:rPr>
                <w:b/>
                <w:sz w:val="18"/>
              </w:rPr>
              <w:t>£'000</w:t>
            </w:r>
          </w:p>
        </w:tc>
        <w:tc>
          <w:tcPr>
            <w:tcW w:w="1692"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35"/>
              <w:jc w:val="right"/>
            </w:pPr>
            <w:r>
              <w:rPr>
                <w:b/>
                <w:sz w:val="18"/>
              </w:rPr>
              <w:t>£'000</w:t>
            </w:r>
          </w:p>
        </w:tc>
        <w:tc>
          <w:tcPr>
            <w:tcW w:w="1709" w:type="dxa"/>
            <w:tcBorders>
              <w:top w:val="nil"/>
              <w:left w:val="single" w:sz="15" w:space="0" w:color="35437C"/>
              <w:bottom w:val="nil"/>
              <w:right w:val="nil"/>
            </w:tcBorders>
            <w:shd w:val="clear" w:color="auto" w:fill="FFFFFF"/>
          </w:tcPr>
          <w:p w:rsidR="00576F87" w:rsidRDefault="00576F87"/>
        </w:tc>
      </w:tr>
      <w:tr w:rsidR="00576F87">
        <w:trPr>
          <w:trHeight w:val="305"/>
        </w:trPr>
        <w:tc>
          <w:tcPr>
            <w:tcW w:w="4351" w:type="dxa"/>
            <w:tcBorders>
              <w:top w:val="single" w:sz="8" w:space="0" w:color="35437C"/>
              <w:left w:val="single" w:sz="15" w:space="0" w:color="35437C"/>
              <w:bottom w:val="single" w:sz="8" w:space="0" w:color="35437C"/>
              <w:right w:val="single" w:sz="8" w:space="0" w:color="35437C"/>
            </w:tcBorders>
          </w:tcPr>
          <w:p w:rsidR="00576F87" w:rsidRDefault="00576F87"/>
        </w:tc>
        <w:tc>
          <w:tcPr>
            <w:tcW w:w="1562" w:type="dxa"/>
            <w:tcBorders>
              <w:top w:val="single" w:sz="8" w:space="0" w:color="35437C"/>
              <w:left w:val="single" w:sz="8" w:space="0" w:color="35437C"/>
              <w:bottom w:val="single" w:sz="8" w:space="0" w:color="35437C"/>
              <w:right w:val="single" w:sz="8" w:space="0" w:color="35437C"/>
            </w:tcBorders>
          </w:tcPr>
          <w:p w:rsidR="00576F87" w:rsidRDefault="00576F87"/>
        </w:tc>
        <w:tc>
          <w:tcPr>
            <w:tcW w:w="1692" w:type="dxa"/>
            <w:tcBorders>
              <w:top w:val="single" w:sz="8" w:space="0" w:color="35437C"/>
              <w:left w:val="single" w:sz="8" w:space="0" w:color="35437C"/>
              <w:bottom w:val="single" w:sz="8" w:space="0" w:color="35437C"/>
              <w:right w:val="single" w:sz="15" w:space="0" w:color="35437C"/>
            </w:tcBorders>
          </w:tcPr>
          <w:p w:rsidR="00576F87" w:rsidRDefault="00576F87"/>
        </w:tc>
        <w:tc>
          <w:tcPr>
            <w:tcW w:w="1709" w:type="dxa"/>
            <w:vMerge w:val="restart"/>
            <w:tcBorders>
              <w:top w:val="nil"/>
              <w:left w:val="single" w:sz="15" w:space="0" w:color="35437C"/>
              <w:bottom w:val="nil"/>
              <w:right w:val="nil"/>
            </w:tcBorders>
          </w:tcPr>
          <w:p w:rsidR="00576F87" w:rsidRDefault="00576F87"/>
        </w:tc>
      </w:tr>
      <w:tr w:rsidR="00576F87">
        <w:trPr>
          <w:trHeight w:val="305"/>
        </w:trPr>
        <w:tc>
          <w:tcPr>
            <w:tcW w:w="4351"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As at 1 April 2017</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b/>
                <w:sz w:val="18"/>
              </w:rPr>
              <w:t>136</w:t>
            </w:r>
          </w:p>
        </w:tc>
        <w:tc>
          <w:tcPr>
            <w:tcW w:w="169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6"/>
              <w:jc w:val="right"/>
            </w:pPr>
            <w:r>
              <w:rPr>
                <w:rFonts w:ascii="Verdana" w:eastAsia="Verdana" w:hAnsi="Verdana" w:cs="Verdana"/>
                <w:b/>
                <w:sz w:val="18"/>
              </w:rPr>
              <w:t>136</w:t>
            </w:r>
          </w:p>
        </w:tc>
        <w:tc>
          <w:tcPr>
            <w:tcW w:w="0" w:type="auto"/>
            <w:vMerge/>
            <w:tcBorders>
              <w:top w:val="nil"/>
              <w:left w:val="single" w:sz="15" w:space="0" w:color="35437C"/>
              <w:bottom w:val="nil"/>
              <w:right w:val="nil"/>
            </w:tcBorders>
          </w:tcPr>
          <w:p w:rsidR="00576F87" w:rsidRDefault="00576F87"/>
        </w:tc>
      </w:tr>
      <w:tr w:rsidR="00576F87">
        <w:trPr>
          <w:trHeight w:val="305"/>
        </w:trPr>
        <w:tc>
          <w:tcPr>
            <w:tcW w:w="4351"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Additions</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b/>
                <w:sz w:val="18"/>
              </w:rPr>
              <w:t>-</w:t>
            </w:r>
          </w:p>
        </w:tc>
        <w:tc>
          <w:tcPr>
            <w:tcW w:w="169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b/>
                <w:sz w:val="18"/>
              </w:rPr>
              <w:t>-</w:t>
            </w:r>
          </w:p>
        </w:tc>
        <w:tc>
          <w:tcPr>
            <w:tcW w:w="0" w:type="auto"/>
            <w:vMerge/>
            <w:tcBorders>
              <w:top w:val="nil"/>
              <w:left w:val="single" w:sz="15" w:space="0" w:color="35437C"/>
              <w:bottom w:val="nil"/>
              <w:right w:val="nil"/>
            </w:tcBorders>
          </w:tcPr>
          <w:p w:rsidR="00576F87" w:rsidRDefault="00576F87"/>
        </w:tc>
      </w:tr>
      <w:tr w:rsidR="00576F87">
        <w:trPr>
          <w:trHeight w:val="290"/>
        </w:trPr>
        <w:tc>
          <w:tcPr>
            <w:tcW w:w="4351"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Disposals</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(136)</w:t>
            </w:r>
          </w:p>
        </w:tc>
        <w:tc>
          <w:tcPr>
            <w:tcW w:w="169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6"/>
              <w:jc w:val="right"/>
            </w:pPr>
            <w:r>
              <w:rPr>
                <w:rFonts w:ascii="Verdana" w:eastAsia="Verdana" w:hAnsi="Verdana" w:cs="Verdana"/>
                <w:sz w:val="18"/>
              </w:rPr>
              <w:t>(136)</w:t>
            </w:r>
          </w:p>
        </w:tc>
        <w:tc>
          <w:tcPr>
            <w:tcW w:w="0" w:type="auto"/>
            <w:vMerge/>
            <w:tcBorders>
              <w:top w:val="nil"/>
              <w:left w:val="single" w:sz="15" w:space="0" w:color="35437C"/>
              <w:bottom w:val="nil"/>
              <w:right w:val="nil"/>
            </w:tcBorders>
          </w:tcPr>
          <w:p w:rsidR="00576F87" w:rsidRDefault="00576F87"/>
        </w:tc>
      </w:tr>
      <w:tr w:rsidR="00576F87">
        <w:trPr>
          <w:trHeight w:val="290"/>
        </w:trPr>
        <w:tc>
          <w:tcPr>
            <w:tcW w:w="4351"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As at 31 March 2018</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b/>
                <w:sz w:val="18"/>
              </w:rPr>
              <w:t>0</w:t>
            </w:r>
          </w:p>
        </w:tc>
        <w:tc>
          <w:tcPr>
            <w:tcW w:w="169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b/>
                <w:sz w:val="18"/>
              </w:rPr>
              <w:t>0</w:t>
            </w:r>
          </w:p>
        </w:tc>
        <w:tc>
          <w:tcPr>
            <w:tcW w:w="0" w:type="auto"/>
            <w:vMerge/>
            <w:tcBorders>
              <w:top w:val="nil"/>
              <w:left w:val="single" w:sz="15" w:space="0" w:color="35437C"/>
              <w:bottom w:val="nil"/>
              <w:right w:val="nil"/>
            </w:tcBorders>
          </w:tcPr>
          <w:p w:rsidR="00576F87" w:rsidRDefault="00576F87"/>
        </w:tc>
      </w:tr>
      <w:tr w:rsidR="00576F87">
        <w:trPr>
          <w:trHeight w:val="290"/>
        </w:trPr>
        <w:tc>
          <w:tcPr>
            <w:tcW w:w="4351" w:type="dxa"/>
            <w:tcBorders>
              <w:top w:val="single" w:sz="8" w:space="0" w:color="35437C"/>
              <w:left w:val="single" w:sz="15" w:space="0" w:color="35437C"/>
              <w:bottom w:val="single" w:sz="8" w:space="0" w:color="35437C"/>
              <w:right w:val="single" w:sz="8" w:space="0" w:color="35437C"/>
            </w:tcBorders>
          </w:tcPr>
          <w:p w:rsidR="00576F87" w:rsidRDefault="00576F87"/>
        </w:tc>
        <w:tc>
          <w:tcPr>
            <w:tcW w:w="1562" w:type="dxa"/>
            <w:tcBorders>
              <w:top w:val="single" w:sz="8" w:space="0" w:color="35437C"/>
              <w:left w:val="single" w:sz="8" w:space="0" w:color="35437C"/>
              <w:bottom w:val="single" w:sz="8" w:space="0" w:color="35437C"/>
              <w:right w:val="single" w:sz="8" w:space="0" w:color="35437C"/>
            </w:tcBorders>
          </w:tcPr>
          <w:p w:rsidR="00576F87" w:rsidRDefault="00576F87"/>
        </w:tc>
        <w:tc>
          <w:tcPr>
            <w:tcW w:w="1692" w:type="dxa"/>
            <w:tcBorders>
              <w:top w:val="single" w:sz="8" w:space="0" w:color="35437C"/>
              <w:left w:val="single" w:sz="8" w:space="0" w:color="35437C"/>
              <w:bottom w:val="single" w:sz="8" w:space="0" w:color="35437C"/>
              <w:right w:val="single" w:sz="15" w:space="0" w:color="35437C"/>
            </w:tcBorders>
          </w:tcPr>
          <w:p w:rsidR="00576F87" w:rsidRDefault="00576F87"/>
        </w:tc>
        <w:tc>
          <w:tcPr>
            <w:tcW w:w="0" w:type="auto"/>
            <w:vMerge/>
            <w:tcBorders>
              <w:top w:val="nil"/>
              <w:left w:val="single" w:sz="15" w:space="0" w:color="35437C"/>
              <w:bottom w:val="nil"/>
              <w:right w:val="nil"/>
            </w:tcBorders>
          </w:tcPr>
          <w:p w:rsidR="00576F87" w:rsidRDefault="00576F87"/>
        </w:tc>
      </w:tr>
      <w:tr w:rsidR="00576F87">
        <w:trPr>
          <w:trHeight w:val="290"/>
        </w:trPr>
        <w:tc>
          <w:tcPr>
            <w:tcW w:w="4351"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Depreciation</w:t>
            </w:r>
          </w:p>
        </w:tc>
        <w:tc>
          <w:tcPr>
            <w:tcW w:w="1562" w:type="dxa"/>
            <w:tcBorders>
              <w:top w:val="single" w:sz="8" w:space="0" w:color="35437C"/>
              <w:left w:val="single" w:sz="8" w:space="0" w:color="35437C"/>
              <w:bottom w:val="single" w:sz="8" w:space="0" w:color="35437C"/>
              <w:right w:val="single" w:sz="8" w:space="0" w:color="35437C"/>
            </w:tcBorders>
          </w:tcPr>
          <w:p w:rsidR="00576F87" w:rsidRDefault="00576F87"/>
        </w:tc>
        <w:tc>
          <w:tcPr>
            <w:tcW w:w="1692" w:type="dxa"/>
            <w:tcBorders>
              <w:top w:val="single" w:sz="8" w:space="0" w:color="35437C"/>
              <w:left w:val="single" w:sz="8" w:space="0" w:color="35437C"/>
              <w:bottom w:val="single" w:sz="8" w:space="0" w:color="35437C"/>
              <w:right w:val="single" w:sz="15" w:space="0" w:color="35437C"/>
            </w:tcBorders>
          </w:tcPr>
          <w:p w:rsidR="00576F87" w:rsidRDefault="00576F87"/>
        </w:tc>
        <w:tc>
          <w:tcPr>
            <w:tcW w:w="0" w:type="auto"/>
            <w:vMerge/>
            <w:tcBorders>
              <w:top w:val="nil"/>
              <w:left w:val="single" w:sz="15" w:space="0" w:color="35437C"/>
              <w:bottom w:val="nil"/>
              <w:right w:val="nil"/>
            </w:tcBorders>
          </w:tcPr>
          <w:p w:rsidR="00576F87" w:rsidRDefault="00576F87"/>
        </w:tc>
      </w:tr>
      <w:tr w:rsidR="00576F87">
        <w:trPr>
          <w:trHeight w:val="290"/>
        </w:trPr>
        <w:tc>
          <w:tcPr>
            <w:tcW w:w="4351"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As at 1 April 2017</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8"/>
              </w:rPr>
              <w:t>81</w:t>
            </w:r>
          </w:p>
        </w:tc>
        <w:tc>
          <w:tcPr>
            <w:tcW w:w="169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rPr>
                <w:rFonts w:ascii="Verdana" w:eastAsia="Verdana" w:hAnsi="Verdana" w:cs="Verdana"/>
                <w:b/>
                <w:sz w:val="18"/>
              </w:rPr>
              <w:t>81</w:t>
            </w:r>
          </w:p>
        </w:tc>
        <w:tc>
          <w:tcPr>
            <w:tcW w:w="0" w:type="auto"/>
            <w:vMerge/>
            <w:tcBorders>
              <w:top w:val="nil"/>
              <w:left w:val="single" w:sz="15" w:space="0" w:color="35437C"/>
              <w:bottom w:val="nil"/>
              <w:right w:val="nil"/>
            </w:tcBorders>
          </w:tcPr>
          <w:p w:rsidR="00576F87" w:rsidRDefault="00576F87"/>
        </w:tc>
      </w:tr>
      <w:tr w:rsidR="00576F87">
        <w:trPr>
          <w:trHeight w:val="305"/>
        </w:trPr>
        <w:tc>
          <w:tcPr>
            <w:tcW w:w="4351"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Depreciation charge</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8"/>
              </w:rPr>
              <w:t>23</w:t>
            </w:r>
          </w:p>
        </w:tc>
        <w:tc>
          <w:tcPr>
            <w:tcW w:w="169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rPr>
                <w:rFonts w:ascii="Verdana" w:eastAsia="Verdana" w:hAnsi="Verdana" w:cs="Verdana"/>
                <w:b/>
                <w:sz w:val="18"/>
              </w:rPr>
              <w:t>23</w:t>
            </w:r>
          </w:p>
        </w:tc>
        <w:tc>
          <w:tcPr>
            <w:tcW w:w="0" w:type="auto"/>
            <w:vMerge/>
            <w:tcBorders>
              <w:top w:val="nil"/>
              <w:left w:val="single" w:sz="15" w:space="0" w:color="35437C"/>
              <w:bottom w:val="nil"/>
              <w:right w:val="nil"/>
            </w:tcBorders>
          </w:tcPr>
          <w:p w:rsidR="00576F87" w:rsidRDefault="00576F87"/>
        </w:tc>
      </w:tr>
      <w:tr w:rsidR="00576F87">
        <w:trPr>
          <w:trHeight w:val="290"/>
        </w:trPr>
        <w:tc>
          <w:tcPr>
            <w:tcW w:w="4351"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Disposals</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8"/>
              </w:rPr>
              <w:t>(104)</w:t>
            </w:r>
          </w:p>
        </w:tc>
        <w:tc>
          <w:tcPr>
            <w:tcW w:w="169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6"/>
              <w:jc w:val="right"/>
            </w:pPr>
            <w:r>
              <w:rPr>
                <w:rFonts w:ascii="Verdana" w:eastAsia="Verdana" w:hAnsi="Verdana" w:cs="Verdana"/>
                <w:sz w:val="18"/>
              </w:rPr>
              <w:t>(104)</w:t>
            </w:r>
          </w:p>
        </w:tc>
        <w:tc>
          <w:tcPr>
            <w:tcW w:w="0" w:type="auto"/>
            <w:vMerge/>
            <w:tcBorders>
              <w:top w:val="nil"/>
              <w:left w:val="single" w:sz="15" w:space="0" w:color="35437C"/>
              <w:bottom w:val="nil"/>
              <w:right w:val="nil"/>
            </w:tcBorders>
          </w:tcPr>
          <w:p w:rsidR="00576F87" w:rsidRDefault="00576F87"/>
        </w:tc>
      </w:tr>
      <w:tr w:rsidR="00576F87">
        <w:trPr>
          <w:trHeight w:val="290"/>
        </w:trPr>
        <w:tc>
          <w:tcPr>
            <w:tcW w:w="4351"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As at 31 March 2018</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b/>
                <w:sz w:val="18"/>
              </w:rPr>
              <w:t>0</w:t>
            </w:r>
          </w:p>
        </w:tc>
        <w:tc>
          <w:tcPr>
            <w:tcW w:w="169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8"/>
              <w:jc w:val="right"/>
            </w:pPr>
            <w:r>
              <w:rPr>
                <w:rFonts w:ascii="Verdana" w:eastAsia="Verdana" w:hAnsi="Verdana" w:cs="Verdana"/>
                <w:b/>
                <w:sz w:val="18"/>
              </w:rPr>
              <w:t>0</w:t>
            </w:r>
          </w:p>
        </w:tc>
        <w:tc>
          <w:tcPr>
            <w:tcW w:w="0" w:type="auto"/>
            <w:vMerge/>
            <w:tcBorders>
              <w:top w:val="nil"/>
              <w:left w:val="single" w:sz="15" w:space="0" w:color="35437C"/>
              <w:bottom w:val="nil"/>
              <w:right w:val="nil"/>
            </w:tcBorders>
          </w:tcPr>
          <w:p w:rsidR="00576F87" w:rsidRDefault="00576F87"/>
        </w:tc>
      </w:tr>
      <w:tr w:rsidR="00576F87">
        <w:trPr>
          <w:trHeight w:val="290"/>
        </w:trPr>
        <w:tc>
          <w:tcPr>
            <w:tcW w:w="4351"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Net Book Value</w:t>
            </w:r>
          </w:p>
        </w:tc>
        <w:tc>
          <w:tcPr>
            <w:tcW w:w="1562" w:type="dxa"/>
            <w:tcBorders>
              <w:top w:val="single" w:sz="8" w:space="0" w:color="35437C"/>
              <w:left w:val="single" w:sz="8" w:space="0" w:color="35437C"/>
              <w:bottom w:val="single" w:sz="8" w:space="0" w:color="35437C"/>
              <w:right w:val="single" w:sz="8" w:space="0" w:color="35437C"/>
            </w:tcBorders>
          </w:tcPr>
          <w:p w:rsidR="00576F87" w:rsidRDefault="00576F87"/>
        </w:tc>
        <w:tc>
          <w:tcPr>
            <w:tcW w:w="1692" w:type="dxa"/>
            <w:tcBorders>
              <w:top w:val="single" w:sz="8" w:space="0" w:color="35437C"/>
              <w:left w:val="single" w:sz="8" w:space="0" w:color="35437C"/>
              <w:bottom w:val="single" w:sz="8" w:space="0" w:color="35437C"/>
              <w:right w:val="single" w:sz="15" w:space="0" w:color="35437C"/>
            </w:tcBorders>
          </w:tcPr>
          <w:p w:rsidR="00576F87" w:rsidRDefault="00576F87"/>
        </w:tc>
        <w:tc>
          <w:tcPr>
            <w:tcW w:w="0" w:type="auto"/>
            <w:vMerge/>
            <w:tcBorders>
              <w:top w:val="nil"/>
              <w:left w:val="single" w:sz="15" w:space="0" w:color="35437C"/>
              <w:bottom w:val="nil"/>
              <w:right w:val="nil"/>
            </w:tcBorders>
          </w:tcPr>
          <w:p w:rsidR="00576F87" w:rsidRDefault="00576F87"/>
        </w:tc>
      </w:tr>
      <w:tr w:rsidR="00576F87">
        <w:trPr>
          <w:trHeight w:val="348"/>
        </w:trPr>
        <w:tc>
          <w:tcPr>
            <w:tcW w:w="4351" w:type="dxa"/>
            <w:tcBorders>
              <w:top w:val="single" w:sz="8" w:space="0" w:color="35437C"/>
              <w:left w:val="single" w:sz="15" w:space="0" w:color="35437C"/>
              <w:bottom w:val="single" w:sz="8" w:space="0" w:color="35437C"/>
              <w:right w:val="single" w:sz="8" w:space="0" w:color="35437C"/>
            </w:tcBorders>
            <w:shd w:val="clear" w:color="auto" w:fill="366092"/>
          </w:tcPr>
          <w:p w:rsidR="00576F87" w:rsidRDefault="004165F5">
            <w:pPr>
              <w:spacing w:after="0"/>
              <w:ind w:left="5"/>
            </w:pPr>
            <w:r>
              <w:rPr>
                <w:rFonts w:ascii="Verdana" w:eastAsia="Verdana" w:hAnsi="Verdana" w:cs="Verdana"/>
                <w:b/>
                <w:color w:val="FFFFFF"/>
                <w:sz w:val="18"/>
              </w:rPr>
              <w:t>As at 31 March 2018</w:t>
            </w:r>
          </w:p>
        </w:tc>
        <w:tc>
          <w:tcPr>
            <w:tcW w:w="1562" w:type="dxa"/>
            <w:tcBorders>
              <w:top w:val="single" w:sz="8" w:space="0" w:color="35437C"/>
              <w:left w:val="single" w:sz="8" w:space="0" w:color="35437C"/>
              <w:bottom w:val="single" w:sz="8" w:space="0" w:color="35437C"/>
              <w:right w:val="single" w:sz="8" w:space="0" w:color="35437C"/>
            </w:tcBorders>
            <w:shd w:val="clear" w:color="auto" w:fill="366092"/>
          </w:tcPr>
          <w:p w:rsidR="00576F87" w:rsidRDefault="004165F5">
            <w:pPr>
              <w:spacing w:after="0"/>
              <w:ind w:right="38"/>
              <w:jc w:val="right"/>
            </w:pPr>
            <w:r>
              <w:rPr>
                <w:rFonts w:ascii="Verdana" w:eastAsia="Verdana" w:hAnsi="Verdana" w:cs="Verdana"/>
                <w:b/>
                <w:color w:val="FFFFFF"/>
                <w:sz w:val="18"/>
              </w:rPr>
              <w:t>-</w:t>
            </w:r>
          </w:p>
        </w:tc>
        <w:tc>
          <w:tcPr>
            <w:tcW w:w="1692" w:type="dxa"/>
            <w:tcBorders>
              <w:top w:val="single" w:sz="8" w:space="0" w:color="35437C"/>
              <w:left w:val="single" w:sz="8" w:space="0" w:color="35437C"/>
              <w:bottom w:val="single" w:sz="8" w:space="0" w:color="35437C"/>
              <w:right w:val="single" w:sz="15" w:space="0" w:color="35437C"/>
            </w:tcBorders>
            <w:shd w:val="clear" w:color="auto" w:fill="366092"/>
          </w:tcPr>
          <w:p w:rsidR="00576F87" w:rsidRDefault="004165F5">
            <w:pPr>
              <w:spacing w:after="0"/>
              <w:ind w:right="38"/>
              <w:jc w:val="right"/>
            </w:pPr>
            <w:r>
              <w:rPr>
                <w:rFonts w:ascii="Verdana" w:eastAsia="Verdana" w:hAnsi="Verdana" w:cs="Verdana"/>
                <w:b/>
                <w:color w:val="FFFFFF"/>
                <w:sz w:val="18"/>
              </w:rPr>
              <w:t>-</w:t>
            </w:r>
          </w:p>
        </w:tc>
        <w:tc>
          <w:tcPr>
            <w:tcW w:w="1709" w:type="dxa"/>
            <w:vMerge w:val="restart"/>
            <w:tcBorders>
              <w:top w:val="nil"/>
              <w:left w:val="single" w:sz="15" w:space="0" w:color="35437C"/>
              <w:bottom w:val="nil"/>
              <w:right w:val="nil"/>
            </w:tcBorders>
            <w:shd w:val="clear" w:color="auto" w:fill="FFFFFF"/>
          </w:tcPr>
          <w:p w:rsidR="00576F87" w:rsidRDefault="00576F87"/>
        </w:tc>
      </w:tr>
      <w:tr w:rsidR="00576F87">
        <w:trPr>
          <w:trHeight w:val="348"/>
        </w:trPr>
        <w:tc>
          <w:tcPr>
            <w:tcW w:w="4351" w:type="dxa"/>
            <w:tcBorders>
              <w:top w:val="single" w:sz="8" w:space="0" w:color="35437C"/>
              <w:left w:val="single" w:sz="15" w:space="0" w:color="35437C"/>
              <w:bottom w:val="single" w:sz="15" w:space="0" w:color="35437C"/>
              <w:right w:val="single" w:sz="8" w:space="0" w:color="35437C"/>
            </w:tcBorders>
            <w:shd w:val="clear" w:color="auto" w:fill="366092"/>
          </w:tcPr>
          <w:p w:rsidR="00576F87" w:rsidRDefault="004165F5">
            <w:pPr>
              <w:spacing w:after="0"/>
              <w:ind w:left="5"/>
            </w:pPr>
            <w:r>
              <w:rPr>
                <w:rFonts w:ascii="Verdana" w:eastAsia="Verdana" w:hAnsi="Verdana" w:cs="Verdana"/>
                <w:b/>
                <w:color w:val="FFFFFF"/>
                <w:sz w:val="18"/>
              </w:rPr>
              <w:t>As at 31 March 2017</w:t>
            </w:r>
          </w:p>
        </w:tc>
        <w:tc>
          <w:tcPr>
            <w:tcW w:w="1562" w:type="dxa"/>
            <w:tcBorders>
              <w:top w:val="single" w:sz="8" w:space="0" w:color="35437C"/>
              <w:left w:val="single" w:sz="8" w:space="0" w:color="35437C"/>
              <w:bottom w:val="single" w:sz="15" w:space="0" w:color="35437C"/>
              <w:right w:val="single" w:sz="8" w:space="0" w:color="35437C"/>
            </w:tcBorders>
            <w:shd w:val="clear" w:color="auto" w:fill="366092"/>
          </w:tcPr>
          <w:p w:rsidR="00576F87" w:rsidRDefault="004165F5">
            <w:pPr>
              <w:spacing w:after="0"/>
              <w:ind w:right="37"/>
              <w:jc w:val="right"/>
            </w:pPr>
            <w:r>
              <w:rPr>
                <w:rFonts w:ascii="Verdana" w:eastAsia="Verdana" w:hAnsi="Verdana" w:cs="Verdana"/>
                <w:b/>
                <w:color w:val="FFFFFF"/>
                <w:sz w:val="18"/>
              </w:rPr>
              <w:t>55</w:t>
            </w:r>
          </w:p>
        </w:tc>
        <w:tc>
          <w:tcPr>
            <w:tcW w:w="1692" w:type="dxa"/>
            <w:tcBorders>
              <w:top w:val="single" w:sz="8" w:space="0" w:color="35437C"/>
              <w:left w:val="single" w:sz="8" w:space="0" w:color="35437C"/>
              <w:bottom w:val="single" w:sz="15" w:space="0" w:color="35437C"/>
              <w:right w:val="single" w:sz="15" w:space="0" w:color="35437C"/>
            </w:tcBorders>
            <w:shd w:val="clear" w:color="auto" w:fill="366092"/>
          </w:tcPr>
          <w:p w:rsidR="00576F87" w:rsidRDefault="004165F5">
            <w:pPr>
              <w:spacing w:after="0"/>
              <w:ind w:right="37"/>
              <w:jc w:val="right"/>
            </w:pPr>
            <w:r>
              <w:rPr>
                <w:rFonts w:ascii="Verdana" w:eastAsia="Verdana" w:hAnsi="Verdana" w:cs="Verdana"/>
                <w:b/>
                <w:color w:val="FFFFFF"/>
                <w:sz w:val="18"/>
              </w:rPr>
              <w:t>55</w:t>
            </w:r>
          </w:p>
        </w:tc>
        <w:tc>
          <w:tcPr>
            <w:tcW w:w="0" w:type="auto"/>
            <w:vMerge/>
            <w:tcBorders>
              <w:top w:val="nil"/>
              <w:left w:val="single" w:sz="15" w:space="0" w:color="35437C"/>
              <w:bottom w:val="nil"/>
              <w:right w:val="nil"/>
            </w:tcBorders>
          </w:tcPr>
          <w:p w:rsidR="00576F87" w:rsidRDefault="00576F87"/>
        </w:tc>
      </w:tr>
      <w:tr w:rsidR="00576F87">
        <w:trPr>
          <w:trHeight w:val="1289"/>
        </w:trPr>
        <w:tc>
          <w:tcPr>
            <w:tcW w:w="4351" w:type="dxa"/>
            <w:tcBorders>
              <w:top w:val="single" w:sz="15" w:space="0" w:color="35437C"/>
              <w:left w:val="nil"/>
              <w:bottom w:val="double" w:sz="12" w:space="0" w:color="35437C"/>
              <w:right w:val="nil"/>
            </w:tcBorders>
            <w:shd w:val="clear" w:color="auto" w:fill="FFFFFF"/>
            <w:vAlign w:val="bottom"/>
          </w:tcPr>
          <w:p w:rsidR="00576F87" w:rsidRDefault="004165F5">
            <w:pPr>
              <w:spacing w:after="0"/>
              <w:ind w:left="7"/>
            </w:pPr>
            <w:r>
              <w:rPr>
                <w:b/>
                <w:sz w:val="28"/>
              </w:rPr>
              <w:t xml:space="preserve">14     </w:t>
            </w:r>
            <w:r>
              <w:rPr>
                <w:sz w:val="28"/>
              </w:rPr>
              <w:t xml:space="preserve">    Intangible assets</w:t>
            </w:r>
          </w:p>
        </w:tc>
        <w:tc>
          <w:tcPr>
            <w:tcW w:w="1562" w:type="dxa"/>
            <w:tcBorders>
              <w:top w:val="single" w:sz="15" w:space="0" w:color="35437C"/>
              <w:left w:val="nil"/>
              <w:bottom w:val="double" w:sz="12" w:space="0" w:color="35437C"/>
              <w:right w:val="nil"/>
            </w:tcBorders>
            <w:shd w:val="clear" w:color="auto" w:fill="FFFFFF"/>
          </w:tcPr>
          <w:p w:rsidR="00576F87" w:rsidRDefault="00576F87"/>
        </w:tc>
        <w:tc>
          <w:tcPr>
            <w:tcW w:w="1692" w:type="dxa"/>
            <w:tcBorders>
              <w:top w:val="single" w:sz="15" w:space="0" w:color="35437C"/>
              <w:left w:val="nil"/>
              <w:bottom w:val="double" w:sz="12" w:space="0" w:color="35437C"/>
              <w:right w:val="nil"/>
            </w:tcBorders>
            <w:shd w:val="clear" w:color="auto" w:fill="FFFFFF"/>
          </w:tcPr>
          <w:p w:rsidR="00576F87" w:rsidRDefault="00576F87"/>
        </w:tc>
        <w:tc>
          <w:tcPr>
            <w:tcW w:w="1709" w:type="dxa"/>
            <w:tcBorders>
              <w:top w:val="nil"/>
              <w:left w:val="nil"/>
              <w:bottom w:val="double" w:sz="12" w:space="0" w:color="35437C"/>
              <w:right w:val="nil"/>
            </w:tcBorders>
            <w:shd w:val="clear" w:color="auto" w:fill="FFFFFF"/>
          </w:tcPr>
          <w:p w:rsidR="00576F87" w:rsidRDefault="00576F87"/>
        </w:tc>
      </w:tr>
      <w:tr w:rsidR="00576F87">
        <w:trPr>
          <w:trHeight w:val="641"/>
        </w:trPr>
        <w:tc>
          <w:tcPr>
            <w:tcW w:w="4351" w:type="dxa"/>
            <w:tcBorders>
              <w:top w:val="double" w:sz="12" w:space="0" w:color="35437C"/>
              <w:left w:val="single" w:sz="15" w:space="0" w:color="35437C"/>
              <w:bottom w:val="single" w:sz="8" w:space="0" w:color="35437C"/>
              <w:right w:val="single" w:sz="8" w:space="0" w:color="35437C"/>
            </w:tcBorders>
            <w:shd w:val="clear" w:color="auto" w:fill="366092"/>
          </w:tcPr>
          <w:p w:rsidR="00576F87" w:rsidRDefault="00576F87"/>
        </w:tc>
        <w:tc>
          <w:tcPr>
            <w:tcW w:w="1562" w:type="dxa"/>
            <w:tcBorders>
              <w:top w:val="double" w:sz="12" w:space="0" w:color="35437C"/>
              <w:left w:val="single" w:sz="8" w:space="0" w:color="35437C"/>
              <w:bottom w:val="single" w:sz="8" w:space="0" w:color="35437C"/>
              <w:right w:val="single" w:sz="8" w:space="0" w:color="35437C"/>
            </w:tcBorders>
            <w:shd w:val="clear" w:color="auto" w:fill="366092"/>
          </w:tcPr>
          <w:p w:rsidR="00576F87" w:rsidRDefault="004165F5">
            <w:pPr>
              <w:spacing w:after="0"/>
              <w:ind w:right="35"/>
              <w:jc w:val="right"/>
            </w:pPr>
            <w:r>
              <w:rPr>
                <w:rFonts w:ascii="Verdana" w:eastAsia="Verdana" w:hAnsi="Verdana" w:cs="Verdana"/>
                <w:b/>
                <w:color w:val="FFFFFF"/>
                <w:sz w:val="18"/>
              </w:rPr>
              <w:t>Software and licences</w:t>
            </w:r>
          </w:p>
        </w:tc>
        <w:tc>
          <w:tcPr>
            <w:tcW w:w="1692" w:type="dxa"/>
            <w:tcBorders>
              <w:top w:val="double" w:sz="12" w:space="0" w:color="35437C"/>
              <w:left w:val="single" w:sz="8" w:space="0" w:color="35437C"/>
              <w:bottom w:val="single" w:sz="8" w:space="0" w:color="35437C"/>
              <w:right w:val="single" w:sz="8" w:space="0" w:color="35437C"/>
            </w:tcBorders>
            <w:shd w:val="clear" w:color="auto" w:fill="366092"/>
            <w:vAlign w:val="center"/>
          </w:tcPr>
          <w:p w:rsidR="00576F87" w:rsidRDefault="004165F5">
            <w:pPr>
              <w:spacing w:after="0"/>
              <w:ind w:right="39"/>
              <w:jc w:val="right"/>
            </w:pPr>
            <w:r>
              <w:rPr>
                <w:rFonts w:ascii="Verdana" w:eastAsia="Verdana" w:hAnsi="Verdana" w:cs="Verdana"/>
                <w:b/>
                <w:color w:val="FFFFFF"/>
                <w:sz w:val="18"/>
              </w:rPr>
              <w:t>Altair</w:t>
            </w:r>
          </w:p>
        </w:tc>
        <w:tc>
          <w:tcPr>
            <w:tcW w:w="1709" w:type="dxa"/>
            <w:tcBorders>
              <w:top w:val="double" w:sz="12" w:space="0" w:color="35437C"/>
              <w:left w:val="single" w:sz="8" w:space="0" w:color="35437C"/>
              <w:bottom w:val="single" w:sz="8" w:space="0" w:color="35437C"/>
              <w:right w:val="single" w:sz="8" w:space="0" w:color="35437C"/>
            </w:tcBorders>
            <w:shd w:val="clear" w:color="auto" w:fill="366092"/>
            <w:vAlign w:val="center"/>
          </w:tcPr>
          <w:p w:rsidR="00576F87" w:rsidRDefault="004165F5">
            <w:pPr>
              <w:spacing w:after="0"/>
              <w:ind w:right="37"/>
              <w:jc w:val="right"/>
            </w:pPr>
            <w:r>
              <w:rPr>
                <w:rFonts w:ascii="Verdana" w:eastAsia="Verdana" w:hAnsi="Verdana" w:cs="Verdana"/>
                <w:b/>
                <w:color w:val="FFFFFF"/>
                <w:sz w:val="18"/>
              </w:rPr>
              <w:t>Total</w:t>
            </w:r>
          </w:p>
        </w:tc>
      </w:tr>
      <w:tr w:rsidR="00576F87">
        <w:trPr>
          <w:trHeight w:val="290"/>
        </w:trPr>
        <w:tc>
          <w:tcPr>
            <w:tcW w:w="4351"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56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41"/>
              <w:jc w:val="right"/>
            </w:pPr>
            <w:r>
              <w:rPr>
                <w:rFonts w:ascii="Verdana" w:eastAsia="Verdana" w:hAnsi="Verdana" w:cs="Verdana"/>
                <w:b/>
                <w:sz w:val="18"/>
              </w:rPr>
              <w:t>£'000</w:t>
            </w:r>
          </w:p>
        </w:tc>
        <w:tc>
          <w:tcPr>
            <w:tcW w:w="169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41"/>
              <w:jc w:val="right"/>
            </w:pPr>
            <w:r>
              <w:rPr>
                <w:rFonts w:ascii="Verdana" w:eastAsia="Verdana" w:hAnsi="Verdana" w:cs="Verdana"/>
                <w:b/>
                <w:sz w:val="18"/>
              </w:rPr>
              <w:t>£'000</w:t>
            </w:r>
          </w:p>
        </w:tc>
        <w:tc>
          <w:tcPr>
            <w:tcW w:w="1709"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41"/>
              <w:jc w:val="right"/>
            </w:pPr>
            <w:r>
              <w:rPr>
                <w:rFonts w:ascii="Verdana" w:eastAsia="Verdana" w:hAnsi="Verdana" w:cs="Verdana"/>
                <w:b/>
                <w:sz w:val="18"/>
              </w:rPr>
              <w:t>£'000</w:t>
            </w:r>
          </w:p>
        </w:tc>
      </w:tr>
      <w:tr w:rsidR="00576F87">
        <w:trPr>
          <w:trHeight w:val="290"/>
        </w:trPr>
        <w:tc>
          <w:tcPr>
            <w:tcW w:w="4351"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Cost</w:t>
            </w:r>
          </w:p>
        </w:tc>
        <w:tc>
          <w:tcPr>
            <w:tcW w:w="1562" w:type="dxa"/>
            <w:tcBorders>
              <w:top w:val="single" w:sz="8" w:space="0" w:color="35437C"/>
              <w:left w:val="single" w:sz="8" w:space="0" w:color="35437C"/>
              <w:bottom w:val="single" w:sz="8" w:space="0" w:color="35437C"/>
              <w:right w:val="single" w:sz="8" w:space="0" w:color="35437C"/>
            </w:tcBorders>
          </w:tcPr>
          <w:p w:rsidR="00576F87" w:rsidRDefault="00576F87"/>
        </w:tc>
        <w:tc>
          <w:tcPr>
            <w:tcW w:w="1692" w:type="dxa"/>
            <w:tcBorders>
              <w:top w:val="single" w:sz="8" w:space="0" w:color="35437C"/>
              <w:left w:val="single" w:sz="8" w:space="0" w:color="35437C"/>
              <w:bottom w:val="single" w:sz="8" w:space="0" w:color="35437C"/>
              <w:right w:val="single" w:sz="8" w:space="0" w:color="35437C"/>
            </w:tcBorders>
          </w:tcPr>
          <w:p w:rsidR="00576F87" w:rsidRDefault="00576F87"/>
        </w:tc>
        <w:tc>
          <w:tcPr>
            <w:tcW w:w="1709"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4351"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At 1 April 2017</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492</w:t>
            </w:r>
          </w:p>
        </w:tc>
        <w:tc>
          <w:tcPr>
            <w:tcW w:w="169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513</w:t>
            </w:r>
          </w:p>
        </w:tc>
        <w:tc>
          <w:tcPr>
            <w:tcW w:w="1709"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1"/>
              <w:jc w:val="right"/>
            </w:pPr>
            <w:r>
              <w:rPr>
                <w:rFonts w:ascii="Verdana" w:eastAsia="Verdana" w:hAnsi="Verdana" w:cs="Verdana"/>
                <w:sz w:val="18"/>
              </w:rPr>
              <w:t>1,005</w:t>
            </w:r>
          </w:p>
        </w:tc>
      </w:tr>
      <w:tr w:rsidR="00576F87">
        <w:trPr>
          <w:trHeight w:val="290"/>
        </w:trPr>
        <w:tc>
          <w:tcPr>
            <w:tcW w:w="4351"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Disposals</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(492)</w:t>
            </w:r>
          </w:p>
        </w:tc>
        <w:tc>
          <w:tcPr>
            <w:tcW w:w="169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w:t>
            </w:r>
          </w:p>
        </w:tc>
        <w:tc>
          <w:tcPr>
            <w:tcW w:w="1709"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1"/>
              <w:jc w:val="right"/>
            </w:pPr>
            <w:r>
              <w:rPr>
                <w:rFonts w:ascii="Verdana" w:eastAsia="Verdana" w:hAnsi="Verdana" w:cs="Verdana"/>
                <w:sz w:val="18"/>
              </w:rPr>
              <w:t>(492)</w:t>
            </w:r>
          </w:p>
        </w:tc>
      </w:tr>
      <w:tr w:rsidR="00576F87">
        <w:trPr>
          <w:trHeight w:val="290"/>
        </w:trPr>
        <w:tc>
          <w:tcPr>
            <w:tcW w:w="4351"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At 31 March 2018</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w:t>
            </w:r>
          </w:p>
        </w:tc>
        <w:tc>
          <w:tcPr>
            <w:tcW w:w="169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b/>
                <w:sz w:val="18"/>
              </w:rPr>
              <w:t>513</w:t>
            </w:r>
          </w:p>
        </w:tc>
        <w:tc>
          <w:tcPr>
            <w:tcW w:w="1709"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1"/>
              <w:jc w:val="right"/>
            </w:pPr>
            <w:r>
              <w:rPr>
                <w:rFonts w:ascii="Verdana" w:eastAsia="Verdana" w:hAnsi="Verdana" w:cs="Verdana"/>
                <w:b/>
                <w:sz w:val="18"/>
              </w:rPr>
              <w:t>513</w:t>
            </w:r>
          </w:p>
        </w:tc>
      </w:tr>
      <w:tr w:rsidR="00576F87">
        <w:trPr>
          <w:trHeight w:val="290"/>
        </w:trPr>
        <w:tc>
          <w:tcPr>
            <w:tcW w:w="4351" w:type="dxa"/>
            <w:tcBorders>
              <w:top w:val="single" w:sz="8" w:space="0" w:color="35437C"/>
              <w:left w:val="single" w:sz="8" w:space="0" w:color="35437C"/>
              <w:bottom w:val="single" w:sz="8" w:space="0" w:color="35437C"/>
              <w:right w:val="single" w:sz="8" w:space="0" w:color="35437C"/>
            </w:tcBorders>
          </w:tcPr>
          <w:p w:rsidR="00576F87" w:rsidRDefault="00576F87"/>
        </w:tc>
        <w:tc>
          <w:tcPr>
            <w:tcW w:w="1562" w:type="dxa"/>
            <w:tcBorders>
              <w:top w:val="single" w:sz="8" w:space="0" w:color="35437C"/>
              <w:left w:val="single" w:sz="8" w:space="0" w:color="35437C"/>
              <w:bottom w:val="single" w:sz="8" w:space="0" w:color="35437C"/>
              <w:right w:val="single" w:sz="8" w:space="0" w:color="35437C"/>
            </w:tcBorders>
          </w:tcPr>
          <w:p w:rsidR="00576F87" w:rsidRDefault="00576F87"/>
        </w:tc>
        <w:tc>
          <w:tcPr>
            <w:tcW w:w="1692" w:type="dxa"/>
            <w:tcBorders>
              <w:top w:val="single" w:sz="8" w:space="0" w:color="35437C"/>
              <w:left w:val="single" w:sz="8" w:space="0" w:color="35437C"/>
              <w:bottom w:val="single" w:sz="8" w:space="0" w:color="35437C"/>
              <w:right w:val="single" w:sz="8" w:space="0" w:color="35437C"/>
            </w:tcBorders>
          </w:tcPr>
          <w:p w:rsidR="00576F87" w:rsidRDefault="00576F87"/>
        </w:tc>
        <w:tc>
          <w:tcPr>
            <w:tcW w:w="1709"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4351"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Amortisation</w:t>
            </w:r>
          </w:p>
        </w:tc>
        <w:tc>
          <w:tcPr>
            <w:tcW w:w="1562" w:type="dxa"/>
            <w:tcBorders>
              <w:top w:val="single" w:sz="8" w:space="0" w:color="35437C"/>
              <w:left w:val="single" w:sz="8" w:space="0" w:color="35437C"/>
              <w:bottom w:val="single" w:sz="8" w:space="0" w:color="35437C"/>
              <w:right w:val="single" w:sz="8" w:space="0" w:color="35437C"/>
            </w:tcBorders>
          </w:tcPr>
          <w:p w:rsidR="00576F87" w:rsidRDefault="00576F87"/>
        </w:tc>
        <w:tc>
          <w:tcPr>
            <w:tcW w:w="1692" w:type="dxa"/>
            <w:tcBorders>
              <w:top w:val="single" w:sz="8" w:space="0" w:color="35437C"/>
              <w:left w:val="single" w:sz="8" w:space="0" w:color="35437C"/>
              <w:bottom w:val="single" w:sz="8" w:space="0" w:color="35437C"/>
              <w:right w:val="single" w:sz="8" w:space="0" w:color="35437C"/>
            </w:tcBorders>
          </w:tcPr>
          <w:p w:rsidR="00576F87" w:rsidRDefault="00576F87"/>
        </w:tc>
        <w:tc>
          <w:tcPr>
            <w:tcW w:w="1709"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4351"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At 1 April 2017</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354</w:t>
            </w:r>
          </w:p>
        </w:tc>
        <w:tc>
          <w:tcPr>
            <w:tcW w:w="169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258</w:t>
            </w:r>
          </w:p>
        </w:tc>
        <w:tc>
          <w:tcPr>
            <w:tcW w:w="1709"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0"/>
              <w:jc w:val="right"/>
            </w:pPr>
            <w:r>
              <w:rPr>
                <w:rFonts w:ascii="Verdana" w:eastAsia="Verdana" w:hAnsi="Verdana" w:cs="Verdana"/>
                <w:sz w:val="18"/>
              </w:rPr>
              <w:t>612</w:t>
            </w:r>
          </w:p>
        </w:tc>
      </w:tr>
      <w:tr w:rsidR="00576F87">
        <w:trPr>
          <w:trHeight w:val="290"/>
        </w:trPr>
        <w:tc>
          <w:tcPr>
            <w:tcW w:w="435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Amortisation for the period</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0"/>
              <w:jc w:val="right"/>
            </w:pPr>
            <w:r>
              <w:rPr>
                <w:rFonts w:ascii="Verdana" w:eastAsia="Verdana" w:hAnsi="Verdana" w:cs="Verdana"/>
                <w:sz w:val="18"/>
              </w:rPr>
              <w:t>78</w:t>
            </w:r>
          </w:p>
        </w:tc>
        <w:tc>
          <w:tcPr>
            <w:tcW w:w="169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0"/>
              <w:jc w:val="right"/>
            </w:pPr>
            <w:r>
              <w:rPr>
                <w:rFonts w:ascii="Verdana" w:eastAsia="Verdana" w:hAnsi="Verdana" w:cs="Verdana"/>
                <w:sz w:val="18"/>
              </w:rPr>
              <w:t>54</w:t>
            </w:r>
          </w:p>
        </w:tc>
        <w:tc>
          <w:tcPr>
            <w:tcW w:w="1709"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1"/>
              <w:jc w:val="right"/>
            </w:pPr>
            <w:r>
              <w:rPr>
                <w:rFonts w:ascii="Verdana" w:eastAsia="Verdana" w:hAnsi="Verdana" w:cs="Verdana"/>
                <w:sz w:val="18"/>
              </w:rPr>
              <w:t>132</w:t>
            </w:r>
          </w:p>
        </w:tc>
      </w:tr>
      <w:tr w:rsidR="00576F87">
        <w:trPr>
          <w:trHeight w:val="290"/>
        </w:trPr>
        <w:tc>
          <w:tcPr>
            <w:tcW w:w="4351"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Disposals</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(432)</w:t>
            </w:r>
          </w:p>
        </w:tc>
        <w:tc>
          <w:tcPr>
            <w:tcW w:w="169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w:t>
            </w:r>
          </w:p>
        </w:tc>
        <w:tc>
          <w:tcPr>
            <w:tcW w:w="1709"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1"/>
              <w:jc w:val="right"/>
            </w:pPr>
            <w:r>
              <w:rPr>
                <w:rFonts w:ascii="Verdana" w:eastAsia="Verdana" w:hAnsi="Verdana" w:cs="Verdana"/>
                <w:sz w:val="18"/>
              </w:rPr>
              <w:t>(432)</w:t>
            </w:r>
          </w:p>
        </w:tc>
      </w:tr>
      <w:tr w:rsidR="00576F87">
        <w:trPr>
          <w:trHeight w:val="290"/>
        </w:trPr>
        <w:tc>
          <w:tcPr>
            <w:tcW w:w="4351"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At 31 March 2018</w:t>
            </w:r>
          </w:p>
        </w:tc>
        <w:tc>
          <w:tcPr>
            <w:tcW w:w="156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b/>
                <w:sz w:val="18"/>
              </w:rPr>
              <w:t>-</w:t>
            </w:r>
          </w:p>
        </w:tc>
        <w:tc>
          <w:tcPr>
            <w:tcW w:w="169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b/>
                <w:sz w:val="18"/>
              </w:rPr>
              <w:t>312</w:t>
            </w:r>
          </w:p>
        </w:tc>
        <w:tc>
          <w:tcPr>
            <w:tcW w:w="1709"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1"/>
              <w:jc w:val="right"/>
            </w:pPr>
            <w:r>
              <w:rPr>
                <w:rFonts w:ascii="Verdana" w:eastAsia="Verdana" w:hAnsi="Verdana" w:cs="Verdana"/>
                <w:b/>
                <w:sz w:val="18"/>
              </w:rPr>
              <w:t>312</w:t>
            </w:r>
          </w:p>
        </w:tc>
      </w:tr>
      <w:tr w:rsidR="00576F87">
        <w:trPr>
          <w:trHeight w:val="290"/>
        </w:trPr>
        <w:tc>
          <w:tcPr>
            <w:tcW w:w="4351"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Net Book Value</w:t>
            </w:r>
          </w:p>
        </w:tc>
        <w:tc>
          <w:tcPr>
            <w:tcW w:w="1562" w:type="dxa"/>
            <w:tcBorders>
              <w:top w:val="single" w:sz="8" w:space="0" w:color="35437C"/>
              <w:left w:val="single" w:sz="8" w:space="0" w:color="35437C"/>
              <w:bottom w:val="single" w:sz="8" w:space="0" w:color="35437C"/>
              <w:right w:val="single" w:sz="8" w:space="0" w:color="35437C"/>
            </w:tcBorders>
          </w:tcPr>
          <w:p w:rsidR="00576F87" w:rsidRDefault="00576F87"/>
        </w:tc>
        <w:tc>
          <w:tcPr>
            <w:tcW w:w="1692" w:type="dxa"/>
            <w:tcBorders>
              <w:top w:val="single" w:sz="8" w:space="0" w:color="35437C"/>
              <w:left w:val="single" w:sz="8" w:space="0" w:color="35437C"/>
              <w:bottom w:val="single" w:sz="8" w:space="0" w:color="35437C"/>
              <w:right w:val="single" w:sz="8" w:space="0" w:color="35437C"/>
            </w:tcBorders>
          </w:tcPr>
          <w:p w:rsidR="00576F87" w:rsidRDefault="00576F87"/>
        </w:tc>
        <w:tc>
          <w:tcPr>
            <w:tcW w:w="1709"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348"/>
        </w:trPr>
        <w:tc>
          <w:tcPr>
            <w:tcW w:w="4351" w:type="dxa"/>
            <w:tcBorders>
              <w:top w:val="single" w:sz="8" w:space="0" w:color="35437C"/>
              <w:left w:val="single" w:sz="15" w:space="0" w:color="35437C"/>
              <w:bottom w:val="single" w:sz="8" w:space="0" w:color="35437C"/>
              <w:right w:val="single" w:sz="8" w:space="0" w:color="35437C"/>
            </w:tcBorders>
            <w:shd w:val="clear" w:color="auto" w:fill="366092"/>
          </w:tcPr>
          <w:p w:rsidR="00576F87" w:rsidRDefault="004165F5">
            <w:pPr>
              <w:spacing w:after="0"/>
              <w:ind w:left="5"/>
            </w:pPr>
            <w:r>
              <w:rPr>
                <w:rFonts w:ascii="Verdana" w:eastAsia="Verdana" w:hAnsi="Verdana" w:cs="Verdana"/>
                <w:b/>
                <w:color w:val="FFFFFF"/>
                <w:sz w:val="18"/>
              </w:rPr>
              <w:t>At 31 March 2018</w:t>
            </w:r>
          </w:p>
        </w:tc>
        <w:tc>
          <w:tcPr>
            <w:tcW w:w="1562" w:type="dxa"/>
            <w:tcBorders>
              <w:top w:val="single" w:sz="8" w:space="0" w:color="35437C"/>
              <w:left w:val="single" w:sz="8" w:space="0" w:color="35437C"/>
              <w:bottom w:val="single" w:sz="8" w:space="0" w:color="35437C"/>
              <w:right w:val="single" w:sz="8" w:space="0" w:color="35437C"/>
            </w:tcBorders>
            <w:shd w:val="clear" w:color="auto" w:fill="366092"/>
          </w:tcPr>
          <w:p w:rsidR="00576F87" w:rsidRDefault="004165F5">
            <w:pPr>
              <w:spacing w:after="0"/>
              <w:ind w:right="38"/>
              <w:jc w:val="right"/>
            </w:pPr>
            <w:r>
              <w:rPr>
                <w:rFonts w:ascii="Verdana" w:eastAsia="Verdana" w:hAnsi="Verdana" w:cs="Verdana"/>
                <w:b/>
                <w:color w:val="FFFFFF"/>
                <w:sz w:val="18"/>
              </w:rPr>
              <w:t>-</w:t>
            </w:r>
          </w:p>
        </w:tc>
        <w:tc>
          <w:tcPr>
            <w:tcW w:w="1692" w:type="dxa"/>
            <w:tcBorders>
              <w:top w:val="single" w:sz="8" w:space="0" w:color="35437C"/>
              <w:left w:val="single" w:sz="8" w:space="0" w:color="35437C"/>
              <w:bottom w:val="single" w:sz="8" w:space="0" w:color="35437C"/>
              <w:right w:val="single" w:sz="15" w:space="0" w:color="35437C"/>
            </w:tcBorders>
            <w:shd w:val="clear" w:color="auto" w:fill="366092"/>
          </w:tcPr>
          <w:p w:rsidR="00576F87" w:rsidRDefault="004165F5">
            <w:pPr>
              <w:spacing w:after="0"/>
              <w:ind w:right="36"/>
              <w:jc w:val="right"/>
            </w:pPr>
            <w:r>
              <w:rPr>
                <w:rFonts w:ascii="Verdana" w:eastAsia="Verdana" w:hAnsi="Verdana" w:cs="Verdana"/>
                <w:b/>
                <w:color w:val="FFFFFF"/>
                <w:sz w:val="18"/>
              </w:rPr>
              <w:t>201</w:t>
            </w:r>
          </w:p>
        </w:tc>
        <w:tc>
          <w:tcPr>
            <w:tcW w:w="1709" w:type="dxa"/>
            <w:tcBorders>
              <w:top w:val="single" w:sz="8" w:space="0" w:color="35437C"/>
              <w:left w:val="single" w:sz="15" w:space="0" w:color="35437C"/>
              <w:bottom w:val="single" w:sz="8" w:space="0" w:color="35437C"/>
              <w:right w:val="single" w:sz="8" w:space="0" w:color="35437C"/>
            </w:tcBorders>
            <w:shd w:val="clear" w:color="auto" w:fill="366092"/>
          </w:tcPr>
          <w:p w:rsidR="00576F87" w:rsidRDefault="004165F5">
            <w:pPr>
              <w:spacing w:after="0"/>
              <w:ind w:right="36"/>
              <w:jc w:val="right"/>
            </w:pPr>
            <w:r>
              <w:rPr>
                <w:rFonts w:ascii="Verdana" w:eastAsia="Verdana" w:hAnsi="Verdana" w:cs="Verdana"/>
                <w:b/>
                <w:color w:val="FFFFFF"/>
                <w:sz w:val="18"/>
              </w:rPr>
              <w:t>201</w:t>
            </w:r>
          </w:p>
        </w:tc>
      </w:tr>
      <w:tr w:rsidR="00576F87">
        <w:trPr>
          <w:trHeight w:val="348"/>
        </w:trPr>
        <w:tc>
          <w:tcPr>
            <w:tcW w:w="4351" w:type="dxa"/>
            <w:tcBorders>
              <w:top w:val="single" w:sz="8" w:space="0" w:color="35437C"/>
              <w:left w:val="single" w:sz="15" w:space="0" w:color="35437C"/>
              <w:bottom w:val="single" w:sz="15" w:space="0" w:color="35437C"/>
              <w:right w:val="single" w:sz="8" w:space="0" w:color="35437C"/>
            </w:tcBorders>
            <w:shd w:val="clear" w:color="auto" w:fill="366092"/>
          </w:tcPr>
          <w:p w:rsidR="00576F87" w:rsidRDefault="004165F5">
            <w:pPr>
              <w:spacing w:after="0"/>
              <w:ind w:left="5"/>
            </w:pPr>
            <w:r>
              <w:rPr>
                <w:rFonts w:ascii="Verdana" w:eastAsia="Verdana" w:hAnsi="Verdana" w:cs="Verdana"/>
                <w:b/>
                <w:color w:val="FFFFFF"/>
                <w:sz w:val="18"/>
              </w:rPr>
              <w:t>At 31 March 2017</w:t>
            </w:r>
          </w:p>
        </w:tc>
        <w:tc>
          <w:tcPr>
            <w:tcW w:w="1562" w:type="dxa"/>
            <w:tcBorders>
              <w:top w:val="single" w:sz="8" w:space="0" w:color="35437C"/>
              <w:left w:val="single" w:sz="8" w:space="0" w:color="35437C"/>
              <w:bottom w:val="single" w:sz="15" w:space="0" w:color="35437C"/>
              <w:right w:val="single" w:sz="8" w:space="0" w:color="35437C"/>
            </w:tcBorders>
            <w:shd w:val="clear" w:color="auto" w:fill="366092"/>
          </w:tcPr>
          <w:p w:rsidR="00576F87" w:rsidRDefault="004165F5">
            <w:pPr>
              <w:spacing w:after="0"/>
              <w:ind w:right="36"/>
              <w:jc w:val="right"/>
            </w:pPr>
            <w:r>
              <w:rPr>
                <w:rFonts w:ascii="Verdana" w:eastAsia="Verdana" w:hAnsi="Verdana" w:cs="Verdana"/>
                <w:b/>
                <w:color w:val="FFFFFF"/>
                <w:sz w:val="18"/>
              </w:rPr>
              <w:t>138</w:t>
            </w:r>
          </w:p>
        </w:tc>
        <w:tc>
          <w:tcPr>
            <w:tcW w:w="1692" w:type="dxa"/>
            <w:tcBorders>
              <w:top w:val="single" w:sz="8" w:space="0" w:color="35437C"/>
              <w:left w:val="single" w:sz="8" w:space="0" w:color="35437C"/>
              <w:bottom w:val="single" w:sz="15" w:space="0" w:color="35437C"/>
              <w:right w:val="single" w:sz="15" w:space="0" w:color="35437C"/>
            </w:tcBorders>
            <w:shd w:val="clear" w:color="auto" w:fill="366092"/>
          </w:tcPr>
          <w:p w:rsidR="00576F87" w:rsidRDefault="004165F5">
            <w:pPr>
              <w:spacing w:after="0"/>
              <w:ind w:right="36"/>
              <w:jc w:val="right"/>
            </w:pPr>
            <w:r>
              <w:rPr>
                <w:rFonts w:ascii="Verdana" w:eastAsia="Verdana" w:hAnsi="Verdana" w:cs="Verdana"/>
                <w:b/>
                <w:color w:val="FFFFFF"/>
                <w:sz w:val="18"/>
              </w:rPr>
              <w:t>255</w:t>
            </w:r>
          </w:p>
        </w:tc>
        <w:tc>
          <w:tcPr>
            <w:tcW w:w="1709" w:type="dxa"/>
            <w:tcBorders>
              <w:top w:val="single" w:sz="8" w:space="0" w:color="35437C"/>
              <w:left w:val="single" w:sz="15" w:space="0" w:color="35437C"/>
              <w:bottom w:val="single" w:sz="15" w:space="0" w:color="35437C"/>
              <w:right w:val="single" w:sz="8" w:space="0" w:color="35437C"/>
            </w:tcBorders>
            <w:shd w:val="clear" w:color="auto" w:fill="366092"/>
          </w:tcPr>
          <w:p w:rsidR="00576F87" w:rsidRDefault="004165F5">
            <w:pPr>
              <w:spacing w:after="0"/>
              <w:ind w:right="36"/>
              <w:jc w:val="right"/>
            </w:pPr>
            <w:r>
              <w:rPr>
                <w:rFonts w:ascii="Verdana" w:eastAsia="Verdana" w:hAnsi="Verdana" w:cs="Verdana"/>
                <w:b/>
                <w:color w:val="FFFFFF"/>
                <w:sz w:val="18"/>
              </w:rPr>
              <w:t>393</w:t>
            </w:r>
          </w:p>
        </w:tc>
      </w:tr>
    </w:tbl>
    <w:p w:rsidR="00576F87" w:rsidRDefault="004165F5">
      <w:pPr>
        <w:numPr>
          <w:ilvl w:val="0"/>
          <w:numId w:val="17"/>
        </w:numPr>
        <w:spacing w:after="0"/>
        <w:ind w:hanging="1386"/>
      </w:pPr>
      <w:r>
        <w:rPr>
          <w:rFonts w:ascii="Verdana" w:eastAsia="Verdana" w:hAnsi="Verdana" w:cs="Verdana"/>
          <w:sz w:val="28"/>
        </w:rPr>
        <w:t>Adjustment for Non-Cash Items</w:t>
      </w:r>
    </w:p>
    <w:tbl>
      <w:tblPr>
        <w:tblStyle w:val="TableGrid"/>
        <w:tblW w:w="9847" w:type="dxa"/>
        <w:tblInd w:w="502" w:type="dxa"/>
        <w:tblCellMar>
          <w:top w:w="46" w:type="dxa"/>
          <w:left w:w="38" w:type="dxa"/>
          <w:bottom w:w="0" w:type="dxa"/>
          <w:right w:w="32" w:type="dxa"/>
        </w:tblCellMar>
        <w:tblLook w:val="04A0" w:firstRow="1" w:lastRow="0" w:firstColumn="1" w:lastColumn="0" w:noHBand="0" w:noVBand="1"/>
      </w:tblPr>
      <w:tblGrid>
        <w:gridCol w:w="1322"/>
        <w:gridCol w:w="1322"/>
        <w:gridCol w:w="4721"/>
        <w:gridCol w:w="1258"/>
        <w:gridCol w:w="1224"/>
      </w:tblGrid>
      <w:tr w:rsidR="00576F87">
        <w:trPr>
          <w:trHeight w:val="290"/>
        </w:trPr>
        <w:tc>
          <w:tcPr>
            <w:tcW w:w="1322" w:type="dxa"/>
            <w:tcBorders>
              <w:top w:val="single" w:sz="15" w:space="0" w:color="35437C"/>
              <w:left w:val="single" w:sz="15" w:space="0" w:color="35437C"/>
              <w:bottom w:val="single" w:sz="8" w:space="0" w:color="35437C"/>
              <w:right w:val="single" w:sz="8" w:space="0" w:color="35437C"/>
            </w:tcBorders>
            <w:shd w:val="clear" w:color="auto" w:fill="366092"/>
          </w:tcPr>
          <w:p w:rsidR="00576F87" w:rsidRDefault="004165F5">
            <w:pPr>
              <w:spacing w:after="0"/>
              <w:ind w:right="3"/>
              <w:jc w:val="right"/>
            </w:pPr>
            <w:r>
              <w:rPr>
                <w:rFonts w:ascii="Verdana" w:eastAsia="Verdana" w:hAnsi="Verdana" w:cs="Verdana"/>
                <w:b/>
                <w:color w:val="FFFFFF"/>
                <w:sz w:val="18"/>
              </w:rPr>
              <w:t>2016/17</w:t>
            </w:r>
          </w:p>
        </w:tc>
        <w:tc>
          <w:tcPr>
            <w:tcW w:w="1322" w:type="dxa"/>
            <w:tcBorders>
              <w:top w:val="single" w:sz="15" w:space="0" w:color="35437C"/>
              <w:left w:val="single" w:sz="8" w:space="0" w:color="35437C"/>
              <w:bottom w:val="single" w:sz="8" w:space="0" w:color="35437C"/>
              <w:right w:val="single" w:sz="8" w:space="0" w:color="35437C"/>
            </w:tcBorders>
            <w:shd w:val="clear" w:color="auto" w:fill="366092"/>
          </w:tcPr>
          <w:p w:rsidR="00576F87" w:rsidRDefault="004165F5">
            <w:pPr>
              <w:spacing w:after="0"/>
              <w:ind w:right="3"/>
              <w:jc w:val="right"/>
            </w:pPr>
            <w:r>
              <w:rPr>
                <w:rFonts w:ascii="Verdana" w:eastAsia="Verdana" w:hAnsi="Verdana" w:cs="Verdana"/>
                <w:b/>
                <w:color w:val="FFFFFF"/>
                <w:sz w:val="18"/>
              </w:rPr>
              <w:t>2016/17</w:t>
            </w:r>
          </w:p>
        </w:tc>
        <w:tc>
          <w:tcPr>
            <w:tcW w:w="4721" w:type="dxa"/>
            <w:tcBorders>
              <w:top w:val="single" w:sz="15" w:space="0" w:color="35437C"/>
              <w:left w:val="single" w:sz="8" w:space="0" w:color="35437C"/>
              <w:bottom w:val="single" w:sz="8" w:space="0" w:color="35437C"/>
              <w:right w:val="single" w:sz="8" w:space="0" w:color="35437C"/>
            </w:tcBorders>
            <w:shd w:val="clear" w:color="auto" w:fill="366092"/>
          </w:tcPr>
          <w:p w:rsidR="00576F87" w:rsidRDefault="00576F87"/>
        </w:tc>
        <w:tc>
          <w:tcPr>
            <w:tcW w:w="1258" w:type="dxa"/>
            <w:tcBorders>
              <w:top w:val="single" w:sz="15" w:space="0" w:color="35437C"/>
              <w:left w:val="single" w:sz="8" w:space="0" w:color="35437C"/>
              <w:bottom w:val="single" w:sz="8" w:space="0" w:color="35437C"/>
              <w:right w:val="single" w:sz="8" w:space="0" w:color="35437C"/>
            </w:tcBorders>
            <w:shd w:val="clear" w:color="auto" w:fill="366092"/>
          </w:tcPr>
          <w:p w:rsidR="00576F87" w:rsidRDefault="004165F5">
            <w:pPr>
              <w:spacing w:after="0"/>
              <w:ind w:right="3"/>
              <w:jc w:val="right"/>
            </w:pPr>
            <w:r>
              <w:rPr>
                <w:rFonts w:ascii="Verdana" w:eastAsia="Verdana" w:hAnsi="Verdana" w:cs="Verdana"/>
                <w:b/>
                <w:color w:val="FFFFFF"/>
                <w:sz w:val="18"/>
              </w:rPr>
              <w:t>2017/18</w:t>
            </w:r>
          </w:p>
        </w:tc>
        <w:tc>
          <w:tcPr>
            <w:tcW w:w="1224" w:type="dxa"/>
            <w:tcBorders>
              <w:top w:val="single" w:sz="15" w:space="0" w:color="35437C"/>
              <w:left w:val="single" w:sz="8" w:space="0" w:color="35437C"/>
              <w:bottom w:val="single" w:sz="8" w:space="0" w:color="35437C"/>
              <w:right w:val="single" w:sz="15" w:space="0" w:color="35437C"/>
            </w:tcBorders>
            <w:shd w:val="clear" w:color="auto" w:fill="366092"/>
          </w:tcPr>
          <w:p w:rsidR="00576F87" w:rsidRDefault="004165F5">
            <w:pPr>
              <w:spacing w:after="0"/>
              <w:ind w:right="3"/>
              <w:jc w:val="right"/>
            </w:pPr>
            <w:r>
              <w:rPr>
                <w:rFonts w:ascii="Verdana" w:eastAsia="Verdana" w:hAnsi="Verdana" w:cs="Verdana"/>
                <w:b/>
                <w:color w:val="FFFFFF"/>
                <w:sz w:val="18"/>
              </w:rPr>
              <w:t>2017/18</w:t>
            </w:r>
          </w:p>
        </w:tc>
      </w:tr>
      <w:tr w:rsidR="00576F87">
        <w:trPr>
          <w:trHeight w:val="290"/>
        </w:trPr>
        <w:tc>
          <w:tcPr>
            <w:tcW w:w="1322" w:type="dxa"/>
            <w:tcBorders>
              <w:top w:val="single" w:sz="8" w:space="0" w:color="35437C"/>
              <w:left w:val="single" w:sz="15" w:space="0" w:color="35437C"/>
              <w:bottom w:val="single" w:sz="8" w:space="0" w:color="35437C"/>
              <w:right w:val="single" w:sz="8" w:space="0" w:color="35437C"/>
            </w:tcBorders>
            <w:shd w:val="clear" w:color="auto" w:fill="366092"/>
          </w:tcPr>
          <w:p w:rsidR="00576F87" w:rsidRDefault="004165F5">
            <w:pPr>
              <w:spacing w:after="0"/>
              <w:ind w:right="5"/>
              <w:jc w:val="right"/>
            </w:pPr>
            <w:r>
              <w:rPr>
                <w:rFonts w:ascii="Verdana" w:eastAsia="Verdana" w:hAnsi="Verdana" w:cs="Verdana"/>
                <w:b/>
                <w:color w:val="FFFFFF"/>
                <w:sz w:val="18"/>
              </w:rPr>
              <w:t>Entity</w:t>
            </w:r>
          </w:p>
        </w:tc>
        <w:tc>
          <w:tcPr>
            <w:tcW w:w="1322" w:type="dxa"/>
            <w:tcBorders>
              <w:top w:val="single" w:sz="8" w:space="0" w:color="35437C"/>
              <w:left w:val="single" w:sz="8" w:space="0" w:color="35437C"/>
              <w:bottom w:val="single" w:sz="8" w:space="0" w:color="35437C"/>
              <w:right w:val="single" w:sz="8" w:space="0" w:color="35437C"/>
            </w:tcBorders>
            <w:shd w:val="clear" w:color="auto" w:fill="366092"/>
          </w:tcPr>
          <w:p w:rsidR="00576F87" w:rsidRDefault="004165F5">
            <w:pPr>
              <w:spacing w:after="0"/>
              <w:ind w:right="3"/>
              <w:jc w:val="right"/>
            </w:pPr>
            <w:r>
              <w:rPr>
                <w:rFonts w:ascii="Verdana" w:eastAsia="Verdana" w:hAnsi="Verdana" w:cs="Verdana"/>
                <w:b/>
                <w:color w:val="FFFFFF"/>
                <w:sz w:val="18"/>
              </w:rPr>
              <w:t>Group</w:t>
            </w:r>
          </w:p>
        </w:tc>
        <w:tc>
          <w:tcPr>
            <w:tcW w:w="4721" w:type="dxa"/>
            <w:tcBorders>
              <w:top w:val="single" w:sz="8" w:space="0" w:color="35437C"/>
              <w:left w:val="single" w:sz="8" w:space="0" w:color="35437C"/>
              <w:bottom w:val="single" w:sz="8" w:space="0" w:color="35437C"/>
              <w:right w:val="single" w:sz="8" w:space="0" w:color="35437C"/>
            </w:tcBorders>
            <w:shd w:val="clear" w:color="auto" w:fill="366092"/>
          </w:tcPr>
          <w:p w:rsidR="00576F87" w:rsidRDefault="00576F87"/>
        </w:tc>
        <w:tc>
          <w:tcPr>
            <w:tcW w:w="1258" w:type="dxa"/>
            <w:tcBorders>
              <w:top w:val="single" w:sz="8" w:space="0" w:color="35437C"/>
              <w:left w:val="single" w:sz="8" w:space="0" w:color="35437C"/>
              <w:bottom w:val="single" w:sz="8" w:space="0" w:color="35437C"/>
              <w:right w:val="single" w:sz="8" w:space="0" w:color="35437C"/>
            </w:tcBorders>
            <w:shd w:val="clear" w:color="auto" w:fill="366092"/>
          </w:tcPr>
          <w:p w:rsidR="00576F87" w:rsidRDefault="004165F5">
            <w:pPr>
              <w:spacing w:after="0"/>
              <w:ind w:right="5"/>
              <w:jc w:val="right"/>
            </w:pPr>
            <w:r>
              <w:rPr>
                <w:rFonts w:ascii="Verdana" w:eastAsia="Verdana" w:hAnsi="Verdana" w:cs="Verdana"/>
                <w:b/>
                <w:color w:val="FFFFFF"/>
                <w:sz w:val="18"/>
              </w:rPr>
              <w:t>Entity</w:t>
            </w:r>
          </w:p>
        </w:tc>
        <w:tc>
          <w:tcPr>
            <w:tcW w:w="1224" w:type="dxa"/>
            <w:tcBorders>
              <w:top w:val="single" w:sz="8" w:space="0" w:color="35437C"/>
              <w:left w:val="single" w:sz="8" w:space="0" w:color="35437C"/>
              <w:bottom w:val="single" w:sz="8" w:space="0" w:color="35437C"/>
              <w:right w:val="single" w:sz="15" w:space="0" w:color="35437C"/>
            </w:tcBorders>
            <w:shd w:val="clear" w:color="auto" w:fill="366092"/>
          </w:tcPr>
          <w:p w:rsidR="00576F87" w:rsidRDefault="004165F5">
            <w:pPr>
              <w:spacing w:after="0"/>
              <w:ind w:right="3"/>
              <w:jc w:val="right"/>
            </w:pPr>
            <w:r>
              <w:rPr>
                <w:rFonts w:ascii="Verdana" w:eastAsia="Verdana" w:hAnsi="Verdana" w:cs="Verdana"/>
                <w:b/>
                <w:color w:val="FFFFFF"/>
                <w:sz w:val="18"/>
              </w:rPr>
              <w:t>Group</w:t>
            </w:r>
          </w:p>
        </w:tc>
      </w:tr>
      <w:tr w:rsidR="00576F87">
        <w:trPr>
          <w:trHeight w:val="276"/>
        </w:trPr>
        <w:tc>
          <w:tcPr>
            <w:tcW w:w="1322" w:type="dxa"/>
            <w:tcBorders>
              <w:top w:val="single" w:sz="8" w:space="0" w:color="35437C"/>
              <w:left w:val="single" w:sz="15" w:space="0" w:color="35437C"/>
              <w:bottom w:val="single" w:sz="8" w:space="0" w:color="35437C"/>
              <w:right w:val="single" w:sz="8" w:space="0" w:color="35437C"/>
            </w:tcBorders>
            <w:shd w:val="clear" w:color="auto" w:fill="FFFFFF"/>
          </w:tcPr>
          <w:p w:rsidR="00576F87" w:rsidRDefault="004165F5">
            <w:pPr>
              <w:spacing w:after="0"/>
              <w:ind w:right="9"/>
              <w:jc w:val="right"/>
            </w:pPr>
            <w:r>
              <w:rPr>
                <w:b/>
              </w:rPr>
              <w:t>£'000</w:t>
            </w:r>
          </w:p>
        </w:tc>
        <w:tc>
          <w:tcPr>
            <w:tcW w:w="13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9"/>
              <w:jc w:val="right"/>
            </w:pPr>
            <w:r>
              <w:rPr>
                <w:b/>
              </w:rPr>
              <w:t>£'000</w:t>
            </w:r>
          </w:p>
        </w:tc>
        <w:tc>
          <w:tcPr>
            <w:tcW w:w="4721"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258"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9"/>
              <w:jc w:val="right"/>
            </w:pPr>
            <w:r>
              <w:rPr>
                <w:b/>
              </w:rPr>
              <w:t>£'000</w:t>
            </w:r>
          </w:p>
        </w:tc>
        <w:tc>
          <w:tcPr>
            <w:tcW w:w="1224" w:type="dxa"/>
            <w:tcBorders>
              <w:top w:val="single" w:sz="8" w:space="0" w:color="35437C"/>
              <w:left w:val="single" w:sz="15" w:space="0" w:color="35437C"/>
              <w:bottom w:val="single" w:sz="8" w:space="0" w:color="35437C"/>
              <w:right w:val="single" w:sz="15" w:space="0" w:color="35437C"/>
            </w:tcBorders>
            <w:shd w:val="clear" w:color="auto" w:fill="FFFFFF"/>
          </w:tcPr>
          <w:p w:rsidR="00576F87" w:rsidRDefault="004165F5">
            <w:pPr>
              <w:spacing w:after="0"/>
              <w:ind w:right="9"/>
              <w:jc w:val="right"/>
            </w:pPr>
            <w:r>
              <w:rPr>
                <w:b/>
              </w:rPr>
              <w:t>£'000</w:t>
            </w:r>
          </w:p>
        </w:tc>
      </w:tr>
      <w:tr w:rsidR="00576F87">
        <w:trPr>
          <w:trHeight w:val="276"/>
        </w:trPr>
        <w:tc>
          <w:tcPr>
            <w:tcW w:w="1322" w:type="dxa"/>
            <w:tcBorders>
              <w:top w:val="single" w:sz="8" w:space="0" w:color="35437C"/>
              <w:left w:val="single" w:sz="15" w:space="0" w:color="35437C"/>
              <w:bottom w:val="single" w:sz="8" w:space="0" w:color="35437C"/>
              <w:right w:val="single" w:sz="8" w:space="0" w:color="35437C"/>
            </w:tcBorders>
            <w:shd w:val="clear" w:color="auto" w:fill="FFFFFF"/>
          </w:tcPr>
          <w:p w:rsidR="00576F87" w:rsidRDefault="004165F5">
            <w:pPr>
              <w:spacing w:after="0"/>
              <w:ind w:right="3"/>
              <w:jc w:val="right"/>
            </w:pPr>
            <w:r>
              <w:rPr>
                <w:rFonts w:ascii="Verdana" w:eastAsia="Verdana" w:hAnsi="Verdana" w:cs="Verdana"/>
                <w:sz w:val="18"/>
              </w:rPr>
              <w:t>26</w:t>
            </w:r>
          </w:p>
        </w:tc>
        <w:tc>
          <w:tcPr>
            <w:tcW w:w="13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3"/>
              <w:jc w:val="right"/>
            </w:pPr>
            <w:r>
              <w:rPr>
                <w:rFonts w:ascii="Verdana" w:eastAsia="Verdana" w:hAnsi="Verdana" w:cs="Verdana"/>
                <w:sz w:val="18"/>
              </w:rPr>
              <w:t>26</w:t>
            </w:r>
          </w:p>
        </w:tc>
        <w:tc>
          <w:tcPr>
            <w:tcW w:w="4721"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rPr>
                <w:rFonts w:ascii="Verdana" w:eastAsia="Verdana" w:hAnsi="Verdana" w:cs="Verdana"/>
                <w:sz w:val="18"/>
              </w:rPr>
              <w:t>Depreciation</w:t>
            </w:r>
          </w:p>
        </w:tc>
        <w:tc>
          <w:tcPr>
            <w:tcW w:w="1258"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3"/>
              <w:jc w:val="right"/>
            </w:pPr>
            <w:r>
              <w:rPr>
                <w:rFonts w:ascii="Verdana" w:eastAsia="Verdana" w:hAnsi="Verdana" w:cs="Verdana"/>
                <w:sz w:val="18"/>
              </w:rPr>
              <w:t>23</w:t>
            </w:r>
          </w:p>
        </w:tc>
        <w:tc>
          <w:tcPr>
            <w:tcW w:w="122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3"/>
              <w:jc w:val="right"/>
            </w:pPr>
            <w:r>
              <w:rPr>
                <w:rFonts w:ascii="Verdana" w:eastAsia="Verdana" w:hAnsi="Verdana" w:cs="Verdana"/>
                <w:sz w:val="18"/>
              </w:rPr>
              <w:t>23</w:t>
            </w:r>
          </w:p>
        </w:tc>
      </w:tr>
      <w:tr w:rsidR="00576F87">
        <w:trPr>
          <w:trHeight w:val="276"/>
        </w:trPr>
        <w:tc>
          <w:tcPr>
            <w:tcW w:w="1322" w:type="dxa"/>
            <w:tcBorders>
              <w:top w:val="single" w:sz="8" w:space="0" w:color="35437C"/>
              <w:left w:val="single" w:sz="15" w:space="0" w:color="35437C"/>
              <w:bottom w:val="single" w:sz="8" w:space="0" w:color="35437C"/>
              <w:right w:val="single" w:sz="8" w:space="0" w:color="35437C"/>
            </w:tcBorders>
            <w:shd w:val="clear" w:color="auto" w:fill="FFFFFF"/>
          </w:tcPr>
          <w:p w:rsidR="00576F87" w:rsidRDefault="004165F5">
            <w:pPr>
              <w:spacing w:after="0"/>
              <w:ind w:right="4"/>
              <w:jc w:val="right"/>
            </w:pPr>
            <w:r>
              <w:rPr>
                <w:rFonts w:ascii="Verdana" w:eastAsia="Verdana" w:hAnsi="Verdana" w:cs="Verdana"/>
                <w:sz w:val="18"/>
              </w:rPr>
              <w:t>161</w:t>
            </w:r>
          </w:p>
        </w:tc>
        <w:tc>
          <w:tcPr>
            <w:tcW w:w="13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4"/>
              <w:jc w:val="right"/>
            </w:pPr>
            <w:r>
              <w:rPr>
                <w:rFonts w:ascii="Verdana" w:eastAsia="Verdana" w:hAnsi="Verdana" w:cs="Verdana"/>
                <w:sz w:val="18"/>
              </w:rPr>
              <w:t>161</w:t>
            </w:r>
          </w:p>
        </w:tc>
        <w:tc>
          <w:tcPr>
            <w:tcW w:w="4721"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rPr>
                <w:rFonts w:ascii="Verdana" w:eastAsia="Verdana" w:hAnsi="Verdana" w:cs="Verdana"/>
                <w:sz w:val="18"/>
              </w:rPr>
              <w:t>Amortisation of intangibles</w:t>
            </w:r>
          </w:p>
        </w:tc>
        <w:tc>
          <w:tcPr>
            <w:tcW w:w="1258"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4"/>
              <w:jc w:val="right"/>
            </w:pPr>
            <w:r>
              <w:rPr>
                <w:rFonts w:ascii="Verdana" w:eastAsia="Verdana" w:hAnsi="Verdana" w:cs="Verdana"/>
                <w:sz w:val="18"/>
              </w:rPr>
              <w:t>132</w:t>
            </w:r>
          </w:p>
        </w:tc>
        <w:tc>
          <w:tcPr>
            <w:tcW w:w="122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4"/>
              <w:jc w:val="right"/>
            </w:pPr>
            <w:r>
              <w:rPr>
                <w:rFonts w:ascii="Verdana" w:eastAsia="Verdana" w:hAnsi="Verdana" w:cs="Verdana"/>
                <w:sz w:val="18"/>
              </w:rPr>
              <w:t>132</w:t>
            </w:r>
          </w:p>
        </w:tc>
      </w:tr>
      <w:tr w:rsidR="00576F87">
        <w:trPr>
          <w:trHeight w:val="276"/>
        </w:trPr>
        <w:tc>
          <w:tcPr>
            <w:tcW w:w="1322" w:type="dxa"/>
            <w:tcBorders>
              <w:top w:val="single" w:sz="8" w:space="0" w:color="35437C"/>
              <w:left w:val="single" w:sz="15"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w:t>
            </w:r>
          </w:p>
        </w:tc>
        <w:tc>
          <w:tcPr>
            <w:tcW w:w="13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w:t>
            </w:r>
          </w:p>
        </w:tc>
        <w:tc>
          <w:tcPr>
            <w:tcW w:w="4721"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rPr>
                <w:rFonts w:ascii="Verdana" w:eastAsia="Verdana" w:hAnsi="Verdana" w:cs="Verdana"/>
                <w:sz w:val="18"/>
              </w:rPr>
              <w:t>Loss on disposal of fixed assets</w:t>
            </w:r>
          </w:p>
        </w:tc>
        <w:tc>
          <w:tcPr>
            <w:tcW w:w="1258"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8"/>
              <w:jc w:val="right"/>
            </w:pPr>
            <w:r>
              <w:t>92</w:t>
            </w:r>
          </w:p>
        </w:tc>
        <w:tc>
          <w:tcPr>
            <w:tcW w:w="122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8"/>
              <w:jc w:val="right"/>
            </w:pPr>
            <w:r>
              <w:t>92</w:t>
            </w:r>
          </w:p>
        </w:tc>
      </w:tr>
      <w:tr w:rsidR="00576F87">
        <w:trPr>
          <w:trHeight w:val="276"/>
        </w:trPr>
        <w:tc>
          <w:tcPr>
            <w:tcW w:w="1322" w:type="dxa"/>
            <w:tcBorders>
              <w:top w:val="single" w:sz="8" w:space="0" w:color="35437C"/>
              <w:left w:val="single" w:sz="15" w:space="0" w:color="35437C"/>
              <w:bottom w:val="single" w:sz="8" w:space="0" w:color="35437C"/>
              <w:right w:val="single" w:sz="8" w:space="0" w:color="35437C"/>
            </w:tcBorders>
            <w:shd w:val="clear" w:color="auto" w:fill="FFFFFF"/>
          </w:tcPr>
          <w:p w:rsidR="00576F87" w:rsidRDefault="00576F87"/>
        </w:tc>
        <w:tc>
          <w:tcPr>
            <w:tcW w:w="13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4"/>
              <w:jc w:val="right"/>
            </w:pPr>
            <w:r>
              <w:rPr>
                <w:rFonts w:ascii="Verdana" w:eastAsia="Verdana" w:hAnsi="Verdana" w:cs="Verdana"/>
                <w:sz w:val="18"/>
              </w:rPr>
              <w:t>2,308</w:t>
            </w:r>
          </w:p>
        </w:tc>
        <w:tc>
          <w:tcPr>
            <w:tcW w:w="4721"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rPr>
                <w:rFonts w:ascii="Verdana" w:eastAsia="Verdana" w:hAnsi="Verdana" w:cs="Verdana"/>
                <w:sz w:val="18"/>
              </w:rPr>
              <w:t>Reverse share of profit/ loss in joint venture</w:t>
            </w:r>
          </w:p>
        </w:tc>
        <w:tc>
          <w:tcPr>
            <w:tcW w:w="1258"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22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2"/>
              <w:jc w:val="right"/>
            </w:pPr>
            <w:r>
              <w:rPr>
                <w:rFonts w:ascii="Verdana" w:eastAsia="Verdana" w:hAnsi="Verdana" w:cs="Verdana"/>
                <w:sz w:val="18"/>
              </w:rPr>
              <w:t>1,055</w:t>
            </w:r>
          </w:p>
        </w:tc>
      </w:tr>
      <w:tr w:rsidR="00576F87">
        <w:trPr>
          <w:trHeight w:val="276"/>
        </w:trPr>
        <w:tc>
          <w:tcPr>
            <w:tcW w:w="1322" w:type="dxa"/>
            <w:tcBorders>
              <w:top w:val="single" w:sz="8" w:space="0" w:color="35437C"/>
              <w:left w:val="single" w:sz="15"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w:t>
            </w:r>
          </w:p>
        </w:tc>
        <w:tc>
          <w:tcPr>
            <w:tcW w:w="13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w:t>
            </w:r>
          </w:p>
        </w:tc>
        <w:tc>
          <w:tcPr>
            <w:tcW w:w="4721"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rPr>
                <w:rFonts w:ascii="Verdana" w:eastAsia="Verdana" w:hAnsi="Verdana" w:cs="Verdana"/>
                <w:sz w:val="18"/>
              </w:rPr>
              <w:t>Revaluation of PPE</w:t>
            </w:r>
          </w:p>
        </w:tc>
        <w:tc>
          <w:tcPr>
            <w:tcW w:w="1258"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1"/>
              <w:jc w:val="right"/>
            </w:pPr>
            <w:r>
              <w:rPr>
                <w:rFonts w:ascii="Verdana" w:eastAsia="Verdana" w:hAnsi="Verdana" w:cs="Verdana"/>
                <w:sz w:val="18"/>
              </w:rPr>
              <w:t>-</w:t>
            </w:r>
          </w:p>
        </w:tc>
        <w:tc>
          <w:tcPr>
            <w:tcW w:w="122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1"/>
              <w:jc w:val="right"/>
            </w:pPr>
            <w:r>
              <w:rPr>
                <w:rFonts w:ascii="Verdana" w:eastAsia="Verdana" w:hAnsi="Verdana" w:cs="Verdana"/>
                <w:sz w:val="18"/>
              </w:rPr>
              <w:t>-</w:t>
            </w:r>
          </w:p>
        </w:tc>
      </w:tr>
      <w:tr w:rsidR="00576F87">
        <w:trPr>
          <w:trHeight w:val="276"/>
        </w:trPr>
        <w:tc>
          <w:tcPr>
            <w:tcW w:w="1322" w:type="dxa"/>
            <w:tcBorders>
              <w:top w:val="single" w:sz="8" w:space="0" w:color="35437C"/>
              <w:left w:val="single" w:sz="15" w:space="0" w:color="35437C"/>
              <w:bottom w:val="single" w:sz="8" w:space="0" w:color="35437C"/>
              <w:right w:val="single" w:sz="8" w:space="0" w:color="35437C"/>
            </w:tcBorders>
            <w:shd w:val="clear" w:color="auto" w:fill="FFFFFF"/>
          </w:tcPr>
          <w:p w:rsidR="00576F87" w:rsidRDefault="004165F5">
            <w:pPr>
              <w:spacing w:after="0"/>
              <w:ind w:right="4"/>
              <w:jc w:val="right"/>
            </w:pPr>
            <w:r>
              <w:rPr>
                <w:rFonts w:ascii="Verdana" w:eastAsia="Verdana" w:hAnsi="Verdana" w:cs="Verdana"/>
                <w:sz w:val="18"/>
              </w:rPr>
              <w:t>1,020</w:t>
            </w:r>
          </w:p>
        </w:tc>
        <w:tc>
          <w:tcPr>
            <w:tcW w:w="13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4"/>
              <w:jc w:val="right"/>
            </w:pPr>
            <w:r>
              <w:rPr>
                <w:rFonts w:ascii="Verdana" w:eastAsia="Verdana" w:hAnsi="Verdana" w:cs="Verdana"/>
                <w:sz w:val="18"/>
              </w:rPr>
              <w:t>1,020</w:t>
            </w:r>
          </w:p>
        </w:tc>
        <w:tc>
          <w:tcPr>
            <w:tcW w:w="4721"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left="1"/>
            </w:pPr>
            <w:r>
              <w:rPr>
                <w:rFonts w:ascii="Verdana" w:eastAsia="Verdana" w:hAnsi="Verdana" w:cs="Verdana"/>
                <w:sz w:val="18"/>
              </w:rPr>
              <w:t>Decrease/(increase) in receivables</w:t>
            </w:r>
          </w:p>
        </w:tc>
        <w:tc>
          <w:tcPr>
            <w:tcW w:w="1258"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2"/>
              <w:jc w:val="right"/>
            </w:pPr>
            <w:r>
              <w:rPr>
                <w:rFonts w:ascii="Verdana" w:eastAsia="Verdana" w:hAnsi="Verdana" w:cs="Verdana"/>
                <w:sz w:val="18"/>
              </w:rPr>
              <w:t>730</w:t>
            </w:r>
          </w:p>
        </w:tc>
        <w:tc>
          <w:tcPr>
            <w:tcW w:w="122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2"/>
              <w:jc w:val="right"/>
            </w:pPr>
            <w:r>
              <w:rPr>
                <w:rFonts w:ascii="Verdana" w:eastAsia="Verdana" w:hAnsi="Verdana" w:cs="Verdana"/>
                <w:sz w:val="18"/>
              </w:rPr>
              <w:t>730</w:t>
            </w:r>
          </w:p>
        </w:tc>
      </w:tr>
      <w:tr w:rsidR="00576F87">
        <w:trPr>
          <w:trHeight w:val="276"/>
        </w:trPr>
        <w:tc>
          <w:tcPr>
            <w:tcW w:w="1322"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4"/>
              <w:jc w:val="right"/>
            </w:pPr>
            <w:r>
              <w:rPr>
                <w:rFonts w:ascii="Verdana" w:eastAsia="Verdana" w:hAnsi="Verdana" w:cs="Verdana"/>
                <w:sz w:val="18"/>
              </w:rPr>
              <w:t>262</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
              <w:jc w:val="right"/>
            </w:pPr>
            <w:r>
              <w:rPr>
                <w:rFonts w:ascii="Verdana" w:eastAsia="Verdana" w:hAnsi="Verdana" w:cs="Verdana"/>
                <w:sz w:val="18"/>
              </w:rPr>
              <w:t>262</w:t>
            </w:r>
          </w:p>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(Increase)/decrease in prepayments</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w:t>
            </w:r>
          </w:p>
        </w:tc>
        <w:tc>
          <w:tcPr>
            <w:tcW w:w="1224"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8"/>
              </w:rPr>
              <w:t>-</w:t>
            </w:r>
          </w:p>
        </w:tc>
      </w:tr>
      <w:tr w:rsidR="00576F87">
        <w:trPr>
          <w:trHeight w:val="276"/>
        </w:trPr>
        <w:tc>
          <w:tcPr>
            <w:tcW w:w="1322"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
              <w:jc w:val="right"/>
            </w:pPr>
            <w:r>
              <w:rPr>
                <w:rFonts w:ascii="Verdana" w:eastAsia="Verdana" w:hAnsi="Verdana" w:cs="Verdana"/>
                <w:sz w:val="18"/>
              </w:rPr>
              <w:t>(74)</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
              <w:jc w:val="right"/>
            </w:pPr>
            <w:r>
              <w:rPr>
                <w:rFonts w:ascii="Verdana" w:eastAsia="Verdana" w:hAnsi="Verdana" w:cs="Verdana"/>
                <w:sz w:val="18"/>
              </w:rPr>
              <w:t>(74)</w:t>
            </w:r>
          </w:p>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Increase/(decrease) in payables</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
              <w:jc w:val="right"/>
            </w:pPr>
            <w:r>
              <w:rPr>
                <w:rFonts w:ascii="Verdana" w:eastAsia="Verdana" w:hAnsi="Verdana" w:cs="Verdana"/>
                <w:sz w:val="18"/>
              </w:rPr>
              <w:t>(284)</w:t>
            </w:r>
          </w:p>
        </w:tc>
        <w:tc>
          <w:tcPr>
            <w:tcW w:w="122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
              <w:jc w:val="right"/>
            </w:pPr>
            <w:r>
              <w:rPr>
                <w:rFonts w:ascii="Verdana" w:eastAsia="Verdana" w:hAnsi="Verdana" w:cs="Verdana"/>
                <w:sz w:val="18"/>
              </w:rPr>
              <w:t>(284)</w:t>
            </w:r>
          </w:p>
        </w:tc>
      </w:tr>
      <w:tr w:rsidR="00576F87">
        <w:trPr>
          <w:trHeight w:val="276"/>
        </w:trPr>
        <w:tc>
          <w:tcPr>
            <w:tcW w:w="1322" w:type="dxa"/>
            <w:tcBorders>
              <w:top w:val="single" w:sz="8" w:space="0" w:color="35437C"/>
              <w:left w:val="single" w:sz="15" w:space="0" w:color="35437C"/>
              <w:bottom w:val="single" w:sz="8" w:space="0" w:color="35437C"/>
              <w:right w:val="single" w:sz="8" w:space="0" w:color="35437C"/>
            </w:tcBorders>
          </w:tcPr>
          <w:p w:rsidR="00576F87" w:rsidRDefault="00576F87"/>
        </w:tc>
        <w:tc>
          <w:tcPr>
            <w:tcW w:w="1322" w:type="dxa"/>
            <w:tcBorders>
              <w:top w:val="single" w:sz="8" w:space="0" w:color="35437C"/>
              <w:left w:val="single" w:sz="8" w:space="0" w:color="35437C"/>
              <w:bottom w:val="single" w:sz="8" w:space="0" w:color="35437C"/>
              <w:right w:val="single" w:sz="8" w:space="0" w:color="35437C"/>
            </w:tcBorders>
          </w:tcPr>
          <w:p w:rsidR="00576F87" w:rsidRDefault="00576F87"/>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Increase/(decrease) in pension liability</w:t>
            </w:r>
          </w:p>
        </w:tc>
        <w:tc>
          <w:tcPr>
            <w:tcW w:w="1258"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76"/>
        </w:trPr>
        <w:tc>
          <w:tcPr>
            <w:tcW w:w="1322"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4"/>
              <w:jc w:val="right"/>
            </w:pPr>
            <w:r>
              <w:rPr>
                <w:rFonts w:ascii="Verdana" w:eastAsia="Verdana" w:hAnsi="Verdana" w:cs="Verdana"/>
                <w:sz w:val="18"/>
              </w:rPr>
              <w:t>(6,149)</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
              <w:jc w:val="right"/>
            </w:pPr>
            <w:r>
              <w:rPr>
                <w:rFonts w:ascii="Verdana" w:eastAsia="Verdana" w:hAnsi="Verdana" w:cs="Verdana"/>
                <w:sz w:val="18"/>
              </w:rPr>
              <w:t>(6,149)</w:t>
            </w:r>
          </w:p>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Transfer to pension reserve</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
              <w:jc w:val="right"/>
            </w:pPr>
            <w:r>
              <w:rPr>
                <w:rFonts w:ascii="Verdana" w:eastAsia="Verdana" w:hAnsi="Verdana" w:cs="Verdana"/>
                <w:sz w:val="18"/>
              </w:rPr>
              <w:t>303</w:t>
            </w:r>
          </w:p>
        </w:tc>
        <w:tc>
          <w:tcPr>
            <w:tcW w:w="122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
              <w:jc w:val="right"/>
            </w:pPr>
            <w:r>
              <w:rPr>
                <w:rFonts w:ascii="Verdana" w:eastAsia="Verdana" w:hAnsi="Verdana" w:cs="Verdana"/>
                <w:sz w:val="18"/>
              </w:rPr>
              <w:t>303</w:t>
            </w:r>
          </w:p>
        </w:tc>
      </w:tr>
      <w:tr w:rsidR="00576F87">
        <w:trPr>
          <w:trHeight w:val="305"/>
        </w:trPr>
        <w:tc>
          <w:tcPr>
            <w:tcW w:w="1322" w:type="dxa"/>
            <w:tcBorders>
              <w:top w:val="single" w:sz="8" w:space="0" w:color="35437C"/>
              <w:left w:val="single" w:sz="15" w:space="0" w:color="35437C"/>
              <w:bottom w:val="single" w:sz="15" w:space="0" w:color="35437C"/>
              <w:right w:val="single" w:sz="8" w:space="0" w:color="35437C"/>
            </w:tcBorders>
            <w:shd w:val="clear" w:color="auto" w:fill="366092"/>
          </w:tcPr>
          <w:p w:rsidR="00576F87" w:rsidRDefault="004165F5">
            <w:pPr>
              <w:spacing w:after="0"/>
              <w:ind w:right="5"/>
              <w:jc w:val="right"/>
            </w:pPr>
            <w:r>
              <w:rPr>
                <w:rFonts w:ascii="Verdana" w:eastAsia="Verdana" w:hAnsi="Verdana" w:cs="Verdana"/>
                <w:b/>
                <w:color w:val="FFFFFF"/>
                <w:sz w:val="18"/>
              </w:rPr>
              <w:t>(4,754)</w:t>
            </w:r>
          </w:p>
        </w:tc>
        <w:tc>
          <w:tcPr>
            <w:tcW w:w="1322" w:type="dxa"/>
            <w:tcBorders>
              <w:top w:val="single" w:sz="8" w:space="0" w:color="35437C"/>
              <w:left w:val="single" w:sz="8" w:space="0" w:color="35437C"/>
              <w:bottom w:val="single" w:sz="15" w:space="0" w:color="35437C"/>
              <w:right w:val="single" w:sz="8" w:space="0" w:color="35437C"/>
            </w:tcBorders>
            <w:shd w:val="clear" w:color="auto" w:fill="366092"/>
          </w:tcPr>
          <w:p w:rsidR="00576F87" w:rsidRDefault="004165F5">
            <w:pPr>
              <w:spacing w:after="0"/>
              <w:ind w:right="5"/>
              <w:jc w:val="right"/>
            </w:pPr>
            <w:r>
              <w:rPr>
                <w:rFonts w:ascii="Verdana" w:eastAsia="Verdana" w:hAnsi="Verdana" w:cs="Verdana"/>
                <w:b/>
                <w:color w:val="FFFFFF"/>
                <w:sz w:val="18"/>
              </w:rPr>
              <w:t>(2,446)</w:t>
            </w:r>
          </w:p>
        </w:tc>
        <w:tc>
          <w:tcPr>
            <w:tcW w:w="4721" w:type="dxa"/>
            <w:tcBorders>
              <w:top w:val="single" w:sz="8" w:space="0" w:color="35437C"/>
              <w:left w:val="single" w:sz="8" w:space="0" w:color="35437C"/>
              <w:bottom w:val="single" w:sz="15" w:space="0" w:color="35437C"/>
              <w:right w:val="single" w:sz="8" w:space="0" w:color="35437C"/>
            </w:tcBorders>
            <w:shd w:val="clear" w:color="auto" w:fill="366092"/>
          </w:tcPr>
          <w:p w:rsidR="00576F87" w:rsidRDefault="00576F87"/>
        </w:tc>
        <w:tc>
          <w:tcPr>
            <w:tcW w:w="1258" w:type="dxa"/>
            <w:tcBorders>
              <w:top w:val="single" w:sz="8" w:space="0" w:color="35437C"/>
              <w:left w:val="single" w:sz="8" w:space="0" w:color="35437C"/>
              <w:bottom w:val="single" w:sz="15" w:space="0" w:color="35437C"/>
              <w:right w:val="single" w:sz="8" w:space="0" w:color="35437C"/>
            </w:tcBorders>
            <w:shd w:val="clear" w:color="auto" w:fill="366092"/>
          </w:tcPr>
          <w:p w:rsidR="00576F87" w:rsidRDefault="004165F5">
            <w:pPr>
              <w:spacing w:after="0"/>
              <w:ind w:right="4"/>
              <w:jc w:val="right"/>
            </w:pPr>
            <w:r>
              <w:rPr>
                <w:rFonts w:ascii="Verdana" w:eastAsia="Verdana" w:hAnsi="Verdana" w:cs="Verdana"/>
                <w:b/>
                <w:color w:val="FFFFFF"/>
                <w:sz w:val="18"/>
              </w:rPr>
              <w:t>996</w:t>
            </w:r>
          </w:p>
        </w:tc>
        <w:tc>
          <w:tcPr>
            <w:tcW w:w="1224" w:type="dxa"/>
            <w:tcBorders>
              <w:top w:val="single" w:sz="8" w:space="0" w:color="35437C"/>
              <w:left w:val="single" w:sz="8" w:space="0" w:color="35437C"/>
              <w:bottom w:val="single" w:sz="15" w:space="0" w:color="35437C"/>
              <w:right w:val="single" w:sz="15" w:space="0" w:color="35437C"/>
            </w:tcBorders>
            <w:shd w:val="clear" w:color="auto" w:fill="366092"/>
          </w:tcPr>
          <w:p w:rsidR="00576F87" w:rsidRDefault="004165F5">
            <w:pPr>
              <w:spacing w:after="0"/>
              <w:ind w:right="3"/>
              <w:jc w:val="right"/>
            </w:pPr>
            <w:r>
              <w:rPr>
                <w:rFonts w:ascii="Verdana" w:eastAsia="Verdana" w:hAnsi="Verdana" w:cs="Verdana"/>
                <w:b/>
                <w:color w:val="FFFFFF"/>
                <w:sz w:val="18"/>
              </w:rPr>
              <w:t>2,051</w:t>
            </w:r>
          </w:p>
        </w:tc>
      </w:tr>
      <w:tr w:rsidR="00576F87">
        <w:trPr>
          <w:trHeight w:val="293"/>
        </w:trPr>
        <w:tc>
          <w:tcPr>
            <w:tcW w:w="7366" w:type="dxa"/>
            <w:gridSpan w:val="3"/>
            <w:tcBorders>
              <w:top w:val="single" w:sz="15" w:space="0" w:color="35437C"/>
              <w:left w:val="nil"/>
              <w:bottom w:val="nil"/>
              <w:right w:val="nil"/>
            </w:tcBorders>
            <w:shd w:val="clear" w:color="auto" w:fill="FFFFFF"/>
          </w:tcPr>
          <w:p w:rsidR="00576F87" w:rsidRDefault="00576F87"/>
        </w:tc>
        <w:tc>
          <w:tcPr>
            <w:tcW w:w="1258" w:type="dxa"/>
            <w:tcBorders>
              <w:top w:val="single" w:sz="15" w:space="0" w:color="35437C"/>
              <w:left w:val="nil"/>
              <w:bottom w:val="nil"/>
              <w:right w:val="nil"/>
            </w:tcBorders>
            <w:shd w:val="clear" w:color="auto" w:fill="FFFFFF"/>
          </w:tcPr>
          <w:p w:rsidR="00576F87" w:rsidRDefault="00576F87"/>
        </w:tc>
        <w:tc>
          <w:tcPr>
            <w:tcW w:w="1224" w:type="dxa"/>
            <w:tcBorders>
              <w:top w:val="single" w:sz="15" w:space="0" w:color="35437C"/>
              <w:left w:val="nil"/>
              <w:bottom w:val="nil"/>
              <w:right w:val="nil"/>
            </w:tcBorders>
            <w:shd w:val="clear" w:color="auto" w:fill="FFFFFF"/>
          </w:tcPr>
          <w:p w:rsidR="00576F87" w:rsidRDefault="00576F87"/>
        </w:tc>
      </w:tr>
    </w:tbl>
    <w:p w:rsidR="00576F87" w:rsidRDefault="004165F5">
      <w:pPr>
        <w:numPr>
          <w:ilvl w:val="0"/>
          <w:numId w:val="17"/>
        </w:numPr>
        <w:spacing w:after="231"/>
        <w:ind w:hanging="1386"/>
      </w:pPr>
      <w:r>
        <w:rPr>
          <w:sz w:val="28"/>
        </w:rPr>
        <w:t>Net investment in joint venture</w:t>
      </w:r>
    </w:p>
    <w:p w:rsidR="00576F87" w:rsidRDefault="004165F5">
      <w:pPr>
        <w:spacing w:after="178" w:line="268" w:lineRule="auto"/>
        <w:ind w:left="543" w:hanging="3"/>
        <w:jc w:val="both"/>
      </w:pPr>
      <w:r>
        <w:rPr>
          <w:rFonts w:ascii="Verdana" w:eastAsia="Verdana" w:hAnsi="Verdana" w:cs="Verdana"/>
          <w:sz w:val="18"/>
        </w:rPr>
        <w:t>LPFA entered into a joint venture with Lancashire County Council and incorporated Local Pensions Partnership Ltd (LPP) and its subsidiaries on 19 October 2015. The objective of LPP is to provide high quality, low cost pension administration, risk managemen</w:t>
      </w:r>
      <w:r>
        <w:rPr>
          <w:rFonts w:ascii="Verdana" w:eastAsia="Verdana" w:hAnsi="Verdana" w:cs="Verdana"/>
          <w:sz w:val="18"/>
        </w:rPr>
        <w:t>t and investment management services to London Pension Fund Authority (LPFA), Lancashire County Pension Fund and other LGPS clients.</w:t>
      </w:r>
    </w:p>
    <w:p w:rsidR="00576F87" w:rsidRDefault="004165F5">
      <w:pPr>
        <w:spacing w:after="5" w:line="268" w:lineRule="auto"/>
        <w:ind w:left="543" w:hanging="3"/>
        <w:jc w:val="both"/>
      </w:pPr>
      <w:r>
        <w:rPr>
          <w:rFonts w:ascii="Verdana" w:eastAsia="Verdana" w:hAnsi="Verdana" w:cs="Verdana"/>
          <w:sz w:val="18"/>
        </w:rPr>
        <w:t>The joint venture has been equity accounted and LPFA’s fifty percent share of LPP’s results are included, in the Group Comp</w:t>
      </w:r>
      <w:r>
        <w:rPr>
          <w:rFonts w:ascii="Verdana" w:eastAsia="Verdana" w:hAnsi="Verdana" w:cs="Verdana"/>
          <w:sz w:val="18"/>
        </w:rPr>
        <w:t>rehensive Income and Expenditure Statement and in the Balance Sheet. The results of the LPP Group are as follows:</w:t>
      </w:r>
    </w:p>
    <w:tbl>
      <w:tblPr>
        <w:tblStyle w:val="TableGrid"/>
        <w:tblW w:w="9847" w:type="dxa"/>
        <w:tblInd w:w="502" w:type="dxa"/>
        <w:tblCellMar>
          <w:top w:w="0" w:type="dxa"/>
          <w:left w:w="38" w:type="dxa"/>
          <w:bottom w:w="22" w:type="dxa"/>
          <w:right w:w="0" w:type="dxa"/>
        </w:tblCellMar>
        <w:tblLook w:val="04A0" w:firstRow="1" w:lastRow="0" w:firstColumn="1" w:lastColumn="0" w:noHBand="0" w:noVBand="1"/>
      </w:tblPr>
      <w:tblGrid>
        <w:gridCol w:w="1322"/>
        <w:gridCol w:w="1322"/>
        <w:gridCol w:w="4721"/>
        <w:gridCol w:w="1258"/>
        <w:gridCol w:w="1224"/>
      </w:tblGrid>
      <w:tr w:rsidR="00576F87">
        <w:trPr>
          <w:trHeight w:val="448"/>
        </w:trPr>
        <w:tc>
          <w:tcPr>
            <w:tcW w:w="1322" w:type="dxa"/>
            <w:tcBorders>
              <w:top w:val="single" w:sz="15" w:space="0" w:color="35437C"/>
              <w:left w:val="single" w:sz="15" w:space="0" w:color="35437C"/>
              <w:bottom w:val="nil"/>
              <w:right w:val="single" w:sz="8" w:space="0" w:color="35437C"/>
            </w:tcBorders>
            <w:shd w:val="clear" w:color="auto" w:fill="35437C"/>
          </w:tcPr>
          <w:p w:rsidR="00576F87" w:rsidRDefault="004165F5">
            <w:pPr>
              <w:spacing w:after="0"/>
              <w:ind w:right="35"/>
              <w:jc w:val="right"/>
            </w:pPr>
            <w:r>
              <w:rPr>
                <w:rFonts w:ascii="Verdana" w:eastAsia="Verdana" w:hAnsi="Verdana" w:cs="Verdana"/>
                <w:b/>
                <w:color w:val="FFFFFF"/>
                <w:sz w:val="18"/>
              </w:rPr>
              <w:t>50% Share of LPP</w:t>
            </w:r>
          </w:p>
        </w:tc>
        <w:tc>
          <w:tcPr>
            <w:tcW w:w="1322" w:type="dxa"/>
            <w:tcBorders>
              <w:top w:val="single" w:sz="15" w:space="0" w:color="35437C"/>
              <w:left w:val="single" w:sz="8" w:space="0" w:color="35437C"/>
              <w:bottom w:val="nil"/>
              <w:right w:val="single" w:sz="8" w:space="0" w:color="35437C"/>
            </w:tcBorders>
            <w:shd w:val="clear" w:color="auto" w:fill="35437C"/>
            <w:vAlign w:val="center"/>
          </w:tcPr>
          <w:p w:rsidR="00576F87" w:rsidRDefault="004165F5">
            <w:pPr>
              <w:spacing w:after="0"/>
              <w:ind w:left="194"/>
            </w:pPr>
            <w:r>
              <w:rPr>
                <w:rFonts w:ascii="Verdana" w:eastAsia="Verdana" w:hAnsi="Verdana" w:cs="Verdana"/>
                <w:b/>
                <w:color w:val="FFFFFF"/>
                <w:sz w:val="18"/>
              </w:rPr>
              <w:t>LPP Group</w:t>
            </w:r>
          </w:p>
        </w:tc>
        <w:tc>
          <w:tcPr>
            <w:tcW w:w="4721" w:type="dxa"/>
            <w:tcBorders>
              <w:top w:val="single" w:sz="15" w:space="0" w:color="35437C"/>
              <w:left w:val="single" w:sz="8" w:space="0" w:color="35437C"/>
              <w:bottom w:val="nil"/>
              <w:right w:val="single" w:sz="8" w:space="0" w:color="35437C"/>
            </w:tcBorders>
            <w:shd w:val="clear" w:color="auto" w:fill="35437C"/>
          </w:tcPr>
          <w:p w:rsidR="00576F87" w:rsidRDefault="00576F87"/>
        </w:tc>
        <w:tc>
          <w:tcPr>
            <w:tcW w:w="1258" w:type="dxa"/>
            <w:tcBorders>
              <w:top w:val="single" w:sz="15" w:space="0" w:color="35437C"/>
              <w:left w:val="single" w:sz="8" w:space="0" w:color="35437C"/>
              <w:bottom w:val="nil"/>
              <w:right w:val="single" w:sz="8" w:space="0" w:color="35437C"/>
            </w:tcBorders>
            <w:shd w:val="clear" w:color="auto" w:fill="35437C"/>
          </w:tcPr>
          <w:p w:rsidR="00576F87" w:rsidRDefault="004165F5">
            <w:pPr>
              <w:spacing w:after="0"/>
              <w:ind w:right="35"/>
              <w:jc w:val="right"/>
            </w:pPr>
            <w:r>
              <w:rPr>
                <w:rFonts w:ascii="Verdana" w:eastAsia="Verdana" w:hAnsi="Verdana" w:cs="Verdana"/>
                <w:b/>
                <w:color w:val="FFFFFF"/>
                <w:sz w:val="18"/>
              </w:rPr>
              <w:t>50% Share of LPP</w:t>
            </w:r>
          </w:p>
        </w:tc>
        <w:tc>
          <w:tcPr>
            <w:tcW w:w="1224" w:type="dxa"/>
            <w:tcBorders>
              <w:top w:val="single" w:sz="15" w:space="0" w:color="35437C"/>
              <w:left w:val="single" w:sz="8" w:space="0" w:color="35437C"/>
              <w:bottom w:val="nil"/>
              <w:right w:val="single" w:sz="15" w:space="0" w:color="35437C"/>
            </w:tcBorders>
            <w:shd w:val="clear" w:color="auto" w:fill="35437C"/>
            <w:vAlign w:val="center"/>
          </w:tcPr>
          <w:p w:rsidR="00576F87" w:rsidRDefault="004165F5">
            <w:pPr>
              <w:spacing w:after="0"/>
              <w:ind w:left="96"/>
            </w:pPr>
            <w:r>
              <w:rPr>
                <w:rFonts w:ascii="Verdana" w:eastAsia="Verdana" w:hAnsi="Verdana" w:cs="Verdana"/>
                <w:b/>
                <w:color w:val="FFFFFF"/>
                <w:sz w:val="18"/>
              </w:rPr>
              <w:t>LPP Group</w:t>
            </w:r>
          </w:p>
        </w:tc>
      </w:tr>
      <w:tr w:rsidR="00576F87">
        <w:trPr>
          <w:trHeight w:val="234"/>
        </w:trPr>
        <w:tc>
          <w:tcPr>
            <w:tcW w:w="1322" w:type="dxa"/>
            <w:tcBorders>
              <w:top w:val="nil"/>
              <w:left w:val="single" w:sz="15" w:space="0" w:color="35437C"/>
              <w:bottom w:val="single" w:sz="8" w:space="0" w:color="35437C"/>
              <w:right w:val="single" w:sz="8" w:space="0" w:color="35437C"/>
            </w:tcBorders>
            <w:shd w:val="clear" w:color="auto" w:fill="35437C"/>
          </w:tcPr>
          <w:p w:rsidR="00576F87" w:rsidRDefault="004165F5">
            <w:pPr>
              <w:spacing w:after="0"/>
              <w:ind w:right="35"/>
              <w:jc w:val="right"/>
            </w:pPr>
            <w:r>
              <w:rPr>
                <w:rFonts w:ascii="Verdana" w:eastAsia="Verdana" w:hAnsi="Verdana" w:cs="Verdana"/>
                <w:b/>
                <w:color w:val="FFFFFF"/>
                <w:sz w:val="18"/>
              </w:rPr>
              <w:t>2016/17</w:t>
            </w:r>
          </w:p>
        </w:tc>
        <w:tc>
          <w:tcPr>
            <w:tcW w:w="1322" w:type="dxa"/>
            <w:tcBorders>
              <w:top w:val="nil"/>
              <w:left w:val="single" w:sz="8" w:space="0" w:color="35437C"/>
              <w:bottom w:val="single" w:sz="8" w:space="0" w:color="35437C"/>
              <w:right w:val="single" w:sz="8" w:space="0" w:color="35437C"/>
            </w:tcBorders>
            <w:shd w:val="clear" w:color="auto" w:fill="35437C"/>
          </w:tcPr>
          <w:p w:rsidR="00576F87" w:rsidRDefault="004165F5">
            <w:pPr>
              <w:spacing w:after="0"/>
              <w:ind w:right="35"/>
              <w:jc w:val="right"/>
            </w:pPr>
            <w:r>
              <w:rPr>
                <w:rFonts w:ascii="Verdana" w:eastAsia="Verdana" w:hAnsi="Verdana" w:cs="Verdana"/>
                <w:b/>
                <w:color w:val="FFFFFF"/>
                <w:sz w:val="18"/>
              </w:rPr>
              <w:t>2016/17</w:t>
            </w:r>
          </w:p>
        </w:tc>
        <w:tc>
          <w:tcPr>
            <w:tcW w:w="4721" w:type="dxa"/>
            <w:tcBorders>
              <w:top w:val="nil"/>
              <w:left w:val="single" w:sz="8" w:space="0" w:color="35437C"/>
              <w:bottom w:val="single" w:sz="8" w:space="0" w:color="35437C"/>
              <w:right w:val="single" w:sz="8" w:space="0" w:color="35437C"/>
            </w:tcBorders>
            <w:shd w:val="clear" w:color="auto" w:fill="35437C"/>
          </w:tcPr>
          <w:p w:rsidR="00576F87" w:rsidRDefault="00576F87"/>
        </w:tc>
        <w:tc>
          <w:tcPr>
            <w:tcW w:w="1258" w:type="dxa"/>
            <w:tcBorders>
              <w:top w:val="nil"/>
              <w:left w:val="single" w:sz="8" w:space="0" w:color="35437C"/>
              <w:bottom w:val="single" w:sz="8" w:space="0" w:color="35437C"/>
              <w:right w:val="single" w:sz="8" w:space="0" w:color="35437C"/>
            </w:tcBorders>
            <w:shd w:val="clear" w:color="auto" w:fill="35437C"/>
          </w:tcPr>
          <w:p w:rsidR="00576F87" w:rsidRDefault="004165F5">
            <w:pPr>
              <w:spacing w:after="0"/>
              <w:ind w:right="35"/>
              <w:jc w:val="right"/>
            </w:pPr>
            <w:r>
              <w:rPr>
                <w:rFonts w:ascii="Verdana" w:eastAsia="Verdana" w:hAnsi="Verdana" w:cs="Verdana"/>
                <w:b/>
                <w:color w:val="FFFFFF"/>
                <w:sz w:val="18"/>
              </w:rPr>
              <w:t>2017/18</w:t>
            </w:r>
          </w:p>
        </w:tc>
        <w:tc>
          <w:tcPr>
            <w:tcW w:w="1224" w:type="dxa"/>
            <w:tcBorders>
              <w:top w:val="nil"/>
              <w:left w:val="single" w:sz="8" w:space="0" w:color="35437C"/>
              <w:bottom w:val="single" w:sz="8" w:space="0" w:color="35437C"/>
              <w:right w:val="single" w:sz="15" w:space="0" w:color="35437C"/>
            </w:tcBorders>
            <w:shd w:val="clear" w:color="auto" w:fill="35437C"/>
          </w:tcPr>
          <w:p w:rsidR="00576F87" w:rsidRDefault="004165F5">
            <w:pPr>
              <w:spacing w:after="0"/>
              <w:ind w:right="35"/>
              <w:jc w:val="right"/>
            </w:pPr>
            <w:r>
              <w:rPr>
                <w:rFonts w:ascii="Verdana" w:eastAsia="Verdana" w:hAnsi="Verdana" w:cs="Verdana"/>
                <w:b/>
                <w:color w:val="FFFFFF"/>
                <w:sz w:val="18"/>
              </w:rPr>
              <w:t>2017/18</w:t>
            </w:r>
          </w:p>
        </w:tc>
      </w:tr>
      <w:tr w:rsidR="00576F87">
        <w:trPr>
          <w:trHeight w:val="290"/>
        </w:trPr>
        <w:tc>
          <w:tcPr>
            <w:tcW w:w="1322" w:type="dxa"/>
            <w:tcBorders>
              <w:top w:val="single" w:sz="8" w:space="0" w:color="35437C"/>
              <w:left w:val="single" w:sz="15" w:space="0" w:color="35437C"/>
              <w:bottom w:val="single" w:sz="8" w:space="0" w:color="35437C"/>
              <w:right w:val="single" w:sz="8" w:space="0" w:color="35437C"/>
            </w:tcBorders>
            <w:shd w:val="clear" w:color="auto" w:fill="FFFFFF"/>
          </w:tcPr>
          <w:p w:rsidR="00576F87" w:rsidRDefault="004165F5">
            <w:pPr>
              <w:spacing w:after="0"/>
              <w:ind w:right="41"/>
              <w:jc w:val="right"/>
            </w:pPr>
            <w:r>
              <w:rPr>
                <w:rFonts w:ascii="Verdana" w:eastAsia="Verdana" w:hAnsi="Verdana" w:cs="Verdana"/>
                <w:b/>
                <w:sz w:val="18"/>
              </w:rPr>
              <w:t>£'000</w:t>
            </w:r>
          </w:p>
        </w:tc>
        <w:tc>
          <w:tcPr>
            <w:tcW w:w="1322"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41"/>
              <w:jc w:val="right"/>
            </w:pPr>
            <w:r>
              <w:rPr>
                <w:rFonts w:ascii="Verdana" w:eastAsia="Verdana" w:hAnsi="Verdana" w:cs="Verdana"/>
                <w:b/>
                <w:sz w:val="18"/>
              </w:rPr>
              <w:t>£'000</w:t>
            </w:r>
          </w:p>
        </w:tc>
        <w:tc>
          <w:tcPr>
            <w:tcW w:w="4721"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258"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ind w:right="41"/>
              <w:jc w:val="right"/>
            </w:pPr>
            <w:r>
              <w:rPr>
                <w:rFonts w:ascii="Verdana" w:eastAsia="Verdana" w:hAnsi="Verdana" w:cs="Verdana"/>
                <w:b/>
                <w:sz w:val="18"/>
              </w:rPr>
              <w:t>£'000</w:t>
            </w:r>
          </w:p>
        </w:tc>
        <w:tc>
          <w:tcPr>
            <w:tcW w:w="1224"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41"/>
              <w:jc w:val="right"/>
            </w:pPr>
            <w:r>
              <w:rPr>
                <w:rFonts w:ascii="Verdana" w:eastAsia="Verdana" w:hAnsi="Verdana" w:cs="Verdana"/>
                <w:b/>
                <w:sz w:val="18"/>
              </w:rPr>
              <w:t>£'000</w:t>
            </w:r>
          </w:p>
        </w:tc>
      </w:tr>
      <w:tr w:rsidR="00576F87">
        <w:trPr>
          <w:trHeight w:val="463"/>
        </w:trPr>
        <w:tc>
          <w:tcPr>
            <w:tcW w:w="1322" w:type="dxa"/>
            <w:tcBorders>
              <w:top w:val="single" w:sz="8" w:space="0" w:color="35437C"/>
              <w:left w:val="single" w:sz="15" w:space="0" w:color="35437C"/>
              <w:bottom w:val="single" w:sz="8" w:space="0" w:color="35437C"/>
              <w:right w:val="single" w:sz="8" w:space="0" w:color="35437C"/>
            </w:tcBorders>
          </w:tcPr>
          <w:p w:rsidR="00576F87" w:rsidRDefault="00576F87"/>
        </w:tc>
        <w:tc>
          <w:tcPr>
            <w:tcW w:w="1322" w:type="dxa"/>
            <w:tcBorders>
              <w:top w:val="single" w:sz="8" w:space="0" w:color="35437C"/>
              <w:left w:val="single" w:sz="8" w:space="0" w:color="35437C"/>
              <w:bottom w:val="single" w:sz="8" w:space="0" w:color="35437C"/>
              <w:right w:val="single" w:sz="8" w:space="0" w:color="35437C"/>
            </w:tcBorders>
          </w:tcPr>
          <w:p w:rsidR="00576F87" w:rsidRDefault="00576F87"/>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Comprehensive Income and Expenditure Statement:</w:t>
            </w:r>
          </w:p>
        </w:tc>
        <w:tc>
          <w:tcPr>
            <w:tcW w:w="1258"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566"/>
        </w:trPr>
        <w:tc>
          <w:tcPr>
            <w:tcW w:w="1322" w:type="dxa"/>
            <w:tcBorders>
              <w:top w:val="single" w:sz="8" w:space="0" w:color="35437C"/>
              <w:left w:val="single" w:sz="15" w:space="0" w:color="35437C"/>
              <w:bottom w:val="single" w:sz="8" w:space="0" w:color="35437C"/>
              <w:right w:val="single" w:sz="8" w:space="0" w:color="35437C"/>
            </w:tcBorders>
            <w:vAlign w:val="bottom"/>
          </w:tcPr>
          <w:p w:rsidR="00576F87" w:rsidRDefault="004165F5">
            <w:pPr>
              <w:spacing w:after="0"/>
              <w:ind w:right="41"/>
              <w:jc w:val="right"/>
            </w:pPr>
            <w:r>
              <w:rPr>
                <w:rFonts w:ascii="Verdana" w:eastAsia="Verdana" w:hAnsi="Verdana" w:cs="Verdana"/>
                <w:sz w:val="18"/>
              </w:rPr>
              <w:t>2,179</w:t>
            </w:r>
          </w:p>
        </w:tc>
        <w:tc>
          <w:tcPr>
            <w:tcW w:w="1322"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41"/>
              <w:jc w:val="right"/>
            </w:pPr>
            <w:r>
              <w:rPr>
                <w:rFonts w:ascii="Verdana" w:eastAsia="Verdana" w:hAnsi="Verdana" w:cs="Verdana"/>
                <w:sz w:val="18"/>
              </w:rPr>
              <w:t>4,359</w:t>
            </w:r>
          </w:p>
        </w:tc>
        <w:tc>
          <w:tcPr>
            <w:tcW w:w="4721"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pPr>
            <w:r>
              <w:rPr>
                <w:rFonts w:ascii="Verdana" w:eastAsia="Verdana" w:hAnsi="Verdana" w:cs="Verdana"/>
                <w:sz w:val="18"/>
              </w:rPr>
              <w:t>Profit/ (loss) on ordinary activities before taxation</w:t>
            </w:r>
          </w:p>
        </w:tc>
        <w:tc>
          <w:tcPr>
            <w:tcW w:w="125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41"/>
              <w:jc w:val="right"/>
            </w:pPr>
            <w:r>
              <w:rPr>
                <w:rFonts w:ascii="Verdana" w:eastAsia="Verdana" w:hAnsi="Verdana" w:cs="Verdana"/>
                <w:sz w:val="18"/>
              </w:rPr>
              <w:t>(1,246)</w:t>
            </w:r>
          </w:p>
        </w:tc>
        <w:tc>
          <w:tcPr>
            <w:tcW w:w="1224" w:type="dxa"/>
            <w:tcBorders>
              <w:top w:val="single" w:sz="8" w:space="0" w:color="35437C"/>
              <w:left w:val="single" w:sz="8" w:space="0" w:color="35437C"/>
              <w:bottom w:val="single" w:sz="8" w:space="0" w:color="35437C"/>
              <w:right w:val="single" w:sz="15" w:space="0" w:color="35437C"/>
            </w:tcBorders>
            <w:vAlign w:val="bottom"/>
          </w:tcPr>
          <w:p w:rsidR="00576F87" w:rsidRDefault="004165F5">
            <w:pPr>
              <w:spacing w:after="0"/>
              <w:ind w:right="41"/>
              <w:jc w:val="right"/>
            </w:pPr>
            <w:r>
              <w:rPr>
                <w:rFonts w:ascii="Verdana" w:eastAsia="Verdana" w:hAnsi="Verdana" w:cs="Verdana"/>
                <w:sz w:val="18"/>
              </w:rPr>
              <w:t>(2,492)</w:t>
            </w:r>
          </w:p>
        </w:tc>
      </w:tr>
      <w:tr w:rsidR="00576F87">
        <w:trPr>
          <w:trHeight w:val="290"/>
        </w:trPr>
        <w:tc>
          <w:tcPr>
            <w:tcW w:w="1322"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(458)</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0"/>
              <w:jc w:val="right"/>
            </w:pPr>
            <w:r>
              <w:rPr>
                <w:rFonts w:ascii="Verdana" w:eastAsia="Verdana" w:hAnsi="Verdana" w:cs="Verdana"/>
                <w:sz w:val="18"/>
              </w:rPr>
              <w:t>(916)</w:t>
            </w:r>
          </w:p>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Taxation</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191</w:t>
            </w:r>
          </w:p>
        </w:tc>
        <w:tc>
          <w:tcPr>
            <w:tcW w:w="122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1"/>
              <w:jc w:val="right"/>
            </w:pPr>
            <w:r>
              <w:rPr>
                <w:rFonts w:ascii="Verdana" w:eastAsia="Verdana" w:hAnsi="Verdana" w:cs="Verdana"/>
                <w:sz w:val="18"/>
              </w:rPr>
              <w:t>382</w:t>
            </w:r>
          </w:p>
        </w:tc>
      </w:tr>
      <w:tr w:rsidR="00576F87">
        <w:trPr>
          <w:trHeight w:val="552"/>
        </w:trPr>
        <w:tc>
          <w:tcPr>
            <w:tcW w:w="1322" w:type="dxa"/>
            <w:tcBorders>
              <w:top w:val="single" w:sz="8" w:space="0" w:color="35437C"/>
              <w:left w:val="single" w:sz="15" w:space="0" w:color="35437C"/>
              <w:bottom w:val="single" w:sz="8" w:space="0" w:color="35437C"/>
              <w:right w:val="single" w:sz="8" w:space="0" w:color="35437C"/>
            </w:tcBorders>
            <w:vAlign w:val="bottom"/>
          </w:tcPr>
          <w:p w:rsidR="00576F87" w:rsidRDefault="004165F5">
            <w:pPr>
              <w:spacing w:after="0"/>
              <w:ind w:right="41"/>
              <w:jc w:val="right"/>
            </w:pPr>
            <w:r>
              <w:rPr>
                <w:rFonts w:ascii="Verdana" w:eastAsia="Verdana" w:hAnsi="Verdana" w:cs="Verdana"/>
                <w:sz w:val="18"/>
              </w:rPr>
              <w:t>(2,785)</w:t>
            </w:r>
          </w:p>
        </w:tc>
        <w:tc>
          <w:tcPr>
            <w:tcW w:w="1322"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41"/>
              <w:jc w:val="right"/>
            </w:pPr>
            <w:r>
              <w:rPr>
                <w:rFonts w:ascii="Verdana" w:eastAsia="Verdana" w:hAnsi="Verdana" w:cs="Verdana"/>
                <w:sz w:val="18"/>
              </w:rPr>
              <w:t>(5,570)</w:t>
            </w:r>
          </w:p>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 xml:space="preserve">Net actuarial gain/ (loss) on defined benefit pension schemes  </w:t>
            </w:r>
          </w:p>
        </w:tc>
        <w:tc>
          <w:tcPr>
            <w:tcW w:w="125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41"/>
              <w:jc w:val="right"/>
            </w:pPr>
            <w:r>
              <w:rPr>
                <w:rFonts w:ascii="Verdana" w:eastAsia="Verdana" w:hAnsi="Verdana" w:cs="Verdana"/>
                <w:sz w:val="18"/>
              </w:rPr>
              <w:t>2,531</w:t>
            </w:r>
          </w:p>
        </w:tc>
        <w:tc>
          <w:tcPr>
            <w:tcW w:w="1224" w:type="dxa"/>
            <w:tcBorders>
              <w:top w:val="single" w:sz="8" w:space="0" w:color="35437C"/>
              <w:left w:val="single" w:sz="8" w:space="0" w:color="35437C"/>
              <w:bottom w:val="single" w:sz="8" w:space="0" w:color="35437C"/>
              <w:right w:val="single" w:sz="15" w:space="0" w:color="35437C"/>
            </w:tcBorders>
            <w:vAlign w:val="bottom"/>
          </w:tcPr>
          <w:p w:rsidR="00576F87" w:rsidRDefault="004165F5">
            <w:pPr>
              <w:spacing w:after="0"/>
              <w:ind w:right="41"/>
              <w:jc w:val="right"/>
            </w:pPr>
            <w:r>
              <w:rPr>
                <w:rFonts w:ascii="Verdana" w:eastAsia="Verdana" w:hAnsi="Verdana" w:cs="Verdana"/>
                <w:sz w:val="18"/>
              </w:rPr>
              <w:t>5,062</w:t>
            </w:r>
          </w:p>
        </w:tc>
      </w:tr>
      <w:tr w:rsidR="00576F87">
        <w:trPr>
          <w:trHeight w:val="290"/>
        </w:trPr>
        <w:tc>
          <w:tcPr>
            <w:tcW w:w="1322"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474</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947</w:t>
            </w:r>
          </w:p>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Deferred tax on actuarial loss</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(430)</w:t>
            </w:r>
          </w:p>
        </w:tc>
        <w:tc>
          <w:tcPr>
            <w:tcW w:w="122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0"/>
              <w:jc w:val="right"/>
            </w:pPr>
            <w:r>
              <w:rPr>
                <w:rFonts w:ascii="Verdana" w:eastAsia="Verdana" w:hAnsi="Verdana" w:cs="Verdana"/>
                <w:sz w:val="18"/>
              </w:rPr>
              <w:t>(861)</w:t>
            </w:r>
          </w:p>
        </w:tc>
      </w:tr>
      <w:tr w:rsidR="00576F87">
        <w:trPr>
          <w:trHeight w:val="290"/>
        </w:trPr>
        <w:tc>
          <w:tcPr>
            <w:tcW w:w="1322"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42"/>
              <w:jc w:val="right"/>
            </w:pPr>
            <w:r>
              <w:rPr>
                <w:rFonts w:ascii="Verdana" w:eastAsia="Verdana" w:hAnsi="Verdana" w:cs="Verdana"/>
                <w:b/>
                <w:sz w:val="18"/>
              </w:rPr>
              <w:t>(590)</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2"/>
              <w:jc w:val="right"/>
            </w:pPr>
            <w:r>
              <w:rPr>
                <w:rFonts w:ascii="Verdana" w:eastAsia="Verdana" w:hAnsi="Verdana" w:cs="Verdana"/>
                <w:b/>
                <w:sz w:val="18"/>
              </w:rPr>
              <w:t>(1,180)</w:t>
            </w:r>
          </w:p>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Total Comprehensive income for the period</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0"/>
              <w:jc w:val="right"/>
            </w:pPr>
            <w:r>
              <w:rPr>
                <w:rFonts w:ascii="Verdana" w:eastAsia="Verdana" w:hAnsi="Verdana" w:cs="Verdana"/>
                <w:b/>
                <w:sz w:val="18"/>
              </w:rPr>
              <w:t>1,046</w:t>
            </w:r>
          </w:p>
        </w:tc>
        <w:tc>
          <w:tcPr>
            <w:tcW w:w="122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0"/>
              <w:jc w:val="right"/>
            </w:pPr>
            <w:r>
              <w:rPr>
                <w:rFonts w:ascii="Verdana" w:eastAsia="Verdana" w:hAnsi="Verdana" w:cs="Verdana"/>
                <w:b/>
                <w:sz w:val="18"/>
              </w:rPr>
              <w:t>2,091</w:t>
            </w:r>
          </w:p>
        </w:tc>
      </w:tr>
      <w:tr w:rsidR="00576F87">
        <w:trPr>
          <w:trHeight w:val="290"/>
        </w:trPr>
        <w:tc>
          <w:tcPr>
            <w:tcW w:w="1322" w:type="dxa"/>
            <w:tcBorders>
              <w:top w:val="single" w:sz="8" w:space="0" w:color="35437C"/>
              <w:left w:val="single" w:sz="15" w:space="0" w:color="35437C"/>
              <w:bottom w:val="single" w:sz="8" w:space="0" w:color="35437C"/>
              <w:right w:val="single" w:sz="8" w:space="0" w:color="35437C"/>
            </w:tcBorders>
          </w:tcPr>
          <w:p w:rsidR="00576F87" w:rsidRDefault="00576F87"/>
        </w:tc>
        <w:tc>
          <w:tcPr>
            <w:tcW w:w="1322" w:type="dxa"/>
            <w:tcBorders>
              <w:top w:val="single" w:sz="8" w:space="0" w:color="35437C"/>
              <w:left w:val="single" w:sz="8" w:space="0" w:color="35437C"/>
              <w:bottom w:val="single" w:sz="8" w:space="0" w:color="35437C"/>
              <w:right w:val="single" w:sz="8" w:space="0" w:color="35437C"/>
            </w:tcBorders>
          </w:tcPr>
          <w:p w:rsidR="00576F87" w:rsidRDefault="00576F87"/>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Balance Sheet:</w:t>
            </w:r>
          </w:p>
        </w:tc>
        <w:tc>
          <w:tcPr>
            <w:tcW w:w="1258"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1322"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42"/>
              <w:jc w:val="right"/>
            </w:pPr>
            <w:r>
              <w:rPr>
                <w:rFonts w:ascii="Verdana" w:eastAsia="Verdana" w:hAnsi="Verdana" w:cs="Verdana"/>
                <w:sz w:val="18"/>
              </w:rPr>
              <w:t>11,651</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23,302</w:t>
            </w:r>
          </w:p>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Total assets less current liabilities</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2"/>
              <w:jc w:val="right"/>
            </w:pPr>
            <w:r>
              <w:rPr>
                <w:rFonts w:ascii="Verdana" w:eastAsia="Verdana" w:hAnsi="Verdana" w:cs="Verdana"/>
                <w:sz w:val="18"/>
              </w:rPr>
              <w:t>11,798</w:t>
            </w:r>
          </w:p>
        </w:tc>
        <w:tc>
          <w:tcPr>
            <w:tcW w:w="122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1"/>
              <w:jc w:val="right"/>
            </w:pPr>
            <w:r>
              <w:rPr>
                <w:rFonts w:ascii="Verdana" w:eastAsia="Verdana" w:hAnsi="Verdana" w:cs="Verdana"/>
                <w:sz w:val="18"/>
              </w:rPr>
              <w:t>23,596</w:t>
            </w:r>
          </w:p>
        </w:tc>
      </w:tr>
      <w:tr w:rsidR="00576F87">
        <w:trPr>
          <w:trHeight w:val="535"/>
        </w:trPr>
        <w:tc>
          <w:tcPr>
            <w:tcW w:w="1322" w:type="dxa"/>
            <w:tcBorders>
              <w:top w:val="single" w:sz="8" w:space="0" w:color="35437C"/>
              <w:left w:val="single" w:sz="15" w:space="0" w:color="35437C"/>
              <w:bottom w:val="single" w:sz="8" w:space="0" w:color="35437C"/>
              <w:right w:val="single" w:sz="8" w:space="0" w:color="35437C"/>
            </w:tcBorders>
            <w:vAlign w:val="bottom"/>
          </w:tcPr>
          <w:p w:rsidR="00576F87" w:rsidRDefault="004165F5">
            <w:pPr>
              <w:spacing w:after="0"/>
              <w:ind w:right="41"/>
              <w:jc w:val="right"/>
            </w:pPr>
            <w:r>
              <w:rPr>
                <w:rFonts w:ascii="Verdana" w:eastAsia="Verdana" w:hAnsi="Verdana" w:cs="Verdana"/>
                <w:sz w:val="18"/>
              </w:rPr>
              <w:t>(8,750)</w:t>
            </w:r>
          </w:p>
        </w:tc>
        <w:tc>
          <w:tcPr>
            <w:tcW w:w="1322"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42"/>
              <w:jc w:val="right"/>
            </w:pPr>
            <w:r>
              <w:rPr>
                <w:rFonts w:ascii="Verdana" w:eastAsia="Verdana" w:hAnsi="Verdana" w:cs="Verdana"/>
                <w:sz w:val="18"/>
              </w:rPr>
              <w:t>(17,500)</w:t>
            </w:r>
          </w:p>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Creditors: amounts falling due after more than one year</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8"/>
            </w:pPr>
            <w:r>
              <w:rPr>
                <w:rFonts w:ascii="Verdana" w:eastAsia="Verdana" w:hAnsi="Verdana" w:cs="Verdana"/>
                <w:sz w:val="18"/>
              </w:rPr>
              <w:t xml:space="preserve"> </w:t>
            </w:r>
          </w:p>
          <w:p w:rsidR="00576F87" w:rsidRDefault="004165F5">
            <w:pPr>
              <w:spacing w:after="0"/>
              <w:ind w:right="41"/>
              <w:jc w:val="right"/>
            </w:pPr>
            <w:r>
              <w:rPr>
                <w:rFonts w:ascii="Verdana" w:eastAsia="Verdana" w:hAnsi="Verdana" w:cs="Verdana"/>
                <w:sz w:val="18"/>
              </w:rPr>
              <w:t>(8,750)</w:t>
            </w:r>
          </w:p>
        </w:tc>
        <w:tc>
          <w:tcPr>
            <w:tcW w:w="1224"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42"/>
              <w:jc w:val="right"/>
            </w:pPr>
            <w:r>
              <w:rPr>
                <w:rFonts w:ascii="Verdana" w:eastAsia="Verdana" w:hAnsi="Verdana" w:cs="Verdana"/>
                <w:sz w:val="18"/>
              </w:rPr>
              <w:t>(17,500)</w:t>
            </w:r>
          </w:p>
        </w:tc>
      </w:tr>
      <w:tr w:rsidR="00576F87">
        <w:trPr>
          <w:trHeight w:val="305"/>
        </w:trPr>
        <w:tc>
          <w:tcPr>
            <w:tcW w:w="1322"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(7,520)</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(15,039)</w:t>
            </w:r>
          </w:p>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Post-employment benefits</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(6,621)</w:t>
            </w:r>
          </w:p>
        </w:tc>
        <w:tc>
          <w:tcPr>
            <w:tcW w:w="122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1"/>
              <w:jc w:val="right"/>
            </w:pPr>
            <w:r>
              <w:rPr>
                <w:rFonts w:ascii="Verdana" w:eastAsia="Verdana" w:hAnsi="Verdana" w:cs="Verdana"/>
                <w:sz w:val="18"/>
              </w:rPr>
              <w:t>(13,242)</w:t>
            </w:r>
          </w:p>
        </w:tc>
      </w:tr>
      <w:tr w:rsidR="00576F87">
        <w:trPr>
          <w:trHeight w:val="319"/>
        </w:trPr>
        <w:tc>
          <w:tcPr>
            <w:tcW w:w="1322"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(4,619)</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2"/>
              <w:jc w:val="right"/>
            </w:pPr>
            <w:r>
              <w:rPr>
                <w:rFonts w:ascii="Verdana" w:eastAsia="Verdana" w:hAnsi="Verdana" w:cs="Verdana"/>
                <w:b/>
                <w:sz w:val="18"/>
              </w:rPr>
              <w:t>(9,237)</w:t>
            </w:r>
          </w:p>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5"/>
            </w:pPr>
            <w:r>
              <w:rPr>
                <w:rFonts w:ascii="Verdana" w:eastAsia="Verdana" w:hAnsi="Verdana" w:cs="Verdana"/>
                <w:b/>
                <w:sz w:val="18"/>
              </w:rPr>
              <w:t>Net liabilities</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2"/>
              <w:jc w:val="right"/>
            </w:pPr>
            <w:r>
              <w:rPr>
                <w:rFonts w:ascii="Verdana" w:eastAsia="Verdana" w:hAnsi="Verdana" w:cs="Verdana"/>
                <w:b/>
                <w:sz w:val="18"/>
              </w:rPr>
              <w:t>(3,573)</w:t>
            </w:r>
          </w:p>
        </w:tc>
        <w:tc>
          <w:tcPr>
            <w:tcW w:w="122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2"/>
              <w:jc w:val="right"/>
            </w:pPr>
            <w:r>
              <w:rPr>
                <w:rFonts w:ascii="Verdana" w:eastAsia="Verdana" w:hAnsi="Verdana" w:cs="Verdana"/>
                <w:b/>
                <w:sz w:val="18"/>
              </w:rPr>
              <w:t>(7,146)</w:t>
            </w:r>
          </w:p>
        </w:tc>
      </w:tr>
      <w:tr w:rsidR="00576F87">
        <w:trPr>
          <w:trHeight w:val="262"/>
        </w:trPr>
        <w:tc>
          <w:tcPr>
            <w:tcW w:w="1322" w:type="dxa"/>
            <w:tcBorders>
              <w:top w:val="single" w:sz="8" w:space="0" w:color="35437C"/>
              <w:left w:val="single" w:sz="15" w:space="0" w:color="35437C"/>
              <w:bottom w:val="single" w:sz="8" w:space="0" w:color="35437C"/>
              <w:right w:val="single" w:sz="8" w:space="0" w:color="35437C"/>
            </w:tcBorders>
          </w:tcPr>
          <w:p w:rsidR="00576F87" w:rsidRDefault="00576F87"/>
        </w:tc>
        <w:tc>
          <w:tcPr>
            <w:tcW w:w="1322" w:type="dxa"/>
            <w:tcBorders>
              <w:top w:val="single" w:sz="8" w:space="0" w:color="35437C"/>
              <w:left w:val="single" w:sz="8" w:space="0" w:color="35437C"/>
              <w:bottom w:val="single" w:sz="8" w:space="0" w:color="35437C"/>
              <w:right w:val="single" w:sz="8" w:space="0" w:color="35437C"/>
            </w:tcBorders>
          </w:tcPr>
          <w:p w:rsidR="00576F87" w:rsidRDefault="00576F87"/>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Represented by:</w:t>
            </w:r>
          </w:p>
        </w:tc>
        <w:tc>
          <w:tcPr>
            <w:tcW w:w="1258"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305"/>
        </w:trPr>
        <w:tc>
          <w:tcPr>
            <w:tcW w:w="1322"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(590)</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(1,180)</w:t>
            </w:r>
          </w:p>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Profit &amp; loss account</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460</w:t>
            </w:r>
          </w:p>
        </w:tc>
        <w:tc>
          <w:tcPr>
            <w:tcW w:w="122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1"/>
              <w:jc w:val="right"/>
            </w:pPr>
            <w:r>
              <w:rPr>
                <w:rFonts w:ascii="Verdana" w:eastAsia="Verdana" w:hAnsi="Verdana" w:cs="Verdana"/>
                <w:sz w:val="18"/>
              </w:rPr>
              <w:t>920</w:t>
            </w:r>
          </w:p>
        </w:tc>
      </w:tr>
      <w:tr w:rsidR="00576F87">
        <w:trPr>
          <w:trHeight w:val="262"/>
        </w:trPr>
        <w:tc>
          <w:tcPr>
            <w:tcW w:w="1322"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8"/>
              <w:jc w:val="right"/>
            </w:pPr>
            <w:r>
              <w:rPr>
                <w:rFonts w:ascii="Verdana" w:eastAsia="Verdana" w:hAnsi="Verdana" w:cs="Verdana"/>
                <w:sz w:val="18"/>
              </w:rPr>
              <w:t>-</w:t>
            </w:r>
          </w:p>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Opening reserves on subsidiary company</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9"/>
              <w:jc w:val="right"/>
            </w:pPr>
            <w:r>
              <w:rPr>
                <w:rFonts w:ascii="Verdana" w:eastAsia="Verdana" w:hAnsi="Verdana" w:cs="Verdana"/>
                <w:sz w:val="18"/>
              </w:rPr>
              <w:t>(4)</w:t>
            </w:r>
          </w:p>
        </w:tc>
        <w:tc>
          <w:tcPr>
            <w:tcW w:w="122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9"/>
              <w:jc w:val="right"/>
            </w:pPr>
            <w:r>
              <w:rPr>
                <w:rFonts w:ascii="Verdana" w:eastAsia="Verdana" w:hAnsi="Verdana" w:cs="Verdana"/>
                <w:sz w:val="18"/>
              </w:rPr>
              <w:t>(9)</w:t>
            </w:r>
          </w:p>
        </w:tc>
      </w:tr>
      <w:tr w:rsidR="00576F87">
        <w:trPr>
          <w:trHeight w:val="319"/>
        </w:trPr>
        <w:tc>
          <w:tcPr>
            <w:tcW w:w="1322"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(4,029)</w:t>
            </w:r>
          </w:p>
        </w:tc>
        <w:tc>
          <w:tcPr>
            <w:tcW w:w="13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(8,057)</w:t>
            </w:r>
          </w:p>
        </w:tc>
        <w:tc>
          <w:tcPr>
            <w:tcW w:w="472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Retirement benefit obligations reserve</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1"/>
              <w:jc w:val="right"/>
            </w:pPr>
            <w:r>
              <w:rPr>
                <w:rFonts w:ascii="Verdana" w:eastAsia="Verdana" w:hAnsi="Verdana" w:cs="Verdana"/>
                <w:sz w:val="18"/>
              </w:rPr>
              <w:t>(4,029)</w:t>
            </w:r>
          </w:p>
        </w:tc>
        <w:tc>
          <w:tcPr>
            <w:tcW w:w="1224"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1"/>
              <w:jc w:val="right"/>
            </w:pPr>
            <w:r>
              <w:rPr>
                <w:rFonts w:ascii="Verdana" w:eastAsia="Verdana" w:hAnsi="Verdana" w:cs="Verdana"/>
                <w:sz w:val="18"/>
              </w:rPr>
              <w:t>(8,057)</w:t>
            </w:r>
          </w:p>
        </w:tc>
      </w:tr>
      <w:tr w:rsidR="00576F87">
        <w:trPr>
          <w:trHeight w:val="319"/>
        </w:trPr>
        <w:tc>
          <w:tcPr>
            <w:tcW w:w="1322" w:type="dxa"/>
            <w:tcBorders>
              <w:top w:val="single" w:sz="8" w:space="0" w:color="35437C"/>
              <w:left w:val="single" w:sz="15" w:space="0" w:color="35437C"/>
              <w:bottom w:val="single" w:sz="15" w:space="0" w:color="35437C"/>
              <w:right w:val="single" w:sz="8" w:space="0" w:color="35437C"/>
            </w:tcBorders>
            <w:shd w:val="clear" w:color="auto" w:fill="002A7D"/>
          </w:tcPr>
          <w:p w:rsidR="00576F87" w:rsidRDefault="004165F5">
            <w:pPr>
              <w:spacing w:after="0"/>
              <w:ind w:right="42"/>
              <w:jc w:val="right"/>
            </w:pPr>
            <w:r>
              <w:rPr>
                <w:rFonts w:ascii="Verdana" w:eastAsia="Verdana" w:hAnsi="Verdana" w:cs="Verdana"/>
                <w:b/>
                <w:color w:val="FFFFFF"/>
                <w:sz w:val="18"/>
              </w:rPr>
              <w:t>(4,619)</w:t>
            </w:r>
          </w:p>
        </w:tc>
        <w:tc>
          <w:tcPr>
            <w:tcW w:w="1322" w:type="dxa"/>
            <w:tcBorders>
              <w:top w:val="single" w:sz="8" w:space="0" w:color="35437C"/>
              <w:left w:val="single" w:sz="8" w:space="0" w:color="35437C"/>
              <w:bottom w:val="single" w:sz="15" w:space="0" w:color="35437C"/>
              <w:right w:val="single" w:sz="8" w:space="0" w:color="35437C"/>
            </w:tcBorders>
            <w:shd w:val="clear" w:color="auto" w:fill="002A7D"/>
          </w:tcPr>
          <w:p w:rsidR="00576F87" w:rsidRDefault="004165F5">
            <w:pPr>
              <w:spacing w:after="0"/>
              <w:ind w:right="42"/>
              <w:jc w:val="right"/>
            </w:pPr>
            <w:r>
              <w:rPr>
                <w:rFonts w:ascii="Verdana" w:eastAsia="Verdana" w:hAnsi="Verdana" w:cs="Verdana"/>
                <w:b/>
                <w:color w:val="FFFFFF"/>
                <w:sz w:val="18"/>
              </w:rPr>
              <w:t>(9,237)</w:t>
            </w:r>
          </w:p>
        </w:tc>
        <w:tc>
          <w:tcPr>
            <w:tcW w:w="4721" w:type="dxa"/>
            <w:tcBorders>
              <w:top w:val="single" w:sz="8" w:space="0" w:color="35437C"/>
              <w:left w:val="single" w:sz="8" w:space="0" w:color="35437C"/>
              <w:bottom w:val="single" w:sz="15" w:space="0" w:color="35437C"/>
              <w:right w:val="single" w:sz="8" w:space="0" w:color="35437C"/>
            </w:tcBorders>
            <w:shd w:val="clear" w:color="auto" w:fill="002A7D"/>
          </w:tcPr>
          <w:p w:rsidR="00576F87" w:rsidRDefault="004165F5">
            <w:pPr>
              <w:spacing w:after="0"/>
              <w:ind w:left="5"/>
            </w:pPr>
            <w:r>
              <w:rPr>
                <w:rFonts w:ascii="Verdana" w:eastAsia="Verdana" w:hAnsi="Verdana" w:cs="Verdana"/>
                <w:b/>
                <w:color w:val="FFFFFF"/>
                <w:sz w:val="18"/>
              </w:rPr>
              <w:t>Net value</w:t>
            </w:r>
          </w:p>
        </w:tc>
        <w:tc>
          <w:tcPr>
            <w:tcW w:w="1258" w:type="dxa"/>
            <w:tcBorders>
              <w:top w:val="single" w:sz="8" w:space="0" w:color="35437C"/>
              <w:left w:val="single" w:sz="8" w:space="0" w:color="35437C"/>
              <w:bottom w:val="single" w:sz="15" w:space="0" w:color="35437C"/>
              <w:right w:val="single" w:sz="8" w:space="0" w:color="35437C"/>
            </w:tcBorders>
            <w:shd w:val="clear" w:color="auto" w:fill="002A7D"/>
          </w:tcPr>
          <w:p w:rsidR="00576F87" w:rsidRDefault="004165F5">
            <w:pPr>
              <w:spacing w:after="0"/>
              <w:ind w:right="42"/>
              <w:jc w:val="right"/>
            </w:pPr>
            <w:r>
              <w:rPr>
                <w:rFonts w:ascii="Verdana" w:eastAsia="Verdana" w:hAnsi="Verdana" w:cs="Verdana"/>
                <w:b/>
                <w:color w:val="FFFFFF"/>
                <w:sz w:val="18"/>
              </w:rPr>
              <w:t>(3,573)</w:t>
            </w:r>
          </w:p>
        </w:tc>
        <w:tc>
          <w:tcPr>
            <w:tcW w:w="1224" w:type="dxa"/>
            <w:tcBorders>
              <w:top w:val="single" w:sz="8" w:space="0" w:color="35437C"/>
              <w:left w:val="single" w:sz="8" w:space="0" w:color="35437C"/>
              <w:bottom w:val="single" w:sz="15" w:space="0" w:color="35437C"/>
              <w:right w:val="single" w:sz="15" w:space="0" w:color="35437C"/>
            </w:tcBorders>
            <w:shd w:val="clear" w:color="auto" w:fill="002A7D"/>
          </w:tcPr>
          <w:p w:rsidR="00576F87" w:rsidRDefault="004165F5">
            <w:pPr>
              <w:spacing w:after="0"/>
              <w:ind w:right="42"/>
              <w:jc w:val="right"/>
            </w:pPr>
            <w:r>
              <w:rPr>
                <w:rFonts w:ascii="Verdana" w:eastAsia="Verdana" w:hAnsi="Verdana" w:cs="Verdana"/>
                <w:b/>
                <w:color w:val="FFFFFF"/>
                <w:sz w:val="18"/>
              </w:rPr>
              <w:t>(7,146)</w:t>
            </w:r>
          </w:p>
        </w:tc>
      </w:tr>
    </w:tbl>
    <w:p w:rsidR="00576F87" w:rsidRDefault="004165F5">
      <w:pPr>
        <w:pStyle w:val="Heading2"/>
        <w:spacing w:after="391"/>
        <w:ind w:left="303"/>
      </w:pPr>
      <w:r>
        <w:rPr>
          <w:b/>
          <w:color w:val="3F977F"/>
        </w:rPr>
        <w:t>LPFA Accounts 31 March 2018</w:t>
      </w:r>
    </w:p>
    <w:p w:rsidR="00576F87" w:rsidRDefault="004165F5">
      <w:pPr>
        <w:numPr>
          <w:ilvl w:val="0"/>
          <w:numId w:val="18"/>
        </w:numPr>
        <w:spacing w:after="177"/>
        <w:ind w:hanging="1980"/>
      </w:pPr>
      <w:r>
        <w:rPr>
          <w:rFonts w:ascii="Verdana" w:eastAsia="Verdana" w:hAnsi="Verdana" w:cs="Verdana"/>
          <w:sz w:val="28"/>
        </w:rPr>
        <w:t>Prior year adjustment to the group accounts</w:t>
      </w:r>
    </w:p>
    <w:p w:rsidR="00576F87" w:rsidRDefault="004165F5">
      <w:pPr>
        <w:spacing w:after="0"/>
        <w:ind w:left="286" w:hanging="10"/>
      </w:pPr>
      <w:r>
        <w:rPr>
          <w:rFonts w:ascii="Verdana" w:eastAsia="Verdana" w:hAnsi="Verdana" w:cs="Verdana"/>
          <w:b/>
          <w:sz w:val="18"/>
        </w:rPr>
        <w:t>General Reserves</w:t>
      </w:r>
    </w:p>
    <w:tbl>
      <w:tblPr>
        <w:tblStyle w:val="TableGrid"/>
        <w:tblW w:w="9908" w:type="dxa"/>
        <w:tblInd w:w="236" w:type="dxa"/>
        <w:tblCellMar>
          <w:top w:w="68" w:type="dxa"/>
          <w:left w:w="38" w:type="dxa"/>
          <w:bottom w:w="33" w:type="dxa"/>
          <w:right w:w="38" w:type="dxa"/>
        </w:tblCellMar>
        <w:tblLook w:val="04A0" w:firstRow="1" w:lastRow="0" w:firstColumn="1" w:lastColumn="0" w:noHBand="0" w:noVBand="1"/>
      </w:tblPr>
      <w:tblGrid>
        <w:gridCol w:w="1883"/>
        <w:gridCol w:w="6139"/>
        <w:gridCol w:w="1886"/>
      </w:tblGrid>
      <w:tr w:rsidR="00576F87">
        <w:trPr>
          <w:trHeight w:val="434"/>
        </w:trPr>
        <w:tc>
          <w:tcPr>
            <w:tcW w:w="1883" w:type="dxa"/>
            <w:tcBorders>
              <w:top w:val="single" w:sz="15" w:space="0" w:color="35437C"/>
              <w:left w:val="single" w:sz="12" w:space="0" w:color="35437C"/>
              <w:bottom w:val="single" w:sz="8" w:space="0" w:color="35437C"/>
              <w:right w:val="single" w:sz="8" w:space="0" w:color="35437C"/>
            </w:tcBorders>
            <w:shd w:val="clear" w:color="auto" w:fill="35437C"/>
            <w:vAlign w:val="center"/>
          </w:tcPr>
          <w:p w:rsidR="00576F87" w:rsidRDefault="004165F5">
            <w:pPr>
              <w:spacing w:after="0"/>
              <w:jc w:val="right"/>
            </w:pPr>
            <w:r>
              <w:rPr>
                <w:rFonts w:ascii="Verdana" w:eastAsia="Verdana" w:hAnsi="Verdana" w:cs="Verdana"/>
                <w:b/>
                <w:color w:val="FFFFFF"/>
                <w:sz w:val="18"/>
              </w:rPr>
              <w:t>31 March 2017</w:t>
            </w:r>
          </w:p>
        </w:tc>
        <w:tc>
          <w:tcPr>
            <w:tcW w:w="6139"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886" w:type="dxa"/>
            <w:tcBorders>
              <w:top w:val="single" w:sz="15" w:space="0" w:color="35437C"/>
              <w:left w:val="single" w:sz="8" w:space="0" w:color="35437C"/>
              <w:bottom w:val="single" w:sz="8" w:space="0" w:color="35437C"/>
              <w:right w:val="single" w:sz="15" w:space="0" w:color="35437C"/>
            </w:tcBorders>
            <w:shd w:val="clear" w:color="auto" w:fill="35437C"/>
            <w:vAlign w:val="center"/>
          </w:tcPr>
          <w:p w:rsidR="00576F87" w:rsidRDefault="004165F5">
            <w:pPr>
              <w:spacing w:after="0"/>
              <w:jc w:val="right"/>
            </w:pPr>
            <w:r>
              <w:rPr>
                <w:rFonts w:ascii="Verdana" w:eastAsia="Verdana" w:hAnsi="Verdana" w:cs="Verdana"/>
                <w:b/>
                <w:color w:val="FFFFFF"/>
                <w:sz w:val="18"/>
              </w:rPr>
              <w:t>31 March 2018</w:t>
            </w:r>
          </w:p>
        </w:tc>
      </w:tr>
      <w:tr w:rsidR="00576F87">
        <w:trPr>
          <w:trHeight w:val="290"/>
        </w:trPr>
        <w:tc>
          <w:tcPr>
            <w:tcW w:w="1883"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2"/>
              <w:jc w:val="right"/>
            </w:pPr>
            <w:r>
              <w:rPr>
                <w:b/>
              </w:rPr>
              <w:t>£'000</w:t>
            </w:r>
          </w:p>
        </w:tc>
        <w:tc>
          <w:tcPr>
            <w:tcW w:w="6139"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886"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2"/>
              <w:jc w:val="right"/>
            </w:pPr>
            <w:r>
              <w:rPr>
                <w:b/>
              </w:rPr>
              <w:t>£'000</w:t>
            </w:r>
          </w:p>
        </w:tc>
      </w:tr>
      <w:tr w:rsidR="00576F87">
        <w:trPr>
          <w:trHeight w:val="391"/>
        </w:trPr>
        <w:tc>
          <w:tcPr>
            <w:tcW w:w="1883" w:type="dxa"/>
            <w:tcBorders>
              <w:top w:val="single" w:sz="8" w:space="0" w:color="35437C"/>
              <w:left w:val="single" w:sz="12" w:space="0" w:color="35437C"/>
              <w:bottom w:val="single" w:sz="8" w:space="0" w:color="35437C"/>
              <w:right w:val="single" w:sz="8" w:space="0" w:color="35437C"/>
            </w:tcBorders>
            <w:shd w:val="clear" w:color="auto" w:fill="FFFFFF"/>
            <w:vAlign w:val="bottom"/>
          </w:tcPr>
          <w:p w:rsidR="00576F87" w:rsidRDefault="004165F5">
            <w:pPr>
              <w:spacing w:after="0"/>
              <w:ind w:right="1"/>
              <w:jc w:val="right"/>
            </w:pPr>
            <w:r>
              <w:t>1,146</w:t>
            </w:r>
          </w:p>
        </w:tc>
        <w:tc>
          <w:tcPr>
            <w:tcW w:w="6139" w:type="dxa"/>
            <w:tcBorders>
              <w:top w:val="single" w:sz="8" w:space="0" w:color="35437C"/>
              <w:left w:val="single" w:sz="8" w:space="0" w:color="35437C"/>
              <w:bottom w:val="single" w:sz="8" w:space="0" w:color="35437C"/>
              <w:right w:val="single" w:sz="8" w:space="0" w:color="35437C"/>
            </w:tcBorders>
            <w:shd w:val="clear" w:color="auto" w:fill="FFFFFF"/>
            <w:vAlign w:val="bottom"/>
          </w:tcPr>
          <w:p w:rsidR="00576F87" w:rsidRDefault="004165F5">
            <w:pPr>
              <w:spacing w:after="0"/>
            </w:pPr>
            <w:r>
              <w:t>Closing group general reserves before prior year adjustment</w:t>
            </w:r>
          </w:p>
        </w:tc>
        <w:tc>
          <w:tcPr>
            <w:tcW w:w="1886" w:type="dxa"/>
            <w:tcBorders>
              <w:top w:val="single" w:sz="8" w:space="0" w:color="35437C"/>
              <w:left w:val="single" w:sz="8" w:space="0" w:color="35437C"/>
              <w:bottom w:val="single" w:sz="8" w:space="0" w:color="35437C"/>
              <w:right w:val="single" w:sz="15" w:space="0" w:color="35437C"/>
            </w:tcBorders>
            <w:shd w:val="clear" w:color="auto" w:fill="FFFFFF"/>
            <w:vAlign w:val="bottom"/>
          </w:tcPr>
          <w:p w:rsidR="00576F87" w:rsidRDefault="004165F5">
            <w:pPr>
              <w:spacing w:after="0"/>
              <w:ind w:right="2"/>
              <w:jc w:val="right"/>
            </w:pPr>
            <w:r>
              <w:t>1,345</w:t>
            </w:r>
          </w:p>
        </w:tc>
      </w:tr>
      <w:tr w:rsidR="00576F87">
        <w:trPr>
          <w:trHeight w:val="638"/>
        </w:trPr>
        <w:tc>
          <w:tcPr>
            <w:tcW w:w="1883" w:type="dxa"/>
            <w:tcBorders>
              <w:top w:val="single" w:sz="8" w:space="0" w:color="35437C"/>
              <w:left w:val="single" w:sz="12" w:space="0" w:color="35437C"/>
              <w:bottom w:val="single" w:sz="8" w:space="0" w:color="35437C"/>
              <w:right w:val="single" w:sz="8" w:space="0" w:color="35437C"/>
            </w:tcBorders>
            <w:vAlign w:val="bottom"/>
          </w:tcPr>
          <w:p w:rsidR="00576F87" w:rsidRDefault="004165F5">
            <w:pPr>
              <w:spacing w:after="0"/>
              <w:ind w:right="1"/>
              <w:jc w:val="right"/>
            </w:pPr>
            <w:r>
              <w:t>(4,029)</w:t>
            </w:r>
          </w:p>
        </w:tc>
        <w:tc>
          <w:tcPr>
            <w:tcW w:w="613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t xml:space="preserve">Inclusion of 50% of retirement benefit obligations reserve in the </w:t>
            </w:r>
          </w:p>
          <w:p w:rsidR="00576F87" w:rsidRDefault="004165F5">
            <w:pPr>
              <w:spacing w:after="0"/>
            </w:pPr>
            <w:r>
              <w:t>LPP Joint venture</w:t>
            </w:r>
          </w:p>
        </w:tc>
        <w:tc>
          <w:tcPr>
            <w:tcW w:w="1886" w:type="dxa"/>
            <w:tcBorders>
              <w:top w:val="single" w:sz="8" w:space="0" w:color="35437C"/>
              <w:left w:val="single" w:sz="8" w:space="0" w:color="35437C"/>
              <w:bottom w:val="single" w:sz="8" w:space="0" w:color="35437C"/>
              <w:right w:val="single" w:sz="15" w:space="0" w:color="35437C"/>
            </w:tcBorders>
            <w:vAlign w:val="bottom"/>
          </w:tcPr>
          <w:p w:rsidR="00576F87" w:rsidRDefault="004165F5">
            <w:pPr>
              <w:spacing w:after="0"/>
              <w:ind w:right="1"/>
              <w:jc w:val="right"/>
            </w:pPr>
            <w:r>
              <w:t>(4,029)</w:t>
            </w:r>
          </w:p>
        </w:tc>
      </w:tr>
      <w:tr w:rsidR="00576F87">
        <w:trPr>
          <w:trHeight w:val="348"/>
        </w:trPr>
        <w:tc>
          <w:tcPr>
            <w:tcW w:w="1883"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right="2"/>
              <w:jc w:val="right"/>
            </w:pPr>
            <w:r>
              <w:rPr>
                <w:rFonts w:ascii="Verdana" w:eastAsia="Verdana" w:hAnsi="Verdana" w:cs="Verdana"/>
                <w:b/>
                <w:color w:val="FFFFFF"/>
                <w:sz w:val="18"/>
              </w:rPr>
              <w:t>(2,883)</w:t>
            </w:r>
          </w:p>
        </w:tc>
        <w:tc>
          <w:tcPr>
            <w:tcW w:w="6139"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left="5"/>
            </w:pPr>
            <w:r>
              <w:rPr>
                <w:rFonts w:ascii="Verdana" w:eastAsia="Verdana" w:hAnsi="Verdana" w:cs="Verdana"/>
                <w:b/>
                <w:color w:val="FFFFFF"/>
                <w:sz w:val="18"/>
              </w:rPr>
              <w:t>Restated closing reserve</w:t>
            </w:r>
          </w:p>
        </w:tc>
        <w:tc>
          <w:tcPr>
            <w:tcW w:w="1886"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4165F5">
            <w:pPr>
              <w:spacing w:after="0"/>
              <w:ind w:right="2"/>
              <w:jc w:val="right"/>
            </w:pPr>
            <w:r>
              <w:rPr>
                <w:rFonts w:ascii="Verdana" w:eastAsia="Verdana" w:hAnsi="Verdana" w:cs="Verdana"/>
                <w:b/>
                <w:color w:val="FFFFFF"/>
                <w:sz w:val="18"/>
              </w:rPr>
              <w:t>(2,684)</w:t>
            </w:r>
          </w:p>
        </w:tc>
      </w:tr>
    </w:tbl>
    <w:p w:rsidR="00576F87" w:rsidRDefault="004165F5">
      <w:pPr>
        <w:spacing w:after="46"/>
        <w:ind w:left="286" w:hanging="10"/>
      </w:pPr>
      <w:r>
        <w:rPr>
          <w:rFonts w:ascii="Verdana" w:eastAsia="Verdana" w:hAnsi="Verdana" w:cs="Verdana"/>
          <w:b/>
          <w:sz w:val="18"/>
        </w:rPr>
        <w:t>Provision in Joint Venture</w:t>
      </w:r>
    </w:p>
    <w:tbl>
      <w:tblPr>
        <w:tblStyle w:val="TableGrid"/>
        <w:tblW w:w="9908" w:type="dxa"/>
        <w:tblInd w:w="236" w:type="dxa"/>
        <w:tblCellMar>
          <w:top w:w="8" w:type="dxa"/>
          <w:left w:w="38" w:type="dxa"/>
          <w:bottom w:w="6" w:type="dxa"/>
          <w:right w:w="38" w:type="dxa"/>
        </w:tblCellMar>
        <w:tblLook w:val="04A0" w:firstRow="1" w:lastRow="0" w:firstColumn="1" w:lastColumn="0" w:noHBand="0" w:noVBand="1"/>
      </w:tblPr>
      <w:tblGrid>
        <w:gridCol w:w="1883"/>
        <w:gridCol w:w="6139"/>
        <w:gridCol w:w="1886"/>
      </w:tblGrid>
      <w:tr w:rsidR="00576F87">
        <w:trPr>
          <w:trHeight w:val="334"/>
        </w:trPr>
        <w:tc>
          <w:tcPr>
            <w:tcW w:w="1883"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31 March 2017</w:t>
            </w:r>
          </w:p>
        </w:tc>
        <w:tc>
          <w:tcPr>
            <w:tcW w:w="6139"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576F87"/>
        </w:tc>
        <w:tc>
          <w:tcPr>
            <w:tcW w:w="1886" w:type="dxa"/>
            <w:tcBorders>
              <w:top w:val="single" w:sz="15" w:space="0" w:color="35437C"/>
              <w:left w:val="single" w:sz="15"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31 March 2018</w:t>
            </w:r>
          </w:p>
        </w:tc>
      </w:tr>
      <w:tr w:rsidR="00576F87">
        <w:trPr>
          <w:trHeight w:val="230"/>
        </w:trPr>
        <w:tc>
          <w:tcPr>
            <w:tcW w:w="1883"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2"/>
              <w:jc w:val="right"/>
            </w:pPr>
            <w:r>
              <w:rPr>
                <w:b/>
              </w:rPr>
              <w:t>£'000</w:t>
            </w:r>
          </w:p>
        </w:tc>
        <w:tc>
          <w:tcPr>
            <w:tcW w:w="6139"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886"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2"/>
              <w:jc w:val="right"/>
            </w:pPr>
            <w:r>
              <w:rPr>
                <w:b/>
              </w:rPr>
              <w:t>£'000</w:t>
            </w:r>
          </w:p>
        </w:tc>
      </w:tr>
      <w:tr w:rsidR="00576F87">
        <w:trPr>
          <w:trHeight w:val="610"/>
        </w:trPr>
        <w:tc>
          <w:tcPr>
            <w:tcW w:w="1883" w:type="dxa"/>
            <w:tcBorders>
              <w:top w:val="single" w:sz="8" w:space="0" w:color="35437C"/>
              <w:left w:val="single" w:sz="12" w:space="0" w:color="35437C"/>
              <w:bottom w:val="single" w:sz="8" w:space="0" w:color="35437C"/>
              <w:right w:val="single" w:sz="8" w:space="0" w:color="35437C"/>
            </w:tcBorders>
            <w:shd w:val="clear" w:color="auto" w:fill="FFFFFF"/>
            <w:vAlign w:val="bottom"/>
          </w:tcPr>
          <w:p w:rsidR="00576F87" w:rsidRDefault="004165F5">
            <w:pPr>
              <w:spacing w:after="0"/>
              <w:ind w:right="1"/>
              <w:jc w:val="right"/>
            </w:pPr>
            <w:r>
              <w:t>(590)</w:t>
            </w:r>
          </w:p>
        </w:tc>
        <w:tc>
          <w:tcPr>
            <w:tcW w:w="6139"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t>Closing (provision)/ investment  in joint venture before prior year adjustment</w:t>
            </w:r>
          </w:p>
        </w:tc>
        <w:tc>
          <w:tcPr>
            <w:tcW w:w="1886" w:type="dxa"/>
            <w:tcBorders>
              <w:top w:val="single" w:sz="8" w:space="0" w:color="35437C"/>
              <w:left w:val="single" w:sz="8" w:space="0" w:color="35437C"/>
              <w:bottom w:val="single" w:sz="8" w:space="0" w:color="35437C"/>
              <w:right w:val="single" w:sz="15" w:space="0" w:color="35437C"/>
            </w:tcBorders>
            <w:shd w:val="clear" w:color="auto" w:fill="FFFFFF"/>
            <w:vAlign w:val="bottom"/>
          </w:tcPr>
          <w:p w:rsidR="00576F87" w:rsidRDefault="004165F5">
            <w:pPr>
              <w:spacing w:after="0"/>
              <w:ind w:right="2"/>
              <w:jc w:val="right"/>
            </w:pPr>
            <w:r>
              <w:t>456</w:t>
            </w:r>
          </w:p>
        </w:tc>
      </w:tr>
      <w:tr w:rsidR="00576F87">
        <w:trPr>
          <w:trHeight w:val="566"/>
        </w:trPr>
        <w:tc>
          <w:tcPr>
            <w:tcW w:w="1883" w:type="dxa"/>
            <w:tcBorders>
              <w:top w:val="single" w:sz="8" w:space="0" w:color="35437C"/>
              <w:left w:val="single" w:sz="12" w:space="0" w:color="35437C"/>
              <w:bottom w:val="single" w:sz="8" w:space="0" w:color="35437C"/>
              <w:right w:val="single" w:sz="8" w:space="0" w:color="35437C"/>
            </w:tcBorders>
            <w:vAlign w:val="bottom"/>
          </w:tcPr>
          <w:p w:rsidR="00576F87" w:rsidRDefault="004165F5">
            <w:pPr>
              <w:spacing w:after="0"/>
              <w:ind w:right="1"/>
              <w:jc w:val="right"/>
            </w:pPr>
            <w:r>
              <w:t>(4,029)</w:t>
            </w:r>
          </w:p>
        </w:tc>
        <w:tc>
          <w:tcPr>
            <w:tcW w:w="613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t xml:space="preserve">Inclusion of 50% of retirement benefit obligations reserve in the </w:t>
            </w:r>
          </w:p>
          <w:p w:rsidR="00576F87" w:rsidRDefault="004165F5">
            <w:pPr>
              <w:spacing w:after="0"/>
            </w:pPr>
            <w:r>
              <w:t>LPP Joint venture</w:t>
            </w:r>
          </w:p>
        </w:tc>
        <w:tc>
          <w:tcPr>
            <w:tcW w:w="1886" w:type="dxa"/>
            <w:tcBorders>
              <w:top w:val="single" w:sz="8" w:space="0" w:color="35437C"/>
              <w:left w:val="single" w:sz="8" w:space="0" w:color="35437C"/>
              <w:bottom w:val="single" w:sz="8" w:space="0" w:color="35437C"/>
              <w:right w:val="single" w:sz="15" w:space="0" w:color="35437C"/>
            </w:tcBorders>
            <w:vAlign w:val="bottom"/>
          </w:tcPr>
          <w:p w:rsidR="00576F87" w:rsidRDefault="004165F5">
            <w:pPr>
              <w:spacing w:after="0"/>
              <w:ind w:right="1"/>
              <w:jc w:val="right"/>
            </w:pPr>
            <w:r>
              <w:t>(4,029)</w:t>
            </w:r>
          </w:p>
        </w:tc>
      </w:tr>
      <w:tr w:rsidR="00576F87">
        <w:trPr>
          <w:trHeight w:val="230"/>
        </w:trPr>
        <w:tc>
          <w:tcPr>
            <w:tcW w:w="1883"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right="2"/>
              <w:jc w:val="right"/>
            </w:pPr>
            <w:r>
              <w:rPr>
                <w:rFonts w:ascii="Verdana" w:eastAsia="Verdana" w:hAnsi="Verdana" w:cs="Verdana"/>
                <w:b/>
                <w:color w:val="FFFFFF"/>
                <w:sz w:val="18"/>
              </w:rPr>
              <w:t>(4,619)</w:t>
            </w:r>
          </w:p>
        </w:tc>
        <w:tc>
          <w:tcPr>
            <w:tcW w:w="6139"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left="5"/>
            </w:pPr>
            <w:r>
              <w:rPr>
                <w:rFonts w:ascii="Verdana" w:eastAsia="Verdana" w:hAnsi="Verdana" w:cs="Verdana"/>
                <w:b/>
                <w:color w:val="FFFFFF"/>
                <w:sz w:val="18"/>
              </w:rPr>
              <w:t>Restated provision in joint venture</w:t>
            </w:r>
          </w:p>
        </w:tc>
        <w:tc>
          <w:tcPr>
            <w:tcW w:w="1886"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4165F5">
            <w:pPr>
              <w:spacing w:after="0"/>
              <w:ind w:right="2"/>
              <w:jc w:val="right"/>
            </w:pPr>
            <w:r>
              <w:rPr>
                <w:rFonts w:ascii="Verdana" w:eastAsia="Verdana" w:hAnsi="Verdana" w:cs="Verdana"/>
                <w:b/>
                <w:color w:val="FFFFFF"/>
                <w:sz w:val="18"/>
              </w:rPr>
              <w:t>(3,573)</w:t>
            </w:r>
          </w:p>
        </w:tc>
      </w:tr>
    </w:tbl>
    <w:p w:rsidR="00576F87" w:rsidRDefault="004165F5">
      <w:pPr>
        <w:spacing w:after="0"/>
        <w:ind w:left="406" w:hanging="10"/>
      </w:pPr>
      <w:r>
        <w:rPr>
          <w:rFonts w:ascii="Verdana" w:eastAsia="Verdana" w:hAnsi="Verdana" w:cs="Verdana"/>
          <w:b/>
          <w:sz w:val="18"/>
        </w:rPr>
        <w:t>Exceptional item</w:t>
      </w:r>
    </w:p>
    <w:tbl>
      <w:tblPr>
        <w:tblStyle w:val="TableGrid"/>
        <w:tblW w:w="9908" w:type="dxa"/>
        <w:tblInd w:w="236" w:type="dxa"/>
        <w:tblCellMar>
          <w:top w:w="0" w:type="dxa"/>
          <w:left w:w="38" w:type="dxa"/>
          <w:bottom w:w="6" w:type="dxa"/>
          <w:right w:w="38" w:type="dxa"/>
        </w:tblCellMar>
        <w:tblLook w:val="04A0" w:firstRow="1" w:lastRow="0" w:firstColumn="1" w:lastColumn="0" w:noHBand="0" w:noVBand="1"/>
      </w:tblPr>
      <w:tblGrid>
        <w:gridCol w:w="1883"/>
        <w:gridCol w:w="6139"/>
        <w:gridCol w:w="1886"/>
      </w:tblGrid>
      <w:tr w:rsidR="00576F87">
        <w:trPr>
          <w:trHeight w:val="406"/>
        </w:trPr>
        <w:tc>
          <w:tcPr>
            <w:tcW w:w="1883"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31 March 2017</w:t>
            </w:r>
          </w:p>
        </w:tc>
        <w:tc>
          <w:tcPr>
            <w:tcW w:w="6139"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576F87"/>
        </w:tc>
        <w:tc>
          <w:tcPr>
            <w:tcW w:w="1886" w:type="dxa"/>
            <w:tcBorders>
              <w:top w:val="single" w:sz="15" w:space="0" w:color="35437C"/>
              <w:left w:val="single" w:sz="15" w:space="0" w:color="35437C"/>
              <w:bottom w:val="single" w:sz="8"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31 March 2018</w:t>
            </w:r>
          </w:p>
        </w:tc>
      </w:tr>
      <w:tr w:rsidR="00576F87">
        <w:trPr>
          <w:trHeight w:val="230"/>
        </w:trPr>
        <w:tc>
          <w:tcPr>
            <w:tcW w:w="1883"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2"/>
              <w:jc w:val="right"/>
            </w:pPr>
            <w:r>
              <w:rPr>
                <w:b/>
              </w:rPr>
              <w:t>£'000</w:t>
            </w:r>
          </w:p>
        </w:tc>
        <w:tc>
          <w:tcPr>
            <w:tcW w:w="6139"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886"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2"/>
              <w:jc w:val="right"/>
            </w:pPr>
            <w:r>
              <w:rPr>
                <w:b/>
              </w:rPr>
              <w:t>£'000</w:t>
            </w:r>
          </w:p>
        </w:tc>
      </w:tr>
      <w:tr w:rsidR="00576F87">
        <w:trPr>
          <w:trHeight w:val="230"/>
        </w:trPr>
        <w:tc>
          <w:tcPr>
            <w:tcW w:w="1883"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1"/>
              <w:jc w:val="right"/>
            </w:pPr>
            <w:r>
              <w:t>6,509</w:t>
            </w:r>
          </w:p>
        </w:tc>
        <w:tc>
          <w:tcPr>
            <w:tcW w:w="6139"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4165F5">
            <w:pPr>
              <w:spacing w:after="0"/>
            </w:pPr>
            <w:r>
              <w:t>Transfer of pension liability to the LPP Joint venture</w:t>
            </w:r>
          </w:p>
        </w:tc>
        <w:tc>
          <w:tcPr>
            <w:tcW w:w="1886"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jc w:val="right"/>
            </w:pPr>
            <w:r>
              <w:t>-</w:t>
            </w:r>
          </w:p>
        </w:tc>
      </w:tr>
      <w:tr w:rsidR="00576F87">
        <w:trPr>
          <w:trHeight w:val="521"/>
        </w:trPr>
        <w:tc>
          <w:tcPr>
            <w:tcW w:w="1883" w:type="dxa"/>
            <w:tcBorders>
              <w:top w:val="single" w:sz="8" w:space="0" w:color="35437C"/>
              <w:left w:val="single" w:sz="12" w:space="0" w:color="35437C"/>
              <w:bottom w:val="single" w:sz="8" w:space="0" w:color="35437C"/>
              <w:right w:val="single" w:sz="8" w:space="0" w:color="35437C"/>
            </w:tcBorders>
            <w:vAlign w:val="bottom"/>
          </w:tcPr>
          <w:p w:rsidR="00576F87" w:rsidRDefault="004165F5">
            <w:pPr>
              <w:spacing w:after="0"/>
              <w:ind w:right="1"/>
              <w:jc w:val="right"/>
            </w:pPr>
            <w:r>
              <w:t>(4,029)</w:t>
            </w:r>
          </w:p>
        </w:tc>
        <w:tc>
          <w:tcPr>
            <w:tcW w:w="613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t xml:space="preserve">Inclusion of 50% of retirement benefit obligations reserve in the </w:t>
            </w:r>
          </w:p>
          <w:p w:rsidR="00576F87" w:rsidRDefault="004165F5">
            <w:pPr>
              <w:spacing w:after="0"/>
            </w:pPr>
            <w:r>
              <w:t>LPP Joint venture</w:t>
            </w:r>
          </w:p>
        </w:tc>
        <w:tc>
          <w:tcPr>
            <w:tcW w:w="1886" w:type="dxa"/>
            <w:tcBorders>
              <w:top w:val="single" w:sz="8" w:space="0" w:color="35437C"/>
              <w:left w:val="single" w:sz="8" w:space="0" w:color="35437C"/>
              <w:bottom w:val="single" w:sz="8" w:space="0" w:color="35437C"/>
              <w:right w:val="single" w:sz="15" w:space="0" w:color="35437C"/>
            </w:tcBorders>
            <w:vAlign w:val="bottom"/>
          </w:tcPr>
          <w:p w:rsidR="00576F87" w:rsidRDefault="004165F5">
            <w:pPr>
              <w:spacing w:after="0"/>
              <w:jc w:val="right"/>
            </w:pPr>
            <w:r>
              <w:t>-</w:t>
            </w:r>
          </w:p>
        </w:tc>
      </w:tr>
      <w:tr w:rsidR="00576F87">
        <w:trPr>
          <w:trHeight w:val="230"/>
        </w:trPr>
        <w:tc>
          <w:tcPr>
            <w:tcW w:w="1883"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jc w:val="right"/>
            </w:pPr>
            <w:r>
              <w:rPr>
                <w:rFonts w:ascii="Verdana" w:eastAsia="Verdana" w:hAnsi="Verdana" w:cs="Verdana"/>
                <w:b/>
                <w:color w:val="FFFFFF"/>
                <w:sz w:val="18"/>
              </w:rPr>
              <w:t>2,480</w:t>
            </w:r>
          </w:p>
        </w:tc>
        <w:tc>
          <w:tcPr>
            <w:tcW w:w="6139"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left="5"/>
            </w:pPr>
            <w:r>
              <w:rPr>
                <w:rFonts w:ascii="Verdana" w:eastAsia="Verdana" w:hAnsi="Verdana" w:cs="Verdana"/>
                <w:b/>
                <w:color w:val="FFFFFF"/>
                <w:sz w:val="18"/>
              </w:rPr>
              <w:t>Net exceptional item</w:t>
            </w:r>
          </w:p>
        </w:tc>
        <w:tc>
          <w:tcPr>
            <w:tcW w:w="1886"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4165F5">
            <w:pPr>
              <w:spacing w:after="0"/>
              <w:ind w:right="1"/>
              <w:jc w:val="right"/>
            </w:pPr>
            <w:r>
              <w:rPr>
                <w:rFonts w:ascii="Verdana" w:eastAsia="Verdana" w:hAnsi="Verdana" w:cs="Verdana"/>
                <w:b/>
                <w:color w:val="FFFFFF"/>
                <w:sz w:val="18"/>
              </w:rPr>
              <w:t>-</w:t>
            </w:r>
          </w:p>
        </w:tc>
      </w:tr>
    </w:tbl>
    <w:p w:rsidR="00576F87" w:rsidRDefault="004165F5">
      <w:pPr>
        <w:spacing w:after="182" w:line="268" w:lineRule="auto"/>
        <w:ind w:left="274" w:right="205" w:hanging="3"/>
        <w:jc w:val="both"/>
      </w:pPr>
      <w:r>
        <w:rPr>
          <w:rFonts w:ascii="Verdana" w:eastAsia="Verdana" w:hAnsi="Verdana" w:cs="Verdana"/>
          <w:sz w:val="18"/>
        </w:rPr>
        <w:t>The exceptional item in the entity and group accounts of £6,509K is comprised of the pension liabilities extinguished of £14,147K less the amount paid to transfer the liabilities to the LPP, being £7,638K. In addition, 50% of the pension liability within t</w:t>
      </w:r>
      <w:r>
        <w:rPr>
          <w:rFonts w:ascii="Verdana" w:eastAsia="Verdana" w:hAnsi="Verdana" w:cs="Verdana"/>
          <w:sz w:val="18"/>
        </w:rPr>
        <w:t>he LPP joint venture has been included in the group accounts, being £4,029K.</w:t>
      </w:r>
    </w:p>
    <w:p w:rsidR="00576F87" w:rsidRDefault="004165F5">
      <w:pPr>
        <w:spacing w:after="379" w:line="268" w:lineRule="auto"/>
        <w:ind w:left="274" w:right="206" w:hanging="3"/>
        <w:jc w:val="both"/>
      </w:pPr>
      <w:r>
        <w:rPr>
          <w:rFonts w:ascii="Verdana" w:eastAsia="Verdana" w:hAnsi="Verdana" w:cs="Verdana"/>
          <w:sz w:val="18"/>
        </w:rPr>
        <w:t>The prior year adjustment was required to include 50% of the pension liability within the LPP Joint Venture in the group accounts. This amount should have been included in the gro</w:t>
      </w:r>
      <w:r>
        <w:rPr>
          <w:rFonts w:ascii="Verdana" w:eastAsia="Verdana" w:hAnsi="Verdana" w:cs="Verdana"/>
          <w:sz w:val="18"/>
        </w:rPr>
        <w:t>up income and expenditure account in 2016/17.</w:t>
      </w:r>
    </w:p>
    <w:p w:rsidR="00576F87" w:rsidRDefault="004165F5">
      <w:pPr>
        <w:numPr>
          <w:ilvl w:val="0"/>
          <w:numId w:val="18"/>
        </w:numPr>
        <w:spacing w:after="0"/>
        <w:ind w:hanging="1980"/>
      </w:pPr>
      <w:r>
        <w:rPr>
          <w:rFonts w:ascii="Verdana" w:eastAsia="Verdana" w:hAnsi="Verdana" w:cs="Verdana"/>
          <w:sz w:val="28"/>
        </w:rPr>
        <w:t>Related Party Transactions</w:t>
      </w:r>
    </w:p>
    <w:p w:rsidR="00576F87" w:rsidRDefault="004165F5">
      <w:pPr>
        <w:spacing w:after="309" w:line="268" w:lineRule="auto"/>
        <w:ind w:left="274" w:right="204" w:hanging="3"/>
        <w:jc w:val="both"/>
      </w:pPr>
      <w:r>
        <w:rPr>
          <w:rFonts w:ascii="Verdana" w:eastAsia="Verdana" w:hAnsi="Verdana" w:cs="Verdana"/>
          <w:sz w:val="18"/>
        </w:rPr>
        <w:t>This disclosure note has been produced using a specific declaration obtained in respect of related party transactions. Agency contracts and pension funds are related parties. LPFA Pen</w:t>
      </w:r>
      <w:r>
        <w:rPr>
          <w:rFonts w:ascii="Verdana" w:eastAsia="Verdana" w:hAnsi="Verdana" w:cs="Verdana"/>
          <w:sz w:val="18"/>
        </w:rPr>
        <w:t>sion Fund, Residual Liabilities and the Greater London Authority are related parties and transactions relating to such are disclosed elsewhere within these accounts.</w:t>
      </w:r>
    </w:p>
    <w:p w:rsidR="00576F87" w:rsidRDefault="004165F5">
      <w:pPr>
        <w:spacing w:after="229" w:line="268" w:lineRule="auto"/>
        <w:ind w:left="274" w:hanging="3"/>
        <w:jc w:val="both"/>
      </w:pPr>
      <w:r>
        <w:rPr>
          <w:rFonts w:ascii="Verdana" w:eastAsia="Verdana" w:hAnsi="Verdana" w:cs="Verdana"/>
          <w:sz w:val="18"/>
        </w:rPr>
        <w:t>LPP and its subsidiaries are also related parties, details of which are in note 16.</w:t>
      </w:r>
    </w:p>
    <w:p w:rsidR="00576F87" w:rsidRDefault="004165F5">
      <w:pPr>
        <w:spacing w:after="211" w:line="268" w:lineRule="auto"/>
        <w:ind w:left="274" w:hanging="3"/>
        <w:jc w:val="both"/>
      </w:pPr>
      <w:r>
        <w:rPr>
          <w:rFonts w:ascii="Verdana" w:eastAsia="Verdana" w:hAnsi="Verdana" w:cs="Verdana"/>
          <w:sz w:val="18"/>
        </w:rPr>
        <w:t>The appropriate disclosures have been made in the Pension Fund accounts.</w:t>
      </w:r>
    </w:p>
    <w:p w:rsidR="00576F87" w:rsidRDefault="004165F5">
      <w:pPr>
        <w:spacing w:after="5" w:line="268" w:lineRule="auto"/>
        <w:ind w:left="274" w:right="204" w:hanging="3"/>
        <w:jc w:val="both"/>
      </w:pPr>
      <w:r>
        <w:rPr>
          <w:rFonts w:ascii="Verdana" w:eastAsia="Verdana" w:hAnsi="Verdana" w:cs="Verdana"/>
          <w:sz w:val="18"/>
        </w:rPr>
        <w:t>LPFA has a loan facility with LPP, but this was not drawn down as at 31 March 2018. The facility is for £17.5m, to be repaid within ten years of the withdrawal date, at a rate initial</w:t>
      </w:r>
      <w:r>
        <w:rPr>
          <w:rFonts w:ascii="Verdana" w:eastAsia="Verdana" w:hAnsi="Verdana" w:cs="Verdana"/>
          <w:sz w:val="18"/>
        </w:rPr>
        <w:t xml:space="preserve">ly of 1.3% before draw down and at 4.25% thereafter. </w:t>
      </w:r>
    </w:p>
    <w:p w:rsidR="00576F87" w:rsidRDefault="004165F5">
      <w:pPr>
        <w:numPr>
          <w:ilvl w:val="0"/>
          <w:numId w:val="18"/>
        </w:numPr>
        <w:spacing w:after="191"/>
        <w:ind w:hanging="1980"/>
      </w:pPr>
      <w:r>
        <w:rPr>
          <w:rFonts w:ascii="Verdana" w:eastAsia="Verdana" w:hAnsi="Verdana" w:cs="Verdana"/>
          <w:sz w:val="28"/>
        </w:rPr>
        <w:t>Debtors</w:t>
      </w:r>
    </w:p>
    <w:p w:rsidR="00576F87" w:rsidRDefault="004165F5">
      <w:pPr>
        <w:spacing w:after="101" w:line="268" w:lineRule="auto"/>
        <w:ind w:left="557" w:right="1179" w:hanging="3"/>
        <w:jc w:val="both"/>
      </w:pPr>
      <w:r>
        <w:rPr>
          <w:rFonts w:ascii="Verdana" w:eastAsia="Verdana" w:hAnsi="Verdana" w:cs="Verdana"/>
          <w:sz w:val="18"/>
        </w:rPr>
        <w:t xml:space="preserve">The LPFA does not have any transactions with NHS bodies and the significant majority of debtors are with other local authorities, the primary relationship with central government bodies is with </w:t>
      </w:r>
      <w:r>
        <w:rPr>
          <w:rFonts w:ascii="Verdana" w:eastAsia="Verdana" w:hAnsi="Verdana" w:cs="Verdana"/>
          <w:sz w:val="18"/>
        </w:rPr>
        <w:t>Her Majesty’s Revenues and Customs for VAT.</w:t>
      </w:r>
    </w:p>
    <w:tbl>
      <w:tblPr>
        <w:tblStyle w:val="TableGrid"/>
        <w:tblW w:w="8651" w:type="dxa"/>
        <w:tblInd w:w="520" w:type="dxa"/>
        <w:tblCellMar>
          <w:top w:w="60" w:type="dxa"/>
          <w:left w:w="38" w:type="dxa"/>
          <w:bottom w:w="0" w:type="dxa"/>
          <w:right w:w="34" w:type="dxa"/>
        </w:tblCellMar>
        <w:tblLook w:val="04A0" w:firstRow="1" w:lastRow="0" w:firstColumn="1" w:lastColumn="0" w:noHBand="0" w:noVBand="1"/>
      </w:tblPr>
      <w:tblGrid>
        <w:gridCol w:w="1559"/>
        <w:gridCol w:w="5383"/>
        <w:gridCol w:w="1709"/>
      </w:tblGrid>
      <w:tr w:rsidR="00576F87">
        <w:trPr>
          <w:trHeight w:val="290"/>
        </w:trPr>
        <w:tc>
          <w:tcPr>
            <w:tcW w:w="1559"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ind w:right="3"/>
              <w:jc w:val="right"/>
            </w:pPr>
            <w:r>
              <w:rPr>
                <w:rFonts w:ascii="Verdana" w:eastAsia="Verdana" w:hAnsi="Verdana" w:cs="Verdana"/>
                <w:b/>
                <w:color w:val="FFFFFF"/>
                <w:sz w:val="18"/>
              </w:rPr>
              <w:t>2016/17</w:t>
            </w:r>
          </w:p>
        </w:tc>
        <w:tc>
          <w:tcPr>
            <w:tcW w:w="5383"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709"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3"/>
              <w:jc w:val="right"/>
            </w:pPr>
            <w:r>
              <w:rPr>
                <w:rFonts w:ascii="Verdana" w:eastAsia="Verdana" w:hAnsi="Verdana" w:cs="Verdana"/>
                <w:b/>
                <w:color w:val="FFFFFF"/>
                <w:sz w:val="18"/>
              </w:rPr>
              <w:t>2017/18</w:t>
            </w:r>
          </w:p>
        </w:tc>
      </w:tr>
      <w:tr w:rsidR="00576F87">
        <w:trPr>
          <w:trHeight w:val="290"/>
        </w:trPr>
        <w:tc>
          <w:tcPr>
            <w:tcW w:w="155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5"/>
              <w:jc w:val="right"/>
            </w:pPr>
            <w:r>
              <w:rPr>
                <w:b/>
              </w:rPr>
              <w:t>£'000</w:t>
            </w:r>
          </w:p>
        </w:tc>
        <w:tc>
          <w:tcPr>
            <w:tcW w:w="5383"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709"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5"/>
              <w:jc w:val="right"/>
            </w:pPr>
            <w:r>
              <w:rPr>
                <w:b/>
              </w:rPr>
              <w:t>£'000</w:t>
            </w:r>
          </w:p>
        </w:tc>
      </w:tr>
      <w:tr w:rsidR="00576F87">
        <w:trPr>
          <w:trHeight w:val="290"/>
        </w:trPr>
        <w:tc>
          <w:tcPr>
            <w:tcW w:w="1559" w:type="dxa"/>
            <w:tcBorders>
              <w:top w:val="single" w:sz="8" w:space="0" w:color="35437C"/>
              <w:left w:val="single" w:sz="12"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523</w:t>
            </w:r>
          </w:p>
        </w:tc>
        <w:tc>
          <w:tcPr>
            <w:tcW w:w="538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Central Government Bodies</w:t>
            </w:r>
          </w:p>
        </w:tc>
        <w:tc>
          <w:tcPr>
            <w:tcW w:w="1709"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
              <w:jc w:val="right"/>
            </w:pPr>
            <w:r>
              <w:t>-</w:t>
            </w:r>
          </w:p>
        </w:tc>
      </w:tr>
      <w:tr w:rsidR="00576F87">
        <w:trPr>
          <w:trHeight w:val="290"/>
        </w:trPr>
        <w:tc>
          <w:tcPr>
            <w:tcW w:w="1559" w:type="dxa"/>
            <w:tcBorders>
              <w:top w:val="single" w:sz="8" w:space="0" w:color="35437C"/>
              <w:left w:val="single" w:sz="12"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406</w:t>
            </w:r>
          </w:p>
        </w:tc>
        <w:tc>
          <w:tcPr>
            <w:tcW w:w="538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Other Local Authorities</w:t>
            </w:r>
          </w:p>
        </w:tc>
        <w:tc>
          <w:tcPr>
            <w:tcW w:w="1709"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5"/>
              <w:jc w:val="right"/>
            </w:pPr>
            <w:r>
              <w:t>1,051</w:t>
            </w:r>
          </w:p>
        </w:tc>
      </w:tr>
      <w:tr w:rsidR="00576F87">
        <w:trPr>
          <w:trHeight w:val="290"/>
        </w:trPr>
        <w:tc>
          <w:tcPr>
            <w:tcW w:w="1559" w:type="dxa"/>
            <w:tcBorders>
              <w:top w:val="single" w:sz="8" w:space="0" w:color="35437C"/>
              <w:left w:val="single" w:sz="12"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212</w:t>
            </w:r>
          </w:p>
        </w:tc>
        <w:tc>
          <w:tcPr>
            <w:tcW w:w="538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Other Entities and Individuals</w:t>
            </w:r>
          </w:p>
        </w:tc>
        <w:tc>
          <w:tcPr>
            <w:tcW w:w="1709"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
              <w:jc w:val="right"/>
            </w:pPr>
            <w:r>
              <w:t>-</w:t>
            </w:r>
          </w:p>
        </w:tc>
      </w:tr>
      <w:tr w:rsidR="00576F87">
        <w:trPr>
          <w:trHeight w:val="290"/>
        </w:trPr>
        <w:tc>
          <w:tcPr>
            <w:tcW w:w="1559" w:type="dxa"/>
            <w:tcBorders>
              <w:top w:val="single" w:sz="8" w:space="0" w:color="35437C"/>
              <w:left w:val="single" w:sz="12" w:space="0" w:color="35437C"/>
              <w:bottom w:val="single" w:sz="8" w:space="0" w:color="35437C"/>
              <w:right w:val="single" w:sz="8" w:space="0" w:color="35437C"/>
            </w:tcBorders>
          </w:tcPr>
          <w:p w:rsidR="00576F87" w:rsidRDefault="004165F5">
            <w:pPr>
              <w:spacing w:after="0"/>
              <w:ind w:right="4"/>
              <w:jc w:val="right"/>
            </w:pPr>
            <w:r>
              <w:t>(39)</w:t>
            </w:r>
          </w:p>
        </w:tc>
        <w:tc>
          <w:tcPr>
            <w:tcW w:w="538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Impairment of bad and doubtful debts</w:t>
            </w:r>
          </w:p>
        </w:tc>
        <w:tc>
          <w:tcPr>
            <w:tcW w:w="1709"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
              <w:jc w:val="right"/>
            </w:pPr>
            <w:r>
              <w:t>(679)</w:t>
            </w:r>
          </w:p>
        </w:tc>
      </w:tr>
      <w:tr w:rsidR="00576F87">
        <w:trPr>
          <w:trHeight w:val="305"/>
        </w:trPr>
        <w:tc>
          <w:tcPr>
            <w:tcW w:w="1559"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right="3"/>
              <w:jc w:val="right"/>
            </w:pPr>
            <w:r>
              <w:rPr>
                <w:rFonts w:ascii="Verdana" w:eastAsia="Verdana" w:hAnsi="Verdana" w:cs="Verdana"/>
                <w:b/>
                <w:color w:val="FFFFFF"/>
                <w:sz w:val="18"/>
              </w:rPr>
              <w:t>1,102</w:t>
            </w:r>
          </w:p>
        </w:tc>
        <w:tc>
          <w:tcPr>
            <w:tcW w:w="5383"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1709"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3"/>
              <w:jc w:val="right"/>
            </w:pPr>
            <w:r>
              <w:rPr>
                <w:rFonts w:ascii="Verdana" w:eastAsia="Verdana" w:hAnsi="Verdana" w:cs="Verdana"/>
                <w:b/>
                <w:color w:val="FFFFFF"/>
                <w:sz w:val="18"/>
              </w:rPr>
              <w:t>372</w:t>
            </w:r>
          </w:p>
        </w:tc>
      </w:tr>
    </w:tbl>
    <w:p w:rsidR="00576F87" w:rsidRDefault="004165F5">
      <w:pPr>
        <w:spacing w:after="478" w:line="268" w:lineRule="auto"/>
        <w:ind w:left="557" w:right="1179" w:hanging="3"/>
        <w:jc w:val="both"/>
      </w:pPr>
      <w:r>
        <w:rPr>
          <w:rFonts w:ascii="Verdana" w:eastAsia="Verdana" w:hAnsi="Verdana" w:cs="Verdana"/>
          <w:sz w:val="18"/>
        </w:rPr>
        <w:t>Receivables from Central Government Bodies is comprised of a VAT rebate owed to LPFA. The total due from other entities and individuals is due to invoicing for agency contracts which started after 31</w:t>
      </w:r>
      <w:r>
        <w:rPr>
          <w:rFonts w:ascii="Verdana" w:eastAsia="Verdana" w:hAnsi="Verdana" w:cs="Verdana"/>
          <w:sz w:val="18"/>
          <w:vertAlign w:val="superscript"/>
        </w:rPr>
        <w:t>st</w:t>
      </w:r>
      <w:r>
        <w:rPr>
          <w:rFonts w:ascii="Verdana" w:eastAsia="Verdana" w:hAnsi="Verdana" w:cs="Verdana"/>
          <w:sz w:val="18"/>
        </w:rPr>
        <w:t xml:space="preserve"> March in 2016.</w:t>
      </w:r>
    </w:p>
    <w:p w:rsidR="00576F87" w:rsidRDefault="004165F5">
      <w:pPr>
        <w:numPr>
          <w:ilvl w:val="0"/>
          <w:numId w:val="18"/>
        </w:numPr>
        <w:spacing w:after="0"/>
        <w:ind w:hanging="1980"/>
      </w:pPr>
      <w:r>
        <w:rPr>
          <w:rFonts w:ascii="Verdana" w:eastAsia="Verdana" w:hAnsi="Verdana" w:cs="Verdana"/>
          <w:sz w:val="28"/>
        </w:rPr>
        <w:t>Creditors</w:t>
      </w:r>
    </w:p>
    <w:tbl>
      <w:tblPr>
        <w:tblStyle w:val="TableGrid"/>
        <w:tblW w:w="8651" w:type="dxa"/>
        <w:tblInd w:w="520" w:type="dxa"/>
        <w:tblCellMar>
          <w:top w:w="60" w:type="dxa"/>
          <w:left w:w="38" w:type="dxa"/>
          <w:bottom w:w="0" w:type="dxa"/>
          <w:right w:w="34" w:type="dxa"/>
        </w:tblCellMar>
        <w:tblLook w:val="04A0" w:firstRow="1" w:lastRow="0" w:firstColumn="1" w:lastColumn="0" w:noHBand="0" w:noVBand="1"/>
      </w:tblPr>
      <w:tblGrid>
        <w:gridCol w:w="1559"/>
        <w:gridCol w:w="5383"/>
        <w:gridCol w:w="1709"/>
      </w:tblGrid>
      <w:tr w:rsidR="00576F87">
        <w:trPr>
          <w:trHeight w:val="290"/>
        </w:trPr>
        <w:tc>
          <w:tcPr>
            <w:tcW w:w="1559"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ind w:right="3"/>
              <w:jc w:val="right"/>
            </w:pPr>
            <w:r>
              <w:rPr>
                <w:rFonts w:ascii="Verdana" w:eastAsia="Verdana" w:hAnsi="Verdana" w:cs="Verdana"/>
                <w:b/>
                <w:color w:val="FFFFFF"/>
                <w:sz w:val="18"/>
              </w:rPr>
              <w:t>2016/17</w:t>
            </w:r>
          </w:p>
        </w:tc>
        <w:tc>
          <w:tcPr>
            <w:tcW w:w="5383"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709"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3"/>
              <w:jc w:val="right"/>
            </w:pPr>
            <w:r>
              <w:rPr>
                <w:rFonts w:ascii="Verdana" w:eastAsia="Verdana" w:hAnsi="Verdana" w:cs="Verdana"/>
                <w:b/>
                <w:color w:val="FFFFFF"/>
                <w:sz w:val="18"/>
              </w:rPr>
              <w:t>2017/18</w:t>
            </w:r>
          </w:p>
        </w:tc>
      </w:tr>
      <w:tr w:rsidR="00576F87">
        <w:trPr>
          <w:trHeight w:val="290"/>
        </w:trPr>
        <w:tc>
          <w:tcPr>
            <w:tcW w:w="155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5"/>
              <w:jc w:val="right"/>
            </w:pPr>
            <w:r>
              <w:rPr>
                <w:b/>
              </w:rPr>
              <w:t>£'000</w:t>
            </w:r>
          </w:p>
        </w:tc>
        <w:tc>
          <w:tcPr>
            <w:tcW w:w="5383"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709"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5"/>
              <w:jc w:val="right"/>
            </w:pPr>
            <w:r>
              <w:rPr>
                <w:b/>
              </w:rPr>
              <w:t>£'000</w:t>
            </w:r>
          </w:p>
        </w:tc>
      </w:tr>
      <w:tr w:rsidR="00576F87">
        <w:trPr>
          <w:trHeight w:val="290"/>
        </w:trPr>
        <w:tc>
          <w:tcPr>
            <w:tcW w:w="1559" w:type="dxa"/>
            <w:tcBorders>
              <w:top w:val="single" w:sz="8" w:space="0" w:color="35437C"/>
              <w:left w:val="single" w:sz="12"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12</w:t>
            </w:r>
          </w:p>
        </w:tc>
        <w:tc>
          <w:tcPr>
            <w:tcW w:w="538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Central Government Bodies</w:t>
            </w:r>
          </w:p>
        </w:tc>
        <w:tc>
          <w:tcPr>
            <w:tcW w:w="1709"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5"/>
              <w:jc w:val="right"/>
            </w:pPr>
            <w:r>
              <w:t>234</w:t>
            </w:r>
          </w:p>
        </w:tc>
      </w:tr>
      <w:tr w:rsidR="00576F87">
        <w:trPr>
          <w:trHeight w:val="290"/>
        </w:trPr>
        <w:tc>
          <w:tcPr>
            <w:tcW w:w="1559" w:type="dxa"/>
            <w:tcBorders>
              <w:top w:val="single" w:sz="8" w:space="0" w:color="35437C"/>
              <w:left w:val="single" w:sz="12"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981</w:t>
            </w:r>
          </w:p>
        </w:tc>
        <w:tc>
          <w:tcPr>
            <w:tcW w:w="538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Other Local Authorities</w:t>
            </w:r>
          </w:p>
        </w:tc>
        <w:tc>
          <w:tcPr>
            <w:tcW w:w="1709"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
              <w:jc w:val="right"/>
            </w:pPr>
            <w:r>
              <w:t>-</w:t>
            </w:r>
          </w:p>
        </w:tc>
      </w:tr>
      <w:tr w:rsidR="00576F87">
        <w:trPr>
          <w:trHeight w:val="290"/>
        </w:trPr>
        <w:tc>
          <w:tcPr>
            <w:tcW w:w="1559" w:type="dxa"/>
            <w:tcBorders>
              <w:top w:val="single" w:sz="8" w:space="0" w:color="35437C"/>
              <w:left w:val="single" w:sz="12"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8"/>
              </w:rPr>
              <w:t>449</w:t>
            </w:r>
          </w:p>
        </w:tc>
        <w:tc>
          <w:tcPr>
            <w:tcW w:w="5383"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8"/>
              </w:rPr>
              <w:t>Other Entities and Individuals</w:t>
            </w:r>
          </w:p>
        </w:tc>
        <w:tc>
          <w:tcPr>
            <w:tcW w:w="1709"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5"/>
              <w:jc w:val="right"/>
            </w:pPr>
            <w:r>
              <w:t>924</w:t>
            </w:r>
          </w:p>
        </w:tc>
      </w:tr>
      <w:tr w:rsidR="00576F87">
        <w:trPr>
          <w:trHeight w:val="305"/>
        </w:trPr>
        <w:tc>
          <w:tcPr>
            <w:tcW w:w="1559" w:type="dxa"/>
            <w:tcBorders>
              <w:top w:val="single" w:sz="8" w:space="0" w:color="35437C"/>
              <w:left w:val="single" w:sz="12" w:space="0" w:color="35437C"/>
              <w:bottom w:val="single" w:sz="15" w:space="0" w:color="35437C"/>
              <w:right w:val="single" w:sz="8" w:space="0" w:color="35437C"/>
            </w:tcBorders>
            <w:shd w:val="clear" w:color="auto" w:fill="35437C"/>
          </w:tcPr>
          <w:p w:rsidR="00576F87" w:rsidRDefault="004165F5">
            <w:pPr>
              <w:spacing w:after="0"/>
              <w:ind w:right="3"/>
              <w:jc w:val="right"/>
            </w:pPr>
            <w:r>
              <w:rPr>
                <w:rFonts w:ascii="Verdana" w:eastAsia="Verdana" w:hAnsi="Verdana" w:cs="Verdana"/>
                <w:b/>
                <w:color w:val="FFFFFF"/>
                <w:sz w:val="18"/>
              </w:rPr>
              <w:t>1,442</w:t>
            </w:r>
          </w:p>
        </w:tc>
        <w:tc>
          <w:tcPr>
            <w:tcW w:w="5383"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1709"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3"/>
              <w:jc w:val="right"/>
            </w:pPr>
            <w:r>
              <w:rPr>
                <w:rFonts w:ascii="Verdana" w:eastAsia="Verdana" w:hAnsi="Verdana" w:cs="Verdana"/>
                <w:b/>
                <w:color w:val="FFFFFF"/>
                <w:sz w:val="18"/>
              </w:rPr>
              <w:t>1,158</w:t>
            </w:r>
          </w:p>
        </w:tc>
      </w:tr>
    </w:tbl>
    <w:p w:rsidR="00576F87" w:rsidRDefault="004165F5">
      <w:pPr>
        <w:spacing w:after="471" w:line="268" w:lineRule="auto"/>
        <w:ind w:left="557" w:hanging="3"/>
        <w:jc w:val="both"/>
      </w:pPr>
      <w:r>
        <w:rPr>
          <w:rFonts w:ascii="Verdana" w:eastAsia="Verdana" w:hAnsi="Verdana" w:cs="Verdana"/>
          <w:sz w:val="18"/>
        </w:rPr>
        <w:t>Payables to Central Government Bodies are comprised of PAYE.</w:t>
      </w:r>
    </w:p>
    <w:p w:rsidR="00576F87" w:rsidRDefault="004165F5">
      <w:pPr>
        <w:numPr>
          <w:ilvl w:val="0"/>
          <w:numId w:val="18"/>
        </w:numPr>
        <w:spacing w:after="0"/>
        <w:ind w:hanging="1980"/>
      </w:pPr>
      <w:r>
        <w:rPr>
          <w:rFonts w:ascii="Verdana" w:eastAsia="Verdana" w:hAnsi="Verdana" w:cs="Verdana"/>
          <w:sz w:val="28"/>
        </w:rPr>
        <w:t>Bank</w:t>
      </w:r>
    </w:p>
    <w:tbl>
      <w:tblPr>
        <w:tblStyle w:val="TableGrid"/>
        <w:tblW w:w="8651" w:type="dxa"/>
        <w:tblInd w:w="520" w:type="dxa"/>
        <w:tblCellMar>
          <w:top w:w="68" w:type="dxa"/>
          <w:left w:w="39" w:type="dxa"/>
          <w:bottom w:w="0" w:type="dxa"/>
          <w:right w:w="34" w:type="dxa"/>
        </w:tblCellMar>
        <w:tblLook w:val="04A0" w:firstRow="1" w:lastRow="0" w:firstColumn="1" w:lastColumn="0" w:noHBand="0" w:noVBand="1"/>
      </w:tblPr>
      <w:tblGrid>
        <w:gridCol w:w="1559"/>
        <w:gridCol w:w="5383"/>
        <w:gridCol w:w="1709"/>
      </w:tblGrid>
      <w:tr w:rsidR="00576F87">
        <w:trPr>
          <w:trHeight w:val="290"/>
        </w:trPr>
        <w:tc>
          <w:tcPr>
            <w:tcW w:w="1559" w:type="dxa"/>
            <w:tcBorders>
              <w:top w:val="single" w:sz="15" w:space="0" w:color="35437C"/>
              <w:left w:val="single" w:sz="12" w:space="0" w:color="35437C"/>
              <w:bottom w:val="single" w:sz="8" w:space="0" w:color="35437C"/>
              <w:right w:val="single" w:sz="8"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2016/17</w:t>
            </w:r>
          </w:p>
        </w:tc>
        <w:tc>
          <w:tcPr>
            <w:tcW w:w="5383"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709"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4"/>
              <w:jc w:val="right"/>
            </w:pPr>
            <w:r>
              <w:rPr>
                <w:rFonts w:ascii="Verdana" w:eastAsia="Verdana" w:hAnsi="Verdana" w:cs="Verdana"/>
                <w:b/>
                <w:color w:val="FFFFFF"/>
                <w:sz w:val="18"/>
              </w:rPr>
              <w:t>2017/18</w:t>
            </w:r>
          </w:p>
        </w:tc>
      </w:tr>
      <w:tr w:rsidR="00576F87">
        <w:trPr>
          <w:trHeight w:val="290"/>
        </w:trPr>
        <w:tc>
          <w:tcPr>
            <w:tcW w:w="1559" w:type="dxa"/>
            <w:tcBorders>
              <w:top w:val="single" w:sz="8" w:space="0" w:color="35437C"/>
              <w:left w:val="single" w:sz="12" w:space="0" w:color="35437C"/>
              <w:bottom w:val="single" w:sz="8" w:space="0" w:color="35437C"/>
              <w:right w:val="single" w:sz="8" w:space="0" w:color="35437C"/>
            </w:tcBorders>
            <w:shd w:val="clear" w:color="auto" w:fill="FFFFFF"/>
          </w:tcPr>
          <w:p w:rsidR="00576F87" w:rsidRDefault="004165F5">
            <w:pPr>
              <w:spacing w:after="0"/>
              <w:ind w:right="5"/>
              <w:jc w:val="right"/>
            </w:pPr>
            <w:r>
              <w:rPr>
                <w:b/>
              </w:rPr>
              <w:t>£'000</w:t>
            </w:r>
          </w:p>
        </w:tc>
        <w:tc>
          <w:tcPr>
            <w:tcW w:w="5383" w:type="dxa"/>
            <w:tcBorders>
              <w:top w:val="single" w:sz="8" w:space="0" w:color="35437C"/>
              <w:left w:val="single" w:sz="8" w:space="0" w:color="35437C"/>
              <w:bottom w:val="single" w:sz="8" w:space="0" w:color="35437C"/>
              <w:right w:val="single" w:sz="8" w:space="0" w:color="35437C"/>
            </w:tcBorders>
            <w:shd w:val="clear" w:color="auto" w:fill="FFFFFF"/>
          </w:tcPr>
          <w:p w:rsidR="00576F87" w:rsidRDefault="00576F87"/>
        </w:tc>
        <w:tc>
          <w:tcPr>
            <w:tcW w:w="1709" w:type="dxa"/>
            <w:tcBorders>
              <w:top w:val="single" w:sz="8" w:space="0" w:color="35437C"/>
              <w:left w:val="single" w:sz="8" w:space="0" w:color="35437C"/>
              <w:bottom w:val="single" w:sz="8" w:space="0" w:color="35437C"/>
              <w:right w:val="single" w:sz="15" w:space="0" w:color="35437C"/>
            </w:tcBorders>
            <w:shd w:val="clear" w:color="auto" w:fill="FFFFFF"/>
          </w:tcPr>
          <w:p w:rsidR="00576F87" w:rsidRDefault="004165F5">
            <w:pPr>
              <w:spacing w:after="0"/>
              <w:ind w:right="5"/>
              <w:jc w:val="right"/>
            </w:pPr>
            <w:r>
              <w:rPr>
                <w:b/>
              </w:rPr>
              <w:t>£'000</w:t>
            </w:r>
          </w:p>
        </w:tc>
      </w:tr>
      <w:tr w:rsidR="00576F87">
        <w:trPr>
          <w:trHeight w:val="535"/>
        </w:trPr>
        <w:tc>
          <w:tcPr>
            <w:tcW w:w="1559" w:type="dxa"/>
            <w:tcBorders>
              <w:top w:val="single" w:sz="8" w:space="0" w:color="35437C"/>
              <w:left w:val="single" w:sz="12" w:space="0" w:color="35437C"/>
              <w:bottom w:val="single" w:sz="15" w:space="0" w:color="35437C"/>
              <w:right w:val="single" w:sz="8" w:space="0" w:color="35437C"/>
            </w:tcBorders>
            <w:vAlign w:val="center"/>
          </w:tcPr>
          <w:p w:rsidR="00576F87" w:rsidRDefault="004165F5">
            <w:pPr>
              <w:spacing w:after="0"/>
              <w:jc w:val="right"/>
            </w:pPr>
            <w:r>
              <w:rPr>
                <w:rFonts w:ascii="Verdana" w:eastAsia="Verdana" w:hAnsi="Verdana" w:cs="Verdana"/>
                <w:sz w:val="18"/>
              </w:rPr>
              <w:t>2,636</w:t>
            </w:r>
          </w:p>
        </w:tc>
        <w:tc>
          <w:tcPr>
            <w:tcW w:w="5383" w:type="dxa"/>
            <w:tcBorders>
              <w:top w:val="single" w:sz="8" w:space="0" w:color="35437C"/>
              <w:left w:val="single" w:sz="8" w:space="0" w:color="35437C"/>
              <w:bottom w:val="single" w:sz="15" w:space="0" w:color="35437C"/>
              <w:right w:val="single" w:sz="8" w:space="0" w:color="35437C"/>
            </w:tcBorders>
            <w:vAlign w:val="center"/>
          </w:tcPr>
          <w:p w:rsidR="00576F87" w:rsidRDefault="004165F5">
            <w:pPr>
              <w:spacing w:after="0"/>
            </w:pPr>
            <w:r>
              <w:rPr>
                <w:rFonts w:ascii="Verdana" w:eastAsia="Verdana" w:hAnsi="Verdana" w:cs="Verdana"/>
                <w:sz w:val="18"/>
              </w:rPr>
              <w:t>Cash at bank comprises an allocation of the total cash</w:t>
            </w:r>
          </w:p>
        </w:tc>
        <w:tc>
          <w:tcPr>
            <w:tcW w:w="1709" w:type="dxa"/>
            <w:tcBorders>
              <w:top w:val="single" w:sz="8" w:space="0" w:color="35437C"/>
              <w:left w:val="single" w:sz="8" w:space="0" w:color="35437C"/>
              <w:bottom w:val="single" w:sz="15" w:space="0" w:color="35437C"/>
              <w:right w:val="single" w:sz="15" w:space="0" w:color="35437C"/>
            </w:tcBorders>
            <w:vAlign w:val="center"/>
          </w:tcPr>
          <w:p w:rsidR="00576F87" w:rsidRDefault="004165F5">
            <w:pPr>
              <w:spacing w:after="0"/>
              <w:jc w:val="right"/>
            </w:pPr>
            <w:r>
              <w:rPr>
                <w:rFonts w:ascii="Verdana" w:eastAsia="Verdana" w:hAnsi="Verdana" w:cs="Verdana"/>
                <w:sz w:val="18"/>
              </w:rPr>
              <w:t>2,321</w:t>
            </w:r>
          </w:p>
        </w:tc>
      </w:tr>
    </w:tbl>
    <w:p w:rsidR="00576F87" w:rsidRDefault="004165F5">
      <w:pPr>
        <w:numPr>
          <w:ilvl w:val="0"/>
          <w:numId w:val="18"/>
        </w:numPr>
        <w:spacing w:after="113"/>
        <w:ind w:hanging="1980"/>
      </w:pPr>
      <w:r>
        <w:rPr>
          <w:rFonts w:ascii="Verdana" w:eastAsia="Verdana" w:hAnsi="Verdana" w:cs="Verdana"/>
          <w:sz w:val="28"/>
        </w:rPr>
        <w:t>Financial Instruments</w:t>
      </w:r>
    </w:p>
    <w:p w:rsidR="00576F87" w:rsidRDefault="004165F5">
      <w:pPr>
        <w:spacing w:after="351" w:line="268" w:lineRule="auto"/>
        <w:ind w:left="557" w:right="847" w:hanging="3"/>
        <w:jc w:val="both"/>
      </w:pPr>
      <w:r>
        <w:rPr>
          <w:rFonts w:ascii="Verdana" w:eastAsia="Verdana" w:hAnsi="Verdana" w:cs="Verdana"/>
          <w:sz w:val="18"/>
        </w:rPr>
        <w:t>The operational account only holds cash as mentioned in note 21 above as well as payables and receivables, these are covered in notes 19 and 20.</w:t>
      </w:r>
    </w:p>
    <w:p w:rsidR="00576F87" w:rsidRDefault="004165F5">
      <w:pPr>
        <w:numPr>
          <w:ilvl w:val="0"/>
          <w:numId w:val="18"/>
        </w:numPr>
        <w:spacing w:after="148"/>
        <w:ind w:hanging="1980"/>
      </w:pPr>
      <w:r>
        <w:rPr>
          <w:rFonts w:ascii="Verdana" w:eastAsia="Verdana" w:hAnsi="Verdana" w:cs="Verdana"/>
          <w:sz w:val="28"/>
        </w:rPr>
        <w:t>Post Balance Sheet events</w:t>
      </w:r>
    </w:p>
    <w:p w:rsidR="00576F87" w:rsidRDefault="004165F5">
      <w:pPr>
        <w:spacing w:after="5" w:line="268" w:lineRule="auto"/>
        <w:ind w:left="557" w:hanging="3"/>
        <w:jc w:val="both"/>
      </w:pPr>
      <w:r>
        <w:rPr>
          <w:rFonts w:ascii="Verdana" w:eastAsia="Verdana" w:hAnsi="Verdana" w:cs="Verdana"/>
          <w:sz w:val="18"/>
        </w:rPr>
        <w:t>There were no material events after the balance sheet date.</w:t>
      </w:r>
    </w:p>
    <w:p w:rsidR="00576F87" w:rsidRDefault="00576F87">
      <w:pPr>
        <w:sectPr w:rsidR="00576F87">
          <w:headerReference w:type="even" r:id="rId145"/>
          <w:headerReference w:type="default" r:id="rId146"/>
          <w:footerReference w:type="even" r:id="rId147"/>
          <w:footerReference w:type="default" r:id="rId148"/>
          <w:headerReference w:type="first" r:id="rId149"/>
          <w:footerReference w:type="first" r:id="rId150"/>
          <w:pgSz w:w="11900" w:h="16840"/>
          <w:pgMar w:top="964" w:right="1067" w:bottom="1145" w:left="516" w:header="720" w:footer="510" w:gutter="0"/>
          <w:cols w:space="720"/>
        </w:sectPr>
      </w:pPr>
    </w:p>
    <w:p w:rsidR="00576F87" w:rsidRDefault="004165F5">
      <w:pPr>
        <w:spacing w:after="698"/>
        <w:ind w:right="1870"/>
        <w:jc w:val="center"/>
      </w:pPr>
      <w:r>
        <w:rPr>
          <w:rFonts w:ascii="Book Antiqua" w:eastAsia="Book Antiqua" w:hAnsi="Book Antiqua" w:cs="Book Antiqua"/>
          <w:b/>
          <w:color w:val="FF0000"/>
          <w:sz w:val="24"/>
        </w:rPr>
        <w:t xml:space="preserve"> </w:t>
      </w:r>
    </w:p>
    <w:p w:rsidR="00576F87" w:rsidRDefault="004165F5">
      <w:pPr>
        <w:pStyle w:val="Heading1"/>
        <w:spacing w:after="262" w:line="259" w:lineRule="auto"/>
        <w:ind w:left="614"/>
      </w:pPr>
      <w:r>
        <w:rPr>
          <w:rFonts w:ascii="Book Antiqua" w:eastAsia="Book Antiqua" w:hAnsi="Book Antiqua" w:cs="Book Antiqua"/>
          <w:color w:val="000000"/>
          <w:sz w:val="44"/>
        </w:rPr>
        <w:t>Residual Liabilities Accounts</w:t>
      </w:r>
    </w:p>
    <w:p w:rsidR="00576F87" w:rsidRDefault="00576F87">
      <w:pPr>
        <w:sectPr w:rsidR="00576F87">
          <w:headerReference w:type="even" r:id="rId151"/>
          <w:headerReference w:type="default" r:id="rId152"/>
          <w:footerReference w:type="even" r:id="rId153"/>
          <w:footerReference w:type="default" r:id="rId154"/>
          <w:headerReference w:type="first" r:id="rId155"/>
          <w:footerReference w:type="first" r:id="rId156"/>
          <w:pgSz w:w="11900" w:h="16840"/>
          <w:pgMar w:top="1440" w:right="1440" w:bottom="1440" w:left="1440" w:header="1149" w:footer="720" w:gutter="0"/>
          <w:cols w:space="720"/>
        </w:sectPr>
      </w:pPr>
    </w:p>
    <w:p w:rsidR="00576F87" w:rsidRDefault="004165F5">
      <w:pPr>
        <w:spacing w:after="137"/>
        <w:ind w:left="-372" w:hanging="10"/>
      </w:pPr>
      <w:r>
        <w:rPr>
          <w:rFonts w:ascii="Verdana" w:eastAsia="Verdana" w:hAnsi="Verdana" w:cs="Verdana"/>
          <w:color w:val="35437C"/>
          <w:sz w:val="20"/>
        </w:rPr>
        <w:t>Residual Liabilities Accounts</w:t>
      </w:r>
    </w:p>
    <w:p w:rsidR="00576F87" w:rsidRDefault="004165F5">
      <w:pPr>
        <w:spacing w:after="0"/>
        <w:ind w:left="-372" w:hanging="10"/>
      </w:pPr>
      <w:r>
        <w:rPr>
          <w:rFonts w:ascii="Verdana" w:eastAsia="Verdana" w:hAnsi="Verdana" w:cs="Verdana"/>
          <w:color w:val="35437C"/>
          <w:sz w:val="20"/>
        </w:rPr>
        <w:t>Statement of Movement in Reserves for the year ended</w:t>
      </w:r>
    </w:p>
    <w:tbl>
      <w:tblPr>
        <w:tblStyle w:val="TableGrid"/>
        <w:tblW w:w="11815" w:type="dxa"/>
        <w:tblInd w:w="-408" w:type="dxa"/>
        <w:tblCellMar>
          <w:top w:w="27" w:type="dxa"/>
          <w:left w:w="31" w:type="dxa"/>
          <w:bottom w:w="0" w:type="dxa"/>
          <w:right w:w="26" w:type="dxa"/>
        </w:tblCellMar>
        <w:tblLook w:val="04A0" w:firstRow="1" w:lastRow="0" w:firstColumn="1" w:lastColumn="0" w:noHBand="0" w:noVBand="1"/>
      </w:tblPr>
      <w:tblGrid>
        <w:gridCol w:w="3012"/>
        <w:gridCol w:w="1258"/>
        <w:gridCol w:w="1258"/>
        <w:gridCol w:w="1258"/>
        <w:gridCol w:w="1258"/>
        <w:gridCol w:w="1258"/>
        <w:gridCol w:w="1258"/>
        <w:gridCol w:w="1258"/>
      </w:tblGrid>
      <w:tr w:rsidR="00576F87">
        <w:trPr>
          <w:trHeight w:val="290"/>
        </w:trPr>
        <w:tc>
          <w:tcPr>
            <w:tcW w:w="3012" w:type="dxa"/>
            <w:tcBorders>
              <w:top w:val="single" w:sz="8" w:space="0" w:color="009784"/>
              <w:left w:val="single" w:sz="8" w:space="0" w:color="009784"/>
              <w:bottom w:val="single" w:sz="8" w:space="0" w:color="009784"/>
              <w:right w:val="single" w:sz="8" w:space="0" w:color="009784"/>
            </w:tcBorders>
            <w:shd w:val="clear" w:color="auto" w:fill="009784"/>
          </w:tcPr>
          <w:p w:rsidR="00576F87" w:rsidRDefault="00576F87"/>
        </w:tc>
        <w:tc>
          <w:tcPr>
            <w:tcW w:w="2515" w:type="dxa"/>
            <w:gridSpan w:val="2"/>
            <w:tcBorders>
              <w:top w:val="single" w:sz="8" w:space="0" w:color="009784"/>
              <w:left w:val="single" w:sz="8" w:space="0" w:color="009784"/>
              <w:bottom w:val="single" w:sz="8" w:space="0" w:color="009784"/>
              <w:right w:val="single" w:sz="8" w:space="0" w:color="009784"/>
            </w:tcBorders>
            <w:shd w:val="clear" w:color="auto" w:fill="009784"/>
          </w:tcPr>
          <w:p w:rsidR="00576F87" w:rsidRDefault="004165F5">
            <w:pPr>
              <w:spacing w:after="0"/>
              <w:ind w:left="5"/>
            </w:pPr>
            <w:r>
              <w:rPr>
                <w:rFonts w:ascii="Verdana" w:eastAsia="Verdana" w:hAnsi="Verdana" w:cs="Verdana"/>
                <w:b/>
                <w:color w:val="FFFFFF"/>
                <w:sz w:val="14"/>
              </w:rPr>
              <w:t>General Fund Reserve</w:t>
            </w:r>
          </w:p>
        </w:tc>
        <w:tc>
          <w:tcPr>
            <w:tcW w:w="1258" w:type="dxa"/>
            <w:tcBorders>
              <w:top w:val="single" w:sz="8" w:space="0" w:color="009784"/>
              <w:left w:val="single" w:sz="8" w:space="0" w:color="009784"/>
              <w:bottom w:val="single" w:sz="8" w:space="0" w:color="009784"/>
              <w:right w:val="single" w:sz="8" w:space="0" w:color="009784"/>
            </w:tcBorders>
            <w:shd w:val="clear" w:color="auto" w:fill="009784"/>
          </w:tcPr>
          <w:p w:rsidR="00576F87" w:rsidRDefault="00576F87"/>
        </w:tc>
        <w:tc>
          <w:tcPr>
            <w:tcW w:w="2515" w:type="dxa"/>
            <w:gridSpan w:val="2"/>
            <w:tcBorders>
              <w:top w:val="single" w:sz="8" w:space="0" w:color="009784"/>
              <w:left w:val="single" w:sz="8" w:space="0" w:color="009784"/>
              <w:bottom w:val="single" w:sz="8" w:space="0" w:color="009784"/>
              <w:right w:val="single" w:sz="8" w:space="0" w:color="009784"/>
            </w:tcBorders>
            <w:shd w:val="clear" w:color="auto" w:fill="009784"/>
          </w:tcPr>
          <w:p w:rsidR="00576F87" w:rsidRDefault="004165F5">
            <w:pPr>
              <w:spacing w:after="0"/>
              <w:ind w:right="6"/>
              <w:jc w:val="center"/>
            </w:pPr>
            <w:r>
              <w:rPr>
                <w:rFonts w:ascii="Verdana" w:eastAsia="Verdana" w:hAnsi="Verdana" w:cs="Verdana"/>
                <w:b/>
                <w:color w:val="FFFFFF"/>
                <w:sz w:val="14"/>
              </w:rPr>
              <w:t>Pension Reserve</w:t>
            </w:r>
          </w:p>
        </w:tc>
        <w:tc>
          <w:tcPr>
            <w:tcW w:w="1258" w:type="dxa"/>
            <w:tcBorders>
              <w:top w:val="single" w:sz="8" w:space="0" w:color="009784"/>
              <w:left w:val="single" w:sz="8" w:space="0" w:color="009784"/>
              <w:bottom w:val="single" w:sz="8" w:space="0" w:color="009784"/>
              <w:right w:val="single" w:sz="8" w:space="0" w:color="009784"/>
            </w:tcBorders>
            <w:shd w:val="clear" w:color="auto" w:fill="009784"/>
          </w:tcPr>
          <w:p w:rsidR="00576F87" w:rsidRDefault="00576F87"/>
        </w:tc>
        <w:tc>
          <w:tcPr>
            <w:tcW w:w="1258" w:type="dxa"/>
            <w:tcBorders>
              <w:top w:val="single" w:sz="8" w:space="0" w:color="009784"/>
              <w:left w:val="single" w:sz="8" w:space="0" w:color="009784"/>
              <w:bottom w:val="single" w:sz="8" w:space="0" w:color="009784"/>
              <w:right w:val="single" w:sz="8" w:space="0" w:color="009784"/>
            </w:tcBorders>
            <w:shd w:val="clear" w:color="auto" w:fill="009784"/>
          </w:tcPr>
          <w:p w:rsidR="00576F87" w:rsidRDefault="00576F87"/>
        </w:tc>
      </w:tr>
      <w:tr w:rsidR="00576F87">
        <w:trPr>
          <w:trHeight w:val="521"/>
        </w:trPr>
        <w:tc>
          <w:tcPr>
            <w:tcW w:w="3012" w:type="dxa"/>
            <w:tcBorders>
              <w:top w:val="single" w:sz="8" w:space="0" w:color="009784"/>
              <w:left w:val="single" w:sz="8" w:space="0" w:color="009784"/>
              <w:bottom w:val="single" w:sz="8" w:space="0" w:color="009784"/>
              <w:right w:val="single" w:sz="8" w:space="0" w:color="009784"/>
            </w:tcBorders>
            <w:shd w:val="clear" w:color="auto" w:fill="009784"/>
          </w:tcPr>
          <w:p w:rsidR="00576F87" w:rsidRDefault="00576F87"/>
        </w:tc>
        <w:tc>
          <w:tcPr>
            <w:tcW w:w="1258" w:type="dxa"/>
            <w:tcBorders>
              <w:top w:val="single" w:sz="8" w:space="0" w:color="009784"/>
              <w:left w:val="single" w:sz="8" w:space="0" w:color="009784"/>
              <w:bottom w:val="single" w:sz="8" w:space="0" w:color="009784"/>
              <w:right w:val="single" w:sz="8" w:space="0" w:color="009784"/>
            </w:tcBorders>
            <w:shd w:val="clear" w:color="auto" w:fill="009784"/>
          </w:tcPr>
          <w:p w:rsidR="00576F87" w:rsidRDefault="004165F5">
            <w:pPr>
              <w:spacing w:after="9"/>
              <w:ind w:right="2"/>
              <w:jc w:val="center"/>
            </w:pPr>
            <w:r>
              <w:rPr>
                <w:rFonts w:ascii="Verdana" w:eastAsia="Verdana" w:hAnsi="Verdana" w:cs="Verdana"/>
                <w:b/>
                <w:color w:val="FFFFFF"/>
                <w:sz w:val="14"/>
              </w:rPr>
              <w:t xml:space="preserve">Greater </w:t>
            </w:r>
          </w:p>
          <w:p w:rsidR="00576F87" w:rsidRDefault="004165F5">
            <w:pPr>
              <w:spacing w:after="0"/>
              <w:jc w:val="center"/>
            </w:pPr>
            <w:r>
              <w:rPr>
                <w:rFonts w:ascii="Verdana" w:eastAsia="Verdana" w:hAnsi="Verdana" w:cs="Verdana"/>
                <w:b/>
                <w:color w:val="FFFFFF"/>
                <w:sz w:val="14"/>
              </w:rPr>
              <w:t>London</w:t>
            </w:r>
          </w:p>
        </w:tc>
        <w:tc>
          <w:tcPr>
            <w:tcW w:w="1258" w:type="dxa"/>
            <w:tcBorders>
              <w:top w:val="single" w:sz="8"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left="70"/>
            </w:pPr>
            <w:r>
              <w:rPr>
                <w:rFonts w:ascii="Verdana" w:eastAsia="Verdana" w:hAnsi="Verdana" w:cs="Verdana"/>
                <w:b/>
                <w:color w:val="FFFFFF"/>
                <w:sz w:val="14"/>
              </w:rPr>
              <w:t>Inner London</w:t>
            </w:r>
          </w:p>
        </w:tc>
        <w:tc>
          <w:tcPr>
            <w:tcW w:w="1258" w:type="dxa"/>
            <w:tcBorders>
              <w:top w:val="single" w:sz="8"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left="21"/>
              <w:jc w:val="both"/>
            </w:pPr>
            <w:r>
              <w:rPr>
                <w:rFonts w:ascii="Verdana" w:eastAsia="Verdana" w:hAnsi="Verdana" w:cs="Verdana"/>
                <w:b/>
                <w:color w:val="FFFFFF"/>
                <w:sz w:val="14"/>
              </w:rPr>
              <w:t>Total Reserves</w:t>
            </w:r>
          </w:p>
        </w:tc>
        <w:tc>
          <w:tcPr>
            <w:tcW w:w="1258" w:type="dxa"/>
            <w:tcBorders>
              <w:top w:val="single" w:sz="8" w:space="0" w:color="009784"/>
              <w:left w:val="single" w:sz="8" w:space="0" w:color="009784"/>
              <w:bottom w:val="single" w:sz="8" w:space="0" w:color="009784"/>
              <w:right w:val="single" w:sz="8" w:space="0" w:color="009784"/>
            </w:tcBorders>
            <w:shd w:val="clear" w:color="auto" w:fill="009784"/>
          </w:tcPr>
          <w:p w:rsidR="00576F87" w:rsidRDefault="004165F5">
            <w:pPr>
              <w:spacing w:after="9"/>
              <w:ind w:right="2"/>
              <w:jc w:val="center"/>
            </w:pPr>
            <w:r>
              <w:rPr>
                <w:rFonts w:ascii="Verdana" w:eastAsia="Verdana" w:hAnsi="Verdana" w:cs="Verdana"/>
                <w:b/>
                <w:color w:val="FFFFFF"/>
                <w:sz w:val="14"/>
              </w:rPr>
              <w:t xml:space="preserve">Greater </w:t>
            </w:r>
          </w:p>
          <w:p w:rsidR="00576F87" w:rsidRDefault="004165F5">
            <w:pPr>
              <w:spacing w:after="0"/>
              <w:jc w:val="center"/>
            </w:pPr>
            <w:r>
              <w:rPr>
                <w:rFonts w:ascii="Verdana" w:eastAsia="Verdana" w:hAnsi="Verdana" w:cs="Verdana"/>
                <w:b/>
                <w:color w:val="FFFFFF"/>
                <w:sz w:val="14"/>
              </w:rPr>
              <w:t>London</w:t>
            </w:r>
          </w:p>
        </w:tc>
        <w:tc>
          <w:tcPr>
            <w:tcW w:w="1258" w:type="dxa"/>
            <w:tcBorders>
              <w:top w:val="single" w:sz="8"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left="70"/>
            </w:pPr>
            <w:r>
              <w:rPr>
                <w:rFonts w:ascii="Verdana" w:eastAsia="Verdana" w:hAnsi="Verdana" w:cs="Verdana"/>
                <w:b/>
                <w:color w:val="FFFFFF"/>
                <w:sz w:val="14"/>
              </w:rPr>
              <w:t>Inner London</w:t>
            </w:r>
          </w:p>
        </w:tc>
        <w:tc>
          <w:tcPr>
            <w:tcW w:w="1258" w:type="dxa"/>
            <w:tcBorders>
              <w:top w:val="single" w:sz="8" w:space="0" w:color="009784"/>
              <w:left w:val="single" w:sz="8" w:space="0" w:color="009784"/>
              <w:bottom w:val="single" w:sz="8" w:space="0" w:color="009784"/>
              <w:right w:val="single" w:sz="8" w:space="0" w:color="009784"/>
            </w:tcBorders>
            <w:shd w:val="clear" w:color="auto" w:fill="009784"/>
          </w:tcPr>
          <w:p w:rsidR="00576F87" w:rsidRDefault="004165F5">
            <w:pPr>
              <w:spacing w:after="9"/>
              <w:ind w:left="67"/>
            </w:pPr>
            <w:r>
              <w:rPr>
                <w:rFonts w:ascii="Verdana" w:eastAsia="Verdana" w:hAnsi="Verdana" w:cs="Verdana"/>
                <w:b/>
                <w:color w:val="FFFFFF"/>
                <w:sz w:val="14"/>
              </w:rPr>
              <w:t xml:space="preserve">Total Pension </w:t>
            </w:r>
          </w:p>
          <w:p w:rsidR="00576F87" w:rsidRDefault="004165F5">
            <w:pPr>
              <w:spacing w:after="0"/>
              <w:ind w:right="4"/>
              <w:jc w:val="center"/>
            </w:pPr>
            <w:r>
              <w:rPr>
                <w:rFonts w:ascii="Verdana" w:eastAsia="Verdana" w:hAnsi="Verdana" w:cs="Verdana"/>
                <w:b/>
                <w:color w:val="FFFFFF"/>
                <w:sz w:val="14"/>
              </w:rPr>
              <w:t>Reserves</w:t>
            </w:r>
          </w:p>
        </w:tc>
        <w:tc>
          <w:tcPr>
            <w:tcW w:w="1258" w:type="dxa"/>
            <w:tcBorders>
              <w:top w:val="single" w:sz="8"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left="5"/>
              <w:jc w:val="both"/>
            </w:pPr>
            <w:r>
              <w:rPr>
                <w:rFonts w:ascii="Verdana" w:eastAsia="Verdana" w:hAnsi="Verdana" w:cs="Verdana"/>
                <w:b/>
                <w:color w:val="FFFFFF"/>
                <w:sz w:val="14"/>
              </w:rPr>
              <w:t>Total Reserves</w:t>
            </w:r>
          </w:p>
        </w:tc>
      </w:tr>
      <w:tr w:rsidR="00576F87">
        <w:trPr>
          <w:trHeight w:val="290"/>
        </w:trPr>
        <w:tc>
          <w:tcPr>
            <w:tcW w:w="3012" w:type="dxa"/>
            <w:tcBorders>
              <w:top w:val="single" w:sz="8" w:space="0" w:color="009784"/>
              <w:left w:val="single" w:sz="8" w:space="0" w:color="009784"/>
              <w:bottom w:val="single" w:sz="8" w:space="0" w:color="009784"/>
              <w:right w:val="single" w:sz="8" w:space="0" w:color="009784"/>
            </w:tcBorders>
          </w:tcPr>
          <w:p w:rsidR="00576F87" w:rsidRDefault="00576F87"/>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b/>
                <w:sz w:val="14"/>
              </w:rPr>
              <w:t>£000</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b/>
                <w:sz w:val="14"/>
              </w:rPr>
              <w:t>£000</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b/>
                <w:sz w:val="14"/>
              </w:rPr>
              <w:t>£000</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b/>
                <w:sz w:val="14"/>
              </w:rPr>
              <w:t>£000</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b/>
                <w:sz w:val="14"/>
              </w:rPr>
              <w:t>£000</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b/>
                <w:sz w:val="14"/>
              </w:rPr>
              <w:t>£000</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b/>
                <w:sz w:val="14"/>
              </w:rPr>
              <w:t>£000</w:t>
            </w:r>
          </w:p>
        </w:tc>
      </w:tr>
      <w:tr w:rsidR="00576F87">
        <w:trPr>
          <w:trHeight w:val="362"/>
        </w:trPr>
        <w:tc>
          <w:tcPr>
            <w:tcW w:w="3012" w:type="dxa"/>
            <w:tcBorders>
              <w:top w:val="single" w:sz="8" w:space="0" w:color="009784"/>
              <w:left w:val="single" w:sz="8" w:space="0" w:color="009784"/>
              <w:bottom w:val="single" w:sz="8" w:space="0" w:color="009784"/>
              <w:right w:val="single" w:sz="8" w:space="0" w:color="009784"/>
            </w:tcBorders>
            <w:shd w:val="clear" w:color="auto" w:fill="24988A"/>
          </w:tcPr>
          <w:p w:rsidR="00576F87" w:rsidRDefault="004165F5">
            <w:pPr>
              <w:spacing w:after="0"/>
              <w:ind w:left="2"/>
            </w:pPr>
            <w:r>
              <w:rPr>
                <w:rFonts w:ascii="Verdana" w:eastAsia="Verdana" w:hAnsi="Verdana" w:cs="Verdana"/>
                <w:b/>
                <w:color w:val="FFFFFF"/>
                <w:sz w:val="14"/>
              </w:rPr>
              <w:t>Balance at 31 March 2016 c/forward</w:t>
            </w:r>
          </w:p>
        </w:tc>
        <w:tc>
          <w:tcPr>
            <w:tcW w:w="1258" w:type="dxa"/>
            <w:tcBorders>
              <w:top w:val="single" w:sz="8" w:space="0" w:color="009784"/>
              <w:left w:val="single" w:sz="8" w:space="0" w:color="009784"/>
              <w:bottom w:val="single" w:sz="8" w:space="0" w:color="009784"/>
              <w:right w:val="single" w:sz="8" w:space="0" w:color="009784"/>
            </w:tcBorders>
            <w:shd w:val="clear" w:color="auto" w:fill="24988A"/>
          </w:tcPr>
          <w:p w:rsidR="00576F87" w:rsidRDefault="004165F5">
            <w:pPr>
              <w:spacing w:after="0"/>
              <w:ind w:right="2"/>
              <w:jc w:val="right"/>
            </w:pPr>
            <w:r>
              <w:rPr>
                <w:rFonts w:ascii="Verdana" w:eastAsia="Verdana" w:hAnsi="Verdana" w:cs="Verdana"/>
                <w:b/>
                <w:color w:val="FFFFFF"/>
                <w:sz w:val="14"/>
              </w:rPr>
              <w:t>10,665</w:t>
            </w:r>
          </w:p>
        </w:tc>
        <w:tc>
          <w:tcPr>
            <w:tcW w:w="1258" w:type="dxa"/>
            <w:tcBorders>
              <w:top w:val="single" w:sz="8" w:space="0" w:color="009784"/>
              <w:left w:val="single" w:sz="8" w:space="0" w:color="009784"/>
              <w:bottom w:val="single" w:sz="8" w:space="0" w:color="009784"/>
              <w:right w:val="single" w:sz="8" w:space="0" w:color="009784"/>
            </w:tcBorders>
            <w:shd w:val="clear" w:color="auto" w:fill="24988A"/>
          </w:tcPr>
          <w:p w:rsidR="00576F87" w:rsidRDefault="004165F5">
            <w:pPr>
              <w:spacing w:after="0"/>
              <w:ind w:right="3"/>
              <w:jc w:val="right"/>
            </w:pPr>
            <w:r>
              <w:rPr>
                <w:rFonts w:ascii="Verdana" w:eastAsia="Verdana" w:hAnsi="Verdana" w:cs="Verdana"/>
                <w:b/>
                <w:color w:val="FFFFFF"/>
                <w:sz w:val="14"/>
              </w:rPr>
              <w:t>1,977</w:t>
            </w:r>
          </w:p>
        </w:tc>
        <w:tc>
          <w:tcPr>
            <w:tcW w:w="1258" w:type="dxa"/>
            <w:tcBorders>
              <w:top w:val="single" w:sz="8" w:space="0" w:color="009784"/>
              <w:left w:val="single" w:sz="8" w:space="0" w:color="009784"/>
              <w:bottom w:val="single" w:sz="8" w:space="0" w:color="009784"/>
              <w:right w:val="single" w:sz="8" w:space="0" w:color="009784"/>
            </w:tcBorders>
            <w:shd w:val="clear" w:color="auto" w:fill="24988A"/>
          </w:tcPr>
          <w:p w:rsidR="00576F87" w:rsidRDefault="004165F5">
            <w:pPr>
              <w:spacing w:after="0"/>
              <w:ind w:right="2"/>
              <w:jc w:val="right"/>
            </w:pPr>
            <w:r>
              <w:rPr>
                <w:rFonts w:ascii="Verdana" w:eastAsia="Verdana" w:hAnsi="Verdana" w:cs="Verdana"/>
                <w:b/>
                <w:color w:val="FFFFFF"/>
                <w:sz w:val="14"/>
              </w:rPr>
              <w:t>12,642</w:t>
            </w:r>
          </w:p>
        </w:tc>
        <w:tc>
          <w:tcPr>
            <w:tcW w:w="1258" w:type="dxa"/>
            <w:tcBorders>
              <w:top w:val="single" w:sz="8" w:space="0" w:color="009784"/>
              <w:left w:val="single" w:sz="8" w:space="0" w:color="009784"/>
              <w:bottom w:val="single" w:sz="8" w:space="0" w:color="009784"/>
              <w:right w:val="single" w:sz="8" w:space="0" w:color="009784"/>
            </w:tcBorders>
            <w:shd w:val="clear" w:color="auto" w:fill="24988A"/>
          </w:tcPr>
          <w:p w:rsidR="00576F87" w:rsidRDefault="004165F5">
            <w:pPr>
              <w:spacing w:after="0"/>
              <w:ind w:right="4"/>
              <w:jc w:val="right"/>
            </w:pPr>
            <w:r>
              <w:rPr>
                <w:rFonts w:ascii="Verdana" w:eastAsia="Verdana" w:hAnsi="Verdana" w:cs="Verdana"/>
                <w:b/>
                <w:color w:val="FFFFFF"/>
                <w:sz w:val="14"/>
              </w:rPr>
              <w:t>(80,590)</w:t>
            </w:r>
          </w:p>
        </w:tc>
        <w:tc>
          <w:tcPr>
            <w:tcW w:w="1258" w:type="dxa"/>
            <w:tcBorders>
              <w:top w:val="single" w:sz="8" w:space="0" w:color="009784"/>
              <w:left w:val="single" w:sz="8" w:space="0" w:color="009784"/>
              <w:bottom w:val="single" w:sz="8" w:space="0" w:color="009784"/>
              <w:right w:val="single" w:sz="8" w:space="0" w:color="009784"/>
            </w:tcBorders>
            <w:shd w:val="clear" w:color="auto" w:fill="24988A"/>
          </w:tcPr>
          <w:p w:rsidR="00576F87" w:rsidRDefault="004165F5">
            <w:pPr>
              <w:spacing w:after="0"/>
              <w:ind w:right="4"/>
              <w:jc w:val="right"/>
            </w:pPr>
            <w:r>
              <w:rPr>
                <w:rFonts w:ascii="Verdana" w:eastAsia="Verdana" w:hAnsi="Verdana" w:cs="Verdana"/>
                <w:b/>
                <w:color w:val="FFFFFF"/>
                <w:sz w:val="14"/>
              </w:rPr>
              <w:t>(149,472)</w:t>
            </w:r>
          </w:p>
        </w:tc>
        <w:tc>
          <w:tcPr>
            <w:tcW w:w="1258" w:type="dxa"/>
            <w:tcBorders>
              <w:top w:val="single" w:sz="8" w:space="0" w:color="009784"/>
              <w:left w:val="single" w:sz="8" w:space="0" w:color="009784"/>
              <w:bottom w:val="single" w:sz="8" w:space="0" w:color="009784"/>
              <w:right w:val="single" w:sz="8" w:space="0" w:color="009784"/>
            </w:tcBorders>
            <w:shd w:val="clear" w:color="auto" w:fill="24988A"/>
          </w:tcPr>
          <w:p w:rsidR="00576F87" w:rsidRDefault="004165F5">
            <w:pPr>
              <w:spacing w:after="0"/>
              <w:ind w:right="4"/>
              <w:jc w:val="right"/>
            </w:pPr>
            <w:r>
              <w:rPr>
                <w:rFonts w:ascii="Verdana" w:eastAsia="Verdana" w:hAnsi="Verdana" w:cs="Verdana"/>
                <w:b/>
                <w:color w:val="FFFFFF"/>
                <w:sz w:val="14"/>
              </w:rPr>
              <w:t>(230,062)</w:t>
            </w:r>
          </w:p>
        </w:tc>
        <w:tc>
          <w:tcPr>
            <w:tcW w:w="1258" w:type="dxa"/>
            <w:tcBorders>
              <w:top w:val="single" w:sz="8" w:space="0" w:color="009784"/>
              <w:left w:val="single" w:sz="8" w:space="0" w:color="009784"/>
              <w:bottom w:val="single" w:sz="8" w:space="0" w:color="009784"/>
              <w:right w:val="single" w:sz="8" w:space="0" w:color="009784"/>
            </w:tcBorders>
            <w:shd w:val="clear" w:color="auto" w:fill="24988A"/>
          </w:tcPr>
          <w:p w:rsidR="00576F87" w:rsidRDefault="004165F5">
            <w:pPr>
              <w:spacing w:after="0"/>
              <w:ind w:right="4"/>
              <w:jc w:val="right"/>
            </w:pPr>
            <w:r>
              <w:rPr>
                <w:rFonts w:ascii="Verdana" w:eastAsia="Verdana" w:hAnsi="Verdana" w:cs="Verdana"/>
                <w:b/>
                <w:color w:val="FFFFFF"/>
                <w:sz w:val="14"/>
              </w:rPr>
              <w:t>(217,420)</w:t>
            </w:r>
          </w:p>
        </w:tc>
      </w:tr>
      <w:tr w:rsidR="00576F87">
        <w:trPr>
          <w:trHeight w:val="410"/>
        </w:trPr>
        <w:tc>
          <w:tcPr>
            <w:tcW w:w="3012" w:type="dxa"/>
            <w:tcBorders>
              <w:top w:val="single" w:sz="8" w:space="0" w:color="009784"/>
              <w:left w:val="single" w:sz="8" w:space="0" w:color="009784"/>
              <w:bottom w:val="single" w:sz="8" w:space="0" w:color="009784"/>
              <w:right w:val="single" w:sz="8" w:space="0" w:color="009784"/>
            </w:tcBorders>
          </w:tcPr>
          <w:p w:rsidR="00576F87" w:rsidRDefault="004165F5">
            <w:pPr>
              <w:spacing w:after="9"/>
              <w:ind w:left="2"/>
            </w:pPr>
            <w:r>
              <w:rPr>
                <w:rFonts w:ascii="Verdana" w:eastAsia="Verdana" w:hAnsi="Verdana" w:cs="Verdana"/>
                <w:b/>
                <w:sz w:val="14"/>
              </w:rPr>
              <w:t xml:space="preserve">Movement in Reserves during </w:t>
            </w:r>
          </w:p>
          <w:p w:rsidR="00576F87" w:rsidRDefault="004165F5">
            <w:pPr>
              <w:spacing w:after="0"/>
              <w:ind w:left="2"/>
            </w:pPr>
            <w:r>
              <w:rPr>
                <w:rFonts w:ascii="Verdana" w:eastAsia="Verdana" w:hAnsi="Verdana" w:cs="Verdana"/>
                <w:b/>
                <w:sz w:val="14"/>
              </w:rPr>
              <w:t>2016/17</w:t>
            </w:r>
          </w:p>
        </w:tc>
        <w:tc>
          <w:tcPr>
            <w:tcW w:w="1258" w:type="dxa"/>
            <w:tcBorders>
              <w:top w:val="single" w:sz="8" w:space="0" w:color="009784"/>
              <w:left w:val="single" w:sz="8" w:space="0" w:color="009784"/>
              <w:bottom w:val="single" w:sz="8" w:space="0" w:color="009784"/>
              <w:right w:val="single" w:sz="8" w:space="0" w:color="009784"/>
            </w:tcBorders>
          </w:tcPr>
          <w:p w:rsidR="00576F87" w:rsidRDefault="00576F87"/>
        </w:tc>
        <w:tc>
          <w:tcPr>
            <w:tcW w:w="1258" w:type="dxa"/>
            <w:tcBorders>
              <w:top w:val="single" w:sz="8" w:space="0" w:color="009784"/>
              <w:left w:val="single" w:sz="8" w:space="0" w:color="009784"/>
              <w:bottom w:val="single" w:sz="8" w:space="0" w:color="009784"/>
              <w:right w:val="single" w:sz="8" w:space="0" w:color="009784"/>
            </w:tcBorders>
          </w:tcPr>
          <w:p w:rsidR="00576F87" w:rsidRDefault="00576F87"/>
        </w:tc>
        <w:tc>
          <w:tcPr>
            <w:tcW w:w="1258" w:type="dxa"/>
            <w:tcBorders>
              <w:top w:val="single" w:sz="8" w:space="0" w:color="009784"/>
              <w:left w:val="single" w:sz="8" w:space="0" w:color="009784"/>
              <w:bottom w:val="single" w:sz="8" w:space="0" w:color="009784"/>
              <w:right w:val="single" w:sz="8" w:space="0" w:color="009784"/>
            </w:tcBorders>
          </w:tcPr>
          <w:p w:rsidR="00576F87" w:rsidRDefault="00576F87"/>
        </w:tc>
        <w:tc>
          <w:tcPr>
            <w:tcW w:w="1258" w:type="dxa"/>
            <w:tcBorders>
              <w:top w:val="single" w:sz="8" w:space="0" w:color="009784"/>
              <w:left w:val="single" w:sz="8" w:space="0" w:color="009784"/>
              <w:bottom w:val="single" w:sz="8" w:space="0" w:color="009784"/>
              <w:right w:val="single" w:sz="8" w:space="0" w:color="009784"/>
            </w:tcBorders>
          </w:tcPr>
          <w:p w:rsidR="00576F87" w:rsidRDefault="00576F87"/>
        </w:tc>
        <w:tc>
          <w:tcPr>
            <w:tcW w:w="1258" w:type="dxa"/>
            <w:tcBorders>
              <w:top w:val="single" w:sz="8" w:space="0" w:color="009784"/>
              <w:left w:val="single" w:sz="8" w:space="0" w:color="009784"/>
              <w:bottom w:val="single" w:sz="8" w:space="0" w:color="009784"/>
              <w:right w:val="single" w:sz="8" w:space="0" w:color="009784"/>
            </w:tcBorders>
          </w:tcPr>
          <w:p w:rsidR="00576F87" w:rsidRDefault="00576F87"/>
        </w:tc>
        <w:tc>
          <w:tcPr>
            <w:tcW w:w="1258" w:type="dxa"/>
            <w:tcBorders>
              <w:top w:val="single" w:sz="8" w:space="0" w:color="009784"/>
              <w:left w:val="single" w:sz="8" w:space="0" w:color="009784"/>
              <w:bottom w:val="single" w:sz="8" w:space="0" w:color="009784"/>
              <w:right w:val="single" w:sz="8" w:space="0" w:color="009784"/>
            </w:tcBorders>
          </w:tcPr>
          <w:p w:rsidR="00576F87" w:rsidRDefault="00576F87"/>
        </w:tc>
        <w:tc>
          <w:tcPr>
            <w:tcW w:w="1258" w:type="dxa"/>
            <w:tcBorders>
              <w:top w:val="single" w:sz="8" w:space="0" w:color="009784"/>
              <w:left w:val="single" w:sz="8" w:space="0" w:color="009784"/>
              <w:bottom w:val="single" w:sz="8" w:space="0" w:color="009784"/>
              <w:right w:val="single" w:sz="8" w:space="0" w:color="009784"/>
            </w:tcBorders>
          </w:tcPr>
          <w:p w:rsidR="00576F87" w:rsidRDefault="00576F87"/>
        </w:tc>
      </w:tr>
      <w:tr w:rsidR="00576F87">
        <w:trPr>
          <w:trHeight w:val="348"/>
        </w:trPr>
        <w:tc>
          <w:tcPr>
            <w:tcW w:w="3012"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4"/>
              </w:rPr>
              <w:t xml:space="preserve">Surplus/(deficit) on the provision of services </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
              <w:jc w:val="right"/>
            </w:pPr>
            <w:r>
              <w:rPr>
                <w:rFonts w:ascii="Verdana" w:eastAsia="Verdana" w:hAnsi="Verdana" w:cs="Verdana"/>
                <w:sz w:val="14"/>
              </w:rPr>
              <w:t>6,323</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
              <w:jc w:val="right"/>
            </w:pPr>
            <w:r>
              <w:rPr>
                <w:rFonts w:ascii="Verdana" w:eastAsia="Verdana" w:hAnsi="Verdana" w:cs="Verdana"/>
                <w:sz w:val="14"/>
              </w:rPr>
              <w:t>6,357</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
              <w:jc w:val="right"/>
            </w:pPr>
            <w:r>
              <w:rPr>
                <w:rFonts w:ascii="Verdana" w:eastAsia="Verdana" w:hAnsi="Verdana" w:cs="Verdana"/>
                <w:sz w:val="14"/>
              </w:rPr>
              <w:t>12,680</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4"/>
              </w:rPr>
              <w:t>-</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4"/>
              </w:rPr>
              <w:t>-</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4"/>
              </w:rPr>
              <w:t>-</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
              <w:jc w:val="right"/>
            </w:pPr>
            <w:r>
              <w:rPr>
                <w:rFonts w:ascii="Verdana" w:eastAsia="Verdana" w:hAnsi="Verdana" w:cs="Verdana"/>
                <w:sz w:val="14"/>
              </w:rPr>
              <w:t>12,680</w:t>
            </w:r>
          </w:p>
        </w:tc>
      </w:tr>
      <w:tr w:rsidR="00576F87">
        <w:trPr>
          <w:trHeight w:val="348"/>
        </w:trPr>
        <w:tc>
          <w:tcPr>
            <w:tcW w:w="3012"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4"/>
              </w:rPr>
              <w:t>Contributions for unfunded benefits</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4"/>
              </w:rPr>
              <w:t>(6,748)</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4"/>
              </w:rPr>
              <w:t>(9,317)</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4"/>
              </w:rPr>
              <w:t>(16,065)</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4"/>
              </w:rPr>
              <w:t>6,748</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4"/>
              </w:rPr>
              <w:t>9,317</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4"/>
              </w:rPr>
              <w:t>16,065</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4"/>
              </w:rPr>
              <w:t>-</w:t>
            </w:r>
          </w:p>
        </w:tc>
      </w:tr>
      <w:tr w:rsidR="00576F87">
        <w:trPr>
          <w:trHeight w:val="348"/>
        </w:trPr>
        <w:tc>
          <w:tcPr>
            <w:tcW w:w="3012"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4"/>
              </w:rPr>
              <w:t>Net interest on pension scheme liabilities</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
              <w:jc w:val="right"/>
            </w:pPr>
            <w:r>
              <w:rPr>
                <w:rFonts w:ascii="Verdana" w:eastAsia="Verdana" w:hAnsi="Verdana" w:cs="Verdana"/>
                <w:sz w:val="14"/>
              </w:rPr>
              <w:t>1,931</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4"/>
              </w:rPr>
              <w:t>3,621</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4"/>
              </w:rPr>
              <w:t>5,552</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4"/>
              </w:rPr>
              <w:t>(1,931)</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4"/>
              </w:rPr>
              <w:t>(3,621)</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4"/>
              </w:rPr>
              <w:t>(5,552)</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jc w:val="right"/>
            </w:pPr>
            <w:r>
              <w:rPr>
                <w:rFonts w:ascii="Verdana" w:eastAsia="Verdana" w:hAnsi="Verdana" w:cs="Verdana"/>
                <w:sz w:val="14"/>
              </w:rPr>
              <w:t>-</w:t>
            </w:r>
          </w:p>
        </w:tc>
      </w:tr>
      <w:tr w:rsidR="00576F87">
        <w:trPr>
          <w:trHeight w:val="348"/>
        </w:trPr>
        <w:tc>
          <w:tcPr>
            <w:tcW w:w="3012" w:type="dxa"/>
            <w:tcBorders>
              <w:top w:val="single" w:sz="8" w:space="0" w:color="009784"/>
              <w:left w:val="single" w:sz="8" w:space="0" w:color="009784"/>
              <w:bottom w:val="single" w:sz="8" w:space="0" w:color="009784"/>
              <w:right w:val="single" w:sz="8" w:space="0" w:color="009784"/>
            </w:tcBorders>
          </w:tcPr>
          <w:p w:rsidR="00576F87" w:rsidRDefault="004165F5">
            <w:pPr>
              <w:spacing w:after="9"/>
            </w:pPr>
            <w:r>
              <w:rPr>
                <w:rFonts w:ascii="Verdana" w:eastAsia="Verdana" w:hAnsi="Verdana" w:cs="Verdana"/>
                <w:sz w:val="14"/>
              </w:rPr>
              <w:t xml:space="preserve">Remeasurements of the Net Defined </w:t>
            </w:r>
          </w:p>
          <w:p w:rsidR="00576F87" w:rsidRDefault="004165F5">
            <w:pPr>
              <w:spacing w:after="0"/>
            </w:pPr>
            <w:r>
              <w:rPr>
                <w:rFonts w:ascii="Verdana" w:eastAsia="Verdana" w:hAnsi="Verdana" w:cs="Verdana"/>
                <w:sz w:val="14"/>
              </w:rPr>
              <w:t>Benefit Liability</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4"/>
              </w:rPr>
              <w:t>-</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4"/>
              </w:rPr>
              <w:t>-</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4"/>
              </w:rPr>
              <w:t>-</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4"/>
              </w:rPr>
              <w:t>(4,816)</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4"/>
              </w:rPr>
              <w:t>(10,337)</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4"/>
              </w:rPr>
              <w:t>(15,153)</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4"/>
              </w:rPr>
              <w:t>(15,153)</w:t>
            </w:r>
          </w:p>
        </w:tc>
      </w:tr>
      <w:tr w:rsidR="00576F87">
        <w:trPr>
          <w:trHeight w:val="348"/>
        </w:trPr>
        <w:tc>
          <w:tcPr>
            <w:tcW w:w="301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4"/>
              </w:rPr>
              <w:t>Net movement in reserves</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b/>
                <w:sz w:val="14"/>
              </w:rPr>
              <w:t>1,506</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
              <w:jc w:val="right"/>
            </w:pPr>
            <w:r>
              <w:rPr>
                <w:rFonts w:ascii="Verdana" w:eastAsia="Verdana" w:hAnsi="Verdana" w:cs="Verdana"/>
                <w:b/>
                <w:sz w:val="14"/>
              </w:rPr>
              <w:t>661</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b/>
                <w:sz w:val="14"/>
              </w:rPr>
              <w:t>2,167</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4"/>
              <w:jc w:val="right"/>
            </w:pPr>
            <w:r>
              <w:rPr>
                <w:rFonts w:ascii="Verdana" w:eastAsia="Verdana" w:hAnsi="Verdana" w:cs="Verdana"/>
                <w:b/>
                <w:sz w:val="14"/>
              </w:rPr>
              <w:t>1</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5"/>
              <w:jc w:val="right"/>
            </w:pPr>
            <w:r>
              <w:rPr>
                <w:rFonts w:ascii="Verdana" w:eastAsia="Verdana" w:hAnsi="Verdana" w:cs="Verdana"/>
                <w:b/>
                <w:sz w:val="14"/>
              </w:rPr>
              <w:t>(4,641)</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5"/>
              <w:jc w:val="right"/>
            </w:pPr>
            <w:r>
              <w:rPr>
                <w:rFonts w:ascii="Verdana" w:eastAsia="Verdana" w:hAnsi="Verdana" w:cs="Verdana"/>
                <w:b/>
                <w:sz w:val="14"/>
              </w:rPr>
              <w:t>(4,640)</w:t>
            </w:r>
          </w:p>
        </w:tc>
        <w:tc>
          <w:tcPr>
            <w:tcW w:w="125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5"/>
              <w:jc w:val="right"/>
            </w:pPr>
            <w:r>
              <w:rPr>
                <w:rFonts w:ascii="Verdana" w:eastAsia="Verdana" w:hAnsi="Verdana" w:cs="Verdana"/>
                <w:b/>
                <w:sz w:val="14"/>
              </w:rPr>
              <w:t>(2,473)</w:t>
            </w:r>
          </w:p>
        </w:tc>
      </w:tr>
      <w:tr w:rsidR="00576F87">
        <w:trPr>
          <w:trHeight w:val="418"/>
        </w:trPr>
        <w:tc>
          <w:tcPr>
            <w:tcW w:w="3012" w:type="dxa"/>
            <w:tcBorders>
              <w:top w:val="single" w:sz="8" w:space="0" w:color="009784"/>
              <w:left w:val="single" w:sz="8" w:space="0" w:color="009784"/>
              <w:bottom w:val="single" w:sz="8" w:space="0" w:color="009784"/>
              <w:right w:val="single" w:sz="8" w:space="0" w:color="009784"/>
            </w:tcBorders>
            <w:shd w:val="clear" w:color="auto" w:fill="24988A"/>
            <w:vAlign w:val="center"/>
          </w:tcPr>
          <w:p w:rsidR="00576F87" w:rsidRDefault="004165F5">
            <w:pPr>
              <w:spacing w:after="0"/>
              <w:ind w:left="2"/>
            </w:pPr>
            <w:r>
              <w:rPr>
                <w:rFonts w:ascii="Verdana" w:eastAsia="Verdana" w:hAnsi="Verdana" w:cs="Verdana"/>
                <w:b/>
                <w:color w:val="FFFFFF"/>
                <w:sz w:val="14"/>
              </w:rPr>
              <w:t>Balance at 31 March 2017 c/forward</w:t>
            </w:r>
          </w:p>
        </w:tc>
        <w:tc>
          <w:tcPr>
            <w:tcW w:w="1258" w:type="dxa"/>
            <w:tcBorders>
              <w:top w:val="single" w:sz="8" w:space="0" w:color="009784"/>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2"/>
              <w:jc w:val="right"/>
            </w:pPr>
            <w:r>
              <w:rPr>
                <w:rFonts w:ascii="Verdana" w:eastAsia="Verdana" w:hAnsi="Verdana" w:cs="Verdana"/>
                <w:b/>
                <w:color w:val="FFFFFF"/>
                <w:sz w:val="14"/>
              </w:rPr>
              <w:t>12,171</w:t>
            </w:r>
          </w:p>
        </w:tc>
        <w:tc>
          <w:tcPr>
            <w:tcW w:w="1258" w:type="dxa"/>
            <w:tcBorders>
              <w:top w:val="single" w:sz="8" w:space="0" w:color="009784"/>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3"/>
              <w:jc w:val="right"/>
            </w:pPr>
            <w:r>
              <w:rPr>
                <w:rFonts w:ascii="Verdana" w:eastAsia="Verdana" w:hAnsi="Verdana" w:cs="Verdana"/>
                <w:b/>
                <w:color w:val="FFFFFF"/>
                <w:sz w:val="14"/>
              </w:rPr>
              <w:t>2,638</w:t>
            </w:r>
          </w:p>
        </w:tc>
        <w:tc>
          <w:tcPr>
            <w:tcW w:w="1258" w:type="dxa"/>
            <w:tcBorders>
              <w:top w:val="single" w:sz="8" w:space="0" w:color="009784"/>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2"/>
              <w:jc w:val="right"/>
            </w:pPr>
            <w:r>
              <w:rPr>
                <w:rFonts w:ascii="Verdana" w:eastAsia="Verdana" w:hAnsi="Verdana" w:cs="Verdana"/>
                <w:b/>
                <w:color w:val="FFFFFF"/>
                <w:sz w:val="14"/>
              </w:rPr>
              <w:t>14,809</w:t>
            </w:r>
          </w:p>
        </w:tc>
        <w:tc>
          <w:tcPr>
            <w:tcW w:w="1258" w:type="dxa"/>
            <w:tcBorders>
              <w:top w:val="single" w:sz="8" w:space="0" w:color="009784"/>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4"/>
              <w:jc w:val="right"/>
            </w:pPr>
            <w:r>
              <w:rPr>
                <w:rFonts w:ascii="Verdana" w:eastAsia="Verdana" w:hAnsi="Verdana" w:cs="Verdana"/>
                <w:b/>
                <w:color w:val="FFFFFF"/>
                <w:sz w:val="14"/>
              </w:rPr>
              <w:t>(80,589)</w:t>
            </w:r>
          </w:p>
        </w:tc>
        <w:tc>
          <w:tcPr>
            <w:tcW w:w="1258" w:type="dxa"/>
            <w:tcBorders>
              <w:top w:val="single" w:sz="8" w:space="0" w:color="009784"/>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4"/>
              <w:jc w:val="right"/>
            </w:pPr>
            <w:r>
              <w:rPr>
                <w:rFonts w:ascii="Verdana" w:eastAsia="Verdana" w:hAnsi="Verdana" w:cs="Verdana"/>
                <w:b/>
                <w:color w:val="FFFFFF"/>
                <w:sz w:val="14"/>
              </w:rPr>
              <w:t>(154,113)</w:t>
            </w:r>
          </w:p>
        </w:tc>
        <w:tc>
          <w:tcPr>
            <w:tcW w:w="1258" w:type="dxa"/>
            <w:tcBorders>
              <w:top w:val="single" w:sz="8" w:space="0" w:color="009784"/>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4"/>
              <w:jc w:val="right"/>
            </w:pPr>
            <w:r>
              <w:rPr>
                <w:rFonts w:ascii="Verdana" w:eastAsia="Verdana" w:hAnsi="Verdana" w:cs="Verdana"/>
                <w:b/>
                <w:color w:val="FFFFFF"/>
                <w:sz w:val="14"/>
              </w:rPr>
              <w:t>(234,702)</w:t>
            </w:r>
          </w:p>
        </w:tc>
        <w:tc>
          <w:tcPr>
            <w:tcW w:w="1258" w:type="dxa"/>
            <w:tcBorders>
              <w:top w:val="single" w:sz="8" w:space="0" w:color="009784"/>
              <w:left w:val="single" w:sz="8" w:space="0" w:color="009784"/>
              <w:bottom w:val="single" w:sz="8" w:space="0" w:color="009784"/>
              <w:right w:val="single" w:sz="8" w:space="0" w:color="009784"/>
            </w:tcBorders>
            <w:shd w:val="clear" w:color="auto" w:fill="24988A"/>
            <w:vAlign w:val="center"/>
          </w:tcPr>
          <w:p w:rsidR="00576F87" w:rsidRDefault="004165F5">
            <w:pPr>
              <w:spacing w:after="0"/>
              <w:ind w:right="4"/>
              <w:jc w:val="right"/>
            </w:pPr>
            <w:r>
              <w:rPr>
                <w:rFonts w:ascii="Verdana" w:eastAsia="Verdana" w:hAnsi="Verdana" w:cs="Verdana"/>
                <w:b/>
                <w:color w:val="FFFFFF"/>
                <w:sz w:val="14"/>
              </w:rPr>
              <w:t>(219,893)</w:t>
            </w:r>
          </w:p>
        </w:tc>
      </w:tr>
      <w:tr w:rsidR="00576F87">
        <w:trPr>
          <w:trHeight w:val="449"/>
        </w:trPr>
        <w:tc>
          <w:tcPr>
            <w:tcW w:w="3012" w:type="dxa"/>
            <w:tcBorders>
              <w:top w:val="single" w:sz="8" w:space="0" w:color="009784"/>
              <w:left w:val="single" w:sz="8" w:space="0" w:color="009784"/>
              <w:bottom w:val="single" w:sz="8" w:space="0" w:color="009784"/>
              <w:right w:val="single" w:sz="8" w:space="0" w:color="009784"/>
            </w:tcBorders>
          </w:tcPr>
          <w:p w:rsidR="00576F87" w:rsidRDefault="004165F5">
            <w:pPr>
              <w:spacing w:after="9"/>
              <w:ind w:left="2"/>
            </w:pPr>
            <w:r>
              <w:rPr>
                <w:rFonts w:ascii="Verdana" w:eastAsia="Verdana" w:hAnsi="Verdana" w:cs="Verdana"/>
                <w:b/>
                <w:sz w:val="14"/>
              </w:rPr>
              <w:t xml:space="preserve">Movement in Reserves during </w:t>
            </w:r>
          </w:p>
          <w:p w:rsidR="00576F87" w:rsidRDefault="004165F5">
            <w:pPr>
              <w:spacing w:after="0"/>
              <w:ind w:left="2"/>
            </w:pPr>
            <w:r>
              <w:rPr>
                <w:rFonts w:ascii="Verdana" w:eastAsia="Verdana" w:hAnsi="Verdana" w:cs="Verdana"/>
                <w:b/>
                <w:sz w:val="14"/>
              </w:rPr>
              <w:t>2017/18</w:t>
            </w:r>
          </w:p>
        </w:tc>
        <w:tc>
          <w:tcPr>
            <w:tcW w:w="1258" w:type="dxa"/>
            <w:tcBorders>
              <w:top w:val="single" w:sz="8" w:space="0" w:color="009784"/>
              <w:left w:val="single" w:sz="8" w:space="0" w:color="009784"/>
              <w:bottom w:val="single" w:sz="8" w:space="0" w:color="009784"/>
              <w:right w:val="single" w:sz="8" w:space="0" w:color="009784"/>
            </w:tcBorders>
            <w:shd w:val="clear" w:color="auto" w:fill="FFFFFF"/>
          </w:tcPr>
          <w:p w:rsidR="00576F87" w:rsidRDefault="00576F87"/>
        </w:tc>
        <w:tc>
          <w:tcPr>
            <w:tcW w:w="1258" w:type="dxa"/>
            <w:tcBorders>
              <w:top w:val="single" w:sz="8" w:space="0" w:color="009784"/>
              <w:left w:val="single" w:sz="8" w:space="0" w:color="009784"/>
              <w:bottom w:val="single" w:sz="8" w:space="0" w:color="009784"/>
              <w:right w:val="single" w:sz="8" w:space="0" w:color="009784"/>
            </w:tcBorders>
            <w:shd w:val="clear" w:color="auto" w:fill="FFFFFF"/>
          </w:tcPr>
          <w:p w:rsidR="00576F87" w:rsidRDefault="00576F87"/>
        </w:tc>
        <w:tc>
          <w:tcPr>
            <w:tcW w:w="1258" w:type="dxa"/>
            <w:tcBorders>
              <w:top w:val="single" w:sz="8" w:space="0" w:color="009784"/>
              <w:left w:val="single" w:sz="8" w:space="0" w:color="009784"/>
              <w:bottom w:val="single" w:sz="8" w:space="0" w:color="009784"/>
              <w:right w:val="single" w:sz="8" w:space="0" w:color="009784"/>
            </w:tcBorders>
            <w:shd w:val="clear" w:color="auto" w:fill="FFFFFF"/>
          </w:tcPr>
          <w:p w:rsidR="00576F87" w:rsidRDefault="00576F87"/>
        </w:tc>
        <w:tc>
          <w:tcPr>
            <w:tcW w:w="1258" w:type="dxa"/>
            <w:tcBorders>
              <w:top w:val="single" w:sz="8" w:space="0" w:color="009784"/>
              <w:left w:val="single" w:sz="8" w:space="0" w:color="009784"/>
              <w:bottom w:val="single" w:sz="8" w:space="0" w:color="009784"/>
              <w:right w:val="single" w:sz="8" w:space="0" w:color="009784"/>
            </w:tcBorders>
            <w:shd w:val="clear" w:color="auto" w:fill="FFFFFF"/>
          </w:tcPr>
          <w:p w:rsidR="00576F87" w:rsidRDefault="00576F87"/>
        </w:tc>
        <w:tc>
          <w:tcPr>
            <w:tcW w:w="1258" w:type="dxa"/>
            <w:tcBorders>
              <w:top w:val="single" w:sz="8" w:space="0" w:color="009784"/>
              <w:left w:val="single" w:sz="8" w:space="0" w:color="009784"/>
              <w:bottom w:val="single" w:sz="8" w:space="0" w:color="009784"/>
              <w:right w:val="single" w:sz="8" w:space="0" w:color="009784"/>
            </w:tcBorders>
            <w:shd w:val="clear" w:color="auto" w:fill="FFFFFF"/>
          </w:tcPr>
          <w:p w:rsidR="00576F87" w:rsidRDefault="00576F87"/>
        </w:tc>
        <w:tc>
          <w:tcPr>
            <w:tcW w:w="1258" w:type="dxa"/>
            <w:tcBorders>
              <w:top w:val="single" w:sz="8" w:space="0" w:color="009784"/>
              <w:left w:val="single" w:sz="8" w:space="0" w:color="009784"/>
              <w:bottom w:val="single" w:sz="8" w:space="0" w:color="009784"/>
              <w:right w:val="single" w:sz="8" w:space="0" w:color="009784"/>
            </w:tcBorders>
            <w:shd w:val="clear" w:color="auto" w:fill="FFFFFF"/>
          </w:tcPr>
          <w:p w:rsidR="00576F87" w:rsidRDefault="00576F87"/>
        </w:tc>
        <w:tc>
          <w:tcPr>
            <w:tcW w:w="1258" w:type="dxa"/>
            <w:tcBorders>
              <w:top w:val="single" w:sz="8" w:space="0" w:color="009784"/>
              <w:left w:val="single" w:sz="8" w:space="0" w:color="009784"/>
              <w:bottom w:val="single" w:sz="8" w:space="0" w:color="009784"/>
              <w:right w:val="single" w:sz="8" w:space="0" w:color="009784"/>
            </w:tcBorders>
            <w:shd w:val="clear" w:color="auto" w:fill="FFFFFF"/>
          </w:tcPr>
          <w:p w:rsidR="00576F87" w:rsidRDefault="00576F87"/>
        </w:tc>
      </w:tr>
      <w:tr w:rsidR="00576F87">
        <w:trPr>
          <w:trHeight w:val="384"/>
        </w:trPr>
        <w:tc>
          <w:tcPr>
            <w:tcW w:w="3012"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4"/>
              </w:rPr>
              <w:t xml:space="preserve">Surplus/(deficit) on the provision of services </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
              <w:jc w:val="right"/>
            </w:pPr>
            <w:r>
              <w:rPr>
                <w:rFonts w:ascii="Verdana" w:eastAsia="Verdana" w:hAnsi="Verdana" w:cs="Verdana"/>
                <w:sz w:val="14"/>
              </w:rPr>
              <w:t>6,247</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
              <w:jc w:val="right"/>
            </w:pPr>
            <w:r>
              <w:rPr>
                <w:rFonts w:ascii="Verdana" w:eastAsia="Verdana" w:hAnsi="Verdana" w:cs="Verdana"/>
                <w:sz w:val="14"/>
              </w:rPr>
              <w:t>7,252</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
              <w:jc w:val="right"/>
            </w:pPr>
            <w:r>
              <w:rPr>
                <w:rFonts w:ascii="Verdana" w:eastAsia="Verdana" w:hAnsi="Verdana" w:cs="Verdana"/>
                <w:sz w:val="14"/>
              </w:rPr>
              <w:t>13,499</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1"/>
              <w:jc w:val="right"/>
            </w:pPr>
            <w:r>
              <w:rPr>
                <w:rFonts w:ascii="Verdana" w:eastAsia="Verdana" w:hAnsi="Verdana" w:cs="Verdana"/>
                <w:sz w:val="14"/>
              </w:rPr>
              <w:t>-</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1"/>
              <w:jc w:val="right"/>
            </w:pPr>
            <w:r>
              <w:rPr>
                <w:rFonts w:ascii="Verdana" w:eastAsia="Verdana" w:hAnsi="Verdana" w:cs="Verdana"/>
                <w:sz w:val="14"/>
              </w:rPr>
              <w:t>-</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1"/>
              <w:jc w:val="right"/>
            </w:pPr>
            <w:r>
              <w:rPr>
                <w:rFonts w:ascii="Verdana" w:eastAsia="Verdana" w:hAnsi="Verdana" w:cs="Verdana"/>
                <w:sz w:val="14"/>
              </w:rPr>
              <w:t>-</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
              <w:jc w:val="right"/>
            </w:pPr>
            <w:r>
              <w:rPr>
                <w:rFonts w:ascii="Verdana" w:eastAsia="Verdana" w:hAnsi="Verdana" w:cs="Verdana"/>
                <w:sz w:val="14"/>
              </w:rPr>
              <w:t>13,499</w:t>
            </w:r>
          </w:p>
        </w:tc>
      </w:tr>
      <w:tr w:rsidR="00576F87">
        <w:trPr>
          <w:trHeight w:val="384"/>
        </w:trPr>
        <w:tc>
          <w:tcPr>
            <w:tcW w:w="3012"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pPr>
            <w:r>
              <w:rPr>
                <w:rFonts w:ascii="Verdana" w:eastAsia="Verdana" w:hAnsi="Verdana" w:cs="Verdana"/>
                <w:sz w:val="14"/>
              </w:rPr>
              <w:t>Contributions for unfunded benefits</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1"/>
              <w:jc w:val="right"/>
            </w:pPr>
            <w:r>
              <w:rPr>
                <w:rFonts w:ascii="Verdana" w:eastAsia="Verdana" w:hAnsi="Verdana" w:cs="Verdana"/>
                <w:sz w:val="14"/>
              </w:rPr>
              <w:t>(6,445)</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1"/>
              <w:jc w:val="right"/>
            </w:pPr>
            <w:r>
              <w:rPr>
                <w:rFonts w:ascii="Verdana" w:eastAsia="Verdana" w:hAnsi="Verdana" w:cs="Verdana"/>
                <w:sz w:val="14"/>
              </w:rPr>
              <w:t>(9,146)</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1"/>
              <w:jc w:val="right"/>
            </w:pPr>
            <w:r>
              <w:rPr>
                <w:rFonts w:ascii="Verdana" w:eastAsia="Verdana" w:hAnsi="Verdana" w:cs="Verdana"/>
                <w:sz w:val="14"/>
              </w:rPr>
              <w:t>(15,591)</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2"/>
              <w:jc w:val="right"/>
            </w:pPr>
            <w:r>
              <w:rPr>
                <w:rFonts w:ascii="Verdana" w:eastAsia="Verdana" w:hAnsi="Verdana" w:cs="Verdana"/>
                <w:sz w:val="14"/>
              </w:rPr>
              <w:t>6,445</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2"/>
              <w:jc w:val="right"/>
            </w:pPr>
            <w:r>
              <w:rPr>
                <w:rFonts w:ascii="Verdana" w:eastAsia="Verdana" w:hAnsi="Verdana" w:cs="Verdana"/>
                <w:sz w:val="14"/>
              </w:rPr>
              <w:t>9,146</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2"/>
              <w:jc w:val="right"/>
            </w:pPr>
            <w:r>
              <w:rPr>
                <w:rFonts w:ascii="Verdana" w:eastAsia="Verdana" w:hAnsi="Verdana" w:cs="Verdana"/>
                <w:sz w:val="14"/>
              </w:rPr>
              <w:t>15,591</w:t>
            </w:r>
          </w:p>
        </w:tc>
        <w:tc>
          <w:tcPr>
            <w:tcW w:w="1258" w:type="dxa"/>
            <w:tcBorders>
              <w:top w:val="single" w:sz="8" w:space="0" w:color="009784"/>
              <w:left w:val="single" w:sz="8" w:space="0" w:color="009784"/>
              <w:bottom w:val="single" w:sz="8" w:space="0" w:color="009784"/>
              <w:right w:val="single" w:sz="8" w:space="0" w:color="009784"/>
            </w:tcBorders>
          </w:tcPr>
          <w:p w:rsidR="00576F87" w:rsidRDefault="00576F87"/>
        </w:tc>
      </w:tr>
      <w:tr w:rsidR="00576F87">
        <w:trPr>
          <w:trHeight w:val="384"/>
        </w:trPr>
        <w:tc>
          <w:tcPr>
            <w:tcW w:w="3012"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pPr>
            <w:r>
              <w:rPr>
                <w:rFonts w:ascii="Verdana" w:eastAsia="Verdana" w:hAnsi="Verdana" w:cs="Verdana"/>
                <w:sz w:val="14"/>
              </w:rPr>
              <w:t>Net interest on pension scheme liabilities</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
              <w:jc w:val="right"/>
            </w:pPr>
            <w:r>
              <w:rPr>
                <w:rFonts w:ascii="Verdana" w:eastAsia="Verdana" w:hAnsi="Verdana" w:cs="Verdana"/>
                <w:sz w:val="14"/>
              </w:rPr>
              <w:t>1,393</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2"/>
              <w:jc w:val="right"/>
            </w:pPr>
            <w:r>
              <w:rPr>
                <w:rFonts w:ascii="Verdana" w:eastAsia="Verdana" w:hAnsi="Verdana" w:cs="Verdana"/>
                <w:sz w:val="14"/>
              </w:rPr>
              <w:t>2,692</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2"/>
              <w:jc w:val="right"/>
            </w:pPr>
            <w:r>
              <w:rPr>
                <w:rFonts w:ascii="Verdana" w:eastAsia="Verdana" w:hAnsi="Verdana" w:cs="Verdana"/>
                <w:sz w:val="14"/>
              </w:rPr>
              <w:t>4,085</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jc w:val="right"/>
            </w:pPr>
            <w:r>
              <w:rPr>
                <w:rFonts w:ascii="Verdana" w:eastAsia="Verdana" w:hAnsi="Verdana" w:cs="Verdana"/>
                <w:sz w:val="14"/>
              </w:rPr>
              <w:t>(1,393)</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jc w:val="right"/>
            </w:pPr>
            <w:r>
              <w:rPr>
                <w:rFonts w:ascii="Verdana" w:eastAsia="Verdana" w:hAnsi="Verdana" w:cs="Verdana"/>
                <w:sz w:val="14"/>
              </w:rPr>
              <w:t>(2,692)</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jc w:val="right"/>
            </w:pPr>
            <w:r>
              <w:rPr>
                <w:rFonts w:ascii="Verdana" w:eastAsia="Verdana" w:hAnsi="Verdana" w:cs="Verdana"/>
                <w:sz w:val="14"/>
              </w:rPr>
              <w:t>(4,085)</w:t>
            </w:r>
          </w:p>
        </w:tc>
        <w:tc>
          <w:tcPr>
            <w:tcW w:w="1258" w:type="dxa"/>
            <w:tcBorders>
              <w:top w:val="single" w:sz="8" w:space="0" w:color="009784"/>
              <w:left w:val="single" w:sz="8" w:space="0" w:color="009784"/>
              <w:bottom w:val="single" w:sz="8" w:space="0" w:color="009784"/>
              <w:right w:val="single" w:sz="8" w:space="0" w:color="009784"/>
            </w:tcBorders>
          </w:tcPr>
          <w:p w:rsidR="00576F87" w:rsidRDefault="00576F87"/>
        </w:tc>
      </w:tr>
      <w:tr w:rsidR="00576F87">
        <w:trPr>
          <w:trHeight w:val="384"/>
        </w:trPr>
        <w:tc>
          <w:tcPr>
            <w:tcW w:w="3012" w:type="dxa"/>
            <w:tcBorders>
              <w:top w:val="single" w:sz="8" w:space="0" w:color="009784"/>
              <w:left w:val="single" w:sz="8" w:space="0" w:color="009784"/>
              <w:bottom w:val="single" w:sz="8" w:space="0" w:color="009784"/>
              <w:right w:val="single" w:sz="8" w:space="0" w:color="009784"/>
            </w:tcBorders>
          </w:tcPr>
          <w:p w:rsidR="00576F87" w:rsidRDefault="004165F5">
            <w:pPr>
              <w:spacing w:after="9"/>
            </w:pPr>
            <w:r>
              <w:rPr>
                <w:rFonts w:ascii="Verdana" w:eastAsia="Verdana" w:hAnsi="Verdana" w:cs="Verdana"/>
                <w:sz w:val="14"/>
              </w:rPr>
              <w:t xml:space="preserve">Remeasurements of the Net Defined </w:t>
            </w:r>
          </w:p>
          <w:p w:rsidR="00576F87" w:rsidRDefault="004165F5">
            <w:pPr>
              <w:spacing w:after="0"/>
            </w:pPr>
            <w:r>
              <w:rPr>
                <w:rFonts w:ascii="Verdana" w:eastAsia="Verdana" w:hAnsi="Verdana" w:cs="Verdana"/>
                <w:sz w:val="14"/>
              </w:rPr>
              <w:t>Benefit Liability</w:t>
            </w:r>
          </w:p>
        </w:tc>
        <w:tc>
          <w:tcPr>
            <w:tcW w:w="1258" w:type="dxa"/>
            <w:tcBorders>
              <w:top w:val="single" w:sz="8" w:space="0" w:color="009784"/>
              <w:left w:val="single" w:sz="8" w:space="0" w:color="009784"/>
              <w:bottom w:val="single" w:sz="8" w:space="0" w:color="009784"/>
              <w:right w:val="single" w:sz="8" w:space="0" w:color="009784"/>
            </w:tcBorders>
          </w:tcPr>
          <w:p w:rsidR="00576F87" w:rsidRDefault="00576F87"/>
        </w:tc>
        <w:tc>
          <w:tcPr>
            <w:tcW w:w="1258" w:type="dxa"/>
            <w:tcBorders>
              <w:top w:val="single" w:sz="8" w:space="0" w:color="009784"/>
              <w:left w:val="single" w:sz="8" w:space="0" w:color="009784"/>
              <w:bottom w:val="single" w:sz="8" w:space="0" w:color="009784"/>
              <w:right w:val="single" w:sz="8" w:space="0" w:color="009784"/>
            </w:tcBorders>
          </w:tcPr>
          <w:p w:rsidR="00576F87" w:rsidRDefault="00576F87"/>
        </w:tc>
        <w:tc>
          <w:tcPr>
            <w:tcW w:w="1258" w:type="dxa"/>
            <w:tcBorders>
              <w:top w:val="single" w:sz="8" w:space="0" w:color="009784"/>
              <w:left w:val="single" w:sz="8" w:space="0" w:color="009784"/>
              <w:bottom w:val="single" w:sz="8" w:space="0" w:color="009784"/>
              <w:right w:val="single" w:sz="8" w:space="0" w:color="009784"/>
            </w:tcBorders>
          </w:tcPr>
          <w:p w:rsidR="00576F87" w:rsidRDefault="00576F87"/>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
              <w:jc w:val="right"/>
            </w:pPr>
            <w:r>
              <w:rPr>
                <w:rFonts w:ascii="Verdana" w:eastAsia="Verdana" w:hAnsi="Verdana" w:cs="Verdana"/>
                <w:sz w:val="14"/>
              </w:rPr>
              <w:t>2,909</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
              <w:jc w:val="right"/>
            </w:pPr>
            <w:r>
              <w:rPr>
                <w:rFonts w:ascii="Verdana" w:eastAsia="Verdana" w:hAnsi="Verdana" w:cs="Verdana"/>
                <w:sz w:val="14"/>
              </w:rPr>
              <w:t>5,961</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
              <w:jc w:val="right"/>
            </w:pPr>
            <w:r>
              <w:rPr>
                <w:rFonts w:ascii="Verdana" w:eastAsia="Verdana" w:hAnsi="Verdana" w:cs="Verdana"/>
                <w:sz w:val="14"/>
              </w:rPr>
              <w:t>8,870</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
              <w:jc w:val="right"/>
            </w:pPr>
            <w:r>
              <w:rPr>
                <w:rFonts w:ascii="Verdana" w:eastAsia="Verdana" w:hAnsi="Verdana" w:cs="Verdana"/>
                <w:sz w:val="14"/>
              </w:rPr>
              <w:t>8,870</w:t>
            </w:r>
          </w:p>
        </w:tc>
      </w:tr>
      <w:tr w:rsidR="00576F87">
        <w:trPr>
          <w:trHeight w:val="384"/>
        </w:trPr>
        <w:tc>
          <w:tcPr>
            <w:tcW w:w="3012"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left="2"/>
            </w:pPr>
            <w:r>
              <w:rPr>
                <w:rFonts w:ascii="Verdana" w:eastAsia="Verdana" w:hAnsi="Verdana" w:cs="Verdana"/>
                <w:b/>
                <w:sz w:val="14"/>
              </w:rPr>
              <w:t>Net movement in Reserves</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2"/>
              <w:jc w:val="right"/>
            </w:pPr>
            <w:r>
              <w:rPr>
                <w:rFonts w:ascii="Verdana" w:eastAsia="Verdana" w:hAnsi="Verdana" w:cs="Verdana"/>
                <w:b/>
                <w:sz w:val="14"/>
              </w:rPr>
              <w:t>1,195</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
              <w:jc w:val="right"/>
            </w:pPr>
            <w:r>
              <w:rPr>
                <w:rFonts w:ascii="Verdana" w:eastAsia="Verdana" w:hAnsi="Verdana" w:cs="Verdana"/>
                <w:b/>
                <w:sz w:val="14"/>
              </w:rPr>
              <w:t>798</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2"/>
              <w:jc w:val="right"/>
            </w:pPr>
            <w:r>
              <w:rPr>
                <w:rFonts w:ascii="Verdana" w:eastAsia="Verdana" w:hAnsi="Verdana" w:cs="Verdana"/>
                <w:b/>
                <w:sz w:val="14"/>
              </w:rPr>
              <w:t>1,993</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2"/>
              <w:jc w:val="right"/>
            </w:pPr>
            <w:r>
              <w:rPr>
                <w:rFonts w:ascii="Verdana" w:eastAsia="Verdana" w:hAnsi="Verdana" w:cs="Verdana"/>
                <w:b/>
                <w:sz w:val="14"/>
              </w:rPr>
              <w:t>7,961</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2"/>
              <w:jc w:val="right"/>
            </w:pPr>
            <w:r>
              <w:rPr>
                <w:rFonts w:ascii="Verdana" w:eastAsia="Verdana" w:hAnsi="Verdana" w:cs="Verdana"/>
                <w:b/>
                <w:sz w:val="14"/>
              </w:rPr>
              <w:t>12,415</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2"/>
              <w:jc w:val="right"/>
            </w:pPr>
            <w:r>
              <w:rPr>
                <w:rFonts w:ascii="Verdana" w:eastAsia="Verdana" w:hAnsi="Verdana" w:cs="Verdana"/>
                <w:b/>
                <w:sz w:val="14"/>
              </w:rPr>
              <w:t>20,376</w:t>
            </w:r>
          </w:p>
        </w:tc>
        <w:tc>
          <w:tcPr>
            <w:tcW w:w="1258"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2"/>
              <w:jc w:val="right"/>
            </w:pPr>
            <w:r>
              <w:rPr>
                <w:rFonts w:ascii="Verdana" w:eastAsia="Verdana" w:hAnsi="Verdana" w:cs="Verdana"/>
                <w:b/>
                <w:sz w:val="14"/>
              </w:rPr>
              <w:t>22,369</w:t>
            </w:r>
          </w:p>
        </w:tc>
      </w:tr>
      <w:tr w:rsidR="00576F87">
        <w:trPr>
          <w:trHeight w:val="391"/>
        </w:trPr>
        <w:tc>
          <w:tcPr>
            <w:tcW w:w="3012" w:type="dxa"/>
            <w:tcBorders>
              <w:top w:val="single" w:sz="8" w:space="0" w:color="009784"/>
              <w:left w:val="single" w:sz="8" w:space="0" w:color="009784"/>
              <w:bottom w:val="single" w:sz="8" w:space="0" w:color="009784"/>
              <w:right w:val="single" w:sz="8" w:space="0" w:color="009784"/>
            </w:tcBorders>
            <w:shd w:val="clear" w:color="auto" w:fill="009784"/>
          </w:tcPr>
          <w:p w:rsidR="00576F87" w:rsidRDefault="004165F5">
            <w:pPr>
              <w:spacing w:after="0"/>
              <w:ind w:left="2"/>
            </w:pPr>
            <w:r>
              <w:rPr>
                <w:rFonts w:ascii="Verdana" w:eastAsia="Verdana" w:hAnsi="Verdana" w:cs="Verdana"/>
                <w:b/>
                <w:color w:val="FFFFFF"/>
                <w:sz w:val="14"/>
              </w:rPr>
              <w:t>Balance at 31 March 2018 carried forward</w:t>
            </w:r>
          </w:p>
        </w:tc>
        <w:tc>
          <w:tcPr>
            <w:tcW w:w="1258" w:type="dxa"/>
            <w:tcBorders>
              <w:top w:val="single" w:sz="8"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right="2"/>
              <w:jc w:val="right"/>
            </w:pPr>
            <w:r>
              <w:rPr>
                <w:rFonts w:ascii="Verdana" w:eastAsia="Verdana" w:hAnsi="Verdana" w:cs="Verdana"/>
                <w:b/>
                <w:color w:val="FFFFFF"/>
                <w:sz w:val="14"/>
              </w:rPr>
              <w:t>13,366</w:t>
            </w:r>
          </w:p>
        </w:tc>
        <w:tc>
          <w:tcPr>
            <w:tcW w:w="1258" w:type="dxa"/>
            <w:tcBorders>
              <w:top w:val="single" w:sz="8"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right="2"/>
              <w:jc w:val="right"/>
            </w:pPr>
            <w:r>
              <w:rPr>
                <w:rFonts w:ascii="Verdana" w:eastAsia="Verdana" w:hAnsi="Verdana" w:cs="Verdana"/>
                <w:b/>
                <w:color w:val="FFFFFF"/>
                <w:sz w:val="14"/>
              </w:rPr>
              <w:t>3,436</w:t>
            </w:r>
          </w:p>
        </w:tc>
        <w:tc>
          <w:tcPr>
            <w:tcW w:w="1258" w:type="dxa"/>
            <w:tcBorders>
              <w:top w:val="single" w:sz="8"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right="2"/>
              <w:jc w:val="right"/>
            </w:pPr>
            <w:r>
              <w:rPr>
                <w:rFonts w:ascii="Verdana" w:eastAsia="Verdana" w:hAnsi="Verdana" w:cs="Verdana"/>
                <w:b/>
                <w:color w:val="FFFFFF"/>
                <w:sz w:val="14"/>
              </w:rPr>
              <w:t>16,802</w:t>
            </w:r>
          </w:p>
        </w:tc>
        <w:tc>
          <w:tcPr>
            <w:tcW w:w="1258" w:type="dxa"/>
            <w:tcBorders>
              <w:top w:val="single" w:sz="8"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right="4"/>
              <w:jc w:val="right"/>
            </w:pPr>
            <w:r>
              <w:rPr>
                <w:rFonts w:ascii="Verdana" w:eastAsia="Verdana" w:hAnsi="Verdana" w:cs="Verdana"/>
                <w:b/>
                <w:color w:val="FFFFFF"/>
                <w:sz w:val="14"/>
              </w:rPr>
              <w:t>(72,628)</w:t>
            </w:r>
          </w:p>
        </w:tc>
        <w:tc>
          <w:tcPr>
            <w:tcW w:w="1258" w:type="dxa"/>
            <w:tcBorders>
              <w:top w:val="single" w:sz="8"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right="4"/>
              <w:jc w:val="right"/>
            </w:pPr>
            <w:r>
              <w:rPr>
                <w:rFonts w:ascii="Verdana" w:eastAsia="Verdana" w:hAnsi="Verdana" w:cs="Verdana"/>
                <w:b/>
                <w:color w:val="FFFFFF"/>
                <w:sz w:val="14"/>
              </w:rPr>
              <w:t>(141,698)</w:t>
            </w:r>
          </w:p>
        </w:tc>
        <w:tc>
          <w:tcPr>
            <w:tcW w:w="1258" w:type="dxa"/>
            <w:tcBorders>
              <w:top w:val="single" w:sz="8"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right="4"/>
              <w:jc w:val="right"/>
            </w:pPr>
            <w:r>
              <w:rPr>
                <w:rFonts w:ascii="Verdana" w:eastAsia="Verdana" w:hAnsi="Verdana" w:cs="Verdana"/>
                <w:b/>
                <w:color w:val="FFFFFF"/>
                <w:sz w:val="14"/>
              </w:rPr>
              <w:t>(214,326)</w:t>
            </w:r>
          </w:p>
        </w:tc>
        <w:tc>
          <w:tcPr>
            <w:tcW w:w="1258" w:type="dxa"/>
            <w:tcBorders>
              <w:top w:val="single" w:sz="8"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right="4"/>
              <w:jc w:val="right"/>
            </w:pPr>
            <w:r>
              <w:rPr>
                <w:rFonts w:ascii="Verdana" w:eastAsia="Verdana" w:hAnsi="Verdana" w:cs="Verdana"/>
                <w:b/>
                <w:color w:val="FFFFFF"/>
                <w:sz w:val="14"/>
              </w:rPr>
              <w:t>(197,524)</w:t>
            </w:r>
          </w:p>
        </w:tc>
      </w:tr>
    </w:tbl>
    <w:p w:rsidR="00576F87" w:rsidRDefault="004165F5">
      <w:pPr>
        <w:spacing w:after="101"/>
        <w:ind w:left="-372" w:hanging="10"/>
      </w:pPr>
      <w:r>
        <w:rPr>
          <w:rFonts w:ascii="Verdana" w:eastAsia="Verdana" w:hAnsi="Verdana" w:cs="Verdana"/>
          <w:color w:val="35437C"/>
          <w:sz w:val="20"/>
        </w:rPr>
        <w:t>Residual Liabilities Accounts</w:t>
      </w:r>
    </w:p>
    <w:p w:rsidR="00576F87" w:rsidRDefault="004165F5">
      <w:pPr>
        <w:spacing w:after="0"/>
        <w:ind w:left="-372" w:hanging="10"/>
      </w:pPr>
      <w:r>
        <w:rPr>
          <w:rFonts w:ascii="Verdana" w:eastAsia="Verdana" w:hAnsi="Verdana" w:cs="Verdana"/>
          <w:color w:val="35437C"/>
          <w:sz w:val="20"/>
        </w:rPr>
        <w:t>Comprehensive Income and Expenditure Statement for the year ended</w:t>
      </w:r>
    </w:p>
    <w:tbl>
      <w:tblPr>
        <w:tblStyle w:val="TableGrid"/>
        <w:tblW w:w="12391" w:type="dxa"/>
        <w:tblInd w:w="-411" w:type="dxa"/>
        <w:tblCellMar>
          <w:top w:w="40" w:type="dxa"/>
          <w:left w:w="36" w:type="dxa"/>
          <w:bottom w:w="0" w:type="dxa"/>
          <w:right w:w="0" w:type="dxa"/>
        </w:tblCellMar>
        <w:tblLook w:val="04A0" w:firstRow="1" w:lastRow="0" w:firstColumn="1" w:lastColumn="0" w:noHBand="0" w:noVBand="1"/>
      </w:tblPr>
      <w:tblGrid>
        <w:gridCol w:w="1822"/>
        <w:gridCol w:w="1354"/>
        <w:gridCol w:w="1450"/>
        <w:gridCol w:w="838"/>
        <w:gridCol w:w="3029"/>
        <w:gridCol w:w="1385"/>
        <w:gridCol w:w="1306"/>
        <w:gridCol w:w="1210"/>
      </w:tblGrid>
      <w:tr w:rsidR="00576F87">
        <w:trPr>
          <w:trHeight w:val="696"/>
        </w:trPr>
        <w:tc>
          <w:tcPr>
            <w:tcW w:w="1822" w:type="dxa"/>
            <w:tcBorders>
              <w:top w:val="single" w:sz="15" w:space="0" w:color="009784"/>
              <w:left w:val="single" w:sz="15" w:space="0" w:color="009784"/>
              <w:bottom w:val="single" w:sz="8" w:space="0" w:color="009784"/>
              <w:right w:val="nil"/>
            </w:tcBorders>
            <w:shd w:val="clear" w:color="auto" w:fill="009784"/>
          </w:tcPr>
          <w:p w:rsidR="00576F87" w:rsidRDefault="004165F5">
            <w:pPr>
              <w:spacing w:after="146"/>
              <w:ind w:left="2"/>
            </w:pPr>
            <w:r>
              <w:rPr>
                <w:rFonts w:ascii="Verdana" w:eastAsia="Verdana" w:hAnsi="Verdana" w:cs="Verdana"/>
                <w:b/>
                <w:color w:val="FFFFFF"/>
                <w:sz w:val="16"/>
              </w:rPr>
              <w:t>31-Mar-17</w:t>
            </w:r>
          </w:p>
          <w:p w:rsidR="00576F87" w:rsidRDefault="004165F5">
            <w:pPr>
              <w:spacing w:after="0"/>
              <w:ind w:right="37"/>
              <w:jc w:val="right"/>
            </w:pPr>
            <w:r>
              <w:rPr>
                <w:rFonts w:ascii="Verdana" w:eastAsia="Verdana" w:hAnsi="Verdana" w:cs="Verdana"/>
                <w:b/>
                <w:color w:val="FFFFFF"/>
                <w:sz w:val="16"/>
              </w:rPr>
              <w:t>Greater London</w:t>
            </w:r>
          </w:p>
        </w:tc>
        <w:tc>
          <w:tcPr>
            <w:tcW w:w="1354" w:type="dxa"/>
            <w:tcBorders>
              <w:top w:val="single" w:sz="15" w:space="0" w:color="009784"/>
              <w:left w:val="nil"/>
              <w:bottom w:val="single" w:sz="8" w:space="0" w:color="009784"/>
              <w:right w:val="nil"/>
            </w:tcBorders>
            <w:shd w:val="clear" w:color="auto" w:fill="009784"/>
            <w:vAlign w:val="bottom"/>
          </w:tcPr>
          <w:p w:rsidR="00576F87" w:rsidRDefault="004165F5">
            <w:pPr>
              <w:spacing w:after="0"/>
              <w:ind w:left="55"/>
              <w:jc w:val="both"/>
            </w:pPr>
            <w:r>
              <w:rPr>
                <w:rFonts w:ascii="Verdana" w:eastAsia="Verdana" w:hAnsi="Verdana" w:cs="Verdana"/>
                <w:b/>
                <w:color w:val="FFFFFF"/>
                <w:sz w:val="16"/>
              </w:rPr>
              <w:t>Inner London</w:t>
            </w:r>
          </w:p>
        </w:tc>
        <w:tc>
          <w:tcPr>
            <w:tcW w:w="1450" w:type="dxa"/>
            <w:tcBorders>
              <w:top w:val="single" w:sz="15" w:space="0" w:color="009784"/>
              <w:left w:val="nil"/>
              <w:bottom w:val="single" w:sz="8" w:space="0" w:color="009784"/>
              <w:right w:val="single" w:sz="8" w:space="0" w:color="009784"/>
            </w:tcBorders>
            <w:shd w:val="clear" w:color="auto" w:fill="009784"/>
            <w:vAlign w:val="bottom"/>
          </w:tcPr>
          <w:p w:rsidR="00576F87" w:rsidRDefault="004165F5">
            <w:pPr>
              <w:spacing w:after="0"/>
              <w:ind w:right="36"/>
              <w:jc w:val="right"/>
            </w:pPr>
            <w:r>
              <w:rPr>
                <w:rFonts w:ascii="Verdana" w:eastAsia="Verdana" w:hAnsi="Verdana" w:cs="Verdana"/>
                <w:b/>
                <w:color w:val="FFFFFF"/>
                <w:sz w:val="16"/>
              </w:rPr>
              <w:t>Total</w:t>
            </w:r>
          </w:p>
        </w:tc>
        <w:tc>
          <w:tcPr>
            <w:tcW w:w="838" w:type="dxa"/>
            <w:tcBorders>
              <w:top w:val="single" w:sz="15" w:space="0" w:color="009784"/>
              <w:left w:val="single" w:sz="8" w:space="0" w:color="009784"/>
              <w:bottom w:val="single" w:sz="8" w:space="0" w:color="009784"/>
              <w:right w:val="single" w:sz="8" w:space="0" w:color="009784"/>
            </w:tcBorders>
            <w:shd w:val="clear" w:color="auto" w:fill="009784"/>
          </w:tcPr>
          <w:p w:rsidR="00576F87" w:rsidRDefault="004165F5">
            <w:pPr>
              <w:spacing w:after="0"/>
              <w:ind w:left="122"/>
            </w:pPr>
            <w:r>
              <w:rPr>
                <w:rFonts w:ascii="Verdana" w:eastAsia="Verdana" w:hAnsi="Verdana" w:cs="Verdana"/>
                <w:b/>
                <w:color w:val="FFFFFF"/>
                <w:sz w:val="16"/>
              </w:rPr>
              <w:t>Notes</w:t>
            </w:r>
          </w:p>
        </w:tc>
        <w:tc>
          <w:tcPr>
            <w:tcW w:w="3029" w:type="dxa"/>
            <w:tcBorders>
              <w:top w:val="single" w:sz="15" w:space="0" w:color="009784"/>
              <w:left w:val="single" w:sz="8" w:space="0" w:color="009784"/>
              <w:bottom w:val="single" w:sz="8" w:space="0" w:color="009784"/>
              <w:right w:val="single" w:sz="8" w:space="0" w:color="009784"/>
            </w:tcBorders>
            <w:shd w:val="clear" w:color="auto" w:fill="009784"/>
          </w:tcPr>
          <w:p w:rsidR="00576F87" w:rsidRDefault="00576F87"/>
        </w:tc>
        <w:tc>
          <w:tcPr>
            <w:tcW w:w="1385" w:type="dxa"/>
            <w:tcBorders>
              <w:top w:val="single" w:sz="15" w:space="0" w:color="009784"/>
              <w:left w:val="single" w:sz="8" w:space="0" w:color="009784"/>
              <w:bottom w:val="single" w:sz="8" w:space="0" w:color="009784"/>
              <w:right w:val="nil"/>
            </w:tcBorders>
            <w:shd w:val="clear" w:color="auto" w:fill="009784"/>
          </w:tcPr>
          <w:p w:rsidR="00576F87" w:rsidRDefault="004165F5">
            <w:pPr>
              <w:spacing w:after="43"/>
              <w:ind w:left="2"/>
              <w:jc w:val="both"/>
            </w:pPr>
            <w:r>
              <w:rPr>
                <w:rFonts w:ascii="Verdana" w:eastAsia="Verdana" w:hAnsi="Verdana" w:cs="Verdana"/>
                <w:b/>
                <w:color w:val="FFFFFF"/>
                <w:sz w:val="16"/>
              </w:rPr>
              <w:t>31 March 2018</w:t>
            </w:r>
          </w:p>
          <w:p w:rsidR="00576F87" w:rsidRDefault="004165F5">
            <w:pPr>
              <w:spacing w:after="0"/>
              <w:ind w:right="35"/>
              <w:jc w:val="right"/>
            </w:pPr>
            <w:r>
              <w:rPr>
                <w:rFonts w:ascii="Verdana" w:eastAsia="Verdana" w:hAnsi="Verdana" w:cs="Verdana"/>
                <w:b/>
                <w:color w:val="FFFFFF"/>
                <w:sz w:val="16"/>
              </w:rPr>
              <w:t xml:space="preserve">Greater </w:t>
            </w:r>
          </w:p>
          <w:p w:rsidR="00576F87" w:rsidRDefault="004165F5">
            <w:pPr>
              <w:spacing w:after="0"/>
              <w:ind w:right="36"/>
              <w:jc w:val="right"/>
            </w:pPr>
            <w:r>
              <w:rPr>
                <w:rFonts w:ascii="Verdana" w:eastAsia="Verdana" w:hAnsi="Verdana" w:cs="Verdana"/>
                <w:b/>
                <w:color w:val="FFFFFF"/>
                <w:sz w:val="16"/>
              </w:rPr>
              <w:t>London</w:t>
            </w:r>
          </w:p>
        </w:tc>
        <w:tc>
          <w:tcPr>
            <w:tcW w:w="1306" w:type="dxa"/>
            <w:tcBorders>
              <w:top w:val="single" w:sz="15" w:space="0" w:color="009784"/>
              <w:left w:val="nil"/>
              <w:bottom w:val="single" w:sz="8" w:space="0" w:color="009784"/>
              <w:right w:val="nil"/>
            </w:tcBorders>
            <w:shd w:val="clear" w:color="auto" w:fill="009784"/>
            <w:vAlign w:val="bottom"/>
          </w:tcPr>
          <w:p w:rsidR="00576F87" w:rsidRDefault="004165F5">
            <w:pPr>
              <w:spacing w:after="0"/>
              <w:ind w:left="7"/>
              <w:jc w:val="both"/>
            </w:pPr>
            <w:r>
              <w:rPr>
                <w:rFonts w:ascii="Verdana" w:eastAsia="Verdana" w:hAnsi="Verdana" w:cs="Verdana"/>
                <w:b/>
                <w:color w:val="FFFFFF"/>
                <w:sz w:val="16"/>
              </w:rPr>
              <w:t>Inner London</w:t>
            </w:r>
          </w:p>
        </w:tc>
        <w:tc>
          <w:tcPr>
            <w:tcW w:w="1210" w:type="dxa"/>
            <w:tcBorders>
              <w:top w:val="single" w:sz="15" w:space="0" w:color="009784"/>
              <w:left w:val="nil"/>
              <w:bottom w:val="single" w:sz="8" w:space="0" w:color="009784"/>
              <w:right w:val="single" w:sz="15" w:space="0" w:color="009784"/>
            </w:tcBorders>
            <w:shd w:val="clear" w:color="auto" w:fill="009784"/>
            <w:vAlign w:val="bottom"/>
          </w:tcPr>
          <w:p w:rsidR="00576F87" w:rsidRDefault="004165F5">
            <w:pPr>
              <w:spacing w:after="0"/>
              <w:ind w:right="36"/>
              <w:jc w:val="right"/>
            </w:pPr>
            <w:r>
              <w:rPr>
                <w:rFonts w:ascii="Verdana" w:eastAsia="Verdana" w:hAnsi="Verdana" w:cs="Verdana"/>
                <w:b/>
                <w:color w:val="FFFFFF"/>
                <w:sz w:val="16"/>
              </w:rPr>
              <w:t>Total</w:t>
            </w:r>
          </w:p>
        </w:tc>
      </w:tr>
      <w:tr w:rsidR="00576F87">
        <w:trPr>
          <w:trHeight w:val="290"/>
        </w:trPr>
        <w:tc>
          <w:tcPr>
            <w:tcW w:w="1822"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right="29"/>
              <w:jc w:val="right"/>
            </w:pPr>
            <w:r>
              <w:rPr>
                <w:rFonts w:ascii="Verdana" w:eastAsia="Verdana" w:hAnsi="Verdana" w:cs="Verdana"/>
                <w:b/>
                <w:sz w:val="14"/>
              </w:rPr>
              <w:t>£000</w:t>
            </w:r>
          </w:p>
        </w:tc>
        <w:tc>
          <w:tcPr>
            <w:tcW w:w="135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9"/>
              <w:jc w:val="right"/>
            </w:pPr>
            <w:r>
              <w:rPr>
                <w:rFonts w:ascii="Verdana" w:eastAsia="Verdana" w:hAnsi="Verdana" w:cs="Verdana"/>
                <w:b/>
                <w:sz w:val="14"/>
              </w:rPr>
              <w:t>£000</w:t>
            </w:r>
          </w:p>
        </w:tc>
        <w:tc>
          <w:tcPr>
            <w:tcW w:w="145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9"/>
              <w:jc w:val="right"/>
            </w:pPr>
            <w:r>
              <w:rPr>
                <w:rFonts w:ascii="Verdana" w:eastAsia="Verdana" w:hAnsi="Verdana" w:cs="Verdana"/>
                <w:b/>
                <w:sz w:val="14"/>
              </w:rPr>
              <w:t>£000</w:t>
            </w:r>
          </w:p>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576F87"/>
        </w:tc>
        <w:tc>
          <w:tcPr>
            <w:tcW w:w="138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9"/>
              <w:jc w:val="right"/>
            </w:pPr>
            <w:r>
              <w:rPr>
                <w:rFonts w:ascii="Verdana" w:eastAsia="Verdana" w:hAnsi="Verdana" w:cs="Verdana"/>
                <w:b/>
                <w:sz w:val="14"/>
              </w:rPr>
              <w:t>£000</w:t>
            </w:r>
          </w:p>
        </w:tc>
        <w:tc>
          <w:tcPr>
            <w:tcW w:w="1306"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29"/>
              <w:jc w:val="right"/>
            </w:pPr>
            <w:r>
              <w:rPr>
                <w:rFonts w:ascii="Verdana" w:eastAsia="Verdana" w:hAnsi="Verdana" w:cs="Verdana"/>
                <w:b/>
                <w:sz w:val="14"/>
              </w:rPr>
              <w:t>£000</w:t>
            </w:r>
          </w:p>
        </w:tc>
        <w:tc>
          <w:tcPr>
            <w:tcW w:w="121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29"/>
              <w:jc w:val="right"/>
            </w:pPr>
            <w:r>
              <w:rPr>
                <w:rFonts w:ascii="Verdana" w:eastAsia="Verdana" w:hAnsi="Verdana" w:cs="Verdana"/>
                <w:b/>
                <w:sz w:val="14"/>
              </w:rPr>
              <w:t>£000</w:t>
            </w:r>
          </w:p>
        </w:tc>
      </w:tr>
      <w:tr w:rsidR="00576F87">
        <w:trPr>
          <w:trHeight w:val="290"/>
        </w:trPr>
        <w:tc>
          <w:tcPr>
            <w:tcW w:w="1822"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right="35"/>
              <w:jc w:val="right"/>
            </w:pPr>
            <w:r>
              <w:rPr>
                <w:rFonts w:ascii="Verdana" w:eastAsia="Verdana" w:hAnsi="Verdana" w:cs="Verdana"/>
                <w:sz w:val="16"/>
              </w:rPr>
              <w:t>17,066</w:t>
            </w:r>
          </w:p>
        </w:tc>
        <w:tc>
          <w:tcPr>
            <w:tcW w:w="135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sz w:val="16"/>
              </w:rPr>
              <w:t>22,382</w:t>
            </w:r>
          </w:p>
        </w:tc>
        <w:tc>
          <w:tcPr>
            <w:tcW w:w="145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sz w:val="16"/>
              </w:rPr>
              <w:t>39,448</w:t>
            </w:r>
          </w:p>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1"/>
            </w:pPr>
            <w:r>
              <w:rPr>
                <w:rFonts w:ascii="Verdana" w:eastAsia="Verdana" w:hAnsi="Verdana" w:cs="Verdana"/>
                <w:sz w:val="16"/>
              </w:rPr>
              <w:t>Unfunded benefits recovered</w:t>
            </w:r>
          </w:p>
        </w:tc>
        <w:tc>
          <w:tcPr>
            <w:tcW w:w="138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sz w:val="16"/>
              </w:rPr>
              <w:t>16,762</w:t>
            </w:r>
          </w:p>
        </w:tc>
        <w:tc>
          <w:tcPr>
            <w:tcW w:w="1306"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sz w:val="16"/>
              </w:rPr>
              <w:t>22,211</w:t>
            </w:r>
          </w:p>
        </w:tc>
        <w:tc>
          <w:tcPr>
            <w:tcW w:w="121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3"/>
              <w:jc w:val="right"/>
            </w:pPr>
            <w:r>
              <w:rPr>
                <w:rFonts w:ascii="Verdana" w:eastAsia="Verdana" w:hAnsi="Verdana" w:cs="Verdana"/>
                <w:sz w:val="16"/>
              </w:rPr>
              <w:t>38,973</w:t>
            </w:r>
          </w:p>
        </w:tc>
      </w:tr>
      <w:tr w:rsidR="00576F87">
        <w:trPr>
          <w:trHeight w:val="290"/>
        </w:trPr>
        <w:tc>
          <w:tcPr>
            <w:tcW w:w="1822"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(8,578)</w:t>
            </w:r>
          </w:p>
        </w:tc>
        <w:tc>
          <w:tcPr>
            <w:tcW w:w="135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(12,036)</w:t>
            </w:r>
          </w:p>
        </w:tc>
        <w:tc>
          <w:tcPr>
            <w:tcW w:w="145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(20,614)</w:t>
            </w:r>
          </w:p>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1"/>
            </w:pPr>
            <w:r>
              <w:rPr>
                <w:rFonts w:ascii="Verdana" w:eastAsia="Verdana" w:hAnsi="Verdana" w:cs="Verdana"/>
                <w:sz w:val="16"/>
              </w:rPr>
              <w:t>Unfunded benefits</w:t>
            </w:r>
          </w:p>
        </w:tc>
        <w:tc>
          <w:tcPr>
            <w:tcW w:w="138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1"/>
              <w:jc w:val="right"/>
            </w:pPr>
            <w:r>
              <w:rPr>
                <w:rFonts w:ascii="Verdana" w:eastAsia="Verdana" w:hAnsi="Verdana" w:cs="Verdana"/>
                <w:sz w:val="16"/>
              </w:rPr>
              <w:t>(8,927)</w:t>
            </w:r>
          </w:p>
        </w:tc>
        <w:tc>
          <w:tcPr>
            <w:tcW w:w="1306"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1"/>
              <w:jc w:val="right"/>
            </w:pPr>
            <w:r>
              <w:rPr>
                <w:rFonts w:ascii="Verdana" w:eastAsia="Verdana" w:hAnsi="Verdana" w:cs="Verdana"/>
                <w:sz w:val="16"/>
              </w:rPr>
              <w:t>(11,833)</w:t>
            </w:r>
          </w:p>
        </w:tc>
        <w:tc>
          <w:tcPr>
            <w:tcW w:w="121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1"/>
              <w:jc w:val="right"/>
            </w:pPr>
            <w:r>
              <w:rPr>
                <w:rFonts w:ascii="Verdana" w:eastAsia="Verdana" w:hAnsi="Verdana" w:cs="Verdana"/>
                <w:sz w:val="16"/>
              </w:rPr>
              <w:t>(20,760)</w:t>
            </w:r>
          </w:p>
        </w:tc>
      </w:tr>
      <w:tr w:rsidR="00576F87">
        <w:trPr>
          <w:trHeight w:val="290"/>
        </w:trPr>
        <w:tc>
          <w:tcPr>
            <w:tcW w:w="1822"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(273)</w:t>
            </w:r>
          </w:p>
        </w:tc>
        <w:tc>
          <w:tcPr>
            <w:tcW w:w="135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(368)</w:t>
            </w:r>
          </w:p>
        </w:tc>
        <w:tc>
          <w:tcPr>
            <w:tcW w:w="145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(641)</w:t>
            </w:r>
          </w:p>
        </w:tc>
        <w:tc>
          <w:tcPr>
            <w:tcW w:w="838"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5"/>
              <w:jc w:val="center"/>
            </w:pPr>
            <w:r>
              <w:rPr>
                <w:rFonts w:ascii="Verdana" w:eastAsia="Verdana" w:hAnsi="Verdana" w:cs="Verdana"/>
                <w:b/>
                <w:sz w:val="16"/>
              </w:rPr>
              <w:t>10</w:t>
            </w:r>
          </w:p>
        </w:tc>
        <w:tc>
          <w:tcPr>
            <w:tcW w:w="3029"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Administration costs</w:t>
            </w:r>
          </w:p>
        </w:tc>
        <w:tc>
          <w:tcPr>
            <w:tcW w:w="138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(261)</w:t>
            </w:r>
          </w:p>
        </w:tc>
        <w:tc>
          <w:tcPr>
            <w:tcW w:w="1306"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(434)</w:t>
            </w:r>
          </w:p>
        </w:tc>
        <w:tc>
          <w:tcPr>
            <w:tcW w:w="121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1"/>
              <w:jc w:val="right"/>
            </w:pPr>
            <w:r>
              <w:rPr>
                <w:rFonts w:ascii="Verdana" w:eastAsia="Verdana" w:hAnsi="Verdana" w:cs="Verdana"/>
                <w:sz w:val="16"/>
              </w:rPr>
              <w:t>(695)</w:t>
            </w:r>
          </w:p>
        </w:tc>
      </w:tr>
      <w:tr w:rsidR="00576F87">
        <w:trPr>
          <w:trHeight w:val="290"/>
        </w:trPr>
        <w:tc>
          <w:tcPr>
            <w:tcW w:w="1822"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right="36"/>
              <w:jc w:val="right"/>
            </w:pPr>
            <w:r>
              <w:rPr>
                <w:rFonts w:ascii="Verdana" w:eastAsia="Verdana" w:hAnsi="Verdana" w:cs="Verdana"/>
                <w:b/>
                <w:sz w:val="16"/>
              </w:rPr>
              <w:t>8,215</w:t>
            </w:r>
          </w:p>
        </w:tc>
        <w:tc>
          <w:tcPr>
            <w:tcW w:w="135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6"/>
              <w:jc w:val="right"/>
            </w:pPr>
            <w:r>
              <w:rPr>
                <w:rFonts w:ascii="Verdana" w:eastAsia="Verdana" w:hAnsi="Verdana" w:cs="Verdana"/>
                <w:b/>
                <w:sz w:val="16"/>
              </w:rPr>
              <w:t>9,978</w:t>
            </w:r>
          </w:p>
        </w:tc>
        <w:tc>
          <w:tcPr>
            <w:tcW w:w="145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18,193</w:t>
            </w:r>
          </w:p>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6"/>
              </w:rPr>
              <w:t>Cost of Services</w:t>
            </w:r>
          </w:p>
        </w:tc>
        <w:tc>
          <w:tcPr>
            <w:tcW w:w="138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6"/>
              <w:jc w:val="right"/>
            </w:pPr>
            <w:r>
              <w:rPr>
                <w:rFonts w:ascii="Verdana" w:eastAsia="Verdana" w:hAnsi="Verdana" w:cs="Verdana"/>
                <w:b/>
                <w:sz w:val="16"/>
              </w:rPr>
              <w:t>7,575</w:t>
            </w:r>
          </w:p>
        </w:tc>
        <w:tc>
          <w:tcPr>
            <w:tcW w:w="1306"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6"/>
              <w:jc w:val="right"/>
            </w:pPr>
            <w:r>
              <w:rPr>
                <w:rFonts w:ascii="Verdana" w:eastAsia="Verdana" w:hAnsi="Verdana" w:cs="Verdana"/>
                <w:b/>
                <w:sz w:val="16"/>
              </w:rPr>
              <w:t>9,944</w:t>
            </w:r>
          </w:p>
        </w:tc>
        <w:tc>
          <w:tcPr>
            <w:tcW w:w="121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7"/>
              <w:jc w:val="right"/>
            </w:pPr>
            <w:r>
              <w:rPr>
                <w:rFonts w:ascii="Verdana" w:eastAsia="Verdana" w:hAnsi="Verdana" w:cs="Verdana"/>
                <w:b/>
                <w:sz w:val="16"/>
              </w:rPr>
              <w:t>17,518</w:t>
            </w:r>
          </w:p>
        </w:tc>
      </w:tr>
      <w:tr w:rsidR="00576F87">
        <w:trPr>
          <w:trHeight w:val="290"/>
        </w:trPr>
        <w:tc>
          <w:tcPr>
            <w:tcW w:w="1822" w:type="dxa"/>
            <w:tcBorders>
              <w:top w:val="single" w:sz="8" w:space="0" w:color="009784"/>
              <w:left w:val="single" w:sz="15" w:space="0" w:color="009784"/>
              <w:bottom w:val="single" w:sz="8" w:space="0" w:color="009784"/>
              <w:right w:val="single" w:sz="8" w:space="0" w:color="009784"/>
            </w:tcBorders>
          </w:tcPr>
          <w:p w:rsidR="00576F87" w:rsidRDefault="00576F87"/>
        </w:tc>
        <w:tc>
          <w:tcPr>
            <w:tcW w:w="1354" w:type="dxa"/>
            <w:tcBorders>
              <w:top w:val="single" w:sz="8" w:space="0" w:color="009784"/>
              <w:left w:val="single" w:sz="8" w:space="0" w:color="009784"/>
              <w:bottom w:val="single" w:sz="8" w:space="0" w:color="009784"/>
              <w:right w:val="single" w:sz="8" w:space="0" w:color="009784"/>
            </w:tcBorders>
          </w:tcPr>
          <w:p w:rsidR="00576F87" w:rsidRDefault="00576F87"/>
        </w:tc>
        <w:tc>
          <w:tcPr>
            <w:tcW w:w="1450" w:type="dxa"/>
            <w:tcBorders>
              <w:top w:val="single" w:sz="8" w:space="0" w:color="009784"/>
              <w:left w:val="single" w:sz="8" w:space="0" w:color="009784"/>
              <w:bottom w:val="single" w:sz="8" w:space="0" w:color="009784"/>
              <w:right w:val="single" w:sz="8" w:space="0" w:color="009784"/>
            </w:tcBorders>
          </w:tcPr>
          <w:p w:rsidR="00576F87" w:rsidRDefault="00576F87"/>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576F87"/>
        </w:tc>
        <w:tc>
          <w:tcPr>
            <w:tcW w:w="1385" w:type="dxa"/>
            <w:tcBorders>
              <w:top w:val="single" w:sz="8" w:space="0" w:color="009784"/>
              <w:left w:val="single" w:sz="8" w:space="0" w:color="009784"/>
              <w:bottom w:val="single" w:sz="8" w:space="0" w:color="009784"/>
              <w:right w:val="single" w:sz="8" w:space="0" w:color="009784"/>
            </w:tcBorders>
          </w:tcPr>
          <w:p w:rsidR="00576F87" w:rsidRDefault="00576F87"/>
        </w:tc>
        <w:tc>
          <w:tcPr>
            <w:tcW w:w="1306" w:type="dxa"/>
            <w:tcBorders>
              <w:top w:val="single" w:sz="8" w:space="0" w:color="009784"/>
              <w:left w:val="single" w:sz="8" w:space="0" w:color="009784"/>
              <w:bottom w:val="single" w:sz="8" w:space="0" w:color="009784"/>
              <w:right w:val="single" w:sz="8" w:space="0" w:color="009784"/>
            </w:tcBorders>
          </w:tcPr>
          <w:p w:rsidR="00576F87" w:rsidRDefault="00576F87"/>
        </w:tc>
        <w:tc>
          <w:tcPr>
            <w:tcW w:w="1210"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06"/>
        </w:trPr>
        <w:tc>
          <w:tcPr>
            <w:tcW w:w="1822" w:type="dxa"/>
            <w:tcBorders>
              <w:top w:val="single" w:sz="8" w:space="0" w:color="009784"/>
              <w:left w:val="single" w:sz="15" w:space="0" w:color="009784"/>
              <w:bottom w:val="single" w:sz="8" w:space="0" w:color="009784"/>
              <w:right w:val="single" w:sz="8" w:space="0" w:color="009784"/>
            </w:tcBorders>
          </w:tcPr>
          <w:p w:rsidR="00576F87" w:rsidRDefault="00576F87"/>
        </w:tc>
        <w:tc>
          <w:tcPr>
            <w:tcW w:w="1354" w:type="dxa"/>
            <w:tcBorders>
              <w:top w:val="single" w:sz="8" w:space="0" w:color="009784"/>
              <w:left w:val="single" w:sz="8" w:space="0" w:color="009784"/>
              <w:bottom w:val="single" w:sz="8" w:space="0" w:color="009784"/>
              <w:right w:val="single" w:sz="8" w:space="0" w:color="009784"/>
            </w:tcBorders>
          </w:tcPr>
          <w:p w:rsidR="00576F87" w:rsidRDefault="00576F87"/>
        </w:tc>
        <w:tc>
          <w:tcPr>
            <w:tcW w:w="1450" w:type="dxa"/>
            <w:tcBorders>
              <w:top w:val="single" w:sz="8" w:space="0" w:color="009784"/>
              <w:left w:val="single" w:sz="8" w:space="0" w:color="009784"/>
              <w:bottom w:val="single" w:sz="8" w:space="0" w:color="009784"/>
              <w:right w:val="single" w:sz="8" w:space="0" w:color="009784"/>
            </w:tcBorders>
          </w:tcPr>
          <w:p w:rsidR="00576F87" w:rsidRDefault="00576F87"/>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6"/>
              </w:rPr>
              <w:t xml:space="preserve">Financing and Investment </w:t>
            </w:r>
          </w:p>
          <w:p w:rsidR="00576F87" w:rsidRDefault="004165F5">
            <w:pPr>
              <w:spacing w:after="0"/>
              <w:ind w:left="2"/>
            </w:pPr>
            <w:r>
              <w:rPr>
                <w:rFonts w:ascii="Verdana" w:eastAsia="Verdana" w:hAnsi="Verdana" w:cs="Verdana"/>
                <w:b/>
                <w:sz w:val="16"/>
              </w:rPr>
              <w:t>Income and Expenditure</w:t>
            </w:r>
          </w:p>
        </w:tc>
        <w:tc>
          <w:tcPr>
            <w:tcW w:w="1385" w:type="dxa"/>
            <w:tcBorders>
              <w:top w:val="single" w:sz="8" w:space="0" w:color="009784"/>
              <w:left w:val="single" w:sz="8" w:space="0" w:color="009784"/>
              <w:bottom w:val="single" w:sz="8" w:space="0" w:color="009784"/>
              <w:right w:val="single" w:sz="8" w:space="0" w:color="009784"/>
            </w:tcBorders>
          </w:tcPr>
          <w:p w:rsidR="00576F87" w:rsidRDefault="00576F87"/>
        </w:tc>
        <w:tc>
          <w:tcPr>
            <w:tcW w:w="1306" w:type="dxa"/>
            <w:tcBorders>
              <w:top w:val="single" w:sz="8" w:space="0" w:color="009784"/>
              <w:left w:val="single" w:sz="8" w:space="0" w:color="009784"/>
              <w:bottom w:val="single" w:sz="8" w:space="0" w:color="009784"/>
              <w:right w:val="single" w:sz="8" w:space="0" w:color="009784"/>
            </w:tcBorders>
          </w:tcPr>
          <w:p w:rsidR="00576F87" w:rsidRDefault="00576F87"/>
        </w:tc>
        <w:tc>
          <w:tcPr>
            <w:tcW w:w="1210"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290"/>
        </w:trPr>
        <w:tc>
          <w:tcPr>
            <w:tcW w:w="1822"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(137)</w:t>
            </w:r>
          </w:p>
        </w:tc>
        <w:tc>
          <w:tcPr>
            <w:tcW w:w="1354"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450"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(137)</w:t>
            </w:r>
          </w:p>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Loan stock interest</w:t>
            </w:r>
          </w:p>
        </w:tc>
        <w:tc>
          <w:tcPr>
            <w:tcW w:w="138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1"/>
              <w:jc w:val="right"/>
            </w:pPr>
            <w:r>
              <w:rPr>
                <w:rFonts w:ascii="Verdana" w:eastAsia="Verdana" w:hAnsi="Verdana" w:cs="Verdana"/>
                <w:sz w:val="16"/>
              </w:rPr>
              <w:t>(125)</w:t>
            </w:r>
          </w:p>
        </w:tc>
        <w:tc>
          <w:tcPr>
            <w:tcW w:w="1306" w:type="dxa"/>
            <w:tcBorders>
              <w:top w:val="single" w:sz="8" w:space="0" w:color="009784"/>
              <w:left w:val="single" w:sz="8" w:space="0" w:color="009784"/>
              <w:bottom w:val="single" w:sz="8" w:space="0" w:color="009784"/>
              <w:right w:val="single" w:sz="8" w:space="0" w:color="009784"/>
            </w:tcBorders>
          </w:tcPr>
          <w:p w:rsidR="00576F87" w:rsidRDefault="00576F87"/>
        </w:tc>
        <w:tc>
          <w:tcPr>
            <w:tcW w:w="121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1"/>
              <w:jc w:val="right"/>
            </w:pPr>
            <w:r>
              <w:rPr>
                <w:rFonts w:ascii="Verdana" w:eastAsia="Verdana" w:hAnsi="Verdana" w:cs="Verdana"/>
                <w:sz w:val="16"/>
              </w:rPr>
              <w:t>(125)</w:t>
            </w:r>
          </w:p>
        </w:tc>
      </w:tr>
      <w:tr w:rsidR="00576F87">
        <w:trPr>
          <w:trHeight w:val="406"/>
        </w:trPr>
        <w:tc>
          <w:tcPr>
            <w:tcW w:w="1822" w:type="dxa"/>
            <w:tcBorders>
              <w:top w:val="single" w:sz="8" w:space="0" w:color="009784"/>
              <w:left w:val="single" w:sz="15" w:space="0" w:color="009784"/>
              <w:bottom w:val="single" w:sz="8" w:space="0" w:color="009784"/>
              <w:right w:val="single" w:sz="8" w:space="0" w:color="009784"/>
            </w:tcBorders>
            <w:vAlign w:val="center"/>
          </w:tcPr>
          <w:p w:rsidR="00576F87" w:rsidRDefault="004165F5">
            <w:pPr>
              <w:spacing w:after="0"/>
              <w:ind w:right="32"/>
              <w:jc w:val="right"/>
            </w:pPr>
            <w:r>
              <w:rPr>
                <w:rFonts w:ascii="Verdana" w:eastAsia="Verdana" w:hAnsi="Verdana" w:cs="Verdana"/>
                <w:sz w:val="16"/>
              </w:rPr>
              <w:t>(1,931)</w:t>
            </w:r>
          </w:p>
        </w:tc>
        <w:tc>
          <w:tcPr>
            <w:tcW w:w="1354"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1"/>
              <w:jc w:val="right"/>
            </w:pPr>
            <w:r>
              <w:rPr>
                <w:rFonts w:ascii="Verdana" w:eastAsia="Verdana" w:hAnsi="Verdana" w:cs="Verdana"/>
                <w:sz w:val="16"/>
              </w:rPr>
              <w:t>(3,621)</w:t>
            </w:r>
          </w:p>
        </w:tc>
        <w:tc>
          <w:tcPr>
            <w:tcW w:w="1450"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1"/>
              <w:jc w:val="right"/>
            </w:pPr>
            <w:r>
              <w:rPr>
                <w:rFonts w:ascii="Verdana" w:eastAsia="Verdana" w:hAnsi="Verdana" w:cs="Verdana"/>
                <w:sz w:val="16"/>
              </w:rPr>
              <w:t>(5,552)</w:t>
            </w:r>
          </w:p>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Net interest on pension scheme liabilities</w:t>
            </w:r>
          </w:p>
        </w:tc>
        <w:tc>
          <w:tcPr>
            <w:tcW w:w="1385"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2"/>
              <w:jc w:val="right"/>
            </w:pPr>
            <w:r>
              <w:rPr>
                <w:rFonts w:ascii="Verdana" w:eastAsia="Verdana" w:hAnsi="Verdana" w:cs="Verdana"/>
                <w:sz w:val="16"/>
              </w:rPr>
              <w:t>(1,393)</w:t>
            </w:r>
          </w:p>
        </w:tc>
        <w:tc>
          <w:tcPr>
            <w:tcW w:w="1306"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1"/>
              <w:jc w:val="right"/>
            </w:pPr>
            <w:r>
              <w:rPr>
                <w:rFonts w:ascii="Verdana" w:eastAsia="Verdana" w:hAnsi="Verdana" w:cs="Verdana"/>
                <w:sz w:val="16"/>
              </w:rPr>
              <w:t>(2,692)</w:t>
            </w:r>
          </w:p>
        </w:tc>
        <w:tc>
          <w:tcPr>
            <w:tcW w:w="1210" w:type="dxa"/>
            <w:tcBorders>
              <w:top w:val="single" w:sz="8" w:space="0" w:color="009784"/>
              <w:left w:val="single" w:sz="8" w:space="0" w:color="009784"/>
              <w:bottom w:val="single" w:sz="8" w:space="0" w:color="009784"/>
              <w:right w:val="single" w:sz="15" w:space="0" w:color="009784"/>
            </w:tcBorders>
            <w:vAlign w:val="center"/>
          </w:tcPr>
          <w:p w:rsidR="00576F87" w:rsidRDefault="004165F5">
            <w:pPr>
              <w:spacing w:after="0"/>
              <w:ind w:right="31"/>
              <w:jc w:val="right"/>
            </w:pPr>
            <w:r>
              <w:rPr>
                <w:rFonts w:ascii="Verdana" w:eastAsia="Verdana" w:hAnsi="Verdana" w:cs="Verdana"/>
                <w:sz w:val="16"/>
              </w:rPr>
              <w:t>(4,085)</w:t>
            </w:r>
          </w:p>
        </w:tc>
      </w:tr>
      <w:tr w:rsidR="00576F87">
        <w:trPr>
          <w:trHeight w:val="406"/>
        </w:trPr>
        <w:tc>
          <w:tcPr>
            <w:tcW w:w="1822" w:type="dxa"/>
            <w:tcBorders>
              <w:top w:val="single" w:sz="8" w:space="0" w:color="009784"/>
              <w:left w:val="single" w:sz="15" w:space="0" w:color="009784"/>
              <w:bottom w:val="single" w:sz="8" w:space="0" w:color="009784"/>
              <w:right w:val="single" w:sz="8" w:space="0" w:color="009784"/>
            </w:tcBorders>
            <w:vAlign w:val="center"/>
          </w:tcPr>
          <w:p w:rsidR="00576F87" w:rsidRDefault="004165F5">
            <w:pPr>
              <w:spacing w:after="0"/>
              <w:ind w:right="34"/>
              <w:jc w:val="right"/>
            </w:pPr>
            <w:r>
              <w:rPr>
                <w:rFonts w:ascii="Verdana" w:eastAsia="Verdana" w:hAnsi="Verdana" w:cs="Verdana"/>
                <w:sz w:val="16"/>
              </w:rPr>
              <w:t>176</w:t>
            </w:r>
          </w:p>
        </w:tc>
        <w:tc>
          <w:tcPr>
            <w:tcW w:w="1354"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0"/>
              <w:jc w:val="right"/>
            </w:pPr>
            <w:r>
              <w:rPr>
                <w:rFonts w:ascii="Verdana" w:eastAsia="Verdana" w:hAnsi="Verdana" w:cs="Verdana"/>
                <w:sz w:val="16"/>
              </w:rPr>
              <w:t>-</w:t>
            </w:r>
          </w:p>
        </w:tc>
        <w:tc>
          <w:tcPr>
            <w:tcW w:w="1450"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4"/>
              <w:jc w:val="right"/>
            </w:pPr>
            <w:r>
              <w:rPr>
                <w:rFonts w:ascii="Verdana" w:eastAsia="Verdana" w:hAnsi="Verdana" w:cs="Verdana"/>
                <w:sz w:val="16"/>
              </w:rPr>
              <w:t>176</w:t>
            </w:r>
          </w:p>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pPr>
            <w:r>
              <w:rPr>
                <w:rFonts w:ascii="Verdana" w:eastAsia="Verdana" w:hAnsi="Verdana" w:cs="Verdana"/>
                <w:sz w:val="16"/>
              </w:rPr>
              <w:t>Interest and investment income</w:t>
            </w:r>
          </w:p>
        </w:tc>
        <w:tc>
          <w:tcPr>
            <w:tcW w:w="1385"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3"/>
              <w:jc w:val="right"/>
            </w:pPr>
            <w:r>
              <w:rPr>
                <w:rFonts w:ascii="Verdana" w:eastAsia="Verdana" w:hAnsi="Verdana" w:cs="Verdana"/>
                <w:sz w:val="16"/>
              </w:rPr>
              <w:t>191</w:t>
            </w:r>
          </w:p>
        </w:tc>
        <w:tc>
          <w:tcPr>
            <w:tcW w:w="1306" w:type="dxa"/>
            <w:tcBorders>
              <w:top w:val="single" w:sz="8" w:space="0" w:color="009784"/>
              <w:left w:val="single" w:sz="8" w:space="0" w:color="009784"/>
              <w:bottom w:val="single" w:sz="8" w:space="0" w:color="009784"/>
              <w:right w:val="single" w:sz="8" w:space="0" w:color="009784"/>
            </w:tcBorders>
          </w:tcPr>
          <w:p w:rsidR="00576F87" w:rsidRDefault="00576F87"/>
        </w:tc>
        <w:tc>
          <w:tcPr>
            <w:tcW w:w="1210" w:type="dxa"/>
            <w:tcBorders>
              <w:top w:val="single" w:sz="8" w:space="0" w:color="009784"/>
              <w:left w:val="single" w:sz="8" w:space="0" w:color="009784"/>
              <w:bottom w:val="single" w:sz="8" w:space="0" w:color="009784"/>
              <w:right w:val="single" w:sz="15" w:space="0" w:color="009784"/>
            </w:tcBorders>
            <w:vAlign w:val="center"/>
          </w:tcPr>
          <w:p w:rsidR="00576F87" w:rsidRDefault="004165F5">
            <w:pPr>
              <w:spacing w:after="0"/>
              <w:ind w:right="33"/>
              <w:jc w:val="right"/>
            </w:pPr>
            <w:r>
              <w:rPr>
                <w:rFonts w:ascii="Verdana" w:eastAsia="Verdana" w:hAnsi="Verdana" w:cs="Verdana"/>
                <w:sz w:val="16"/>
              </w:rPr>
              <w:t>191</w:t>
            </w:r>
          </w:p>
        </w:tc>
      </w:tr>
      <w:tr w:rsidR="00576F87">
        <w:trPr>
          <w:trHeight w:val="290"/>
        </w:trPr>
        <w:tc>
          <w:tcPr>
            <w:tcW w:w="1822" w:type="dxa"/>
            <w:tcBorders>
              <w:top w:val="single" w:sz="8" w:space="0" w:color="009784"/>
              <w:left w:val="single" w:sz="15" w:space="0" w:color="009784"/>
              <w:bottom w:val="single" w:sz="8" w:space="0" w:color="009784"/>
              <w:right w:val="single" w:sz="8" w:space="0" w:color="009784"/>
            </w:tcBorders>
          </w:tcPr>
          <w:p w:rsidR="00576F87" w:rsidRDefault="00576F87"/>
        </w:tc>
        <w:tc>
          <w:tcPr>
            <w:tcW w:w="1354" w:type="dxa"/>
            <w:tcBorders>
              <w:top w:val="single" w:sz="8" w:space="0" w:color="009784"/>
              <w:left w:val="single" w:sz="8" w:space="0" w:color="009784"/>
              <w:bottom w:val="single" w:sz="8" w:space="0" w:color="009784"/>
              <w:right w:val="single" w:sz="8" w:space="0" w:color="009784"/>
            </w:tcBorders>
          </w:tcPr>
          <w:p w:rsidR="00576F87" w:rsidRDefault="00576F87"/>
        </w:tc>
        <w:tc>
          <w:tcPr>
            <w:tcW w:w="1450" w:type="dxa"/>
            <w:tcBorders>
              <w:top w:val="single" w:sz="8" w:space="0" w:color="009784"/>
              <w:left w:val="single" w:sz="8" w:space="0" w:color="009784"/>
              <w:bottom w:val="single" w:sz="8" w:space="0" w:color="009784"/>
              <w:right w:val="single" w:sz="8" w:space="0" w:color="009784"/>
            </w:tcBorders>
          </w:tcPr>
          <w:p w:rsidR="00576F87" w:rsidRDefault="00576F87"/>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576F87"/>
        </w:tc>
        <w:tc>
          <w:tcPr>
            <w:tcW w:w="1385" w:type="dxa"/>
            <w:tcBorders>
              <w:top w:val="single" w:sz="8" w:space="0" w:color="009784"/>
              <w:left w:val="single" w:sz="8" w:space="0" w:color="009784"/>
              <w:bottom w:val="single" w:sz="8" w:space="0" w:color="009784"/>
              <w:right w:val="single" w:sz="8" w:space="0" w:color="009784"/>
            </w:tcBorders>
          </w:tcPr>
          <w:p w:rsidR="00576F87" w:rsidRDefault="00576F87"/>
        </w:tc>
        <w:tc>
          <w:tcPr>
            <w:tcW w:w="1306" w:type="dxa"/>
            <w:tcBorders>
              <w:top w:val="single" w:sz="8" w:space="0" w:color="009784"/>
              <w:left w:val="single" w:sz="8" w:space="0" w:color="009784"/>
              <w:bottom w:val="single" w:sz="8" w:space="0" w:color="009784"/>
              <w:right w:val="single" w:sz="8" w:space="0" w:color="009784"/>
            </w:tcBorders>
          </w:tcPr>
          <w:p w:rsidR="00576F87" w:rsidRDefault="00576F87"/>
        </w:tc>
        <w:tc>
          <w:tcPr>
            <w:tcW w:w="1210"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06"/>
        </w:trPr>
        <w:tc>
          <w:tcPr>
            <w:tcW w:w="1822" w:type="dxa"/>
            <w:tcBorders>
              <w:top w:val="single" w:sz="8" w:space="0" w:color="009784"/>
              <w:left w:val="single" w:sz="15" w:space="0" w:color="009784"/>
              <w:bottom w:val="single" w:sz="8" w:space="0" w:color="009784"/>
              <w:right w:val="single" w:sz="8" w:space="0" w:color="009784"/>
            </w:tcBorders>
            <w:vAlign w:val="center"/>
          </w:tcPr>
          <w:p w:rsidR="00576F87" w:rsidRDefault="004165F5">
            <w:pPr>
              <w:spacing w:after="0"/>
              <w:ind w:right="36"/>
              <w:jc w:val="right"/>
            </w:pPr>
            <w:r>
              <w:rPr>
                <w:rFonts w:ascii="Verdana" w:eastAsia="Verdana" w:hAnsi="Verdana" w:cs="Verdana"/>
                <w:b/>
                <w:sz w:val="16"/>
              </w:rPr>
              <w:t>6,323</w:t>
            </w:r>
          </w:p>
        </w:tc>
        <w:tc>
          <w:tcPr>
            <w:tcW w:w="1354"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6"/>
              <w:jc w:val="right"/>
            </w:pPr>
            <w:r>
              <w:rPr>
                <w:rFonts w:ascii="Verdana" w:eastAsia="Verdana" w:hAnsi="Verdana" w:cs="Verdana"/>
                <w:b/>
                <w:sz w:val="16"/>
              </w:rPr>
              <w:t>6,357</w:t>
            </w:r>
          </w:p>
        </w:tc>
        <w:tc>
          <w:tcPr>
            <w:tcW w:w="1450"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7"/>
              <w:jc w:val="right"/>
            </w:pPr>
            <w:r>
              <w:rPr>
                <w:rFonts w:ascii="Verdana" w:eastAsia="Verdana" w:hAnsi="Verdana" w:cs="Verdana"/>
                <w:b/>
                <w:sz w:val="16"/>
              </w:rPr>
              <w:t>12,680</w:t>
            </w:r>
          </w:p>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2"/>
              <w:jc w:val="both"/>
            </w:pPr>
            <w:r>
              <w:rPr>
                <w:rFonts w:ascii="Verdana" w:eastAsia="Verdana" w:hAnsi="Verdana" w:cs="Verdana"/>
                <w:b/>
                <w:sz w:val="16"/>
              </w:rPr>
              <w:t xml:space="preserve">Surplus/(deficit) on Provision of </w:t>
            </w:r>
          </w:p>
          <w:p w:rsidR="00576F87" w:rsidRDefault="004165F5">
            <w:pPr>
              <w:spacing w:after="0"/>
              <w:ind w:left="2"/>
            </w:pPr>
            <w:r>
              <w:rPr>
                <w:rFonts w:ascii="Verdana" w:eastAsia="Verdana" w:hAnsi="Verdana" w:cs="Verdana"/>
                <w:b/>
                <w:sz w:val="16"/>
              </w:rPr>
              <w:t>Services</w:t>
            </w:r>
          </w:p>
        </w:tc>
        <w:tc>
          <w:tcPr>
            <w:tcW w:w="1385"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6"/>
              <w:jc w:val="right"/>
            </w:pPr>
            <w:r>
              <w:rPr>
                <w:rFonts w:ascii="Verdana" w:eastAsia="Verdana" w:hAnsi="Verdana" w:cs="Verdana"/>
                <w:b/>
                <w:sz w:val="16"/>
              </w:rPr>
              <w:t>6,247</w:t>
            </w:r>
          </w:p>
        </w:tc>
        <w:tc>
          <w:tcPr>
            <w:tcW w:w="1306"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6"/>
              <w:jc w:val="right"/>
            </w:pPr>
            <w:r>
              <w:rPr>
                <w:rFonts w:ascii="Verdana" w:eastAsia="Verdana" w:hAnsi="Verdana" w:cs="Verdana"/>
                <w:b/>
                <w:sz w:val="16"/>
              </w:rPr>
              <w:t>7,252</w:t>
            </w:r>
          </w:p>
        </w:tc>
        <w:tc>
          <w:tcPr>
            <w:tcW w:w="1210" w:type="dxa"/>
            <w:tcBorders>
              <w:top w:val="single" w:sz="8" w:space="0" w:color="009784"/>
              <w:left w:val="single" w:sz="8" w:space="0" w:color="009784"/>
              <w:bottom w:val="single" w:sz="8" w:space="0" w:color="009784"/>
              <w:right w:val="single" w:sz="15" w:space="0" w:color="009784"/>
            </w:tcBorders>
            <w:vAlign w:val="center"/>
          </w:tcPr>
          <w:p w:rsidR="00576F87" w:rsidRDefault="004165F5">
            <w:pPr>
              <w:spacing w:after="0"/>
              <w:ind w:right="37"/>
              <w:jc w:val="right"/>
            </w:pPr>
            <w:r>
              <w:rPr>
                <w:rFonts w:ascii="Verdana" w:eastAsia="Verdana" w:hAnsi="Verdana" w:cs="Verdana"/>
                <w:b/>
                <w:sz w:val="16"/>
              </w:rPr>
              <w:t>13,499</w:t>
            </w:r>
          </w:p>
        </w:tc>
      </w:tr>
      <w:tr w:rsidR="00576F87">
        <w:trPr>
          <w:trHeight w:val="290"/>
        </w:trPr>
        <w:tc>
          <w:tcPr>
            <w:tcW w:w="1822" w:type="dxa"/>
            <w:tcBorders>
              <w:top w:val="single" w:sz="8" w:space="0" w:color="009784"/>
              <w:left w:val="single" w:sz="15" w:space="0" w:color="009784"/>
              <w:bottom w:val="single" w:sz="8" w:space="0" w:color="009784"/>
              <w:right w:val="single" w:sz="8" w:space="0" w:color="009784"/>
            </w:tcBorders>
          </w:tcPr>
          <w:p w:rsidR="00576F87" w:rsidRDefault="00576F87"/>
        </w:tc>
        <w:tc>
          <w:tcPr>
            <w:tcW w:w="1354" w:type="dxa"/>
            <w:tcBorders>
              <w:top w:val="single" w:sz="8" w:space="0" w:color="009784"/>
              <w:left w:val="single" w:sz="8" w:space="0" w:color="009784"/>
              <w:bottom w:val="single" w:sz="8" w:space="0" w:color="009784"/>
              <w:right w:val="single" w:sz="8" w:space="0" w:color="009784"/>
            </w:tcBorders>
          </w:tcPr>
          <w:p w:rsidR="00576F87" w:rsidRDefault="00576F87"/>
        </w:tc>
        <w:tc>
          <w:tcPr>
            <w:tcW w:w="1450" w:type="dxa"/>
            <w:tcBorders>
              <w:top w:val="single" w:sz="8" w:space="0" w:color="009784"/>
              <w:left w:val="single" w:sz="8" w:space="0" w:color="009784"/>
              <w:bottom w:val="single" w:sz="8" w:space="0" w:color="009784"/>
              <w:right w:val="single" w:sz="8" w:space="0" w:color="009784"/>
            </w:tcBorders>
          </w:tcPr>
          <w:p w:rsidR="00576F87" w:rsidRDefault="00576F87"/>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576F87"/>
        </w:tc>
        <w:tc>
          <w:tcPr>
            <w:tcW w:w="1385" w:type="dxa"/>
            <w:tcBorders>
              <w:top w:val="single" w:sz="8" w:space="0" w:color="009784"/>
              <w:left w:val="single" w:sz="8" w:space="0" w:color="009784"/>
              <w:bottom w:val="single" w:sz="8" w:space="0" w:color="009784"/>
              <w:right w:val="single" w:sz="8" w:space="0" w:color="009784"/>
            </w:tcBorders>
          </w:tcPr>
          <w:p w:rsidR="00576F87" w:rsidRDefault="00576F87"/>
        </w:tc>
        <w:tc>
          <w:tcPr>
            <w:tcW w:w="1306" w:type="dxa"/>
            <w:tcBorders>
              <w:top w:val="single" w:sz="8" w:space="0" w:color="009784"/>
              <w:left w:val="single" w:sz="8" w:space="0" w:color="009784"/>
              <w:bottom w:val="single" w:sz="8" w:space="0" w:color="009784"/>
              <w:right w:val="single" w:sz="8" w:space="0" w:color="009784"/>
            </w:tcBorders>
          </w:tcPr>
          <w:p w:rsidR="00576F87" w:rsidRDefault="00576F87"/>
        </w:tc>
        <w:tc>
          <w:tcPr>
            <w:tcW w:w="1210"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06"/>
        </w:trPr>
        <w:tc>
          <w:tcPr>
            <w:tcW w:w="1822" w:type="dxa"/>
            <w:tcBorders>
              <w:top w:val="single" w:sz="8" w:space="0" w:color="009784"/>
              <w:left w:val="single" w:sz="15" w:space="0" w:color="009784"/>
              <w:bottom w:val="single" w:sz="8" w:space="0" w:color="009784"/>
              <w:right w:val="single" w:sz="8" w:space="0" w:color="009784"/>
            </w:tcBorders>
            <w:vAlign w:val="center"/>
          </w:tcPr>
          <w:p w:rsidR="00576F87" w:rsidRDefault="004165F5">
            <w:pPr>
              <w:spacing w:after="0"/>
              <w:ind w:right="30"/>
              <w:jc w:val="right"/>
            </w:pPr>
            <w:r>
              <w:rPr>
                <w:rFonts w:ascii="Verdana" w:eastAsia="Verdana" w:hAnsi="Verdana" w:cs="Verdana"/>
                <w:sz w:val="16"/>
              </w:rPr>
              <w:t>-</w:t>
            </w:r>
          </w:p>
        </w:tc>
        <w:tc>
          <w:tcPr>
            <w:tcW w:w="1354"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0"/>
              <w:jc w:val="right"/>
            </w:pPr>
            <w:r>
              <w:rPr>
                <w:rFonts w:ascii="Verdana" w:eastAsia="Verdana" w:hAnsi="Verdana" w:cs="Verdana"/>
                <w:sz w:val="16"/>
              </w:rPr>
              <w:t>-</w:t>
            </w:r>
          </w:p>
        </w:tc>
        <w:tc>
          <w:tcPr>
            <w:tcW w:w="1450"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0"/>
              <w:jc w:val="right"/>
            </w:pPr>
            <w:r>
              <w:rPr>
                <w:rFonts w:ascii="Verdana" w:eastAsia="Verdana" w:hAnsi="Verdana" w:cs="Verdana"/>
                <w:sz w:val="16"/>
              </w:rPr>
              <w:t>-</w:t>
            </w:r>
          </w:p>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Surplus/(deficit) on revaluation of stock</w:t>
            </w:r>
          </w:p>
        </w:tc>
        <w:tc>
          <w:tcPr>
            <w:tcW w:w="1385"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0"/>
              <w:jc w:val="right"/>
            </w:pPr>
            <w:r>
              <w:rPr>
                <w:rFonts w:ascii="Verdana" w:eastAsia="Verdana" w:hAnsi="Verdana" w:cs="Verdana"/>
                <w:sz w:val="16"/>
              </w:rPr>
              <w:t>-</w:t>
            </w:r>
          </w:p>
        </w:tc>
        <w:tc>
          <w:tcPr>
            <w:tcW w:w="1306"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0"/>
              <w:jc w:val="right"/>
            </w:pPr>
            <w:r>
              <w:rPr>
                <w:rFonts w:ascii="Verdana" w:eastAsia="Verdana" w:hAnsi="Verdana" w:cs="Verdana"/>
                <w:sz w:val="16"/>
              </w:rPr>
              <w:t>-</w:t>
            </w:r>
          </w:p>
        </w:tc>
        <w:tc>
          <w:tcPr>
            <w:tcW w:w="1210" w:type="dxa"/>
            <w:tcBorders>
              <w:top w:val="single" w:sz="8" w:space="0" w:color="009784"/>
              <w:left w:val="single" w:sz="8" w:space="0" w:color="009784"/>
              <w:bottom w:val="single" w:sz="8" w:space="0" w:color="009784"/>
              <w:right w:val="single" w:sz="15" w:space="0" w:color="009784"/>
            </w:tcBorders>
            <w:vAlign w:val="center"/>
          </w:tcPr>
          <w:p w:rsidR="00576F87" w:rsidRDefault="004165F5">
            <w:pPr>
              <w:spacing w:after="0"/>
              <w:ind w:right="30"/>
              <w:jc w:val="right"/>
            </w:pPr>
            <w:r>
              <w:rPr>
                <w:rFonts w:ascii="Verdana" w:eastAsia="Verdana" w:hAnsi="Verdana" w:cs="Verdana"/>
                <w:sz w:val="16"/>
              </w:rPr>
              <w:t>-</w:t>
            </w:r>
          </w:p>
        </w:tc>
      </w:tr>
      <w:tr w:rsidR="00576F87">
        <w:trPr>
          <w:trHeight w:val="406"/>
        </w:trPr>
        <w:tc>
          <w:tcPr>
            <w:tcW w:w="1822" w:type="dxa"/>
            <w:tcBorders>
              <w:top w:val="single" w:sz="8" w:space="0" w:color="009784"/>
              <w:left w:val="single" w:sz="15" w:space="0" w:color="009784"/>
              <w:bottom w:val="single" w:sz="8" w:space="0" w:color="009784"/>
              <w:right w:val="single" w:sz="8" w:space="0" w:color="009784"/>
            </w:tcBorders>
            <w:vAlign w:val="center"/>
          </w:tcPr>
          <w:p w:rsidR="00576F87" w:rsidRDefault="004165F5">
            <w:pPr>
              <w:spacing w:after="0"/>
              <w:ind w:right="32"/>
              <w:jc w:val="right"/>
            </w:pPr>
            <w:r>
              <w:rPr>
                <w:rFonts w:ascii="Verdana" w:eastAsia="Verdana" w:hAnsi="Verdana" w:cs="Verdana"/>
                <w:sz w:val="16"/>
              </w:rPr>
              <w:t>(4,816)</w:t>
            </w:r>
          </w:p>
        </w:tc>
        <w:tc>
          <w:tcPr>
            <w:tcW w:w="1354"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2"/>
              <w:jc w:val="right"/>
            </w:pPr>
            <w:r>
              <w:rPr>
                <w:rFonts w:ascii="Verdana" w:eastAsia="Verdana" w:hAnsi="Verdana" w:cs="Verdana"/>
                <w:sz w:val="16"/>
              </w:rPr>
              <w:t>(10,337)</w:t>
            </w:r>
          </w:p>
        </w:tc>
        <w:tc>
          <w:tcPr>
            <w:tcW w:w="1450"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2"/>
              <w:jc w:val="right"/>
            </w:pPr>
            <w:r>
              <w:rPr>
                <w:rFonts w:ascii="Verdana" w:eastAsia="Verdana" w:hAnsi="Verdana" w:cs="Verdana"/>
                <w:sz w:val="16"/>
              </w:rPr>
              <w:t>(15,153)</w:t>
            </w:r>
          </w:p>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4165F5">
            <w:pPr>
              <w:spacing w:after="6"/>
              <w:jc w:val="both"/>
            </w:pPr>
            <w:r>
              <w:rPr>
                <w:rFonts w:ascii="Verdana" w:eastAsia="Verdana" w:hAnsi="Verdana" w:cs="Verdana"/>
                <w:sz w:val="16"/>
              </w:rPr>
              <w:t>Remeasurements of the Net Defined</w:t>
            </w:r>
          </w:p>
          <w:p w:rsidR="00576F87" w:rsidRDefault="004165F5">
            <w:pPr>
              <w:spacing w:after="0"/>
            </w:pPr>
            <w:r>
              <w:rPr>
                <w:rFonts w:ascii="Verdana" w:eastAsia="Verdana" w:hAnsi="Verdana" w:cs="Verdana"/>
                <w:sz w:val="16"/>
              </w:rPr>
              <w:t>Benefit Liability</w:t>
            </w:r>
          </w:p>
        </w:tc>
        <w:tc>
          <w:tcPr>
            <w:tcW w:w="1385"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4"/>
              <w:jc w:val="right"/>
            </w:pPr>
            <w:r>
              <w:rPr>
                <w:rFonts w:ascii="Verdana" w:eastAsia="Verdana" w:hAnsi="Verdana" w:cs="Verdana"/>
                <w:sz w:val="16"/>
              </w:rPr>
              <w:t>2,909</w:t>
            </w:r>
          </w:p>
        </w:tc>
        <w:tc>
          <w:tcPr>
            <w:tcW w:w="1306"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4"/>
              <w:jc w:val="right"/>
            </w:pPr>
            <w:r>
              <w:rPr>
                <w:rFonts w:ascii="Verdana" w:eastAsia="Verdana" w:hAnsi="Verdana" w:cs="Verdana"/>
                <w:sz w:val="16"/>
              </w:rPr>
              <w:t>5,961</w:t>
            </w:r>
          </w:p>
        </w:tc>
        <w:tc>
          <w:tcPr>
            <w:tcW w:w="1210" w:type="dxa"/>
            <w:tcBorders>
              <w:top w:val="single" w:sz="8" w:space="0" w:color="009784"/>
              <w:left w:val="single" w:sz="8" w:space="0" w:color="009784"/>
              <w:bottom w:val="single" w:sz="8" w:space="0" w:color="009784"/>
              <w:right w:val="single" w:sz="15" w:space="0" w:color="009784"/>
            </w:tcBorders>
            <w:vAlign w:val="center"/>
          </w:tcPr>
          <w:p w:rsidR="00576F87" w:rsidRDefault="004165F5">
            <w:pPr>
              <w:spacing w:after="0"/>
              <w:ind w:right="33"/>
              <w:jc w:val="right"/>
            </w:pPr>
            <w:r>
              <w:rPr>
                <w:rFonts w:ascii="Verdana" w:eastAsia="Verdana" w:hAnsi="Verdana" w:cs="Verdana"/>
                <w:sz w:val="16"/>
              </w:rPr>
              <w:t>8,870</w:t>
            </w:r>
          </w:p>
        </w:tc>
      </w:tr>
      <w:tr w:rsidR="00576F87">
        <w:trPr>
          <w:trHeight w:val="290"/>
        </w:trPr>
        <w:tc>
          <w:tcPr>
            <w:tcW w:w="1822" w:type="dxa"/>
            <w:tcBorders>
              <w:top w:val="single" w:sz="8" w:space="0" w:color="009784"/>
              <w:left w:val="single" w:sz="15" w:space="0" w:color="009784"/>
              <w:bottom w:val="single" w:sz="8" w:space="0" w:color="009784"/>
              <w:right w:val="single" w:sz="8" w:space="0" w:color="009784"/>
            </w:tcBorders>
          </w:tcPr>
          <w:p w:rsidR="00576F87" w:rsidRDefault="00576F87"/>
        </w:tc>
        <w:tc>
          <w:tcPr>
            <w:tcW w:w="1354" w:type="dxa"/>
            <w:tcBorders>
              <w:top w:val="single" w:sz="8" w:space="0" w:color="009784"/>
              <w:left w:val="single" w:sz="8" w:space="0" w:color="009784"/>
              <w:bottom w:val="single" w:sz="8" w:space="0" w:color="009784"/>
              <w:right w:val="single" w:sz="8" w:space="0" w:color="009784"/>
            </w:tcBorders>
          </w:tcPr>
          <w:p w:rsidR="00576F87" w:rsidRDefault="00576F87"/>
        </w:tc>
        <w:tc>
          <w:tcPr>
            <w:tcW w:w="1450" w:type="dxa"/>
            <w:tcBorders>
              <w:top w:val="single" w:sz="8" w:space="0" w:color="009784"/>
              <w:left w:val="single" w:sz="8" w:space="0" w:color="009784"/>
              <w:bottom w:val="single" w:sz="8" w:space="0" w:color="009784"/>
              <w:right w:val="single" w:sz="8" w:space="0" w:color="009784"/>
            </w:tcBorders>
          </w:tcPr>
          <w:p w:rsidR="00576F87" w:rsidRDefault="00576F87"/>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576F87"/>
        </w:tc>
        <w:tc>
          <w:tcPr>
            <w:tcW w:w="1385" w:type="dxa"/>
            <w:tcBorders>
              <w:top w:val="single" w:sz="8" w:space="0" w:color="009784"/>
              <w:left w:val="single" w:sz="8" w:space="0" w:color="009784"/>
              <w:bottom w:val="single" w:sz="8" w:space="0" w:color="009784"/>
              <w:right w:val="single" w:sz="8" w:space="0" w:color="009784"/>
            </w:tcBorders>
          </w:tcPr>
          <w:p w:rsidR="00576F87" w:rsidRDefault="00576F87"/>
        </w:tc>
        <w:tc>
          <w:tcPr>
            <w:tcW w:w="1306" w:type="dxa"/>
            <w:tcBorders>
              <w:top w:val="single" w:sz="8" w:space="0" w:color="009784"/>
              <w:left w:val="single" w:sz="8" w:space="0" w:color="009784"/>
              <w:bottom w:val="single" w:sz="8" w:space="0" w:color="009784"/>
              <w:right w:val="single" w:sz="8" w:space="0" w:color="009784"/>
            </w:tcBorders>
          </w:tcPr>
          <w:p w:rsidR="00576F87" w:rsidRDefault="00576F87"/>
        </w:tc>
        <w:tc>
          <w:tcPr>
            <w:tcW w:w="1210"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06"/>
        </w:trPr>
        <w:tc>
          <w:tcPr>
            <w:tcW w:w="1822" w:type="dxa"/>
            <w:tcBorders>
              <w:top w:val="single" w:sz="8" w:space="0" w:color="009784"/>
              <w:left w:val="single" w:sz="15" w:space="0" w:color="009784"/>
              <w:bottom w:val="single" w:sz="8" w:space="0" w:color="009784"/>
              <w:right w:val="single" w:sz="8" w:space="0" w:color="009784"/>
            </w:tcBorders>
            <w:vAlign w:val="center"/>
          </w:tcPr>
          <w:p w:rsidR="00576F87" w:rsidRDefault="004165F5">
            <w:pPr>
              <w:spacing w:after="0"/>
              <w:ind w:right="34"/>
              <w:jc w:val="right"/>
            </w:pPr>
            <w:r>
              <w:rPr>
                <w:rFonts w:ascii="Verdana" w:eastAsia="Verdana" w:hAnsi="Verdana" w:cs="Verdana"/>
                <w:b/>
                <w:sz w:val="16"/>
              </w:rPr>
              <w:t>(4,816)</w:t>
            </w:r>
          </w:p>
        </w:tc>
        <w:tc>
          <w:tcPr>
            <w:tcW w:w="1354"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5"/>
              <w:jc w:val="right"/>
            </w:pPr>
            <w:r>
              <w:rPr>
                <w:rFonts w:ascii="Verdana" w:eastAsia="Verdana" w:hAnsi="Verdana" w:cs="Verdana"/>
                <w:b/>
                <w:sz w:val="16"/>
              </w:rPr>
              <w:t>(10,337)</w:t>
            </w:r>
          </w:p>
        </w:tc>
        <w:tc>
          <w:tcPr>
            <w:tcW w:w="1450"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6"/>
              <w:jc w:val="right"/>
            </w:pPr>
            <w:r>
              <w:rPr>
                <w:rFonts w:ascii="Verdana" w:eastAsia="Verdana" w:hAnsi="Verdana" w:cs="Verdana"/>
                <w:b/>
                <w:sz w:val="16"/>
              </w:rPr>
              <w:t>(15,153)</w:t>
            </w:r>
          </w:p>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2"/>
              <w:jc w:val="both"/>
            </w:pPr>
            <w:r>
              <w:rPr>
                <w:rFonts w:ascii="Verdana" w:eastAsia="Verdana" w:hAnsi="Verdana" w:cs="Verdana"/>
                <w:b/>
                <w:sz w:val="16"/>
              </w:rPr>
              <w:t>Other Comprehensive Income and Expenditure</w:t>
            </w:r>
          </w:p>
        </w:tc>
        <w:tc>
          <w:tcPr>
            <w:tcW w:w="1385"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6"/>
              <w:jc w:val="right"/>
            </w:pPr>
            <w:r>
              <w:rPr>
                <w:rFonts w:ascii="Verdana" w:eastAsia="Verdana" w:hAnsi="Verdana" w:cs="Verdana"/>
                <w:b/>
                <w:sz w:val="16"/>
              </w:rPr>
              <w:t>2,909</w:t>
            </w:r>
          </w:p>
        </w:tc>
        <w:tc>
          <w:tcPr>
            <w:tcW w:w="1306" w:type="dxa"/>
            <w:tcBorders>
              <w:top w:val="single" w:sz="8" w:space="0" w:color="009784"/>
              <w:left w:val="single" w:sz="8" w:space="0" w:color="009784"/>
              <w:bottom w:val="single" w:sz="8" w:space="0" w:color="009784"/>
              <w:right w:val="single" w:sz="8" w:space="0" w:color="009784"/>
            </w:tcBorders>
            <w:vAlign w:val="center"/>
          </w:tcPr>
          <w:p w:rsidR="00576F87" w:rsidRDefault="004165F5">
            <w:pPr>
              <w:spacing w:after="0"/>
              <w:ind w:right="36"/>
              <w:jc w:val="right"/>
            </w:pPr>
            <w:r>
              <w:rPr>
                <w:rFonts w:ascii="Verdana" w:eastAsia="Verdana" w:hAnsi="Verdana" w:cs="Verdana"/>
                <w:b/>
                <w:sz w:val="16"/>
              </w:rPr>
              <w:t>5,961</w:t>
            </w:r>
          </w:p>
        </w:tc>
        <w:tc>
          <w:tcPr>
            <w:tcW w:w="1210" w:type="dxa"/>
            <w:tcBorders>
              <w:top w:val="single" w:sz="8" w:space="0" w:color="009784"/>
              <w:left w:val="single" w:sz="8" w:space="0" w:color="009784"/>
              <w:bottom w:val="single" w:sz="8" w:space="0" w:color="009784"/>
              <w:right w:val="single" w:sz="15" w:space="0" w:color="009784"/>
            </w:tcBorders>
            <w:vAlign w:val="center"/>
          </w:tcPr>
          <w:p w:rsidR="00576F87" w:rsidRDefault="004165F5">
            <w:pPr>
              <w:spacing w:after="0"/>
              <w:ind w:right="36"/>
              <w:jc w:val="right"/>
            </w:pPr>
            <w:r>
              <w:rPr>
                <w:rFonts w:ascii="Verdana" w:eastAsia="Verdana" w:hAnsi="Verdana" w:cs="Verdana"/>
                <w:b/>
                <w:sz w:val="16"/>
              </w:rPr>
              <w:t>8,870</w:t>
            </w:r>
          </w:p>
        </w:tc>
      </w:tr>
      <w:tr w:rsidR="00576F87">
        <w:trPr>
          <w:trHeight w:val="290"/>
        </w:trPr>
        <w:tc>
          <w:tcPr>
            <w:tcW w:w="1822" w:type="dxa"/>
            <w:tcBorders>
              <w:top w:val="single" w:sz="8" w:space="0" w:color="009784"/>
              <w:left w:val="single" w:sz="15" w:space="0" w:color="009784"/>
              <w:bottom w:val="single" w:sz="8" w:space="0" w:color="009784"/>
              <w:right w:val="single" w:sz="8" w:space="0" w:color="009784"/>
            </w:tcBorders>
          </w:tcPr>
          <w:p w:rsidR="00576F87" w:rsidRDefault="00576F87"/>
        </w:tc>
        <w:tc>
          <w:tcPr>
            <w:tcW w:w="1354" w:type="dxa"/>
            <w:tcBorders>
              <w:top w:val="single" w:sz="8" w:space="0" w:color="009784"/>
              <w:left w:val="single" w:sz="8" w:space="0" w:color="009784"/>
              <w:bottom w:val="single" w:sz="8" w:space="0" w:color="009784"/>
              <w:right w:val="single" w:sz="8" w:space="0" w:color="009784"/>
            </w:tcBorders>
          </w:tcPr>
          <w:p w:rsidR="00576F87" w:rsidRDefault="00576F87"/>
        </w:tc>
        <w:tc>
          <w:tcPr>
            <w:tcW w:w="1450" w:type="dxa"/>
            <w:tcBorders>
              <w:top w:val="single" w:sz="8" w:space="0" w:color="009784"/>
              <w:left w:val="single" w:sz="8" w:space="0" w:color="009784"/>
              <w:bottom w:val="single" w:sz="8" w:space="0" w:color="009784"/>
              <w:right w:val="single" w:sz="8" w:space="0" w:color="009784"/>
            </w:tcBorders>
          </w:tcPr>
          <w:p w:rsidR="00576F87" w:rsidRDefault="00576F87"/>
        </w:tc>
        <w:tc>
          <w:tcPr>
            <w:tcW w:w="838" w:type="dxa"/>
            <w:tcBorders>
              <w:top w:val="single" w:sz="8" w:space="0" w:color="009784"/>
              <w:left w:val="single" w:sz="8" w:space="0" w:color="009784"/>
              <w:bottom w:val="single" w:sz="8" w:space="0" w:color="009784"/>
              <w:right w:val="single" w:sz="8" w:space="0" w:color="009784"/>
            </w:tcBorders>
          </w:tcPr>
          <w:p w:rsidR="00576F87" w:rsidRDefault="00576F87"/>
        </w:tc>
        <w:tc>
          <w:tcPr>
            <w:tcW w:w="3029" w:type="dxa"/>
            <w:tcBorders>
              <w:top w:val="single" w:sz="8" w:space="0" w:color="009784"/>
              <w:left w:val="single" w:sz="8" w:space="0" w:color="009784"/>
              <w:bottom w:val="single" w:sz="8" w:space="0" w:color="009784"/>
              <w:right w:val="single" w:sz="8" w:space="0" w:color="009784"/>
            </w:tcBorders>
          </w:tcPr>
          <w:p w:rsidR="00576F87" w:rsidRDefault="00576F87"/>
        </w:tc>
        <w:tc>
          <w:tcPr>
            <w:tcW w:w="1385" w:type="dxa"/>
            <w:tcBorders>
              <w:top w:val="single" w:sz="8" w:space="0" w:color="009784"/>
              <w:left w:val="single" w:sz="8" w:space="0" w:color="009784"/>
              <w:bottom w:val="single" w:sz="8" w:space="0" w:color="009784"/>
              <w:right w:val="single" w:sz="8" w:space="0" w:color="009784"/>
            </w:tcBorders>
          </w:tcPr>
          <w:p w:rsidR="00576F87" w:rsidRDefault="00576F87"/>
        </w:tc>
        <w:tc>
          <w:tcPr>
            <w:tcW w:w="1306" w:type="dxa"/>
            <w:tcBorders>
              <w:top w:val="single" w:sz="8" w:space="0" w:color="009784"/>
              <w:left w:val="single" w:sz="8" w:space="0" w:color="009784"/>
              <w:bottom w:val="single" w:sz="8" w:space="0" w:color="009784"/>
              <w:right w:val="single" w:sz="8" w:space="0" w:color="009784"/>
            </w:tcBorders>
          </w:tcPr>
          <w:p w:rsidR="00576F87" w:rsidRDefault="00576F87"/>
        </w:tc>
        <w:tc>
          <w:tcPr>
            <w:tcW w:w="1210"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49"/>
        </w:trPr>
        <w:tc>
          <w:tcPr>
            <w:tcW w:w="1822" w:type="dxa"/>
            <w:tcBorders>
              <w:top w:val="single" w:sz="8" w:space="0" w:color="009784"/>
              <w:left w:val="single" w:sz="15" w:space="0" w:color="009784"/>
              <w:bottom w:val="single" w:sz="15" w:space="0" w:color="009784"/>
              <w:right w:val="single" w:sz="8" w:space="0" w:color="009784"/>
            </w:tcBorders>
            <w:shd w:val="clear" w:color="auto" w:fill="009784"/>
            <w:vAlign w:val="center"/>
          </w:tcPr>
          <w:p w:rsidR="00576F87" w:rsidRDefault="004165F5">
            <w:pPr>
              <w:spacing w:after="0"/>
              <w:ind w:right="35"/>
              <w:jc w:val="right"/>
            </w:pPr>
            <w:r>
              <w:rPr>
                <w:rFonts w:ascii="Verdana" w:eastAsia="Verdana" w:hAnsi="Verdana" w:cs="Verdana"/>
                <w:b/>
                <w:color w:val="FFFFFF"/>
                <w:sz w:val="18"/>
              </w:rPr>
              <w:t>1,507</w:t>
            </w:r>
          </w:p>
        </w:tc>
        <w:tc>
          <w:tcPr>
            <w:tcW w:w="1354" w:type="dxa"/>
            <w:tcBorders>
              <w:top w:val="single" w:sz="8" w:space="0" w:color="009784"/>
              <w:left w:val="single" w:sz="8" w:space="0" w:color="009784"/>
              <w:bottom w:val="single" w:sz="15" w:space="0" w:color="009784"/>
              <w:right w:val="single" w:sz="8" w:space="0" w:color="009784"/>
            </w:tcBorders>
            <w:shd w:val="clear" w:color="auto" w:fill="009784"/>
            <w:vAlign w:val="center"/>
          </w:tcPr>
          <w:p w:rsidR="00576F87" w:rsidRDefault="004165F5">
            <w:pPr>
              <w:spacing w:after="0"/>
              <w:ind w:right="36"/>
              <w:jc w:val="right"/>
            </w:pPr>
            <w:r>
              <w:rPr>
                <w:rFonts w:ascii="Verdana" w:eastAsia="Verdana" w:hAnsi="Verdana" w:cs="Verdana"/>
                <w:b/>
                <w:color w:val="FFFFFF"/>
                <w:sz w:val="18"/>
              </w:rPr>
              <w:t>(3,980)</w:t>
            </w:r>
          </w:p>
        </w:tc>
        <w:tc>
          <w:tcPr>
            <w:tcW w:w="1450" w:type="dxa"/>
            <w:tcBorders>
              <w:top w:val="single" w:sz="8" w:space="0" w:color="009784"/>
              <w:left w:val="single" w:sz="8" w:space="0" w:color="009784"/>
              <w:bottom w:val="single" w:sz="15" w:space="0" w:color="009784"/>
              <w:right w:val="single" w:sz="8" w:space="0" w:color="009784"/>
            </w:tcBorders>
            <w:shd w:val="clear" w:color="auto" w:fill="009784"/>
            <w:vAlign w:val="center"/>
          </w:tcPr>
          <w:p w:rsidR="00576F87" w:rsidRDefault="004165F5">
            <w:pPr>
              <w:spacing w:after="0"/>
              <w:ind w:right="36"/>
              <w:jc w:val="right"/>
            </w:pPr>
            <w:r>
              <w:rPr>
                <w:rFonts w:ascii="Verdana" w:eastAsia="Verdana" w:hAnsi="Verdana" w:cs="Verdana"/>
                <w:b/>
                <w:color w:val="FFFFFF"/>
                <w:sz w:val="18"/>
              </w:rPr>
              <w:t>(2,473)</w:t>
            </w:r>
          </w:p>
        </w:tc>
        <w:tc>
          <w:tcPr>
            <w:tcW w:w="838" w:type="dxa"/>
            <w:tcBorders>
              <w:top w:val="single" w:sz="8" w:space="0" w:color="009784"/>
              <w:left w:val="single" w:sz="8" w:space="0" w:color="009784"/>
              <w:bottom w:val="single" w:sz="15" w:space="0" w:color="009784"/>
              <w:right w:val="single" w:sz="8" w:space="0" w:color="009784"/>
            </w:tcBorders>
            <w:shd w:val="clear" w:color="auto" w:fill="009784"/>
          </w:tcPr>
          <w:p w:rsidR="00576F87" w:rsidRDefault="00576F87"/>
        </w:tc>
        <w:tc>
          <w:tcPr>
            <w:tcW w:w="3029" w:type="dxa"/>
            <w:tcBorders>
              <w:top w:val="single" w:sz="8" w:space="0" w:color="009784"/>
              <w:left w:val="single" w:sz="8" w:space="0" w:color="009784"/>
              <w:bottom w:val="single" w:sz="15" w:space="0" w:color="009784"/>
              <w:right w:val="single" w:sz="8" w:space="0" w:color="009784"/>
            </w:tcBorders>
            <w:shd w:val="clear" w:color="auto" w:fill="009784"/>
          </w:tcPr>
          <w:p w:rsidR="00576F87" w:rsidRDefault="004165F5">
            <w:pPr>
              <w:spacing w:after="3"/>
              <w:ind w:left="7"/>
            </w:pPr>
            <w:r>
              <w:rPr>
                <w:rFonts w:ascii="Verdana" w:eastAsia="Verdana" w:hAnsi="Verdana" w:cs="Verdana"/>
                <w:b/>
                <w:color w:val="FFFFFF"/>
                <w:sz w:val="18"/>
              </w:rPr>
              <w:t xml:space="preserve">Total Comprehensive </w:t>
            </w:r>
          </w:p>
          <w:p w:rsidR="00576F87" w:rsidRDefault="004165F5">
            <w:pPr>
              <w:spacing w:after="0"/>
              <w:ind w:left="7"/>
            </w:pPr>
            <w:r>
              <w:rPr>
                <w:rFonts w:ascii="Verdana" w:eastAsia="Verdana" w:hAnsi="Verdana" w:cs="Verdana"/>
                <w:b/>
                <w:color w:val="FFFFFF"/>
                <w:sz w:val="18"/>
              </w:rPr>
              <w:t>Income and Expenditure</w:t>
            </w:r>
          </w:p>
        </w:tc>
        <w:tc>
          <w:tcPr>
            <w:tcW w:w="1385" w:type="dxa"/>
            <w:tcBorders>
              <w:top w:val="single" w:sz="8" w:space="0" w:color="009784"/>
              <w:left w:val="single" w:sz="8" w:space="0" w:color="009784"/>
              <w:bottom w:val="single" w:sz="15" w:space="0" w:color="009784"/>
              <w:right w:val="single" w:sz="8" w:space="0" w:color="009784"/>
            </w:tcBorders>
            <w:shd w:val="clear" w:color="auto" w:fill="009784"/>
            <w:vAlign w:val="center"/>
          </w:tcPr>
          <w:p w:rsidR="00576F87" w:rsidRDefault="004165F5">
            <w:pPr>
              <w:spacing w:after="0"/>
              <w:ind w:right="35"/>
              <w:jc w:val="right"/>
            </w:pPr>
            <w:r>
              <w:rPr>
                <w:rFonts w:ascii="Verdana" w:eastAsia="Verdana" w:hAnsi="Verdana" w:cs="Verdana"/>
                <w:b/>
                <w:color w:val="FFFFFF"/>
                <w:sz w:val="18"/>
              </w:rPr>
              <w:t>9,156</w:t>
            </w:r>
          </w:p>
        </w:tc>
        <w:tc>
          <w:tcPr>
            <w:tcW w:w="1306" w:type="dxa"/>
            <w:tcBorders>
              <w:top w:val="single" w:sz="8" w:space="0" w:color="009784"/>
              <w:left w:val="single" w:sz="8" w:space="0" w:color="009784"/>
              <w:bottom w:val="single" w:sz="15" w:space="0" w:color="009784"/>
              <w:right w:val="single" w:sz="8" w:space="0" w:color="009784"/>
            </w:tcBorders>
            <w:shd w:val="clear" w:color="auto" w:fill="009784"/>
            <w:vAlign w:val="center"/>
          </w:tcPr>
          <w:p w:rsidR="00576F87" w:rsidRDefault="004165F5">
            <w:pPr>
              <w:spacing w:after="0"/>
              <w:ind w:right="34"/>
              <w:jc w:val="right"/>
            </w:pPr>
            <w:r>
              <w:rPr>
                <w:rFonts w:ascii="Verdana" w:eastAsia="Verdana" w:hAnsi="Verdana" w:cs="Verdana"/>
                <w:b/>
                <w:color w:val="FFFFFF"/>
                <w:sz w:val="18"/>
              </w:rPr>
              <w:t>13,213</w:t>
            </w:r>
          </w:p>
        </w:tc>
        <w:tc>
          <w:tcPr>
            <w:tcW w:w="1210" w:type="dxa"/>
            <w:tcBorders>
              <w:top w:val="single" w:sz="8" w:space="0" w:color="009784"/>
              <w:left w:val="single" w:sz="8" w:space="0" w:color="009784"/>
              <w:bottom w:val="single" w:sz="15" w:space="0" w:color="009784"/>
              <w:right w:val="single" w:sz="15" w:space="0" w:color="009784"/>
            </w:tcBorders>
            <w:shd w:val="clear" w:color="auto" w:fill="009784"/>
            <w:vAlign w:val="center"/>
          </w:tcPr>
          <w:p w:rsidR="00576F87" w:rsidRDefault="004165F5">
            <w:pPr>
              <w:spacing w:after="0"/>
              <w:ind w:right="34"/>
              <w:jc w:val="right"/>
            </w:pPr>
            <w:r>
              <w:rPr>
                <w:rFonts w:ascii="Verdana" w:eastAsia="Verdana" w:hAnsi="Verdana" w:cs="Verdana"/>
                <w:b/>
                <w:color w:val="FFFFFF"/>
                <w:sz w:val="18"/>
              </w:rPr>
              <w:t>22,369</w:t>
            </w:r>
          </w:p>
        </w:tc>
      </w:tr>
    </w:tbl>
    <w:p w:rsidR="00576F87" w:rsidRDefault="004165F5">
      <w:pPr>
        <w:spacing w:after="110"/>
        <w:ind w:left="-372" w:hanging="10"/>
      </w:pPr>
      <w:r>
        <w:rPr>
          <w:rFonts w:ascii="Verdana" w:eastAsia="Verdana" w:hAnsi="Verdana" w:cs="Verdana"/>
          <w:color w:val="35437C"/>
          <w:sz w:val="20"/>
        </w:rPr>
        <w:t>Residual Liabilities Accounts</w:t>
      </w:r>
    </w:p>
    <w:p w:rsidR="00576F87" w:rsidRDefault="004165F5">
      <w:pPr>
        <w:spacing w:after="0"/>
        <w:ind w:left="-372" w:hanging="10"/>
      </w:pPr>
      <w:r>
        <w:rPr>
          <w:rFonts w:ascii="Verdana" w:eastAsia="Verdana" w:hAnsi="Verdana" w:cs="Verdana"/>
          <w:color w:val="35437C"/>
          <w:sz w:val="20"/>
        </w:rPr>
        <w:t>Balance Sheet as at</w:t>
      </w:r>
    </w:p>
    <w:tbl>
      <w:tblPr>
        <w:tblStyle w:val="TableGrid"/>
        <w:tblW w:w="13332" w:type="dxa"/>
        <w:tblInd w:w="-411" w:type="dxa"/>
        <w:tblCellMar>
          <w:top w:w="81" w:type="dxa"/>
          <w:left w:w="36" w:type="dxa"/>
          <w:bottom w:w="44" w:type="dxa"/>
          <w:right w:w="0" w:type="dxa"/>
        </w:tblCellMar>
        <w:tblLook w:val="04A0" w:firstRow="1" w:lastRow="0" w:firstColumn="1" w:lastColumn="0" w:noHBand="0" w:noVBand="1"/>
      </w:tblPr>
      <w:tblGrid>
        <w:gridCol w:w="2642"/>
        <w:gridCol w:w="1322"/>
        <w:gridCol w:w="1322"/>
        <w:gridCol w:w="1322"/>
        <w:gridCol w:w="2755"/>
        <w:gridCol w:w="1322"/>
        <w:gridCol w:w="1322"/>
        <w:gridCol w:w="1322"/>
      </w:tblGrid>
      <w:tr w:rsidR="00576F87">
        <w:trPr>
          <w:trHeight w:val="492"/>
        </w:trPr>
        <w:tc>
          <w:tcPr>
            <w:tcW w:w="2642" w:type="dxa"/>
            <w:tcBorders>
              <w:top w:val="single" w:sz="15" w:space="0" w:color="009784"/>
              <w:left w:val="single" w:sz="15" w:space="0" w:color="009784"/>
              <w:bottom w:val="single" w:sz="8" w:space="0" w:color="009784"/>
              <w:right w:val="single" w:sz="8" w:space="0" w:color="009784"/>
            </w:tcBorders>
            <w:shd w:val="clear" w:color="auto" w:fill="009784"/>
            <w:vAlign w:val="center"/>
          </w:tcPr>
          <w:p w:rsidR="00576F87" w:rsidRDefault="004165F5">
            <w:pPr>
              <w:spacing w:after="0"/>
              <w:ind w:left="2"/>
            </w:pPr>
            <w:r>
              <w:rPr>
                <w:rFonts w:ascii="Verdana" w:eastAsia="Verdana" w:hAnsi="Verdana" w:cs="Verdana"/>
                <w:b/>
                <w:color w:val="FFFFFF"/>
                <w:sz w:val="16"/>
              </w:rPr>
              <w:t>31-Mar-17</w:t>
            </w:r>
          </w:p>
        </w:tc>
        <w:tc>
          <w:tcPr>
            <w:tcW w:w="1322" w:type="dxa"/>
            <w:tcBorders>
              <w:top w:val="single" w:sz="15" w:space="0" w:color="009784"/>
              <w:left w:val="single" w:sz="8" w:space="0" w:color="009784"/>
              <w:bottom w:val="single" w:sz="8" w:space="0" w:color="009784"/>
              <w:right w:val="single" w:sz="8" w:space="0" w:color="009784"/>
            </w:tcBorders>
            <w:shd w:val="clear" w:color="auto" w:fill="009784"/>
          </w:tcPr>
          <w:p w:rsidR="00576F87" w:rsidRDefault="004165F5">
            <w:pPr>
              <w:spacing w:after="0"/>
              <w:ind w:right="35"/>
              <w:jc w:val="right"/>
            </w:pPr>
            <w:r>
              <w:rPr>
                <w:rFonts w:ascii="Verdana" w:eastAsia="Verdana" w:hAnsi="Verdana" w:cs="Verdana"/>
                <w:b/>
                <w:color w:val="FFFFFF"/>
                <w:sz w:val="16"/>
              </w:rPr>
              <w:t xml:space="preserve">Greater </w:t>
            </w:r>
          </w:p>
          <w:p w:rsidR="00576F87" w:rsidRDefault="004165F5">
            <w:pPr>
              <w:spacing w:after="0"/>
              <w:ind w:right="36"/>
              <w:jc w:val="right"/>
            </w:pPr>
            <w:r>
              <w:rPr>
                <w:rFonts w:ascii="Verdana" w:eastAsia="Verdana" w:hAnsi="Verdana" w:cs="Verdana"/>
                <w:b/>
                <w:color w:val="FFFFFF"/>
                <w:sz w:val="16"/>
              </w:rPr>
              <w:t>London</w:t>
            </w:r>
          </w:p>
        </w:tc>
        <w:tc>
          <w:tcPr>
            <w:tcW w:w="1322" w:type="dxa"/>
            <w:tcBorders>
              <w:top w:val="single" w:sz="15"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left="24"/>
              <w:jc w:val="both"/>
            </w:pPr>
            <w:r>
              <w:rPr>
                <w:rFonts w:ascii="Verdana" w:eastAsia="Verdana" w:hAnsi="Verdana" w:cs="Verdana"/>
                <w:b/>
                <w:color w:val="FFFFFF"/>
                <w:sz w:val="16"/>
              </w:rPr>
              <w:t>Inner London</w:t>
            </w:r>
          </w:p>
        </w:tc>
        <w:tc>
          <w:tcPr>
            <w:tcW w:w="1322" w:type="dxa"/>
            <w:tcBorders>
              <w:top w:val="single" w:sz="15"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right="36"/>
              <w:jc w:val="right"/>
            </w:pPr>
            <w:r>
              <w:rPr>
                <w:rFonts w:ascii="Verdana" w:eastAsia="Verdana" w:hAnsi="Verdana" w:cs="Verdana"/>
                <w:b/>
                <w:color w:val="FFFFFF"/>
                <w:sz w:val="16"/>
              </w:rPr>
              <w:t>Total</w:t>
            </w:r>
          </w:p>
        </w:tc>
        <w:tc>
          <w:tcPr>
            <w:tcW w:w="2755" w:type="dxa"/>
            <w:tcBorders>
              <w:top w:val="single" w:sz="15"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left="2"/>
            </w:pPr>
            <w:r>
              <w:rPr>
                <w:rFonts w:ascii="Verdana" w:eastAsia="Verdana" w:hAnsi="Verdana" w:cs="Verdana"/>
                <w:b/>
                <w:color w:val="FFFFFF"/>
                <w:sz w:val="16"/>
              </w:rPr>
              <w:t>31-Mar-18</w:t>
            </w:r>
          </w:p>
        </w:tc>
        <w:tc>
          <w:tcPr>
            <w:tcW w:w="1322" w:type="dxa"/>
            <w:tcBorders>
              <w:top w:val="single" w:sz="15" w:space="0" w:color="009784"/>
              <w:left w:val="single" w:sz="8" w:space="0" w:color="009784"/>
              <w:bottom w:val="single" w:sz="8" w:space="0" w:color="009784"/>
              <w:right w:val="single" w:sz="8" w:space="0" w:color="009784"/>
            </w:tcBorders>
            <w:shd w:val="clear" w:color="auto" w:fill="009784"/>
          </w:tcPr>
          <w:p w:rsidR="00576F87" w:rsidRDefault="004165F5">
            <w:pPr>
              <w:spacing w:after="0"/>
              <w:ind w:right="35"/>
              <w:jc w:val="right"/>
            </w:pPr>
            <w:r>
              <w:rPr>
                <w:rFonts w:ascii="Verdana" w:eastAsia="Verdana" w:hAnsi="Verdana" w:cs="Verdana"/>
                <w:b/>
                <w:color w:val="FFFFFF"/>
                <w:sz w:val="16"/>
              </w:rPr>
              <w:t xml:space="preserve">Greater </w:t>
            </w:r>
          </w:p>
          <w:p w:rsidR="00576F87" w:rsidRDefault="004165F5">
            <w:pPr>
              <w:spacing w:after="0"/>
              <w:ind w:right="36"/>
              <w:jc w:val="right"/>
            </w:pPr>
            <w:r>
              <w:rPr>
                <w:rFonts w:ascii="Verdana" w:eastAsia="Verdana" w:hAnsi="Verdana" w:cs="Verdana"/>
                <w:b/>
                <w:color w:val="FFFFFF"/>
                <w:sz w:val="16"/>
              </w:rPr>
              <w:t>London</w:t>
            </w:r>
          </w:p>
        </w:tc>
        <w:tc>
          <w:tcPr>
            <w:tcW w:w="1322" w:type="dxa"/>
            <w:tcBorders>
              <w:top w:val="single" w:sz="15" w:space="0" w:color="009784"/>
              <w:left w:val="single" w:sz="8" w:space="0" w:color="009784"/>
              <w:bottom w:val="single" w:sz="8" w:space="0" w:color="009784"/>
              <w:right w:val="single" w:sz="8" w:space="0" w:color="009784"/>
            </w:tcBorders>
            <w:shd w:val="clear" w:color="auto" w:fill="009784"/>
            <w:vAlign w:val="center"/>
          </w:tcPr>
          <w:p w:rsidR="00576F87" w:rsidRDefault="004165F5">
            <w:pPr>
              <w:spacing w:after="0"/>
              <w:ind w:left="24"/>
              <w:jc w:val="both"/>
            </w:pPr>
            <w:r>
              <w:rPr>
                <w:rFonts w:ascii="Verdana" w:eastAsia="Verdana" w:hAnsi="Verdana" w:cs="Verdana"/>
                <w:b/>
                <w:color w:val="FFFFFF"/>
                <w:sz w:val="16"/>
              </w:rPr>
              <w:t>Inner London</w:t>
            </w:r>
          </w:p>
        </w:tc>
        <w:tc>
          <w:tcPr>
            <w:tcW w:w="1322" w:type="dxa"/>
            <w:tcBorders>
              <w:top w:val="single" w:sz="15" w:space="0" w:color="009784"/>
              <w:left w:val="single" w:sz="8" w:space="0" w:color="009784"/>
              <w:bottom w:val="single" w:sz="8" w:space="0" w:color="009784"/>
              <w:right w:val="single" w:sz="15" w:space="0" w:color="009784"/>
            </w:tcBorders>
            <w:shd w:val="clear" w:color="auto" w:fill="009784"/>
            <w:vAlign w:val="center"/>
          </w:tcPr>
          <w:p w:rsidR="00576F87" w:rsidRDefault="004165F5">
            <w:pPr>
              <w:spacing w:after="0"/>
              <w:ind w:right="36"/>
              <w:jc w:val="right"/>
            </w:pPr>
            <w:r>
              <w:rPr>
                <w:rFonts w:ascii="Verdana" w:eastAsia="Verdana" w:hAnsi="Verdana" w:cs="Verdana"/>
                <w:b/>
                <w:color w:val="FFFFFF"/>
                <w:sz w:val="16"/>
              </w:rPr>
              <w:t>Total</w:t>
            </w:r>
          </w:p>
        </w:tc>
      </w:tr>
      <w:tr w:rsidR="00576F87">
        <w:trPr>
          <w:trHeight w:val="290"/>
        </w:trPr>
        <w:tc>
          <w:tcPr>
            <w:tcW w:w="2642" w:type="dxa"/>
            <w:tcBorders>
              <w:top w:val="single" w:sz="8" w:space="0" w:color="009784"/>
              <w:left w:val="single" w:sz="15"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£000</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£000</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£000</w:t>
            </w:r>
          </w:p>
        </w:tc>
        <w:tc>
          <w:tcPr>
            <w:tcW w:w="2755"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£000</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£000</w:t>
            </w:r>
          </w:p>
        </w:tc>
        <w:tc>
          <w:tcPr>
            <w:tcW w:w="1322"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7"/>
              <w:jc w:val="right"/>
            </w:pPr>
            <w:r>
              <w:rPr>
                <w:rFonts w:ascii="Verdana" w:eastAsia="Verdana" w:hAnsi="Verdana" w:cs="Verdana"/>
                <w:b/>
                <w:sz w:val="16"/>
              </w:rPr>
              <w:t>£000</w:t>
            </w:r>
          </w:p>
        </w:tc>
      </w:tr>
      <w:tr w:rsidR="00576F87">
        <w:trPr>
          <w:trHeight w:val="725"/>
        </w:trPr>
        <w:tc>
          <w:tcPr>
            <w:tcW w:w="2642" w:type="dxa"/>
            <w:tcBorders>
              <w:top w:val="single" w:sz="8" w:space="0" w:color="009784"/>
              <w:left w:val="single" w:sz="15" w:space="0" w:color="009784"/>
              <w:bottom w:val="single" w:sz="8" w:space="0" w:color="009784"/>
              <w:right w:val="single" w:sz="8" w:space="0" w:color="009784"/>
            </w:tcBorders>
            <w:vAlign w:val="bottom"/>
          </w:tcPr>
          <w:p w:rsidR="00576F87" w:rsidRDefault="004165F5">
            <w:pPr>
              <w:spacing w:after="0"/>
            </w:pPr>
            <w:r>
              <w:rPr>
                <w:rFonts w:ascii="Verdana" w:eastAsia="Verdana" w:hAnsi="Verdana" w:cs="Verdana"/>
                <w:sz w:val="16"/>
              </w:rPr>
              <w:t>Asbestosis Reimbursement</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sz w:val="16"/>
              </w:rPr>
              <w:t>46,986</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sz w:val="16"/>
              </w:rPr>
              <w:t>2,653</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sz w:val="16"/>
              </w:rPr>
              <w:t>49,639</w:t>
            </w:r>
          </w:p>
        </w:tc>
        <w:tc>
          <w:tcPr>
            <w:tcW w:w="275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left="1"/>
            </w:pPr>
            <w:r>
              <w:rPr>
                <w:rFonts w:ascii="Verdana" w:eastAsia="Verdana" w:hAnsi="Verdana" w:cs="Verdana"/>
                <w:sz w:val="16"/>
              </w:rPr>
              <w:t>Asbestosis Reimbursement</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sz w:val="16"/>
              </w:rPr>
              <w:t>37,818</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1,100</w:t>
            </w:r>
          </w:p>
        </w:tc>
        <w:tc>
          <w:tcPr>
            <w:tcW w:w="1322"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3"/>
              <w:jc w:val="right"/>
            </w:pPr>
            <w:r>
              <w:rPr>
                <w:rFonts w:ascii="Verdana" w:eastAsia="Verdana" w:hAnsi="Verdana" w:cs="Verdana"/>
                <w:sz w:val="16"/>
              </w:rPr>
              <w:t>38,918</w:t>
            </w:r>
          </w:p>
        </w:tc>
      </w:tr>
      <w:tr w:rsidR="00576F87">
        <w:trPr>
          <w:trHeight w:val="319"/>
        </w:trPr>
        <w:tc>
          <w:tcPr>
            <w:tcW w:w="2642"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6"/>
              </w:rPr>
              <w:t>Non-current assets</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46,986</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6"/>
              <w:jc w:val="right"/>
            </w:pPr>
            <w:r>
              <w:rPr>
                <w:rFonts w:ascii="Verdana" w:eastAsia="Verdana" w:hAnsi="Verdana" w:cs="Verdana"/>
                <w:b/>
                <w:sz w:val="16"/>
              </w:rPr>
              <w:t>2,653</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49,639</w:t>
            </w:r>
          </w:p>
        </w:tc>
        <w:tc>
          <w:tcPr>
            <w:tcW w:w="275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6"/>
              </w:rPr>
              <w:t>Non-current assets</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37,818</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1,100</w:t>
            </w:r>
          </w:p>
        </w:tc>
        <w:tc>
          <w:tcPr>
            <w:tcW w:w="1322"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7"/>
              <w:jc w:val="right"/>
            </w:pPr>
            <w:r>
              <w:rPr>
                <w:rFonts w:ascii="Verdana" w:eastAsia="Verdana" w:hAnsi="Verdana" w:cs="Verdana"/>
                <w:b/>
                <w:sz w:val="16"/>
              </w:rPr>
              <w:t>38,918</w:t>
            </w:r>
          </w:p>
        </w:tc>
      </w:tr>
      <w:tr w:rsidR="00576F87">
        <w:trPr>
          <w:trHeight w:val="173"/>
        </w:trPr>
        <w:tc>
          <w:tcPr>
            <w:tcW w:w="2642" w:type="dxa"/>
            <w:tcBorders>
              <w:top w:val="single" w:sz="8" w:space="0" w:color="009784"/>
              <w:left w:val="single" w:sz="15"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2755"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19"/>
        </w:trPr>
        <w:tc>
          <w:tcPr>
            <w:tcW w:w="2642" w:type="dxa"/>
            <w:tcBorders>
              <w:top w:val="single" w:sz="8" w:space="0" w:color="009784"/>
              <w:left w:val="single" w:sz="15"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Receivables</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sz w:val="16"/>
              </w:rPr>
              <w:t>31</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sz w:val="16"/>
              </w:rPr>
              <w:t>669</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sz w:val="16"/>
              </w:rPr>
              <w:t>700</w:t>
            </w:r>
          </w:p>
        </w:tc>
        <w:tc>
          <w:tcPr>
            <w:tcW w:w="2755"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Receivables</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sz w:val="16"/>
              </w:rPr>
              <w:t>65</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sz w:val="16"/>
              </w:rPr>
              <w:t>858</w:t>
            </w:r>
          </w:p>
        </w:tc>
        <w:tc>
          <w:tcPr>
            <w:tcW w:w="1322"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4"/>
              <w:jc w:val="right"/>
            </w:pPr>
            <w:r>
              <w:rPr>
                <w:rFonts w:ascii="Verdana" w:eastAsia="Verdana" w:hAnsi="Verdana" w:cs="Verdana"/>
                <w:sz w:val="16"/>
              </w:rPr>
              <w:t>922</w:t>
            </w:r>
          </w:p>
        </w:tc>
      </w:tr>
      <w:tr w:rsidR="00576F87">
        <w:trPr>
          <w:trHeight w:val="566"/>
        </w:trPr>
        <w:tc>
          <w:tcPr>
            <w:tcW w:w="2642" w:type="dxa"/>
            <w:tcBorders>
              <w:top w:val="single" w:sz="8" w:space="0" w:color="009784"/>
              <w:left w:val="single" w:sz="15" w:space="0" w:color="009784"/>
              <w:bottom w:val="single" w:sz="8" w:space="0" w:color="009784"/>
              <w:right w:val="single" w:sz="8" w:space="0" w:color="009784"/>
            </w:tcBorders>
            <w:vAlign w:val="bottom"/>
          </w:tcPr>
          <w:p w:rsidR="00576F87" w:rsidRDefault="004165F5">
            <w:pPr>
              <w:spacing w:after="0"/>
            </w:pPr>
            <w:r>
              <w:rPr>
                <w:rFonts w:ascii="Verdana" w:eastAsia="Verdana" w:hAnsi="Verdana" w:cs="Verdana"/>
                <w:sz w:val="16"/>
              </w:rPr>
              <w:t>Cash and Cash equivalents</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sz w:val="16"/>
              </w:rPr>
              <w:t>28,713</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sz w:val="16"/>
              </w:rPr>
              <w:t>4,611</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4"/>
              <w:jc w:val="right"/>
            </w:pPr>
            <w:r>
              <w:rPr>
                <w:rFonts w:ascii="Verdana" w:eastAsia="Verdana" w:hAnsi="Verdana" w:cs="Verdana"/>
                <w:sz w:val="16"/>
              </w:rPr>
              <w:t>33,324</w:t>
            </w:r>
          </w:p>
        </w:tc>
        <w:tc>
          <w:tcPr>
            <w:tcW w:w="275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left="1"/>
            </w:pPr>
            <w:r>
              <w:rPr>
                <w:rFonts w:ascii="Verdana" w:eastAsia="Verdana" w:hAnsi="Verdana" w:cs="Verdana"/>
                <w:sz w:val="16"/>
              </w:rPr>
              <w:t>Cash and Cash equivalents</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3"/>
              <w:jc w:val="right"/>
            </w:pPr>
            <w:r>
              <w:rPr>
                <w:rFonts w:ascii="Verdana" w:eastAsia="Verdana" w:hAnsi="Verdana" w:cs="Verdana"/>
                <w:sz w:val="16"/>
              </w:rPr>
              <w:t>31,074</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2"/>
              <w:jc w:val="right"/>
            </w:pPr>
            <w:r>
              <w:rPr>
                <w:rFonts w:ascii="Verdana" w:eastAsia="Verdana" w:hAnsi="Verdana" w:cs="Verdana"/>
                <w:sz w:val="16"/>
              </w:rPr>
              <w:t>6,096</w:t>
            </w:r>
          </w:p>
        </w:tc>
        <w:tc>
          <w:tcPr>
            <w:tcW w:w="1322"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32"/>
              <w:jc w:val="right"/>
            </w:pPr>
            <w:r>
              <w:rPr>
                <w:rFonts w:ascii="Verdana" w:eastAsia="Verdana" w:hAnsi="Verdana" w:cs="Verdana"/>
                <w:sz w:val="16"/>
              </w:rPr>
              <w:t>37,170</w:t>
            </w:r>
          </w:p>
        </w:tc>
      </w:tr>
      <w:tr w:rsidR="00576F87">
        <w:trPr>
          <w:trHeight w:val="202"/>
        </w:trPr>
        <w:tc>
          <w:tcPr>
            <w:tcW w:w="2642" w:type="dxa"/>
            <w:tcBorders>
              <w:top w:val="single" w:sz="8" w:space="0" w:color="009784"/>
              <w:left w:val="single" w:sz="15"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2755"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19"/>
        </w:trPr>
        <w:tc>
          <w:tcPr>
            <w:tcW w:w="2642"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6"/>
              </w:rPr>
              <w:t>Current Assets</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28,744</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5,280</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34,024</w:t>
            </w:r>
          </w:p>
        </w:tc>
        <w:tc>
          <w:tcPr>
            <w:tcW w:w="275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6"/>
              </w:rPr>
              <w:t>Current Assets</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31,139</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7"/>
              <w:jc w:val="right"/>
            </w:pPr>
            <w:r>
              <w:rPr>
                <w:rFonts w:ascii="Verdana" w:eastAsia="Verdana" w:hAnsi="Verdana" w:cs="Verdana"/>
                <w:b/>
                <w:sz w:val="16"/>
              </w:rPr>
              <w:t>6,954</w:t>
            </w:r>
          </w:p>
        </w:tc>
        <w:tc>
          <w:tcPr>
            <w:tcW w:w="1322"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7"/>
              <w:jc w:val="right"/>
            </w:pPr>
            <w:r>
              <w:rPr>
                <w:rFonts w:ascii="Verdana" w:eastAsia="Verdana" w:hAnsi="Verdana" w:cs="Verdana"/>
                <w:b/>
                <w:sz w:val="16"/>
              </w:rPr>
              <w:t>38,093</w:t>
            </w:r>
          </w:p>
        </w:tc>
      </w:tr>
      <w:tr w:rsidR="00576F87">
        <w:trPr>
          <w:trHeight w:val="144"/>
        </w:trPr>
        <w:tc>
          <w:tcPr>
            <w:tcW w:w="2642" w:type="dxa"/>
            <w:tcBorders>
              <w:top w:val="single" w:sz="8" w:space="0" w:color="009784"/>
              <w:left w:val="single" w:sz="15"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2755"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492"/>
        </w:trPr>
        <w:tc>
          <w:tcPr>
            <w:tcW w:w="2642" w:type="dxa"/>
            <w:tcBorders>
              <w:top w:val="single" w:sz="8" w:space="0" w:color="009784"/>
              <w:left w:val="single" w:sz="15" w:space="0" w:color="009784"/>
              <w:bottom w:val="single" w:sz="8" w:space="0" w:color="009784"/>
              <w:right w:val="single" w:sz="8" w:space="0" w:color="009784"/>
            </w:tcBorders>
            <w:vAlign w:val="bottom"/>
          </w:tcPr>
          <w:p w:rsidR="00576F87" w:rsidRDefault="004165F5">
            <w:pPr>
              <w:spacing w:after="0"/>
            </w:pPr>
            <w:r>
              <w:rPr>
                <w:rFonts w:ascii="Verdana" w:eastAsia="Verdana" w:hAnsi="Verdana" w:cs="Verdana"/>
                <w:sz w:val="16"/>
              </w:rPr>
              <w:t>Trade and other payables</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(56)</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29"/>
              <w:jc w:val="right"/>
            </w:pPr>
            <w:r>
              <w:rPr>
                <w:rFonts w:ascii="Verdana" w:eastAsia="Verdana" w:hAnsi="Verdana" w:cs="Verdana"/>
                <w:sz w:val="16"/>
              </w:rPr>
              <w:t>(3)</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30"/>
              <w:jc w:val="right"/>
            </w:pPr>
            <w:r>
              <w:rPr>
                <w:rFonts w:ascii="Verdana" w:eastAsia="Verdana" w:hAnsi="Verdana" w:cs="Verdana"/>
                <w:sz w:val="16"/>
              </w:rPr>
              <w:t>(59)</w:t>
            </w:r>
          </w:p>
        </w:tc>
        <w:tc>
          <w:tcPr>
            <w:tcW w:w="2755"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left="1"/>
            </w:pPr>
            <w:r>
              <w:rPr>
                <w:rFonts w:ascii="Verdana" w:eastAsia="Verdana" w:hAnsi="Verdana" w:cs="Verdana"/>
                <w:sz w:val="16"/>
              </w:rPr>
              <w:t>Trade and other payables</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29"/>
              <w:jc w:val="right"/>
            </w:pPr>
            <w:r>
              <w:rPr>
                <w:rFonts w:ascii="Verdana" w:eastAsia="Verdana" w:hAnsi="Verdana" w:cs="Verdana"/>
                <w:sz w:val="16"/>
              </w:rPr>
              <w:t>(59)</w:t>
            </w:r>
          </w:p>
        </w:tc>
        <w:tc>
          <w:tcPr>
            <w:tcW w:w="1322"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29"/>
              <w:jc w:val="right"/>
            </w:pPr>
            <w:r>
              <w:rPr>
                <w:rFonts w:ascii="Verdana" w:eastAsia="Verdana" w:hAnsi="Verdana" w:cs="Verdana"/>
                <w:sz w:val="16"/>
              </w:rPr>
              <w:t>-</w:t>
            </w:r>
          </w:p>
        </w:tc>
        <w:tc>
          <w:tcPr>
            <w:tcW w:w="1322"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29"/>
              <w:jc w:val="right"/>
            </w:pPr>
            <w:r>
              <w:rPr>
                <w:rFonts w:ascii="Verdana" w:eastAsia="Verdana" w:hAnsi="Verdana" w:cs="Verdana"/>
                <w:sz w:val="16"/>
              </w:rPr>
              <w:t>(59)</w:t>
            </w:r>
          </w:p>
        </w:tc>
      </w:tr>
      <w:tr w:rsidR="00576F87">
        <w:trPr>
          <w:trHeight w:val="319"/>
        </w:trPr>
        <w:tc>
          <w:tcPr>
            <w:tcW w:w="2642" w:type="dxa"/>
            <w:tcBorders>
              <w:top w:val="single" w:sz="8" w:space="0" w:color="009784"/>
              <w:left w:val="single" w:sz="15"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Provision</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(5,781)</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(805)</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1"/>
              <w:jc w:val="right"/>
            </w:pPr>
            <w:r>
              <w:rPr>
                <w:rFonts w:ascii="Verdana" w:eastAsia="Verdana" w:hAnsi="Verdana" w:cs="Verdana"/>
                <w:sz w:val="16"/>
              </w:rPr>
              <w:t>(6,586)</w:t>
            </w:r>
          </w:p>
        </w:tc>
        <w:tc>
          <w:tcPr>
            <w:tcW w:w="2755"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Provision</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(6,610)</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(871)</w:t>
            </w:r>
          </w:p>
        </w:tc>
        <w:tc>
          <w:tcPr>
            <w:tcW w:w="1322"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1"/>
              <w:jc w:val="right"/>
            </w:pPr>
            <w:r>
              <w:rPr>
                <w:rFonts w:ascii="Verdana" w:eastAsia="Verdana" w:hAnsi="Verdana" w:cs="Verdana"/>
                <w:sz w:val="16"/>
              </w:rPr>
              <w:t>(7,481)</w:t>
            </w:r>
          </w:p>
        </w:tc>
      </w:tr>
      <w:tr w:rsidR="00576F87">
        <w:trPr>
          <w:trHeight w:val="187"/>
        </w:trPr>
        <w:tc>
          <w:tcPr>
            <w:tcW w:w="2642" w:type="dxa"/>
            <w:tcBorders>
              <w:top w:val="single" w:sz="8" w:space="0" w:color="009784"/>
              <w:left w:val="single" w:sz="15"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2755"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19"/>
        </w:trPr>
        <w:tc>
          <w:tcPr>
            <w:tcW w:w="2642"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6"/>
              </w:rPr>
              <w:t>Current liabilities</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b/>
                <w:sz w:val="16"/>
              </w:rPr>
              <w:t>(5,837)</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b/>
                <w:sz w:val="16"/>
              </w:rPr>
              <w:t>(808)</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5"/>
              <w:jc w:val="right"/>
            </w:pPr>
            <w:r>
              <w:rPr>
                <w:rFonts w:ascii="Verdana" w:eastAsia="Verdana" w:hAnsi="Verdana" w:cs="Verdana"/>
                <w:b/>
                <w:sz w:val="16"/>
              </w:rPr>
              <w:t>(6,645)</w:t>
            </w:r>
          </w:p>
        </w:tc>
        <w:tc>
          <w:tcPr>
            <w:tcW w:w="275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6"/>
              </w:rPr>
              <w:t>Current liabilities</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5"/>
              <w:jc w:val="right"/>
            </w:pPr>
            <w:r>
              <w:rPr>
                <w:rFonts w:ascii="Verdana" w:eastAsia="Verdana" w:hAnsi="Verdana" w:cs="Verdana"/>
                <w:b/>
                <w:sz w:val="16"/>
              </w:rPr>
              <w:t>(6,669)</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b/>
                <w:sz w:val="16"/>
              </w:rPr>
              <w:t>(871)</w:t>
            </w:r>
          </w:p>
        </w:tc>
        <w:tc>
          <w:tcPr>
            <w:tcW w:w="1322"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5"/>
              <w:jc w:val="right"/>
            </w:pPr>
            <w:r>
              <w:rPr>
                <w:rFonts w:ascii="Verdana" w:eastAsia="Verdana" w:hAnsi="Verdana" w:cs="Verdana"/>
                <w:b/>
                <w:sz w:val="16"/>
              </w:rPr>
              <w:t>(7,540)</w:t>
            </w:r>
          </w:p>
        </w:tc>
      </w:tr>
      <w:tr w:rsidR="00576F87">
        <w:trPr>
          <w:trHeight w:val="187"/>
        </w:trPr>
        <w:tc>
          <w:tcPr>
            <w:tcW w:w="2642" w:type="dxa"/>
            <w:tcBorders>
              <w:top w:val="single" w:sz="8" w:space="0" w:color="009784"/>
              <w:left w:val="single" w:sz="15"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2755"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19"/>
        </w:trPr>
        <w:tc>
          <w:tcPr>
            <w:tcW w:w="2642" w:type="dxa"/>
            <w:tcBorders>
              <w:top w:val="single" w:sz="8" w:space="0" w:color="009784"/>
              <w:left w:val="single" w:sz="15"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 xml:space="preserve">Provision </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(53,375)</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1"/>
              <w:jc w:val="right"/>
            </w:pPr>
            <w:r>
              <w:rPr>
                <w:rFonts w:ascii="Verdana" w:eastAsia="Verdana" w:hAnsi="Verdana" w:cs="Verdana"/>
                <w:sz w:val="16"/>
              </w:rPr>
              <w:t>(4,487)</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(57,862)</w:t>
            </w:r>
          </w:p>
        </w:tc>
        <w:tc>
          <w:tcPr>
            <w:tcW w:w="275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1"/>
            </w:pPr>
            <w:r>
              <w:rPr>
                <w:rFonts w:ascii="Verdana" w:eastAsia="Verdana" w:hAnsi="Verdana" w:cs="Verdana"/>
                <w:sz w:val="16"/>
              </w:rPr>
              <w:t xml:space="preserve">Provision </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(44,575)</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1"/>
              <w:jc w:val="right"/>
            </w:pPr>
            <w:r>
              <w:rPr>
                <w:rFonts w:ascii="Verdana" w:eastAsia="Verdana" w:hAnsi="Verdana" w:cs="Verdana"/>
                <w:sz w:val="16"/>
              </w:rPr>
              <w:t>(3,747)</w:t>
            </w:r>
          </w:p>
        </w:tc>
        <w:tc>
          <w:tcPr>
            <w:tcW w:w="1322"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1"/>
              <w:jc w:val="right"/>
            </w:pPr>
            <w:r>
              <w:rPr>
                <w:rFonts w:ascii="Verdana" w:eastAsia="Verdana" w:hAnsi="Verdana" w:cs="Verdana"/>
                <w:sz w:val="16"/>
              </w:rPr>
              <w:t>(48,322)</w:t>
            </w:r>
          </w:p>
        </w:tc>
      </w:tr>
      <w:tr w:rsidR="00576F87">
        <w:trPr>
          <w:trHeight w:val="319"/>
        </w:trPr>
        <w:tc>
          <w:tcPr>
            <w:tcW w:w="2642" w:type="dxa"/>
            <w:tcBorders>
              <w:top w:val="single" w:sz="8" w:space="0" w:color="009784"/>
              <w:left w:val="single" w:sz="15"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LCC Stock</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(4,347)</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0"/>
              <w:jc w:val="right"/>
            </w:pPr>
            <w:r>
              <w:rPr>
                <w:rFonts w:ascii="Verdana" w:eastAsia="Verdana" w:hAnsi="Verdana" w:cs="Verdana"/>
                <w:sz w:val="16"/>
              </w:rPr>
              <w:t>-</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1"/>
              <w:jc w:val="right"/>
            </w:pPr>
            <w:r>
              <w:rPr>
                <w:rFonts w:ascii="Verdana" w:eastAsia="Verdana" w:hAnsi="Verdana" w:cs="Verdana"/>
                <w:sz w:val="16"/>
              </w:rPr>
              <w:t>(4,347)</w:t>
            </w:r>
          </w:p>
        </w:tc>
        <w:tc>
          <w:tcPr>
            <w:tcW w:w="2755"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LCC Stock</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1"/>
              <w:jc w:val="right"/>
            </w:pPr>
            <w:r>
              <w:rPr>
                <w:rFonts w:ascii="Verdana" w:eastAsia="Verdana" w:hAnsi="Verdana" w:cs="Verdana"/>
                <w:sz w:val="16"/>
              </w:rPr>
              <w:t>(4,347)</w:t>
            </w:r>
          </w:p>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1"/>
              <w:jc w:val="right"/>
            </w:pPr>
            <w:r>
              <w:rPr>
                <w:rFonts w:ascii="Verdana" w:eastAsia="Verdana" w:hAnsi="Verdana" w:cs="Verdana"/>
                <w:sz w:val="16"/>
              </w:rPr>
              <w:t>(4,347)</w:t>
            </w:r>
          </w:p>
        </w:tc>
      </w:tr>
      <w:tr w:rsidR="00576F87">
        <w:trPr>
          <w:trHeight w:val="319"/>
        </w:trPr>
        <w:tc>
          <w:tcPr>
            <w:tcW w:w="2642" w:type="dxa"/>
            <w:tcBorders>
              <w:top w:val="single" w:sz="8" w:space="0" w:color="009784"/>
              <w:left w:val="single" w:sz="15"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Unfunded pension liability</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(80,589)</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sz w:val="16"/>
              </w:rPr>
              <w:t>(154,113)</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sz w:val="16"/>
              </w:rPr>
              <w:t>(234,702)</w:t>
            </w:r>
          </w:p>
        </w:tc>
        <w:tc>
          <w:tcPr>
            <w:tcW w:w="275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1"/>
            </w:pPr>
            <w:r>
              <w:rPr>
                <w:rFonts w:ascii="Verdana" w:eastAsia="Verdana" w:hAnsi="Verdana" w:cs="Verdana"/>
                <w:sz w:val="16"/>
              </w:rPr>
              <w:t>Unfunded pension liability</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(72,628)</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(141,698)</w:t>
            </w:r>
          </w:p>
        </w:tc>
        <w:tc>
          <w:tcPr>
            <w:tcW w:w="1322"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2"/>
              <w:jc w:val="right"/>
            </w:pPr>
            <w:r>
              <w:rPr>
                <w:rFonts w:ascii="Verdana" w:eastAsia="Verdana" w:hAnsi="Verdana" w:cs="Verdana"/>
                <w:sz w:val="16"/>
              </w:rPr>
              <w:t>(214,326)</w:t>
            </w:r>
          </w:p>
        </w:tc>
      </w:tr>
      <w:tr w:rsidR="00576F87">
        <w:trPr>
          <w:trHeight w:val="173"/>
        </w:trPr>
        <w:tc>
          <w:tcPr>
            <w:tcW w:w="2642" w:type="dxa"/>
            <w:tcBorders>
              <w:top w:val="single" w:sz="8" w:space="0" w:color="009784"/>
              <w:left w:val="single" w:sz="15"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2755"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19"/>
        </w:trPr>
        <w:tc>
          <w:tcPr>
            <w:tcW w:w="2642"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6"/>
              </w:rPr>
              <w:t>Non-current liabilities</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6"/>
              <w:jc w:val="right"/>
            </w:pPr>
            <w:r>
              <w:rPr>
                <w:rFonts w:ascii="Verdana" w:eastAsia="Verdana" w:hAnsi="Verdana" w:cs="Verdana"/>
                <w:b/>
                <w:sz w:val="16"/>
              </w:rPr>
              <w:t>(138,311)</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6"/>
              <w:jc w:val="right"/>
            </w:pPr>
            <w:r>
              <w:rPr>
                <w:rFonts w:ascii="Verdana" w:eastAsia="Verdana" w:hAnsi="Verdana" w:cs="Verdana"/>
                <w:b/>
                <w:sz w:val="16"/>
              </w:rPr>
              <w:t>(158,600)</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6"/>
              <w:jc w:val="right"/>
            </w:pPr>
            <w:r>
              <w:rPr>
                <w:rFonts w:ascii="Verdana" w:eastAsia="Verdana" w:hAnsi="Verdana" w:cs="Verdana"/>
                <w:b/>
                <w:sz w:val="16"/>
              </w:rPr>
              <w:t>(296,911)</w:t>
            </w:r>
          </w:p>
        </w:tc>
        <w:tc>
          <w:tcPr>
            <w:tcW w:w="275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6"/>
              </w:rPr>
              <w:t>Non-current liabilities</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6"/>
              <w:jc w:val="right"/>
            </w:pPr>
            <w:r>
              <w:rPr>
                <w:rFonts w:ascii="Verdana" w:eastAsia="Verdana" w:hAnsi="Verdana" w:cs="Verdana"/>
                <w:b/>
                <w:sz w:val="16"/>
              </w:rPr>
              <w:t>(121,550)</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6"/>
              <w:jc w:val="right"/>
            </w:pPr>
            <w:r>
              <w:rPr>
                <w:rFonts w:ascii="Verdana" w:eastAsia="Verdana" w:hAnsi="Verdana" w:cs="Verdana"/>
                <w:b/>
                <w:sz w:val="16"/>
              </w:rPr>
              <w:t>(145,445)</w:t>
            </w:r>
          </w:p>
        </w:tc>
        <w:tc>
          <w:tcPr>
            <w:tcW w:w="1322"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7"/>
              <w:jc w:val="right"/>
            </w:pPr>
            <w:r>
              <w:rPr>
                <w:rFonts w:ascii="Verdana" w:eastAsia="Verdana" w:hAnsi="Verdana" w:cs="Verdana"/>
                <w:b/>
                <w:sz w:val="16"/>
              </w:rPr>
              <w:t>(266,995)</w:t>
            </w:r>
          </w:p>
        </w:tc>
      </w:tr>
      <w:tr w:rsidR="00576F87">
        <w:trPr>
          <w:trHeight w:val="202"/>
        </w:trPr>
        <w:tc>
          <w:tcPr>
            <w:tcW w:w="2642" w:type="dxa"/>
            <w:tcBorders>
              <w:top w:val="single" w:sz="8" w:space="0" w:color="009784"/>
              <w:left w:val="single" w:sz="15"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2755"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19"/>
        </w:trPr>
        <w:tc>
          <w:tcPr>
            <w:tcW w:w="2642"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6"/>
              </w:rPr>
              <w:t>Net liabilities</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5"/>
              <w:jc w:val="right"/>
            </w:pPr>
            <w:r>
              <w:rPr>
                <w:rFonts w:ascii="Verdana" w:eastAsia="Verdana" w:hAnsi="Verdana" w:cs="Verdana"/>
                <w:b/>
                <w:sz w:val="16"/>
              </w:rPr>
              <w:t>(68,418)</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6"/>
              <w:jc w:val="right"/>
            </w:pPr>
            <w:r>
              <w:rPr>
                <w:rFonts w:ascii="Verdana" w:eastAsia="Verdana" w:hAnsi="Verdana" w:cs="Verdana"/>
                <w:b/>
                <w:sz w:val="16"/>
              </w:rPr>
              <w:t>(151,475)</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6"/>
              <w:jc w:val="right"/>
            </w:pPr>
            <w:r>
              <w:rPr>
                <w:rFonts w:ascii="Verdana" w:eastAsia="Verdana" w:hAnsi="Verdana" w:cs="Verdana"/>
                <w:b/>
                <w:sz w:val="16"/>
              </w:rPr>
              <w:t>(219,893)</w:t>
            </w:r>
          </w:p>
        </w:tc>
        <w:tc>
          <w:tcPr>
            <w:tcW w:w="275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6"/>
              </w:rPr>
              <w:t>Net liabilities</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5"/>
              <w:jc w:val="right"/>
            </w:pPr>
            <w:r>
              <w:rPr>
                <w:rFonts w:ascii="Verdana" w:eastAsia="Verdana" w:hAnsi="Verdana" w:cs="Verdana"/>
                <w:b/>
                <w:sz w:val="16"/>
              </w:rPr>
              <w:t>(59,262)</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6"/>
              <w:jc w:val="right"/>
            </w:pPr>
            <w:r>
              <w:rPr>
                <w:rFonts w:ascii="Verdana" w:eastAsia="Verdana" w:hAnsi="Verdana" w:cs="Verdana"/>
                <w:b/>
                <w:sz w:val="16"/>
              </w:rPr>
              <w:t>(138,262)</w:t>
            </w:r>
          </w:p>
        </w:tc>
        <w:tc>
          <w:tcPr>
            <w:tcW w:w="1322"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6"/>
              <w:jc w:val="right"/>
            </w:pPr>
            <w:r>
              <w:rPr>
                <w:rFonts w:ascii="Verdana" w:eastAsia="Verdana" w:hAnsi="Verdana" w:cs="Verdana"/>
                <w:b/>
                <w:sz w:val="16"/>
              </w:rPr>
              <w:t>(197,524)</w:t>
            </w:r>
          </w:p>
        </w:tc>
      </w:tr>
      <w:tr w:rsidR="00576F87">
        <w:trPr>
          <w:trHeight w:val="319"/>
        </w:trPr>
        <w:tc>
          <w:tcPr>
            <w:tcW w:w="2642"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6"/>
              </w:rPr>
              <w:t>Reserves</w:t>
            </w:r>
          </w:p>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275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2"/>
            </w:pPr>
            <w:r>
              <w:rPr>
                <w:rFonts w:ascii="Verdana" w:eastAsia="Verdana" w:hAnsi="Verdana" w:cs="Verdana"/>
                <w:b/>
                <w:sz w:val="16"/>
              </w:rPr>
              <w:t>Reserves</w:t>
            </w:r>
          </w:p>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8" w:space="0" w:color="009784"/>
            </w:tcBorders>
          </w:tcPr>
          <w:p w:rsidR="00576F87" w:rsidRDefault="00576F87"/>
        </w:tc>
        <w:tc>
          <w:tcPr>
            <w:tcW w:w="1322"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19"/>
        </w:trPr>
        <w:tc>
          <w:tcPr>
            <w:tcW w:w="2642" w:type="dxa"/>
            <w:tcBorders>
              <w:top w:val="single" w:sz="8" w:space="0" w:color="009784"/>
              <w:left w:val="single" w:sz="15"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General Fund reserve</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4"/>
              <w:jc w:val="right"/>
            </w:pPr>
            <w:r>
              <w:rPr>
                <w:rFonts w:ascii="Verdana" w:eastAsia="Verdana" w:hAnsi="Verdana" w:cs="Verdana"/>
                <w:sz w:val="16"/>
              </w:rPr>
              <w:t>12,171</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sz w:val="16"/>
              </w:rPr>
              <w:t>2,638</w:t>
            </w:r>
          </w:p>
        </w:tc>
        <w:tc>
          <w:tcPr>
            <w:tcW w:w="1322"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4"/>
              <w:jc w:val="right"/>
            </w:pPr>
            <w:r>
              <w:rPr>
                <w:rFonts w:ascii="Verdana" w:eastAsia="Verdana" w:hAnsi="Verdana" w:cs="Verdana"/>
                <w:sz w:val="16"/>
              </w:rPr>
              <w:t>14,809</w:t>
            </w:r>
          </w:p>
        </w:tc>
        <w:tc>
          <w:tcPr>
            <w:tcW w:w="2755"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left="1"/>
            </w:pPr>
            <w:r>
              <w:rPr>
                <w:rFonts w:ascii="Verdana" w:eastAsia="Verdana" w:hAnsi="Verdana" w:cs="Verdana"/>
                <w:sz w:val="16"/>
              </w:rPr>
              <w:t>General Fund reserve</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sz w:val="16"/>
              </w:rPr>
              <w:t>13,366</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3,436</w:t>
            </w:r>
          </w:p>
        </w:tc>
        <w:tc>
          <w:tcPr>
            <w:tcW w:w="1322"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2"/>
              <w:jc w:val="right"/>
            </w:pPr>
            <w:r>
              <w:rPr>
                <w:rFonts w:ascii="Verdana" w:eastAsia="Verdana" w:hAnsi="Verdana" w:cs="Verdana"/>
                <w:sz w:val="16"/>
              </w:rPr>
              <w:t>16,802</w:t>
            </w:r>
          </w:p>
        </w:tc>
      </w:tr>
      <w:tr w:rsidR="00576F87">
        <w:trPr>
          <w:trHeight w:val="319"/>
        </w:trPr>
        <w:tc>
          <w:tcPr>
            <w:tcW w:w="2642" w:type="dxa"/>
            <w:tcBorders>
              <w:top w:val="single" w:sz="8" w:space="0" w:color="009784"/>
              <w:left w:val="single" w:sz="15"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Pension reserve</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(80,589)</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sz w:val="16"/>
              </w:rPr>
              <w:t>(154,113)</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3"/>
              <w:jc w:val="right"/>
            </w:pPr>
            <w:r>
              <w:rPr>
                <w:rFonts w:ascii="Verdana" w:eastAsia="Verdana" w:hAnsi="Verdana" w:cs="Verdana"/>
                <w:sz w:val="16"/>
              </w:rPr>
              <w:t>(234,702)</w:t>
            </w:r>
          </w:p>
        </w:tc>
        <w:tc>
          <w:tcPr>
            <w:tcW w:w="2755"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left="1"/>
            </w:pPr>
            <w:r>
              <w:rPr>
                <w:rFonts w:ascii="Verdana" w:eastAsia="Verdana" w:hAnsi="Verdana" w:cs="Verdana"/>
                <w:sz w:val="16"/>
              </w:rPr>
              <w:t>Pension reserve</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1"/>
              <w:jc w:val="right"/>
            </w:pPr>
            <w:r>
              <w:rPr>
                <w:rFonts w:ascii="Verdana" w:eastAsia="Verdana" w:hAnsi="Verdana" w:cs="Verdana"/>
                <w:sz w:val="16"/>
              </w:rPr>
              <w:t>(72,628)</w:t>
            </w:r>
          </w:p>
        </w:tc>
        <w:tc>
          <w:tcPr>
            <w:tcW w:w="1322" w:type="dxa"/>
            <w:tcBorders>
              <w:top w:val="single" w:sz="8" w:space="0" w:color="009784"/>
              <w:left w:val="single" w:sz="8" w:space="0" w:color="009784"/>
              <w:bottom w:val="single" w:sz="8" w:space="0" w:color="009784"/>
              <w:right w:val="single" w:sz="8" w:space="0" w:color="009784"/>
            </w:tcBorders>
          </w:tcPr>
          <w:p w:rsidR="00576F87" w:rsidRDefault="004165F5">
            <w:pPr>
              <w:spacing w:after="0"/>
              <w:ind w:right="32"/>
              <w:jc w:val="right"/>
            </w:pPr>
            <w:r>
              <w:rPr>
                <w:rFonts w:ascii="Verdana" w:eastAsia="Verdana" w:hAnsi="Verdana" w:cs="Verdana"/>
                <w:sz w:val="16"/>
              </w:rPr>
              <w:t>(141,698)</w:t>
            </w:r>
          </w:p>
        </w:tc>
        <w:tc>
          <w:tcPr>
            <w:tcW w:w="1322"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2"/>
              <w:jc w:val="right"/>
            </w:pPr>
            <w:r>
              <w:rPr>
                <w:rFonts w:ascii="Verdana" w:eastAsia="Verdana" w:hAnsi="Verdana" w:cs="Verdana"/>
                <w:sz w:val="16"/>
              </w:rPr>
              <w:t>(214,326)</w:t>
            </w:r>
          </w:p>
        </w:tc>
      </w:tr>
      <w:tr w:rsidR="00576F87">
        <w:trPr>
          <w:trHeight w:val="391"/>
        </w:trPr>
        <w:tc>
          <w:tcPr>
            <w:tcW w:w="2642" w:type="dxa"/>
            <w:tcBorders>
              <w:top w:val="single" w:sz="8" w:space="0" w:color="009784"/>
              <w:left w:val="single" w:sz="15" w:space="0" w:color="009784"/>
              <w:bottom w:val="single" w:sz="15" w:space="0" w:color="009784"/>
              <w:right w:val="single" w:sz="8" w:space="0" w:color="009784"/>
            </w:tcBorders>
            <w:shd w:val="clear" w:color="auto" w:fill="009784"/>
          </w:tcPr>
          <w:p w:rsidR="00576F87" w:rsidRDefault="004165F5">
            <w:pPr>
              <w:spacing w:after="0"/>
              <w:ind w:right="42"/>
              <w:jc w:val="right"/>
            </w:pPr>
            <w:r>
              <w:rPr>
                <w:rFonts w:ascii="Verdana" w:eastAsia="Verdana" w:hAnsi="Verdana" w:cs="Verdana"/>
                <w:b/>
                <w:color w:val="FFFFFF"/>
                <w:sz w:val="18"/>
              </w:rPr>
              <w:t>Total Reserves</w:t>
            </w:r>
          </w:p>
        </w:tc>
        <w:tc>
          <w:tcPr>
            <w:tcW w:w="1322" w:type="dxa"/>
            <w:tcBorders>
              <w:top w:val="single" w:sz="8" w:space="0" w:color="009784"/>
              <w:left w:val="single" w:sz="8" w:space="0" w:color="009784"/>
              <w:bottom w:val="single" w:sz="15" w:space="0" w:color="009784"/>
              <w:right w:val="single" w:sz="8" w:space="0" w:color="009784"/>
            </w:tcBorders>
            <w:shd w:val="clear" w:color="auto" w:fill="009784"/>
          </w:tcPr>
          <w:p w:rsidR="00576F87" w:rsidRDefault="004165F5">
            <w:pPr>
              <w:spacing w:after="0"/>
              <w:ind w:right="35"/>
              <w:jc w:val="right"/>
            </w:pPr>
            <w:r>
              <w:rPr>
                <w:rFonts w:ascii="Verdana" w:eastAsia="Verdana" w:hAnsi="Verdana" w:cs="Verdana"/>
                <w:b/>
                <w:color w:val="FFFFFF"/>
                <w:sz w:val="18"/>
              </w:rPr>
              <w:t>(68,418)</w:t>
            </w:r>
          </w:p>
        </w:tc>
        <w:tc>
          <w:tcPr>
            <w:tcW w:w="1322" w:type="dxa"/>
            <w:tcBorders>
              <w:top w:val="single" w:sz="8" w:space="0" w:color="009784"/>
              <w:left w:val="single" w:sz="8" w:space="0" w:color="009784"/>
              <w:bottom w:val="single" w:sz="15" w:space="0" w:color="009784"/>
              <w:right w:val="single" w:sz="8" w:space="0" w:color="009784"/>
            </w:tcBorders>
            <w:shd w:val="clear" w:color="auto" w:fill="009784"/>
          </w:tcPr>
          <w:p w:rsidR="00576F87" w:rsidRDefault="004165F5">
            <w:pPr>
              <w:spacing w:after="0"/>
              <w:ind w:right="34"/>
              <w:jc w:val="right"/>
            </w:pPr>
            <w:r>
              <w:rPr>
                <w:rFonts w:ascii="Verdana" w:eastAsia="Verdana" w:hAnsi="Verdana" w:cs="Verdana"/>
                <w:b/>
                <w:color w:val="FFFFFF"/>
                <w:sz w:val="18"/>
              </w:rPr>
              <w:t>(151,475)</w:t>
            </w:r>
          </w:p>
        </w:tc>
        <w:tc>
          <w:tcPr>
            <w:tcW w:w="1322" w:type="dxa"/>
            <w:tcBorders>
              <w:top w:val="single" w:sz="8" w:space="0" w:color="009784"/>
              <w:left w:val="single" w:sz="8" w:space="0" w:color="009784"/>
              <w:bottom w:val="single" w:sz="15" w:space="0" w:color="009784"/>
              <w:right w:val="single" w:sz="8" w:space="0" w:color="009784"/>
            </w:tcBorders>
            <w:shd w:val="clear" w:color="auto" w:fill="009784"/>
          </w:tcPr>
          <w:p w:rsidR="00576F87" w:rsidRDefault="004165F5">
            <w:pPr>
              <w:spacing w:after="0"/>
              <w:ind w:right="34"/>
              <w:jc w:val="right"/>
            </w:pPr>
            <w:r>
              <w:rPr>
                <w:rFonts w:ascii="Verdana" w:eastAsia="Verdana" w:hAnsi="Verdana" w:cs="Verdana"/>
                <w:b/>
                <w:color w:val="FFFFFF"/>
                <w:sz w:val="18"/>
              </w:rPr>
              <w:t>(219,893)</w:t>
            </w:r>
          </w:p>
        </w:tc>
        <w:tc>
          <w:tcPr>
            <w:tcW w:w="2755" w:type="dxa"/>
            <w:tcBorders>
              <w:top w:val="single" w:sz="8" w:space="0" w:color="009784"/>
              <w:left w:val="single" w:sz="8" w:space="0" w:color="009784"/>
              <w:bottom w:val="single" w:sz="15" w:space="0" w:color="009784"/>
              <w:right w:val="single" w:sz="8" w:space="0" w:color="009784"/>
            </w:tcBorders>
            <w:shd w:val="clear" w:color="auto" w:fill="009784"/>
          </w:tcPr>
          <w:p w:rsidR="00576F87" w:rsidRDefault="004165F5">
            <w:pPr>
              <w:spacing w:after="0"/>
              <w:ind w:left="7"/>
            </w:pPr>
            <w:r>
              <w:rPr>
                <w:rFonts w:ascii="Verdana" w:eastAsia="Verdana" w:hAnsi="Verdana" w:cs="Verdana"/>
                <w:b/>
                <w:color w:val="FFFFFF"/>
                <w:sz w:val="18"/>
              </w:rPr>
              <w:t>Total Reserves</w:t>
            </w:r>
          </w:p>
        </w:tc>
        <w:tc>
          <w:tcPr>
            <w:tcW w:w="1322" w:type="dxa"/>
            <w:tcBorders>
              <w:top w:val="single" w:sz="8" w:space="0" w:color="009784"/>
              <w:left w:val="single" w:sz="8" w:space="0" w:color="009784"/>
              <w:bottom w:val="single" w:sz="15" w:space="0" w:color="009784"/>
              <w:right w:val="single" w:sz="8" w:space="0" w:color="009784"/>
            </w:tcBorders>
            <w:shd w:val="clear" w:color="auto" w:fill="009784"/>
          </w:tcPr>
          <w:p w:rsidR="00576F87" w:rsidRDefault="004165F5">
            <w:pPr>
              <w:spacing w:after="0"/>
              <w:ind w:right="35"/>
              <w:jc w:val="right"/>
            </w:pPr>
            <w:r>
              <w:rPr>
                <w:rFonts w:ascii="Verdana" w:eastAsia="Verdana" w:hAnsi="Verdana" w:cs="Verdana"/>
                <w:b/>
                <w:color w:val="FFFFFF"/>
                <w:sz w:val="18"/>
              </w:rPr>
              <w:t>(59,262)</w:t>
            </w:r>
          </w:p>
        </w:tc>
        <w:tc>
          <w:tcPr>
            <w:tcW w:w="1322" w:type="dxa"/>
            <w:tcBorders>
              <w:top w:val="single" w:sz="8" w:space="0" w:color="009784"/>
              <w:left w:val="single" w:sz="8" w:space="0" w:color="009784"/>
              <w:bottom w:val="single" w:sz="15" w:space="0" w:color="009784"/>
              <w:right w:val="single" w:sz="8" w:space="0" w:color="009784"/>
            </w:tcBorders>
            <w:shd w:val="clear" w:color="auto" w:fill="009784"/>
          </w:tcPr>
          <w:p w:rsidR="00576F87" w:rsidRDefault="004165F5">
            <w:pPr>
              <w:spacing w:after="0"/>
              <w:ind w:right="35"/>
              <w:jc w:val="right"/>
            </w:pPr>
            <w:r>
              <w:rPr>
                <w:rFonts w:ascii="Verdana" w:eastAsia="Verdana" w:hAnsi="Verdana" w:cs="Verdana"/>
                <w:b/>
                <w:color w:val="FFFFFF"/>
                <w:sz w:val="18"/>
              </w:rPr>
              <w:t>(138,262)</w:t>
            </w:r>
          </w:p>
        </w:tc>
        <w:tc>
          <w:tcPr>
            <w:tcW w:w="1322" w:type="dxa"/>
            <w:tcBorders>
              <w:top w:val="single" w:sz="8" w:space="0" w:color="009784"/>
              <w:left w:val="single" w:sz="8" w:space="0" w:color="009784"/>
              <w:bottom w:val="single" w:sz="15" w:space="0" w:color="009784"/>
              <w:right w:val="single" w:sz="15" w:space="0" w:color="009784"/>
            </w:tcBorders>
            <w:shd w:val="clear" w:color="auto" w:fill="009784"/>
          </w:tcPr>
          <w:p w:rsidR="00576F87" w:rsidRDefault="004165F5">
            <w:pPr>
              <w:spacing w:after="0"/>
              <w:ind w:right="35"/>
              <w:jc w:val="right"/>
            </w:pPr>
            <w:r>
              <w:rPr>
                <w:rFonts w:ascii="Verdana" w:eastAsia="Verdana" w:hAnsi="Verdana" w:cs="Verdana"/>
                <w:b/>
                <w:color w:val="FFFFFF"/>
                <w:sz w:val="18"/>
              </w:rPr>
              <w:t>(197,524)</w:t>
            </w:r>
          </w:p>
        </w:tc>
      </w:tr>
    </w:tbl>
    <w:p w:rsidR="00576F87" w:rsidRDefault="00576F87">
      <w:pPr>
        <w:sectPr w:rsidR="00576F87">
          <w:headerReference w:type="even" r:id="rId157"/>
          <w:headerReference w:type="default" r:id="rId158"/>
          <w:footerReference w:type="even" r:id="rId159"/>
          <w:footerReference w:type="default" r:id="rId160"/>
          <w:headerReference w:type="first" r:id="rId161"/>
          <w:footerReference w:type="first" r:id="rId162"/>
          <w:pgSz w:w="16840" w:h="11900" w:orient="landscape"/>
          <w:pgMar w:top="1440" w:right="1440" w:bottom="1131" w:left="1440" w:header="1149" w:footer="490" w:gutter="0"/>
          <w:cols w:space="720"/>
        </w:sectPr>
      </w:pPr>
    </w:p>
    <w:p w:rsidR="00576F87" w:rsidRDefault="004165F5">
      <w:pPr>
        <w:spacing w:after="67"/>
        <w:ind w:left="22" w:hanging="10"/>
      </w:pPr>
      <w:r>
        <w:rPr>
          <w:rFonts w:ascii="Verdana" w:eastAsia="Verdana" w:hAnsi="Verdana" w:cs="Verdana"/>
          <w:color w:val="35437C"/>
          <w:sz w:val="20"/>
        </w:rPr>
        <w:t>Residual Liabilities Accounts</w:t>
      </w:r>
    </w:p>
    <w:p w:rsidR="00576F87" w:rsidRDefault="004165F5">
      <w:pPr>
        <w:spacing w:after="141"/>
        <w:ind w:left="22" w:hanging="10"/>
      </w:pPr>
      <w:r>
        <w:rPr>
          <w:rFonts w:ascii="Verdana" w:eastAsia="Verdana" w:hAnsi="Verdana" w:cs="Verdana"/>
          <w:color w:val="35437C"/>
          <w:sz w:val="20"/>
        </w:rPr>
        <w:t xml:space="preserve">Cashflow Statement  </w:t>
      </w:r>
    </w:p>
    <w:tbl>
      <w:tblPr>
        <w:tblStyle w:val="TableGrid"/>
        <w:tblW w:w="8460" w:type="dxa"/>
        <w:tblInd w:w="-31" w:type="dxa"/>
        <w:tblCellMar>
          <w:top w:w="86" w:type="dxa"/>
          <w:left w:w="36" w:type="dxa"/>
          <w:bottom w:w="48" w:type="dxa"/>
          <w:right w:w="31" w:type="dxa"/>
        </w:tblCellMar>
        <w:tblLook w:val="04A0" w:firstRow="1" w:lastRow="0" w:firstColumn="1" w:lastColumn="0" w:noHBand="0" w:noVBand="1"/>
      </w:tblPr>
      <w:tblGrid>
        <w:gridCol w:w="1306"/>
        <w:gridCol w:w="4594"/>
        <w:gridCol w:w="950"/>
        <w:gridCol w:w="1610"/>
      </w:tblGrid>
      <w:tr w:rsidR="00576F87">
        <w:trPr>
          <w:trHeight w:val="290"/>
        </w:trPr>
        <w:tc>
          <w:tcPr>
            <w:tcW w:w="1306" w:type="dxa"/>
            <w:tcBorders>
              <w:top w:val="single" w:sz="15" w:space="0" w:color="009784"/>
              <w:left w:val="single" w:sz="15" w:space="0" w:color="009784"/>
              <w:bottom w:val="single" w:sz="8" w:space="0" w:color="009784"/>
              <w:right w:val="single" w:sz="8" w:space="0" w:color="009784"/>
            </w:tcBorders>
            <w:shd w:val="clear" w:color="auto" w:fill="009784"/>
          </w:tcPr>
          <w:p w:rsidR="00576F87" w:rsidRDefault="004165F5">
            <w:pPr>
              <w:spacing w:after="0"/>
              <w:ind w:right="7"/>
              <w:jc w:val="right"/>
            </w:pPr>
            <w:r>
              <w:rPr>
                <w:rFonts w:ascii="Verdana" w:eastAsia="Verdana" w:hAnsi="Verdana" w:cs="Verdana"/>
                <w:b/>
                <w:color w:val="FFFFFF"/>
                <w:sz w:val="16"/>
              </w:rPr>
              <w:t>2016/17</w:t>
            </w:r>
          </w:p>
        </w:tc>
        <w:tc>
          <w:tcPr>
            <w:tcW w:w="4594" w:type="dxa"/>
            <w:tcBorders>
              <w:top w:val="single" w:sz="15" w:space="0" w:color="009784"/>
              <w:left w:val="single" w:sz="8" w:space="0" w:color="009784"/>
              <w:bottom w:val="single" w:sz="8" w:space="0" w:color="009784"/>
              <w:right w:val="single" w:sz="8" w:space="0" w:color="009784"/>
            </w:tcBorders>
            <w:shd w:val="clear" w:color="auto" w:fill="009784"/>
          </w:tcPr>
          <w:p w:rsidR="00576F87" w:rsidRDefault="00576F87"/>
        </w:tc>
        <w:tc>
          <w:tcPr>
            <w:tcW w:w="950" w:type="dxa"/>
            <w:tcBorders>
              <w:top w:val="single" w:sz="15" w:space="0" w:color="009784"/>
              <w:left w:val="single" w:sz="8" w:space="0" w:color="009784"/>
              <w:bottom w:val="single" w:sz="8" w:space="0" w:color="009784"/>
              <w:right w:val="single" w:sz="8" w:space="0" w:color="009784"/>
            </w:tcBorders>
            <w:shd w:val="clear" w:color="auto" w:fill="009784"/>
          </w:tcPr>
          <w:p w:rsidR="00576F87" w:rsidRDefault="004165F5">
            <w:pPr>
              <w:spacing w:after="0"/>
              <w:ind w:right="6"/>
              <w:jc w:val="right"/>
            </w:pPr>
            <w:r>
              <w:rPr>
                <w:rFonts w:ascii="Verdana" w:eastAsia="Verdana" w:hAnsi="Verdana" w:cs="Verdana"/>
                <w:b/>
                <w:color w:val="FFFFFF"/>
                <w:sz w:val="16"/>
              </w:rPr>
              <w:t>Notes</w:t>
            </w:r>
          </w:p>
        </w:tc>
        <w:tc>
          <w:tcPr>
            <w:tcW w:w="1610" w:type="dxa"/>
            <w:tcBorders>
              <w:top w:val="single" w:sz="15" w:space="0" w:color="009784"/>
              <w:left w:val="single" w:sz="8" w:space="0" w:color="009784"/>
              <w:bottom w:val="single" w:sz="8" w:space="0" w:color="009784"/>
              <w:right w:val="single" w:sz="15" w:space="0" w:color="009784"/>
            </w:tcBorders>
            <w:shd w:val="clear" w:color="auto" w:fill="009784"/>
          </w:tcPr>
          <w:p w:rsidR="00576F87" w:rsidRDefault="004165F5">
            <w:pPr>
              <w:spacing w:after="0"/>
              <w:ind w:right="7"/>
              <w:jc w:val="right"/>
            </w:pPr>
            <w:r>
              <w:rPr>
                <w:rFonts w:ascii="Verdana" w:eastAsia="Verdana" w:hAnsi="Verdana" w:cs="Verdana"/>
                <w:b/>
                <w:color w:val="FFFFFF"/>
                <w:sz w:val="16"/>
              </w:rPr>
              <w:t>2017/18</w:t>
            </w:r>
          </w:p>
        </w:tc>
      </w:tr>
      <w:tr w:rsidR="00576F87">
        <w:trPr>
          <w:trHeight w:val="290"/>
        </w:trPr>
        <w:tc>
          <w:tcPr>
            <w:tcW w:w="1306"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right="6"/>
              <w:jc w:val="right"/>
            </w:pPr>
            <w:r>
              <w:rPr>
                <w:rFonts w:ascii="Verdana" w:eastAsia="Verdana" w:hAnsi="Verdana" w:cs="Verdana"/>
                <w:b/>
                <w:sz w:val="16"/>
              </w:rPr>
              <w:t>£000</w:t>
            </w:r>
          </w:p>
        </w:tc>
        <w:tc>
          <w:tcPr>
            <w:tcW w:w="4594" w:type="dxa"/>
            <w:tcBorders>
              <w:top w:val="single" w:sz="8" w:space="0" w:color="009784"/>
              <w:left w:val="single" w:sz="8" w:space="0" w:color="009784"/>
              <w:bottom w:val="single" w:sz="8" w:space="0" w:color="009784"/>
              <w:right w:val="single" w:sz="8" w:space="0" w:color="009784"/>
            </w:tcBorders>
          </w:tcPr>
          <w:p w:rsidR="00576F87" w:rsidRDefault="00576F87"/>
        </w:tc>
        <w:tc>
          <w:tcPr>
            <w:tcW w:w="950" w:type="dxa"/>
            <w:tcBorders>
              <w:top w:val="single" w:sz="8" w:space="0" w:color="009784"/>
              <w:left w:val="single" w:sz="8" w:space="0" w:color="009784"/>
              <w:bottom w:val="single" w:sz="8" w:space="0" w:color="009784"/>
              <w:right w:val="single" w:sz="8" w:space="0" w:color="009784"/>
            </w:tcBorders>
          </w:tcPr>
          <w:p w:rsidR="00576F87" w:rsidRDefault="00576F87"/>
        </w:tc>
        <w:tc>
          <w:tcPr>
            <w:tcW w:w="161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6"/>
              <w:jc w:val="right"/>
            </w:pPr>
            <w:r>
              <w:rPr>
                <w:rFonts w:ascii="Verdana" w:eastAsia="Verdana" w:hAnsi="Verdana" w:cs="Verdana"/>
                <w:b/>
                <w:sz w:val="16"/>
              </w:rPr>
              <w:t>£000</w:t>
            </w:r>
          </w:p>
        </w:tc>
      </w:tr>
      <w:tr w:rsidR="00576F87">
        <w:trPr>
          <w:trHeight w:val="391"/>
        </w:trPr>
        <w:tc>
          <w:tcPr>
            <w:tcW w:w="1306"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right="4"/>
              <w:jc w:val="right"/>
            </w:pPr>
            <w:r>
              <w:rPr>
                <w:rFonts w:ascii="Verdana" w:eastAsia="Verdana" w:hAnsi="Verdana" w:cs="Verdana"/>
                <w:sz w:val="16"/>
              </w:rPr>
              <w:t>12,680</w:t>
            </w:r>
          </w:p>
        </w:tc>
        <w:tc>
          <w:tcPr>
            <w:tcW w:w="4594"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Net surplus/(deficit) on the provision of services</w:t>
            </w:r>
          </w:p>
        </w:tc>
        <w:tc>
          <w:tcPr>
            <w:tcW w:w="950" w:type="dxa"/>
            <w:tcBorders>
              <w:top w:val="single" w:sz="8" w:space="0" w:color="009784"/>
              <w:left w:val="single" w:sz="8" w:space="0" w:color="009784"/>
              <w:bottom w:val="single" w:sz="8" w:space="0" w:color="009784"/>
              <w:right w:val="single" w:sz="8" w:space="0" w:color="009784"/>
            </w:tcBorders>
          </w:tcPr>
          <w:p w:rsidR="00576F87" w:rsidRDefault="00576F87"/>
        </w:tc>
        <w:tc>
          <w:tcPr>
            <w:tcW w:w="161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
              <w:jc w:val="right"/>
            </w:pPr>
            <w:r>
              <w:rPr>
                <w:rFonts w:ascii="Verdana" w:eastAsia="Verdana" w:hAnsi="Verdana" w:cs="Verdana"/>
                <w:sz w:val="16"/>
              </w:rPr>
              <w:t>13,499</w:t>
            </w:r>
          </w:p>
        </w:tc>
      </w:tr>
      <w:tr w:rsidR="00576F87">
        <w:trPr>
          <w:trHeight w:val="545"/>
        </w:trPr>
        <w:tc>
          <w:tcPr>
            <w:tcW w:w="1306" w:type="dxa"/>
            <w:tcBorders>
              <w:top w:val="single" w:sz="8" w:space="0" w:color="009784"/>
              <w:left w:val="single" w:sz="15" w:space="0" w:color="009784"/>
              <w:bottom w:val="single" w:sz="8" w:space="0" w:color="009784"/>
              <w:right w:val="single" w:sz="8" w:space="0" w:color="009784"/>
            </w:tcBorders>
            <w:vAlign w:val="bottom"/>
          </w:tcPr>
          <w:p w:rsidR="00576F87" w:rsidRDefault="004165F5">
            <w:pPr>
              <w:spacing w:after="0"/>
              <w:ind w:right="3"/>
              <w:jc w:val="right"/>
            </w:pPr>
            <w:r>
              <w:rPr>
                <w:rFonts w:ascii="Verdana" w:eastAsia="Verdana" w:hAnsi="Verdana" w:cs="Verdana"/>
                <w:sz w:val="16"/>
              </w:rPr>
              <w:t>4,569</w:t>
            </w:r>
          </w:p>
        </w:tc>
        <w:tc>
          <w:tcPr>
            <w:tcW w:w="4594"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Adjustments to net surplus/(deficit) on the provision of services for non-cash movements</w:t>
            </w:r>
          </w:p>
        </w:tc>
        <w:tc>
          <w:tcPr>
            <w:tcW w:w="950"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right="1"/>
              <w:jc w:val="right"/>
            </w:pPr>
            <w:r>
              <w:rPr>
                <w:rFonts w:ascii="Verdana" w:eastAsia="Verdana" w:hAnsi="Verdana" w:cs="Verdana"/>
                <w:sz w:val="16"/>
              </w:rPr>
              <w:t>11</w:t>
            </w:r>
          </w:p>
        </w:tc>
        <w:tc>
          <w:tcPr>
            <w:tcW w:w="1610"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1"/>
              <w:jc w:val="right"/>
            </w:pPr>
            <w:r>
              <w:rPr>
                <w:rFonts w:ascii="Verdana" w:eastAsia="Verdana" w:hAnsi="Verdana" w:cs="Verdana"/>
                <w:sz w:val="16"/>
              </w:rPr>
              <w:t>(18,588)</w:t>
            </w:r>
          </w:p>
        </w:tc>
      </w:tr>
      <w:tr w:rsidR="00576F87">
        <w:trPr>
          <w:trHeight w:val="362"/>
        </w:trPr>
        <w:tc>
          <w:tcPr>
            <w:tcW w:w="1306"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right="6"/>
              <w:jc w:val="right"/>
            </w:pPr>
            <w:r>
              <w:rPr>
                <w:rFonts w:ascii="Verdana" w:eastAsia="Verdana" w:hAnsi="Verdana" w:cs="Verdana"/>
                <w:b/>
                <w:sz w:val="16"/>
              </w:rPr>
              <w:t>17,249</w:t>
            </w:r>
          </w:p>
        </w:tc>
        <w:tc>
          <w:tcPr>
            <w:tcW w:w="4594"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Cash flows from Operating Activities</w:t>
            </w:r>
          </w:p>
        </w:tc>
        <w:tc>
          <w:tcPr>
            <w:tcW w:w="950" w:type="dxa"/>
            <w:tcBorders>
              <w:top w:val="single" w:sz="8" w:space="0" w:color="009784"/>
              <w:left w:val="single" w:sz="8" w:space="0" w:color="009784"/>
              <w:bottom w:val="single" w:sz="8" w:space="0" w:color="009784"/>
              <w:right w:val="single" w:sz="8" w:space="0" w:color="009784"/>
            </w:tcBorders>
          </w:tcPr>
          <w:p w:rsidR="00576F87" w:rsidRDefault="00576F87"/>
        </w:tc>
        <w:tc>
          <w:tcPr>
            <w:tcW w:w="161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4"/>
              <w:jc w:val="right"/>
            </w:pPr>
            <w:r>
              <w:rPr>
                <w:rFonts w:ascii="Verdana" w:eastAsia="Verdana" w:hAnsi="Verdana" w:cs="Verdana"/>
                <w:b/>
                <w:sz w:val="16"/>
              </w:rPr>
              <w:t>(5,089)</w:t>
            </w:r>
          </w:p>
        </w:tc>
      </w:tr>
      <w:tr w:rsidR="00576F87">
        <w:trPr>
          <w:trHeight w:val="362"/>
        </w:trPr>
        <w:tc>
          <w:tcPr>
            <w:tcW w:w="1306"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right="2"/>
              <w:jc w:val="right"/>
            </w:pPr>
            <w:r>
              <w:rPr>
                <w:rFonts w:ascii="Verdana" w:eastAsia="Verdana" w:hAnsi="Verdana" w:cs="Verdana"/>
                <w:sz w:val="16"/>
              </w:rPr>
              <w:t>(15,153)</w:t>
            </w:r>
          </w:p>
        </w:tc>
        <w:tc>
          <w:tcPr>
            <w:tcW w:w="4594"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Transfer to Pension Fund from reserve</w:t>
            </w:r>
          </w:p>
        </w:tc>
        <w:tc>
          <w:tcPr>
            <w:tcW w:w="950" w:type="dxa"/>
            <w:tcBorders>
              <w:top w:val="single" w:sz="8" w:space="0" w:color="009784"/>
              <w:left w:val="single" w:sz="8" w:space="0" w:color="009784"/>
              <w:bottom w:val="single" w:sz="8" w:space="0" w:color="009784"/>
              <w:right w:val="single" w:sz="8" w:space="0" w:color="009784"/>
            </w:tcBorders>
          </w:tcPr>
          <w:p w:rsidR="00576F87" w:rsidRDefault="00576F87"/>
        </w:tc>
        <w:tc>
          <w:tcPr>
            <w:tcW w:w="161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
              <w:jc w:val="right"/>
            </w:pPr>
            <w:r>
              <w:rPr>
                <w:rFonts w:ascii="Verdana" w:eastAsia="Verdana" w:hAnsi="Verdana" w:cs="Verdana"/>
                <w:sz w:val="16"/>
              </w:rPr>
              <w:t>8,870</w:t>
            </w:r>
          </w:p>
        </w:tc>
      </w:tr>
      <w:tr w:rsidR="00576F87">
        <w:trPr>
          <w:trHeight w:val="394"/>
        </w:trPr>
        <w:tc>
          <w:tcPr>
            <w:tcW w:w="1306"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right="5"/>
              <w:jc w:val="right"/>
            </w:pPr>
            <w:r>
              <w:rPr>
                <w:rFonts w:ascii="Verdana" w:eastAsia="Verdana" w:hAnsi="Verdana" w:cs="Verdana"/>
                <w:b/>
                <w:sz w:val="16"/>
              </w:rPr>
              <w:t>2,096</w:t>
            </w:r>
          </w:p>
        </w:tc>
        <w:tc>
          <w:tcPr>
            <w:tcW w:w="4594"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Net Cash flows from Operating Activities</w:t>
            </w:r>
          </w:p>
        </w:tc>
        <w:tc>
          <w:tcPr>
            <w:tcW w:w="950" w:type="dxa"/>
            <w:tcBorders>
              <w:top w:val="single" w:sz="8" w:space="0" w:color="009784"/>
              <w:left w:val="single" w:sz="8" w:space="0" w:color="009784"/>
              <w:bottom w:val="single" w:sz="8" w:space="0" w:color="009784"/>
              <w:right w:val="single" w:sz="8" w:space="0" w:color="009784"/>
            </w:tcBorders>
          </w:tcPr>
          <w:p w:rsidR="00576F87" w:rsidRDefault="00576F87"/>
        </w:tc>
        <w:tc>
          <w:tcPr>
            <w:tcW w:w="161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5"/>
              <w:jc w:val="right"/>
            </w:pPr>
            <w:r>
              <w:rPr>
                <w:rFonts w:ascii="Verdana" w:eastAsia="Verdana" w:hAnsi="Verdana" w:cs="Verdana"/>
                <w:b/>
                <w:sz w:val="16"/>
              </w:rPr>
              <w:t>3,781</w:t>
            </w:r>
          </w:p>
        </w:tc>
      </w:tr>
      <w:tr w:rsidR="00576F87">
        <w:trPr>
          <w:trHeight w:val="535"/>
        </w:trPr>
        <w:tc>
          <w:tcPr>
            <w:tcW w:w="1306" w:type="dxa"/>
            <w:tcBorders>
              <w:top w:val="single" w:sz="8" w:space="0" w:color="009784"/>
              <w:left w:val="single" w:sz="15" w:space="0" w:color="009784"/>
              <w:bottom w:val="single" w:sz="8" w:space="0" w:color="009784"/>
              <w:right w:val="single" w:sz="8" w:space="0" w:color="009784"/>
            </w:tcBorders>
          </w:tcPr>
          <w:p w:rsidR="00576F87" w:rsidRDefault="00576F87"/>
        </w:tc>
        <w:tc>
          <w:tcPr>
            <w:tcW w:w="459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ind w:left="2"/>
            </w:pPr>
            <w:r>
              <w:rPr>
                <w:rFonts w:ascii="Verdana" w:eastAsia="Verdana" w:hAnsi="Verdana" w:cs="Verdana"/>
                <w:b/>
                <w:sz w:val="16"/>
              </w:rPr>
              <w:t>Investing Activities</w:t>
            </w:r>
          </w:p>
        </w:tc>
        <w:tc>
          <w:tcPr>
            <w:tcW w:w="950" w:type="dxa"/>
            <w:tcBorders>
              <w:top w:val="single" w:sz="8" w:space="0" w:color="009784"/>
              <w:left w:val="single" w:sz="8" w:space="0" w:color="009784"/>
              <w:bottom w:val="single" w:sz="8" w:space="0" w:color="009784"/>
              <w:right w:val="single" w:sz="8" w:space="0" w:color="009784"/>
            </w:tcBorders>
          </w:tcPr>
          <w:p w:rsidR="00576F87" w:rsidRDefault="00576F87"/>
        </w:tc>
        <w:tc>
          <w:tcPr>
            <w:tcW w:w="1610"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370"/>
        </w:trPr>
        <w:tc>
          <w:tcPr>
            <w:tcW w:w="1306"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right="1"/>
              <w:jc w:val="right"/>
            </w:pPr>
            <w:r>
              <w:rPr>
                <w:rFonts w:ascii="Verdana" w:eastAsia="Verdana" w:hAnsi="Verdana" w:cs="Verdana"/>
                <w:sz w:val="16"/>
              </w:rPr>
              <w:t>(137)</w:t>
            </w:r>
          </w:p>
        </w:tc>
        <w:tc>
          <w:tcPr>
            <w:tcW w:w="4594"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Interest paid</w:t>
            </w:r>
          </w:p>
        </w:tc>
        <w:tc>
          <w:tcPr>
            <w:tcW w:w="950" w:type="dxa"/>
            <w:tcBorders>
              <w:top w:val="single" w:sz="8" w:space="0" w:color="009784"/>
              <w:left w:val="single" w:sz="8" w:space="0" w:color="009784"/>
              <w:bottom w:val="single" w:sz="8" w:space="0" w:color="009784"/>
              <w:right w:val="single" w:sz="8" w:space="0" w:color="009784"/>
            </w:tcBorders>
          </w:tcPr>
          <w:p w:rsidR="00576F87" w:rsidRDefault="00576F87"/>
        </w:tc>
        <w:tc>
          <w:tcPr>
            <w:tcW w:w="161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1"/>
              <w:jc w:val="right"/>
            </w:pPr>
            <w:r>
              <w:rPr>
                <w:rFonts w:ascii="Verdana" w:eastAsia="Verdana" w:hAnsi="Verdana" w:cs="Verdana"/>
                <w:sz w:val="16"/>
              </w:rPr>
              <w:t>(125)</w:t>
            </w:r>
          </w:p>
        </w:tc>
      </w:tr>
      <w:tr w:rsidR="00576F87">
        <w:trPr>
          <w:trHeight w:val="336"/>
        </w:trPr>
        <w:tc>
          <w:tcPr>
            <w:tcW w:w="1306" w:type="dxa"/>
            <w:tcBorders>
              <w:top w:val="single" w:sz="8" w:space="0" w:color="009784"/>
              <w:left w:val="single" w:sz="15" w:space="0" w:color="009784"/>
              <w:bottom w:val="single" w:sz="8" w:space="0" w:color="009784"/>
              <w:right w:val="single" w:sz="8" w:space="0" w:color="009784"/>
            </w:tcBorders>
          </w:tcPr>
          <w:p w:rsidR="00576F87" w:rsidRDefault="004165F5">
            <w:pPr>
              <w:spacing w:after="0"/>
              <w:ind w:right="3"/>
              <w:jc w:val="right"/>
            </w:pPr>
            <w:r>
              <w:rPr>
                <w:rFonts w:ascii="Verdana" w:eastAsia="Verdana" w:hAnsi="Verdana" w:cs="Verdana"/>
                <w:sz w:val="16"/>
              </w:rPr>
              <w:t>176</w:t>
            </w:r>
          </w:p>
        </w:tc>
        <w:tc>
          <w:tcPr>
            <w:tcW w:w="4594" w:type="dxa"/>
            <w:tcBorders>
              <w:top w:val="single" w:sz="8" w:space="0" w:color="009784"/>
              <w:left w:val="single" w:sz="8" w:space="0" w:color="009784"/>
              <w:bottom w:val="single" w:sz="8" w:space="0" w:color="009784"/>
              <w:right w:val="single" w:sz="8" w:space="0" w:color="009784"/>
            </w:tcBorders>
          </w:tcPr>
          <w:p w:rsidR="00576F87" w:rsidRDefault="004165F5">
            <w:pPr>
              <w:spacing w:after="0"/>
            </w:pPr>
            <w:r>
              <w:rPr>
                <w:rFonts w:ascii="Verdana" w:eastAsia="Verdana" w:hAnsi="Verdana" w:cs="Verdana"/>
                <w:sz w:val="16"/>
              </w:rPr>
              <w:t>Interest received</w:t>
            </w:r>
          </w:p>
        </w:tc>
        <w:tc>
          <w:tcPr>
            <w:tcW w:w="950" w:type="dxa"/>
            <w:tcBorders>
              <w:top w:val="single" w:sz="8" w:space="0" w:color="009784"/>
              <w:left w:val="single" w:sz="8" w:space="0" w:color="009784"/>
              <w:bottom w:val="single" w:sz="8" w:space="0" w:color="009784"/>
              <w:right w:val="single" w:sz="8" w:space="0" w:color="009784"/>
            </w:tcBorders>
          </w:tcPr>
          <w:p w:rsidR="00576F87" w:rsidRDefault="00576F87"/>
        </w:tc>
        <w:tc>
          <w:tcPr>
            <w:tcW w:w="1610" w:type="dxa"/>
            <w:tcBorders>
              <w:top w:val="single" w:sz="8" w:space="0" w:color="009784"/>
              <w:left w:val="single" w:sz="8" w:space="0" w:color="009784"/>
              <w:bottom w:val="single" w:sz="8" w:space="0" w:color="009784"/>
              <w:right w:val="single" w:sz="15" w:space="0" w:color="009784"/>
            </w:tcBorders>
          </w:tcPr>
          <w:p w:rsidR="00576F87" w:rsidRDefault="004165F5">
            <w:pPr>
              <w:spacing w:after="0"/>
              <w:ind w:right="3"/>
              <w:jc w:val="right"/>
            </w:pPr>
            <w:r>
              <w:rPr>
                <w:rFonts w:ascii="Verdana" w:eastAsia="Verdana" w:hAnsi="Verdana" w:cs="Verdana"/>
                <w:sz w:val="16"/>
              </w:rPr>
              <w:t>191</w:t>
            </w:r>
          </w:p>
        </w:tc>
      </w:tr>
      <w:tr w:rsidR="00576F87">
        <w:trPr>
          <w:trHeight w:val="290"/>
        </w:trPr>
        <w:tc>
          <w:tcPr>
            <w:tcW w:w="1306" w:type="dxa"/>
            <w:tcBorders>
              <w:top w:val="single" w:sz="8" w:space="0" w:color="009784"/>
              <w:left w:val="single" w:sz="15" w:space="0" w:color="009784"/>
              <w:bottom w:val="single" w:sz="8" w:space="0" w:color="009784"/>
              <w:right w:val="single" w:sz="8" w:space="0" w:color="009784"/>
            </w:tcBorders>
          </w:tcPr>
          <w:p w:rsidR="00576F87" w:rsidRDefault="00576F87"/>
        </w:tc>
        <w:tc>
          <w:tcPr>
            <w:tcW w:w="4594" w:type="dxa"/>
            <w:tcBorders>
              <w:top w:val="single" w:sz="8" w:space="0" w:color="009784"/>
              <w:left w:val="single" w:sz="8" w:space="0" w:color="009784"/>
              <w:bottom w:val="single" w:sz="8" w:space="0" w:color="009784"/>
              <w:right w:val="single" w:sz="8" w:space="0" w:color="009784"/>
            </w:tcBorders>
          </w:tcPr>
          <w:p w:rsidR="00576F87" w:rsidRDefault="00576F87"/>
        </w:tc>
        <w:tc>
          <w:tcPr>
            <w:tcW w:w="950" w:type="dxa"/>
            <w:tcBorders>
              <w:top w:val="single" w:sz="8" w:space="0" w:color="009784"/>
              <w:left w:val="single" w:sz="8" w:space="0" w:color="009784"/>
              <w:bottom w:val="single" w:sz="8" w:space="0" w:color="009784"/>
              <w:right w:val="single" w:sz="8" w:space="0" w:color="009784"/>
            </w:tcBorders>
          </w:tcPr>
          <w:p w:rsidR="00576F87" w:rsidRDefault="00576F87"/>
        </w:tc>
        <w:tc>
          <w:tcPr>
            <w:tcW w:w="1610" w:type="dxa"/>
            <w:tcBorders>
              <w:top w:val="single" w:sz="8" w:space="0" w:color="009784"/>
              <w:left w:val="single" w:sz="8" w:space="0" w:color="009784"/>
              <w:bottom w:val="single" w:sz="8" w:space="0" w:color="009784"/>
              <w:right w:val="single" w:sz="15" w:space="0" w:color="009784"/>
            </w:tcBorders>
          </w:tcPr>
          <w:p w:rsidR="00576F87" w:rsidRDefault="00576F87"/>
        </w:tc>
      </w:tr>
      <w:tr w:rsidR="00576F87">
        <w:trPr>
          <w:trHeight w:val="617"/>
        </w:trPr>
        <w:tc>
          <w:tcPr>
            <w:tcW w:w="1306" w:type="dxa"/>
            <w:tcBorders>
              <w:top w:val="single" w:sz="8" w:space="0" w:color="009784"/>
              <w:left w:val="single" w:sz="15" w:space="0" w:color="009784"/>
              <w:bottom w:val="single" w:sz="8" w:space="0" w:color="009784"/>
              <w:right w:val="single" w:sz="8" w:space="0" w:color="009784"/>
            </w:tcBorders>
            <w:vAlign w:val="bottom"/>
          </w:tcPr>
          <w:p w:rsidR="00576F87" w:rsidRDefault="004165F5">
            <w:pPr>
              <w:spacing w:after="0"/>
              <w:ind w:right="5"/>
              <w:jc w:val="right"/>
            </w:pPr>
            <w:r>
              <w:rPr>
                <w:rFonts w:ascii="Verdana" w:eastAsia="Verdana" w:hAnsi="Verdana" w:cs="Verdana"/>
                <w:b/>
                <w:sz w:val="16"/>
              </w:rPr>
              <w:t>2,135</w:t>
            </w:r>
          </w:p>
        </w:tc>
        <w:tc>
          <w:tcPr>
            <w:tcW w:w="459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pPr>
            <w:r>
              <w:rPr>
                <w:rFonts w:ascii="Verdana" w:eastAsia="Verdana" w:hAnsi="Verdana" w:cs="Verdana"/>
                <w:sz w:val="16"/>
              </w:rPr>
              <w:t>Net increase or decrease in cash and cash equivalents</w:t>
            </w:r>
          </w:p>
        </w:tc>
        <w:tc>
          <w:tcPr>
            <w:tcW w:w="950" w:type="dxa"/>
            <w:tcBorders>
              <w:top w:val="single" w:sz="8" w:space="0" w:color="009784"/>
              <w:left w:val="single" w:sz="8" w:space="0" w:color="009784"/>
              <w:bottom w:val="single" w:sz="8" w:space="0" w:color="009784"/>
              <w:right w:val="single" w:sz="8" w:space="0" w:color="009784"/>
            </w:tcBorders>
          </w:tcPr>
          <w:p w:rsidR="00576F87" w:rsidRDefault="00576F87"/>
        </w:tc>
        <w:tc>
          <w:tcPr>
            <w:tcW w:w="1610"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5"/>
              <w:jc w:val="right"/>
            </w:pPr>
            <w:r>
              <w:rPr>
                <w:rFonts w:ascii="Verdana" w:eastAsia="Verdana" w:hAnsi="Verdana" w:cs="Verdana"/>
                <w:b/>
                <w:sz w:val="16"/>
              </w:rPr>
              <w:t>3,846</w:t>
            </w:r>
          </w:p>
        </w:tc>
      </w:tr>
      <w:tr w:rsidR="00576F87">
        <w:trPr>
          <w:trHeight w:val="626"/>
        </w:trPr>
        <w:tc>
          <w:tcPr>
            <w:tcW w:w="1306" w:type="dxa"/>
            <w:tcBorders>
              <w:top w:val="single" w:sz="8" w:space="0" w:color="009784"/>
              <w:left w:val="single" w:sz="15" w:space="0" w:color="009784"/>
              <w:bottom w:val="single" w:sz="8" w:space="0" w:color="009784"/>
              <w:right w:val="single" w:sz="8" w:space="0" w:color="009784"/>
            </w:tcBorders>
            <w:vAlign w:val="bottom"/>
          </w:tcPr>
          <w:p w:rsidR="00576F87" w:rsidRDefault="004165F5">
            <w:pPr>
              <w:spacing w:after="0"/>
              <w:ind w:right="4"/>
              <w:jc w:val="right"/>
            </w:pPr>
            <w:r>
              <w:rPr>
                <w:rFonts w:ascii="Verdana" w:eastAsia="Verdana" w:hAnsi="Verdana" w:cs="Verdana"/>
                <w:sz w:val="16"/>
              </w:rPr>
              <w:t>31,189</w:t>
            </w:r>
          </w:p>
        </w:tc>
        <w:tc>
          <w:tcPr>
            <w:tcW w:w="4594" w:type="dxa"/>
            <w:tcBorders>
              <w:top w:val="single" w:sz="8" w:space="0" w:color="009784"/>
              <w:left w:val="single" w:sz="8" w:space="0" w:color="009784"/>
              <w:bottom w:val="single" w:sz="8" w:space="0" w:color="009784"/>
              <w:right w:val="single" w:sz="8" w:space="0" w:color="009784"/>
            </w:tcBorders>
            <w:vAlign w:val="bottom"/>
          </w:tcPr>
          <w:p w:rsidR="00576F87" w:rsidRDefault="004165F5">
            <w:pPr>
              <w:spacing w:after="0"/>
            </w:pPr>
            <w:r>
              <w:rPr>
                <w:rFonts w:ascii="Verdana" w:eastAsia="Verdana" w:hAnsi="Verdana" w:cs="Verdana"/>
                <w:sz w:val="16"/>
              </w:rPr>
              <w:t>Cash and cash equivalents at the beginning of the reporting period</w:t>
            </w:r>
          </w:p>
        </w:tc>
        <w:tc>
          <w:tcPr>
            <w:tcW w:w="950" w:type="dxa"/>
            <w:tcBorders>
              <w:top w:val="single" w:sz="8" w:space="0" w:color="009784"/>
              <w:left w:val="single" w:sz="8" w:space="0" w:color="009784"/>
              <w:bottom w:val="single" w:sz="8" w:space="0" w:color="009784"/>
              <w:right w:val="single" w:sz="8" w:space="0" w:color="009784"/>
            </w:tcBorders>
          </w:tcPr>
          <w:p w:rsidR="00576F87" w:rsidRDefault="00576F87"/>
        </w:tc>
        <w:tc>
          <w:tcPr>
            <w:tcW w:w="1610" w:type="dxa"/>
            <w:tcBorders>
              <w:top w:val="single" w:sz="8" w:space="0" w:color="009784"/>
              <w:left w:val="single" w:sz="8" w:space="0" w:color="009784"/>
              <w:bottom w:val="single" w:sz="8" w:space="0" w:color="009784"/>
              <w:right w:val="single" w:sz="15" w:space="0" w:color="009784"/>
            </w:tcBorders>
            <w:vAlign w:val="bottom"/>
          </w:tcPr>
          <w:p w:rsidR="00576F87" w:rsidRDefault="004165F5">
            <w:pPr>
              <w:spacing w:after="0"/>
              <w:ind w:right="4"/>
              <w:jc w:val="right"/>
            </w:pPr>
            <w:r>
              <w:rPr>
                <w:rFonts w:ascii="Verdana" w:eastAsia="Verdana" w:hAnsi="Verdana" w:cs="Verdana"/>
                <w:sz w:val="16"/>
              </w:rPr>
              <w:t>33,324</w:t>
            </w:r>
          </w:p>
        </w:tc>
      </w:tr>
      <w:tr w:rsidR="00576F87">
        <w:trPr>
          <w:trHeight w:val="787"/>
        </w:trPr>
        <w:tc>
          <w:tcPr>
            <w:tcW w:w="1306" w:type="dxa"/>
            <w:tcBorders>
              <w:top w:val="single" w:sz="8" w:space="0" w:color="009784"/>
              <w:left w:val="single" w:sz="15" w:space="0" w:color="009784"/>
              <w:bottom w:val="single" w:sz="15" w:space="0" w:color="009784"/>
              <w:right w:val="single" w:sz="8" w:space="0" w:color="009784"/>
            </w:tcBorders>
            <w:shd w:val="clear" w:color="auto" w:fill="009784"/>
            <w:vAlign w:val="bottom"/>
          </w:tcPr>
          <w:p w:rsidR="00576F87" w:rsidRDefault="004165F5">
            <w:pPr>
              <w:spacing w:after="0"/>
              <w:ind w:right="6"/>
              <w:jc w:val="right"/>
            </w:pPr>
            <w:r>
              <w:rPr>
                <w:rFonts w:ascii="Verdana" w:eastAsia="Verdana" w:hAnsi="Verdana" w:cs="Verdana"/>
                <w:b/>
                <w:color w:val="FFFFFF"/>
                <w:sz w:val="16"/>
              </w:rPr>
              <w:t>33,324</w:t>
            </w:r>
          </w:p>
        </w:tc>
        <w:tc>
          <w:tcPr>
            <w:tcW w:w="4594" w:type="dxa"/>
            <w:tcBorders>
              <w:top w:val="single" w:sz="8" w:space="0" w:color="009784"/>
              <w:left w:val="single" w:sz="8" w:space="0" w:color="009784"/>
              <w:bottom w:val="single" w:sz="15" w:space="0" w:color="009784"/>
              <w:right w:val="single" w:sz="8" w:space="0" w:color="009784"/>
            </w:tcBorders>
            <w:shd w:val="clear" w:color="auto" w:fill="009784"/>
            <w:vAlign w:val="bottom"/>
          </w:tcPr>
          <w:p w:rsidR="00576F87" w:rsidRDefault="004165F5">
            <w:pPr>
              <w:spacing w:after="0"/>
              <w:ind w:left="2"/>
            </w:pPr>
            <w:r>
              <w:rPr>
                <w:rFonts w:ascii="Verdana" w:eastAsia="Verdana" w:hAnsi="Verdana" w:cs="Verdana"/>
                <w:b/>
                <w:color w:val="FFFFFF"/>
                <w:sz w:val="16"/>
              </w:rPr>
              <w:t>Cash and cash equivalents at the end of the reporting period</w:t>
            </w:r>
          </w:p>
        </w:tc>
        <w:tc>
          <w:tcPr>
            <w:tcW w:w="950" w:type="dxa"/>
            <w:tcBorders>
              <w:top w:val="single" w:sz="8" w:space="0" w:color="009784"/>
              <w:left w:val="single" w:sz="8" w:space="0" w:color="009784"/>
              <w:bottom w:val="single" w:sz="15" w:space="0" w:color="009784"/>
              <w:right w:val="single" w:sz="8" w:space="0" w:color="009784"/>
            </w:tcBorders>
            <w:shd w:val="clear" w:color="auto" w:fill="009784"/>
          </w:tcPr>
          <w:p w:rsidR="00576F87" w:rsidRDefault="00576F87"/>
        </w:tc>
        <w:tc>
          <w:tcPr>
            <w:tcW w:w="1610" w:type="dxa"/>
            <w:tcBorders>
              <w:top w:val="single" w:sz="8" w:space="0" w:color="009784"/>
              <w:left w:val="single" w:sz="8" w:space="0" w:color="009784"/>
              <w:bottom w:val="single" w:sz="15" w:space="0" w:color="009784"/>
              <w:right w:val="single" w:sz="15" w:space="0" w:color="009784"/>
            </w:tcBorders>
            <w:shd w:val="clear" w:color="auto" w:fill="009784"/>
            <w:vAlign w:val="bottom"/>
          </w:tcPr>
          <w:p w:rsidR="00576F87" w:rsidRDefault="004165F5">
            <w:pPr>
              <w:spacing w:after="0"/>
              <w:ind w:right="6"/>
              <w:jc w:val="right"/>
            </w:pPr>
            <w:r>
              <w:rPr>
                <w:rFonts w:ascii="Verdana" w:eastAsia="Verdana" w:hAnsi="Verdana" w:cs="Verdana"/>
                <w:b/>
                <w:color w:val="FFFFFF"/>
                <w:sz w:val="16"/>
              </w:rPr>
              <w:t>37,170</w:t>
            </w:r>
          </w:p>
        </w:tc>
      </w:tr>
    </w:tbl>
    <w:p w:rsidR="00576F87" w:rsidRDefault="004165F5">
      <w:pPr>
        <w:spacing w:after="3"/>
        <w:ind w:left="10" w:right="4440" w:hanging="10"/>
        <w:jc w:val="right"/>
      </w:pPr>
      <w:r>
        <w:t>96</w:t>
      </w:r>
    </w:p>
    <w:p w:rsidR="00576F87" w:rsidRDefault="004165F5">
      <w:pPr>
        <w:spacing w:after="308" w:line="311" w:lineRule="auto"/>
        <w:ind w:left="110"/>
      </w:pPr>
      <w:r>
        <w:rPr>
          <w:rFonts w:ascii="Verdana" w:eastAsia="Verdana" w:hAnsi="Verdana" w:cs="Verdana"/>
          <w:b/>
          <w:color w:val="009784"/>
          <w:sz w:val="80"/>
        </w:rPr>
        <w:t xml:space="preserve">12 </w:t>
      </w:r>
      <w:r>
        <w:rPr>
          <w:rFonts w:ascii="Verdana" w:eastAsia="Verdana" w:hAnsi="Verdana" w:cs="Verdana"/>
          <w:color w:val="35437C"/>
          <w:sz w:val="44"/>
        </w:rPr>
        <w:t>Notes to the Residual Liability Accounts</w:t>
      </w:r>
    </w:p>
    <w:p w:rsidR="00576F87" w:rsidRDefault="004165F5">
      <w:pPr>
        <w:pStyle w:val="Heading2"/>
        <w:spacing w:after="282"/>
        <w:ind w:left="17"/>
      </w:pPr>
      <w:r>
        <w:t>1. General information</w:t>
      </w:r>
    </w:p>
    <w:p w:rsidR="00576F87" w:rsidRDefault="004165F5">
      <w:pPr>
        <w:spacing w:after="3" w:line="264" w:lineRule="auto"/>
        <w:ind w:left="2" w:right="12" w:hanging="10"/>
        <w:jc w:val="both"/>
      </w:pPr>
      <w:r>
        <w:rPr>
          <w:rFonts w:ascii="Verdana" w:eastAsia="Verdana" w:hAnsi="Verdana" w:cs="Verdana"/>
          <w:sz w:val="20"/>
        </w:rPr>
        <w:t>The LPFA makes payments of annual statutory compensation following the abolition of the former Greater London Council (GLC) and Inner London Education Authority (ILEA). These payments are financed by way of a levy on all London Boroughs in respect of forme</w:t>
      </w:r>
      <w:r>
        <w:rPr>
          <w:rFonts w:ascii="Verdana" w:eastAsia="Verdana" w:hAnsi="Verdana" w:cs="Verdana"/>
          <w:sz w:val="20"/>
        </w:rPr>
        <w:t>r Greater</w:t>
      </w:r>
    </w:p>
    <w:p w:rsidR="00576F87" w:rsidRDefault="004165F5">
      <w:pPr>
        <w:spacing w:after="61" w:line="264" w:lineRule="auto"/>
        <w:ind w:left="2" w:right="12" w:hanging="10"/>
        <w:jc w:val="both"/>
      </w:pPr>
      <w:r>
        <w:rPr>
          <w:rFonts w:ascii="Verdana" w:eastAsia="Verdana" w:hAnsi="Verdana" w:cs="Verdana"/>
          <w:sz w:val="20"/>
        </w:rPr>
        <w:t xml:space="preserve">London liabilities and on Inner London Boroughs in respect of Inner London liabilities. </w:t>
      </w:r>
    </w:p>
    <w:p w:rsidR="00576F87" w:rsidRDefault="004165F5">
      <w:pPr>
        <w:spacing w:after="565" w:line="264" w:lineRule="auto"/>
        <w:ind w:left="2" w:right="12" w:hanging="10"/>
        <w:jc w:val="both"/>
      </w:pPr>
      <w:r>
        <w:rPr>
          <w:rFonts w:ascii="Verdana" w:eastAsia="Verdana" w:hAnsi="Verdana" w:cs="Verdana"/>
          <w:sz w:val="20"/>
        </w:rPr>
        <w:t>The residual liabilities accounts include substantial provisions for injury claims from former employees of the GLC and ILEA in relation to asbestosis. The c</w:t>
      </w:r>
      <w:r>
        <w:rPr>
          <w:rFonts w:ascii="Verdana" w:eastAsia="Verdana" w:hAnsi="Verdana" w:cs="Verdana"/>
          <w:sz w:val="20"/>
        </w:rPr>
        <w:t>osts of these claims will be met through a levy on London boroughs, and so the accounts also include a re-imbursement to offset most of the provision, the balance being met by funds already taken from London boroughs, and held in reserves.</w:t>
      </w:r>
    </w:p>
    <w:p w:rsidR="00576F87" w:rsidRDefault="004165F5">
      <w:pPr>
        <w:pStyle w:val="Heading2"/>
        <w:spacing w:after="334"/>
        <w:ind w:left="17"/>
      </w:pPr>
      <w:r>
        <w:t>2. Summary of si</w:t>
      </w:r>
      <w:r>
        <w:t>gnificant accounting policies</w:t>
      </w:r>
    </w:p>
    <w:p w:rsidR="00576F87" w:rsidRDefault="004165F5">
      <w:pPr>
        <w:pStyle w:val="Heading3"/>
        <w:spacing w:after="23"/>
        <w:ind w:left="5"/>
      </w:pPr>
      <w:r>
        <w:t>General Principles</w:t>
      </w:r>
    </w:p>
    <w:p w:rsidR="00576F87" w:rsidRDefault="004165F5">
      <w:pPr>
        <w:spacing w:after="3" w:line="264" w:lineRule="auto"/>
        <w:ind w:left="2" w:right="12" w:hanging="10"/>
        <w:jc w:val="both"/>
      </w:pPr>
      <w:r>
        <w:rPr>
          <w:rFonts w:ascii="Verdana" w:eastAsia="Verdana" w:hAnsi="Verdana" w:cs="Verdana"/>
          <w:sz w:val="20"/>
        </w:rPr>
        <w:t>The Statement of Accounts summarises LPFA’s transactions for the 2017/18 financial year and its position at year-end of 31 March 2018. It has been prepared in accordance with the Code of Practice on Local Au</w:t>
      </w:r>
      <w:r>
        <w:rPr>
          <w:rFonts w:ascii="Verdana" w:eastAsia="Verdana" w:hAnsi="Verdana" w:cs="Verdana"/>
          <w:sz w:val="20"/>
        </w:rPr>
        <w:t>thority Accounting in the United Kingdom 2017/18: based upon</w:t>
      </w:r>
    </w:p>
    <w:p w:rsidR="00576F87" w:rsidRDefault="004165F5">
      <w:pPr>
        <w:spacing w:after="183" w:line="264" w:lineRule="auto"/>
        <w:ind w:left="2" w:right="12" w:hanging="10"/>
        <w:jc w:val="both"/>
      </w:pPr>
      <w:r>
        <w:rPr>
          <w:rFonts w:ascii="Verdana" w:eastAsia="Verdana" w:hAnsi="Verdana" w:cs="Verdana"/>
          <w:sz w:val="20"/>
        </w:rPr>
        <w:t xml:space="preserve">International Financial Reporting Standards (IFRS).  </w:t>
      </w:r>
    </w:p>
    <w:p w:rsidR="00576F87" w:rsidRDefault="004165F5">
      <w:pPr>
        <w:spacing w:after="445" w:line="264" w:lineRule="auto"/>
        <w:ind w:left="2" w:right="12" w:hanging="10"/>
        <w:jc w:val="both"/>
      </w:pPr>
      <w:r>
        <w:rPr>
          <w:rFonts w:ascii="Verdana" w:eastAsia="Verdana" w:hAnsi="Verdana" w:cs="Verdana"/>
          <w:sz w:val="20"/>
        </w:rPr>
        <w:t>The financial statements have been prepared on a going concern basis.</w:t>
      </w:r>
    </w:p>
    <w:p w:rsidR="00576F87" w:rsidRDefault="004165F5">
      <w:pPr>
        <w:pStyle w:val="Heading3"/>
        <w:spacing w:after="40"/>
        <w:ind w:left="5"/>
      </w:pPr>
      <w:r>
        <w:t>Accruals of Income and Expenditure</w:t>
      </w:r>
    </w:p>
    <w:p w:rsidR="00576F87" w:rsidRDefault="004165F5">
      <w:pPr>
        <w:spacing w:after="42" w:line="264" w:lineRule="auto"/>
        <w:ind w:left="2" w:right="12" w:hanging="10"/>
        <w:jc w:val="both"/>
      </w:pPr>
      <w:r>
        <w:rPr>
          <w:rFonts w:ascii="Verdana" w:eastAsia="Verdana" w:hAnsi="Verdana" w:cs="Verdana"/>
          <w:sz w:val="20"/>
        </w:rPr>
        <w:t>Activity is accounted for in the yea</w:t>
      </w:r>
      <w:r>
        <w:rPr>
          <w:rFonts w:ascii="Verdana" w:eastAsia="Verdana" w:hAnsi="Verdana" w:cs="Verdana"/>
          <w:sz w:val="20"/>
        </w:rPr>
        <w:t>r that it takes place, and not when cash payments are made or received. In particular:</w:t>
      </w:r>
    </w:p>
    <w:p w:rsidR="00576F87" w:rsidRDefault="004165F5">
      <w:pPr>
        <w:spacing w:after="220" w:line="264" w:lineRule="auto"/>
        <w:ind w:left="2" w:right="12" w:hanging="10"/>
        <w:jc w:val="both"/>
      </w:pPr>
      <w:r>
        <w:rPr>
          <w:rFonts w:ascii="Verdana" w:eastAsia="Verdana" w:hAnsi="Verdana" w:cs="Verdana"/>
          <w:sz w:val="20"/>
        </w:rPr>
        <w:t>Fees and charges are accounted for as income at the date LPFA provides the relevant services.</w:t>
      </w:r>
    </w:p>
    <w:p w:rsidR="00576F87" w:rsidRDefault="004165F5">
      <w:pPr>
        <w:spacing w:after="82" w:line="264" w:lineRule="auto"/>
        <w:ind w:left="2" w:right="12" w:hanging="10"/>
        <w:jc w:val="both"/>
      </w:pPr>
      <w:r>
        <w:rPr>
          <w:rFonts w:ascii="Verdana" w:eastAsia="Verdana" w:hAnsi="Verdana" w:cs="Verdana"/>
          <w:sz w:val="20"/>
        </w:rPr>
        <w:t>Supplies are recorded as expenditure when they are consumed.</w:t>
      </w:r>
    </w:p>
    <w:p w:rsidR="00576F87" w:rsidRDefault="004165F5">
      <w:pPr>
        <w:spacing w:after="3" w:line="264" w:lineRule="auto"/>
        <w:ind w:left="2" w:right="12" w:hanging="10"/>
        <w:jc w:val="both"/>
      </w:pPr>
      <w:r>
        <w:rPr>
          <w:rFonts w:ascii="Verdana" w:eastAsia="Verdana" w:hAnsi="Verdana" w:cs="Verdana"/>
          <w:sz w:val="20"/>
        </w:rPr>
        <w:t xml:space="preserve">Where income or expenditure have been recognised but cash has not been received or paid, a debtor or creditor for the relevant amount is recorded in the balance sheet. Where it is doubtful that debts will be settled, the balance of debtors is written down </w:t>
      </w:r>
      <w:r>
        <w:rPr>
          <w:rFonts w:ascii="Verdana" w:eastAsia="Verdana" w:hAnsi="Verdana" w:cs="Verdana"/>
          <w:sz w:val="20"/>
        </w:rPr>
        <w:t>and a charge is made to revenue for the income that might not be collected.</w:t>
      </w:r>
    </w:p>
    <w:p w:rsidR="00576F87" w:rsidRDefault="004165F5">
      <w:pPr>
        <w:pStyle w:val="Heading3"/>
        <w:spacing w:after="2"/>
        <w:ind w:left="5"/>
      </w:pPr>
      <w:r>
        <w:t>Cash and Cash Equivalents</w:t>
      </w:r>
    </w:p>
    <w:p w:rsidR="00576F87" w:rsidRDefault="004165F5">
      <w:pPr>
        <w:spacing w:after="231" w:line="264" w:lineRule="auto"/>
        <w:ind w:left="2" w:right="12" w:hanging="10"/>
        <w:jc w:val="both"/>
      </w:pPr>
      <w:r>
        <w:rPr>
          <w:rFonts w:ascii="Verdana" w:eastAsia="Verdana" w:hAnsi="Verdana" w:cs="Verdana"/>
          <w:sz w:val="20"/>
        </w:rPr>
        <w:t>Cash and cash equivalents comprise cash in hand and demand deposits, together with short term, highly liquid investments that are readily convertible to a</w:t>
      </w:r>
      <w:r>
        <w:rPr>
          <w:rFonts w:ascii="Verdana" w:eastAsia="Verdana" w:hAnsi="Verdana" w:cs="Verdana"/>
          <w:sz w:val="20"/>
        </w:rPr>
        <w:t xml:space="preserve"> known amount of cash, and that are subject to an insignificant risk of change in value. An investment normally meets the definition of a cash equivalent when it has a maturity of three months or less from the date of acquisition. Bank overdrafts which are</w:t>
      </w:r>
      <w:r>
        <w:rPr>
          <w:rFonts w:ascii="Verdana" w:eastAsia="Verdana" w:hAnsi="Verdana" w:cs="Verdana"/>
          <w:sz w:val="20"/>
        </w:rPr>
        <w:t xml:space="preserve"> repayable on demand and which form an integral part of an entity’s cash management are also included as a component of cash and cash equivalents.</w:t>
      </w:r>
    </w:p>
    <w:p w:rsidR="00576F87" w:rsidRDefault="004165F5">
      <w:pPr>
        <w:spacing w:after="316" w:line="264" w:lineRule="auto"/>
        <w:ind w:left="2" w:right="12" w:hanging="10"/>
        <w:jc w:val="both"/>
      </w:pPr>
      <w:r>
        <w:rPr>
          <w:rFonts w:ascii="Verdana" w:eastAsia="Verdana" w:hAnsi="Verdana" w:cs="Verdana"/>
          <w:sz w:val="20"/>
        </w:rPr>
        <w:t>Cash balances not required for immediate use are invested in accordance with LPFA’s Treasury Management Strat</w:t>
      </w:r>
      <w:r>
        <w:rPr>
          <w:rFonts w:ascii="Verdana" w:eastAsia="Verdana" w:hAnsi="Verdana" w:cs="Verdana"/>
          <w:sz w:val="20"/>
        </w:rPr>
        <w:t>egy. Interest earned on LPFA’s balances is credited to the Comprehensive Income and Expenditure Statement during the year and appropriate accruals are made at year-end.</w:t>
      </w:r>
    </w:p>
    <w:p w:rsidR="00576F87" w:rsidRDefault="004165F5">
      <w:pPr>
        <w:pStyle w:val="Heading3"/>
        <w:ind w:left="5"/>
      </w:pPr>
      <w:r>
        <w:t>Provisions</w:t>
      </w:r>
    </w:p>
    <w:p w:rsidR="00576F87" w:rsidRDefault="004165F5">
      <w:pPr>
        <w:spacing w:after="162" w:line="264" w:lineRule="auto"/>
        <w:ind w:left="2" w:right="12" w:hanging="10"/>
        <w:jc w:val="both"/>
      </w:pPr>
      <w:r>
        <w:rPr>
          <w:rFonts w:ascii="Verdana" w:eastAsia="Verdana" w:hAnsi="Verdana" w:cs="Verdana"/>
          <w:sz w:val="20"/>
        </w:rPr>
        <w:t xml:space="preserve">Provisions are made where an event has taken place that gives LPFA an obligation that in probability, may require settlement by transfer of economic benefits, but where the timing of the transfer is uncertain. </w:t>
      </w:r>
    </w:p>
    <w:p w:rsidR="00576F87" w:rsidRDefault="004165F5">
      <w:pPr>
        <w:spacing w:after="315" w:line="264" w:lineRule="auto"/>
        <w:ind w:left="2" w:right="12" w:hanging="10"/>
        <w:jc w:val="both"/>
      </w:pPr>
      <w:r>
        <w:rPr>
          <w:rFonts w:ascii="Verdana" w:eastAsia="Verdana" w:hAnsi="Verdana" w:cs="Verdana"/>
          <w:sz w:val="20"/>
        </w:rPr>
        <w:t>Provisions are charged to the comprehensive i</w:t>
      </w:r>
      <w:r>
        <w:rPr>
          <w:rFonts w:ascii="Verdana" w:eastAsia="Verdana" w:hAnsi="Verdana" w:cs="Verdana"/>
          <w:sz w:val="20"/>
        </w:rPr>
        <w:t xml:space="preserve">ncome and expenditure statement in the year that LPFA becomes aware of the obligation, based on the best estimate of the likely settlement. When payments are eventually made they are charged directly to the provision set up on the balance sheet. Estimated </w:t>
      </w:r>
      <w:r>
        <w:rPr>
          <w:rFonts w:ascii="Verdana" w:eastAsia="Verdana" w:hAnsi="Verdana" w:cs="Verdana"/>
          <w:sz w:val="20"/>
        </w:rPr>
        <w:t>settlements are reviewed at the end of each financial year and the provision increased or reversed back to the revenue account if it becomes more likely than not that a transfer of benefits will not be made or a lower settlement than anticipated could be m</w:t>
      </w:r>
      <w:r>
        <w:rPr>
          <w:rFonts w:ascii="Verdana" w:eastAsia="Verdana" w:hAnsi="Verdana" w:cs="Verdana"/>
          <w:sz w:val="20"/>
        </w:rPr>
        <w:t xml:space="preserve">ade.  </w:t>
      </w:r>
    </w:p>
    <w:p w:rsidR="00576F87" w:rsidRDefault="004165F5">
      <w:pPr>
        <w:pStyle w:val="Heading3"/>
        <w:spacing w:after="182"/>
        <w:ind w:left="5"/>
      </w:pPr>
      <w:r>
        <w:t>Contingent liabilities</w:t>
      </w:r>
    </w:p>
    <w:p w:rsidR="00576F87" w:rsidRDefault="004165F5">
      <w:pPr>
        <w:spacing w:after="3" w:line="264" w:lineRule="auto"/>
        <w:ind w:left="2" w:right="12" w:hanging="10"/>
        <w:jc w:val="both"/>
      </w:pPr>
      <w:r>
        <w:rPr>
          <w:rFonts w:ascii="Verdana" w:eastAsia="Verdana" w:hAnsi="Verdana" w:cs="Verdana"/>
          <w:sz w:val="20"/>
        </w:rPr>
        <w:t>Contingent liabilities arise where an event has taken place that gives LPFA a possible</w:t>
      </w:r>
    </w:p>
    <w:p w:rsidR="00576F87" w:rsidRDefault="004165F5">
      <w:pPr>
        <w:spacing w:after="3" w:line="264" w:lineRule="auto"/>
        <w:ind w:left="2" w:right="12" w:hanging="10"/>
        <w:jc w:val="both"/>
      </w:pPr>
      <w:r>
        <w:rPr>
          <w:rFonts w:ascii="Verdana" w:eastAsia="Verdana" w:hAnsi="Verdana" w:cs="Verdana"/>
          <w:sz w:val="20"/>
        </w:rPr>
        <w:t>obligation whose existence will only be confirmed by the occurrence or otherwise of uncertain future events not wholly within the control of LPFA. These are not recognised as liabilities in the accounts but disclosed in the financial statements where it is</w:t>
      </w:r>
      <w:r>
        <w:rPr>
          <w:rFonts w:ascii="Verdana" w:eastAsia="Verdana" w:hAnsi="Verdana" w:cs="Verdana"/>
          <w:sz w:val="20"/>
        </w:rPr>
        <w:t xml:space="preserve"> probable that </w:t>
      </w:r>
      <w:r>
        <w:t>an outflow of economic benefit to settle the obligation is more than remote.</w:t>
      </w:r>
    </w:p>
    <w:p w:rsidR="00576F87" w:rsidRDefault="00576F87">
      <w:pPr>
        <w:sectPr w:rsidR="00576F87">
          <w:headerReference w:type="even" r:id="rId163"/>
          <w:headerReference w:type="default" r:id="rId164"/>
          <w:footerReference w:type="even" r:id="rId165"/>
          <w:footerReference w:type="default" r:id="rId166"/>
          <w:headerReference w:type="first" r:id="rId167"/>
          <w:footerReference w:type="first" r:id="rId168"/>
          <w:pgSz w:w="11900" w:h="16840"/>
          <w:pgMar w:top="1798" w:right="1409" w:bottom="510" w:left="1061" w:header="1149" w:footer="720" w:gutter="0"/>
          <w:cols w:space="720"/>
          <w:titlePg/>
        </w:sectPr>
      </w:pPr>
    </w:p>
    <w:p w:rsidR="00576F87" w:rsidRDefault="004165F5">
      <w:pPr>
        <w:pStyle w:val="Heading3"/>
        <w:spacing w:after="35"/>
        <w:ind w:left="5"/>
      </w:pPr>
      <w:r>
        <w:t>Overheads</w:t>
      </w:r>
    </w:p>
    <w:p w:rsidR="00576F87" w:rsidRDefault="004165F5">
      <w:pPr>
        <w:spacing w:after="3" w:line="264" w:lineRule="auto"/>
        <w:ind w:left="2" w:right="12" w:hanging="10"/>
        <w:jc w:val="both"/>
      </w:pPr>
      <w:r>
        <w:rPr>
          <w:rFonts w:ascii="Verdana" w:eastAsia="Verdana" w:hAnsi="Verdana" w:cs="Verdana"/>
          <w:sz w:val="20"/>
        </w:rPr>
        <w:t>Directly attributable overheads are charged to th</w:t>
      </w:r>
      <w:r>
        <w:rPr>
          <w:rFonts w:ascii="Verdana" w:eastAsia="Verdana" w:hAnsi="Verdana" w:cs="Verdana"/>
          <w:sz w:val="20"/>
        </w:rPr>
        <w:t>e appropriate service areas within the</w:t>
      </w:r>
    </w:p>
    <w:p w:rsidR="00576F87" w:rsidRDefault="004165F5">
      <w:pPr>
        <w:spacing w:after="315" w:line="264" w:lineRule="auto"/>
        <w:ind w:left="2" w:right="12" w:hanging="10"/>
        <w:jc w:val="both"/>
      </w:pPr>
      <w:r>
        <w:rPr>
          <w:rFonts w:ascii="Verdana" w:eastAsia="Verdana" w:hAnsi="Verdana" w:cs="Verdana"/>
          <w:sz w:val="20"/>
        </w:rPr>
        <w:t>Residual Liabilities Account.</w:t>
      </w:r>
    </w:p>
    <w:p w:rsidR="00576F87" w:rsidRDefault="004165F5">
      <w:pPr>
        <w:pStyle w:val="Heading3"/>
        <w:spacing w:after="321"/>
        <w:ind w:left="5"/>
      </w:pPr>
      <w:r>
        <w:t>Interest on Balances</w:t>
      </w:r>
    </w:p>
    <w:p w:rsidR="00576F87" w:rsidRDefault="004165F5">
      <w:pPr>
        <w:spacing w:after="3" w:line="264" w:lineRule="auto"/>
        <w:ind w:left="2" w:right="12" w:hanging="10"/>
        <w:jc w:val="both"/>
      </w:pPr>
      <w:r>
        <w:rPr>
          <w:rFonts w:ascii="Verdana" w:eastAsia="Verdana" w:hAnsi="Verdana" w:cs="Verdana"/>
          <w:sz w:val="20"/>
        </w:rPr>
        <w:t>Cash balances not required for immediate use are invested in accordance with LPFA Treasury</w:t>
      </w:r>
    </w:p>
    <w:p w:rsidR="00576F87" w:rsidRDefault="004165F5">
      <w:pPr>
        <w:spacing w:after="316" w:line="264" w:lineRule="auto"/>
        <w:ind w:left="2" w:right="12" w:hanging="10"/>
        <w:jc w:val="both"/>
      </w:pPr>
      <w:r>
        <w:rPr>
          <w:rFonts w:ascii="Verdana" w:eastAsia="Verdana" w:hAnsi="Verdana" w:cs="Verdana"/>
          <w:sz w:val="20"/>
        </w:rPr>
        <w:t xml:space="preserve">Management Strategy. Interest earned on LPFA’s balances is credited to the </w:t>
      </w:r>
      <w:r>
        <w:rPr>
          <w:rFonts w:ascii="Verdana" w:eastAsia="Verdana" w:hAnsi="Verdana" w:cs="Verdana"/>
          <w:sz w:val="20"/>
        </w:rPr>
        <w:t>Income and Expenditure Account during the year and appropriate accruals are made at year-end.</w:t>
      </w:r>
    </w:p>
    <w:p w:rsidR="00576F87" w:rsidRDefault="004165F5">
      <w:pPr>
        <w:pStyle w:val="Heading3"/>
        <w:spacing w:after="23"/>
        <w:ind w:left="5"/>
      </w:pPr>
      <w:r>
        <w:t>Financial Assets / Liabilities</w:t>
      </w:r>
    </w:p>
    <w:p w:rsidR="00576F87" w:rsidRDefault="004165F5">
      <w:pPr>
        <w:spacing w:after="248" w:line="264" w:lineRule="auto"/>
        <w:ind w:left="2" w:right="12" w:hanging="10"/>
        <w:jc w:val="both"/>
      </w:pPr>
      <w:r>
        <w:rPr>
          <w:rFonts w:ascii="Verdana" w:eastAsia="Verdana" w:hAnsi="Verdana" w:cs="Verdana"/>
          <w:sz w:val="20"/>
        </w:rPr>
        <w:t xml:space="preserve">Financial Assets/Liabilities represents transactions, with a contract, that result in a financial asset for one entity and a financial liability for another. Financial assets are recognised by LPFA on the Balance Sheet, initially at their fair value, only </w:t>
      </w:r>
      <w:r>
        <w:rPr>
          <w:rFonts w:ascii="Verdana" w:eastAsia="Verdana" w:hAnsi="Verdana" w:cs="Verdana"/>
          <w:sz w:val="20"/>
        </w:rPr>
        <w:t>when goods or services have been provided or rendered to a third party.</w:t>
      </w:r>
    </w:p>
    <w:p w:rsidR="00576F87" w:rsidRDefault="004165F5">
      <w:pPr>
        <w:spacing w:after="395" w:line="264" w:lineRule="auto"/>
        <w:ind w:left="2" w:right="12" w:hanging="10"/>
        <w:jc w:val="both"/>
      </w:pPr>
      <w:r>
        <w:rPr>
          <w:rFonts w:ascii="Verdana" w:eastAsia="Verdana" w:hAnsi="Verdana" w:cs="Verdana"/>
          <w:sz w:val="20"/>
        </w:rPr>
        <w:t xml:space="preserve">Financial liabilities are recognised, initially at their fair value, when the goods or services ordered from a third party have been received by LPFA and the third party has performed </w:t>
      </w:r>
      <w:r>
        <w:rPr>
          <w:rFonts w:ascii="Verdana" w:eastAsia="Verdana" w:hAnsi="Verdana" w:cs="Verdana"/>
          <w:sz w:val="20"/>
        </w:rPr>
        <w:t>its contractual obligations.</w:t>
      </w:r>
    </w:p>
    <w:p w:rsidR="00576F87" w:rsidRDefault="004165F5">
      <w:pPr>
        <w:spacing w:after="316" w:line="264" w:lineRule="auto"/>
        <w:ind w:left="2" w:right="12" w:hanging="10"/>
        <w:jc w:val="both"/>
      </w:pPr>
      <w:r>
        <w:rPr>
          <w:rFonts w:ascii="Verdana" w:eastAsia="Verdana" w:hAnsi="Verdana" w:cs="Verdana"/>
          <w:sz w:val="20"/>
        </w:rPr>
        <w:t>Responsibility rested with LPFA for the administration of two outstanding undated loan stocks which were originally issued by the former London County Council. These loan stocks were included at their nominal value in the Resid</w:t>
      </w:r>
      <w:r>
        <w:rPr>
          <w:rFonts w:ascii="Verdana" w:eastAsia="Verdana" w:hAnsi="Verdana" w:cs="Verdana"/>
          <w:sz w:val="20"/>
        </w:rPr>
        <w:t>ual Liabilities Balance Sheet. The loan stocks were substantially repurchased in 2005/06. LPFA held a war loan to offset the interest payments attributable to the loan stocks but this was redeemed in 2014/15.</w:t>
      </w:r>
    </w:p>
    <w:p w:rsidR="00576F87" w:rsidRDefault="004165F5">
      <w:pPr>
        <w:pStyle w:val="Heading3"/>
        <w:spacing w:after="180"/>
        <w:ind w:left="5"/>
      </w:pPr>
      <w:r>
        <w:t>Reserves</w:t>
      </w:r>
    </w:p>
    <w:p w:rsidR="00576F87" w:rsidRDefault="004165F5">
      <w:pPr>
        <w:spacing w:after="3" w:line="264" w:lineRule="auto"/>
        <w:ind w:left="2" w:right="12" w:hanging="10"/>
        <w:jc w:val="both"/>
      </w:pPr>
      <w:r>
        <w:rPr>
          <w:rFonts w:ascii="Verdana" w:eastAsia="Verdana" w:hAnsi="Verdana" w:cs="Verdana"/>
          <w:sz w:val="20"/>
        </w:rPr>
        <w:t>LPFA sets aside specific amounts as re</w:t>
      </w:r>
      <w:r>
        <w:rPr>
          <w:rFonts w:ascii="Verdana" w:eastAsia="Verdana" w:hAnsi="Verdana" w:cs="Verdana"/>
          <w:sz w:val="20"/>
        </w:rPr>
        <w:t>serves for future policy purposes or to cover</w:t>
      </w:r>
    </w:p>
    <w:p w:rsidR="00576F87" w:rsidRDefault="004165F5">
      <w:pPr>
        <w:spacing w:after="322" w:line="257" w:lineRule="auto"/>
        <w:ind w:left="-3" w:right="-13" w:hanging="10"/>
      </w:pPr>
      <w:r>
        <w:rPr>
          <w:rFonts w:ascii="Verdana" w:eastAsia="Verdana" w:hAnsi="Verdana" w:cs="Verdana"/>
          <w:sz w:val="20"/>
        </w:rPr>
        <w:t>contingencies. Reserves are created by appropriating amounts in the Statement of Movement on the General Fund Balance. Where expenditure to be financed from a reserve is incurred, it is charged to the Income an</w:t>
      </w:r>
      <w:r>
        <w:rPr>
          <w:rFonts w:ascii="Verdana" w:eastAsia="Verdana" w:hAnsi="Verdana" w:cs="Verdana"/>
          <w:sz w:val="20"/>
        </w:rPr>
        <w:t xml:space="preserve">d Expenditure Account and the reserve is then appropriated back also so that there is no net charge to LPFA at this point.  </w:t>
      </w:r>
    </w:p>
    <w:p w:rsidR="00576F87" w:rsidRDefault="004165F5">
      <w:pPr>
        <w:spacing w:after="103"/>
        <w:ind w:left="-5" w:hanging="10"/>
      </w:pPr>
      <w:r>
        <w:rPr>
          <w:rFonts w:ascii="Verdana" w:eastAsia="Verdana" w:hAnsi="Verdana" w:cs="Verdana"/>
          <w:i/>
          <w:sz w:val="20"/>
        </w:rPr>
        <w:t>General Fund reserve</w:t>
      </w:r>
    </w:p>
    <w:p w:rsidR="00576F87" w:rsidRDefault="004165F5">
      <w:pPr>
        <w:spacing w:after="179" w:line="264" w:lineRule="auto"/>
        <w:ind w:left="2" w:right="12" w:hanging="10"/>
        <w:jc w:val="both"/>
      </w:pPr>
      <w:r>
        <w:rPr>
          <w:rFonts w:ascii="Verdana" w:eastAsia="Verdana" w:hAnsi="Verdana" w:cs="Verdana"/>
          <w:sz w:val="20"/>
        </w:rPr>
        <w:t>The General Fund reserve is used to fund unexpected short term costs, principally relating to asbestosis claim</w:t>
      </w:r>
      <w:r>
        <w:rPr>
          <w:rFonts w:ascii="Verdana" w:eastAsia="Verdana" w:hAnsi="Verdana" w:cs="Verdana"/>
          <w:sz w:val="20"/>
        </w:rPr>
        <w:t xml:space="preserve">s.  </w:t>
      </w:r>
    </w:p>
    <w:p w:rsidR="00576F87" w:rsidRDefault="004165F5">
      <w:pPr>
        <w:spacing w:after="314" w:line="264" w:lineRule="auto"/>
        <w:ind w:left="2" w:right="12" w:hanging="10"/>
        <w:jc w:val="both"/>
      </w:pPr>
      <w:r>
        <w:rPr>
          <w:rFonts w:ascii="Verdana" w:eastAsia="Verdana" w:hAnsi="Verdana" w:cs="Verdana"/>
          <w:sz w:val="20"/>
        </w:rPr>
        <w:t xml:space="preserve">Certain reserves are kept to manage accounting processes and do not represent usable resources for LPFA.  This is the pension reserve. </w:t>
      </w:r>
    </w:p>
    <w:p w:rsidR="00576F87" w:rsidRDefault="004165F5">
      <w:pPr>
        <w:spacing w:after="103"/>
        <w:ind w:left="-5" w:hanging="10"/>
      </w:pPr>
      <w:r>
        <w:rPr>
          <w:rFonts w:ascii="Verdana" w:eastAsia="Verdana" w:hAnsi="Verdana" w:cs="Verdana"/>
          <w:i/>
          <w:sz w:val="20"/>
        </w:rPr>
        <w:t>Pension Reserve</w:t>
      </w:r>
    </w:p>
    <w:p w:rsidR="00576F87" w:rsidRDefault="004165F5">
      <w:pPr>
        <w:spacing w:after="3" w:line="264" w:lineRule="auto"/>
        <w:ind w:left="2" w:right="12" w:hanging="10"/>
        <w:jc w:val="both"/>
      </w:pPr>
      <w:r>
        <w:rPr>
          <w:rFonts w:ascii="Verdana" w:eastAsia="Verdana" w:hAnsi="Verdana" w:cs="Verdana"/>
          <w:sz w:val="20"/>
        </w:rPr>
        <w:t xml:space="preserve">The Pension Reserve is not cash backed and represents the actuarially calculated deficit between the value of all pension liabilities and the pension assets held. </w:t>
      </w:r>
    </w:p>
    <w:p w:rsidR="00576F87" w:rsidRDefault="004165F5">
      <w:pPr>
        <w:pStyle w:val="Heading3"/>
        <w:spacing w:after="273"/>
        <w:ind w:left="5"/>
      </w:pPr>
      <w:r>
        <w:t>Accounting for Retirement Benefits</w:t>
      </w:r>
    </w:p>
    <w:p w:rsidR="00576F87" w:rsidRDefault="004165F5">
      <w:pPr>
        <w:spacing w:after="364" w:line="264" w:lineRule="auto"/>
        <w:ind w:left="2" w:right="12" w:hanging="10"/>
        <w:jc w:val="both"/>
      </w:pPr>
      <w:r>
        <w:rPr>
          <w:rFonts w:ascii="Verdana" w:eastAsia="Verdana" w:hAnsi="Verdana" w:cs="Verdana"/>
          <w:sz w:val="20"/>
        </w:rPr>
        <w:t>The financial statements disclose the cost of providing r</w:t>
      </w:r>
      <w:r>
        <w:rPr>
          <w:rFonts w:ascii="Verdana" w:eastAsia="Verdana" w:hAnsi="Verdana" w:cs="Verdana"/>
          <w:sz w:val="20"/>
        </w:rPr>
        <w:t>etirement benefits and related gains, losses, assets and liabilities.</w:t>
      </w:r>
    </w:p>
    <w:p w:rsidR="00576F87" w:rsidRDefault="004165F5">
      <w:pPr>
        <w:spacing w:after="244" w:line="264" w:lineRule="auto"/>
        <w:ind w:left="2" w:right="12" w:hanging="10"/>
        <w:jc w:val="both"/>
      </w:pPr>
      <w:r>
        <w:rPr>
          <w:rFonts w:ascii="Verdana" w:eastAsia="Verdana" w:hAnsi="Verdana" w:cs="Verdana"/>
          <w:sz w:val="20"/>
        </w:rPr>
        <w:t>The effect of recognising retirement benefits in the balance sheet is a net liability and a pension reserve in the combined residual liabilities accounts. This relates to the compensatio</w:t>
      </w:r>
      <w:r>
        <w:rPr>
          <w:rFonts w:ascii="Verdana" w:eastAsia="Verdana" w:hAnsi="Verdana" w:cs="Verdana"/>
          <w:sz w:val="20"/>
        </w:rPr>
        <w:t>n payments which are met on an annual basis by levies on London boroughs.</w:t>
      </w:r>
    </w:p>
    <w:p w:rsidR="00576F87" w:rsidRDefault="004165F5">
      <w:pPr>
        <w:spacing w:after="25" w:line="264" w:lineRule="auto"/>
        <w:ind w:left="2" w:right="12" w:hanging="10"/>
        <w:jc w:val="both"/>
      </w:pPr>
      <w:r>
        <w:rPr>
          <w:rFonts w:ascii="Verdana" w:eastAsia="Verdana" w:hAnsi="Verdana" w:cs="Verdana"/>
          <w:sz w:val="20"/>
        </w:rPr>
        <w:t>These liabilities reflect the current actuarial value of future payments and do not affect income and expenditure in 2017/18.</w:t>
      </w:r>
    </w:p>
    <w:p w:rsidR="00576F87" w:rsidRDefault="004165F5">
      <w:pPr>
        <w:spacing w:after="255" w:line="264" w:lineRule="auto"/>
        <w:ind w:left="2" w:right="12" w:hanging="10"/>
        <w:jc w:val="both"/>
      </w:pPr>
      <w:r>
        <w:rPr>
          <w:rFonts w:ascii="Verdana" w:eastAsia="Verdana" w:hAnsi="Verdana" w:cs="Verdana"/>
          <w:sz w:val="20"/>
        </w:rPr>
        <w:t>The change in the net pension liability is analysed into</w:t>
      </w:r>
      <w:r>
        <w:rPr>
          <w:rFonts w:ascii="Verdana" w:eastAsia="Verdana" w:hAnsi="Verdana" w:cs="Verdana"/>
          <w:sz w:val="20"/>
        </w:rPr>
        <w:t xml:space="preserve"> the following components:</w:t>
      </w:r>
    </w:p>
    <w:p w:rsidR="00576F87" w:rsidRDefault="004165F5">
      <w:pPr>
        <w:spacing w:after="188" w:line="264" w:lineRule="auto"/>
        <w:ind w:left="2" w:right="12" w:hanging="10"/>
        <w:jc w:val="both"/>
      </w:pPr>
      <w:r>
        <w:rPr>
          <w:rFonts w:ascii="Verdana" w:eastAsia="Verdana" w:hAnsi="Verdana" w:cs="Verdana"/>
          <w:sz w:val="20"/>
        </w:rPr>
        <w:t>Current service cost: the increase in pensions liabilities as a result of a year’s service;</w:t>
      </w:r>
    </w:p>
    <w:p w:rsidR="00576F87" w:rsidRDefault="004165F5">
      <w:pPr>
        <w:spacing w:after="164" w:line="264" w:lineRule="auto"/>
        <w:ind w:left="2" w:right="12" w:hanging="10"/>
        <w:jc w:val="both"/>
      </w:pPr>
      <w:r>
        <w:rPr>
          <w:rFonts w:ascii="Verdana" w:eastAsia="Verdana" w:hAnsi="Verdana" w:cs="Verdana"/>
          <w:sz w:val="20"/>
        </w:rPr>
        <w:t>Past service costs: The increase in liabilities as a result of changes to plan arrangements in the current year with subsequent effects to years of service earned by the employee in previous years;</w:t>
      </w:r>
    </w:p>
    <w:p w:rsidR="00576F87" w:rsidRDefault="004165F5">
      <w:pPr>
        <w:spacing w:after="141" w:line="264" w:lineRule="auto"/>
        <w:ind w:left="2" w:right="12" w:hanging="10"/>
        <w:jc w:val="both"/>
      </w:pPr>
      <w:r>
        <w:rPr>
          <w:rFonts w:ascii="Verdana" w:eastAsia="Verdana" w:hAnsi="Verdana" w:cs="Verdana"/>
          <w:sz w:val="20"/>
        </w:rPr>
        <w:t>Interest cost: the increase in the present value of the li</w:t>
      </w:r>
      <w:r>
        <w:rPr>
          <w:rFonts w:ascii="Verdana" w:eastAsia="Verdana" w:hAnsi="Verdana" w:cs="Verdana"/>
          <w:sz w:val="20"/>
        </w:rPr>
        <w:t>abilities during the year as a result of moving one year closer to being paid;</w:t>
      </w:r>
    </w:p>
    <w:p w:rsidR="00576F87" w:rsidRDefault="004165F5">
      <w:pPr>
        <w:spacing w:after="3" w:line="264" w:lineRule="auto"/>
        <w:ind w:left="2" w:right="12" w:hanging="10"/>
        <w:jc w:val="both"/>
      </w:pPr>
      <w:r>
        <w:rPr>
          <w:rFonts w:ascii="Verdana" w:eastAsia="Verdana" w:hAnsi="Verdana" w:cs="Verdana"/>
          <w:sz w:val="20"/>
        </w:rPr>
        <w:t>Change in financial assumptions: changes in the present value of the defined benefit</w:t>
      </w:r>
    </w:p>
    <w:p w:rsidR="00576F87" w:rsidRDefault="004165F5">
      <w:pPr>
        <w:spacing w:after="140" w:line="264" w:lineRule="auto"/>
        <w:ind w:left="2" w:right="12" w:hanging="10"/>
        <w:jc w:val="both"/>
      </w:pPr>
      <w:r>
        <w:rPr>
          <w:rFonts w:ascii="Verdana" w:eastAsia="Verdana" w:hAnsi="Verdana" w:cs="Verdana"/>
          <w:sz w:val="20"/>
        </w:rPr>
        <w:t>obligation resulting from a change in financial assumptions made by the actuary;</w:t>
      </w:r>
    </w:p>
    <w:p w:rsidR="00576F87" w:rsidRDefault="004165F5">
      <w:pPr>
        <w:spacing w:after="141" w:line="264" w:lineRule="auto"/>
        <w:ind w:left="2" w:right="12" w:hanging="10"/>
        <w:jc w:val="both"/>
      </w:pPr>
      <w:r>
        <w:rPr>
          <w:rFonts w:ascii="Verdana" w:eastAsia="Verdana" w:hAnsi="Verdana" w:cs="Verdana"/>
          <w:sz w:val="20"/>
        </w:rPr>
        <w:t>Change in d</w:t>
      </w:r>
      <w:r>
        <w:rPr>
          <w:rFonts w:ascii="Verdana" w:eastAsia="Verdana" w:hAnsi="Verdana" w:cs="Verdana"/>
          <w:sz w:val="20"/>
        </w:rPr>
        <w:t>emographic assumptions: changes in the present value of the defined benefit obligation resulting from a change in demographic assumptions made by the actuary;</w:t>
      </w:r>
    </w:p>
    <w:p w:rsidR="00576F87" w:rsidRDefault="004165F5">
      <w:pPr>
        <w:spacing w:after="178" w:line="264" w:lineRule="auto"/>
        <w:ind w:left="2" w:right="12" w:hanging="10"/>
        <w:jc w:val="both"/>
      </w:pPr>
      <w:r>
        <w:rPr>
          <w:rFonts w:ascii="Verdana" w:eastAsia="Verdana" w:hAnsi="Verdana" w:cs="Verdana"/>
          <w:sz w:val="20"/>
        </w:rPr>
        <w:t>Experience loss/(gain) on defined benefit obligation: changes in the present value of the defined</w:t>
      </w:r>
      <w:r>
        <w:rPr>
          <w:rFonts w:ascii="Verdana" w:eastAsia="Verdana" w:hAnsi="Verdana" w:cs="Verdana"/>
          <w:sz w:val="20"/>
        </w:rPr>
        <w:t xml:space="preserve"> benefit obligation resulting from the effects of the differences between the previous actuarial assumptions and what has actually occurred;</w:t>
      </w:r>
    </w:p>
    <w:p w:rsidR="00576F87" w:rsidRDefault="004165F5">
      <w:pPr>
        <w:spacing w:after="449" w:line="264" w:lineRule="auto"/>
        <w:ind w:left="2" w:right="12" w:hanging="10"/>
        <w:jc w:val="both"/>
      </w:pPr>
      <w:r>
        <w:rPr>
          <w:rFonts w:ascii="Verdana" w:eastAsia="Verdana" w:hAnsi="Verdana" w:cs="Verdana"/>
          <w:sz w:val="20"/>
        </w:rPr>
        <w:t>Unfunded pension payments: the decrease in scheme liabilities due to payments made to pensioners in the year.</w:t>
      </w:r>
    </w:p>
    <w:p w:rsidR="00576F87" w:rsidRDefault="004165F5">
      <w:pPr>
        <w:pStyle w:val="Heading2"/>
        <w:spacing w:after="145"/>
        <w:ind w:left="17"/>
      </w:pPr>
      <w:r>
        <w:t>3. Financial Risk Management</w:t>
      </w:r>
    </w:p>
    <w:p w:rsidR="00576F87" w:rsidRDefault="004165F5">
      <w:pPr>
        <w:spacing w:after="3" w:line="264" w:lineRule="auto"/>
        <w:ind w:left="2" w:right="12" w:hanging="10"/>
        <w:jc w:val="both"/>
      </w:pPr>
      <w:r>
        <w:rPr>
          <w:rFonts w:ascii="Verdana" w:eastAsia="Verdana" w:hAnsi="Verdana" w:cs="Verdana"/>
          <w:sz w:val="20"/>
        </w:rPr>
        <w:t>The LPFA activities expose it to a variety of financial risks in respect of financial instruments. These have been outlined in the financial statements of the pension fund.</w:t>
      </w:r>
    </w:p>
    <w:p w:rsidR="00576F87" w:rsidRDefault="004165F5">
      <w:pPr>
        <w:pStyle w:val="Heading2"/>
        <w:spacing w:after="243"/>
        <w:ind w:left="17"/>
      </w:pPr>
      <w:r>
        <w:t>4. Critical Accounting Estimates and Judgment</w:t>
      </w:r>
    </w:p>
    <w:p w:rsidR="00576F87" w:rsidRDefault="004165F5">
      <w:pPr>
        <w:pStyle w:val="Heading3"/>
        <w:ind w:left="5"/>
      </w:pPr>
      <w:r>
        <w:t>Provisio</w:t>
      </w:r>
      <w:r>
        <w:t>n</w:t>
      </w:r>
    </w:p>
    <w:p w:rsidR="00576F87" w:rsidRDefault="004165F5">
      <w:pPr>
        <w:spacing w:after="373" w:line="264" w:lineRule="auto"/>
        <w:ind w:left="2" w:right="12" w:hanging="10"/>
        <w:jc w:val="both"/>
      </w:pPr>
      <w:r>
        <w:rPr>
          <w:rFonts w:ascii="Verdana" w:eastAsia="Verdana" w:hAnsi="Verdana" w:cs="Verdana"/>
          <w:sz w:val="20"/>
        </w:rPr>
        <w:t>LPFA have set aside a provision for its liabilities to meet the costs of asbestosis claims from former employees of the GLC and the ILEA. The provision is based on knowledge of existing claims and estimates of future claims’ liabilities. LPFA also has an e</w:t>
      </w:r>
      <w:r>
        <w:rPr>
          <w:rFonts w:ascii="Verdana" w:eastAsia="Verdana" w:hAnsi="Verdana" w:cs="Verdana"/>
          <w:sz w:val="20"/>
        </w:rPr>
        <w:t>stimate of future reimbursement of these costs from the London boroughs. The LPFA has been exploring the possibility that insurers of the GLC and ILEA may be liable in part for these costs as well as awaiting the impact that recent legislation in this area</w:t>
      </w:r>
      <w:r>
        <w:rPr>
          <w:rFonts w:ascii="Verdana" w:eastAsia="Verdana" w:hAnsi="Verdana" w:cs="Verdana"/>
          <w:sz w:val="20"/>
        </w:rPr>
        <w:t xml:space="preserve"> may have on future costs. Any potential impact will take a number of years to assess.</w:t>
      </w:r>
    </w:p>
    <w:p w:rsidR="00576F87" w:rsidRDefault="004165F5">
      <w:pPr>
        <w:pStyle w:val="Heading3"/>
        <w:spacing w:after="252"/>
        <w:ind w:left="5"/>
      </w:pPr>
      <w:r>
        <w:t>Pensions Liability</w:t>
      </w:r>
    </w:p>
    <w:p w:rsidR="00576F87" w:rsidRDefault="004165F5">
      <w:pPr>
        <w:spacing w:after="464" w:line="264" w:lineRule="auto"/>
        <w:ind w:left="2" w:right="12" w:hanging="10"/>
        <w:jc w:val="both"/>
      </w:pPr>
      <w:r>
        <w:rPr>
          <w:rFonts w:ascii="Verdana" w:eastAsia="Verdana" w:hAnsi="Verdana" w:cs="Verdana"/>
          <w:sz w:val="20"/>
        </w:rPr>
        <w:t>Estimation of the net liability to pay pensions depend on a number of complex judgements relating to the discount rate used, the rate at which salarie</w:t>
      </w:r>
      <w:r>
        <w:rPr>
          <w:rFonts w:ascii="Verdana" w:eastAsia="Verdana" w:hAnsi="Verdana" w:cs="Verdana"/>
          <w:sz w:val="20"/>
        </w:rPr>
        <w:t xml:space="preserve">s are projected to increase, changes in retirement ages, mortality rates and expected returns on pension fund assets. A firm of consulting actuaries are engaged to provide LPFA with expert advice about the assumptions to be applied. However, because these </w:t>
      </w:r>
      <w:r>
        <w:rPr>
          <w:rFonts w:ascii="Verdana" w:eastAsia="Verdana" w:hAnsi="Verdana" w:cs="Verdana"/>
          <w:sz w:val="20"/>
        </w:rPr>
        <w:t>judgements cannot be determined with certainty, actual results could be materially different from the assumptions and estimates.</w:t>
      </w:r>
    </w:p>
    <w:p w:rsidR="00576F87" w:rsidRDefault="004165F5">
      <w:pPr>
        <w:pStyle w:val="Heading2"/>
        <w:spacing w:after="102"/>
        <w:ind w:left="17"/>
      </w:pPr>
      <w:r>
        <w:t>5. Segmental Information</w:t>
      </w:r>
    </w:p>
    <w:p w:rsidR="00576F87" w:rsidRDefault="004165F5">
      <w:pPr>
        <w:spacing w:after="392" w:line="264" w:lineRule="auto"/>
        <w:ind w:left="2" w:right="12" w:hanging="10"/>
        <w:jc w:val="both"/>
      </w:pPr>
      <w:r>
        <w:rPr>
          <w:rFonts w:ascii="Verdana" w:eastAsia="Verdana" w:hAnsi="Verdana" w:cs="Verdana"/>
          <w:sz w:val="20"/>
        </w:rPr>
        <w:t>Management do not report segmental information in their monthly management accounts, hence the financi</w:t>
      </w:r>
      <w:r>
        <w:rPr>
          <w:rFonts w:ascii="Verdana" w:eastAsia="Verdana" w:hAnsi="Verdana" w:cs="Verdana"/>
          <w:sz w:val="20"/>
        </w:rPr>
        <w:t>al statements for the Residual Liabilities Account have been presented reflecting the non-segmental nature of the entity’s operations.</w:t>
      </w:r>
    </w:p>
    <w:p w:rsidR="00576F87" w:rsidRDefault="004165F5">
      <w:pPr>
        <w:pStyle w:val="Heading2"/>
        <w:spacing w:after="162"/>
        <w:ind w:left="17"/>
      </w:pPr>
      <w:r>
        <w:t>6. Asbestosis Provision</w:t>
      </w:r>
    </w:p>
    <w:p w:rsidR="00576F87" w:rsidRDefault="004165F5">
      <w:pPr>
        <w:spacing w:after="3" w:line="264" w:lineRule="auto"/>
        <w:ind w:left="2" w:right="12" w:hanging="10"/>
        <w:jc w:val="both"/>
      </w:pPr>
      <w:r>
        <w:rPr>
          <w:rFonts w:ascii="Verdana" w:eastAsia="Verdana" w:hAnsi="Verdana" w:cs="Verdana"/>
          <w:sz w:val="20"/>
        </w:rPr>
        <w:t>The GLC is responsible for the settlement of claims made by former employees of the GLC and the I</w:t>
      </w:r>
      <w:r>
        <w:rPr>
          <w:rFonts w:ascii="Verdana" w:eastAsia="Verdana" w:hAnsi="Verdana" w:cs="Verdana"/>
          <w:sz w:val="20"/>
        </w:rPr>
        <w:t>LEA who have become injured as a result of exposure to asbestos. Due to the long periods over which this illness can lay dormant the normal deadline for submitting injury claims has been waived. This means that the LPFA has liabilities estimated to last un</w:t>
      </w:r>
      <w:r>
        <w:rPr>
          <w:rFonts w:ascii="Verdana" w:eastAsia="Verdana" w:hAnsi="Verdana" w:cs="Verdana"/>
          <w:sz w:val="20"/>
        </w:rPr>
        <w:t>til about 2035. A provision has been established for the injury claims. The provision is based on knowledge of existing claims and estimates of future claims’ liabilities. The costs have been estimated in discussion with our legal advisers and take into ac</w:t>
      </w:r>
      <w:r>
        <w:rPr>
          <w:rFonts w:ascii="Verdana" w:eastAsia="Verdana" w:hAnsi="Verdana" w:cs="Verdana"/>
          <w:sz w:val="20"/>
        </w:rPr>
        <w:t>count previous experience of claims over the last 20 years. The costs are met through the levy on the London boroughs. The future profile of claims is used to smooth any changes in the levy to, as far as possible, limit any changes to the levy, until it gr</w:t>
      </w:r>
      <w:r>
        <w:rPr>
          <w:rFonts w:ascii="Verdana" w:eastAsia="Verdana" w:hAnsi="Verdana" w:cs="Verdana"/>
          <w:sz w:val="20"/>
        </w:rPr>
        <w:t>adually decreases as the final liabilities are met. The LPFA does not fund these costs as they are passed on to the appropriate Greater London or Inner London Borough Councils who have a legal duty to reimburse the LPFA. As there is certainty that these co</w:t>
      </w:r>
      <w:r>
        <w:rPr>
          <w:rFonts w:ascii="Verdana" w:eastAsia="Verdana" w:hAnsi="Verdana" w:cs="Verdana"/>
          <w:sz w:val="20"/>
        </w:rPr>
        <w:t xml:space="preserve">sts will be reimbursed the future costs are offset by the reimbursed future income in the Comprehensive Income and Expenditure Statement and are shown separately on the balance sheet of the Residual Liability Fund. The movement in the asbestosis provision </w:t>
      </w:r>
      <w:r>
        <w:rPr>
          <w:rFonts w:ascii="Verdana" w:eastAsia="Verdana" w:hAnsi="Verdana" w:cs="Verdana"/>
          <w:sz w:val="20"/>
        </w:rPr>
        <w:t>over the year is as follows.</w:t>
      </w:r>
    </w:p>
    <w:p w:rsidR="00576F87" w:rsidRDefault="00576F87">
      <w:pPr>
        <w:sectPr w:rsidR="00576F87">
          <w:headerReference w:type="even" r:id="rId169"/>
          <w:headerReference w:type="default" r:id="rId170"/>
          <w:footerReference w:type="even" r:id="rId171"/>
          <w:footerReference w:type="default" r:id="rId172"/>
          <w:headerReference w:type="first" r:id="rId173"/>
          <w:footerReference w:type="first" r:id="rId174"/>
          <w:pgSz w:w="11900" w:h="16840"/>
          <w:pgMar w:top="2063" w:right="1409" w:bottom="2721" w:left="1061" w:header="1441" w:footer="720" w:gutter="0"/>
          <w:cols w:space="720"/>
        </w:sectPr>
      </w:pPr>
    </w:p>
    <w:p w:rsidR="00576F87" w:rsidRDefault="004165F5">
      <w:pPr>
        <w:pStyle w:val="Heading2"/>
        <w:ind w:left="17"/>
      </w:pPr>
      <w:r>
        <w:t>6. Asbestosis Provision</w:t>
      </w:r>
    </w:p>
    <w:tbl>
      <w:tblPr>
        <w:tblStyle w:val="TableGrid"/>
        <w:tblW w:w="10006" w:type="dxa"/>
        <w:tblInd w:w="-38" w:type="dxa"/>
        <w:tblCellMar>
          <w:top w:w="64" w:type="dxa"/>
          <w:left w:w="0" w:type="dxa"/>
          <w:bottom w:w="29" w:type="dxa"/>
          <w:right w:w="0" w:type="dxa"/>
        </w:tblCellMar>
        <w:tblLook w:val="04A0" w:firstRow="1" w:lastRow="0" w:firstColumn="1" w:lastColumn="0" w:noHBand="0" w:noVBand="1"/>
      </w:tblPr>
      <w:tblGrid>
        <w:gridCol w:w="1224"/>
        <w:gridCol w:w="1224"/>
        <w:gridCol w:w="1224"/>
        <w:gridCol w:w="2609"/>
        <w:gridCol w:w="211"/>
        <w:gridCol w:w="1224"/>
        <w:gridCol w:w="1032"/>
        <w:gridCol w:w="1258"/>
      </w:tblGrid>
      <w:tr w:rsidR="00576F87">
        <w:trPr>
          <w:trHeight w:val="854"/>
        </w:trPr>
        <w:tc>
          <w:tcPr>
            <w:tcW w:w="1224" w:type="dxa"/>
            <w:tcBorders>
              <w:top w:val="single" w:sz="15" w:space="0" w:color="35437C"/>
              <w:left w:val="single" w:sz="15" w:space="0" w:color="35437C"/>
              <w:bottom w:val="single" w:sz="8" w:space="0" w:color="35437C"/>
              <w:right w:val="nil"/>
            </w:tcBorders>
            <w:shd w:val="clear" w:color="auto" w:fill="35437C"/>
            <w:vAlign w:val="bottom"/>
          </w:tcPr>
          <w:p w:rsidR="00576F87" w:rsidRDefault="004165F5">
            <w:pPr>
              <w:spacing w:after="0"/>
              <w:ind w:right="36"/>
              <w:jc w:val="right"/>
            </w:pPr>
            <w:r>
              <w:rPr>
                <w:rFonts w:ascii="Verdana" w:eastAsia="Verdana" w:hAnsi="Verdana" w:cs="Verdana"/>
                <w:b/>
                <w:color w:val="FFFFFF"/>
                <w:sz w:val="16"/>
              </w:rPr>
              <w:t xml:space="preserve">Greater </w:t>
            </w:r>
          </w:p>
          <w:p w:rsidR="00576F87" w:rsidRDefault="004165F5">
            <w:pPr>
              <w:spacing w:after="0"/>
              <w:ind w:right="36"/>
              <w:jc w:val="right"/>
            </w:pPr>
            <w:r>
              <w:rPr>
                <w:rFonts w:ascii="Verdana" w:eastAsia="Verdana" w:hAnsi="Verdana" w:cs="Verdana"/>
                <w:b/>
                <w:color w:val="FFFFFF"/>
                <w:sz w:val="16"/>
              </w:rPr>
              <w:t>London</w:t>
            </w:r>
          </w:p>
        </w:tc>
        <w:tc>
          <w:tcPr>
            <w:tcW w:w="1224" w:type="dxa"/>
            <w:tcBorders>
              <w:top w:val="single" w:sz="15" w:space="0" w:color="35437C"/>
              <w:left w:val="nil"/>
              <w:bottom w:val="single" w:sz="8" w:space="0" w:color="35437C"/>
              <w:right w:val="nil"/>
            </w:tcBorders>
            <w:shd w:val="clear" w:color="auto" w:fill="35437C"/>
          </w:tcPr>
          <w:p w:rsidR="00576F87" w:rsidRDefault="004165F5">
            <w:pPr>
              <w:spacing w:after="120"/>
              <w:ind w:left="214"/>
            </w:pPr>
            <w:r>
              <w:rPr>
                <w:rFonts w:ascii="Verdana" w:eastAsia="Verdana" w:hAnsi="Verdana" w:cs="Verdana"/>
                <w:b/>
                <w:color w:val="FFFFFF"/>
                <w:sz w:val="16"/>
              </w:rPr>
              <w:t>2016/17</w:t>
            </w:r>
          </w:p>
          <w:p w:rsidR="00576F87" w:rsidRDefault="004165F5">
            <w:pPr>
              <w:spacing w:after="0"/>
              <w:ind w:right="37"/>
              <w:jc w:val="right"/>
            </w:pPr>
            <w:r>
              <w:rPr>
                <w:rFonts w:ascii="Verdana" w:eastAsia="Verdana" w:hAnsi="Verdana" w:cs="Verdana"/>
                <w:b/>
                <w:color w:val="FFFFFF"/>
                <w:sz w:val="16"/>
              </w:rPr>
              <w:t xml:space="preserve">Inner </w:t>
            </w:r>
          </w:p>
          <w:p w:rsidR="00576F87" w:rsidRDefault="004165F5">
            <w:pPr>
              <w:spacing w:after="0"/>
              <w:ind w:right="36"/>
              <w:jc w:val="right"/>
            </w:pPr>
            <w:r>
              <w:rPr>
                <w:rFonts w:ascii="Verdana" w:eastAsia="Verdana" w:hAnsi="Verdana" w:cs="Verdana"/>
                <w:b/>
                <w:color w:val="FFFFFF"/>
                <w:sz w:val="16"/>
              </w:rPr>
              <w:t>London</w:t>
            </w:r>
          </w:p>
        </w:tc>
        <w:tc>
          <w:tcPr>
            <w:tcW w:w="1224" w:type="dxa"/>
            <w:tcBorders>
              <w:top w:val="single" w:sz="15" w:space="0" w:color="35437C"/>
              <w:left w:val="nil"/>
              <w:bottom w:val="single" w:sz="8" w:space="0" w:color="35437C"/>
              <w:right w:val="single" w:sz="8" w:space="0" w:color="35437C"/>
            </w:tcBorders>
            <w:shd w:val="clear" w:color="auto" w:fill="35437C"/>
            <w:vAlign w:val="bottom"/>
          </w:tcPr>
          <w:p w:rsidR="00576F87" w:rsidRDefault="004165F5">
            <w:pPr>
              <w:spacing w:after="0"/>
              <w:ind w:right="36"/>
              <w:jc w:val="right"/>
            </w:pPr>
            <w:r>
              <w:rPr>
                <w:rFonts w:ascii="Verdana" w:eastAsia="Verdana" w:hAnsi="Verdana" w:cs="Verdana"/>
                <w:b/>
                <w:color w:val="FFFFFF"/>
                <w:sz w:val="16"/>
              </w:rPr>
              <w:t>Total</w:t>
            </w:r>
          </w:p>
        </w:tc>
        <w:tc>
          <w:tcPr>
            <w:tcW w:w="2609" w:type="dxa"/>
            <w:tcBorders>
              <w:top w:val="single" w:sz="15" w:space="0" w:color="35437C"/>
              <w:left w:val="single" w:sz="8" w:space="0" w:color="35437C"/>
              <w:bottom w:val="single" w:sz="8" w:space="0" w:color="35437C"/>
              <w:right w:val="nil"/>
            </w:tcBorders>
            <w:shd w:val="clear" w:color="auto" w:fill="35437C"/>
            <w:vAlign w:val="bottom"/>
          </w:tcPr>
          <w:p w:rsidR="00576F87" w:rsidRDefault="004165F5">
            <w:pPr>
              <w:spacing w:after="0"/>
              <w:ind w:left="38"/>
            </w:pPr>
            <w:r>
              <w:rPr>
                <w:rFonts w:ascii="Verdana" w:eastAsia="Verdana" w:hAnsi="Verdana" w:cs="Verdana"/>
                <w:b/>
                <w:color w:val="FFFFFF"/>
                <w:sz w:val="16"/>
              </w:rPr>
              <w:t>ASBESTOSIS PROVISION</w:t>
            </w:r>
          </w:p>
        </w:tc>
        <w:tc>
          <w:tcPr>
            <w:tcW w:w="211" w:type="dxa"/>
            <w:tcBorders>
              <w:top w:val="single" w:sz="15" w:space="0" w:color="35437C"/>
              <w:left w:val="nil"/>
              <w:bottom w:val="single" w:sz="8" w:space="0" w:color="35437C"/>
              <w:right w:val="single" w:sz="8" w:space="0" w:color="35437C"/>
            </w:tcBorders>
            <w:shd w:val="clear" w:color="auto" w:fill="35437C"/>
          </w:tcPr>
          <w:p w:rsidR="00576F87" w:rsidRDefault="00576F87"/>
        </w:tc>
        <w:tc>
          <w:tcPr>
            <w:tcW w:w="1224" w:type="dxa"/>
            <w:tcBorders>
              <w:top w:val="single" w:sz="15" w:space="0" w:color="35437C"/>
              <w:left w:val="single" w:sz="8" w:space="0" w:color="35437C"/>
              <w:bottom w:val="single" w:sz="8" w:space="0" w:color="35437C"/>
              <w:right w:val="nil"/>
            </w:tcBorders>
            <w:shd w:val="clear" w:color="auto" w:fill="35437C"/>
            <w:vAlign w:val="bottom"/>
          </w:tcPr>
          <w:p w:rsidR="00576F87" w:rsidRDefault="004165F5">
            <w:pPr>
              <w:spacing w:after="0"/>
              <w:ind w:right="36"/>
              <w:jc w:val="right"/>
            </w:pPr>
            <w:r>
              <w:rPr>
                <w:rFonts w:ascii="Verdana" w:eastAsia="Verdana" w:hAnsi="Verdana" w:cs="Verdana"/>
                <w:b/>
                <w:color w:val="FFFFFF"/>
                <w:sz w:val="16"/>
              </w:rPr>
              <w:t xml:space="preserve">Greater </w:t>
            </w:r>
          </w:p>
          <w:p w:rsidR="00576F87" w:rsidRDefault="004165F5">
            <w:pPr>
              <w:spacing w:after="0"/>
              <w:ind w:right="36"/>
              <w:jc w:val="right"/>
            </w:pPr>
            <w:r>
              <w:rPr>
                <w:rFonts w:ascii="Verdana" w:eastAsia="Verdana" w:hAnsi="Verdana" w:cs="Verdana"/>
                <w:b/>
                <w:color w:val="FFFFFF"/>
                <w:sz w:val="16"/>
              </w:rPr>
              <w:t>London</w:t>
            </w:r>
          </w:p>
        </w:tc>
        <w:tc>
          <w:tcPr>
            <w:tcW w:w="1032" w:type="dxa"/>
            <w:tcBorders>
              <w:top w:val="single" w:sz="15" w:space="0" w:color="35437C"/>
              <w:left w:val="nil"/>
              <w:bottom w:val="single" w:sz="8" w:space="0" w:color="35437C"/>
              <w:right w:val="nil"/>
            </w:tcBorders>
            <w:shd w:val="clear" w:color="auto" w:fill="35437C"/>
          </w:tcPr>
          <w:p w:rsidR="00576F87" w:rsidRDefault="004165F5">
            <w:pPr>
              <w:spacing w:after="120"/>
              <w:ind w:left="134"/>
            </w:pPr>
            <w:r>
              <w:rPr>
                <w:rFonts w:ascii="Verdana" w:eastAsia="Verdana" w:hAnsi="Verdana" w:cs="Verdana"/>
                <w:b/>
                <w:color w:val="FFFFFF"/>
                <w:sz w:val="16"/>
              </w:rPr>
              <w:t>2017/18</w:t>
            </w:r>
          </w:p>
          <w:p w:rsidR="00576F87" w:rsidRDefault="004165F5">
            <w:pPr>
              <w:spacing w:after="0"/>
              <w:ind w:right="37"/>
              <w:jc w:val="right"/>
            </w:pPr>
            <w:r>
              <w:rPr>
                <w:rFonts w:ascii="Verdana" w:eastAsia="Verdana" w:hAnsi="Verdana" w:cs="Verdana"/>
                <w:b/>
                <w:color w:val="FFFFFF"/>
                <w:sz w:val="16"/>
              </w:rPr>
              <w:t xml:space="preserve">Inner </w:t>
            </w:r>
          </w:p>
          <w:p w:rsidR="00576F87" w:rsidRDefault="004165F5">
            <w:pPr>
              <w:spacing w:after="0"/>
              <w:ind w:right="36"/>
              <w:jc w:val="right"/>
            </w:pPr>
            <w:r>
              <w:rPr>
                <w:rFonts w:ascii="Verdana" w:eastAsia="Verdana" w:hAnsi="Verdana" w:cs="Verdana"/>
                <w:b/>
                <w:color w:val="FFFFFF"/>
                <w:sz w:val="16"/>
              </w:rPr>
              <w:t>London</w:t>
            </w:r>
          </w:p>
        </w:tc>
        <w:tc>
          <w:tcPr>
            <w:tcW w:w="1258" w:type="dxa"/>
            <w:tcBorders>
              <w:top w:val="single" w:sz="15" w:space="0" w:color="35437C"/>
              <w:left w:val="nil"/>
              <w:bottom w:val="single" w:sz="8" w:space="0" w:color="35437C"/>
              <w:right w:val="single" w:sz="15" w:space="0" w:color="35437C"/>
            </w:tcBorders>
            <w:shd w:val="clear" w:color="auto" w:fill="35437C"/>
            <w:vAlign w:val="bottom"/>
          </w:tcPr>
          <w:p w:rsidR="00576F87" w:rsidRDefault="004165F5">
            <w:pPr>
              <w:spacing w:after="0"/>
              <w:ind w:right="36"/>
              <w:jc w:val="right"/>
            </w:pPr>
            <w:r>
              <w:rPr>
                <w:rFonts w:ascii="Verdana" w:eastAsia="Verdana" w:hAnsi="Verdana" w:cs="Verdana"/>
                <w:b/>
                <w:color w:val="FFFFFF"/>
                <w:sz w:val="16"/>
              </w:rPr>
              <w:t>Total</w:t>
            </w:r>
          </w:p>
        </w:tc>
      </w:tr>
      <w:tr w:rsidR="00576F87">
        <w:trPr>
          <w:trHeight w:val="290"/>
        </w:trPr>
        <w:tc>
          <w:tcPr>
            <w:tcW w:w="1224"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2609" w:type="dxa"/>
            <w:tcBorders>
              <w:top w:val="single" w:sz="8" w:space="0" w:color="35437C"/>
              <w:left w:val="single" w:sz="8" w:space="0" w:color="35437C"/>
              <w:bottom w:val="single" w:sz="8" w:space="0" w:color="35437C"/>
              <w:right w:val="nil"/>
            </w:tcBorders>
          </w:tcPr>
          <w:p w:rsidR="00576F87" w:rsidRDefault="00576F87"/>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125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rPr>
                <w:rFonts w:ascii="Verdana" w:eastAsia="Verdana" w:hAnsi="Verdana" w:cs="Verdana"/>
                <w:b/>
                <w:sz w:val="16"/>
              </w:rPr>
              <w:t>£000</w:t>
            </w:r>
          </w:p>
        </w:tc>
      </w:tr>
      <w:tr w:rsidR="00576F87">
        <w:trPr>
          <w:trHeight w:val="290"/>
        </w:trPr>
        <w:tc>
          <w:tcPr>
            <w:tcW w:w="1224"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sz w:val="16"/>
              </w:rPr>
              <w:t>(39,520)</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2"/>
              <w:jc w:val="right"/>
            </w:pPr>
            <w:r>
              <w:rPr>
                <w:rFonts w:ascii="Verdana" w:eastAsia="Verdana" w:hAnsi="Verdana" w:cs="Verdana"/>
                <w:sz w:val="16"/>
              </w:rPr>
              <w:t>(3,322)</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sz w:val="16"/>
              </w:rPr>
              <w:t>(42,842)</w:t>
            </w:r>
          </w:p>
        </w:tc>
        <w:tc>
          <w:tcPr>
            <w:tcW w:w="2609" w:type="dxa"/>
            <w:tcBorders>
              <w:top w:val="single" w:sz="8" w:space="0" w:color="35437C"/>
              <w:left w:val="single" w:sz="8" w:space="0" w:color="35437C"/>
              <w:bottom w:val="single" w:sz="8" w:space="0" w:color="35437C"/>
              <w:right w:val="nil"/>
            </w:tcBorders>
          </w:tcPr>
          <w:p w:rsidR="00576F87" w:rsidRDefault="004165F5">
            <w:pPr>
              <w:spacing w:after="0"/>
              <w:ind w:left="38"/>
            </w:pPr>
            <w:r>
              <w:rPr>
                <w:rFonts w:ascii="Verdana" w:eastAsia="Verdana" w:hAnsi="Verdana" w:cs="Verdana"/>
                <w:b/>
                <w:sz w:val="16"/>
              </w:rPr>
              <w:t>At 1 April</w:t>
            </w:r>
          </w:p>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sz w:val="16"/>
              </w:rPr>
              <w:t>(59,156)</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2"/>
              <w:jc w:val="right"/>
            </w:pPr>
            <w:r>
              <w:rPr>
                <w:rFonts w:ascii="Verdana" w:eastAsia="Verdana" w:hAnsi="Verdana" w:cs="Verdana"/>
                <w:sz w:val="16"/>
              </w:rPr>
              <w:t>(5,292)</w:t>
            </w:r>
          </w:p>
        </w:tc>
        <w:tc>
          <w:tcPr>
            <w:tcW w:w="125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3"/>
              <w:jc w:val="right"/>
            </w:pPr>
            <w:r>
              <w:rPr>
                <w:rFonts w:ascii="Verdana" w:eastAsia="Verdana" w:hAnsi="Verdana" w:cs="Verdana"/>
                <w:sz w:val="16"/>
              </w:rPr>
              <w:t>(64,448)</w:t>
            </w:r>
          </w:p>
        </w:tc>
      </w:tr>
      <w:tr w:rsidR="00576F87">
        <w:trPr>
          <w:trHeight w:val="202"/>
        </w:trPr>
        <w:tc>
          <w:tcPr>
            <w:tcW w:w="1224" w:type="dxa"/>
            <w:tcBorders>
              <w:top w:val="single" w:sz="8" w:space="0" w:color="35437C"/>
              <w:left w:val="single" w:sz="15"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2609" w:type="dxa"/>
            <w:tcBorders>
              <w:top w:val="single" w:sz="8" w:space="0" w:color="35437C"/>
              <w:left w:val="single" w:sz="8" w:space="0" w:color="35437C"/>
              <w:bottom w:val="single" w:sz="8" w:space="0" w:color="35437C"/>
              <w:right w:val="nil"/>
            </w:tcBorders>
          </w:tcPr>
          <w:p w:rsidR="00576F87" w:rsidRDefault="00576F87"/>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1224"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sz w:val="16"/>
              </w:rPr>
              <w:t>(19,960)</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2"/>
              <w:jc w:val="right"/>
            </w:pPr>
            <w:r>
              <w:rPr>
                <w:rFonts w:ascii="Verdana" w:eastAsia="Verdana" w:hAnsi="Verdana" w:cs="Verdana"/>
                <w:sz w:val="16"/>
              </w:rPr>
              <w:t>(2,174)</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sz w:val="16"/>
              </w:rPr>
              <w:t>(22,134)</w:t>
            </w:r>
          </w:p>
        </w:tc>
        <w:tc>
          <w:tcPr>
            <w:tcW w:w="2609" w:type="dxa"/>
            <w:tcBorders>
              <w:top w:val="single" w:sz="8" w:space="0" w:color="35437C"/>
              <w:left w:val="single" w:sz="8" w:space="0" w:color="35437C"/>
              <w:bottom w:val="single" w:sz="8" w:space="0" w:color="35437C"/>
              <w:right w:val="nil"/>
            </w:tcBorders>
          </w:tcPr>
          <w:p w:rsidR="00576F87" w:rsidRDefault="004165F5">
            <w:pPr>
              <w:spacing w:after="0"/>
              <w:ind w:left="36"/>
            </w:pPr>
            <w:r>
              <w:rPr>
                <w:rFonts w:ascii="Verdana" w:eastAsia="Verdana" w:hAnsi="Verdana" w:cs="Verdana"/>
                <w:sz w:val="16"/>
              </w:rPr>
              <w:t>Decrease to provision</w:t>
            </w:r>
          </w:p>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6"/>
              </w:rPr>
              <w:t>6,651</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6"/>
              </w:rPr>
              <w:t>655</w:t>
            </w:r>
          </w:p>
        </w:tc>
        <w:tc>
          <w:tcPr>
            <w:tcW w:w="125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4"/>
              <w:jc w:val="right"/>
            </w:pPr>
            <w:r>
              <w:rPr>
                <w:rFonts w:ascii="Verdana" w:eastAsia="Verdana" w:hAnsi="Verdana" w:cs="Verdana"/>
                <w:sz w:val="16"/>
              </w:rPr>
              <w:t>7,306</w:t>
            </w:r>
          </w:p>
        </w:tc>
      </w:tr>
      <w:tr w:rsidR="00576F87">
        <w:trPr>
          <w:trHeight w:val="492"/>
        </w:trPr>
        <w:tc>
          <w:tcPr>
            <w:tcW w:w="1224" w:type="dxa"/>
            <w:tcBorders>
              <w:top w:val="single" w:sz="8" w:space="0" w:color="35437C"/>
              <w:left w:val="single" w:sz="15" w:space="0" w:color="35437C"/>
              <w:bottom w:val="single" w:sz="8" w:space="0" w:color="35437C"/>
              <w:right w:val="single" w:sz="8" w:space="0" w:color="35437C"/>
            </w:tcBorders>
            <w:vAlign w:val="center"/>
          </w:tcPr>
          <w:p w:rsidR="00576F87" w:rsidRDefault="004165F5">
            <w:pPr>
              <w:spacing w:after="0"/>
              <w:ind w:right="34"/>
              <w:jc w:val="right"/>
            </w:pPr>
            <w:r>
              <w:rPr>
                <w:rFonts w:ascii="Verdana" w:eastAsia="Verdana" w:hAnsi="Verdana" w:cs="Verdana"/>
                <w:sz w:val="16"/>
              </w:rPr>
              <w:t>324</w:t>
            </w:r>
          </w:p>
        </w:tc>
        <w:tc>
          <w:tcPr>
            <w:tcW w:w="1224"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4"/>
              <w:jc w:val="right"/>
            </w:pPr>
            <w:r>
              <w:rPr>
                <w:rFonts w:ascii="Verdana" w:eastAsia="Verdana" w:hAnsi="Verdana" w:cs="Verdana"/>
                <w:sz w:val="16"/>
              </w:rPr>
              <w:t>204</w:t>
            </w:r>
          </w:p>
        </w:tc>
        <w:tc>
          <w:tcPr>
            <w:tcW w:w="1224"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4"/>
              <w:jc w:val="right"/>
            </w:pPr>
            <w:r>
              <w:rPr>
                <w:rFonts w:ascii="Verdana" w:eastAsia="Verdana" w:hAnsi="Verdana" w:cs="Verdana"/>
                <w:sz w:val="16"/>
              </w:rPr>
              <w:t>528</w:t>
            </w:r>
          </w:p>
        </w:tc>
        <w:tc>
          <w:tcPr>
            <w:tcW w:w="2609" w:type="dxa"/>
            <w:tcBorders>
              <w:top w:val="single" w:sz="8" w:space="0" w:color="35437C"/>
              <w:left w:val="single" w:sz="8" w:space="0" w:color="35437C"/>
              <w:bottom w:val="single" w:sz="8" w:space="0" w:color="35437C"/>
              <w:right w:val="nil"/>
            </w:tcBorders>
            <w:vAlign w:val="bottom"/>
          </w:tcPr>
          <w:p w:rsidR="00576F87" w:rsidRDefault="004165F5">
            <w:pPr>
              <w:spacing w:after="0"/>
              <w:ind w:left="36"/>
            </w:pPr>
            <w:r>
              <w:rPr>
                <w:rFonts w:ascii="Verdana" w:eastAsia="Verdana" w:hAnsi="Verdana" w:cs="Verdana"/>
                <w:sz w:val="16"/>
              </w:rPr>
              <w:t>Amount used during the year</w:t>
            </w:r>
          </w:p>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4"/>
              <w:jc w:val="right"/>
            </w:pPr>
            <w:r>
              <w:rPr>
                <w:rFonts w:ascii="Verdana" w:eastAsia="Verdana" w:hAnsi="Verdana" w:cs="Verdana"/>
                <w:sz w:val="16"/>
              </w:rPr>
              <w:t>1,321</w:t>
            </w:r>
          </w:p>
        </w:tc>
        <w:tc>
          <w:tcPr>
            <w:tcW w:w="103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3"/>
              <w:jc w:val="right"/>
            </w:pPr>
            <w:r>
              <w:rPr>
                <w:rFonts w:ascii="Verdana" w:eastAsia="Verdana" w:hAnsi="Verdana" w:cs="Verdana"/>
                <w:sz w:val="16"/>
              </w:rPr>
              <w:t>19</w:t>
            </w:r>
          </w:p>
        </w:tc>
        <w:tc>
          <w:tcPr>
            <w:tcW w:w="1258"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34"/>
              <w:jc w:val="right"/>
            </w:pPr>
            <w:r>
              <w:rPr>
                <w:rFonts w:ascii="Verdana" w:eastAsia="Verdana" w:hAnsi="Verdana" w:cs="Verdana"/>
                <w:sz w:val="16"/>
              </w:rPr>
              <w:t>1,340</w:t>
            </w:r>
          </w:p>
        </w:tc>
      </w:tr>
      <w:tr w:rsidR="00576F87">
        <w:trPr>
          <w:trHeight w:val="187"/>
        </w:trPr>
        <w:tc>
          <w:tcPr>
            <w:tcW w:w="1224" w:type="dxa"/>
            <w:tcBorders>
              <w:top w:val="single" w:sz="8" w:space="0" w:color="35437C"/>
              <w:left w:val="single" w:sz="15"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2609" w:type="dxa"/>
            <w:tcBorders>
              <w:top w:val="single" w:sz="8" w:space="0" w:color="35437C"/>
              <w:left w:val="single" w:sz="8" w:space="0" w:color="35437C"/>
              <w:bottom w:val="single" w:sz="8" w:space="0" w:color="35437C"/>
              <w:right w:val="nil"/>
            </w:tcBorders>
          </w:tcPr>
          <w:p w:rsidR="00576F87" w:rsidRDefault="00576F87"/>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377"/>
        </w:trPr>
        <w:tc>
          <w:tcPr>
            <w:tcW w:w="1224"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b/>
                <w:sz w:val="16"/>
              </w:rPr>
              <w:t>(59,156)</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5"/>
              <w:jc w:val="right"/>
            </w:pPr>
            <w:r>
              <w:rPr>
                <w:rFonts w:ascii="Verdana" w:eastAsia="Verdana" w:hAnsi="Verdana" w:cs="Verdana"/>
                <w:b/>
                <w:sz w:val="16"/>
              </w:rPr>
              <w:t>(5,292)</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b/>
                <w:sz w:val="16"/>
              </w:rPr>
              <w:t>(64,448)</w:t>
            </w:r>
          </w:p>
        </w:tc>
        <w:tc>
          <w:tcPr>
            <w:tcW w:w="2609" w:type="dxa"/>
            <w:tcBorders>
              <w:top w:val="single" w:sz="8" w:space="0" w:color="35437C"/>
              <w:left w:val="single" w:sz="8" w:space="0" w:color="35437C"/>
              <w:bottom w:val="single" w:sz="8" w:space="0" w:color="35437C"/>
              <w:right w:val="nil"/>
            </w:tcBorders>
          </w:tcPr>
          <w:p w:rsidR="00576F87" w:rsidRDefault="004165F5">
            <w:pPr>
              <w:spacing w:after="0"/>
              <w:ind w:left="38"/>
            </w:pPr>
            <w:r>
              <w:rPr>
                <w:rFonts w:ascii="Verdana" w:eastAsia="Verdana" w:hAnsi="Verdana" w:cs="Verdana"/>
                <w:b/>
                <w:sz w:val="16"/>
              </w:rPr>
              <w:t>At 31 March</w:t>
            </w:r>
          </w:p>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b/>
                <w:sz w:val="16"/>
              </w:rPr>
              <w:t>(51,185)</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5"/>
              <w:jc w:val="right"/>
            </w:pPr>
            <w:r>
              <w:rPr>
                <w:rFonts w:ascii="Verdana" w:eastAsia="Verdana" w:hAnsi="Verdana" w:cs="Verdana"/>
                <w:b/>
                <w:sz w:val="16"/>
              </w:rPr>
              <w:t>(4,618)</w:t>
            </w:r>
          </w:p>
        </w:tc>
        <w:tc>
          <w:tcPr>
            <w:tcW w:w="125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6"/>
              <w:jc w:val="right"/>
            </w:pPr>
            <w:r>
              <w:rPr>
                <w:rFonts w:ascii="Verdana" w:eastAsia="Verdana" w:hAnsi="Verdana" w:cs="Verdana"/>
                <w:b/>
                <w:sz w:val="16"/>
              </w:rPr>
              <w:t>(55,803)</w:t>
            </w:r>
          </w:p>
        </w:tc>
      </w:tr>
      <w:tr w:rsidR="00576F87">
        <w:trPr>
          <w:trHeight w:val="202"/>
        </w:trPr>
        <w:tc>
          <w:tcPr>
            <w:tcW w:w="1224" w:type="dxa"/>
            <w:tcBorders>
              <w:top w:val="single" w:sz="8" w:space="0" w:color="35437C"/>
              <w:left w:val="single" w:sz="15"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2609" w:type="dxa"/>
            <w:tcBorders>
              <w:top w:val="single" w:sz="8" w:space="0" w:color="35437C"/>
              <w:left w:val="single" w:sz="8" w:space="0" w:color="35437C"/>
              <w:bottom w:val="single" w:sz="8" w:space="0" w:color="35437C"/>
              <w:right w:val="nil"/>
            </w:tcBorders>
          </w:tcPr>
          <w:p w:rsidR="00576F87" w:rsidRDefault="00576F87"/>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377"/>
        </w:trPr>
        <w:tc>
          <w:tcPr>
            <w:tcW w:w="1224"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sz w:val="16"/>
              </w:rPr>
              <w:t>(53,375)</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2"/>
              <w:jc w:val="right"/>
            </w:pPr>
            <w:r>
              <w:rPr>
                <w:rFonts w:ascii="Verdana" w:eastAsia="Verdana" w:hAnsi="Verdana" w:cs="Verdana"/>
                <w:sz w:val="16"/>
              </w:rPr>
              <w:t>(4,487)</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sz w:val="16"/>
              </w:rPr>
              <w:t>(57,862)</w:t>
            </w:r>
          </w:p>
        </w:tc>
        <w:tc>
          <w:tcPr>
            <w:tcW w:w="2609" w:type="dxa"/>
            <w:tcBorders>
              <w:top w:val="single" w:sz="8" w:space="0" w:color="35437C"/>
              <w:left w:val="single" w:sz="8" w:space="0" w:color="35437C"/>
              <w:bottom w:val="single" w:sz="8" w:space="0" w:color="35437C"/>
              <w:right w:val="nil"/>
            </w:tcBorders>
          </w:tcPr>
          <w:p w:rsidR="00576F87" w:rsidRDefault="004165F5">
            <w:pPr>
              <w:spacing w:after="0"/>
              <w:ind w:left="36"/>
            </w:pPr>
            <w:r>
              <w:rPr>
                <w:rFonts w:ascii="Verdana" w:eastAsia="Verdana" w:hAnsi="Verdana" w:cs="Verdana"/>
                <w:sz w:val="16"/>
              </w:rPr>
              <w:t>Non-current</w:t>
            </w:r>
          </w:p>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sz w:val="16"/>
              </w:rPr>
              <w:t>(44,575)</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2"/>
              <w:jc w:val="right"/>
            </w:pPr>
            <w:r>
              <w:rPr>
                <w:rFonts w:ascii="Verdana" w:eastAsia="Verdana" w:hAnsi="Verdana" w:cs="Verdana"/>
                <w:sz w:val="16"/>
              </w:rPr>
              <w:t>(3,747)</w:t>
            </w:r>
          </w:p>
        </w:tc>
        <w:tc>
          <w:tcPr>
            <w:tcW w:w="125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3"/>
              <w:jc w:val="right"/>
            </w:pPr>
            <w:r>
              <w:rPr>
                <w:rFonts w:ascii="Verdana" w:eastAsia="Verdana" w:hAnsi="Verdana" w:cs="Verdana"/>
                <w:sz w:val="16"/>
              </w:rPr>
              <w:t>(48,321)</w:t>
            </w:r>
          </w:p>
        </w:tc>
      </w:tr>
      <w:tr w:rsidR="00576F87">
        <w:trPr>
          <w:trHeight w:val="377"/>
        </w:trPr>
        <w:tc>
          <w:tcPr>
            <w:tcW w:w="1224"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2"/>
              <w:jc w:val="right"/>
            </w:pPr>
            <w:r>
              <w:rPr>
                <w:rFonts w:ascii="Verdana" w:eastAsia="Verdana" w:hAnsi="Verdana" w:cs="Verdana"/>
                <w:sz w:val="16"/>
              </w:rPr>
              <w:t>(5,781)</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2"/>
              <w:jc w:val="right"/>
            </w:pPr>
            <w:r>
              <w:rPr>
                <w:rFonts w:ascii="Verdana" w:eastAsia="Verdana" w:hAnsi="Verdana" w:cs="Verdana"/>
                <w:sz w:val="16"/>
              </w:rPr>
              <w:t>(805)</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2"/>
              <w:jc w:val="right"/>
            </w:pPr>
            <w:r>
              <w:rPr>
                <w:rFonts w:ascii="Verdana" w:eastAsia="Verdana" w:hAnsi="Verdana" w:cs="Verdana"/>
                <w:sz w:val="16"/>
              </w:rPr>
              <w:t>(6,586)</w:t>
            </w:r>
          </w:p>
        </w:tc>
        <w:tc>
          <w:tcPr>
            <w:tcW w:w="2609" w:type="dxa"/>
            <w:tcBorders>
              <w:top w:val="single" w:sz="8" w:space="0" w:color="35437C"/>
              <w:left w:val="single" w:sz="8" w:space="0" w:color="35437C"/>
              <w:bottom w:val="single" w:sz="8" w:space="0" w:color="35437C"/>
              <w:right w:val="nil"/>
            </w:tcBorders>
          </w:tcPr>
          <w:p w:rsidR="00576F87" w:rsidRDefault="004165F5">
            <w:pPr>
              <w:spacing w:after="0"/>
              <w:ind w:left="36"/>
            </w:pPr>
            <w:r>
              <w:rPr>
                <w:rFonts w:ascii="Verdana" w:eastAsia="Verdana" w:hAnsi="Verdana" w:cs="Verdana"/>
                <w:sz w:val="16"/>
              </w:rPr>
              <w:t>Current</w:t>
            </w:r>
          </w:p>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2"/>
              <w:jc w:val="right"/>
            </w:pPr>
            <w:r>
              <w:rPr>
                <w:rFonts w:ascii="Verdana" w:eastAsia="Verdana" w:hAnsi="Verdana" w:cs="Verdana"/>
                <w:sz w:val="16"/>
              </w:rPr>
              <w:t>(6,610)</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2"/>
              <w:jc w:val="right"/>
            </w:pPr>
            <w:r>
              <w:rPr>
                <w:rFonts w:ascii="Verdana" w:eastAsia="Verdana" w:hAnsi="Verdana" w:cs="Verdana"/>
                <w:sz w:val="16"/>
              </w:rPr>
              <w:t>(871)</w:t>
            </w:r>
          </w:p>
        </w:tc>
        <w:tc>
          <w:tcPr>
            <w:tcW w:w="125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2"/>
              <w:jc w:val="right"/>
            </w:pPr>
            <w:r>
              <w:rPr>
                <w:rFonts w:ascii="Verdana" w:eastAsia="Verdana" w:hAnsi="Verdana" w:cs="Verdana"/>
                <w:sz w:val="16"/>
              </w:rPr>
              <w:t>(7,481)</w:t>
            </w:r>
          </w:p>
        </w:tc>
      </w:tr>
      <w:tr w:rsidR="00576F87">
        <w:trPr>
          <w:trHeight w:val="163"/>
        </w:trPr>
        <w:tc>
          <w:tcPr>
            <w:tcW w:w="1224" w:type="dxa"/>
            <w:tcBorders>
              <w:top w:val="single" w:sz="8" w:space="0" w:color="35437C"/>
              <w:left w:val="single" w:sz="15"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2609" w:type="dxa"/>
            <w:tcBorders>
              <w:top w:val="single" w:sz="8" w:space="0" w:color="35437C"/>
              <w:left w:val="single" w:sz="8" w:space="0" w:color="35437C"/>
              <w:bottom w:val="single" w:sz="8" w:space="0" w:color="35437C"/>
              <w:right w:val="nil"/>
            </w:tcBorders>
          </w:tcPr>
          <w:p w:rsidR="00576F87" w:rsidRDefault="00576F87"/>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377"/>
        </w:trPr>
        <w:tc>
          <w:tcPr>
            <w:tcW w:w="1224"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b/>
                <w:sz w:val="16"/>
              </w:rPr>
              <w:t>(59,156)</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5"/>
              <w:jc w:val="right"/>
            </w:pPr>
            <w:r>
              <w:rPr>
                <w:rFonts w:ascii="Verdana" w:eastAsia="Verdana" w:hAnsi="Verdana" w:cs="Verdana"/>
                <w:b/>
                <w:sz w:val="16"/>
              </w:rPr>
              <w:t>(5,292)</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b/>
                <w:sz w:val="16"/>
              </w:rPr>
              <w:t>(64,448)</w:t>
            </w:r>
          </w:p>
        </w:tc>
        <w:tc>
          <w:tcPr>
            <w:tcW w:w="2609" w:type="dxa"/>
            <w:tcBorders>
              <w:top w:val="single" w:sz="8" w:space="0" w:color="35437C"/>
              <w:left w:val="single" w:sz="8" w:space="0" w:color="35437C"/>
              <w:bottom w:val="single" w:sz="8" w:space="0" w:color="35437C"/>
              <w:right w:val="nil"/>
            </w:tcBorders>
          </w:tcPr>
          <w:p w:rsidR="00576F87" w:rsidRDefault="00576F87"/>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b/>
                <w:sz w:val="16"/>
              </w:rPr>
              <w:t>(51,185)</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5"/>
              <w:jc w:val="right"/>
            </w:pPr>
            <w:r>
              <w:rPr>
                <w:rFonts w:ascii="Verdana" w:eastAsia="Verdana" w:hAnsi="Verdana" w:cs="Verdana"/>
                <w:b/>
                <w:sz w:val="16"/>
              </w:rPr>
              <w:t>(4,618)</w:t>
            </w:r>
          </w:p>
        </w:tc>
        <w:tc>
          <w:tcPr>
            <w:tcW w:w="125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6"/>
              <w:jc w:val="right"/>
            </w:pPr>
            <w:r>
              <w:rPr>
                <w:rFonts w:ascii="Verdana" w:eastAsia="Verdana" w:hAnsi="Verdana" w:cs="Verdana"/>
                <w:b/>
                <w:sz w:val="16"/>
              </w:rPr>
              <w:t>(55,803)</w:t>
            </w:r>
          </w:p>
        </w:tc>
      </w:tr>
      <w:tr w:rsidR="00576F87">
        <w:trPr>
          <w:trHeight w:val="511"/>
        </w:trPr>
        <w:tc>
          <w:tcPr>
            <w:tcW w:w="1224" w:type="dxa"/>
            <w:tcBorders>
              <w:top w:val="single" w:sz="8" w:space="0" w:color="35437C"/>
              <w:left w:val="single" w:sz="15"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2609" w:type="dxa"/>
            <w:tcBorders>
              <w:top w:val="single" w:sz="8" w:space="0" w:color="35437C"/>
              <w:left w:val="single" w:sz="8" w:space="0" w:color="35437C"/>
              <w:bottom w:val="single" w:sz="8" w:space="0" w:color="35437C"/>
              <w:right w:val="nil"/>
            </w:tcBorders>
          </w:tcPr>
          <w:p w:rsidR="00576F87" w:rsidRDefault="004165F5">
            <w:pPr>
              <w:spacing w:after="0"/>
              <w:ind w:left="36"/>
            </w:pPr>
            <w:r>
              <w:rPr>
                <w:rFonts w:ascii="Verdana" w:eastAsia="Verdana" w:hAnsi="Verdana" w:cs="Verdana"/>
                <w:sz w:val="16"/>
              </w:rPr>
              <w:t>Amounts</w:t>
            </w:r>
            <w:r>
              <w:rPr>
                <w:rFonts w:ascii="Verdana" w:eastAsia="Verdana" w:hAnsi="Verdana" w:cs="Verdana"/>
                <w:sz w:val="16"/>
              </w:rPr>
              <w:tab/>
              <w:t>recoverable</w:t>
            </w:r>
            <w:r>
              <w:rPr>
                <w:rFonts w:ascii="Verdana" w:eastAsia="Verdana" w:hAnsi="Verdana" w:cs="Verdana"/>
                <w:sz w:val="16"/>
              </w:rPr>
              <w:tab/>
              <w:t>are follows:</w:t>
            </w:r>
          </w:p>
        </w:tc>
        <w:tc>
          <w:tcPr>
            <w:tcW w:w="211" w:type="dxa"/>
            <w:tcBorders>
              <w:top w:val="single" w:sz="8" w:space="0" w:color="35437C"/>
              <w:left w:val="nil"/>
              <w:bottom w:val="single" w:sz="8" w:space="0" w:color="35437C"/>
              <w:right w:val="single" w:sz="8" w:space="0" w:color="35437C"/>
            </w:tcBorders>
          </w:tcPr>
          <w:p w:rsidR="00576F87" w:rsidRDefault="004165F5">
            <w:pPr>
              <w:spacing w:after="0"/>
              <w:jc w:val="both"/>
            </w:pPr>
            <w:r>
              <w:rPr>
                <w:rFonts w:ascii="Verdana" w:eastAsia="Verdana" w:hAnsi="Verdana" w:cs="Verdana"/>
                <w:sz w:val="16"/>
              </w:rPr>
              <w:t>as</w:t>
            </w:r>
          </w:p>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163"/>
        </w:trPr>
        <w:tc>
          <w:tcPr>
            <w:tcW w:w="1224" w:type="dxa"/>
            <w:tcBorders>
              <w:top w:val="single" w:sz="8" w:space="0" w:color="35437C"/>
              <w:left w:val="single" w:sz="15"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2609" w:type="dxa"/>
            <w:tcBorders>
              <w:top w:val="single" w:sz="8" w:space="0" w:color="35437C"/>
              <w:left w:val="single" w:sz="8" w:space="0" w:color="35437C"/>
              <w:bottom w:val="single" w:sz="8" w:space="0" w:color="35437C"/>
              <w:right w:val="nil"/>
            </w:tcBorders>
          </w:tcPr>
          <w:p w:rsidR="00576F87" w:rsidRDefault="00576F87"/>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348"/>
        </w:trPr>
        <w:tc>
          <w:tcPr>
            <w:tcW w:w="1224"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5"/>
              <w:jc w:val="right"/>
            </w:pPr>
            <w:r>
              <w:rPr>
                <w:rFonts w:ascii="Verdana" w:eastAsia="Verdana" w:hAnsi="Verdana" w:cs="Verdana"/>
                <w:sz w:val="16"/>
              </w:rPr>
              <w:t>46,986</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6"/>
              </w:rPr>
              <w:t>2,653</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5"/>
              <w:jc w:val="right"/>
            </w:pPr>
            <w:r>
              <w:rPr>
                <w:rFonts w:ascii="Verdana" w:eastAsia="Verdana" w:hAnsi="Verdana" w:cs="Verdana"/>
                <w:sz w:val="16"/>
              </w:rPr>
              <w:t>49,639</w:t>
            </w:r>
          </w:p>
        </w:tc>
        <w:tc>
          <w:tcPr>
            <w:tcW w:w="2609" w:type="dxa"/>
            <w:tcBorders>
              <w:top w:val="single" w:sz="8" w:space="0" w:color="35437C"/>
              <w:left w:val="single" w:sz="8" w:space="0" w:color="35437C"/>
              <w:bottom w:val="single" w:sz="8" w:space="0" w:color="35437C"/>
              <w:right w:val="nil"/>
            </w:tcBorders>
          </w:tcPr>
          <w:p w:rsidR="00576F87" w:rsidRDefault="004165F5">
            <w:pPr>
              <w:spacing w:after="0"/>
              <w:ind w:left="36"/>
            </w:pPr>
            <w:r>
              <w:rPr>
                <w:rFonts w:ascii="Verdana" w:eastAsia="Verdana" w:hAnsi="Verdana" w:cs="Verdana"/>
                <w:sz w:val="16"/>
              </w:rPr>
              <w:t>Asbestosis reimbursement</w:t>
            </w:r>
          </w:p>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5"/>
              <w:jc w:val="right"/>
            </w:pPr>
            <w:r>
              <w:rPr>
                <w:rFonts w:ascii="Verdana" w:eastAsia="Verdana" w:hAnsi="Verdana" w:cs="Verdana"/>
                <w:sz w:val="16"/>
              </w:rPr>
              <w:t>37,818</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6"/>
              </w:rPr>
              <w:t>1,100</w:t>
            </w:r>
          </w:p>
        </w:tc>
        <w:tc>
          <w:tcPr>
            <w:tcW w:w="125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5"/>
              <w:jc w:val="right"/>
            </w:pPr>
            <w:r>
              <w:rPr>
                <w:rFonts w:ascii="Verdana" w:eastAsia="Verdana" w:hAnsi="Verdana" w:cs="Verdana"/>
                <w:sz w:val="16"/>
              </w:rPr>
              <w:t>38,918</w:t>
            </w:r>
          </w:p>
        </w:tc>
      </w:tr>
      <w:tr w:rsidR="00576F87">
        <w:trPr>
          <w:trHeight w:val="202"/>
        </w:trPr>
        <w:tc>
          <w:tcPr>
            <w:tcW w:w="1224" w:type="dxa"/>
            <w:tcBorders>
              <w:top w:val="single" w:sz="8" w:space="0" w:color="35437C"/>
              <w:left w:val="single" w:sz="15"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2609" w:type="dxa"/>
            <w:tcBorders>
              <w:top w:val="single" w:sz="8" w:space="0" w:color="35437C"/>
              <w:left w:val="single" w:sz="8" w:space="0" w:color="35437C"/>
              <w:bottom w:val="single" w:sz="8" w:space="0" w:color="35437C"/>
              <w:right w:val="nil"/>
            </w:tcBorders>
          </w:tcPr>
          <w:p w:rsidR="00576F87" w:rsidRDefault="00576F87"/>
        </w:tc>
        <w:tc>
          <w:tcPr>
            <w:tcW w:w="211" w:type="dxa"/>
            <w:tcBorders>
              <w:top w:val="single" w:sz="8" w:space="0" w:color="35437C"/>
              <w:left w:val="nil"/>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377"/>
        </w:trPr>
        <w:tc>
          <w:tcPr>
            <w:tcW w:w="1224"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4165F5">
            <w:pPr>
              <w:spacing w:after="0"/>
              <w:ind w:right="38"/>
              <w:jc w:val="right"/>
            </w:pPr>
            <w:r>
              <w:rPr>
                <w:rFonts w:ascii="Verdana" w:eastAsia="Verdana" w:hAnsi="Verdana" w:cs="Verdana"/>
                <w:b/>
                <w:color w:val="FFFFFF"/>
                <w:sz w:val="16"/>
              </w:rPr>
              <w:t>46,986</w:t>
            </w:r>
          </w:p>
        </w:tc>
        <w:tc>
          <w:tcPr>
            <w:tcW w:w="1224"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right="37"/>
              <w:jc w:val="right"/>
            </w:pPr>
            <w:r>
              <w:rPr>
                <w:rFonts w:ascii="Verdana" w:eastAsia="Verdana" w:hAnsi="Verdana" w:cs="Verdana"/>
                <w:b/>
                <w:color w:val="FFFFFF"/>
                <w:sz w:val="16"/>
              </w:rPr>
              <w:t>2,653</w:t>
            </w:r>
          </w:p>
        </w:tc>
        <w:tc>
          <w:tcPr>
            <w:tcW w:w="1224"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right="38"/>
              <w:jc w:val="right"/>
            </w:pPr>
            <w:r>
              <w:rPr>
                <w:rFonts w:ascii="Verdana" w:eastAsia="Verdana" w:hAnsi="Verdana" w:cs="Verdana"/>
                <w:b/>
                <w:color w:val="FFFFFF"/>
                <w:sz w:val="16"/>
              </w:rPr>
              <w:t>49,639</w:t>
            </w:r>
          </w:p>
        </w:tc>
        <w:tc>
          <w:tcPr>
            <w:tcW w:w="2609" w:type="dxa"/>
            <w:tcBorders>
              <w:top w:val="single" w:sz="8" w:space="0" w:color="35437C"/>
              <w:left w:val="single" w:sz="8" w:space="0" w:color="35437C"/>
              <w:bottom w:val="single" w:sz="15" w:space="0" w:color="35437C"/>
              <w:right w:val="nil"/>
            </w:tcBorders>
            <w:shd w:val="clear" w:color="auto" w:fill="35437C"/>
          </w:tcPr>
          <w:p w:rsidR="00576F87" w:rsidRDefault="00576F87"/>
        </w:tc>
        <w:tc>
          <w:tcPr>
            <w:tcW w:w="211" w:type="dxa"/>
            <w:tcBorders>
              <w:top w:val="single" w:sz="8" w:space="0" w:color="35437C"/>
              <w:left w:val="nil"/>
              <w:bottom w:val="single" w:sz="15" w:space="0" w:color="35437C"/>
              <w:right w:val="single" w:sz="8" w:space="0" w:color="35437C"/>
            </w:tcBorders>
            <w:shd w:val="clear" w:color="auto" w:fill="35437C"/>
          </w:tcPr>
          <w:p w:rsidR="00576F87" w:rsidRDefault="00576F87"/>
        </w:tc>
        <w:tc>
          <w:tcPr>
            <w:tcW w:w="1224"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right="38"/>
              <w:jc w:val="right"/>
            </w:pPr>
            <w:r>
              <w:rPr>
                <w:rFonts w:ascii="Verdana" w:eastAsia="Verdana" w:hAnsi="Verdana" w:cs="Verdana"/>
                <w:b/>
                <w:color w:val="FFFFFF"/>
                <w:sz w:val="16"/>
              </w:rPr>
              <w:t>37,818</w:t>
            </w:r>
          </w:p>
        </w:tc>
        <w:tc>
          <w:tcPr>
            <w:tcW w:w="1032"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right="37"/>
              <w:jc w:val="right"/>
            </w:pPr>
            <w:r>
              <w:rPr>
                <w:rFonts w:ascii="Verdana" w:eastAsia="Verdana" w:hAnsi="Verdana" w:cs="Verdana"/>
                <w:b/>
                <w:color w:val="FFFFFF"/>
                <w:sz w:val="16"/>
              </w:rPr>
              <w:t>1,100</w:t>
            </w:r>
          </w:p>
        </w:tc>
        <w:tc>
          <w:tcPr>
            <w:tcW w:w="1258"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38"/>
              <w:jc w:val="right"/>
            </w:pPr>
            <w:r>
              <w:rPr>
                <w:rFonts w:ascii="Verdana" w:eastAsia="Verdana" w:hAnsi="Verdana" w:cs="Verdana"/>
                <w:b/>
                <w:color w:val="FFFFFF"/>
                <w:sz w:val="16"/>
              </w:rPr>
              <w:t>38,918</w:t>
            </w:r>
          </w:p>
        </w:tc>
      </w:tr>
    </w:tbl>
    <w:p w:rsidR="00576F87" w:rsidRDefault="004165F5">
      <w:pPr>
        <w:pStyle w:val="Heading2"/>
        <w:ind w:left="17"/>
      </w:pPr>
      <w:r>
        <w:t>7. Short Term Liabilities</w:t>
      </w:r>
    </w:p>
    <w:tbl>
      <w:tblPr>
        <w:tblStyle w:val="TableGrid"/>
        <w:tblW w:w="10006" w:type="dxa"/>
        <w:tblInd w:w="-38" w:type="dxa"/>
        <w:tblCellMar>
          <w:top w:w="64" w:type="dxa"/>
          <w:left w:w="36" w:type="dxa"/>
          <w:bottom w:w="48" w:type="dxa"/>
          <w:right w:w="0" w:type="dxa"/>
        </w:tblCellMar>
        <w:tblLook w:val="04A0" w:firstRow="1" w:lastRow="0" w:firstColumn="1" w:lastColumn="0" w:noHBand="0" w:noVBand="1"/>
      </w:tblPr>
      <w:tblGrid>
        <w:gridCol w:w="1224"/>
        <w:gridCol w:w="1224"/>
        <w:gridCol w:w="1224"/>
        <w:gridCol w:w="2820"/>
        <w:gridCol w:w="1224"/>
        <w:gridCol w:w="1032"/>
        <w:gridCol w:w="1258"/>
      </w:tblGrid>
      <w:tr w:rsidR="00576F87">
        <w:trPr>
          <w:trHeight w:val="1020"/>
        </w:trPr>
        <w:tc>
          <w:tcPr>
            <w:tcW w:w="1224" w:type="dxa"/>
            <w:tcBorders>
              <w:top w:val="single" w:sz="15" w:space="0" w:color="35437C"/>
              <w:left w:val="single" w:sz="15" w:space="0" w:color="35437C"/>
              <w:bottom w:val="single" w:sz="8" w:space="0" w:color="35437C"/>
              <w:right w:val="nil"/>
            </w:tcBorders>
            <w:shd w:val="clear" w:color="auto" w:fill="35437C"/>
            <w:vAlign w:val="center"/>
          </w:tcPr>
          <w:p w:rsidR="00576F87" w:rsidRDefault="004165F5">
            <w:pPr>
              <w:spacing w:after="0"/>
              <w:ind w:right="36"/>
              <w:jc w:val="right"/>
            </w:pPr>
            <w:r>
              <w:rPr>
                <w:rFonts w:ascii="Verdana" w:eastAsia="Verdana" w:hAnsi="Verdana" w:cs="Verdana"/>
                <w:b/>
                <w:color w:val="FFFFFF"/>
                <w:sz w:val="16"/>
              </w:rPr>
              <w:t xml:space="preserve">Greater </w:t>
            </w:r>
          </w:p>
          <w:p w:rsidR="00576F87" w:rsidRDefault="004165F5">
            <w:pPr>
              <w:spacing w:after="0"/>
              <w:ind w:right="36"/>
              <w:jc w:val="right"/>
            </w:pPr>
            <w:r>
              <w:rPr>
                <w:rFonts w:ascii="Verdana" w:eastAsia="Verdana" w:hAnsi="Verdana" w:cs="Verdana"/>
                <w:b/>
                <w:color w:val="FFFFFF"/>
                <w:sz w:val="16"/>
              </w:rPr>
              <w:t>London</w:t>
            </w:r>
          </w:p>
        </w:tc>
        <w:tc>
          <w:tcPr>
            <w:tcW w:w="1224" w:type="dxa"/>
            <w:tcBorders>
              <w:top w:val="single" w:sz="15" w:space="0" w:color="35437C"/>
              <w:left w:val="nil"/>
              <w:bottom w:val="single" w:sz="8" w:space="0" w:color="35437C"/>
              <w:right w:val="nil"/>
            </w:tcBorders>
            <w:shd w:val="clear" w:color="auto" w:fill="35437C"/>
          </w:tcPr>
          <w:p w:rsidR="00576F87" w:rsidRDefault="004165F5">
            <w:pPr>
              <w:spacing w:after="57"/>
              <w:ind w:left="178"/>
            </w:pPr>
            <w:r>
              <w:rPr>
                <w:rFonts w:ascii="Verdana" w:eastAsia="Verdana" w:hAnsi="Verdana" w:cs="Verdana"/>
                <w:b/>
                <w:color w:val="FFFFFF"/>
                <w:sz w:val="16"/>
              </w:rPr>
              <w:t>2016/17</w:t>
            </w:r>
          </w:p>
          <w:p w:rsidR="00576F87" w:rsidRDefault="004165F5">
            <w:pPr>
              <w:spacing w:after="0"/>
              <w:ind w:right="37"/>
              <w:jc w:val="right"/>
            </w:pPr>
            <w:r>
              <w:rPr>
                <w:rFonts w:ascii="Verdana" w:eastAsia="Verdana" w:hAnsi="Verdana" w:cs="Verdana"/>
                <w:b/>
                <w:color w:val="FFFFFF"/>
                <w:sz w:val="16"/>
              </w:rPr>
              <w:t xml:space="preserve">Inner </w:t>
            </w:r>
          </w:p>
          <w:p w:rsidR="00576F87" w:rsidRDefault="004165F5">
            <w:pPr>
              <w:spacing w:after="0"/>
              <w:ind w:right="36"/>
              <w:jc w:val="right"/>
            </w:pPr>
            <w:r>
              <w:rPr>
                <w:rFonts w:ascii="Verdana" w:eastAsia="Verdana" w:hAnsi="Verdana" w:cs="Verdana"/>
                <w:b/>
                <w:color w:val="FFFFFF"/>
                <w:sz w:val="16"/>
              </w:rPr>
              <w:t>London</w:t>
            </w:r>
          </w:p>
        </w:tc>
        <w:tc>
          <w:tcPr>
            <w:tcW w:w="1224" w:type="dxa"/>
            <w:tcBorders>
              <w:top w:val="single" w:sz="15" w:space="0" w:color="35437C"/>
              <w:left w:val="nil"/>
              <w:bottom w:val="single" w:sz="8" w:space="0" w:color="35437C"/>
              <w:right w:val="single" w:sz="8" w:space="0" w:color="35437C"/>
            </w:tcBorders>
            <w:shd w:val="clear" w:color="auto" w:fill="35437C"/>
            <w:vAlign w:val="center"/>
          </w:tcPr>
          <w:p w:rsidR="00576F87" w:rsidRDefault="004165F5">
            <w:pPr>
              <w:spacing w:after="0"/>
              <w:ind w:right="36"/>
              <w:jc w:val="right"/>
            </w:pPr>
            <w:r>
              <w:rPr>
                <w:rFonts w:ascii="Verdana" w:eastAsia="Verdana" w:hAnsi="Verdana" w:cs="Verdana"/>
                <w:b/>
                <w:color w:val="FFFFFF"/>
                <w:sz w:val="16"/>
              </w:rPr>
              <w:t>Total</w:t>
            </w:r>
          </w:p>
        </w:tc>
        <w:tc>
          <w:tcPr>
            <w:tcW w:w="2820" w:type="dxa"/>
            <w:tcBorders>
              <w:top w:val="single" w:sz="15" w:space="0" w:color="35437C"/>
              <w:left w:val="single" w:sz="8" w:space="0" w:color="35437C"/>
              <w:bottom w:val="single" w:sz="8" w:space="0" w:color="35437C"/>
              <w:right w:val="single" w:sz="8" w:space="0" w:color="35437C"/>
            </w:tcBorders>
            <w:shd w:val="clear" w:color="auto" w:fill="35437C"/>
            <w:vAlign w:val="bottom"/>
          </w:tcPr>
          <w:p w:rsidR="00576F87" w:rsidRDefault="004165F5">
            <w:pPr>
              <w:spacing w:after="0"/>
              <w:ind w:left="2"/>
            </w:pPr>
            <w:r>
              <w:rPr>
                <w:rFonts w:ascii="Verdana" w:eastAsia="Verdana" w:hAnsi="Verdana" w:cs="Verdana"/>
                <w:b/>
                <w:color w:val="FFFFFF"/>
                <w:sz w:val="16"/>
              </w:rPr>
              <w:t>SHORT TERM LIABILITIES</w:t>
            </w:r>
          </w:p>
        </w:tc>
        <w:tc>
          <w:tcPr>
            <w:tcW w:w="1224" w:type="dxa"/>
            <w:tcBorders>
              <w:top w:val="single" w:sz="15" w:space="0" w:color="35437C"/>
              <w:left w:val="single" w:sz="8" w:space="0" w:color="35437C"/>
              <w:bottom w:val="single" w:sz="8" w:space="0" w:color="35437C"/>
              <w:right w:val="nil"/>
            </w:tcBorders>
            <w:shd w:val="clear" w:color="auto" w:fill="35437C"/>
            <w:vAlign w:val="center"/>
          </w:tcPr>
          <w:p w:rsidR="00576F87" w:rsidRDefault="004165F5">
            <w:pPr>
              <w:spacing w:after="0"/>
              <w:ind w:right="36"/>
              <w:jc w:val="right"/>
            </w:pPr>
            <w:r>
              <w:rPr>
                <w:rFonts w:ascii="Verdana" w:eastAsia="Verdana" w:hAnsi="Verdana" w:cs="Verdana"/>
                <w:b/>
                <w:color w:val="FFFFFF"/>
                <w:sz w:val="16"/>
              </w:rPr>
              <w:t xml:space="preserve">Greater </w:t>
            </w:r>
          </w:p>
          <w:p w:rsidR="00576F87" w:rsidRDefault="004165F5">
            <w:pPr>
              <w:spacing w:after="0"/>
              <w:ind w:right="36"/>
              <w:jc w:val="right"/>
            </w:pPr>
            <w:r>
              <w:rPr>
                <w:rFonts w:ascii="Verdana" w:eastAsia="Verdana" w:hAnsi="Verdana" w:cs="Verdana"/>
                <w:b/>
                <w:color w:val="FFFFFF"/>
                <w:sz w:val="16"/>
              </w:rPr>
              <w:t>London</w:t>
            </w:r>
          </w:p>
        </w:tc>
        <w:tc>
          <w:tcPr>
            <w:tcW w:w="1032" w:type="dxa"/>
            <w:tcBorders>
              <w:top w:val="single" w:sz="15" w:space="0" w:color="35437C"/>
              <w:left w:val="nil"/>
              <w:bottom w:val="single" w:sz="8" w:space="0" w:color="35437C"/>
              <w:right w:val="nil"/>
            </w:tcBorders>
            <w:shd w:val="clear" w:color="auto" w:fill="35437C"/>
          </w:tcPr>
          <w:p w:rsidR="00576F87" w:rsidRDefault="004165F5">
            <w:pPr>
              <w:spacing w:after="57"/>
              <w:ind w:left="98"/>
            </w:pPr>
            <w:r>
              <w:rPr>
                <w:rFonts w:ascii="Verdana" w:eastAsia="Verdana" w:hAnsi="Verdana" w:cs="Verdana"/>
                <w:b/>
                <w:color w:val="FFFFFF"/>
                <w:sz w:val="16"/>
              </w:rPr>
              <w:t>2017/18</w:t>
            </w:r>
          </w:p>
          <w:p w:rsidR="00576F87" w:rsidRDefault="004165F5">
            <w:pPr>
              <w:spacing w:after="0"/>
              <w:ind w:right="37"/>
              <w:jc w:val="right"/>
            </w:pPr>
            <w:r>
              <w:rPr>
                <w:rFonts w:ascii="Verdana" w:eastAsia="Verdana" w:hAnsi="Verdana" w:cs="Verdana"/>
                <w:b/>
                <w:color w:val="FFFFFF"/>
                <w:sz w:val="16"/>
              </w:rPr>
              <w:t xml:space="preserve">Inner </w:t>
            </w:r>
          </w:p>
          <w:p w:rsidR="00576F87" w:rsidRDefault="004165F5">
            <w:pPr>
              <w:spacing w:after="0"/>
              <w:ind w:right="36"/>
              <w:jc w:val="right"/>
            </w:pPr>
            <w:r>
              <w:rPr>
                <w:rFonts w:ascii="Verdana" w:eastAsia="Verdana" w:hAnsi="Verdana" w:cs="Verdana"/>
                <w:b/>
                <w:color w:val="FFFFFF"/>
                <w:sz w:val="16"/>
              </w:rPr>
              <w:t>London</w:t>
            </w:r>
          </w:p>
        </w:tc>
        <w:tc>
          <w:tcPr>
            <w:tcW w:w="1258" w:type="dxa"/>
            <w:tcBorders>
              <w:top w:val="single" w:sz="15" w:space="0" w:color="35437C"/>
              <w:left w:val="nil"/>
              <w:bottom w:val="single" w:sz="8" w:space="0" w:color="35437C"/>
              <w:right w:val="single" w:sz="15" w:space="0" w:color="35437C"/>
            </w:tcBorders>
            <w:shd w:val="clear" w:color="auto" w:fill="35437C"/>
            <w:vAlign w:val="center"/>
          </w:tcPr>
          <w:p w:rsidR="00576F87" w:rsidRDefault="004165F5">
            <w:pPr>
              <w:spacing w:after="0"/>
              <w:ind w:right="36"/>
              <w:jc w:val="right"/>
            </w:pPr>
            <w:r>
              <w:rPr>
                <w:rFonts w:ascii="Verdana" w:eastAsia="Verdana" w:hAnsi="Verdana" w:cs="Verdana"/>
                <w:b/>
                <w:color w:val="FFFFFF"/>
                <w:sz w:val="16"/>
              </w:rPr>
              <w:t>Total</w:t>
            </w:r>
          </w:p>
        </w:tc>
      </w:tr>
      <w:tr w:rsidR="00576F87">
        <w:trPr>
          <w:trHeight w:val="144"/>
        </w:trPr>
        <w:tc>
          <w:tcPr>
            <w:tcW w:w="1224" w:type="dxa"/>
            <w:tcBorders>
              <w:top w:val="single" w:sz="8" w:space="0" w:color="35437C"/>
              <w:left w:val="single" w:sz="15"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2820"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1224"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(4)</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(4)</w:t>
            </w:r>
          </w:p>
        </w:tc>
        <w:tc>
          <w:tcPr>
            <w:tcW w:w="2820"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Tax Due on payments made</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(6)</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125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0"/>
              <w:jc w:val="right"/>
            </w:pPr>
            <w:r>
              <w:rPr>
                <w:rFonts w:ascii="Verdana" w:eastAsia="Verdana" w:hAnsi="Verdana" w:cs="Verdana"/>
                <w:sz w:val="16"/>
              </w:rPr>
              <w:t>(6)</w:t>
            </w:r>
          </w:p>
        </w:tc>
      </w:tr>
      <w:tr w:rsidR="00576F87">
        <w:trPr>
          <w:trHeight w:val="521"/>
        </w:trPr>
        <w:tc>
          <w:tcPr>
            <w:tcW w:w="1224" w:type="dxa"/>
            <w:tcBorders>
              <w:top w:val="single" w:sz="8" w:space="0" w:color="35437C"/>
              <w:left w:val="single" w:sz="15" w:space="0" w:color="35437C"/>
              <w:bottom w:val="single" w:sz="8" w:space="0" w:color="35437C"/>
              <w:right w:val="single" w:sz="8" w:space="0" w:color="35437C"/>
            </w:tcBorders>
            <w:vAlign w:val="center"/>
          </w:tcPr>
          <w:p w:rsidR="00576F87" w:rsidRDefault="004165F5">
            <w:pPr>
              <w:spacing w:after="0"/>
              <w:ind w:right="31"/>
              <w:jc w:val="right"/>
            </w:pPr>
            <w:r>
              <w:rPr>
                <w:rFonts w:ascii="Verdana" w:eastAsia="Verdana" w:hAnsi="Verdana" w:cs="Verdana"/>
                <w:sz w:val="16"/>
              </w:rPr>
              <w:t>(12)</w:t>
            </w:r>
          </w:p>
        </w:tc>
        <w:tc>
          <w:tcPr>
            <w:tcW w:w="1224"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1224"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1"/>
              <w:jc w:val="right"/>
            </w:pPr>
            <w:r>
              <w:rPr>
                <w:rFonts w:ascii="Verdana" w:eastAsia="Verdana" w:hAnsi="Verdana" w:cs="Verdana"/>
                <w:sz w:val="16"/>
              </w:rPr>
              <w:t>(12)</w:t>
            </w:r>
          </w:p>
        </w:tc>
        <w:tc>
          <w:tcPr>
            <w:tcW w:w="2820"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pPr>
            <w:r>
              <w:rPr>
                <w:rFonts w:ascii="Verdana" w:eastAsia="Verdana" w:hAnsi="Verdana" w:cs="Verdana"/>
                <w:sz w:val="16"/>
              </w:rPr>
              <w:t>Unclaimed interest and principal</w:t>
            </w:r>
          </w:p>
        </w:tc>
        <w:tc>
          <w:tcPr>
            <w:tcW w:w="1224"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1"/>
              <w:jc w:val="right"/>
            </w:pPr>
            <w:r>
              <w:rPr>
                <w:rFonts w:ascii="Verdana" w:eastAsia="Verdana" w:hAnsi="Verdana" w:cs="Verdana"/>
                <w:sz w:val="16"/>
              </w:rPr>
              <w:t>(12)</w:t>
            </w:r>
          </w:p>
        </w:tc>
        <w:tc>
          <w:tcPr>
            <w:tcW w:w="103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1258"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31"/>
              <w:jc w:val="right"/>
            </w:pPr>
            <w:r>
              <w:rPr>
                <w:rFonts w:ascii="Verdana" w:eastAsia="Verdana" w:hAnsi="Verdana" w:cs="Verdana"/>
                <w:sz w:val="16"/>
              </w:rPr>
              <w:t>(12)</w:t>
            </w:r>
          </w:p>
        </w:tc>
      </w:tr>
      <w:tr w:rsidR="00576F87">
        <w:trPr>
          <w:trHeight w:val="290"/>
        </w:trPr>
        <w:tc>
          <w:tcPr>
            <w:tcW w:w="1224"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1"/>
              <w:jc w:val="right"/>
            </w:pPr>
            <w:r>
              <w:rPr>
                <w:rFonts w:ascii="Verdana" w:eastAsia="Verdana" w:hAnsi="Verdana" w:cs="Verdana"/>
                <w:sz w:val="16"/>
              </w:rPr>
              <w:t>(40)</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(3)</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1"/>
              <w:jc w:val="right"/>
            </w:pPr>
            <w:r>
              <w:rPr>
                <w:rFonts w:ascii="Verdana" w:eastAsia="Verdana" w:hAnsi="Verdana" w:cs="Verdana"/>
                <w:sz w:val="16"/>
              </w:rPr>
              <w:t>(43)</w:t>
            </w:r>
          </w:p>
        </w:tc>
        <w:tc>
          <w:tcPr>
            <w:tcW w:w="2820"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Sundry Creditors</w:t>
            </w:r>
          </w:p>
        </w:tc>
        <w:tc>
          <w:tcPr>
            <w:tcW w:w="122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1"/>
              <w:jc w:val="right"/>
            </w:pPr>
            <w:r>
              <w:rPr>
                <w:rFonts w:ascii="Verdana" w:eastAsia="Verdana" w:hAnsi="Verdana" w:cs="Verdana"/>
                <w:sz w:val="16"/>
              </w:rPr>
              <w:t>(42)</w:t>
            </w:r>
          </w:p>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1"/>
              <w:jc w:val="right"/>
            </w:pPr>
            <w:r>
              <w:rPr>
                <w:rFonts w:ascii="Verdana" w:eastAsia="Verdana" w:hAnsi="Verdana" w:cs="Verdana"/>
                <w:sz w:val="16"/>
              </w:rPr>
              <w:t>(42)</w:t>
            </w:r>
          </w:p>
        </w:tc>
      </w:tr>
      <w:tr w:rsidR="00576F87">
        <w:trPr>
          <w:trHeight w:val="163"/>
        </w:trPr>
        <w:tc>
          <w:tcPr>
            <w:tcW w:w="1224" w:type="dxa"/>
            <w:tcBorders>
              <w:top w:val="single" w:sz="8" w:space="0" w:color="35437C"/>
              <w:left w:val="single" w:sz="15"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2820" w:type="dxa"/>
            <w:tcBorders>
              <w:top w:val="single" w:sz="8" w:space="0" w:color="35437C"/>
              <w:left w:val="single" w:sz="8" w:space="0" w:color="35437C"/>
              <w:bottom w:val="single" w:sz="8" w:space="0" w:color="35437C"/>
              <w:right w:val="single" w:sz="8" w:space="0" w:color="35437C"/>
            </w:tcBorders>
          </w:tcPr>
          <w:p w:rsidR="00576F87" w:rsidRDefault="00576F87"/>
        </w:tc>
        <w:tc>
          <w:tcPr>
            <w:tcW w:w="122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1224"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4165F5">
            <w:pPr>
              <w:spacing w:after="0"/>
              <w:ind w:right="34"/>
              <w:jc w:val="right"/>
            </w:pPr>
            <w:r>
              <w:rPr>
                <w:rFonts w:ascii="Verdana" w:eastAsia="Verdana" w:hAnsi="Verdana" w:cs="Verdana"/>
                <w:b/>
                <w:color w:val="FFFFFF"/>
                <w:sz w:val="16"/>
              </w:rPr>
              <w:t>(56)</w:t>
            </w:r>
          </w:p>
        </w:tc>
        <w:tc>
          <w:tcPr>
            <w:tcW w:w="1224"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right="33"/>
              <w:jc w:val="right"/>
            </w:pPr>
            <w:r>
              <w:rPr>
                <w:rFonts w:ascii="Verdana" w:eastAsia="Verdana" w:hAnsi="Verdana" w:cs="Verdana"/>
                <w:b/>
                <w:color w:val="FFFFFF"/>
                <w:sz w:val="16"/>
              </w:rPr>
              <w:t>(3)</w:t>
            </w:r>
          </w:p>
        </w:tc>
        <w:tc>
          <w:tcPr>
            <w:tcW w:w="1224"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right="34"/>
              <w:jc w:val="right"/>
            </w:pPr>
            <w:r>
              <w:rPr>
                <w:rFonts w:ascii="Verdana" w:eastAsia="Verdana" w:hAnsi="Verdana" w:cs="Verdana"/>
                <w:b/>
                <w:color w:val="FFFFFF"/>
                <w:sz w:val="16"/>
              </w:rPr>
              <w:t>(59)</w:t>
            </w:r>
          </w:p>
        </w:tc>
        <w:tc>
          <w:tcPr>
            <w:tcW w:w="2820"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1224"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right="34"/>
              <w:jc w:val="right"/>
            </w:pPr>
            <w:r>
              <w:rPr>
                <w:rFonts w:ascii="Verdana" w:eastAsia="Verdana" w:hAnsi="Verdana" w:cs="Verdana"/>
                <w:b/>
                <w:color w:val="FFFFFF"/>
                <w:sz w:val="16"/>
              </w:rPr>
              <w:t>(59)</w:t>
            </w:r>
          </w:p>
        </w:tc>
        <w:tc>
          <w:tcPr>
            <w:tcW w:w="1032"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1258"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34"/>
              <w:jc w:val="right"/>
            </w:pPr>
            <w:r>
              <w:rPr>
                <w:rFonts w:ascii="Verdana" w:eastAsia="Verdana" w:hAnsi="Verdana" w:cs="Verdana"/>
                <w:b/>
                <w:color w:val="FFFFFF"/>
                <w:sz w:val="16"/>
              </w:rPr>
              <w:t>(59)</w:t>
            </w:r>
          </w:p>
        </w:tc>
      </w:tr>
    </w:tbl>
    <w:p w:rsidR="00576F87" w:rsidRDefault="004165F5">
      <w:pPr>
        <w:spacing w:after="3"/>
        <w:ind w:left="10" w:right="3740" w:hanging="10"/>
        <w:jc w:val="right"/>
      </w:pPr>
      <w:r>
        <w:t>102</w:t>
      </w:r>
    </w:p>
    <w:p w:rsidR="00576F87" w:rsidRDefault="004165F5">
      <w:pPr>
        <w:pStyle w:val="Heading2"/>
        <w:spacing w:after="224"/>
        <w:ind w:left="17"/>
      </w:pPr>
      <w:r>
        <w:t>8. LCC Stock</w:t>
      </w:r>
    </w:p>
    <w:p w:rsidR="00576F87" w:rsidRDefault="004165F5">
      <w:pPr>
        <w:spacing w:after="88" w:line="264" w:lineRule="auto"/>
        <w:ind w:left="2" w:right="12" w:hanging="10"/>
        <w:jc w:val="both"/>
      </w:pPr>
      <w:r>
        <w:rPr>
          <w:rFonts w:ascii="Verdana" w:eastAsia="Verdana" w:hAnsi="Verdana" w:cs="Verdana"/>
          <w:sz w:val="20"/>
        </w:rPr>
        <w:t xml:space="preserve">The LPFA is responsible for London County Council loan stocks. These stocks are undated, unsecured with a fixed interest due annually and LPFA is exploring buying back the remaining LCC stock. The financial risks attached to these loans are managed by the </w:t>
      </w:r>
      <w:r>
        <w:rPr>
          <w:rFonts w:ascii="Verdana" w:eastAsia="Verdana" w:hAnsi="Verdana" w:cs="Verdana"/>
          <w:sz w:val="20"/>
        </w:rPr>
        <w:t xml:space="preserve">loan stock being at a fixed rate of interest, and being undated. </w:t>
      </w:r>
    </w:p>
    <w:p w:rsidR="00576F87" w:rsidRDefault="004165F5">
      <w:pPr>
        <w:spacing w:after="3" w:line="264" w:lineRule="auto"/>
        <w:ind w:left="2" w:right="12" w:hanging="10"/>
        <w:jc w:val="both"/>
      </w:pPr>
      <w:r>
        <w:rPr>
          <w:rFonts w:ascii="Verdana" w:eastAsia="Verdana" w:hAnsi="Verdana" w:cs="Verdana"/>
          <w:sz w:val="20"/>
        </w:rPr>
        <w:t>The nominal value of the loans stocks are provided below. These are part of the Greater</w:t>
      </w:r>
    </w:p>
    <w:p w:rsidR="00576F87" w:rsidRDefault="004165F5">
      <w:pPr>
        <w:spacing w:after="72" w:line="264" w:lineRule="auto"/>
        <w:ind w:left="2" w:right="12" w:hanging="10"/>
        <w:jc w:val="both"/>
      </w:pPr>
      <w:r>
        <w:rPr>
          <w:rFonts w:ascii="Verdana" w:eastAsia="Verdana" w:hAnsi="Verdana" w:cs="Verdana"/>
          <w:sz w:val="20"/>
        </w:rPr>
        <w:t>London levy responsibilities.</w:t>
      </w:r>
    </w:p>
    <w:tbl>
      <w:tblPr>
        <w:tblStyle w:val="TableGrid"/>
        <w:tblW w:w="9187" w:type="dxa"/>
        <w:tblInd w:w="-38" w:type="dxa"/>
        <w:tblCellMar>
          <w:top w:w="40" w:type="dxa"/>
          <w:left w:w="36" w:type="dxa"/>
          <w:bottom w:w="0" w:type="dxa"/>
          <w:right w:w="34" w:type="dxa"/>
        </w:tblCellMar>
        <w:tblLook w:val="04A0" w:firstRow="1" w:lastRow="0" w:firstColumn="1" w:lastColumn="0" w:noHBand="0" w:noVBand="1"/>
      </w:tblPr>
      <w:tblGrid>
        <w:gridCol w:w="2386"/>
        <w:gridCol w:w="4481"/>
        <w:gridCol w:w="2321"/>
      </w:tblGrid>
      <w:tr w:rsidR="00576F87">
        <w:trPr>
          <w:trHeight w:val="290"/>
        </w:trPr>
        <w:tc>
          <w:tcPr>
            <w:tcW w:w="2386" w:type="dxa"/>
            <w:tcBorders>
              <w:top w:val="single" w:sz="15" w:space="0" w:color="35437C"/>
              <w:left w:val="single" w:sz="15" w:space="0" w:color="35437C"/>
              <w:bottom w:val="single" w:sz="8" w:space="0" w:color="35437C"/>
              <w:right w:val="single" w:sz="8" w:space="0" w:color="35437C"/>
            </w:tcBorders>
            <w:shd w:val="clear" w:color="auto" w:fill="35437C"/>
          </w:tcPr>
          <w:p w:rsidR="00576F87" w:rsidRDefault="004165F5">
            <w:pPr>
              <w:spacing w:after="0"/>
              <w:ind w:right="5"/>
              <w:jc w:val="right"/>
            </w:pPr>
            <w:r>
              <w:rPr>
                <w:rFonts w:ascii="Verdana" w:eastAsia="Verdana" w:hAnsi="Verdana" w:cs="Verdana"/>
                <w:b/>
                <w:color w:val="FFFFFF"/>
                <w:sz w:val="16"/>
              </w:rPr>
              <w:t>2016/17</w:t>
            </w:r>
          </w:p>
        </w:tc>
        <w:tc>
          <w:tcPr>
            <w:tcW w:w="4481"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4165F5">
            <w:pPr>
              <w:spacing w:after="0"/>
              <w:ind w:left="2"/>
              <w:jc w:val="center"/>
            </w:pPr>
            <w:r>
              <w:rPr>
                <w:rFonts w:ascii="Verdana" w:eastAsia="Verdana" w:hAnsi="Verdana" w:cs="Verdana"/>
                <w:b/>
                <w:color w:val="FFFFFF"/>
                <w:sz w:val="16"/>
              </w:rPr>
              <w:t>LCC Stocks</w:t>
            </w:r>
          </w:p>
        </w:tc>
        <w:tc>
          <w:tcPr>
            <w:tcW w:w="2321"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5"/>
              <w:jc w:val="right"/>
            </w:pPr>
            <w:r>
              <w:rPr>
                <w:rFonts w:ascii="Verdana" w:eastAsia="Verdana" w:hAnsi="Verdana" w:cs="Verdana"/>
                <w:b/>
                <w:color w:val="FFFFFF"/>
                <w:sz w:val="16"/>
              </w:rPr>
              <w:t>2017/18</w:t>
            </w:r>
          </w:p>
        </w:tc>
      </w:tr>
      <w:tr w:rsidR="00576F87">
        <w:trPr>
          <w:trHeight w:val="290"/>
        </w:trPr>
        <w:tc>
          <w:tcPr>
            <w:tcW w:w="2386"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
              <w:jc w:val="right"/>
            </w:pPr>
            <w:r>
              <w:rPr>
                <w:rFonts w:ascii="Verdana" w:eastAsia="Verdana" w:hAnsi="Verdana" w:cs="Verdana"/>
                <w:b/>
                <w:sz w:val="16"/>
              </w:rPr>
              <w:t>£000</w:t>
            </w:r>
          </w:p>
        </w:tc>
        <w:tc>
          <w:tcPr>
            <w:tcW w:w="4481" w:type="dxa"/>
            <w:tcBorders>
              <w:top w:val="single" w:sz="8" w:space="0" w:color="35437C"/>
              <w:left w:val="single" w:sz="8" w:space="0" w:color="35437C"/>
              <w:bottom w:val="single" w:sz="8" w:space="0" w:color="35437C"/>
              <w:right w:val="single" w:sz="8" w:space="0" w:color="35437C"/>
            </w:tcBorders>
          </w:tcPr>
          <w:p w:rsidR="00576F87" w:rsidRDefault="00576F87"/>
        </w:tc>
        <w:tc>
          <w:tcPr>
            <w:tcW w:w="2321"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
              <w:jc w:val="right"/>
            </w:pPr>
            <w:r>
              <w:rPr>
                <w:rFonts w:ascii="Verdana" w:eastAsia="Verdana" w:hAnsi="Verdana" w:cs="Verdana"/>
                <w:b/>
                <w:sz w:val="16"/>
              </w:rPr>
              <w:t>£000</w:t>
            </w:r>
          </w:p>
        </w:tc>
      </w:tr>
      <w:tr w:rsidR="00576F87">
        <w:trPr>
          <w:trHeight w:val="377"/>
        </w:trPr>
        <w:tc>
          <w:tcPr>
            <w:tcW w:w="2386" w:type="dxa"/>
            <w:tcBorders>
              <w:top w:val="single" w:sz="8" w:space="0" w:color="35437C"/>
              <w:left w:val="single" w:sz="15"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6"/>
              </w:rPr>
              <w:t>3,875</w:t>
            </w:r>
          </w:p>
        </w:tc>
        <w:tc>
          <w:tcPr>
            <w:tcW w:w="448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3% London County Council Stock</w:t>
            </w:r>
          </w:p>
        </w:tc>
        <w:tc>
          <w:tcPr>
            <w:tcW w:w="2321"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6"/>
              </w:rPr>
              <w:t>3,875</w:t>
            </w:r>
          </w:p>
        </w:tc>
      </w:tr>
      <w:tr w:rsidR="00576F87">
        <w:trPr>
          <w:trHeight w:val="377"/>
        </w:trPr>
        <w:tc>
          <w:tcPr>
            <w:tcW w:w="2386" w:type="dxa"/>
            <w:tcBorders>
              <w:top w:val="single" w:sz="8" w:space="0" w:color="35437C"/>
              <w:left w:val="single" w:sz="15"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6"/>
              </w:rPr>
              <w:t>472</w:t>
            </w:r>
          </w:p>
        </w:tc>
        <w:tc>
          <w:tcPr>
            <w:tcW w:w="4481"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2.5% London County Council Stock</w:t>
            </w:r>
          </w:p>
        </w:tc>
        <w:tc>
          <w:tcPr>
            <w:tcW w:w="2321"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6"/>
              </w:rPr>
              <w:t>472</w:t>
            </w:r>
          </w:p>
        </w:tc>
      </w:tr>
      <w:tr w:rsidR="00576F87">
        <w:trPr>
          <w:trHeight w:val="305"/>
        </w:trPr>
        <w:tc>
          <w:tcPr>
            <w:tcW w:w="2386"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4165F5">
            <w:pPr>
              <w:spacing w:after="0"/>
              <w:ind w:right="3"/>
              <w:jc w:val="right"/>
            </w:pPr>
            <w:r>
              <w:rPr>
                <w:rFonts w:ascii="Verdana" w:eastAsia="Verdana" w:hAnsi="Verdana" w:cs="Verdana"/>
                <w:b/>
                <w:color w:val="FFFFFF"/>
                <w:sz w:val="16"/>
              </w:rPr>
              <w:t>4,347</w:t>
            </w:r>
          </w:p>
        </w:tc>
        <w:tc>
          <w:tcPr>
            <w:tcW w:w="4481"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2321"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3"/>
              <w:jc w:val="right"/>
            </w:pPr>
            <w:r>
              <w:rPr>
                <w:rFonts w:ascii="Verdana" w:eastAsia="Verdana" w:hAnsi="Verdana" w:cs="Verdana"/>
                <w:b/>
                <w:color w:val="FFFFFF"/>
                <w:sz w:val="16"/>
              </w:rPr>
              <w:t>4,347</w:t>
            </w:r>
          </w:p>
        </w:tc>
      </w:tr>
    </w:tbl>
    <w:p w:rsidR="00576F87" w:rsidRDefault="004165F5">
      <w:pPr>
        <w:pStyle w:val="Heading2"/>
        <w:spacing w:after="183"/>
        <w:ind w:left="17"/>
      </w:pPr>
      <w:r>
        <w:t>9. Retirement Benefit Obligations</w:t>
      </w:r>
    </w:p>
    <w:p w:rsidR="00576F87" w:rsidRDefault="004165F5">
      <w:pPr>
        <w:spacing w:after="105" w:line="264" w:lineRule="auto"/>
        <w:ind w:left="2" w:right="12" w:hanging="10"/>
        <w:jc w:val="both"/>
      </w:pPr>
      <w:r>
        <w:rPr>
          <w:rFonts w:ascii="Verdana" w:eastAsia="Verdana" w:hAnsi="Verdana" w:cs="Verdana"/>
          <w:sz w:val="20"/>
        </w:rPr>
        <w:t xml:space="preserve">The pension liability at 31 </w:t>
      </w:r>
      <w:r>
        <w:rPr>
          <w:rFonts w:ascii="Verdana" w:eastAsia="Verdana" w:hAnsi="Verdana" w:cs="Verdana"/>
          <w:sz w:val="20"/>
        </w:rPr>
        <w:t>March has been determined by the LPFA’s actuary Barnett Waddingham in accordance with IAS 19: Employee Benefits.</w:t>
      </w:r>
    </w:p>
    <w:p w:rsidR="00576F87" w:rsidRDefault="004165F5">
      <w:pPr>
        <w:spacing w:after="232" w:line="264" w:lineRule="auto"/>
        <w:ind w:left="2" w:right="12" w:hanging="10"/>
        <w:jc w:val="both"/>
      </w:pPr>
      <w:r>
        <w:rPr>
          <w:rFonts w:ascii="Verdana" w:eastAsia="Verdana" w:hAnsi="Verdana" w:cs="Verdana"/>
          <w:sz w:val="20"/>
        </w:rPr>
        <w:t>The LPFA is also responsible for compensation payments arising from added years in respect of former staff of the GLC and ILEA and the London R</w:t>
      </w:r>
      <w:r>
        <w:rPr>
          <w:rFonts w:ascii="Verdana" w:eastAsia="Verdana" w:hAnsi="Verdana" w:cs="Verdana"/>
          <w:sz w:val="20"/>
        </w:rPr>
        <w:t>esiduary Body (LRB). These payments are recoverable from levies on the London Boroughs. The LPFA inherited some staff from the GLC, ILEA and LRB. In circumstances where staff leave the LPFA with retained staff benefit entitlement the cost of the discretion</w:t>
      </w:r>
      <w:r>
        <w:rPr>
          <w:rFonts w:ascii="Verdana" w:eastAsia="Verdana" w:hAnsi="Verdana" w:cs="Verdana"/>
          <w:sz w:val="20"/>
        </w:rPr>
        <w:t xml:space="preserve">ary added years is also borne by the levy. </w:t>
      </w:r>
    </w:p>
    <w:p w:rsidR="00576F87" w:rsidRDefault="004165F5">
      <w:pPr>
        <w:spacing w:after="3" w:line="264" w:lineRule="auto"/>
        <w:ind w:left="2" w:right="12" w:hanging="10"/>
        <w:jc w:val="both"/>
      </w:pPr>
      <w:r>
        <w:rPr>
          <w:rFonts w:ascii="Verdana" w:eastAsia="Verdana" w:hAnsi="Verdana" w:cs="Verdana"/>
          <w:sz w:val="20"/>
        </w:rPr>
        <w:t>In relation to retirement benefits, statutory provisions require the General Fund balance to be charged with the amount payable by LPFA to the pension fund or directly to pensioners in the year, not the amount ca</w:t>
      </w:r>
      <w:r>
        <w:rPr>
          <w:rFonts w:ascii="Verdana" w:eastAsia="Verdana" w:hAnsi="Verdana" w:cs="Verdana"/>
          <w:sz w:val="20"/>
        </w:rPr>
        <w:t>lculated according to the relevant accounting standards. In the Movement in Reserves Statement, this means that there are appropriations to and from the Pensions Reserve to remove the notional debits and credits for retirement benefits and replace them wit</w:t>
      </w:r>
      <w:r>
        <w:rPr>
          <w:rFonts w:ascii="Verdana" w:eastAsia="Verdana" w:hAnsi="Verdana" w:cs="Verdana"/>
          <w:sz w:val="20"/>
        </w:rPr>
        <w:t xml:space="preserve">h debits for the cash paid to the pension fund and pensioners and any such amounts payable but unpaid at the year-end. The negative balance that arises on the Pensions Reserve thereby measures the beneficial impact to the General Fund of being required to </w:t>
      </w:r>
      <w:r>
        <w:rPr>
          <w:rFonts w:ascii="Verdana" w:eastAsia="Verdana" w:hAnsi="Verdana" w:cs="Verdana"/>
          <w:sz w:val="20"/>
        </w:rPr>
        <w:t>account for retirement benefits on the basis of cash flows rather than as benefits are earned by employees.</w:t>
      </w:r>
    </w:p>
    <w:p w:rsidR="00576F87" w:rsidRDefault="004165F5">
      <w:pPr>
        <w:spacing w:after="69"/>
        <w:ind w:left="3" w:right="3800" w:hanging="8"/>
      </w:pPr>
      <w:r>
        <w:rPr>
          <w:rFonts w:ascii="Verdana" w:eastAsia="Verdana" w:hAnsi="Verdana" w:cs="Verdana"/>
          <w:color w:val="35437C"/>
          <w:sz w:val="24"/>
        </w:rPr>
        <w:t xml:space="preserve">Life Expectancy from age 65 (years) </w:t>
      </w:r>
      <w:r>
        <w:rPr>
          <w:rFonts w:ascii="Verdana" w:eastAsia="Verdana" w:hAnsi="Verdana" w:cs="Verdana"/>
          <w:b/>
          <w:color w:val="712957"/>
          <w:sz w:val="20"/>
        </w:rPr>
        <w:t>Greater London:</w:t>
      </w:r>
    </w:p>
    <w:tbl>
      <w:tblPr>
        <w:tblStyle w:val="TableGrid"/>
        <w:tblW w:w="9149" w:type="dxa"/>
        <w:tblInd w:w="-38" w:type="dxa"/>
        <w:tblCellMar>
          <w:top w:w="85" w:type="dxa"/>
          <w:left w:w="36" w:type="dxa"/>
          <w:bottom w:w="48" w:type="dxa"/>
          <w:right w:w="33" w:type="dxa"/>
        </w:tblCellMar>
        <w:tblLook w:val="04A0" w:firstRow="1" w:lastRow="0" w:firstColumn="1" w:lastColumn="0" w:noHBand="0" w:noVBand="1"/>
      </w:tblPr>
      <w:tblGrid>
        <w:gridCol w:w="2287"/>
        <w:gridCol w:w="2287"/>
        <w:gridCol w:w="2287"/>
        <w:gridCol w:w="2287"/>
      </w:tblGrid>
      <w:tr w:rsidR="00576F87">
        <w:trPr>
          <w:trHeight w:val="701"/>
        </w:trPr>
        <w:tc>
          <w:tcPr>
            <w:tcW w:w="4574" w:type="dxa"/>
            <w:gridSpan w:val="2"/>
            <w:tcBorders>
              <w:top w:val="single" w:sz="15" w:space="0" w:color="35437C"/>
              <w:left w:val="single" w:sz="15" w:space="0" w:color="35437C"/>
              <w:bottom w:val="single" w:sz="8" w:space="0" w:color="35437C"/>
              <w:right w:val="nil"/>
            </w:tcBorders>
            <w:shd w:val="clear" w:color="auto" w:fill="35437C"/>
          </w:tcPr>
          <w:p w:rsidR="00576F87" w:rsidRDefault="004165F5">
            <w:pPr>
              <w:spacing w:after="0"/>
              <w:ind w:left="2"/>
            </w:pPr>
            <w:r>
              <w:rPr>
                <w:rFonts w:ascii="Verdana" w:eastAsia="Verdana" w:hAnsi="Verdana" w:cs="Verdana"/>
                <w:b/>
                <w:color w:val="FFFFFF"/>
                <w:sz w:val="16"/>
              </w:rPr>
              <w:t>The assumed life expectations from age 65 are:</w:t>
            </w:r>
          </w:p>
        </w:tc>
        <w:tc>
          <w:tcPr>
            <w:tcW w:w="2287" w:type="dxa"/>
            <w:tcBorders>
              <w:top w:val="single" w:sz="15" w:space="0" w:color="35437C"/>
              <w:left w:val="nil"/>
              <w:bottom w:val="single" w:sz="8" w:space="0" w:color="35437C"/>
              <w:right w:val="single" w:sz="8" w:space="0" w:color="35437C"/>
            </w:tcBorders>
            <w:shd w:val="clear" w:color="auto" w:fill="35437C"/>
            <w:vAlign w:val="bottom"/>
          </w:tcPr>
          <w:p w:rsidR="00576F87" w:rsidRDefault="004165F5">
            <w:pPr>
              <w:spacing w:after="0"/>
              <w:ind w:right="5"/>
              <w:jc w:val="right"/>
            </w:pPr>
            <w:r>
              <w:rPr>
                <w:rFonts w:ascii="Verdana" w:eastAsia="Verdana" w:hAnsi="Verdana" w:cs="Verdana"/>
                <w:b/>
                <w:color w:val="FFFFFF"/>
                <w:sz w:val="16"/>
              </w:rPr>
              <w:t>31-Mar-17</w:t>
            </w:r>
          </w:p>
        </w:tc>
        <w:tc>
          <w:tcPr>
            <w:tcW w:w="2287" w:type="dxa"/>
            <w:tcBorders>
              <w:top w:val="single" w:sz="15" w:space="0" w:color="35437C"/>
              <w:left w:val="single" w:sz="8" w:space="0" w:color="35437C"/>
              <w:bottom w:val="single" w:sz="8" w:space="0" w:color="35437C"/>
              <w:right w:val="single" w:sz="15" w:space="0" w:color="35437C"/>
            </w:tcBorders>
            <w:shd w:val="clear" w:color="auto" w:fill="35437C"/>
            <w:vAlign w:val="bottom"/>
          </w:tcPr>
          <w:p w:rsidR="00576F87" w:rsidRDefault="004165F5">
            <w:pPr>
              <w:spacing w:after="0"/>
              <w:ind w:right="5"/>
              <w:jc w:val="right"/>
            </w:pPr>
            <w:r>
              <w:rPr>
                <w:rFonts w:ascii="Verdana" w:eastAsia="Verdana" w:hAnsi="Verdana" w:cs="Verdana"/>
                <w:b/>
                <w:color w:val="FFFFFF"/>
                <w:sz w:val="16"/>
              </w:rPr>
              <w:t>31-Mar-18</w:t>
            </w:r>
          </w:p>
        </w:tc>
      </w:tr>
      <w:tr w:rsidR="00576F87">
        <w:trPr>
          <w:trHeight w:val="290"/>
        </w:trPr>
        <w:tc>
          <w:tcPr>
            <w:tcW w:w="2287"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Retiring today:</w:t>
            </w:r>
          </w:p>
        </w:tc>
        <w:tc>
          <w:tcPr>
            <w:tcW w:w="2287"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Males</w:t>
            </w:r>
          </w:p>
        </w:tc>
        <w:tc>
          <w:tcPr>
            <w:tcW w:w="2287"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6"/>
              </w:rPr>
              <w:t>22.5</w:t>
            </w:r>
          </w:p>
        </w:tc>
        <w:tc>
          <w:tcPr>
            <w:tcW w:w="2287"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6"/>
              </w:rPr>
              <w:t>22.6</w:t>
            </w:r>
          </w:p>
        </w:tc>
      </w:tr>
      <w:tr w:rsidR="00576F87">
        <w:trPr>
          <w:trHeight w:val="305"/>
        </w:trPr>
        <w:tc>
          <w:tcPr>
            <w:tcW w:w="2287" w:type="dxa"/>
            <w:tcBorders>
              <w:top w:val="single" w:sz="8" w:space="0" w:color="35437C"/>
              <w:left w:val="single" w:sz="15" w:space="0" w:color="35437C"/>
              <w:bottom w:val="single" w:sz="15" w:space="0" w:color="35437C"/>
              <w:right w:val="single" w:sz="8" w:space="0" w:color="35437C"/>
            </w:tcBorders>
          </w:tcPr>
          <w:p w:rsidR="00576F87" w:rsidRDefault="00576F87"/>
        </w:tc>
        <w:tc>
          <w:tcPr>
            <w:tcW w:w="2287" w:type="dxa"/>
            <w:tcBorders>
              <w:top w:val="single" w:sz="8" w:space="0" w:color="35437C"/>
              <w:left w:val="single" w:sz="8" w:space="0" w:color="35437C"/>
              <w:bottom w:val="single" w:sz="15" w:space="0" w:color="35437C"/>
              <w:right w:val="single" w:sz="8" w:space="0" w:color="35437C"/>
            </w:tcBorders>
          </w:tcPr>
          <w:p w:rsidR="00576F87" w:rsidRDefault="004165F5">
            <w:pPr>
              <w:spacing w:after="0"/>
            </w:pPr>
            <w:r>
              <w:rPr>
                <w:rFonts w:ascii="Verdana" w:eastAsia="Verdana" w:hAnsi="Verdana" w:cs="Verdana"/>
                <w:sz w:val="16"/>
              </w:rPr>
              <w:t>Females</w:t>
            </w:r>
          </w:p>
        </w:tc>
        <w:tc>
          <w:tcPr>
            <w:tcW w:w="2287" w:type="dxa"/>
            <w:tcBorders>
              <w:top w:val="single" w:sz="8" w:space="0" w:color="35437C"/>
              <w:left w:val="single" w:sz="8" w:space="0" w:color="35437C"/>
              <w:bottom w:val="single" w:sz="15" w:space="0" w:color="35437C"/>
              <w:right w:val="single" w:sz="8" w:space="0" w:color="35437C"/>
            </w:tcBorders>
          </w:tcPr>
          <w:p w:rsidR="00576F87" w:rsidRDefault="004165F5">
            <w:pPr>
              <w:spacing w:after="0"/>
              <w:jc w:val="right"/>
            </w:pPr>
            <w:r>
              <w:rPr>
                <w:rFonts w:ascii="Verdana" w:eastAsia="Verdana" w:hAnsi="Verdana" w:cs="Verdana"/>
                <w:sz w:val="16"/>
              </w:rPr>
              <w:t>24.6</w:t>
            </w:r>
          </w:p>
        </w:tc>
        <w:tc>
          <w:tcPr>
            <w:tcW w:w="2287" w:type="dxa"/>
            <w:tcBorders>
              <w:top w:val="single" w:sz="8" w:space="0" w:color="35437C"/>
              <w:left w:val="single" w:sz="8" w:space="0" w:color="35437C"/>
              <w:bottom w:val="single" w:sz="15" w:space="0" w:color="35437C"/>
              <w:right w:val="single" w:sz="15" w:space="0" w:color="35437C"/>
            </w:tcBorders>
          </w:tcPr>
          <w:p w:rsidR="00576F87" w:rsidRDefault="004165F5">
            <w:pPr>
              <w:spacing w:after="0"/>
              <w:jc w:val="right"/>
            </w:pPr>
            <w:r>
              <w:rPr>
                <w:rFonts w:ascii="Verdana" w:eastAsia="Verdana" w:hAnsi="Verdana" w:cs="Verdana"/>
                <w:sz w:val="16"/>
              </w:rPr>
              <w:t>24.7</w:t>
            </w:r>
          </w:p>
        </w:tc>
      </w:tr>
    </w:tbl>
    <w:p w:rsidR="00576F87" w:rsidRDefault="004165F5">
      <w:pPr>
        <w:spacing w:after="74"/>
        <w:ind w:left="2" w:hanging="10"/>
      </w:pPr>
      <w:r>
        <w:rPr>
          <w:rFonts w:ascii="Verdana" w:eastAsia="Verdana" w:hAnsi="Verdana" w:cs="Verdana"/>
          <w:b/>
          <w:color w:val="712957"/>
          <w:sz w:val="20"/>
        </w:rPr>
        <w:t>Inner London:</w:t>
      </w:r>
    </w:p>
    <w:tbl>
      <w:tblPr>
        <w:tblStyle w:val="TableGrid"/>
        <w:tblW w:w="9149" w:type="dxa"/>
        <w:tblInd w:w="-38" w:type="dxa"/>
        <w:tblCellMar>
          <w:top w:w="85" w:type="dxa"/>
          <w:left w:w="36" w:type="dxa"/>
          <w:bottom w:w="48" w:type="dxa"/>
          <w:right w:w="33" w:type="dxa"/>
        </w:tblCellMar>
        <w:tblLook w:val="04A0" w:firstRow="1" w:lastRow="0" w:firstColumn="1" w:lastColumn="0" w:noHBand="0" w:noVBand="1"/>
      </w:tblPr>
      <w:tblGrid>
        <w:gridCol w:w="2287"/>
        <w:gridCol w:w="2287"/>
        <w:gridCol w:w="2287"/>
        <w:gridCol w:w="2287"/>
      </w:tblGrid>
      <w:tr w:rsidR="00576F87">
        <w:trPr>
          <w:trHeight w:val="701"/>
        </w:trPr>
        <w:tc>
          <w:tcPr>
            <w:tcW w:w="4574" w:type="dxa"/>
            <w:gridSpan w:val="2"/>
            <w:tcBorders>
              <w:top w:val="single" w:sz="15" w:space="0" w:color="35437C"/>
              <w:left w:val="single" w:sz="15" w:space="0" w:color="35437C"/>
              <w:bottom w:val="single" w:sz="8" w:space="0" w:color="35437C"/>
              <w:right w:val="nil"/>
            </w:tcBorders>
            <w:shd w:val="clear" w:color="auto" w:fill="35437C"/>
          </w:tcPr>
          <w:p w:rsidR="00576F87" w:rsidRDefault="004165F5">
            <w:pPr>
              <w:spacing w:after="0"/>
              <w:ind w:left="2"/>
            </w:pPr>
            <w:r>
              <w:rPr>
                <w:rFonts w:ascii="Verdana" w:eastAsia="Verdana" w:hAnsi="Verdana" w:cs="Verdana"/>
                <w:b/>
                <w:color w:val="FFFFFF"/>
                <w:sz w:val="16"/>
              </w:rPr>
              <w:t>The assumed life expectations from age 65 are:</w:t>
            </w:r>
          </w:p>
        </w:tc>
        <w:tc>
          <w:tcPr>
            <w:tcW w:w="2287" w:type="dxa"/>
            <w:tcBorders>
              <w:top w:val="single" w:sz="15" w:space="0" w:color="35437C"/>
              <w:left w:val="nil"/>
              <w:bottom w:val="single" w:sz="8" w:space="0" w:color="35437C"/>
              <w:right w:val="single" w:sz="8" w:space="0" w:color="35437C"/>
            </w:tcBorders>
            <w:shd w:val="clear" w:color="auto" w:fill="35437C"/>
            <w:vAlign w:val="bottom"/>
          </w:tcPr>
          <w:p w:rsidR="00576F87" w:rsidRDefault="004165F5">
            <w:pPr>
              <w:spacing w:after="0"/>
              <w:ind w:right="5"/>
              <w:jc w:val="right"/>
            </w:pPr>
            <w:r>
              <w:rPr>
                <w:rFonts w:ascii="Verdana" w:eastAsia="Verdana" w:hAnsi="Verdana" w:cs="Verdana"/>
                <w:b/>
                <w:color w:val="FFFFFF"/>
                <w:sz w:val="16"/>
              </w:rPr>
              <w:t>31-Mar-17</w:t>
            </w:r>
          </w:p>
        </w:tc>
        <w:tc>
          <w:tcPr>
            <w:tcW w:w="2287" w:type="dxa"/>
            <w:tcBorders>
              <w:top w:val="single" w:sz="15" w:space="0" w:color="35437C"/>
              <w:left w:val="single" w:sz="8" w:space="0" w:color="35437C"/>
              <w:bottom w:val="single" w:sz="8" w:space="0" w:color="35437C"/>
              <w:right w:val="single" w:sz="15" w:space="0" w:color="35437C"/>
            </w:tcBorders>
            <w:shd w:val="clear" w:color="auto" w:fill="35437C"/>
            <w:vAlign w:val="bottom"/>
          </w:tcPr>
          <w:p w:rsidR="00576F87" w:rsidRDefault="004165F5">
            <w:pPr>
              <w:spacing w:after="0"/>
              <w:ind w:right="5"/>
              <w:jc w:val="right"/>
            </w:pPr>
            <w:r>
              <w:rPr>
                <w:rFonts w:ascii="Verdana" w:eastAsia="Verdana" w:hAnsi="Verdana" w:cs="Verdana"/>
                <w:b/>
                <w:color w:val="FFFFFF"/>
                <w:sz w:val="16"/>
              </w:rPr>
              <w:t>31-Mar-18</w:t>
            </w:r>
          </w:p>
        </w:tc>
      </w:tr>
      <w:tr w:rsidR="00576F87">
        <w:trPr>
          <w:trHeight w:val="290"/>
        </w:trPr>
        <w:tc>
          <w:tcPr>
            <w:tcW w:w="2287"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Retiring today:</w:t>
            </w:r>
          </w:p>
        </w:tc>
        <w:tc>
          <w:tcPr>
            <w:tcW w:w="2287"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Males</w:t>
            </w:r>
          </w:p>
        </w:tc>
        <w:tc>
          <w:tcPr>
            <w:tcW w:w="2287"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6"/>
              </w:rPr>
              <w:t>22.5</w:t>
            </w:r>
          </w:p>
        </w:tc>
        <w:tc>
          <w:tcPr>
            <w:tcW w:w="2287"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6"/>
              </w:rPr>
              <w:t>22.6</w:t>
            </w:r>
          </w:p>
        </w:tc>
      </w:tr>
      <w:tr w:rsidR="00576F87">
        <w:trPr>
          <w:trHeight w:val="305"/>
        </w:trPr>
        <w:tc>
          <w:tcPr>
            <w:tcW w:w="2287" w:type="dxa"/>
            <w:tcBorders>
              <w:top w:val="single" w:sz="8" w:space="0" w:color="35437C"/>
              <w:left w:val="single" w:sz="15" w:space="0" w:color="35437C"/>
              <w:bottom w:val="single" w:sz="15" w:space="0" w:color="35437C"/>
              <w:right w:val="single" w:sz="8" w:space="0" w:color="35437C"/>
            </w:tcBorders>
          </w:tcPr>
          <w:p w:rsidR="00576F87" w:rsidRDefault="00576F87"/>
        </w:tc>
        <w:tc>
          <w:tcPr>
            <w:tcW w:w="2287" w:type="dxa"/>
            <w:tcBorders>
              <w:top w:val="single" w:sz="8" w:space="0" w:color="35437C"/>
              <w:left w:val="single" w:sz="8" w:space="0" w:color="35437C"/>
              <w:bottom w:val="single" w:sz="15" w:space="0" w:color="35437C"/>
              <w:right w:val="single" w:sz="8" w:space="0" w:color="35437C"/>
            </w:tcBorders>
          </w:tcPr>
          <w:p w:rsidR="00576F87" w:rsidRDefault="004165F5">
            <w:pPr>
              <w:spacing w:after="0"/>
            </w:pPr>
            <w:r>
              <w:rPr>
                <w:rFonts w:ascii="Verdana" w:eastAsia="Verdana" w:hAnsi="Verdana" w:cs="Verdana"/>
                <w:sz w:val="16"/>
              </w:rPr>
              <w:t>Females</w:t>
            </w:r>
          </w:p>
        </w:tc>
        <w:tc>
          <w:tcPr>
            <w:tcW w:w="2287" w:type="dxa"/>
            <w:tcBorders>
              <w:top w:val="single" w:sz="8" w:space="0" w:color="35437C"/>
              <w:left w:val="single" w:sz="8" w:space="0" w:color="35437C"/>
              <w:bottom w:val="single" w:sz="15" w:space="0" w:color="35437C"/>
              <w:right w:val="single" w:sz="8" w:space="0" w:color="35437C"/>
            </w:tcBorders>
          </w:tcPr>
          <w:p w:rsidR="00576F87" w:rsidRDefault="004165F5">
            <w:pPr>
              <w:spacing w:after="0"/>
              <w:jc w:val="right"/>
            </w:pPr>
            <w:r>
              <w:rPr>
                <w:rFonts w:ascii="Verdana" w:eastAsia="Verdana" w:hAnsi="Verdana" w:cs="Verdana"/>
                <w:sz w:val="16"/>
              </w:rPr>
              <w:t>24.6</w:t>
            </w:r>
          </w:p>
        </w:tc>
        <w:tc>
          <w:tcPr>
            <w:tcW w:w="2287" w:type="dxa"/>
            <w:tcBorders>
              <w:top w:val="single" w:sz="8" w:space="0" w:color="35437C"/>
              <w:left w:val="single" w:sz="8" w:space="0" w:color="35437C"/>
              <w:bottom w:val="single" w:sz="15" w:space="0" w:color="35437C"/>
              <w:right w:val="single" w:sz="15" w:space="0" w:color="35437C"/>
            </w:tcBorders>
          </w:tcPr>
          <w:p w:rsidR="00576F87" w:rsidRDefault="004165F5">
            <w:pPr>
              <w:spacing w:after="0"/>
              <w:jc w:val="right"/>
            </w:pPr>
            <w:r>
              <w:rPr>
                <w:rFonts w:ascii="Verdana" w:eastAsia="Verdana" w:hAnsi="Verdana" w:cs="Verdana"/>
                <w:sz w:val="16"/>
              </w:rPr>
              <w:t>24.7</w:t>
            </w:r>
          </w:p>
        </w:tc>
      </w:tr>
    </w:tbl>
    <w:p w:rsidR="00576F87" w:rsidRDefault="004165F5">
      <w:r>
        <w:br w:type="page"/>
      </w:r>
    </w:p>
    <w:p w:rsidR="00576F87" w:rsidRDefault="004165F5">
      <w:pPr>
        <w:pStyle w:val="Heading3"/>
        <w:spacing w:line="259" w:lineRule="auto"/>
        <w:ind w:left="3" w:hanging="8"/>
      </w:pPr>
      <w:r>
        <w:rPr>
          <w:b w:val="0"/>
          <w:color w:val="35437C"/>
          <w:sz w:val="24"/>
        </w:rPr>
        <w:t>Retirement benefit obligations</w:t>
      </w:r>
    </w:p>
    <w:tbl>
      <w:tblPr>
        <w:tblStyle w:val="TableGrid"/>
        <w:tblW w:w="9593" w:type="dxa"/>
        <w:tblInd w:w="-38" w:type="dxa"/>
        <w:tblCellMar>
          <w:top w:w="40" w:type="dxa"/>
          <w:left w:w="36" w:type="dxa"/>
          <w:bottom w:w="0" w:type="dxa"/>
          <w:right w:w="0" w:type="dxa"/>
        </w:tblCellMar>
        <w:tblLook w:val="04A0" w:firstRow="1" w:lastRow="0" w:firstColumn="1" w:lastColumn="0" w:noHBand="0" w:noVBand="1"/>
      </w:tblPr>
      <w:tblGrid>
        <w:gridCol w:w="3110"/>
        <w:gridCol w:w="1032"/>
        <w:gridCol w:w="984"/>
        <w:gridCol w:w="1032"/>
        <w:gridCol w:w="1145"/>
        <w:gridCol w:w="1258"/>
        <w:gridCol w:w="1032"/>
      </w:tblGrid>
      <w:tr w:rsidR="00576F87">
        <w:trPr>
          <w:trHeight w:val="504"/>
        </w:trPr>
        <w:tc>
          <w:tcPr>
            <w:tcW w:w="3110" w:type="dxa"/>
            <w:tcBorders>
              <w:top w:val="single" w:sz="15" w:space="0" w:color="35437C"/>
              <w:left w:val="single" w:sz="15" w:space="0" w:color="35437C"/>
              <w:bottom w:val="nil"/>
              <w:right w:val="single" w:sz="8" w:space="0" w:color="35437C"/>
            </w:tcBorders>
            <w:shd w:val="clear" w:color="auto" w:fill="35437C"/>
          </w:tcPr>
          <w:p w:rsidR="00576F87" w:rsidRDefault="00576F87"/>
        </w:tc>
        <w:tc>
          <w:tcPr>
            <w:tcW w:w="3048" w:type="dxa"/>
            <w:gridSpan w:val="3"/>
            <w:tcBorders>
              <w:top w:val="single" w:sz="15" w:space="0" w:color="35437C"/>
              <w:left w:val="single" w:sz="8" w:space="0" w:color="35437C"/>
              <w:bottom w:val="nil"/>
              <w:right w:val="single" w:sz="8" w:space="0" w:color="35437C"/>
            </w:tcBorders>
            <w:shd w:val="clear" w:color="auto" w:fill="35437C"/>
            <w:vAlign w:val="center"/>
          </w:tcPr>
          <w:p w:rsidR="00576F87" w:rsidRDefault="004165F5">
            <w:pPr>
              <w:spacing w:after="0"/>
              <w:ind w:right="35"/>
              <w:jc w:val="center"/>
            </w:pPr>
            <w:r>
              <w:rPr>
                <w:rFonts w:ascii="Verdana" w:eastAsia="Verdana" w:hAnsi="Verdana" w:cs="Verdana"/>
                <w:b/>
                <w:color w:val="FFFFFF"/>
                <w:sz w:val="16"/>
              </w:rPr>
              <w:t>31-Mar-17</w:t>
            </w:r>
          </w:p>
        </w:tc>
        <w:tc>
          <w:tcPr>
            <w:tcW w:w="2402" w:type="dxa"/>
            <w:gridSpan w:val="2"/>
            <w:tcBorders>
              <w:top w:val="single" w:sz="15" w:space="0" w:color="35437C"/>
              <w:left w:val="single" w:sz="8" w:space="0" w:color="35437C"/>
              <w:bottom w:val="nil"/>
              <w:right w:val="nil"/>
            </w:tcBorders>
            <w:shd w:val="clear" w:color="auto" w:fill="35437C"/>
            <w:vAlign w:val="center"/>
          </w:tcPr>
          <w:p w:rsidR="00576F87" w:rsidRDefault="004165F5">
            <w:pPr>
              <w:spacing w:after="0"/>
              <w:ind w:right="211"/>
              <w:jc w:val="right"/>
            </w:pPr>
            <w:r>
              <w:rPr>
                <w:rFonts w:ascii="Verdana" w:eastAsia="Verdana" w:hAnsi="Verdana" w:cs="Verdana"/>
                <w:b/>
                <w:color w:val="FFFFFF"/>
                <w:sz w:val="16"/>
              </w:rPr>
              <w:t>31-Mar-18</w:t>
            </w:r>
          </w:p>
        </w:tc>
        <w:tc>
          <w:tcPr>
            <w:tcW w:w="1032" w:type="dxa"/>
            <w:tcBorders>
              <w:top w:val="single" w:sz="15" w:space="0" w:color="35437C"/>
              <w:left w:val="nil"/>
              <w:bottom w:val="nil"/>
              <w:right w:val="single" w:sz="15" w:space="0" w:color="35437C"/>
            </w:tcBorders>
            <w:shd w:val="clear" w:color="auto" w:fill="35437C"/>
          </w:tcPr>
          <w:p w:rsidR="00576F87" w:rsidRDefault="00576F87"/>
        </w:tc>
      </w:tr>
      <w:tr w:rsidR="00576F87">
        <w:trPr>
          <w:trHeight w:val="497"/>
        </w:trPr>
        <w:tc>
          <w:tcPr>
            <w:tcW w:w="3110" w:type="dxa"/>
            <w:tcBorders>
              <w:top w:val="nil"/>
              <w:left w:val="single" w:sz="15" w:space="0" w:color="35437C"/>
              <w:bottom w:val="single" w:sz="8" w:space="0" w:color="35437C"/>
              <w:right w:val="single" w:sz="8" w:space="0" w:color="35437C"/>
            </w:tcBorders>
            <w:shd w:val="clear" w:color="auto" w:fill="35437C"/>
          </w:tcPr>
          <w:p w:rsidR="00576F87" w:rsidRDefault="00576F87"/>
        </w:tc>
        <w:tc>
          <w:tcPr>
            <w:tcW w:w="1032" w:type="dxa"/>
            <w:tcBorders>
              <w:top w:val="nil"/>
              <w:left w:val="single" w:sz="8" w:space="0" w:color="35437C"/>
              <w:bottom w:val="single" w:sz="8" w:space="0" w:color="35437C"/>
              <w:right w:val="nil"/>
            </w:tcBorders>
            <w:shd w:val="clear" w:color="auto" w:fill="35437C"/>
            <w:vAlign w:val="bottom"/>
          </w:tcPr>
          <w:p w:rsidR="00576F87" w:rsidRDefault="004165F5">
            <w:pPr>
              <w:spacing w:after="0"/>
              <w:ind w:right="36"/>
              <w:jc w:val="right"/>
            </w:pPr>
            <w:r>
              <w:rPr>
                <w:rFonts w:ascii="Verdana" w:eastAsia="Verdana" w:hAnsi="Verdana" w:cs="Verdana"/>
                <w:b/>
                <w:color w:val="FFFFFF"/>
                <w:sz w:val="16"/>
              </w:rPr>
              <w:t xml:space="preserve">Greater </w:t>
            </w:r>
          </w:p>
          <w:p w:rsidR="00576F87" w:rsidRDefault="004165F5">
            <w:pPr>
              <w:spacing w:after="0"/>
              <w:ind w:right="36"/>
              <w:jc w:val="right"/>
            </w:pPr>
            <w:r>
              <w:rPr>
                <w:rFonts w:ascii="Verdana" w:eastAsia="Verdana" w:hAnsi="Verdana" w:cs="Verdana"/>
                <w:b/>
                <w:color w:val="FFFFFF"/>
                <w:sz w:val="16"/>
              </w:rPr>
              <w:t>London</w:t>
            </w:r>
          </w:p>
        </w:tc>
        <w:tc>
          <w:tcPr>
            <w:tcW w:w="984" w:type="dxa"/>
            <w:tcBorders>
              <w:top w:val="nil"/>
              <w:left w:val="nil"/>
              <w:bottom w:val="single" w:sz="8" w:space="0" w:color="35437C"/>
              <w:right w:val="nil"/>
            </w:tcBorders>
            <w:shd w:val="clear" w:color="auto" w:fill="35437C"/>
            <w:vAlign w:val="bottom"/>
          </w:tcPr>
          <w:p w:rsidR="00576F87" w:rsidRDefault="004165F5">
            <w:pPr>
              <w:spacing w:after="0"/>
              <w:ind w:right="37"/>
              <w:jc w:val="right"/>
            </w:pPr>
            <w:r>
              <w:rPr>
                <w:rFonts w:ascii="Verdana" w:eastAsia="Verdana" w:hAnsi="Verdana" w:cs="Verdana"/>
                <w:b/>
                <w:color w:val="FFFFFF"/>
                <w:sz w:val="16"/>
              </w:rPr>
              <w:t xml:space="preserve">Inner </w:t>
            </w:r>
          </w:p>
          <w:p w:rsidR="00576F87" w:rsidRDefault="004165F5">
            <w:pPr>
              <w:spacing w:after="0"/>
              <w:ind w:right="36"/>
              <w:jc w:val="right"/>
            </w:pPr>
            <w:r>
              <w:rPr>
                <w:rFonts w:ascii="Verdana" w:eastAsia="Verdana" w:hAnsi="Verdana" w:cs="Verdana"/>
                <w:b/>
                <w:color w:val="FFFFFF"/>
                <w:sz w:val="16"/>
              </w:rPr>
              <w:t>London</w:t>
            </w:r>
          </w:p>
        </w:tc>
        <w:tc>
          <w:tcPr>
            <w:tcW w:w="1032" w:type="dxa"/>
            <w:tcBorders>
              <w:top w:val="nil"/>
              <w:left w:val="nil"/>
              <w:bottom w:val="single" w:sz="8" w:space="0" w:color="35437C"/>
              <w:right w:val="single" w:sz="8" w:space="0" w:color="35437C"/>
            </w:tcBorders>
            <w:shd w:val="clear" w:color="auto" w:fill="35437C"/>
            <w:vAlign w:val="bottom"/>
          </w:tcPr>
          <w:p w:rsidR="00576F87" w:rsidRDefault="004165F5">
            <w:pPr>
              <w:spacing w:after="0"/>
              <w:ind w:right="36"/>
              <w:jc w:val="right"/>
            </w:pPr>
            <w:r>
              <w:rPr>
                <w:rFonts w:ascii="Verdana" w:eastAsia="Verdana" w:hAnsi="Verdana" w:cs="Verdana"/>
                <w:b/>
                <w:color w:val="FFFFFF"/>
                <w:sz w:val="16"/>
              </w:rPr>
              <w:t>Total</w:t>
            </w:r>
          </w:p>
        </w:tc>
        <w:tc>
          <w:tcPr>
            <w:tcW w:w="1145" w:type="dxa"/>
            <w:tcBorders>
              <w:top w:val="nil"/>
              <w:left w:val="single" w:sz="8" w:space="0" w:color="35437C"/>
              <w:bottom w:val="single" w:sz="8" w:space="0" w:color="35437C"/>
              <w:right w:val="nil"/>
            </w:tcBorders>
            <w:shd w:val="clear" w:color="auto" w:fill="35437C"/>
            <w:vAlign w:val="bottom"/>
          </w:tcPr>
          <w:p w:rsidR="00576F87" w:rsidRDefault="004165F5">
            <w:pPr>
              <w:spacing w:after="0"/>
              <w:ind w:right="36"/>
              <w:jc w:val="right"/>
            </w:pPr>
            <w:r>
              <w:rPr>
                <w:rFonts w:ascii="Verdana" w:eastAsia="Verdana" w:hAnsi="Verdana" w:cs="Verdana"/>
                <w:b/>
                <w:color w:val="FFFFFF"/>
                <w:sz w:val="16"/>
              </w:rPr>
              <w:t xml:space="preserve">Greater </w:t>
            </w:r>
          </w:p>
          <w:p w:rsidR="00576F87" w:rsidRDefault="004165F5">
            <w:pPr>
              <w:spacing w:after="0"/>
              <w:ind w:right="36"/>
              <w:jc w:val="right"/>
            </w:pPr>
            <w:r>
              <w:rPr>
                <w:rFonts w:ascii="Verdana" w:eastAsia="Verdana" w:hAnsi="Verdana" w:cs="Verdana"/>
                <w:b/>
                <w:color w:val="FFFFFF"/>
                <w:sz w:val="16"/>
              </w:rPr>
              <w:t>London</w:t>
            </w:r>
          </w:p>
        </w:tc>
        <w:tc>
          <w:tcPr>
            <w:tcW w:w="1258" w:type="dxa"/>
            <w:tcBorders>
              <w:top w:val="nil"/>
              <w:left w:val="nil"/>
              <w:bottom w:val="single" w:sz="8" w:space="0" w:color="35437C"/>
              <w:right w:val="nil"/>
            </w:tcBorders>
            <w:shd w:val="clear" w:color="auto" w:fill="35437C"/>
            <w:vAlign w:val="bottom"/>
          </w:tcPr>
          <w:p w:rsidR="00576F87" w:rsidRDefault="004165F5">
            <w:pPr>
              <w:spacing w:after="0"/>
              <w:ind w:right="37"/>
              <w:jc w:val="right"/>
            </w:pPr>
            <w:r>
              <w:rPr>
                <w:rFonts w:ascii="Verdana" w:eastAsia="Verdana" w:hAnsi="Verdana" w:cs="Verdana"/>
                <w:b/>
                <w:color w:val="FFFFFF"/>
                <w:sz w:val="16"/>
              </w:rPr>
              <w:t xml:space="preserve">Inner </w:t>
            </w:r>
          </w:p>
          <w:p w:rsidR="00576F87" w:rsidRDefault="004165F5">
            <w:pPr>
              <w:spacing w:after="0"/>
              <w:ind w:right="36"/>
              <w:jc w:val="right"/>
            </w:pPr>
            <w:r>
              <w:rPr>
                <w:rFonts w:ascii="Verdana" w:eastAsia="Verdana" w:hAnsi="Verdana" w:cs="Verdana"/>
                <w:b/>
                <w:color w:val="FFFFFF"/>
                <w:sz w:val="16"/>
              </w:rPr>
              <w:t>London</w:t>
            </w:r>
          </w:p>
        </w:tc>
        <w:tc>
          <w:tcPr>
            <w:tcW w:w="1032" w:type="dxa"/>
            <w:tcBorders>
              <w:top w:val="nil"/>
              <w:left w:val="nil"/>
              <w:bottom w:val="single" w:sz="8" w:space="0" w:color="35437C"/>
              <w:right w:val="single" w:sz="15" w:space="0" w:color="35437C"/>
            </w:tcBorders>
            <w:shd w:val="clear" w:color="auto" w:fill="35437C"/>
            <w:vAlign w:val="bottom"/>
          </w:tcPr>
          <w:p w:rsidR="00576F87" w:rsidRDefault="004165F5">
            <w:pPr>
              <w:spacing w:after="0"/>
              <w:ind w:right="36"/>
              <w:jc w:val="right"/>
            </w:pPr>
            <w:r>
              <w:rPr>
                <w:rFonts w:ascii="Verdana" w:eastAsia="Verdana" w:hAnsi="Verdana" w:cs="Verdana"/>
                <w:b/>
                <w:color w:val="FFFFFF"/>
                <w:sz w:val="16"/>
              </w:rPr>
              <w:t>Total</w:t>
            </w:r>
          </w:p>
        </w:tc>
      </w:tr>
      <w:tr w:rsidR="00576F87">
        <w:trPr>
          <w:trHeight w:val="406"/>
        </w:trPr>
        <w:tc>
          <w:tcPr>
            <w:tcW w:w="3110"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left="2"/>
            </w:pPr>
            <w:r>
              <w:rPr>
                <w:rFonts w:ascii="Verdana" w:eastAsia="Verdana" w:hAnsi="Verdana" w:cs="Verdana"/>
                <w:b/>
                <w:sz w:val="16"/>
              </w:rPr>
              <w:t xml:space="preserve">RETIREMENT BENEFIT </w:t>
            </w:r>
          </w:p>
          <w:p w:rsidR="00576F87" w:rsidRDefault="004165F5">
            <w:pPr>
              <w:spacing w:after="0"/>
              <w:ind w:left="2"/>
            </w:pPr>
            <w:r>
              <w:rPr>
                <w:rFonts w:ascii="Verdana" w:eastAsia="Verdana" w:hAnsi="Verdana" w:cs="Verdana"/>
                <w:b/>
                <w:sz w:val="16"/>
              </w:rPr>
              <w:t>OBLIGATIONS</w:t>
            </w:r>
          </w:p>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98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145"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3110" w:type="dxa"/>
            <w:tcBorders>
              <w:top w:val="single" w:sz="8" w:space="0" w:color="35437C"/>
              <w:left w:val="single" w:sz="15"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98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114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103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7"/>
              <w:jc w:val="right"/>
            </w:pPr>
            <w:r>
              <w:rPr>
                <w:rFonts w:ascii="Verdana" w:eastAsia="Verdana" w:hAnsi="Verdana" w:cs="Verdana"/>
                <w:b/>
                <w:sz w:val="16"/>
              </w:rPr>
              <w:t>£000</w:t>
            </w:r>
          </w:p>
        </w:tc>
      </w:tr>
      <w:tr w:rsidR="00576F87">
        <w:trPr>
          <w:trHeight w:val="348"/>
        </w:trPr>
        <w:tc>
          <w:tcPr>
            <w:tcW w:w="8561" w:type="dxa"/>
            <w:gridSpan w:val="6"/>
            <w:tcBorders>
              <w:top w:val="single" w:sz="8" w:space="0" w:color="35437C"/>
              <w:left w:val="single" w:sz="15" w:space="0" w:color="35437C"/>
              <w:bottom w:val="single" w:sz="8" w:space="0" w:color="35437C"/>
              <w:right w:val="nil"/>
            </w:tcBorders>
          </w:tcPr>
          <w:p w:rsidR="00576F87" w:rsidRDefault="004165F5">
            <w:pPr>
              <w:spacing w:after="0"/>
            </w:pPr>
            <w:r>
              <w:rPr>
                <w:rFonts w:ascii="Verdana" w:eastAsia="Verdana" w:hAnsi="Verdana" w:cs="Verdana"/>
                <w:sz w:val="16"/>
              </w:rPr>
              <w:t>The amounts recognised in the balance sheet are determined as follows:</w:t>
            </w:r>
          </w:p>
        </w:tc>
        <w:tc>
          <w:tcPr>
            <w:tcW w:w="1032" w:type="dxa"/>
            <w:tcBorders>
              <w:top w:val="single" w:sz="8" w:space="0" w:color="35437C"/>
              <w:left w:val="nil"/>
              <w:bottom w:val="single" w:sz="8" w:space="0" w:color="35437C"/>
              <w:right w:val="single" w:sz="15" w:space="0" w:color="35437C"/>
            </w:tcBorders>
          </w:tcPr>
          <w:p w:rsidR="00576F87" w:rsidRDefault="00576F87"/>
        </w:tc>
      </w:tr>
      <w:tr w:rsidR="00576F87">
        <w:trPr>
          <w:trHeight w:val="290"/>
        </w:trPr>
        <w:tc>
          <w:tcPr>
            <w:tcW w:w="3110" w:type="dxa"/>
            <w:tcBorders>
              <w:top w:val="single" w:sz="8" w:space="0" w:color="35437C"/>
              <w:left w:val="single" w:sz="15"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98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145"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406"/>
        </w:trPr>
        <w:tc>
          <w:tcPr>
            <w:tcW w:w="3110" w:type="dxa"/>
            <w:tcBorders>
              <w:top w:val="single" w:sz="8" w:space="0" w:color="35437C"/>
              <w:left w:val="single" w:sz="15" w:space="0" w:color="35437C"/>
              <w:bottom w:val="single" w:sz="8" w:space="0" w:color="35437C"/>
              <w:right w:val="single" w:sz="8" w:space="0" w:color="35437C"/>
            </w:tcBorders>
            <w:vAlign w:val="center"/>
          </w:tcPr>
          <w:p w:rsidR="00576F87" w:rsidRDefault="004165F5">
            <w:pPr>
              <w:spacing w:after="0"/>
            </w:pPr>
            <w:r>
              <w:rPr>
                <w:rFonts w:ascii="Verdana" w:eastAsia="Verdana" w:hAnsi="Verdana" w:cs="Verdana"/>
                <w:sz w:val="16"/>
              </w:rPr>
              <w:t>Present value of funded obligations</w:t>
            </w:r>
          </w:p>
        </w:tc>
        <w:tc>
          <w:tcPr>
            <w:tcW w:w="103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1145"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1258"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30"/>
              <w:jc w:val="right"/>
            </w:pPr>
            <w:r>
              <w:rPr>
                <w:rFonts w:ascii="Verdana" w:eastAsia="Verdana" w:hAnsi="Verdana" w:cs="Verdana"/>
                <w:sz w:val="16"/>
              </w:rPr>
              <w:t>-</w:t>
            </w:r>
          </w:p>
        </w:tc>
      </w:tr>
      <w:tr w:rsidR="00576F87">
        <w:trPr>
          <w:trHeight w:val="290"/>
        </w:trPr>
        <w:tc>
          <w:tcPr>
            <w:tcW w:w="3110"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Impact of asset ceiling</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114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0"/>
              <w:jc w:val="right"/>
            </w:pPr>
            <w:r>
              <w:rPr>
                <w:rFonts w:ascii="Verdana" w:eastAsia="Verdana" w:hAnsi="Verdana" w:cs="Verdana"/>
                <w:sz w:val="16"/>
              </w:rPr>
              <w:t>-</w:t>
            </w:r>
          </w:p>
        </w:tc>
      </w:tr>
      <w:tr w:rsidR="00576F87">
        <w:trPr>
          <w:trHeight w:val="406"/>
        </w:trPr>
        <w:tc>
          <w:tcPr>
            <w:tcW w:w="3110"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23"/>
            </w:pPr>
            <w:r>
              <w:rPr>
                <w:rFonts w:ascii="Verdana" w:eastAsia="Verdana" w:hAnsi="Verdana" w:cs="Verdana"/>
                <w:sz w:val="16"/>
              </w:rPr>
              <w:t>Present value of unfunded obligations</w:t>
            </w:r>
          </w:p>
        </w:tc>
        <w:tc>
          <w:tcPr>
            <w:tcW w:w="103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5"/>
              <w:jc w:val="right"/>
            </w:pPr>
            <w:r>
              <w:rPr>
                <w:rFonts w:ascii="Verdana" w:eastAsia="Verdana" w:hAnsi="Verdana" w:cs="Verdana"/>
                <w:sz w:val="16"/>
              </w:rPr>
              <w:t>80,589</w:t>
            </w:r>
          </w:p>
        </w:tc>
        <w:tc>
          <w:tcPr>
            <w:tcW w:w="984"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6"/>
              <w:jc w:val="right"/>
            </w:pPr>
            <w:r>
              <w:rPr>
                <w:rFonts w:ascii="Verdana" w:eastAsia="Verdana" w:hAnsi="Verdana" w:cs="Verdana"/>
                <w:sz w:val="16"/>
              </w:rPr>
              <w:t>154,113</w:t>
            </w:r>
          </w:p>
        </w:tc>
        <w:tc>
          <w:tcPr>
            <w:tcW w:w="103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6"/>
              <w:jc w:val="right"/>
            </w:pPr>
            <w:r>
              <w:rPr>
                <w:rFonts w:ascii="Verdana" w:eastAsia="Verdana" w:hAnsi="Verdana" w:cs="Verdana"/>
                <w:sz w:val="16"/>
              </w:rPr>
              <w:t>234,702</w:t>
            </w:r>
          </w:p>
        </w:tc>
        <w:tc>
          <w:tcPr>
            <w:tcW w:w="1145"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4"/>
              <w:jc w:val="right"/>
            </w:pPr>
            <w:r>
              <w:rPr>
                <w:rFonts w:ascii="Verdana" w:eastAsia="Verdana" w:hAnsi="Verdana" w:cs="Verdana"/>
                <w:sz w:val="16"/>
              </w:rPr>
              <w:t>72,628</w:t>
            </w:r>
          </w:p>
        </w:tc>
        <w:tc>
          <w:tcPr>
            <w:tcW w:w="1258"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5"/>
              <w:jc w:val="right"/>
            </w:pPr>
            <w:r>
              <w:rPr>
                <w:rFonts w:ascii="Verdana" w:eastAsia="Verdana" w:hAnsi="Verdana" w:cs="Verdana"/>
                <w:sz w:val="16"/>
              </w:rPr>
              <w:t>141,698</w:t>
            </w:r>
          </w:p>
        </w:tc>
        <w:tc>
          <w:tcPr>
            <w:tcW w:w="1032"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35"/>
              <w:jc w:val="right"/>
            </w:pPr>
            <w:r>
              <w:rPr>
                <w:rFonts w:ascii="Verdana" w:eastAsia="Verdana" w:hAnsi="Verdana" w:cs="Verdana"/>
                <w:sz w:val="16"/>
              </w:rPr>
              <w:t>214,326</w:t>
            </w:r>
          </w:p>
        </w:tc>
      </w:tr>
      <w:tr w:rsidR="00576F87">
        <w:trPr>
          <w:trHeight w:val="406"/>
        </w:trPr>
        <w:tc>
          <w:tcPr>
            <w:tcW w:w="3110" w:type="dxa"/>
            <w:tcBorders>
              <w:top w:val="single" w:sz="8" w:space="0" w:color="35437C"/>
              <w:left w:val="single" w:sz="15" w:space="0" w:color="35437C"/>
              <w:bottom w:val="single" w:sz="8" w:space="0" w:color="35437C"/>
              <w:right w:val="single" w:sz="8" w:space="0" w:color="35437C"/>
            </w:tcBorders>
            <w:vAlign w:val="center"/>
          </w:tcPr>
          <w:p w:rsidR="00576F87" w:rsidRDefault="004165F5">
            <w:pPr>
              <w:spacing w:after="0"/>
            </w:pPr>
            <w:r>
              <w:rPr>
                <w:rFonts w:ascii="Verdana" w:eastAsia="Verdana" w:hAnsi="Verdana" w:cs="Verdana"/>
                <w:sz w:val="16"/>
              </w:rPr>
              <w:t>Unrecognised past service costs</w:t>
            </w:r>
          </w:p>
        </w:tc>
        <w:tc>
          <w:tcPr>
            <w:tcW w:w="103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1145"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1258"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30"/>
              <w:jc w:val="right"/>
            </w:pPr>
            <w:r>
              <w:rPr>
                <w:rFonts w:ascii="Verdana" w:eastAsia="Verdana" w:hAnsi="Verdana" w:cs="Verdana"/>
                <w:sz w:val="16"/>
              </w:rPr>
              <w:t>-</w:t>
            </w:r>
          </w:p>
        </w:tc>
      </w:tr>
      <w:tr w:rsidR="00576F87">
        <w:trPr>
          <w:trHeight w:val="290"/>
        </w:trPr>
        <w:tc>
          <w:tcPr>
            <w:tcW w:w="3110" w:type="dxa"/>
            <w:tcBorders>
              <w:top w:val="single" w:sz="8" w:space="0" w:color="35437C"/>
              <w:left w:val="single" w:sz="15"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98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145"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3110" w:type="dxa"/>
            <w:tcBorders>
              <w:top w:val="single" w:sz="8" w:space="0" w:color="35437C"/>
              <w:left w:val="single" w:sz="15" w:space="0" w:color="35437C"/>
              <w:bottom w:val="single" w:sz="8" w:space="0" w:color="35437C"/>
              <w:right w:val="single" w:sz="8" w:space="0" w:color="35437C"/>
            </w:tcBorders>
            <w:shd w:val="clear" w:color="auto" w:fill="35437C"/>
          </w:tcPr>
          <w:p w:rsidR="00576F87" w:rsidRDefault="004165F5">
            <w:pPr>
              <w:spacing w:after="0"/>
              <w:ind w:left="2"/>
            </w:pPr>
            <w:r>
              <w:rPr>
                <w:rFonts w:ascii="Verdana" w:eastAsia="Verdana" w:hAnsi="Verdana" w:cs="Verdana"/>
                <w:b/>
                <w:color w:val="FFFFFF"/>
                <w:sz w:val="16"/>
              </w:rPr>
              <w:t>Pension Liability</w:t>
            </w:r>
          </w:p>
        </w:tc>
        <w:tc>
          <w:tcPr>
            <w:tcW w:w="103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8"/>
              <w:jc w:val="right"/>
            </w:pPr>
            <w:r>
              <w:rPr>
                <w:rFonts w:ascii="Verdana" w:eastAsia="Verdana" w:hAnsi="Verdana" w:cs="Verdana"/>
                <w:b/>
                <w:color w:val="FFFFFF"/>
                <w:sz w:val="16"/>
              </w:rPr>
              <w:t>80,589</w:t>
            </w:r>
          </w:p>
        </w:tc>
        <w:tc>
          <w:tcPr>
            <w:tcW w:w="984"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left="166"/>
            </w:pPr>
            <w:r>
              <w:rPr>
                <w:rFonts w:ascii="Verdana" w:eastAsia="Verdana" w:hAnsi="Verdana" w:cs="Verdana"/>
                <w:b/>
                <w:color w:val="FFFFFF"/>
                <w:sz w:val="16"/>
              </w:rPr>
              <w:t>154,113</w:t>
            </w:r>
          </w:p>
        </w:tc>
        <w:tc>
          <w:tcPr>
            <w:tcW w:w="103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9"/>
              <w:jc w:val="right"/>
            </w:pPr>
            <w:r>
              <w:rPr>
                <w:rFonts w:ascii="Verdana" w:eastAsia="Verdana" w:hAnsi="Verdana" w:cs="Verdana"/>
                <w:b/>
                <w:color w:val="FFFFFF"/>
                <w:sz w:val="16"/>
              </w:rPr>
              <w:t>234,702</w:t>
            </w:r>
          </w:p>
        </w:tc>
        <w:tc>
          <w:tcPr>
            <w:tcW w:w="1145"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8"/>
              <w:jc w:val="right"/>
            </w:pPr>
            <w:r>
              <w:rPr>
                <w:rFonts w:ascii="Verdana" w:eastAsia="Verdana" w:hAnsi="Verdana" w:cs="Verdana"/>
                <w:b/>
                <w:color w:val="FFFFFF"/>
                <w:sz w:val="16"/>
              </w:rPr>
              <w:t>72,628</w:t>
            </w:r>
          </w:p>
        </w:tc>
        <w:tc>
          <w:tcPr>
            <w:tcW w:w="125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9"/>
              <w:jc w:val="right"/>
            </w:pPr>
            <w:r>
              <w:rPr>
                <w:rFonts w:ascii="Verdana" w:eastAsia="Verdana" w:hAnsi="Verdana" w:cs="Verdana"/>
                <w:b/>
                <w:color w:val="FFFFFF"/>
                <w:sz w:val="16"/>
              </w:rPr>
              <w:t>141,698</w:t>
            </w:r>
          </w:p>
        </w:tc>
        <w:tc>
          <w:tcPr>
            <w:tcW w:w="1032" w:type="dxa"/>
            <w:tcBorders>
              <w:top w:val="single" w:sz="8"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39"/>
              <w:jc w:val="right"/>
            </w:pPr>
            <w:r>
              <w:rPr>
                <w:rFonts w:ascii="Verdana" w:eastAsia="Verdana" w:hAnsi="Verdana" w:cs="Verdana"/>
                <w:b/>
                <w:color w:val="FFFFFF"/>
                <w:sz w:val="16"/>
              </w:rPr>
              <w:t>214,326</w:t>
            </w:r>
          </w:p>
        </w:tc>
      </w:tr>
      <w:tr w:rsidR="00576F87">
        <w:trPr>
          <w:trHeight w:val="290"/>
        </w:trPr>
        <w:tc>
          <w:tcPr>
            <w:tcW w:w="3110" w:type="dxa"/>
            <w:tcBorders>
              <w:top w:val="single" w:sz="8" w:space="0" w:color="35437C"/>
              <w:left w:val="single" w:sz="15"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98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145"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8561" w:type="dxa"/>
            <w:gridSpan w:val="6"/>
            <w:tcBorders>
              <w:top w:val="single" w:sz="8" w:space="0" w:color="35437C"/>
              <w:left w:val="single" w:sz="15" w:space="0" w:color="35437C"/>
              <w:bottom w:val="single" w:sz="8" w:space="0" w:color="35437C"/>
              <w:right w:val="nil"/>
            </w:tcBorders>
          </w:tcPr>
          <w:p w:rsidR="00576F87" w:rsidRDefault="004165F5">
            <w:pPr>
              <w:spacing w:after="0"/>
            </w:pPr>
            <w:r>
              <w:rPr>
                <w:rFonts w:ascii="Verdana" w:eastAsia="Verdana" w:hAnsi="Verdana" w:cs="Verdana"/>
                <w:sz w:val="16"/>
              </w:rPr>
              <w:t>The movement in the present value of unfunded obligations over the year is as follows:</w:t>
            </w:r>
          </w:p>
        </w:tc>
        <w:tc>
          <w:tcPr>
            <w:tcW w:w="1032" w:type="dxa"/>
            <w:tcBorders>
              <w:top w:val="single" w:sz="8" w:space="0" w:color="35437C"/>
              <w:left w:val="nil"/>
              <w:bottom w:val="single" w:sz="8" w:space="0" w:color="35437C"/>
              <w:right w:val="single" w:sz="15" w:space="0" w:color="35437C"/>
            </w:tcBorders>
          </w:tcPr>
          <w:p w:rsidR="00576F87" w:rsidRDefault="00576F87"/>
        </w:tc>
      </w:tr>
      <w:tr w:rsidR="00576F87">
        <w:trPr>
          <w:trHeight w:val="290"/>
        </w:trPr>
        <w:tc>
          <w:tcPr>
            <w:tcW w:w="3110" w:type="dxa"/>
            <w:tcBorders>
              <w:top w:val="single" w:sz="8" w:space="0" w:color="35437C"/>
              <w:left w:val="single" w:sz="15"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98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145"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3110"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left="2"/>
            </w:pPr>
            <w:r>
              <w:rPr>
                <w:rFonts w:ascii="Verdana" w:eastAsia="Verdana" w:hAnsi="Verdana" w:cs="Verdana"/>
                <w:b/>
                <w:sz w:val="16"/>
              </w:rPr>
              <w:t>At 1 April</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5"/>
              <w:jc w:val="right"/>
            </w:pPr>
            <w:r>
              <w:rPr>
                <w:rFonts w:ascii="Verdana" w:eastAsia="Verdana" w:hAnsi="Verdana" w:cs="Verdana"/>
                <w:sz w:val="16"/>
              </w:rPr>
              <w:t>80,590</w:t>
            </w:r>
          </w:p>
        </w:tc>
        <w:tc>
          <w:tcPr>
            <w:tcW w:w="98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6"/>
              </w:rPr>
              <w:t>149,472</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6"/>
              <w:jc w:val="right"/>
            </w:pPr>
            <w:r>
              <w:rPr>
                <w:rFonts w:ascii="Verdana" w:eastAsia="Verdana" w:hAnsi="Verdana" w:cs="Verdana"/>
                <w:sz w:val="16"/>
              </w:rPr>
              <w:t>230,062</w:t>
            </w:r>
          </w:p>
        </w:tc>
        <w:tc>
          <w:tcPr>
            <w:tcW w:w="114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6"/>
              </w:rPr>
              <w:t>80,589</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5"/>
              <w:jc w:val="right"/>
            </w:pPr>
            <w:r>
              <w:rPr>
                <w:rFonts w:ascii="Verdana" w:eastAsia="Verdana" w:hAnsi="Verdana" w:cs="Verdana"/>
                <w:sz w:val="16"/>
              </w:rPr>
              <w:t>154,113</w:t>
            </w:r>
          </w:p>
        </w:tc>
        <w:tc>
          <w:tcPr>
            <w:tcW w:w="103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5"/>
              <w:jc w:val="right"/>
            </w:pPr>
            <w:r>
              <w:rPr>
                <w:rFonts w:ascii="Verdana" w:eastAsia="Verdana" w:hAnsi="Verdana" w:cs="Verdana"/>
                <w:sz w:val="16"/>
              </w:rPr>
              <w:t>234,702</w:t>
            </w:r>
          </w:p>
        </w:tc>
      </w:tr>
      <w:tr w:rsidR="00576F87">
        <w:trPr>
          <w:trHeight w:val="290"/>
        </w:trPr>
        <w:tc>
          <w:tcPr>
            <w:tcW w:w="3110" w:type="dxa"/>
            <w:tcBorders>
              <w:top w:val="single" w:sz="8" w:space="0" w:color="35437C"/>
              <w:left w:val="single" w:sz="15"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98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145"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3110"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Current service cost</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114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0"/>
              <w:jc w:val="right"/>
            </w:pPr>
            <w:r>
              <w:rPr>
                <w:rFonts w:ascii="Verdana" w:eastAsia="Verdana" w:hAnsi="Verdana" w:cs="Verdana"/>
                <w:sz w:val="16"/>
              </w:rPr>
              <w:t>-</w:t>
            </w:r>
          </w:p>
        </w:tc>
      </w:tr>
      <w:tr w:rsidR="00576F87">
        <w:trPr>
          <w:trHeight w:val="290"/>
        </w:trPr>
        <w:tc>
          <w:tcPr>
            <w:tcW w:w="3110"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Interest cost</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6"/>
              </w:rPr>
              <w:t>1,931</w:t>
            </w:r>
          </w:p>
        </w:tc>
        <w:tc>
          <w:tcPr>
            <w:tcW w:w="98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6"/>
              </w:rPr>
              <w:t>3,621</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4"/>
              <w:jc w:val="right"/>
            </w:pPr>
            <w:r>
              <w:rPr>
                <w:rFonts w:ascii="Verdana" w:eastAsia="Verdana" w:hAnsi="Verdana" w:cs="Verdana"/>
                <w:sz w:val="16"/>
              </w:rPr>
              <w:t>5,552</w:t>
            </w:r>
          </w:p>
        </w:tc>
        <w:tc>
          <w:tcPr>
            <w:tcW w:w="114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sz w:val="16"/>
              </w:rPr>
              <w:t>1,393</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3"/>
              <w:jc w:val="right"/>
            </w:pPr>
            <w:r>
              <w:rPr>
                <w:rFonts w:ascii="Verdana" w:eastAsia="Verdana" w:hAnsi="Verdana" w:cs="Verdana"/>
                <w:sz w:val="16"/>
              </w:rPr>
              <w:t>2,692</w:t>
            </w:r>
          </w:p>
        </w:tc>
        <w:tc>
          <w:tcPr>
            <w:tcW w:w="103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3"/>
              <w:jc w:val="right"/>
            </w:pPr>
            <w:r>
              <w:rPr>
                <w:rFonts w:ascii="Verdana" w:eastAsia="Verdana" w:hAnsi="Verdana" w:cs="Verdana"/>
                <w:sz w:val="16"/>
              </w:rPr>
              <w:t>4,085</w:t>
            </w:r>
          </w:p>
        </w:tc>
      </w:tr>
      <w:tr w:rsidR="00576F87">
        <w:trPr>
          <w:trHeight w:val="406"/>
        </w:trPr>
        <w:tc>
          <w:tcPr>
            <w:tcW w:w="3110" w:type="dxa"/>
            <w:tcBorders>
              <w:top w:val="single" w:sz="8" w:space="0" w:color="35437C"/>
              <w:left w:val="single" w:sz="15" w:space="0" w:color="35437C"/>
              <w:bottom w:val="single" w:sz="8" w:space="0" w:color="35437C"/>
              <w:right w:val="single" w:sz="8" w:space="0" w:color="35437C"/>
            </w:tcBorders>
            <w:vAlign w:val="center"/>
          </w:tcPr>
          <w:p w:rsidR="00576F87" w:rsidRDefault="004165F5">
            <w:pPr>
              <w:spacing w:after="0"/>
            </w:pPr>
            <w:r>
              <w:rPr>
                <w:rFonts w:ascii="Verdana" w:eastAsia="Verdana" w:hAnsi="Verdana" w:cs="Verdana"/>
                <w:sz w:val="16"/>
              </w:rPr>
              <w:t>Change in financial assumptions</w:t>
            </w:r>
          </w:p>
        </w:tc>
        <w:tc>
          <w:tcPr>
            <w:tcW w:w="103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4"/>
              <w:jc w:val="right"/>
            </w:pPr>
            <w:r>
              <w:rPr>
                <w:rFonts w:ascii="Verdana" w:eastAsia="Verdana" w:hAnsi="Verdana" w:cs="Verdana"/>
                <w:sz w:val="16"/>
              </w:rPr>
              <w:t>8,644</w:t>
            </w:r>
          </w:p>
        </w:tc>
        <w:tc>
          <w:tcPr>
            <w:tcW w:w="984"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5"/>
              <w:jc w:val="right"/>
            </w:pPr>
            <w:r>
              <w:rPr>
                <w:rFonts w:ascii="Verdana" w:eastAsia="Verdana" w:hAnsi="Verdana" w:cs="Verdana"/>
                <w:sz w:val="16"/>
              </w:rPr>
              <w:t>17,298</w:t>
            </w:r>
          </w:p>
        </w:tc>
        <w:tc>
          <w:tcPr>
            <w:tcW w:w="103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4"/>
              <w:jc w:val="right"/>
            </w:pPr>
            <w:r>
              <w:rPr>
                <w:rFonts w:ascii="Verdana" w:eastAsia="Verdana" w:hAnsi="Verdana" w:cs="Verdana"/>
                <w:sz w:val="16"/>
              </w:rPr>
              <w:t>25,942</w:t>
            </w:r>
          </w:p>
        </w:tc>
        <w:tc>
          <w:tcPr>
            <w:tcW w:w="1145"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1"/>
              <w:jc w:val="right"/>
            </w:pPr>
            <w:r>
              <w:rPr>
                <w:rFonts w:ascii="Verdana" w:eastAsia="Verdana" w:hAnsi="Verdana" w:cs="Verdana"/>
                <w:sz w:val="16"/>
              </w:rPr>
              <w:t>(2,909)</w:t>
            </w:r>
          </w:p>
        </w:tc>
        <w:tc>
          <w:tcPr>
            <w:tcW w:w="1258"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1"/>
              <w:jc w:val="right"/>
            </w:pPr>
            <w:r>
              <w:rPr>
                <w:rFonts w:ascii="Verdana" w:eastAsia="Verdana" w:hAnsi="Verdana" w:cs="Verdana"/>
                <w:sz w:val="16"/>
              </w:rPr>
              <w:t>(5,961)</w:t>
            </w:r>
          </w:p>
        </w:tc>
        <w:tc>
          <w:tcPr>
            <w:tcW w:w="1032"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31"/>
              <w:jc w:val="right"/>
            </w:pPr>
            <w:r>
              <w:rPr>
                <w:rFonts w:ascii="Verdana" w:eastAsia="Verdana" w:hAnsi="Verdana" w:cs="Verdana"/>
                <w:sz w:val="16"/>
              </w:rPr>
              <w:t>(8,870)</w:t>
            </w:r>
          </w:p>
        </w:tc>
      </w:tr>
      <w:tr w:rsidR="00576F87">
        <w:trPr>
          <w:trHeight w:val="406"/>
        </w:trPr>
        <w:tc>
          <w:tcPr>
            <w:tcW w:w="3110" w:type="dxa"/>
            <w:tcBorders>
              <w:top w:val="single" w:sz="8" w:space="0" w:color="35437C"/>
              <w:left w:val="single" w:sz="15" w:space="0" w:color="35437C"/>
              <w:bottom w:val="single" w:sz="8" w:space="0" w:color="35437C"/>
              <w:right w:val="single" w:sz="8" w:space="0" w:color="35437C"/>
            </w:tcBorders>
            <w:vAlign w:val="center"/>
          </w:tcPr>
          <w:p w:rsidR="00576F87" w:rsidRDefault="004165F5">
            <w:pPr>
              <w:spacing w:after="0"/>
            </w:pPr>
            <w:r>
              <w:rPr>
                <w:rFonts w:ascii="Verdana" w:eastAsia="Verdana" w:hAnsi="Verdana" w:cs="Verdana"/>
                <w:sz w:val="16"/>
              </w:rPr>
              <w:t>Change in demographic assumptions</w:t>
            </w:r>
          </w:p>
        </w:tc>
        <w:tc>
          <w:tcPr>
            <w:tcW w:w="103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2"/>
              <w:jc w:val="right"/>
            </w:pPr>
            <w:r>
              <w:rPr>
                <w:rFonts w:ascii="Verdana" w:eastAsia="Verdana" w:hAnsi="Verdana" w:cs="Verdana"/>
                <w:sz w:val="16"/>
              </w:rPr>
              <w:t>(3,828)</w:t>
            </w:r>
          </w:p>
        </w:tc>
        <w:tc>
          <w:tcPr>
            <w:tcW w:w="984"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2"/>
              <w:jc w:val="right"/>
            </w:pPr>
            <w:r>
              <w:rPr>
                <w:rFonts w:ascii="Verdana" w:eastAsia="Verdana" w:hAnsi="Verdana" w:cs="Verdana"/>
                <w:sz w:val="16"/>
              </w:rPr>
              <w:t>(6,961)</w:t>
            </w:r>
          </w:p>
        </w:tc>
        <w:tc>
          <w:tcPr>
            <w:tcW w:w="103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2"/>
              <w:jc w:val="right"/>
            </w:pPr>
            <w:r>
              <w:rPr>
                <w:rFonts w:ascii="Verdana" w:eastAsia="Verdana" w:hAnsi="Verdana" w:cs="Verdana"/>
                <w:sz w:val="16"/>
              </w:rPr>
              <w:t>(10,789)</w:t>
            </w:r>
          </w:p>
        </w:tc>
        <w:tc>
          <w:tcPr>
            <w:tcW w:w="1145"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1"/>
              <w:jc w:val="right"/>
            </w:pPr>
            <w:r>
              <w:rPr>
                <w:rFonts w:ascii="Verdana" w:eastAsia="Verdana" w:hAnsi="Verdana" w:cs="Verdana"/>
                <w:sz w:val="16"/>
              </w:rPr>
              <w:t>0</w:t>
            </w:r>
          </w:p>
        </w:tc>
        <w:tc>
          <w:tcPr>
            <w:tcW w:w="1258"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1"/>
              <w:jc w:val="right"/>
            </w:pPr>
            <w:r>
              <w:rPr>
                <w:rFonts w:ascii="Verdana" w:eastAsia="Verdana" w:hAnsi="Verdana" w:cs="Verdana"/>
                <w:sz w:val="16"/>
              </w:rPr>
              <w:t>0</w:t>
            </w:r>
          </w:p>
        </w:tc>
        <w:tc>
          <w:tcPr>
            <w:tcW w:w="1032"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31"/>
              <w:jc w:val="right"/>
            </w:pPr>
            <w:r>
              <w:rPr>
                <w:rFonts w:ascii="Verdana" w:eastAsia="Verdana" w:hAnsi="Verdana" w:cs="Verdana"/>
                <w:sz w:val="16"/>
              </w:rPr>
              <w:t>0</w:t>
            </w:r>
          </w:p>
        </w:tc>
      </w:tr>
      <w:tr w:rsidR="00576F87">
        <w:trPr>
          <w:trHeight w:val="290"/>
        </w:trPr>
        <w:tc>
          <w:tcPr>
            <w:tcW w:w="3110"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Past Service Costs</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114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2"/>
              <w:jc w:val="right"/>
            </w:pPr>
            <w:r>
              <w:rPr>
                <w:rFonts w:ascii="Verdana" w:eastAsia="Verdana" w:hAnsi="Verdana" w:cs="Verdana"/>
                <w:sz w:val="16"/>
              </w:rPr>
              <w:t>0</w:t>
            </w:r>
          </w:p>
        </w:tc>
      </w:tr>
      <w:tr w:rsidR="00576F87">
        <w:trPr>
          <w:trHeight w:val="406"/>
        </w:trPr>
        <w:tc>
          <w:tcPr>
            <w:tcW w:w="3110"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Experience loss/(gain) on defined benefit obligation</w:t>
            </w:r>
          </w:p>
        </w:tc>
        <w:tc>
          <w:tcPr>
            <w:tcW w:w="103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984"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1145"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1258"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30"/>
              <w:jc w:val="right"/>
            </w:pPr>
            <w:r>
              <w:rPr>
                <w:rFonts w:ascii="Verdana" w:eastAsia="Verdana" w:hAnsi="Verdana" w:cs="Verdana"/>
                <w:sz w:val="16"/>
              </w:rPr>
              <w:t>-</w:t>
            </w:r>
          </w:p>
        </w:tc>
        <w:tc>
          <w:tcPr>
            <w:tcW w:w="1032"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32"/>
              <w:jc w:val="right"/>
            </w:pPr>
            <w:r>
              <w:rPr>
                <w:rFonts w:ascii="Verdana" w:eastAsia="Verdana" w:hAnsi="Verdana" w:cs="Verdana"/>
                <w:sz w:val="16"/>
              </w:rPr>
              <w:t>0</w:t>
            </w:r>
          </w:p>
        </w:tc>
      </w:tr>
      <w:tr w:rsidR="00576F87">
        <w:trPr>
          <w:trHeight w:val="290"/>
        </w:trPr>
        <w:tc>
          <w:tcPr>
            <w:tcW w:w="3110" w:type="dxa"/>
            <w:tcBorders>
              <w:top w:val="single" w:sz="8" w:space="0" w:color="35437C"/>
              <w:left w:val="single" w:sz="15"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Unfunded pension payments</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2"/>
              <w:jc w:val="right"/>
            </w:pPr>
            <w:r>
              <w:rPr>
                <w:rFonts w:ascii="Verdana" w:eastAsia="Verdana" w:hAnsi="Verdana" w:cs="Verdana"/>
                <w:sz w:val="16"/>
              </w:rPr>
              <w:t>(6,748)</w:t>
            </w:r>
          </w:p>
        </w:tc>
        <w:tc>
          <w:tcPr>
            <w:tcW w:w="984"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2"/>
              <w:jc w:val="right"/>
            </w:pPr>
            <w:r>
              <w:rPr>
                <w:rFonts w:ascii="Verdana" w:eastAsia="Verdana" w:hAnsi="Verdana" w:cs="Verdana"/>
                <w:sz w:val="16"/>
              </w:rPr>
              <w:t>(9,317)</w:t>
            </w:r>
          </w:p>
        </w:tc>
        <w:tc>
          <w:tcPr>
            <w:tcW w:w="103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2"/>
              <w:jc w:val="right"/>
            </w:pPr>
            <w:r>
              <w:rPr>
                <w:rFonts w:ascii="Verdana" w:eastAsia="Verdana" w:hAnsi="Verdana" w:cs="Verdana"/>
                <w:sz w:val="16"/>
              </w:rPr>
              <w:t>(16,065)</w:t>
            </w:r>
          </w:p>
        </w:tc>
        <w:tc>
          <w:tcPr>
            <w:tcW w:w="114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1"/>
              <w:jc w:val="right"/>
            </w:pPr>
            <w:r>
              <w:rPr>
                <w:rFonts w:ascii="Verdana" w:eastAsia="Verdana" w:hAnsi="Verdana" w:cs="Verdana"/>
                <w:sz w:val="16"/>
              </w:rPr>
              <w:t>(6,445)</w:t>
            </w:r>
          </w:p>
        </w:tc>
        <w:tc>
          <w:tcPr>
            <w:tcW w:w="125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1"/>
              <w:jc w:val="right"/>
            </w:pPr>
            <w:r>
              <w:rPr>
                <w:rFonts w:ascii="Verdana" w:eastAsia="Verdana" w:hAnsi="Verdana" w:cs="Verdana"/>
                <w:sz w:val="16"/>
              </w:rPr>
              <w:t>(9,146)</w:t>
            </w:r>
          </w:p>
        </w:tc>
        <w:tc>
          <w:tcPr>
            <w:tcW w:w="1032"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2"/>
              <w:jc w:val="right"/>
            </w:pPr>
            <w:r>
              <w:rPr>
                <w:rFonts w:ascii="Verdana" w:eastAsia="Verdana" w:hAnsi="Verdana" w:cs="Verdana"/>
                <w:sz w:val="16"/>
              </w:rPr>
              <w:t>(15,591)</w:t>
            </w:r>
          </w:p>
        </w:tc>
      </w:tr>
      <w:tr w:rsidR="00576F87">
        <w:trPr>
          <w:trHeight w:val="290"/>
        </w:trPr>
        <w:tc>
          <w:tcPr>
            <w:tcW w:w="3110" w:type="dxa"/>
            <w:tcBorders>
              <w:top w:val="single" w:sz="8" w:space="0" w:color="35437C"/>
              <w:left w:val="single" w:sz="15"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984"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8" w:space="0" w:color="35437C"/>
            </w:tcBorders>
          </w:tcPr>
          <w:p w:rsidR="00576F87" w:rsidRDefault="00576F87"/>
        </w:tc>
        <w:tc>
          <w:tcPr>
            <w:tcW w:w="1145" w:type="dxa"/>
            <w:tcBorders>
              <w:top w:val="single" w:sz="8" w:space="0" w:color="35437C"/>
              <w:left w:val="single" w:sz="8" w:space="0" w:color="35437C"/>
              <w:bottom w:val="single" w:sz="8" w:space="0" w:color="35437C"/>
              <w:right w:val="single" w:sz="8" w:space="0" w:color="35437C"/>
            </w:tcBorders>
          </w:tcPr>
          <w:p w:rsidR="00576F87" w:rsidRDefault="00576F87"/>
        </w:tc>
        <w:tc>
          <w:tcPr>
            <w:tcW w:w="1258" w:type="dxa"/>
            <w:tcBorders>
              <w:top w:val="single" w:sz="8" w:space="0" w:color="35437C"/>
              <w:left w:val="single" w:sz="8" w:space="0" w:color="35437C"/>
              <w:bottom w:val="single" w:sz="8" w:space="0" w:color="35437C"/>
              <w:right w:val="single" w:sz="8" w:space="0" w:color="35437C"/>
            </w:tcBorders>
          </w:tcPr>
          <w:p w:rsidR="00576F87" w:rsidRDefault="00576F87"/>
        </w:tc>
        <w:tc>
          <w:tcPr>
            <w:tcW w:w="1032"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305"/>
        </w:trPr>
        <w:tc>
          <w:tcPr>
            <w:tcW w:w="3110"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4165F5">
            <w:pPr>
              <w:spacing w:after="0"/>
              <w:ind w:left="2"/>
            </w:pPr>
            <w:r>
              <w:rPr>
                <w:rFonts w:ascii="Verdana" w:eastAsia="Verdana" w:hAnsi="Verdana" w:cs="Verdana"/>
                <w:b/>
                <w:color w:val="FFFFFF"/>
                <w:sz w:val="16"/>
              </w:rPr>
              <w:t>At 31 March</w:t>
            </w:r>
          </w:p>
        </w:tc>
        <w:tc>
          <w:tcPr>
            <w:tcW w:w="1032"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right="38"/>
              <w:jc w:val="right"/>
            </w:pPr>
            <w:r>
              <w:rPr>
                <w:rFonts w:ascii="Verdana" w:eastAsia="Verdana" w:hAnsi="Verdana" w:cs="Verdana"/>
                <w:b/>
                <w:color w:val="FFFFFF"/>
                <w:sz w:val="16"/>
              </w:rPr>
              <w:t>80,589</w:t>
            </w:r>
          </w:p>
        </w:tc>
        <w:tc>
          <w:tcPr>
            <w:tcW w:w="984"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left="166"/>
            </w:pPr>
            <w:r>
              <w:rPr>
                <w:rFonts w:ascii="Verdana" w:eastAsia="Verdana" w:hAnsi="Verdana" w:cs="Verdana"/>
                <w:b/>
                <w:color w:val="FFFFFF"/>
                <w:sz w:val="16"/>
              </w:rPr>
              <w:t>154,113</w:t>
            </w:r>
          </w:p>
        </w:tc>
        <w:tc>
          <w:tcPr>
            <w:tcW w:w="1032"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right="39"/>
              <w:jc w:val="right"/>
            </w:pPr>
            <w:r>
              <w:rPr>
                <w:rFonts w:ascii="Verdana" w:eastAsia="Verdana" w:hAnsi="Verdana" w:cs="Verdana"/>
                <w:b/>
                <w:color w:val="FFFFFF"/>
                <w:sz w:val="16"/>
              </w:rPr>
              <w:t>234,702</w:t>
            </w:r>
          </w:p>
        </w:tc>
        <w:tc>
          <w:tcPr>
            <w:tcW w:w="1145"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right="38"/>
              <w:jc w:val="right"/>
            </w:pPr>
            <w:r>
              <w:rPr>
                <w:rFonts w:ascii="Verdana" w:eastAsia="Verdana" w:hAnsi="Verdana" w:cs="Verdana"/>
                <w:b/>
                <w:color w:val="FFFFFF"/>
                <w:sz w:val="16"/>
              </w:rPr>
              <w:t>72,628</w:t>
            </w:r>
          </w:p>
        </w:tc>
        <w:tc>
          <w:tcPr>
            <w:tcW w:w="1258"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4165F5">
            <w:pPr>
              <w:spacing w:after="0"/>
              <w:ind w:right="39"/>
              <w:jc w:val="right"/>
            </w:pPr>
            <w:r>
              <w:rPr>
                <w:rFonts w:ascii="Verdana" w:eastAsia="Verdana" w:hAnsi="Verdana" w:cs="Verdana"/>
                <w:b/>
                <w:color w:val="FFFFFF"/>
                <w:sz w:val="16"/>
              </w:rPr>
              <w:t>141,698</w:t>
            </w:r>
          </w:p>
        </w:tc>
        <w:tc>
          <w:tcPr>
            <w:tcW w:w="1032"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39"/>
              <w:jc w:val="right"/>
            </w:pPr>
            <w:r>
              <w:rPr>
                <w:rFonts w:ascii="Verdana" w:eastAsia="Verdana" w:hAnsi="Verdana" w:cs="Verdana"/>
                <w:b/>
                <w:color w:val="FFFFFF"/>
                <w:sz w:val="16"/>
              </w:rPr>
              <w:t>214,326</w:t>
            </w:r>
          </w:p>
        </w:tc>
      </w:tr>
    </w:tbl>
    <w:p w:rsidR="00576F87" w:rsidRDefault="004165F5">
      <w:pPr>
        <w:spacing w:after="12"/>
        <w:ind w:left="3" w:hanging="8"/>
      </w:pPr>
      <w:r>
        <w:rPr>
          <w:rFonts w:ascii="Verdana" w:eastAsia="Verdana" w:hAnsi="Verdana" w:cs="Verdana"/>
          <w:color w:val="35437C"/>
          <w:sz w:val="24"/>
        </w:rPr>
        <w:t>Sensitivity Analysis for GL:</w:t>
      </w:r>
    </w:p>
    <w:tbl>
      <w:tblPr>
        <w:tblStyle w:val="TableGrid"/>
        <w:tblW w:w="8378" w:type="dxa"/>
        <w:tblInd w:w="-38" w:type="dxa"/>
        <w:tblCellMar>
          <w:top w:w="40" w:type="dxa"/>
          <w:left w:w="0" w:type="dxa"/>
          <w:bottom w:w="0" w:type="dxa"/>
          <w:right w:w="31" w:type="dxa"/>
        </w:tblCellMar>
        <w:tblLook w:val="04A0" w:firstRow="1" w:lastRow="0" w:firstColumn="1" w:lastColumn="0" w:noHBand="0" w:noVBand="1"/>
      </w:tblPr>
      <w:tblGrid>
        <w:gridCol w:w="2748"/>
        <w:gridCol w:w="749"/>
        <w:gridCol w:w="1627"/>
        <w:gridCol w:w="1627"/>
        <w:gridCol w:w="1627"/>
      </w:tblGrid>
      <w:tr w:rsidR="00576F87">
        <w:trPr>
          <w:trHeight w:val="290"/>
        </w:trPr>
        <w:tc>
          <w:tcPr>
            <w:tcW w:w="3497" w:type="dxa"/>
            <w:gridSpan w:val="2"/>
            <w:tcBorders>
              <w:top w:val="single" w:sz="15" w:space="0" w:color="35437C"/>
              <w:left w:val="single" w:sz="15" w:space="0" w:color="35437C"/>
              <w:bottom w:val="single" w:sz="8" w:space="0" w:color="35437C"/>
              <w:right w:val="single" w:sz="8" w:space="0" w:color="35437C"/>
            </w:tcBorders>
            <w:shd w:val="clear" w:color="auto" w:fill="35437C"/>
          </w:tcPr>
          <w:p w:rsidR="00576F87" w:rsidRDefault="00576F87"/>
        </w:tc>
        <w:tc>
          <w:tcPr>
            <w:tcW w:w="1627"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6"/>
              </w:rPr>
              <w:t>£000</w:t>
            </w:r>
          </w:p>
        </w:tc>
        <w:tc>
          <w:tcPr>
            <w:tcW w:w="1627"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627"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6"/>
              <w:jc w:val="right"/>
            </w:pPr>
            <w:r>
              <w:rPr>
                <w:rFonts w:ascii="Verdana" w:eastAsia="Verdana" w:hAnsi="Verdana" w:cs="Verdana"/>
                <w:b/>
                <w:color w:val="FFFFFF"/>
                <w:sz w:val="16"/>
              </w:rPr>
              <w:t>£000</w:t>
            </w:r>
          </w:p>
        </w:tc>
      </w:tr>
      <w:tr w:rsidR="00576F87">
        <w:trPr>
          <w:trHeight w:val="290"/>
        </w:trPr>
        <w:tc>
          <w:tcPr>
            <w:tcW w:w="3497" w:type="dxa"/>
            <w:gridSpan w:val="2"/>
            <w:tcBorders>
              <w:top w:val="single" w:sz="8" w:space="0" w:color="35437C"/>
              <w:left w:val="single" w:sz="15"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3497" w:type="dxa"/>
            <w:gridSpan w:val="2"/>
            <w:tcBorders>
              <w:top w:val="single" w:sz="8" w:space="0" w:color="35437C"/>
              <w:left w:val="single" w:sz="15" w:space="0" w:color="35437C"/>
              <w:bottom w:val="single" w:sz="8" w:space="0" w:color="35437C"/>
              <w:right w:val="single" w:sz="8" w:space="0" w:color="35437C"/>
            </w:tcBorders>
          </w:tcPr>
          <w:p w:rsidR="00576F87" w:rsidRDefault="004165F5">
            <w:pPr>
              <w:spacing w:after="0"/>
              <w:ind w:left="36"/>
            </w:pPr>
            <w:r>
              <w:rPr>
                <w:rFonts w:ascii="Verdana" w:eastAsia="Verdana" w:hAnsi="Verdana" w:cs="Verdana"/>
                <w:i/>
                <w:sz w:val="16"/>
              </w:rPr>
              <w:t>Present value of total obligation</w:t>
            </w:r>
          </w:p>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
              <w:jc w:val="right"/>
            </w:pPr>
            <w:r>
              <w:rPr>
                <w:rFonts w:ascii="Verdana" w:eastAsia="Verdana" w:hAnsi="Verdana" w:cs="Verdana"/>
                <w:sz w:val="16"/>
              </w:rPr>
              <w:t>72,628</w:t>
            </w:r>
          </w:p>
        </w:tc>
        <w:tc>
          <w:tcPr>
            <w:tcW w:w="1627"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3497" w:type="dxa"/>
            <w:gridSpan w:val="2"/>
            <w:tcBorders>
              <w:top w:val="single" w:sz="8" w:space="0" w:color="35437C"/>
              <w:left w:val="single" w:sz="15"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2748" w:type="dxa"/>
            <w:tcBorders>
              <w:top w:val="single" w:sz="8" w:space="0" w:color="35437C"/>
              <w:left w:val="single" w:sz="15" w:space="0" w:color="35437C"/>
              <w:bottom w:val="single" w:sz="8" w:space="0" w:color="35437C"/>
              <w:right w:val="nil"/>
            </w:tcBorders>
          </w:tcPr>
          <w:p w:rsidR="00576F87" w:rsidRDefault="004165F5">
            <w:pPr>
              <w:spacing w:after="0"/>
              <w:ind w:left="38"/>
            </w:pPr>
            <w:r>
              <w:rPr>
                <w:rFonts w:ascii="Verdana" w:eastAsia="Verdana" w:hAnsi="Verdana" w:cs="Verdana"/>
                <w:b/>
                <w:sz w:val="16"/>
              </w:rPr>
              <w:t>Sensitivity to</w:t>
            </w:r>
          </w:p>
        </w:tc>
        <w:tc>
          <w:tcPr>
            <w:tcW w:w="749" w:type="dxa"/>
            <w:tcBorders>
              <w:top w:val="single" w:sz="8" w:space="0" w:color="35437C"/>
              <w:left w:val="nil"/>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sz w:val="16"/>
              </w:rPr>
              <w:t>+0.1%</w:t>
            </w:r>
          </w:p>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6"/>
              </w:rPr>
              <w:t>-0.1%</w:t>
            </w:r>
          </w:p>
        </w:tc>
      </w:tr>
      <w:tr w:rsidR="00576F87">
        <w:trPr>
          <w:trHeight w:val="290"/>
        </w:trPr>
        <w:tc>
          <w:tcPr>
            <w:tcW w:w="2748" w:type="dxa"/>
            <w:tcBorders>
              <w:top w:val="single" w:sz="8" w:space="0" w:color="35437C"/>
              <w:left w:val="single" w:sz="15" w:space="0" w:color="35437C"/>
              <w:bottom w:val="single" w:sz="8" w:space="0" w:color="35437C"/>
              <w:right w:val="nil"/>
            </w:tcBorders>
          </w:tcPr>
          <w:p w:rsidR="00576F87" w:rsidRDefault="00576F87"/>
        </w:tc>
        <w:tc>
          <w:tcPr>
            <w:tcW w:w="749" w:type="dxa"/>
            <w:tcBorders>
              <w:top w:val="single" w:sz="8" w:space="0" w:color="35437C"/>
              <w:left w:val="nil"/>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2748" w:type="dxa"/>
            <w:tcBorders>
              <w:top w:val="single" w:sz="8" w:space="0" w:color="35437C"/>
              <w:left w:val="single" w:sz="15" w:space="0" w:color="35437C"/>
              <w:bottom w:val="single" w:sz="8" w:space="0" w:color="35437C"/>
              <w:right w:val="nil"/>
            </w:tcBorders>
          </w:tcPr>
          <w:p w:rsidR="00576F87" w:rsidRDefault="004165F5">
            <w:pPr>
              <w:spacing w:after="0"/>
              <w:ind w:left="36"/>
            </w:pPr>
            <w:r>
              <w:rPr>
                <w:rFonts w:ascii="Verdana" w:eastAsia="Verdana" w:hAnsi="Verdana" w:cs="Verdana"/>
                <w:i/>
                <w:sz w:val="16"/>
              </w:rPr>
              <w:t>Discount rate</w:t>
            </w:r>
          </w:p>
        </w:tc>
        <w:tc>
          <w:tcPr>
            <w:tcW w:w="749" w:type="dxa"/>
            <w:tcBorders>
              <w:top w:val="single" w:sz="8" w:space="0" w:color="35437C"/>
              <w:left w:val="nil"/>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
              <w:jc w:val="right"/>
            </w:pPr>
            <w:r>
              <w:rPr>
                <w:rFonts w:ascii="Verdana" w:eastAsia="Verdana" w:hAnsi="Verdana" w:cs="Verdana"/>
                <w:sz w:val="16"/>
              </w:rPr>
              <w:t>71,999</w:t>
            </w:r>
          </w:p>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
              <w:jc w:val="right"/>
            </w:pPr>
            <w:r>
              <w:rPr>
                <w:rFonts w:ascii="Verdana" w:eastAsia="Verdana" w:hAnsi="Verdana" w:cs="Verdana"/>
                <w:sz w:val="16"/>
              </w:rPr>
              <w:t>73,262</w:t>
            </w:r>
          </w:p>
        </w:tc>
      </w:tr>
      <w:tr w:rsidR="00576F87">
        <w:trPr>
          <w:trHeight w:val="290"/>
        </w:trPr>
        <w:tc>
          <w:tcPr>
            <w:tcW w:w="2748" w:type="dxa"/>
            <w:tcBorders>
              <w:top w:val="single" w:sz="8" w:space="0" w:color="35437C"/>
              <w:left w:val="single" w:sz="15" w:space="0" w:color="35437C"/>
              <w:bottom w:val="single" w:sz="8" w:space="0" w:color="35437C"/>
              <w:right w:val="nil"/>
            </w:tcBorders>
          </w:tcPr>
          <w:p w:rsidR="00576F87" w:rsidRDefault="00576F87"/>
        </w:tc>
        <w:tc>
          <w:tcPr>
            <w:tcW w:w="749" w:type="dxa"/>
            <w:tcBorders>
              <w:top w:val="single" w:sz="8" w:space="0" w:color="35437C"/>
              <w:left w:val="nil"/>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406"/>
        </w:trPr>
        <w:tc>
          <w:tcPr>
            <w:tcW w:w="2748" w:type="dxa"/>
            <w:tcBorders>
              <w:top w:val="single" w:sz="8" w:space="0" w:color="35437C"/>
              <w:left w:val="single" w:sz="15" w:space="0" w:color="35437C"/>
              <w:bottom w:val="single" w:sz="8" w:space="0" w:color="35437C"/>
              <w:right w:val="nil"/>
            </w:tcBorders>
          </w:tcPr>
          <w:p w:rsidR="00576F87" w:rsidRDefault="004165F5">
            <w:pPr>
              <w:tabs>
                <w:tab w:val="center" w:pos="1380"/>
                <w:tab w:val="center" w:pos="2254"/>
              </w:tabs>
              <w:spacing w:after="6"/>
            </w:pPr>
            <w:r>
              <w:rPr>
                <w:rFonts w:ascii="Verdana" w:eastAsia="Verdana" w:hAnsi="Verdana" w:cs="Verdana"/>
                <w:i/>
                <w:sz w:val="16"/>
              </w:rPr>
              <w:t>Pension</w:t>
            </w:r>
            <w:r>
              <w:rPr>
                <w:rFonts w:ascii="Verdana" w:eastAsia="Verdana" w:hAnsi="Verdana" w:cs="Verdana"/>
                <w:i/>
                <w:sz w:val="16"/>
              </w:rPr>
              <w:tab/>
              <w:t>increases</w:t>
            </w:r>
            <w:r>
              <w:rPr>
                <w:rFonts w:ascii="Verdana" w:eastAsia="Verdana" w:hAnsi="Verdana" w:cs="Verdana"/>
                <w:i/>
                <w:sz w:val="16"/>
              </w:rPr>
              <w:tab/>
              <w:t>and</w:t>
            </w:r>
          </w:p>
          <w:p w:rsidR="00576F87" w:rsidRDefault="004165F5">
            <w:pPr>
              <w:spacing w:after="0"/>
              <w:ind w:left="36"/>
            </w:pPr>
            <w:r>
              <w:rPr>
                <w:rFonts w:ascii="Verdana" w:eastAsia="Verdana" w:hAnsi="Verdana" w:cs="Verdana"/>
                <w:i/>
                <w:sz w:val="16"/>
              </w:rPr>
              <w:t>revaluation</w:t>
            </w:r>
          </w:p>
        </w:tc>
        <w:tc>
          <w:tcPr>
            <w:tcW w:w="749" w:type="dxa"/>
            <w:tcBorders>
              <w:top w:val="single" w:sz="8" w:space="0" w:color="35437C"/>
              <w:left w:val="nil"/>
              <w:bottom w:val="single" w:sz="8" w:space="0" w:color="35437C"/>
              <w:right w:val="single" w:sz="8" w:space="0" w:color="35437C"/>
            </w:tcBorders>
          </w:tcPr>
          <w:p w:rsidR="00576F87" w:rsidRDefault="004165F5">
            <w:pPr>
              <w:spacing w:after="0"/>
              <w:jc w:val="both"/>
            </w:pPr>
            <w:r>
              <w:rPr>
                <w:rFonts w:ascii="Verdana" w:eastAsia="Verdana" w:hAnsi="Verdana" w:cs="Verdana"/>
                <w:i/>
                <w:sz w:val="16"/>
              </w:rPr>
              <w:t>deferred</w:t>
            </w:r>
          </w:p>
        </w:tc>
        <w:tc>
          <w:tcPr>
            <w:tcW w:w="1627"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4"/>
              <w:jc w:val="right"/>
            </w:pPr>
            <w:r>
              <w:rPr>
                <w:rFonts w:ascii="Verdana" w:eastAsia="Verdana" w:hAnsi="Verdana" w:cs="Verdana"/>
                <w:sz w:val="16"/>
              </w:rPr>
              <w:t>73,262</w:t>
            </w:r>
          </w:p>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4"/>
              <w:jc w:val="right"/>
            </w:pPr>
            <w:r>
              <w:rPr>
                <w:rFonts w:ascii="Verdana" w:eastAsia="Verdana" w:hAnsi="Verdana" w:cs="Verdana"/>
                <w:sz w:val="16"/>
              </w:rPr>
              <w:t>71,998</w:t>
            </w:r>
          </w:p>
        </w:tc>
      </w:tr>
      <w:tr w:rsidR="00576F87">
        <w:trPr>
          <w:trHeight w:val="290"/>
        </w:trPr>
        <w:tc>
          <w:tcPr>
            <w:tcW w:w="2748" w:type="dxa"/>
            <w:tcBorders>
              <w:top w:val="single" w:sz="8" w:space="0" w:color="35437C"/>
              <w:left w:val="single" w:sz="15" w:space="0" w:color="35437C"/>
              <w:bottom w:val="single" w:sz="8" w:space="0" w:color="35437C"/>
              <w:right w:val="nil"/>
            </w:tcBorders>
          </w:tcPr>
          <w:p w:rsidR="00576F87" w:rsidRDefault="00576F87"/>
        </w:tc>
        <w:tc>
          <w:tcPr>
            <w:tcW w:w="749" w:type="dxa"/>
            <w:tcBorders>
              <w:top w:val="single" w:sz="8" w:space="0" w:color="35437C"/>
              <w:left w:val="nil"/>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2748" w:type="dxa"/>
            <w:tcBorders>
              <w:top w:val="single" w:sz="8" w:space="0" w:color="35437C"/>
              <w:left w:val="single" w:sz="15" w:space="0" w:color="35437C"/>
              <w:bottom w:val="single" w:sz="8" w:space="0" w:color="35437C"/>
              <w:right w:val="nil"/>
            </w:tcBorders>
          </w:tcPr>
          <w:p w:rsidR="00576F87" w:rsidRDefault="004165F5">
            <w:pPr>
              <w:spacing w:after="0"/>
              <w:ind w:left="38"/>
            </w:pPr>
            <w:r>
              <w:rPr>
                <w:rFonts w:ascii="Verdana" w:eastAsia="Verdana" w:hAnsi="Verdana" w:cs="Verdana"/>
                <w:b/>
                <w:sz w:val="16"/>
              </w:rPr>
              <w:t>Sensitivity to</w:t>
            </w:r>
          </w:p>
        </w:tc>
        <w:tc>
          <w:tcPr>
            <w:tcW w:w="749" w:type="dxa"/>
            <w:tcBorders>
              <w:top w:val="single" w:sz="8" w:space="0" w:color="35437C"/>
              <w:left w:val="nil"/>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
              <w:jc w:val="right"/>
            </w:pPr>
            <w:r>
              <w:rPr>
                <w:rFonts w:ascii="Verdana" w:eastAsia="Verdana" w:hAnsi="Verdana" w:cs="Verdana"/>
                <w:sz w:val="16"/>
              </w:rPr>
              <w:t>+ 1 Year</w:t>
            </w:r>
          </w:p>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2"/>
              <w:jc w:val="right"/>
            </w:pPr>
            <w:r>
              <w:rPr>
                <w:rFonts w:ascii="Verdana" w:eastAsia="Verdana" w:hAnsi="Verdana" w:cs="Verdana"/>
                <w:sz w:val="16"/>
              </w:rPr>
              <w:t>- 1 Year</w:t>
            </w:r>
          </w:p>
        </w:tc>
      </w:tr>
      <w:tr w:rsidR="00576F87">
        <w:trPr>
          <w:trHeight w:val="290"/>
        </w:trPr>
        <w:tc>
          <w:tcPr>
            <w:tcW w:w="2748" w:type="dxa"/>
            <w:tcBorders>
              <w:top w:val="single" w:sz="8" w:space="0" w:color="35437C"/>
              <w:left w:val="single" w:sz="15" w:space="0" w:color="35437C"/>
              <w:bottom w:val="single" w:sz="8" w:space="0" w:color="35437C"/>
              <w:right w:val="nil"/>
            </w:tcBorders>
          </w:tcPr>
          <w:p w:rsidR="00576F87" w:rsidRDefault="00576F87"/>
        </w:tc>
        <w:tc>
          <w:tcPr>
            <w:tcW w:w="749" w:type="dxa"/>
            <w:tcBorders>
              <w:top w:val="single" w:sz="8" w:space="0" w:color="35437C"/>
              <w:left w:val="nil"/>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305"/>
        </w:trPr>
        <w:tc>
          <w:tcPr>
            <w:tcW w:w="2748" w:type="dxa"/>
            <w:tcBorders>
              <w:top w:val="single" w:sz="8" w:space="0" w:color="35437C"/>
              <w:left w:val="single" w:sz="15" w:space="0" w:color="35437C"/>
              <w:bottom w:val="single" w:sz="15" w:space="0" w:color="35437C"/>
              <w:right w:val="nil"/>
            </w:tcBorders>
          </w:tcPr>
          <w:p w:rsidR="00576F87" w:rsidRDefault="004165F5">
            <w:pPr>
              <w:spacing w:after="0"/>
              <w:ind w:left="36"/>
            </w:pPr>
            <w:r>
              <w:rPr>
                <w:rFonts w:ascii="Verdana" w:eastAsia="Verdana" w:hAnsi="Verdana" w:cs="Verdana"/>
                <w:i/>
                <w:sz w:val="16"/>
              </w:rPr>
              <w:t>Life expectancy assumptions</w:t>
            </w:r>
          </w:p>
        </w:tc>
        <w:tc>
          <w:tcPr>
            <w:tcW w:w="749" w:type="dxa"/>
            <w:tcBorders>
              <w:top w:val="single" w:sz="8" w:space="0" w:color="35437C"/>
              <w:left w:val="nil"/>
              <w:bottom w:val="single" w:sz="15" w:space="0" w:color="35437C"/>
              <w:right w:val="single" w:sz="8" w:space="0" w:color="35437C"/>
            </w:tcBorders>
          </w:tcPr>
          <w:p w:rsidR="00576F87" w:rsidRDefault="00576F87"/>
        </w:tc>
        <w:tc>
          <w:tcPr>
            <w:tcW w:w="1627" w:type="dxa"/>
            <w:tcBorders>
              <w:top w:val="single" w:sz="8" w:space="0" w:color="35437C"/>
              <w:left w:val="single" w:sz="8" w:space="0" w:color="35437C"/>
              <w:bottom w:val="single" w:sz="15" w:space="0" w:color="35437C"/>
              <w:right w:val="single" w:sz="8" w:space="0" w:color="35437C"/>
            </w:tcBorders>
          </w:tcPr>
          <w:p w:rsidR="00576F87" w:rsidRDefault="004165F5">
            <w:pPr>
              <w:spacing w:after="0"/>
              <w:ind w:right="4"/>
              <w:jc w:val="right"/>
            </w:pPr>
            <w:r>
              <w:rPr>
                <w:rFonts w:ascii="Verdana" w:eastAsia="Verdana" w:hAnsi="Verdana" w:cs="Verdana"/>
                <w:sz w:val="16"/>
              </w:rPr>
              <w:t>75,970</w:t>
            </w:r>
          </w:p>
        </w:tc>
        <w:tc>
          <w:tcPr>
            <w:tcW w:w="1627" w:type="dxa"/>
            <w:tcBorders>
              <w:top w:val="single" w:sz="8" w:space="0" w:color="35437C"/>
              <w:left w:val="single" w:sz="8" w:space="0" w:color="35437C"/>
              <w:bottom w:val="single" w:sz="15" w:space="0" w:color="35437C"/>
              <w:right w:val="single" w:sz="8" w:space="0" w:color="35437C"/>
            </w:tcBorders>
          </w:tcPr>
          <w:p w:rsidR="00576F87" w:rsidRDefault="00576F87"/>
        </w:tc>
        <w:tc>
          <w:tcPr>
            <w:tcW w:w="1627" w:type="dxa"/>
            <w:tcBorders>
              <w:top w:val="single" w:sz="8" w:space="0" w:color="35437C"/>
              <w:left w:val="single" w:sz="8" w:space="0" w:color="35437C"/>
              <w:bottom w:val="single" w:sz="15" w:space="0" w:color="35437C"/>
              <w:right w:val="single" w:sz="15" w:space="0" w:color="35437C"/>
            </w:tcBorders>
          </w:tcPr>
          <w:p w:rsidR="00576F87" w:rsidRDefault="004165F5">
            <w:pPr>
              <w:spacing w:after="0"/>
              <w:ind w:right="4"/>
              <w:jc w:val="right"/>
            </w:pPr>
            <w:r>
              <w:rPr>
                <w:rFonts w:ascii="Verdana" w:eastAsia="Verdana" w:hAnsi="Verdana" w:cs="Verdana"/>
                <w:sz w:val="16"/>
              </w:rPr>
              <w:t>69,432</w:t>
            </w:r>
          </w:p>
        </w:tc>
      </w:tr>
    </w:tbl>
    <w:p w:rsidR="00576F87" w:rsidRDefault="004165F5">
      <w:pPr>
        <w:spacing w:after="47"/>
      </w:pPr>
      <w:r>
        <w:rPr>
          <w:b/>
        </w:rPr>
        <w:t>Sensitivity Analysis for IL:</w:t>
      </w:r>
    </w:p>
    <w:tbl>
      <w:tblPr>
        <w:tblStyle w:val="TableGrid"/>
        <w:tblW w:w="8378" w:type="dxa"/>
        <w:tblInd w:w="-38" w:type="dxa"/>
        <w:tblCellMar>
          <w:top w:w="40" w:type="dxa"/>
          <w:left w:w="0" w:type="dxa"/>
          <w:bottom w:w="0" w:type="dxa"/>
          <w:right w:w="31" w:type="dxa"/>
        </w:tblCellMar>
        <w:tblLook w:val="04A0" w:firstRow="1" w:lastRow="0" w:firstColumn="1" w:lastColumn="0" w:noHBand="0" w:noVBand="1"/>
      </w:tblPr>
      <w:tblGrid>
        <w:gridCol w:w="2748"/>
        <w:gridCol w:w="749"/>
        <w:gridCol w:w="1627"/>
        <w:gridCol w:w="1627"/>
        <w:gridCol w:w="1627"/>
      </w:tblGrid>
      <w:tr w:rsidR="00576F87">
        <w:trPr>
          <w:trHeight w:val="290"/>
        </w:trPr>
        <w:tc>
          <w:tcPr>
            <w:tcW w:w="3497" w:type="dxa"/>
            <w:gridSpan w:val="2"/>
            <w:tcBorders>
              <w:top w:val="single" w:sz="15" w:space="0" w:color="35437C"/>
              <w:left w:val="single" w:sz="15" w:space="0" w:color="35437C"/>
              <w:bottom w:val="single" w:sz="8" w:space="0" w:color="35437C"/>
              <w:right w:val="single" w:sz="8" w:space="0" w:color="35437C"/>
            </w:tcBorders>
            <w:shd w:val="clear" w:color="auto" w:fill="35437C"/>
          </w:tcPr>
          <w:p w:rsidR="00576F87" w:rsidRDefault="00576F87"/>
        </w:tc>
        <w:tc>
          <w:tcPr>
            <w:tcW w:w="1627"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6"/>
              </w:rPr>
              <w:t>£000</w:t>
            </w:r>
          </w:p>
        </w:tc>
        <w:tc>
          <w:tcPr>
            <w:tcW w:w="1627"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1627"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6"/>
              <w:jc w:val="right"/>
            </w:pPr>
            <w:r>
              <w:rPr>
                <w:rFonts w:ascii="Verdana" w:eastAsia="Verdana" w:hAnsi="Verdana" w:cs="Verdana"/>
                <w:b/>
                <w:color w:val="FFFFFF"/>
                <w:sz w:val="16"/>
              </w:rPr>
              <w:t>£000</w:t>
            </w:r>
          </w:p>
        </w:tc>
      </w:tr>
      <w:tr w:rsidR="00576F87">
        <w:trPr>
          <w:trHeight w:val="290"/>
        </w:trPr>
        <w:tc>
          <w:tcPr>
            <w:tcW w:w="3497" w:type="dxa"/>
            <w:gridSpan w:val="2"/>
            <w:tcBorders>
              <w:top w:val="single" w:sz="8" w:space="0" w:color="35437C"/>
              <w:left w:val="single" w:sz="15"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3497" w:type="dxa"/>
            <w:gridSpan w:val="2"/>
            <w:tcBorders>
              <w:top w:val="single" w:sz="8" w:space="0" w:color="35437C"/>
              <w:left w:val="single" w:sz="15" w:space="0" w:color="35437C"/>
              <w:bottom w:val="single" w:sz="8" w:space="0" w:color="35437C"/>
              <w:right w:val="single" w:sz="8" w:space="0" w:color="35437C"/>
            </w:tcBorders>
          </w:tcPr>
          <w:p w:rsidR="00576F87" w:rsidRDefault="004165F5">
            <w:pPr>
              <w:spacing w:after="0"/>
              <w:ind w:left="36"/>
            </w:pPr>
            <w:r>
              <w:rPr>
                <w:rFonts w:ascii="Verdana" w:eastAsia="Verdana" w:hAnsi="Verdana" w:cs="Verdana"/>
                <w:i/>
                <w:sz w:val="16"/>
              </w:rPr>
              <w:t>Present value of total obligation</w:t>
            </w:r>
          </w:p>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5"/>
              <w:jc w:val="right"/>
            </w:pPr>
            <w:r>
              <w:rPr>
                <w:rFonts w:ascii="Verdana" w:eastAsia="Verdana" w:hAnsi="Verdana" w:cs="Verdana"/>
                <w:sz w:val="16"/>
              </w:rPr>
              <w:t>141,698</w:t>
            </w:r>
          </w:p>
        </w:tc>
        <w:tc>
          <w:tcPr>
            <w:tcW w:w="1627"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3497" w:type="dxa"/>
            <w:gridSpan w:val="2"/>
            <w:tcBorders>
              <w:top w:val="single" w:sz="8" w:space="0" w:color="35437C"/>
              <w:left w:val="single" w:sz="15"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2748" w:type="dxa"/>
            <w:tcBorders>
              <w:top w:val="single" w:sz="8" w:space="0" w:color="35437C"/>
              <w:left w:val="single" w:sz="15" w:space="0" w:color="35437C"/>
              <w:bottom w:val="single" w:sz="8" w:space="0" w:color="35437C"/>
              <w:right w:val="nil"/>
            </w:tcBorders>
          </w:tcPr>
          <w:p w:rsidR="00576F87" w:rsidRDefault="004165F5">
            <w:pPr>
              <w:spacing w:after="0"/>
              <w:ind w:left="38"/>
            </w:pPr>
            <w:r>
              <w:rPr>
                <w:rFonts w:ascii="Verdana" w:eastAsia="Verdana" w:hAnsi="Verdana" w:cs="Verdana"/>
                <w:b/>
                <w:sz w:val="16"/>
              </w:rPr>
              <w:t>Sensitivity to</w:t>
            </w:r>
          </w:p>
        </w:tc>
        <w:tc>
          <w:tcPr>
            <w:tcW w:w="749" w:type="dxa"/>
            <w:tcBorders>
              <w:top w:val="single" w:sz="8" w:space="0" w:color="35437C"/>
              <w:left w:val="nil"/>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sz w:val="16"/>
              </w:rPr>
              <w:t>+0.1%</w:t>
            </w:r>
          </w:p>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6"/>
              </w:rPr>
              <w:t>-0.1%</w:t>
            </w:r>
          </w:p>
        </w:tc>
      </w:tr>
      <w:tr w:rsidR="00576F87">
        <w:trPr>
          <w:trHeight w:val="290"/>
        </w:trPr>
        <w:tc>
          <w:tcPr>
            <w:tcW w:w="2748" w:type="dxa"/>
            <w:tcBorders>
              <w:top w:val="single" w:sz="8" w:space="0" w:color="35437C"/>
              <w:left w:val="single" w:sz="15" w:space="0" w:color="35437C"/>
              <w:bottom w:val="single" w:sz="8" w:space="0" w:color="35437C"/>
              <w:right w:val="nil"/>
            </w:tcBorders>
          </w:tcPr>
          <w:p w:rsidR="00576F87" w:rsidRDefault="00576F87"/>
        </w:tc>
        <w:tc>
          <w:tcPr>
            <w:tcW w:w="749" w:type="dxa"/>
            <w:tcBorders>
              <w:top w:val="single" w:sz="8" w:space="0" w:color="35437C"/>
              <w:left w:val="nil"/>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2748" w:type="dxa"/>
            <w:tcBorders>
              <w:top w:val="single" w:sz="8" w:space="0" w:color="35437C"/>
              <w:left w:val="single" w:sz="15" w:space="0" w:color="35437C"/>
              <w:bottom w:val="single" w:sz="8" w:space="0" w:color="35437C"/>
              <w:right w:val="nil"/>
            </w:tcBorders>
          </w:tcPr>
          <w:p w:rsidR="00576F87" w:rsidRDefault="004165F5">
            <w:pPr>
              <w:spacing w:after="0"/>
              <w:ind w:left="36"/>
            </w:pPr>
            <w:r>
              <w:rPr>
                <w:rFonts w:ascii="Verdana" w:eastAsia="Verdana" w:hAnsi="Verdana" w:cs="Verdana"/>
                <w:i/>
                <w:sz w:val="16"/>
              </w:rPr>
              <w:t>Discount rate</w:t>
            </w:r>
          </w:p>
        </w:tc>
        <w:tc>
          <w:tcPr>
            <w:tcW w:w="749" w:type="dxa"/>
            <w:tcBorders>
              <w:top w:val="single" w:sz="8" w:space="0" w:color="35437C"/>
              <w:left w:val="nil"/>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5"/>
              <w:jc w:val="right"/>
            </w:pPr>
            <w:r>
              <w:rPr>
                <w:rFonts w:ascii="Verdana" w:eastAsia="Verdana" w:hAnsi="Verdana" w:cs="Verdana"/>
                <w:sz w:val="16"/>
              </w:rPr>
              <w:t>140,411</w:t>
            </w:r>
          </w:p>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5"/>
              <w:jc w:val="right"/>
            </w:pPr>
            <w:r>
              <w:rPr>
                <w:rFonts w:ascii="Verdana" w:eastAsia="Verdana" w:hAnsi="Verdana" w:cs="Verdana"/>
                <w:sz w:val="16"/>
              </w:rPr>
              <w:t>142,997</w:t>
            </w:r>
          </w:p>
        </w:tc>
      </w:tr>
      <w:tr w:rsidR="00576F87">
        <w:trPr>
          <w:trHeight w:val="290"/>
        </w:trPr>
        <w:tc>
          <w:tcPr>
            <w:tcW w:w="2748" w:type="dxa"/>
            <w:tcBorders>
              <w:top w:val="single" w:sz="8" w:space="0" w:color="35437C"/>
              <w:left w:val="single" w:sz="15" w:space="0" w:color="35437C"/>
              <w:bottom w:val="single" w:sz="8" w:space="0" w:color="35437C"/>
              <w:right w:val="nil"/>
            </w:tcBorders>
          </w:tcPr>
          <w:p w:rsidR="00576F87" w:rsidRDefault="00576F87"/>
        </w:tc>
        <w:tc>
          <w:tcPr>
            <w:tcW w:w="749" w:type="dxa"/>
            <w:tcBorders>
              <w:top w:val="single" w:sz="8" w:space="0" w:color="35437C"/>
              <w:left w:val="nil"/>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406"/>
        </w:trPr>
        <w:tc>
          <w:tcPr>
            <w:tcW w:w="2748" w:type="dxa"/>
            <w:tcBorders>
              <w:top w:val="single" w:sz="8" w:space="0" w:color="35437C"/>
              <w:left w:val="single" w:sz="15" w:space="0" w:color="35437C"/>
              <w:bottom w:val="single" w:sz="8" w:space="0" w:color="35437C"/>
              <w:right w:val="nil"/>
            </w:tcBorders>
          </w:tcPr>
          <w:p w:rsidR="00576F87" w:rsidRDefault="004165F5">
            <w:pPr>
              <w:tabs>
                <w:tab w:val="center" w:pos="1380"/>
                <w:tab w:val="center" w:pos="2254"/>
              </w:tabs>
              <w:spacing w:after="6"/>
            </w:pPr>
            <w:r>
              <w:rPr>
                <w:rFonts w:ascii="Verdana" w:eastAsia="Verdana" w:hAnsi="Verdana" w:cs="Verdana"/>
                <w:i/>
                <w:sz w:val="16"/>
              </w:rPr>
              <w:t>Pension</w:t>
            </w:r>
            <w:r>
              <w:rPr>
                <w:rFonts w:ascii="Verdana" w:eastAsia="Verdana" w:hAnsi="Verdana" w:cs="Verdana"/>
                <w:i/>
                <w:sz w:val="16"/>
              </w:rPr>
              <w:tab/>
              <w:t>increases</w:t>
            </w:r>
            <w:r>
              <w:rPr>
                <w:rFonts w:ascii="Verdana" w:eastAsia="Verdana" w:hAnsi="Verdana" w:cs="Verdana"/>
                <w:i/>
                <w:sz w:val="16"/>
              </w:rPr>
              <w:tab/>
              <w:t>and</w:t>
            </w:r>
          </w:p>
          <w:p w:rsidR="00576F87" w:rsidRDefault="004165F5">
            <w:pPr>
              <w:spacing w:after="0"/>
              <w:ind w:left="36"/>
            </w:pPr>
            <w:r>
              <w:rPr>
                <w:rFonts w:ascii="Verdana" w:eastAsia="Verdana" w:hAnsi="Verdana" w:cs="Verdana"/>
                <w:i/>
                <w:sz w:val="16"/>
              </w:rPr>
              <w:t>revaluation</w:t>
            </w:r>
          </w:p>
        </w:tc>
        <w:tc>
          <w:tcPr>
            <w:tcW w:w="749" w:type="dxa"/>
            <w:tcBorders>
              <w:top w:val="single" w:sz="8" w:space="0" w:color="35437C"/>
              <w:left w:val="nil"/>
              <w:bottom w:val="single" w:sz="8" w:space="0" w:color="35437C"/>
              <w:right w:val="single" w:sz="8" w:space="0" w:color="35437C"/>
            </w:tcBorders>
          </w:tcPr>
          <w:p w:rsidR="00576F87" w:rsidRDefault="004165F5">
            <w:pPr>
              <w:spacing w:after="0"/>
              <w:jc w:val="both"/>
            </w:pPr>
            <w:r>
              <w:rPr>
                <w:rFonts w:ascii="Verdana" w:eastAsia="Verdana" w:hAnsi="Verdana" w:cs="Verdana"/>
                <w:i/>
                <w:sz w:val="16"/>
              </w:rPr>
              <w:t>deferred</w:t>
            </w:r>
          </w:p>
        </w:tc>
        <w:tc>
          <w:tcPr>
            <w:tcW w:w="1627" w:type="dxa"/>
            <w:tcBorders>
              <w:top w:val="single" w:sz="8" w:space="0" w:color="35437C"/>
              <w:left w:val="single" w:sz="8" w:space="0" w:color="35437C"/>
              <w:bottom w:val="single" w:sz="8" w:space="0" w:color="35437C"/>
              <w:right w:val="single" w:sz="8" w:space="0" w:color="35437C"/>
            </w:tcBorders>
            <w:vAlign w:val="center"/>
          </w:tcPr>
          <w:p w:rsidR="00576F87" w:rsidRDefault="004165F5">
            <w:pPr>
              <w:spacing w:after="0"/>
              <w:ind w:right="5"/>
              <w:jc w:val="right"/>
            </w:pPr>
            <w:r>
              <w:rPr>
                <w:rFonts w:ascii="Verdana" w:eastAsia="Verdana" w:hAnsi="Verdana" w:cs="Verdana"/>
                <w:sz w:val="16"/>
              </w:rPr>
              <w:t>142,997</w:t>
            </w:r>
          </w:p>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vAlign w:val="center"/>
          </w:tcPr>
          <w:p w:rsidR="00576F87" w:rsidRDefault="004165F5">
            <w:pPr>
              <w:spacing w:after="0"/>
              <w:ind w:right="5"/>
              <w:jc w:val="right"/>
            </w:pPr>
            <w:r>
              <w:rPr>
                <w:rFonts w:ascii="Verdana" w:eastAsia="Verdana" w:hAnsi="Verdana" w:cs="Verdana"/>
                <w:sz w:val="16"/>
              </w:rPr>
              <w:t>140,409</w:t>
            </w:r>
          </w:p>
        </w:tc>
      </w:tr>
      <w:tr w:rsidR="00576F87">
        <w:trPr>
          <w:trHeight w:val="290"/>
        </w:trPr>
        <w:tc>
          <w:tcPr>
            <w:tcW w:w="2748" w:type="dxa"/>
            <w:tcBorders>
              <w:top w:val="single" w:sz="8" w:space="0" w:color="35437C"/>
              <w:left w:val="single" w:sz="15" w:space="0" w:color="35437C"/>
              <w:bottom w:val="single" w:sz="8" w:space="0" w:color="35437C"/>
              <w:right w:val="nil"/>
            </w:tcBorders>
          </w:tcPr>
          <w:p w:rsidR="00576F87" w:rsidRDefault="00576F87"/>
        </w:tc>
        <w:tc>
          <w:tcPr>
            <w:tcW w:w="749" w:type="dxa"/>
            <w:tcBorders>
              <w:top w:val="single" w:sz="8" w:space="0" w:color="35437C"/>
              <w:left w:val="nil"/>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290"/>
        </w:trPr>
        <w:tc>
          <w:tcPr>
            <w:tcW w:w="2748" w:type="dxa"/>
            <w:tcBorders>
              <w:top w:val="single" w:sz="8" w:space="0" w:color="35437C"/>
              <w:left w:val="single" w:sz="15" w:space="0" w:color="35437C"/>
              <w:bottom w:val="single" w:sz="8" w:space="0" w:color="35437C"/>
              <w:right w:val="nil"/>
            </w:tcBorders>
          </w:tcPr>
          <w:p w:rsidR="00576F87" w:rsidRDefault="004165F5">
            <w:pPr>
              <w:spacing w:after="0"/>
              <w:ind w:left="38"/>
            </w:pPr>
            <w:r>
              <w:rPr>
                <w:rFonts w:ascii="Verdana" w:eastAsia="Verdana" w:hAnsi="Verdana" w:cs="Verdana"/>
                <w:b/>
                <w:sz w:val="16"/>
              </w:rPr>
              <w:t>Sensitivity to</w:t>
            </w:r>
          </w:p>
        </w:tc>
        <w:tc>
          <w:tcPr>
            <w:tcW w:w="749" w:type="dxa"/>
            <w:tcBorders>
              <w:top w:val="single" w:sz="8" w:space="0" w:color="35437C"/>
              <w:left w:val="nil"/>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
              <w:jc w:val="right"/>
            </w:pPr>
            <w:r>
              <w:rPr>
                <w:rFonts w:ascii="Verdana" w:eastAsia="Verdana" w:hAnsi="Verdana" w:cs="Verdana"/>
                <w:sz w:val="16"/>
              </w:rPr>
              <w:t>+ 1 Year</w:t>
            </w:r>
          </w:p>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2"/>
              <w:jc w:val="right"/>
            </w:pPr>
            <w:r>
              <w:rPr>
                <w:rFonts w:ascii="Verdana" w:eastAsia="Verdana" w:hAnsi="Verdana" w:cs="Verdana"/>
                <w:sz w:val="16"/>
              </w:rPr>
              <w:t>- 1 Year</w:t>
            </w:r>
          </w:p>
        </w:tc>
      </w:tr>
      <w:tr w:rsidR="00576F87">
        <w:trPr>
          <w:trHeight w:val="290"/>
        </w:trPr>
        <w:tc>
          <w:tcPr>
            <w:tcW w:w="2748" w:type="dxa"/>
            <w:tcBorders>
              <w:top w:val="single" w:sz="8" w:space="0" w:color="35437C"/>
              <w:left w:val="single" w:sz="15" w:space="0" w:color="35437C"/>
              <w:bottom w:val="single" w:sz="8" w:space="0" w:color="35437C"/>
              <w:right w:val="nil"/>
            </w:tcBorders>
          </w:tcPr>
          <w:p w:rsidR="00576F87" w:rsidRDefault="00576F87"/>
        </w:tc>
        <w:tc>
          <w:tcPr>
            <w:tcW w:w="749" w:type="dxa"/>
            <w:tcBorders>
              <w:top w:val="single" w:sz="8" w:space="0" w:color="35437C"/>
              <w:left w:val="nil"/>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8" w:space="0" w:color="35437C"/>
            </w:tcBorders>
          </w:tcPr>
          <w:p w:rsidR="00576F87" w:rsidRDefault="00576F87"/>
        </w:tc>
        <w:tc>
          <w:tcPr>
            <w:tcW w:w="1627" w:type="dxa"/>
            <w:tcBorders>
              <w:top w:val="single" w:sz="8" w:space="0" w:color="35437C"/>
              <w:left w:val="single" w:sz="8" w:space="0" w:color="35437C"/>
              <w:bottom w:val="single" w:sz="8" w:space="0" w:color="35437C"/>
              <w:right w:val="single" w:sz="15" w:space="0" w:color="35437C"/>
            </w:tcBorders>
          </w:tcPr>
          <w:p w:rsidR="00576F87" w:rsidRDefault="00576F87"/>
        </w:tc>
      </w:tr>
      <w:tr w:rsidR="00576F87">
        <w:trPr>
          <w:trHeight w:val="305"/>
        </w:trPr>
        <w:tc>
          <w:tcPr>
            <w:tcW w:w="2748" w:type="dxa"/>
            <w:tcBorders>
              <w:top w:val="single" w:sz="8" w:space="0" w:color="35437C"/>
              <w:left w:val="single" w:sz="15" w:space="0" w:color="35437C"/>
              <w:bottom w:val="single" w:sz="15" w:space="0" w:color="35437C"/>
              <w:right w:val="nil"/>
            </w:tcBorders>
          </w:tcPr>
          <w:p w:rsidR="00576F87" w:rsidRDefault="004165F5">
            <w:pPr>
              <w:spacing w:after="0"/>
              <w:ind w:left="36"/>
            </w:pPr>
            <w:r>
              <w:rPr>
                <w:rFonts w:ascii="Verdana" w:eastAsia="Verdana" w:hAnsi="Verdana" w:cs="Verdana"/>
                <w:i/>
                <w:sz w:val="16"/>
              </w:rPr>
              <w:t>Life expectancy assumptions</w:t>
            </w:r>
          </w:p>
        </w:tc>
        <w:tc>
          <w:tcPr>
            <w:tcW w:w="749" w:type="dxa"/>
            <w:tcBorders>
              <w:top w:val="single" w:sz="8" w:space="0" w:color="35437C"/>
              <w:left w:val="nil"/>
              <w:bottom w:val="single" w:sz="15" w:space="0" w:color="35437C"/>
              <w:right w:val="single" w:sz="8" w:space="0" w:color="35437C"/>
            </w:tcBorders>
          </w:tcPr>
          <w:p w:rsidR="00576F87" w:rsidRDefault="00576F87"/>
        </w:tc>
        <w:tc>
          <w:tcPr>
            <w:tcW w:w="1627" w:type="dxa"/>
            <w:tcBorders>
              <w:top w:val="single" w:sz="8" w:space="0" w:color="35437C"/>
              <w:left w:val="single" w:sz="8" w:space="0" w:color="35437C"/>
              <w:bottom w:val="single" w:sz="15" w:space="0" w:color="35437C"/>
              <w:right w:val="single" w:sz="8" w:space="0" w:color="35437C"/>
            </w:tcBorders>
          </w:tcPr>
          <w:p w:rsidR="00576F87" w:rsidRDefault="004165F5">
            <w:pPr>
              <w:spacing w:after="0"/>
              <w:ind w:right="5"/>
              <w:jc w:val="right"/>
            </w:pPr>
            <w:r>
              <w:rPr>
                <w:rFonts w:ascii="Verdana" w:eastAsia="Verdana" w:hAnsi="Verdana" w:cs="Verdana"/>
                <w:sz w:val="16"/>
              </w:rPr>
              <w:t>148,219</w:t>
            </w:r>
          </w:p>
        </w:tc>
        <w:tc>
          <w:tcPr>
            <w:tcW w:w="1627" w:type="dxa"/>
            <w:tcBorders>
              <w:top w:val="single" w:sz="8" w:space="0" w:color="35437C"/>
              <w:left w:val="single" w:sz="8" w:space="0" w:color="35437C"/>
              <w:bottom w:val="single" w:sz="15" w:space="0" w:color="35437C"/>
              <w:right w:val="single" w:sz="8" w:space="0" w:color="35437C"/>
            </w:tcBorders>
          </w:tcPr>
          <w:p w:rsidR="00576F87" w:rsidRDefault="00576F87"/>
        </w:tc>
        <w:tc>
          <w:tcPr>
            <w:tcW w:w="1627" w:type="dxa"/>
            <w:tcBorders>
              <w:top w:val="single" w:sz="8" w:space="0" w:color="35437C"/>
              <w:left w:val="single" w:sz="8" w:space="0" w:color="35437C"/>
              <w:bottom w:val="single" w:sz="15" w:space="0" w:color="35437C"/>
              <w:right w:val="single" w:sz="15" w:space="0" w:color="35437C"/>
            </w:tcBorders>
          </w:tcPr>
          <w:p w:rsidR="00576F87" w:rsidRDefault="004165F5">
            <w:pPr>
              <w:spacing w:after="0"/>
              <w:ind w:right="5"/>
              <w:jc w:val="right"/>
            </w:pPr>
            <w:r>
              <w:rPr>
                <w:rFonts w:ascii="Verdana" w:eastAsia="Verdana" w:hAnsi="Verdana" w:cs="Verdana"/>
                <w:sz w:val="16"/>
              </w:rPr>
              <w:t>135,464</w:t>
            </w:r>
          </w:p>
        </w:tc>
      </w:tr>
    </w:tbl>
    <w:p w:rsidR="00576F87" w:rsidRDefault="004165F5">
      <w:pPr>
        <w:pStyle w:val="Heading2"/>
        <w:spacing w:after="147"/>
        <w:ind w:left="17"/>
      </w:pPr>
      <w:r>
        <w:t>10. Administration Expenses</w:t>
      </w:r>
    </w:p>
    <w:p w:rsidR="00576F87" w:rsidRDefault="004165F5">
      <w:pPr>
        <w:spacing w:after="3" w:line="264" w:lineRule="auto"/>
        <w:ind w:left="2" w:right="842" w:hanging="10"/>
        <w:jc w:val="both"/>
      </w:pPr>
      <w:r>
        <w:rPr>
          <w:rFonts w:ascii="Verdana" w:eastAsia="Verdana" w:hAnsi="Verdana" w:cs="Verdana"/>
          <w:sz w:val="20"/>
        </w:rPr>
        <w:t>The administration expenses are the costs charged to the residual liabilities accounts from the operational accounts and comprise a share of the costs relating to administering the residual liabilities responsibilities. The costs for 2017/18 were £261k for</w:t>
      </w:r>
      <w:r>
        <w:rPr>
          <w:rFonts w:ascii="Verdana" w:eastAsia="Verdana" w:hAnsi="Verdana" w:cs="Verdana"/>
          <w:sz w:val="20"/>
        </w:rPr>
        <w:t xml:space="preserve"> the Greater London levy and £352k for the Inner London levy, this has reduced by £28k from 2016/17.</w:t>
      </w:r>
    </w:p>
    <w:tbl>
      <w:tblPr>
        <w:tblStyle w:val="TableGrid"/>
        <w:tblW w:w="9713" w:type="dxa"/>
        <w:tblInd w:w="-38" w:type="dxa"/>
        <w:tblCellMar>
          <w:top w:w="54" w:type="dxa"/>
          <w:left w:w="36" w:type="dxa"/>
          <w:bottom w:w="51" w:type="dxa"/>
          <w:right w:w="0" w:type="dxa"/>
        </w:tblCellMar>
        <w:tblLook w:val="04A0" w:firstRow="1" w:lastRow="0" w:firstColumn="1" w:lastColumn="0" w:noHBand="0" w:noVBand="1"/>
      </w:tblPr>
      <w:tblGrid>
        <w:gridCol w:w="3722"/>
        <w:gridCol w:w="998"/>
        <w:gridCol w:w="998"/>
        <w:gridCol w:w="998"/>
        <w:gridCol w:w="998"/>
        <w:gridCol w:w="998"/>
        <w:gridCol w:w="998"/>
      </w:tblGrid>
      <w:tr w:rsidR="00576F87">
        <w:trPr>
          <w:trHeight w:val="595"/>
        </w:trPr>
        <w:tc>
          <w:tcPr>
            <w:tcW w:w="9713" w:type="dxa"/>
            <w:gridSpan w:val="7"/>
            <w:tcBorders>
              <w:top w:val="single" w:sz="15" w:space="0" w:color="35437C"/>
              <w:left w:val="single" w:sz="15" w:space="0" w:color="35437C"/>
              <w:bottom w:val="nil"/>
              <w:right w:val="single" w:sz="8" w:space="0" w:color="35437C"/>
            </w:tcBorders>
            <w:shd w:val="clear" w:color="auto" w:fill="35437C"/>
            <w:vAlign w:val="bottom"/>
          </w:tcPr>
          <w:p w:rsidR="00576F87" w:rsidRDefault="004165F5">
            <w:pPr>
              <w:tabs>
                <w:tab w:val="center" w:pos="5184"/>
                <w:tab w:val="center" w:pos="8180"/>
              </w:tabs>
              <w:spacing w:after="0"/>
            </w:pPr>
            <w:r>
              <w:tab/>
            </w:r>
            <w:r>
              <w:rPr>
                <w:rFonts w:ascii="Verdana" w:eastAsia="Verdana" w:hAnsi="Verdana" w:cs="Verdana"/>
                <w:b/>
                <w:color w:val="FFFFFF"/>
                <w:sz w:val="16"/>
              </w:rPr>
              <w:t>31-Mar-17</w:t>
            </w:r>
            <w:r>
              <w:rPr>
                <w:rFonts w:ascii="Verdana" w:eastAsia="Verdana" w:hAnsi="Verdana" w:cs="Verdana"/>
                <w:b/>
                <w:color w:val="FFFFFF"/>
                <w:sz w:val="16"/>
              </w:rPr>
              <w:tab/>
              <w:t>31-Mar-18</w:t>
            </w:r>
          </w:p>
        </w:tc>
      </w:tr>
      <w:tr w:rsidR="00576F87">
        <w:trPr>
          <w:trHeight w:val="521"/>
        </w:trPr>
        <w:tc>
          <w:tcPr>
            <w:tcW w:w="3722" w:type="dxa"/>
            <w:tcBorders>
              <w:top w:val="nil"/>
              <w:left w:val="single" w:sz="8" w:space="0" w:color="35437C"/>
              <w:bottom w:val="single" w:sz="8" w:space="0" w:color="35437C"/>
              <w:right w:val="single" w:sz="8" w:space="0" w:color="35437C"/>
            </w:tcBorders>
            <w:shd w:val="clear" w:color="auto" w:fill="35437C"/>
          </w:tcPr>
          <w:p w:rsidR="00576F87" w:rsidRDefault="00576F87"/>
        </w:tc>
        <w:tc>
          <w:tcPr>
            <w:tcW w:w="998" w:type="dxa"/>
            <w:tcBorders>
              <w:top w:val="nil"/>
              <w:left w:val="single" w:sz="8" w:space="0" w:color="35437C"/>
              <w:bottom w:val="single" w:sz="8" w:space="0" w:color="35437C"/>
              <w:right w:val="single" w:sz="8" w:space="0" w:color="35437C"/>
            </w:tcBorders>
            <w:shd w:val="clear" w:color="auto" w:fill="35437C"/>
          </w:tcPr>
          <w:p w:rsidR="00576F87" w:rsidRDefault="004165F5">
            <w:pPr>
              <w:spacing w:after="0"/>
              <w:ind w:right="36"/>
              <w:jc w:val="right"/>
            </w:pPr>
            <w:r>
              <w:rPr>
                <w:rFonts w:ascii="Verdana" w:eastAsia="Verdana" w:hAnsi="Verdana" w:cs="Verdana"/>
                <w:b/>
                <w:color w:val="FFFFFF"/>
                <w:sz w:val="16"/>
              </w:rPr>
              <w:t xml:space="preserve">Greater </w:t>
            </w:r>
          </w:p>
          <w:p w:rsidR="00576F87" w:rsidRDefault="004165F5">
            <w:pPr>
              <w:spacing w:after="0"/>
              <w:ind w:right="36"/>
              <w:jc w:val="right"/>
            </w:pPr>
            <w:r>
              <w:rPr>
                <w:rFonts w:ascii="Verdana" w:eastAsia="Verdana" w:hAnsi="Verdana" w:cs="Verdana"/>
                <w:b/>
                <w:color w:val="FFFFFF"/>
                <w:sz w:val="16"/>
              </w:rPr>
              <w:t>London</w:t>
            </w:r>
          </w:p>
        </w:tc>
        <w:tc>
          <w:tcPr>
            <w:tcW w:w="998" w:type="dxa"/>
            <w:tcBorders>
              <w:top w:val="nil"/>
              <w:left w:val="single" w:sz="8" w:space="0" w:color="35437C"/>
              <w:bottom w:val="single" w:sz="8" w:space="0" w:color="35437C"/>
              <w:right w:val="single" w:sz="8" w:space="0" w:color="35437C"/>
            </w:tcBorders>
            <w:shd w:val="clear" w:color="auto" w:fill="35437C"/>
          </w:tcPr>
          <w:p w:rsidR="00576F87" w:rsidRDefault="004165F5">
            <w:pPr>
              <w:spacing w:after="0"/>
              <w:ind w:right="37"/>
              <w:jc w:val="right"/>
            </w:pPr>
            <w:r>
              <w:rPr>
                <w:rFonts w:ascii="Verdana" w:eastAsia="Verdana" w:hAnsi="Verdana" w:cs="Verdana"/>
                <w:b/>
                <w:color w:val="FFFFFF"/>
                <w:sz w:val="16"/>
              </w:rPr>
              <w:t xml:space="preserve">Inner </w:t>
            </w:r>
          </w:p>
          <w:p w:rsidR="00576F87" w:rsidRDefault="004165F5">
            <w:pPr>
              <w:spacing w:after="0"/>
              <w:ind w:right="36"/>
              <w:jc w:val="right"/>
            </w:pPr>
            <w:r>
              <w:rPr>
                <w:rFonts w:ascii="Verdana" w:eastAsia="Verdana" w:hAnsi="Verdana" w:cs="Verdana"/>
                <w:b/>
                <w:color w:val="FFFFFF"/>
                <w:sz w:val="16"/>
              </w:rPr>
              <w:t>London</w:t>
            </w:r>
          </w:p>
        </w:tc>
        <w:tc>
          <w:tcPr>
            <w:tcW w:w="998" w:type="dxa"/>
            <w:tcBorders>
              <w:top w:val="nil"/>
              <w:left w:val="single" w:sz="8" w:space="0" w:color="35437C"/>
              <w:bottom w:val="single" w:sz="8" w:space="0" w:color="35437C"/>
              <w:right w:val="single" w:sz="8" w:space="0" w:color="35437C"/>
            </w:tcBorders>
            <w:shd w:val="clear" w:color="auto" w:fill="35437C"/>
            <w:vAlign w:val="bottom"/>
          </w:tcPr>
          <w:p w:rsidR="00576F87" w:rsidRDefault="004165F5">
            <w:pPr>
              <w:spacing w:after="0"/>
              <w:ind w:right="36"/>
              <w:jc w:val="right"/>
            </w:pPr>
            <w:r>
              <w:rPr>
                <w:rFonts w:ascii="Verdana" w:eastAsia="Verdana" w:hAnsi="Verdana" w:cs="Verdana"/>
                <w:b/>
                <w:color w:val="FFFFFF"/>
                <w:sz w:val="16"/>
              </w:rPr>
              <w:t>Total</w:t>
            </w:r>
          </w:p>
        </w:tc>
        <w:tc>
          <w:tcPr>
            <w:tcW w:w="99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6"/>
              <w:jc w:val="right"/>
            </w:pPr>
            <w:r>
              <w:rPr>
                <w:rFonts w:ascii="Verdana" w:eastAsia="Verdana" w:hAnsi="Verdana" w:cs="Verdana"/>
                <w:b/>
                <w:color w:val="FFFFFF"/>
                <w:sz w:val="16"/>
              </w:rPr>
              <w:t xml:space="preserve">Greater </w:t>
            </w:r>
          </w:p>
          <w:p w:rsidR="00576F87" w:rsidRDefault="004165F5">
            <w:pPr>
              <w:spacing w:after="0"/>
              <w:ind w:right="36"/>
              <w:jc w:val="right"/>
            </w:pPr>
            <w:r>
              <w:rPr>
                <w:rFonts w:ascii="Verdana" w:eastAsia="Verdana" w:hAnsi="Verdana" w:cs="Verdana"/>
                <w:b/>
                <w:color w:val="FFFFFF"/>
                <w:sz w:val="16"/>
              </w:rPr>
              <w:t>London</w:t>
            </w:r>
          </w:p>
        </w:tc>
        <w:tc>
          <w:tcPr>
            <w:tcW w:w="99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7"/>
              <w:jc w:val="right"/>
            </w:pPr>
            <w:r>
              <w:rPr>
                <w:rFonts w:ascii="Verdana" w:eastAsia="Verdana" w:hAnsi="Verdana" w:cs="Verdana"/>
                <w:b/>
                <w:color w:val="FFFFFF"/>
                <w:sz w:val="16"/>
              </w:rPr>
              <w:t xml:space="preserve">Inner </w:t>
            </w:r>
          </w:p>
          <w:p w:rsidR="00576F87" w:rsidRDefault="004165F5">
            <w:pPr>
              <w:spacing w:after="0"/>
              <w:ind w:right="36"/>
              <w:jc w:val="right"/>
            </w:pPr>
            <w:r>
              <w:rPr>
                <w:rFonts w:ascii="Verdana" w:eastAsia="Verdana" w:hAnsi="Verdana" w:cs="Verdana"/>
                <w:b/>
                <w:color w:val="FFFFFF"/>
                <w:sz w:val="16"/>
              </w:rPr>
              <w:t>London</w:t>
            </w:r>
          </w:p>
        </w:tc>
        <w:tc>
          <w:tcPr>
            <w:tcW w:w="998" w:type="dxa"/>
            <w:tcBorders>
              <w:top w:val="single" w:sz="8" w:space="0" w:color="35437C"/>
              <w:left w:val="single" w:sz="8" w:space="0" w:color="35437C"/>
              <w:bottom w:val="single" w:sz="8" w:space="0" w:color="35437C"/>
              <w:right w:val="single" w:sz="8" w:space="0" w:color="35437C"/>
            </w:tcBorders>
            <w:shd w:val="clear" w:color="auto" w:fill="35437C"/>
            <w:vAlign w:val="bottom"/>
          </w:tcPr>
          <w:p w:rsidR="00576F87" w:rsidRDefault="004165F5">
            <w:pPr>
              <w:spacing w:after="0"/>
              <w:ind w:right="36"/>
              <w:jc w:val="right"/>
            </w:pPr>
            <w:r>
              <w:rPr>
                <w:rFonts w:ascii="Verdana" w:eastAsia="Verdana" w:hAnsi="Verdana" w:cs="Verdana"/>
                <w:b/>
                <w:color w:val="FFFFFF"/>
                <w:sz w:val="16"/>
              </w:rPr>
              <w:t>Total</w:t>
            </w:r>
          </w:p>
        </w:tc>
      </w:tr>
      <w:tr w:rsidR="00576F87">
        <w:trPr>
          <w:trHeight w:val="290"/>
        </w:trPr>
        <w:tc>
          <w:tcPr>
            <w:tcW w:w="3722"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£’000</w:t>
            </w:r>
          </w:p>
        </w:tc>
      </w:tr>
      <w:tr w:rsidR="00576F87">
        <w:trPr>
          <w:trHeight w:val="305"/>
        </w:trPr>
        <w:tc>
          <w:tcPr>
            <w:tcW w:w="5719" w:type="dxa"/>
            <w:gridSpan w:val="3"/>
            <w:tcBorders>
              <w:top w:val="single" w:sz="8" w:space="0" w:color="35437C"/>
              <w:left w:val="single" w:sz="8" w:space="0" w:color="35437C"/>
              <w:bottom w:val="single" w:sz="8" w:space="0" w:color="35437C"/>
              <w:right w:val="nil"/>
            </w:tcBorders>
          </w:tcPr>
          <w:p w:rsidR="00576F87" w:rsidRDefault="004165F5">
            <w:pPr>
              <w:spacing w:after="0"/>
            </w:pPr>
            <w:r>
              <w:rPr>
                <w:rFonts w:ascii="Verdana" w:eastAsia="Verdana" w:hAnsi="Verdana" w:cs="Verdana"/>
                <w:sz w:val="16"/>
              </w:rPr>
              <w:t>Amounts recognised in the income statement are as follows:</w:t>
            </w:r>
          </w:p>
        </w:tc>
        <w:tc>
          <w:tcPr>
            <w:tcW w:w="998" w:type="dxa"/>
            <w:tcBorders>
              <w:top w:val="single" w:sz="8" w:space="0" w:color="35437C"/>
              <w:left w:val="nil"/>
              <w:bottom w:val="single" w:sz="8" w:space="0" w:color="35437C"/>
              <w:right w:val="nil"/>
            </w:tcBorders>
          </w:tcPr>
          <w:p w:rsidR="00576F87" w:rsidRDefault="00576F87"/>
        </w:tc>
        <w:tc>
          <w:tcPr>
            <w:tcW w:w="1997" w:type="dxa"/>
            <w:gridSpan w:val="2"/>
            <w:tcBorders>
              <w:top w:val="single" w:sz="8" w:space="0" w:color="35437C"/>
              <w:left w:val="nil"/>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290"/>
        </w:trPr>
        <w:tc>
          <w:tcPr>
            <w:tcW w:w="3722"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290"/>
        </w:trPr>
        <w:tc>
          <w:tcPr>
            <w:tcW w:w="3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Service cost</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r>
      <w:tr w:rsidR="00576F87">
        <w:trPr>
          <w:trHeight w:val="290"/>
        </w:trPr>
        <w:tc>
          <w:tcPr>
            <w:tcW w:w="3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Administration expenses</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0"/>
              <w:jc w:val="right"/>
            </w:pPr>
            <w:r>
              <w:rPr>
                <w:rFonts w:ascii="Verdana" w:eastAsia="Verdana" w:hAnsi="Verdana" w:cs="Verdana"/>
                <w:sz w:val="16"/>
              </w:rPr>
              <w:t>-</w:t>
            </w:r>
          </w:p>
        </w:tc>
      </w:tr>
      <w:tr w:rsidR="00576F87">
        <w:trPr>
          <w:trHeight w:val="511"/>
        </w:trPr>
        <w:tc>
          <w:tcPr>
            <w:tcW w:w="3722"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pPr>
            <w:r>
              <w:rPr>
                <w:rFonts w:ascii="Verdana" w:eastAsia="Verdana" w:hAnsi="Verdana" w:cs="Verdana"/>
                <w:sz w:val="16"/>
              </w:rPr>
              <w:t>Net interest on the defined liability (asset)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4"/>
              <w:jc w:val="right"/>
            </w:pPr>
            <w:r>
              <w:rPr>
                <w:rFonts w:ascii="Verdana" w:eastAsia="Verdana" w:hAnsi="Verdana" w:cs="Verdana"/>
                <w:sz w:val="16"/>
              </w:rPr>
              <w:t>1,931</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3"/>
              <w:jc w:val="right"/>
            </w:pPr>
            <w:r>
              <w:rPr>
                <w:rFonts w:ascii="Verdana" w:eastAsia="Verdana" w:hAnsi="Verdana" w:cs="Verdana"/>
                <w:sz w:val="16"/>
              </w:rPr>
              <w:t>3,621</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3"/>
              <w:jc w:val="right"/>
            </w:pPr>
            <w:r>
              <w:rPr>
                <w:rFonts w:ascii="Verdana" w:eastAsia="Verdana" w:hAnsi="Verdana" w:cs="Verdana"/>
                <w:sz w:val="16"/>
              </w:rPr>
              <w:t>5,552</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3"/>
              <w:jc w:val="right"/>
            </w:pPr>
            <w:r>
              <w:rPr>
                <w:rFonts w:ascii="Verdana" w:eastAsia="Verdana" w:hAnsi="Verdana" w:cs="Verdana"/>
                <w:sz w:val="16"/>
              </w:rPr>
              <w:t>1,393</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3"/>
              <w:jc w:val="right"/>
            </w:pPr>
            <w:r>
              <w:rPr>
                <w:rFonts w:ascii="Verdana" w:eastAsia="Verdana" w:hAnsi="Verdana" w:cs="Verdana"/>
                <w:sz w:val="16"/>
              </w:rPr>
              <w:t>2,692</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3"/>
              <w:jc w:val="right"/>
            </w:pPr>
            <w:r>
              <w:rPr>
                <w:rFonts w:ascii="Verdana" w:eastAsia="Verdana" w:hAnsi="Verdana" w:cs="Verdana"/>
                <w:sz w:val="16"/>
              </w:rPr>
              <w:t>4,085</w:t>
            </w:r>
          </w:p>
        </w:tc>
      </w:tr>
      <w:tr w:rsidR="00576F87">
        <w:trPr>
          <w:trHeight w:val="290"/>
        </w:trPr>
        <w:tc>
          <w:tcPr>
            <w:tcW w:w="3722"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290"/>
        </w:trPr>
        <w:tc>
          <w:tcPr>
            <w:tcW w:w="37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left="2"/>
            </w:pPr>
            <w:r>
              <w:rPr>
                <w:rFonts w:ascii="Verdana" w:eastAsia="Verdana" w:hAnsi="Verdana" w:cs="Verdana"/>
                <w:b/>
                <w:sz w:val="16"/>
              </w:rPr>
              <w:t>Total</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1,931</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3,621</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5,552</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1,393</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2,692</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7"/>
              <w:jc w:val="right"/>
            </w:pPr>
            <w:r>
              <w:rPr>
                <w:rFonts w:ascii="Verdana" w:eastAsia="Verdana" w:hAnsi="Verdana" w:cs="Verdana"/>
                <w:b/>
                <w:sz w:val="16"/>
              </w:rPr>
              <w:t>4,085</w:t>
            </w:r>
          </w:p>
        </w:tc>
      </w:tr>
      <w:tr w:rsidR="00576F87">
        <w:trPr>
          <w:trHeight w:val="290"/>
        </w:trPr>
        <w:tc>
          <w:tcPr>
            <w:tcW w:w="3722"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420"/>
        </w:trPr>
        <w:tc>
          <w:tcPr>
            <w:tcW w:w="5719" w:type="dxa"/>
            <w:gridSpan w:val="3"/>
            <w:tcBorders>
              <w:top w:val="single" w:sz="8" w:space="0" w:color="35437C"/>
              <w:left w:val="single" w:sz="8" w:space="0" w:color="35437C"/>
              <w:bottom w:val="single" w:sz="8" w:space="0" w:color="35437C"/>
              <w:right w:val="nil"/>
            </w:tcBorders>
            <w:vAlign w:val="bottom"/>
          </w:tcPr>
          <w:p w:rsidR="00576F87" w:rsidRDefault="004165F5">
            <w:pPr>
              <w:spacing w:after="0"/>
            </w:pPr>
            <w:r>
              <w:rPr>
                <w:rFonts w:ascii="Verdana" w:eastAsia="Verdana" w:hAnsi="Verdana" w:cs="Verdana"/>
                <w:sz w:val="16"/>
              </w:rPr>
              <w:t>Re-measurements in Other Comprehensive Income</w:t>
            </w:r>
          </w:p>
        </w:tc>
        <w:tc>
          <w:tcPr>
            <w:tcW w:w="998" w:type="dxa"/>
            <w:tcBorders>
              <w:top w:val="single" w:sz="8" w:space="0" w:color="35437C"/>
              <w:left w:val="nil"/>
              <w:bottom w:val="single" w:sz="8" w:space="0" w:color="35437C"/>
              <w:right w:val="nil"/>
            </w:tcBorders>
          </w:tcPr>
          <w:p w:rsidR="00576F87" w:rsidRDefault="00576F87"/>
        </w:tc>
        <w:tc>
          <w:tcPr>
            <w:tcW w:w="1997" w:type="dxa"/>
            <w:gridSpan w:val="2"/>
            <w:tcBorders>
              <w:top w:val="single" w:sz="8" w:space="0" w:color="35437C"/>
              <w:left w:val="nil"/>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290"/>
        </w:trPr>
        <w:tc>
          <w:tcPr>
            <w:tcW w:w="3722"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492"/>
        </w:trPr>
        <w:tc>
          <w:tcPr>
            <w:tcW w:w="3722"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pPr>
            <w:r>
              <w:rPr>
                <w:rFonts w:ascii="Verdana" w:eastAsia="Verdana" w:hAnsi="Verdana" w:cs="Verdana"/>
                <w:sz w:val="16"/>
              </w:rPr>
              <w:t>Return on plan assets in excess of interest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29"/>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29"/>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29"/>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29"/>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29"/>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29"/>
              <w:jc w:val="right"/>
            </w:pPr>
            <w:r>
              <w:rPr>
                <w:rFonts w:ascii="Verdana" w:eastAsia="Verdana" w:hAnsi="Verdana" w:cs="Verdana"/>
                <w:sz w:val="16"/>
              </w:rPr>
              <w:t>-</w:t>
            </w:r>
          </w:p>
        </w:tc>
      </w:tr>
      <w:tr w:rsidR="00576F87">
        <w:trPr>
          <w:trHeight w:val="492"/>
        </w:trPr>
        <w:tc>
          <w:tcPr>
            <w:tcW w:w="3722"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pPr>
            <w:r>
              <w:rPr>
                <w:rFonts w:ascii="Verdana" w:eastAsia="Verdana" w:hAnsi="Verdana" w:cs="Verdana"/>
                <w:sz w:val="16"/>
              </w:rPr>
              <w:t>Other actuarial gains/(losses) on assets</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r>
      <w:tr w:rsidR="00576F87">
        <w:trPr>
          <w:trHeight w:val="420"/>
        </w:trPr>
        <w:tc>
          <w:tcPr>
            <w:tcW w:w="3722"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pPr>
            <w:r>
              <w:rPr>
                <w:rFonts w:ascii="Verdana" w:eastAsia="Verdana" w:hAnsi="Verdana" w:cs="Verdana"/>
                <w:sz w:val="16"/>
              </w:rPr>
              <w:t>Change in financial assumptions</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4"/>
              <w:jc w:val="right"/>
            </w:pPr>
            <w:r>
              <w:rPr>
                <w:rFonts w:ascii="Verdana" w:eastAsia="Verdana" w:hAnsi="Verdana" w:cs="Verdana"/>
                <w:sz w:val="16"/>
              </w:rPr>
              <w:t>8,644</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5"/>
              <w:jc w:val="right"/>
            </w:pPr>
            <w:r>
              <w:rPr>
                <w:rFonts w:ascii="Verdana" w:eastAsia="Verdana" w:hAnsi="Verdana" w:cs="Verdana"/>
                <w:sz w:val="16"/>
              </w:rPr>
              <w:t>17,298</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4"/>
              <w:jc w:val="right"/>
            </w:pPr>
            <w:r>
              <w:rPr>
                <w:rFonts w:ascii="Verdana" w:eastAsia="Verdana" w:hAnsi="Verdana" w:cs="Verdana"/>
                <w:sz w:val="16"/>
              </w:rPr>
              <w:t>25,942</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1"/>
              <w:jc w:val="right"/>
            </w:pPr>
            <w:r>
              <w:rPr>
                <w:rFonts w:ascii="Verdana" w:eastAsia="Verdana" w:hAnsi="Verdana" w:cs="Verdana"/>
                <w:sz w:val="16"/>
              </w:rPr>
              <w:t>(2,909)</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1"/>
              <w:jc w:val="right"/>
            </w:pPr>
            <w:r>
              <w:rPr>
                <w:rFonts w:ascii="Verdana" w:eastAsia="Verdana" w:hAnsi="Verdana" w:cs="Verdana"/>
                <w:sz w:val="16"/>
              </w:rPr>
              <w:t>(5,961)</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1"/>
              <w:jc w:val="right"/>
            </w:pPr>
            <w:r>
              <w:rPr>
                <w:rFonts w:ascii="Verdana" w:eastAsia="Verdana" w:hAnsi="Verdana" w:cs="Verdana"/>
                <w:sz w:val="16"/>
              </w:rPr>
              <w:t>(8,870)</w:t>
            </w:r>
          </w:p>
        </w:tc>
      </w:tr>
      <w:tr w:rsidR="00576F87">
        <w:trPr>
          <w:trHeight w:val="410"/>
        </w:trPr>
        <w:tc>
          <w:tcPr>
            <w:tcW w:w="3722"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pPr>
            <w:r>
              <w:rPr>
                <w:rFonts w:ascii="Verdana" w:eastAsia="Verdana" w:hAnsi="Verdana" w:cs="Verdana"/>
                <w:sz w:val="16"/>
              </w:rPr>
              <w:t>Change in demographic assumptions</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2"/>
              <w:jc w:val="right"/>
            </w:pPr>
            <w:r>
              <w:rPr>
                <w:rFonts w:ascii="Verdana" w:eastAsia="Verdana" w:hAnsi="Verdana" w:cs="Verdana"/>
                <w:sz w:val="16"/>
              </w:rPr>
              <w:t>(3,828)</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2"/>
              <w:jc w:val="right"/>
            </w:pPr>
            <w:r>
              <w:rPr>
                <w:rFonts w:ascii="Verdana" w:eastAsia="Verdana" w:hAnsi="Verdana" w:cs="Verdana"/>
                <w:sz w:val="16"/>
              </w:rPr>
              <w:t>(6,961)</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2"/>
              <w:jc w:val="right"/>
            </w:pPr>
            <w:r>
              <w:rPr>
                <w:rFonts w:ascii="Verdana" w:eastAsia="Verdana" w:hAnsi="Verdana" w:cs="Verdana"/>
                <w:sz w:val="16"/>
              </w:rPr>
              <w:t>(10,789)</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29"/>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29"/>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29"/>
              <w:jc w:val="right"/>
            </w:pPr>
            <w:r>
              <w:rPr>
                <w:rFonts w:ascii="Verdana" w:eastAsia="Verdana" w:hAnsi="Verdana" w:cs="Verdana"/>
                <w:sz w:val="16"/>
              </w:rPr>
              <w:t>-</w:t>
            </w:r>
          </w:p>
        </w:tc>
      </w:tr>
      <w:tr w:rsidR="00576F87">
        <w:trPr>
          <w:trHeight w:val="492"/>
        </w:trPr>
        <w:tc>
          <w:tcPr>
            <w:tcW w:w="3722"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Experience gain/(loss) on defined benefit obligation</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r>
      <w:tr w:rsidR="00576F87">
        <w:trPr>
          <w:trHeight w:val="410"/>
        </w:trPr>
        <w:tc>
          <w:tcPr>
            <w:tcW w:w="3722"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pPr>
            <w:r>
              <w:rPr>
                <w:rFonts w:ascii="Verdana" w:eastAsia="Verdana" w:hAnsi="Verdana" w:cs="Verdana"/>
                <w:sz w:val="16"/>
              </w:rPr>
              <w:t>Changes in effect of asset ceiling</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29"/>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c>
          <w:tcPr>
            <w:tcW w:w="998"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0"/>
              <w:jc w:val="right"/>
            </w:pPr>
            <w:r>
              <w:rPr>
                <w:rFonts w:ascii="Verdana" w:eastAsia="Verdana" w:hAnsi="Verdana" w:cs="Verdana"/>
                <w:sz w:val="16"/>
              </w:rPr>
              <w:t>-</w:t>
            </w:r>
          </w:p>
        </w:tc>
      </w:tr>
      <w:tr w:rsidR="00576F87">
        <w:trPr>
          <w:trHeight w:val="290"/>
        </w:trPr>
        <w:tc>
          <w:tcPr>
            <w:tcW w:w="3722"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r>
      <w:tr w:rsidR="00576F87">
        <w:trPr>
          <w:trHeight w:val="290"/>
        </w:trPr>
        <w:tc>
          <w:tcPr>
            <w:tcW w:w="372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left="2"/>
            </w:pPr>
            <w:r>
              <w:rPr>
                <w:rFonts w:ascii="Verdana" w:eastAsia="Verdana" w:hAnsi="Verdana" w:cs="Verdana"/>
                <w:b/>
                <w:color w:val="FFFFFF"/>
                <w:sz w:val="16"/>
              </w:rPr>
              <w:t>Re-measurements</w:t>
            </w:r>
          </w:p>
        </w:tc>
        <w:tc>
          <w:tcPr>
            <w:tcW w:w="99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7"/>
              <w:jc w:val="right"/>
            </w:pPr>
            <w:r>
              <w:rPr>
                <w:rFonts w:ascii="Verdana" w:eastAsia="Verdana" w:hAnsi="Verdana" w:cs="Verdana"/>
                <w:b/>
                <w:color w:val="FFFFFF"/>
                <w:sz w:val="16"/>
              </w:rPr>
              <w:t>4,816</w:t>
            </w:r>
          </w:p>
        </w:tc>
        <w:tc>
          <w:tcPr>
            <w:tcW w:w="99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8"/>
              <w:jc w:val="right"/>
            </w:pPr>
            <w:r>
              <w:rPr>
                <w:rFonts w:ascii="Verdana" w:eastAsia="Verdana" w:hAnsi="Verdana" w:cs="Verdana"/>
                <w:b/>
                <w:color w:val="FFFFFF"/>
                <w:sz w:val="16"/>
              </w:rPr>
              <w:t>10,337</w:t>
            </w:r>
          </w:p>
        </w:tc>
        <w:tc>
          <w:tcPr>
            <w:tcW w:w="99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8"/>
              <w:jc w:val="right"/>
            </w:pPr>
            <w:r>
              <w:rPr>
                <w:rFonts w:ascii="Verdana" w:eastAsia="Verdana" w:hAnsi="Verdana" w:cs="Verdana"/>
                <w:b/>
                <w:color w:val="FFFFFF"/>
                <w:sz w:val="16"/>
              </w:rPr>
              <w:t>15,153</w:t>
            </w:r>
          </w:p>
        </w:tc>
        <w:tc>
          <w:tcPr>
            <w:tcW w:w="99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5"/>
              <w:jc w:val="right"/>
            </w:pPr>
            <w:r>
              <w:rPr>
                <w:rFonts w:ascii="Verdana" w:eastAsia="Verdana" w:hAnsi="Verdana" w:cs="Verdana"/>
                <w:b/>
                <w:color w:val="FFFFFF"/>
                <w:sz w:val="16"/>
              </w:rPr>
              <w:t>(2,909)</w:t>
            </w:r>
          </w:p>
        </w:tc>
        <w:tc>
          <w:tcPr>
            <w:tcW w:w="99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6"/>
              <w:jc w:val="right"/>
            </w:pPr>
            <w:r>
              <w:rPr>
                <w:rFonts w:ascii="Verdana" w:eastAsia="Verdana" w:hAnsi="Verdana" w:cs="Verdana"/>
                <w:b/>
                <w:color w:val="FFFFFF"/>
                <w:sz w:val="16"/>
              </w:rPr>
              <w:t>(5,961)</w:t>
            </w:r>
          </w:p>
        </w:tc>
        <w:tc>
          <w:tcPr>
            <w:tcW w:w="99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36"/>
              <w:jc w:val="right"/>
            </w:pPr>
            <w:r>
              <w:rPr>
                <w:rFonts w:ascii="Verdana" w:eastAsia="Verdana" w:hAnsi="Verdana" w:cs="Verdana"/>
                <w:b/>
                <w:color w:val="FFFFFF"/>
                <w:sz w:val="16"/>
              </w:rPr>
              <w:t>(8,870)</w:t>
            </w:r>
          </w:p>
        </w:tc>
      </w:tr>
    </w:tbl>
    <w:p w:rsidR="00576F87" w:rsidRDefault="004165F5">
      <w:pPr>
        <w:spacing w:after="26" w:line="265" w:lineRule="auto"/>
        <w:ind w:left="-5" w:hanging="10"/>
      </w:pPr>
      <w:r>
        <w:t>Financial Assumptions for GL and IL:</w:t>
      </w:r>
    </w:p>
    <w:tbl>
      <w:tblPr>
        <w:tblStyle w:val="TableGrid"/>
        <w:tblW w:w="9710" w:type="dxa"/>
        <w:tblInd w:w="-36" w:type="dxa"/>
        <w:tblCellMar>
          <w:top w:w="64" w:type="dxa"/>
          <w:left w:w="34" w:type="dxa"/>
          <w:bottom w:w="0" w:type="dxa"/>
          <w:right w:w="31" w:type="dxa"/>
        </w:tblCellMar>
        <w:tblLook w:val="04A0" w:firstRow="1" w:lastRow="0" w:firstColumn="1" w:lastColumn="0" w:noHBand="0" w:noVBand="1"/>
      </w:tblPr>
      <w:tblGrid>
        <w:gridCol w:w="3720"/>
        <w:gridCol w:w="998"/>
        <w:gridCol w:w="998"/>
        <w:gridCol w:w="998"/>
        <w:gridCol w:w="998"/>
        <w:gridCol w:w="998"/>
        <w:gridCol w:w="998"/>
      </w:tblGrid>
      <w:tr w:rsidR="00576F87">
        <w:trPr>
          <w:trHeight w:val="290"/>
        </w:trPr>
        <w:tc>
          <w:tcPr>
            <w:tcW w:w="3720"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1997" w:type="dxa"/>
            <w:gridSpan w:val="2"/>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2"/>
              <w:jc w:val="center"/>
            </w:pPr>
            <w:r>
              <w:rPr>
                <w:rFonts w:ascii="Verdana" w:eastAsia="Verdana" w:hAnsi="Verdana" w:cs="Verdana"/>
                <w:b/>
                <w:color w:val="FFFFFF"/>
                <w:sz w:val="16"/>
              </w:rPr>
              <w:t>31-Mar-18</w:t>
            </w:r>
          </w:p>
        </w:tc>
        <w:tc>
          <w:tcPr>
            <w:tcW w:w="1997" w:type="dxa"/>
            <w:gridSpan w:val="2"/>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2"/>
              <w:jc w:val="center"/>
            </w:pPr>
            <w:r>
              <w:rPr>
                <w:rFonts w:ascii="Verdana" w:eastAsia="Verdana" w:hAnsi="Verdana" w:cs="Verdana"/>
                <w:b/>
                <w:color w:val="FFFFFF"/>
                <w:sz w:val="16"/>
              </w:rPr>
              <w:t>31-Mar-17</w:t>
            </w:r>
          </w:p>
        </w:tc>
        <w:tc>
          <w:tcPr>
            <w:tcW w:w="1997" w:type="dxa"/>
            <w:gridSpan w:val="2"/>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2"/>
              <w:jc w:val="center"/>
            </w:pPr>
            <w:r>
              <w:rPr>
                <w:rFonts w:ascii="Verdana" w:eastAsia="Verdana" w:hAnsi="Verdana" w:cs="Verdana"/>
                <w:b/>
                <w:color w:val="FFFFFF"/>
                <w:sz w:val="16"/>
              </w:rPr>
              <w:t>31-Mar-16</w:t>
            </w:r>
          </w:p>
        </w:tc>
      </w:tr>
      <w:tr w:rsidR="00576F87">
        <w:trPr>
          <w:trHeight w:val="290"/>
        </w:trPr>
        <w:tc>
          <w:tcPr>
            <w:tcW w:w="3720"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99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jc w:val="center"/>
            </w:pPr>
            <w:r>
              <w:rPr>
                <w:rFonts w:ascii="Verdana" w:eastAsia="Verdana" w:hAnsi="Verdana" w:cs="Verdana"/>
                <w:b/>
                <w:color w:val="FFFFFF"/>
                <w:sz w:val="16"/>
              </w:rPr>
              <w:t>%p.a.</w:t>
            </w:r>
          </w:p>
        </w:tc>
        <w:tc>
          <w:tcPr>
            <w:tcW w:w="99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left="139"/>
            </w:pPr>
            <w:r>
              <w:rPr>
                <w:rFonts w:ascii="Verdana" w:eastAsia="Verdana" w:hAnsi="Verdana" w:cs="Verdana"/>
                <w:b/>
                <w:color w:val="FFFFFF"/>
                <w:sz w:val="16"/>
              </w:rPr>
              <w:t>Real %</w:t>
            </w:r>
          </w:p>
        </w:tc>
        <w:tc>
          <w:tcPr>
            <w:tcW w:w="99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jc w:val="center"/>
            </w:pPr>
            <w:r>
              <w:rPr>
                <w:rFonts w:ascii="Verdana" w:eastAsia="Verdana" w:hAnsi="Verdana" w:cs="Verdana"/>
                <w:b/>
                <w:color w:val="FFFFFF"/>
                <w:sz w:val="16"/>
              </w:rPr>
              <w:t>%p.a.</w:t>
            </w:r>
          </w:p>
        </w:tc>
        <w:tc>
          <w:tcPr>
            <w:tcW w:w="99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left="139"/>
            </w:pPr>
            <w:r>
              <w:rPr>
                <w:rFonts w:ascii="Verdana" w:eastAsia="Verdana" w:hAnsi="Verdana" w:cs="Verdana"/>
                <w:b/>
                <w:color w:val="FFFFFF"/>
                <w:sz w:val="16"/>
              </w:rPr>
              <w:t>Real %</w:t>
            </w:r>
          </w:p>
        </w:tc>
        <w:tc>
          <w:tcPr>
            <w:tcW w:w="99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1"/>
              <w:jc w:val="center"/>
            </w:pPr>
            <w:r>
              <w:rPr>
                <w:rFonts w:ascii="Verdana" w:eastAsia="Verdana" w:hAnsi="Verdana" w:cs="Verdana"/>
                <w:b/>
                <w:color w:val="FFFFFF"/>
                <w:sz w:val="16"/>
              </w:rPr>
              <w:t>%p.a.</w:t>
            </w:r>
          </w:p>
        </w:tc>
        <w:tc>
          <w:tcPr>
            <w:tcW w:w="998"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left="139"/>
            </w:pPr>
            <w:r>
              <w:rPr>
                <w:rFonts w:ascii="Verdana" w:eastAsia="Verdana" w:hAnsi="Verdana" w:cs="Verdana"/>
                <w:b/>
                <w:color w:val="FFFFFF"/>
                <w:sz w:val="16"/>
              </w:rPr>
              <w:t>Real %</w:t>
            </w:r>
          </w:p>
        </w:tc>
      </w:tr>
      <w:tr w:rsidR="00576F87">
        <w:trPr>
          <w:trHeight w:val="391"/>
        </w:trPr>
        <w:tc>
          <w:tcPr>
            <w:tcW w:w="3720"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RPI Increases</w:t>
            </w:r>
          </w:p>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3.1</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0</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2.5</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0</w:t>
            </w:r>
          </w:p>
        </w:tc>
      </w:tr>
      <w:tr w:rsidR="00576F87">
        <w:trPr>
          <w:trHeight w:val="391"/>
        </w:trPr>
        <w:tc>
          <w:tcPr>
            <w:tcW w:w="3720"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CPI Increases</w:t>
            </w:r>
          </w:p>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2.2</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6"/>
              </w:rPr>
              <w:t>-0.9</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1.6</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6"/>
              </w:rPr>
              <w:t>-0.9</w:t>
            </w:r>
          </w:p>
        </w:tc>
      </w:tr>
      <w:tr w:rsidR="00576F87">
        <w:trPr>
          <w:trHeight w:val="391"/>
        </w:trPr>
        <w:tc>
          <w:tcPr>
            <w:tcW w:w="3720"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Pension Increases</w:t>
            </w:r>
          </w:p>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2.2</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6"/>
              </w:rPr>
              <w:t>-0.9</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1.6</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6"/>
              </w:rPr>
              <w:t>-0.9</w:t>
            </w:r>
          </w:p>
        </w:tc>
      </w:tr>
      <w:tr w:rsidR="00576F87">
        <w:trPr>
          <w:trHeight w:val="391"/>
        </w:trPr>
        <w:tc>
          <w:tcPr>
            <w:tcW w:w="3720"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Discount Rate</w:t>
            </w:r>
          </w:p>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576F87"/>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1.8</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0</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2.5</w:t>
            </w:r>
          </w:p>
        </w:tc>
        <w:tc>
          <w:tcPr>
            <w:tcW w:w="998"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0</w:t>
            </w:r>
          </w:p>
        </w:tc>
      </w:tr>
    </w:tbl>
    <w:p w:rsidR="00576F87" w:rsidRDefault="004165F5">
      <w:pPr>
        <w:pStyle w:val="Heading2"/>
        <w:ind w:left="17"/>
      </w:pPr>
      <w:r>
        <w:t>11. Reconciliation of Non-Cash Movements</w:t>
      </w:r>
    </w:p>
    <w:tbl>
      <w:tblPr>
        <w:tblStyle w:val="TableGrid"/>
        <w:tblW w:w="9216" w:type="dxa"/>
        <w:tblInd w:w="-36" w:type="dxa"/>
        <w:tblCellMar>
          <w:top w:w="64" w:type="dxa"/>
          <w:left w:w="36" w:type="dxa"/>
          <w:bottom w:w="48" w:type="dxa"/>
          <w:right w:w="30" w:type="dxa"/>
        </w:tblCellMar>
        <w:tblLook w:val="04A0" w:firstRow="1" w:lastRow="0" w:firstColumn="1" w:lastColumn="0" w:noHBand="0" w:noVBand="1"/>
      </w:tblPr>
      <w:tblGrid>
        <w:gridCol w:w="2222"/>
        <w:gridCol w:w="4769"/>
        <w:gridCol w:w="2225"/>
      </w:tblGrid>
      <w:tr w:rsidR="00576F87">
        <w:trPr>
          <w:trHeight w:val="290"/>
        </w:trPr>
        <w:tc>
          <w:tcPr>
            <w:tcW w:w="2222"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9"/>
              <w:jc w:val="right"/>
            </w:pPr>
            <w:r>
              <w:rPr>
                <w:rFonts w:ascii="Verdana" w:eastAsia="Verdana" w:hAnsi="Verdana" w:cs="Verdana"/>
                <w:b/>
                <w:color w:val="FFFFFF"/>
                <w:sz w:val="16"/>
              </w:rPr>
              <w:t>2016/17</w:t>
            </w:r>
          </w:p>
        </w:tc>
        <w:tc>
          <w:tcPr>
            <w:tcW w:w="4769"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2225"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4165F5">
            <w:pPr>
              <w:spacing w:after="0"/>
              <w:ind w:right="9"/>
              <w:jc w:val="right"/>
            </w:pPr>
            <w:r>
              <w:rPr>
                <w:rFonts w:ascii="Verdana" w:eastAsia="Verdana" w:hAnsi="Verdana" w:cs="Verdana"/>
                <w:b/>
                <w:color w:val="FFFFFF"/>
                <w:sz w:val="16"/>
              </w:rPr>
              <w:t>2017/18</w:t>
            </w:r>
          </w:p>
        </w:tc>
      </w:tr>
      <w:tr w:rsidR="00576F87">
        <w:trPr>
          <w:trHeight w:val="290"/>
        </w:trPr>
        <w:tc>
          <w:tcPr>
            <w:tcW w:w="22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7"/>
              <w:jc w:val="right"/>
            </w:pPr>
            <w:r>
              <w:rPr>
                <w:rFonts w:ascii="Verdana" w:eastAsia="Verdana" w:hAnsi="Verdana" w:cs="Verdana"/>
                <w:b/>
                <w:sz w:val="16"/>
              </w:rPr>
              <w:t>£000</w:t>
            </w:r>
          </w:p>
        </w:tc>
        <w:tc>
          <w:tcPr>
            <w:tcW w:w="4769" w:type="dxa"/>
            <w:tcBorders>
              <w:top w:val="single" w:sz="8" w:space="0" w:color="35437C"/>
              <w:left w:val="single" w:sz="8" w:space="0" w:color="35437C"/>
              <w:bottom w:val="single" w:sz="8" w:space="0" w:color="35437C"/>
              <w:right w:val="single" w:sz="8" w:space="0" w:color="35437C"/>
            </w:tcBorders>
          </w:tcPr>
          <w:p w:rsidR="00576F87" w:rsidRDefault="00576F87"/>
        </w:tc>
        <w:tc>
          <w:tcPr>
            <w:tcW w:w="22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7"/>
              <w:jc w:val="right"/>
            </w:pPr>
            <w:r>
              <w:rPr>
                <w:rFonts w:ascii="Verdana" w:eastAsia="Verdana" w:hAnsi="Verdana" w:cs="Verdana"/>
                <w:b/>
                <w:sz w:val="16"/>
              </w:rPr>
              <w:t>£000</w:t>
            </w:r>
          </w:p>
        </w:tc>
      </w:tr>
      <w:tr w:rsidR="00576F87">
        <w:trPr>
          <w:trHeight w:val="290"/>
        </w:trPr>
        <w:tc>
          <w:tcPr>
            <w:tcW w:w="22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
              <w:jc w:val="right"/>
            </w:pPr>
            <w:r>
              <w:rPr>
                <w:rFonts w:ascii="Verdana" w:eastAsia="Verdana" w:hAnsi="Verdana" w:cs="Verdana"/>
                <w:sz w:val="16"/>
              </w:rPr>
              <w:t>4,640</w:t>
            </w:r>
          </w:p>
        </w:tc>
        <w:tc>
          <w:tcPr>
            <w:tcW w:w="476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Transfer to pension reserve</w:t>
            </w:r>
          </w:p>
        </w:tc>
        <w:tc>
          <w:tcPr>
            <w:tcW w:w="22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3"/>
              <w:jc w:val="right"/>
            </w:pPr>
            <w:r>
              <w:rPr>
                <w:rFonts w:ascii="Verdana" w:eastAsia="Verdana" w:hAnsi="Verdana" w:cs="Verdana"/>
                <w:sz w:val="16"/>
              </w:rPr>
              <w:t>(20,376)</w:t>
            </w:r>
          </w:p>
        </w:tc>
      </w:tr>
      <w:tr w:rsidR="00576F87">
        <w:trPr>
          <w:trHeight w:val="290"/>
        </w:trPr>
        <w:tc>
          <w:tcPr>
            <w:tcW w:w="2222"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6"/>
              </w:rPr>
              <w:t>-</w:t>
            </w:r>
          </w:p>
        </w:tc>
        <w:tc>
          <w:tcPr>
            <w:tcW w:w="476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Proceeds on sale of assets</w:t>
            </w:r>
          </w:p>
        </w:tc>
        <w:tc>
          <w:tcPr>
            <w:tcW w:w="2225" w:type="dxa"/>
            <w:tcBorders>
              <w:top w:val="single" w:sz="8" w:space="0" w:color="35437C"/>
              <w:left w:val="single" w:sz="8"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6"/>
              </w:rPr>
              <w:t>-</w:t>
            </w:r>
          </w:p>
        </w:tc>
      </w:tr>
      <w:tr w:rsidR="00576F87">
        <w:trPr>
          <w:trHeight w:val="290"/>
        </w:trPr>
        <w:tc>
          <w:tcPr>
            <w:tcW w:w="22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
              <w:jc w:val="right"/>
            </w:pPr>
            <w:r>
              <w:rPr>
                <w:rFonts w:ascii="Verdana" w:eastAsia="Verdana" w:hAnsi="Verdana" w:cs="Verdana"/>
                <w:sz w:val="16"/>
              </w:rPr>
              <w:t>138</w:t>
            </w:r>
          </w:p>
        </w:tc>
        <w:tc>
          <w:tcPr>
            <w:tcW w:w="476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 xml:space="preserve">(Increase)/Decrease in receivables </w:t>
            </w:r>
          </w:p>
        </w:tc>
        <w:tc>
          <w:tcPr>
            <w:tcW w:w="22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sz w:val="16"/>
              </w:rPr>
              <w:t>(222)</w:t>
            </w:r>
          </w:p>
        </w:tc>
      </w:tr>
      <w:tr w:rsidR="00576F87">
        <w:trPr>
          <w:trHeight w:val="290"/>
        </w:trPr>
        <w:tc>
          <w:tcPr>
            <w:tcW w:w="22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sz w:val="16"/>
              </w:rPr>
              <w:t>(2,337)</w:t>
            </w:r>
          </w:p>
        </w:tc>
        <w:tc>
          <w:tcPr>
            <w:tcW w:w="476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Increase/(Decrease) in payables</w:t>
            </w:r>
          </w:p>
        </w:tc>
        <w:tc>
          <w:tcPr>
            <w:tcW w:w="22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sz w:val="16"/>
              </w:rPr>
              <w:t>0</w:t>
            </w:r>
          </w:p>
        </w:tc>
      </w:tr>
      <w:tr w:rsidR="00576F87">
        <w:trPr>
          <w:trHeight w:val="290"/>
        </w:trPr>
        <w:tc>
          <w:tcPr>
            <w:tcW w:w="22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
              <w:jc w:val="right"/>
            </w:pPr>
            <w:r>
              <w:rPr>
                <w:rFonts w:ascii="Verdana" w:eastAsia="Verdana" w:hAnsi="Verdana" w:cs="Verdana"/>
                <w:sz w:val="16"/>
              </w:rPr>
              <w:t>137</w:t>
            </w:r>
          </w:p>
        </w:tc>
        <w:tc>
          <w:tcPr>
            <w:tcW w:w="476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Interest paid plus adjustment to interest owed</w:t>
            </w:r>
          </w:p>
        </w:tc>
        <w:tc>
          <w:tcPr>
            <w:tcW w:w="22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4"/>
              <w:jc w:val="right"/>
            </w:pPr>
            <w:r>
              <w:rPr>
                <w:rFonts w:ascii="Verdana" w:eastAsia="Verdana" w:hAnsi="Verdana" w:cs="Verdana"/>
                <w:sz w:val="16"/>
              </w:rPr>
              <w:t>125</w:t>
            </w:r>
          </w:p>
        </w:tc>
      </w:tr>
      <w:tr w:rsidR="00576F87">
        <w:trPr>
          <w:trHeight w:val="290"/>
        </w:trPr>
        <w:tc>
          <w:tcPr>
            <w:tcW w:w="22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sz w:val="16"/>
              </w:rPr>
              <w:t>(176)</w:t>
            </w:r>
          </w:p>
        </w:tc>
        <w:tc>
          <w:tcPr>
            <w:tcW w:w="476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 xml:space="preserve">Interest received </w:t>
            </w:r>
          </w:p>
        </w:tc>
        <w:tc>
          <w:tcPr>
            <w:tcW w:w="22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sz w:val="16"/>
              </w:rPr>
              <w:t>(191)</w:t>
            </w:r>
          </w:p>
        </w:tc>
      </w:tr>
      <w:tr w:rsidR="00576F87">
        <w:trPr>
          <w:trHeight w:val="290"/>
        </w:trPr>
        <w:tc>
          <w:tcPr>
            <w:tcW w:w="2222"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5"/>
              <w:jc w:val="right"/>
            </w:pPr>
            <w:r>
              <w:rPr>
                <w:rFonts w:ascii="Verdana" w:eastAsia="Verdana" w:hAnsi="Verdana" w:cs="Verdana"/>
                <w:sz w:val="16"/>
              </w:rPr>
              <w:t>21,606</w:t>
            </w:r>
          </w:p>
        </w:tc>
        <w:tc>
          <w:tcPr>
            <w:tcW w:w="476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 xml:space="preserve">Movement in provisions </w:t>
            </w:r>
          </w:p>
        </w:tc>
        <w:tc>
          <w:tcPr>
            <w:tcW w:w="2225" w:type="dxa"/>
            <w:tcBorders>
              <w:top w:val="single" w:sz="8" w:space="0" w:color="35437C"/>
              <w:left w:val="single" w:sz="8" w:space="0" w:color="35437C"/>
              <w:bottom w:val="single" w:sz="8" w:space="0" w:color="35437C"/>
              <w:right w:val="single" w:sz="8" w:space="0" w:color="35437C"/>
            </w:tcBorders>
          </w:tcPr>
          <w:p w:rsidR="00576F87" w:rsidRDefault="004165F5">
            <w:pPr>
              <w:spacing w:after="0"/>
              <w:ind w:right="2"/>
              <w:jc w:val="right"/>
            </w:pPr>
            <w:r>
              <w:rPr>
                <w:rFonts w:ascii="Verdana" w:eastAsia="Verdana" w:hAnsi="Verdana" w:cs="Verdana"/>
                <w:sz w:val="16"/>
              </w:rPr>
              <w:t>(8,645)</w:t>
            </w:r>
          </w:p>
        </w:tc>
      </w:tr>
      <w:tr w:rsidR="00576F87">
        <w:trPr>
          <w:trHeight w:val="552"/>
        </w:trPr>
        <w:tc>
          <w:tcPr>
            <w:tcW w:w="2222"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3"/>
              <w:jc w:val="right"/>
            </w:pPr>
            <w:r>
              <w:rPr>
                <w:rFonts w:ascii="Verdana" w:eastAsia="Verdana" w:hAnsi="Verdana" w:cs="Verdana"/>
                <w:sz w:val="16"/>
              </w:rPr>
              <w:t>(19,439)</w:t>
            </w:r>
          </w:p>
        </w:tc>
        <w:tc>
          <w:tcPr>
            <w:tcW w:w="476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(Increase) decrease in asbestos reimbursement expenditure through asbestos provision</w:t>
            </w:r>
          </w:p>
        </w:tc>
        <w:tc>
          <w:tcPr>
            <w:tcW w:w="2225" w:type="dxa"/>
            <w:tcBorders>
              <w:top w:val="single" w:sz="8" w:space="0" w:color="35437C"/>
              <w:left w:val="single" w:sz="8" w:space="0" w:color="35437C"/>
              <w:bottom w:val="single" w:sz="8" w:space="0" w:color="35437C"/>
              <w:right w:val="single" w:sz="8" w:space="0" w:color="35437C"/>
            </w:tcBorders>
            <w:vAlign w:val="bottom"/>
          </w:tcPr>
          <w:p w:rsidR="00576F87" w:rsidRDefault="004165F5">
            <w:pPr>
              <w:spacing w:after="0"/>
              <w:ind w:right="5"/>
              <w:jc w:val="right"/>
            </w:pPr>
            <w:r>
              <w:rPr>
                <w:rFonts w:ascii="Verdana" w:eastAsia="Verdana" w:hAnsi="Verdana" w:cs="Verdana"/>
                <w:sz w:val="16"/>
              </w:rPr>
              <w:t>10,721</w:t>
            </w:r>
          </w:p>
        </w:tc>
      </w:tr>
      <w:tr w:rsidR="00576F87">
        <w:trPr>
          <w:trHeight w:val="410"/>
        </w:trPr>
        <w:tc>
          <w:tcPr>
            <w:tcW w:w="2222" w:type="dxa"/>
            <w:tcBorders>
              <w:top w:val="single" w:sz="8" w:space="0" w:color="35437C"/>
              <w:left w:val="single" w:sz="8" w:space="0" w:color="35437C"/>
              <w:bottom w:val="single" w:sz="8" w:space="0" w:color="35437C"/>
              <w:right w:val="single" w:sz="8" w:space="0" w:color="35437C"/>
            </w:tcBorders>
            <w:shd w:val="clear" w:color="auto" w:fill="35437C"/>
            <w:vAlign w:val="center"/>
          </w:tcPr>
          <w:p w:rsidR="00576F87" w:rsidRDefault="004165F5">
            <w:pPr>
              <w:spacing w:after="0"/>
              <w:ind w:right="7"/>
              <w:jc w:val="right"/>
            </w:pPr>
            <w:r>
              <w:rPr>
                <w:rFonts w:ascii="Verdana" w:eastAsia="Verdana" w:hAnsi="Verdana" w:cs="Verdana"/>
                <w:b/>
                <w:color w:val="FFFFFF"/>
                <w:sz w:val="16"/>
              </w:rPr>
              <w:t>4,569</w:t>
            </w:r>
          </w:p>
        </w:tc>
        <w:tc>
          <w:tcPr>
            <w:tcW w:w="4769" w:type="dxa"/>
            <w:tcBorders>
              <w:top w:val="single" w:sz="8" w:space="0" w:color="35437C"/>
              <w:left w:val="single" w:sz="8" w:space="0" w:color="35437C"/>
              <w:bottom w:val="single" w:sz="8" w:space="0" w:color="35437C"/>
              <w:right w:val="single" w:sz="8" w:space="0" w:color="35437C"/>
            </w:tcBorders>
            <w:shd w:val="clear" w:color="auto" w:fill="35437C"/>
          </w:tcPr>
          <w:p w:rsidR="00576F87" w:rsidRDefault="00576F87"/>
        </w:tc>
        <w:tc>
          <w:tcPr>
            <w:tcW w:w="2225" w:type="dxa"/>
            <w:tcBorders>
              <w:top w:val="single" w:sz="8" w:space="0" w:color="35437C"/>
              <w:left w:val="single" w:sz="8" w:space="0" w:color="35437C"/>
              <w:bottom w:val="single" w:sz="8" w:space="0" w:color="35437C"/>
              <w:right w:val="single" w:sz="8" w:space="0" w:color="35437C"/>
            </w:tcBorders>
            <w:shd w:val="clear" w:color="auto" w:fill="35437C"/>
            <w:vAlign w:val="center"/>
          </w:tcPr>
          <w:p w:rsidR="00576F87" w:rsidRDefault="004165F5">
            <w:pPr>
              <w:spacing w:after="0"/>
              <w:ind w:right="6"/>
              <w:jc w:val="right"/>
            </w:pPr>
            <w:r>
              <w:rPr>
                <w:rFonts w:ascii="Verdana" w:eastAsia="Verdana" w:hAnsi="Verdana" w:cs="Verdana"/>
                <w:b/>
                <w:color w:val="FFFFFF"/>
                <w:sz w:val="16"/>
              </w:rPr>
              <w:t>(18,588)</w:t>
            </w:r>
          </w:p>
        </w:tc>
      </w:tr>
    </w:tbl>
    <w:p w:rsidR="00576F87" w:rsidRDefault="004165F5">
      <w:pPr>
        <w:pStyle w:val="Heading2"/>
        <w:spacing w:after="421"/>
        <w:ind w:left="17"/>
      </w:pPr>
      <w:r>
        <w:t>12. Related Party Transactions</w:t>
      </w:r>
    </w:p>
    <w:p w:rsidR="00576F87" w:rsidRDefault="004165F5">
      <w:pPr>
        <w:spacing w:after="3" w:line="264" w:lineRule="auto"/>
        <w:ind w:left="2" w:right="12" w:hanging="10"/>
        <w:jc w:val="both"/>
      </w:pPr>
      <w:r>
        <w:rPr>
          <w:rFonts w:ascii="Verdana" w:eastAsia="Verdana" w:hAnsi="Verdana" w:cs="Verdana"/>
          <w:sz w:val="20"/>
        </w:rPr>
        <w:t>The LPFA Pension Fund Accounts and the LPFA Operational Accounts are related parties and transactions relating to such are disclosed elsewhere in the accounts.</w:t>
      </w:r>
    </w:p>
    <w:p w:rsidR="00576F87" w:rsidRDefault="004165F5">
      <w:pPr>
        <w:spacing w:after="341"/>
        <w:ind w:left="5"/>
      </w:pPr>
      <w:r>
        <w:rPr>
          <w:rFonts w:ascii="Verdana" w:eastAsia="Verdana" w:hAnsi="Verdana" w:cs="Verdana"/>
          <w:sz w:val="20"/>
        </w:rPr>
        <w:t xml:space="preserve"> </w:t>
      </w:r>
    </w:p>
    <w:p w:rsidR="00576F87" w:rsidRDefault="004165F5">
      <w:pPr>
        <w:pStyle w:val="Heading2"/>
        <w:spacing w:after="265"/>
        <w:ind w:left="17"/>
      </w:pPr>
      <w:r>
        <w:t>13. Cash and Cash Equivalents</w:t>
      </w:r>
    </w:p>
    <w:p w:rsidR="00576F87" w:rsidRDefault="004165F5">
      <w:pPr>
        <w:spacing w:after="577" w:line="264" w:lineRule="auto"/>
        <w:ind w:left="2" w:right="12" w:hanging="10"/>
        <w:jc w:val="both"/>
      </w:pPr>
      <w:r>
        <w:rPr>
          <w:rFonts w:ascii="Verdana" w:eastAsia="Verdana" w:hAnsi="Verdana" w:cs="Verdana"/>
          <w:sz w:val="20"/>
        </w:rPr>
        <w:t>The cash at the bank and on short</w:t>
      </w:r>
      <w:r>
        <w:rPr>
          <w:rFonts w:ascii="Verdana" w:eastAsia="Verdana" w:hAnsi="Verdana" w:cs="Verdana"/>
          <w:sz w:val="20"/>
        </w:rPr>
        <w:t xml:space="preserve"> term deposit totals £37,171k, this was £33,324K in 2016/17.</w:t>
      </w:r>
    </w:p>
    <w:p w:rsidR="00576F87" w:rsidRDefault="004165F5">
      <w:pPr>
        <w:pStyle w:val="Heading2"/>
        <w:ind w:left="17"/>
      </w:pPr>
      <w:r>
        <w:t>14. Receivables</w:t>
      </w:r>
    </w:p>
    <w:tbl>
      <w:tblPr>
        <w:tblStyle w:val="TableGrid"/>
        <w:tblW w:w="9218" w:type="dxa"/>
        <w:tblInd w:w="-38" w:type="dxa"/>
        <w:tblCellMar>
          <w:top w:w="40" w:type="dxa"/>
          <w:left w:w="36" w:type="dxa"/>
          <w:bottom w:w="0" w:type="dxa"/>
          <w:right w:w="33" w:type="dxa"/>
        </w:tblCellMar>
        <w:tblLook w:val="04A0" w:firstRow="1" w:lastRow="0" w:firstColumn="1" w:lastColumn="0" w:noHBand="0" w:noVBand="1"/>
      </w:tblPr>
      <w:tblGrid>
        <w:gridCol w:w="2225"/>
        <w:gridCol w:w="4769"/>
        <w:gridCol w:w="2225"/>
      </w:tblGrid>
      <w:tr w:rsidR="00576F87">
        <w:trPr>
          <w:trHeight w:val="290"/>
        </w:trPr>
        <w:tc>
          <w:tcPr>
            <w:tcW w:w="2225" w:type="dxa"/>
            <w:tcBorders>
              <w:top w:val="single" w:sz="15" w:space="0" w:color="35437C"/>
              <w:left w:val="single" w:sz="15" w:space="0" w:color="35437C"/>
              <w:bottom w:val="single" w:sz="8" w:space="0" w:color="35437C"/>
              <w:right w:val="single" w:sz="8" w:space="0" w:color="35437C"/>
            </w:tcBorders>
            <w:shd w:val="clear" w:color="auto" w:fill="35437C"/>
          </w:tcPr>
          <w:p w:rsidR="00576F87" w:rsidRDefault="004165F5">
            <w:pPr>
              <w:spacing w:after="0"/>
              <w:ind w:right="6"/>
              <w:jc w:val="right"/>
            </w:pPr>
            <w:r>
              <w:rPr>
                <w:rFonts w:ascii="Verdana" w:eastAsia="Verdana" w:hAnsi="Verdana" w:cs="Verdana"/>
                <w:b/>
                <w:color w:val="FFFFFF"/>
                <w:sz w:val="16"/>
              </w:rPr>
              <w:t>2016/17</w:t>
            </w:r>
          </w:p>
        </w:tc>
        <w:tc>
          <w:tcPr>
            <w:tcW w:w="4769"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2225"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6"/>
              <w:jc w:val="right"/>
            </w:pPr>
            <w:r>
              <w:rPr>
                <w:rFonts w:ascii="Verdana" w:eastAsia="Verdana" w:hAnsi="Verdana" w:cs="Verdana"/>
                <w:b/>
                <w:color w:val="FFFFFF"/>
                <w:sz w:val="16"/>
              </w:rPr>
              <w:t>2017/18</w:t>
            </w:r>
          </w:p>
        </w:tc>
      </w:tr>
      <w:tr w:rsidR="00576F87">
        <w:trPr>
          <w:trHeight w:val="290"/>
        </w:trPr>
        <w:tc>
          <w:tcPr>
            <w:tcW w:w="2225"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4"/>
              <w:jc w:val="right"/>
            </w:pPr>
            <w:r>
              <w:rPr>
                <w:rFonts w:ascii="Verdana" w:eastAsia="Verdana" w:hAnsi="Verdana" w:cs="Verdana"/>
                <w:b/>
                <w:sz w:val="16"/>
              </w:rPr>
              <w:t>£000</w:t>
            </w:r>
          </w:p>
        </w:tc>
        <w:tc>
          <w:tcPr>
            <w:tcW w:w="4769" w:type="dxa"/>
            <w:tcBorders>
              <w:top w:val="single" w:sz="8" w:space="0" w:color="35437C"/>
              <w:left w:val="single" w:sz="8" w:space="0" w:color="35437C"/>
              <w:bottom w:val="single" w:sz="8" w:space="0" w:color="35437C"/>
              <w:right w:val="single" w:sz="8" w:space="0" w:color="35437C"/>
            </w:tcBorders>
          </w:tcPr>
          <w:p w:rsidR="00576F87" w:rsidRDefault="00576F87"/>
        </w:tc>
        <w:tc>
          <w:tcPr>
            <w:tcW w:w="22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4"/>
              <w:jc w:val="right"/>
            </w:pPr>
            <w:r>
              <w:rPr>
                <w:rFonts w:ascii="Verdana" w:eastAsia="Verdana" w:hAnsi="Verdana" w:cs="Verdana"/>
                <w:b/>
                <w:sz w:val="16"/>
              </w:rPr>
              <w:t>£000</w:t>
            </w:r>
          </w:p>
        </w:tc>
      </w:tr>
      <w:tr w:rsidR="00576F87">
        <w:trPr>
          <w:trHeight w:val="290"/>
        </w:trPr>
        <w:tc>
          <w:tcPr>
            <w:tcW w:w="2225"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135</w:t>
            </w:r>
          </w:p>
        </w:tc>
        <w:tc>
          <w:tcPr>
            <w:tcW w:w="476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 xml:space="preserve">Central Government Bodies </w:t>
            </w:r>
          </w:p>
        </w:tc>
        <w:tc>
          <w:tcPr>
            <w:tcW w:w="2225"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6"/>
              </w:rPr>
              <w:t>89</w:t>
            </w:r>
          </w:p>
        </w:tc>
      </w:tr>
      <w:tr w:rsidR="00576F87">
        <w:trPr>
          <w:trHeight w:val="290"/>
        </w:trPr>
        <w:tc>
          <w:tcPr>
            <w:tcW w:w="2225"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204</w:t>
            </w:r>
          </w:p>
        </w:tc>
        <w:tc>
          <w:tcPr>
            <w:tcW w:w="476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Other Local Authorities</w:t>
            </w:r>
          </w:p>
        </w:tc>
        <w:tc>
          <w:tcPr>
            <w:tcW w:w="22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
              <w:jc w:val="right"/>
            </w:pPr>
            <w:r>
              <w:rPr>
                <w:rFonts w:ascii="Verdana" w:eastAsia="Verdana" w:hAnsi="Verdana" w:cs="Verdana"/>
                <w:sz w:val="16"/>
              </w:rPr>
              <w:t>462</w:t>
            </w:r>
          </w:p>
        </w:tc>
      </w:tr>
      <w:tr w:rsidR="00576F87">
        <w:trPr>
          <w:trHeight w:val="290"/>
        </w:trPr>
        <w:tc>
          <w:tcPr>
            <w:tcW w:w="2225"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1"/>
              <w:jc w:val="right"/>
            </w:pPr>
            <w:r>
              <w:rPr>
                <w:rFonts w:ascii="Verdana" w:eastAsia="Verdana" w:hAnsi="Verdana" w:cs="Verdana"/>
                <w:sz w:val="16"/>
              </w:rPr>
              <w:t>361</w:t>
            </w:r>
          </w:p>
        </w:tc>
        <w:tc>
          <w:tcPr>
            <w:tcW w:w="476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Other Entities and Individuals</w:t>
            </w:r>
          </w:p>
        </w:tc>
        <w:tc>
          <w:tcPr>
            <w:tcW w:w="22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1"/>
              <w:jc w:val="right"/>
            </w:pPr>
            <w:r>
              <w:rPr>
                <w:rFonts w:ascii="Verdana" w:eastAsia="Verdana" w:hAnsi="Verdana" w:cs="Verdana"/>
                <w:sz w:val="16"/>
              </w:rPr>
              <w:t>372</w:t>
            </w:r>
          </w:p>
        </w:tc>
      </w:tr>
      <w:tr w:rsidR="00576F87">
        <w:trPr>
          <w:trHeight w:val="305"/>
        </w:trPr>
        <w:tc>
          <w:tcPr>
            <w:tcW w:w="2225"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4165F5">
            <w:pPr>
              <w:spacing w:after="0"/>
              <w:ind w:right="3"/>
              <w:jc w:val="right"/>
            </w:pPr>
            <w:r>
              <w:rPr>
                <w:rFonts w:ascii="Verdana" w:eastAsia="Verdana" w:hAnsi="Verdana" w:cs="Verdana"/>
                <w:b/>
                <w:color w:val="FFFFFF"/>
                <w:sz w:val="16"/>
              </w:rPr>
              <w:t>700</w:t>
            </w:r>
          </w:p>
        </w:tc>
        <w:tc>
          <w:tcPr>
            <w:tcW w:w="4769"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2225"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3"/>
              <w:jc w:val="right"/>
            </w:pPr>
            <w:r>
              <w:rPr>
                <w:rFonts w:ascii="Verdana" w:eastAsia="Verdana" w:hAnsi="Verdana" w:cs="Verdana"/>
                <w:b/>
                <w:color w:val="FFFFFF"/>
                <w:sz w:val="16"/>
              </w:rPr>
              <w:t>922</w:t>
            </w:r>
          </w:p>
        </w:tc>
      </w:tr>
    </w:tbl>
    <w:p w:rsidR="00576F87" w:rsidRDefault="004165F5">
      <w:pPr>
        <w:spacing w:after="285"/>
        <w:ind w:left="5"/>
      </w:pPr>
      <w:r>
        <w:rPr>
          <w:rFonts w:ascii="Verdana" w:eastAsia="Verdana" w:hAnsi="Verdana" w:cs="Verdana"/>
          <w:sz w:val="20"/>
        </w:rPr>
        <w:t xml:space="preserve">  </w:t>
      </w:r>
    </w:p>
    <w:p w:rsidR="00576F87" w:rsidRDefault="004165F5">
      <w:pPr>
        <w:pStyle w:val="Heading2"/>
        <w:ind w:left="17"/>
      </w:pPr>
      <w:r>
        <w:t>15. Payables</w:t>
      </w:r>
    </w:p>
    <w:tbl>
      <w:tblPr>
        <w:tblStyle w:val="TableGrid"/>
        <w:tblW w:w="9218" w:type="dxa"/>
        <w:tblInd w:w="-38" w:type="dxa"/>
        <w:tblCellMar>
          <w:top w:w="40" w:type="dxa"/>
          <w:left w:w="36" w:type="dxa"/>
          <w:bottom w:w="0" w:type="dxa"/>
          <w:right w:w="30" w:type="dxa"/>
        </w:tblCellMar>
        <w:tblLook w:val="04A0" w:firstRow="1" w:lastRow="0" w:firstColumn="1" w:lastColumn="0" w:noHBand="0" w:noVBand="1"/>
      </w:tblPr>
      <w:tblGrid>
        <w:gridCol w:w="2225"/>
        <w:gridCol w:w="4769"/>
        <w:gridCol w:w="2225"/>
      </w:tblGrid>
      <w:tr w:rsidR="00576F87">
        <w:trPr>
          <w:trHeight w:val="290"/>
        </w:trPr>
        <w:tc>
          <w:tcPr>
            <w:tcW w:w="2225" w:type="dxa"/>
            <w:tcBorders>
              <w:top w:val="single" w:sz="15" w:space="0" w:color="35437C"/>
              <w:left w:val="single" w:sz="15" w:space="0" w:color="35437C"/>
              <w:bottom w:val="single" w:sz="8" w:space="0" w:color="35437C"/>
              <w:right w:val="single" w:sz="8" w:space="0" w:color="35437C"/>
            </w:tcBorders>
            <w:shd w:val="clear" w:color="auto" w:fill="35437C"/>
          </w:tcPr>
          <w:p w:rsidR="00576F87" w:rsidRDefault="004165F5">
            <w:pPr>
              <w:spacing w:after="0"/>
              <w:ind w:right="9"/>
              <w:jc w:val="right"/>
            </w:pPr>
            <w:r>
              <w:rPr>
                <w:rFonts w:ascii="Verdana" w:eastAsia="Verdana" w:hAnsi="Verdana" w:cs="Verdana"/>
                <w:b/>
                <w:color w:val="FFFFFF"/>
                <w:sz w:val="16"/>
              </w:rPr>
              <w:t>2016/17</w:t>
            </w:r>
          </w:p>
        </w:tc>
        <w:tc>
          <w:tcPr>
            <w:tcW w:w="4769" w:type="dxa"/>
            <w:tcBorders>
              <w:top w:val="single" w:sz="15" w:space="0" w:color="35437C"/>
              <w:left w:val="single" w:sz="8" w:space="0" w:color="35437C"/>
              <w:bottom w:val="single" w:sz="8" w:space="0" w:color="35437C"/>
              <w:right w:val="single" w:sz="8" w:space="0" w:color="35437C"/>
            </w:tcBorders>
            <w:shd w:val="clear" w:color="auto" w:fill="35437C"/>
          </w:tcPr>
          <w:p w:rsidR="00576F87" w:rsidRDefault="00576F87"/>
        </w:tc>
        <w:tc>
          <w:tcPr>
            <w:tcW w:w="2225" w:type="dxa"/>
            <w:tcBorders>
              <w:top w:val="single" w:sz="15" w:space="0" w:color="35437C"/>
              <w:left w:val="single" w:sz="8" w:space="0" w:color="35437C"/>
              <w:bottom w:val="single" w:sz="8" w:space="0" w:color="35437C"/>
              <w:right w:val="single" w:sz="15" w:space="0" w:color="35437C"/>
            </w:tcBorders>
            <w:shd w:val="clear" w:color="auto" w:fill="35437C"/>
          </w:tcPr>
          <w:p w:rsidR="00576F87" w:rsidRDefault="004165F5">
            <w:pPr>
              <w:spacing w:after="0"/>
              <w:ind w:right="9"/>
              <w:jc w:val="right"/>
            </w:pPr>
            <w:r>
              <w:rPr>
                <w:rFonts w:ascii="Verdana" w:eastAsia="Verdana" w:hAnsi="Verdana" w:cs="Verdana"/>
                <w:b/>
                <w:color w:val="FFFFFF"/>
                <w:sz w:val="16"/>
              </w:rPr>
              <w:t>2017/18</w:t>
            </w:r>
          </w:p>
        </w:tc>
      </w:tr>
      <w:tr w:rsidR="00576F87">
        <w:trPr>
          <w:trHeight w:val="290"/>
        </w:trPr>
        <w:tc>
          <w:tcPr>
            <w:tcW w:w="2225"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7"/>
              <w:jc w:val="right"/>
            </w:pPr>
            <w:r>
              <w:rPr>
                <w:rFonts w:ascii="Verdana" w:eastAsia="Verdana" w:hAnsi="Verdana" w:cs="Verdana"/>
                <w:b/>
                <w:sz w:val="16"/>
              </w:rPr>
              <w:t>£000</w:t>
            </w:r>
          </w:p>
        </w:tc>
        <w:tc>
          <w:tcPr>
            <w:tcW w:w="4769" w:type="dxa"/>
            <w:tcBorders>
              <w:top w:val="single" w:sz="8" w:space="0" w:color="35437C"/>
              <w:left w:val="single" w:sz="8" w:space="0" w:color="35437C"/>
              <w:bottom w:val="single" w:sz="8" w:space="0" w:color="35437C"/>
              <w:right w:val="single" w:sz="8" w:space="0" w:color="35437C"/>
            </w:tcBorders>
          </w:tcPr>
          <w:p w:rsidR="00576F87" w:rsidRDefault="00576F87"/>
        </w:tc>
        <w:tc>
          <w:tcPr>
            <w:tcW w:w="22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7"/>
              <w:jc w:val="right"/>
            </w:pPr>
            <w:r>
              <w:rPr>
                <w:rFonts w:ascii="Verdana" w:eastAsia="Verdana" w:hAnsi="Verdana" w:cs="Verdana"/>
                <w:b/>
                <w:sz w:val="16"/>
              </w:rPr>
              <w:t>£000</w:t>
            </w:r>
          </w:p>
        </w:tc>
      </w:tr>
      <w:tr w:rsidR="00576F87">
        <w:trPr>
          <w:trHeight w:val="290"/>
        </w:trPr>
        <w:tc>
          <w:tcPr>
            <w:tcW w:w="2225"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
              <w:jc w:val="right"/>
            </w:pPr>
            <w:r>
              <w:rPr>
                <w:rFonts w:ascii="Verdana" w:eastAsia="Verdana" w:hAnsi="Verdana" w:cs="Verdana"/>
                <w:sz w:val="16"/>
              </w:rPr>
              <w:t>17</w:t>
            </w:r>
          </w:p>
        </w:tc>
        <w:tc>
          <w:tcPr>
            <w:tcW w:w="476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 xml:space="preserve">Central Government Bodies </w:t>
            </w:r>
          </w:p>
        </w:tc>
        <w:tc>
          <w:tcPr>
            <w:tcW w:w="22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2"/>
              <w:jc w:val="right"/>
            </w:pPr>
            <w:r>
              <w:rPr>
                <w:rFonts w:ascii="Verdana" w:eastAsia="Verdana" w:hAnsi="Verdana" w:cs="Verdana"/>
                <w:sz w:val="16"/>
              </w:rPr>
              <w:t>6</w:t>
            </w:r>
          </w:p>
        </w:tc>
      </w:tr>
      <w:tr w:rsidR="00576F87">
        <w:trPr>
          <w:trHeight w:val="290"/>
        </w:trPr>
        <w:tc>
          <w:tcPr>
            <w:tcW w:w="2225" w:type="dxa"/>
            <w:tcBorders>
              <w:top w:val="single" w:sz="8" w:space="0" w:color="35437C"/>
              <w:left w:val="single" w:sz="15" w:space="0" w:color="35437C"/>
              <w:bottom w:val="single" w:sz="8" w:space="0" w:color="35437C"/>
              <w:right w:val="single" w:sz="8" w:space="0" w:color="35437C"/>
            </w:tcBorders>
          </w:tcPr>
          <w:p w:rsidR="00576F87" w:rsidRDefault="004165F5">
            <w:pPr>
              <w:spacing w:after="0"/>
              <w:jc w:val="right"/>
            </w:pPr>
            <w:r>
              <w:rPr>
                <w:rFonts w:ascii="Verdana" w:eastAsia="Verdana" w:hAnsi="Verdana" w:cs="Verdana"/>
                <w:sz w:val="16"/>
              </w:rPr>
              <w:t>-</w:t>
            </w:r>
          </w:p>
        </w:tc>
        <w:tc>
          <w:tcPr>
            <w:tcW w:w="476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Other Local Authorities</w:t>
            </w:r>
          </w:p>
        </w:tc>
        <w:tc>
          <w:tcPr>
            <w:tcW w:w="2225" w:type="dxa"/>
            <w:tcBorders>
              <w:top w:val="single" w:sz="8" w:space="0" w:color="35437C"/>
              <w:left w:val="single" w:sz="8" w:space="0" w:color="35437C"/>
              <w:bottom w:val="single" w:sz="8" w:space="0" w:color="35437C"/>
              <w:right w:val="single" w:sz="15" w:space="0" w:color="35437C"/>
            </w:tcBorders>
          </w:tcPr>
          <w:p w:rsidR="00576F87" w:rsidRDefault="004165F5">
            <w:pPr>
              <w:spacing w:after="0"/>
              <w:jc w:val="right"/>
            </w:pPr>
            <w:r>
              <w:rPr>
                <w:rFonts w:ascii="Verdana" w:eastAsia="Verdana" w:hAnsi="Verdana" w:cs="Verdana"/>
                <w:sz w:val="16"/>
              </w:rPr>
              <w:t>-</w:t>
            </w:r>
          </w:p>
        </w:tc>
      </w:tr>
      <w:tr w:rsidR="00576F87">
        <w:trPr>
          <w:trHeight w:val="290"/>
        </w:trPr>
        <w:tc>
          <w:tcPr>
            <w:tcW w:w="2225" w:type="dxa"/>
            <w:tcBorders>
              <w:top w:val="single" w:sz="8" w:space="0" w:color="35437C"/>
              <w:left w:val="single" w:sz="15" w:space="0" w:color="35437C"/>
              <w:bottom w:val="single" w:sz="8" w:space="0" w:color="35437C"/>
              <w:right w:val="single" w:sz="8" w:space="0" w:color="35437C"/>
            </w:tcBorders>
          </w:tcPr>
          <w:p w:rsidR="00576F87" w:rsidRDefault="004165F5">
            <w:pPr>
              <w:spacing w:after="0"/>
              <w:ind w:right="3"/>
              <w:jc w:val="right"/>
            </w:pPr>
            <w:r>
              <w:rPr>
                <w:rFonts w:ascii="Verdana" w:eastAsia="Verdana" w:hAnsi="Verdana" w:cs="Verdana"/>
                <w:sz w:val="16"/>
              </w:rPr>
              <w:t>42</w:t>
            </w:r>
          </w:p>
        </w:tc>
        <w:tc>
          <w:tcPr>
            <w:tcW w:w="4769" w:type="dxa"/>
            <w:tcBorders>
              <w:top w:val="single" w:sz="8" w:space="0" w:color="35437C"/>
              <w:left w:val="single" w:sz="8" w:space="0" w:color="35437C"/>
              <w:bottom w:val="single" w:sz="8" w:space="0" w:color="35437C"/>
              <w:right w:val="single" w:sz="8" w:space="0" w:color="35437C"/>
            </w:tcBorders>
          </w:tcPr>
          <w:p w:rsidR="00576F87" w:rsidRDefault="004165F5">
            <w:pPr>
              <w:spacing w:after="0"/>
            </w:pPr>
            <w:r>
              <w:rPr>
                <w:rFonts w:ascii="Verdana" w:eastAsia="Verdana" w:hAnsi="Verdana" w:cs="Verdana"/>
                <w:sz w:val="16"/>
              </w:rPr>
              <w:t>Other Entities and Individuals</w:t>
            </w:r>
          </w:p>
        </w:tc>
        <w:tc>
          <w:tcPr>
            <w:tcW w:w="2225" w:type="dxa"/>
            <w:tcBorders>
              <w:top w:val="single" w:sz="8" w:space="0" w:color="35437C"/>
              <w:left w:val="single" w:sz="8" w:space="0" w:color="35437C"/>
              <w:bottom w:val="single" w:sz="8" w:space="0" w:color="35437C"/>
              <w:right w:val="single" w:sz="15" w:space="0" w:color="35437C"/>
            </w:tcBorders>
          </w:tcPr>
          <w:p w:rsidR="00576F87" w:rsidRDefault="004165F5">
            <w:pPr>
              <w:spacing w:after="0"/>
              <w:ind w:right="3"/>
              <w:jc w:val="right"/>
            </w:pPr>
            <w:r>
              <w:rPr>
                <w:rFonts w:ascii="Verdana" w:eastAsia="Verdana" w:hAnsi="Verdana" w:cs="Verdana"/>
                <w:sz w:val="16"/>
              </w:rPr>
              <w:t>53</w:t>
            </w:r>
          </w:p>
        </w:tc>
      </w:tr>
      <w:tr w:rsidR="00576F87">
        <w:trPr>
          <w:trHeight w:val="305"/>
        </w:trPr>
        <w:tc>
          <w:tcPr>
            <w:tcW w:w="2225" w:type="dxa"/>
            <w:tcBorders>
              <w:top w:val="single" w:sz="8" w:space="0" w:color="35437C"/>
              <w:left w:val="single" w:sz="15" w:space="0" w:color="35437C"/>
              <w:bottom w:val="single" w:sz="15" w:space="0" w:color="35437C"/>
              <w:right w:val="single" w:sz="8" w:space="0" w:color="35437C"/>
            </w:tcBorders>
            <w:shd w:val="clear" w:color="auto" w:fill="35437C"/>
          </w:tcPr>
          <w:p w:rsidR="00576F87" w:rsidRDefault="004165F5">
            <w:pPr>
              <w:spacing w:after="0"/>
              <w:ind w:right="5"/>
              <w:jc w:val="right"/>
            </w:pPr>
            <w:r>
              <w:rPr>
                <w:rFonts w:ascii="Verdana" w:eastAsia="Verdana" w:hAnsi="Verdana" w:cs="Verdana"/>
                <w:b/>
                <w:color w:val="FFFFFF"/>
                <w:sz w:val="16"/>
              </w:rPr>
              <w:t>59</w:t>
            </w:r>
          </w:p>
        </w:tc>
        <w:tc>
          <w:tcPr>
            <w:tcW w:w="4769" w:type="dxa"/>
            <w:tcBorders>
              <w:top w:val="single" w:sz="8" w:space="0" w:color="35437C"/>
              <w:left w:val="single" w:sz="8" w:space="0" w:color="35437C"/>
              <w:bottom w:val="single" w:sz="15" w:space="0" w:color="35437C"/>
              <w:right w:val="single" w:sz="8" w:space="0" w:color="35437C"/>
            </w:tcBorders>
            <w:shd w:val="clear" w:color="auto" w:fill="35437C"/>
          </w:tcPr>
          <w:p w:rsidR="00576F87" w:rsidRDefault="00576F87"/>
        </w:tc>
        <w:tc>
          <w:tcPr>
            <w:tcW w:w="2225" w:type="dxa"/>
            <w:tcBorders>
              <w:top w:val="single" w:sz="8" w:space="0" w:color="35437C"/>
              <w:left w:val="single" w:sz="8" w:space="0" w:color="35437C"/>
              <w:bottom w:val="single" w:sz="15" w:space="0" w:color="35437C"/>
              <w:right w:val="single" w:sz="15" w:space="0" w:color="35437C"/>
            </w:tcBorders>
            <w:shd w:val="clear" w:color="auto" w:fill="35437C"/>
          </w:tcPr>
          <w:p w:rsidR="00576F87" w:rsidRDefault="004165F5">
            <w:pPr>
              <w:spacing w:after="0"/>
              <w:ind w:right="5"/>
              <w:jc w:val="right"/>
            </w:pPr>
            <w:r>
              <w:rPr>
                <w:rFonts w:ascii="Verdana" w:eastAsia="Verdana" w:hAnsi="Verdana" w:cs="Verdana"/>
                <w:b/>
                <w:color w:val="FFFFFF"/>
                <w:sz w:val="16"/>
              </w:rPr>
              <w:t>59</w:t>
            </w:r>
          </w:p>
        </w:tc>
      </w:tr>
    </w:tbl>
    <w:p w:rsidR="00576F87" w:rsidRDefault="00576F87">
      <w:pPr>
        <w:sectPr w:rsidR="00576F87">
          <w:headerReference w:type="even" r:id="rId175"/>
          <w:headerReference w:type="default" r:id="rId176"/>
          <w:footerReference w:type="even" r:id="rId177"/>
          <w:footerReference w:type="default" r:id="rId178"/>
          <w:headerReference w:type="first" r:id="rId179"/>
          <w:footerReference w:type="first" r:id="rId180"/>
          <w:pgSz w:w="11900" w:h="16840"/>
          <w:pgMar w:top="2143" w:right="1691" w:bottom="510" w:left="1068" w:header="1146" w:footer="720" w:gutter="0"/>
          <w:cols w:space="720"/>
          <w:titlePg/>
        </w:sectPr>
      </w:pPr>
    </w:p>
    <w:p w:rsidR="00576F87" w:rsidRDefault="004165F5">
      <w:pPr>
        <w:pStyle w:val="Heading2"/>
        <w:spacing w:after="205"/>
        <w:ind w:left="19"/>
      </w:pPr>
      <w:r>
        <w:rPr>
          <w:b/>
          <w:color w:val="3F977F"/>
        </w:rPr>
        <w:t>LPFA Accounts 31 March 2018</w:t>
      </w:r>
    </w:p>
    <w:p w:rsidR="00576F87" w:rsidRDefault="004165F5">
      <w:pPr>
        <w:pStyle w:val="Heading3"/>
        <w:spacing w:after="454"/>
      </w:pPr>
      <w:r>
        <w:rPr>
          <w:b w:val="0"/>
          <w:color w:val="35437C"/>
          <w:sz w:val="28"/>
        </w:rPr>
        <w:t>17. Financial Instruments</w:t>
      </w:r>
    </w:p>
    <w:p w:rsidR="00576F87" w:rsidRDefault="004165F5">
      <w:pPr>
        <w:spacing w:after="3" w:line="264" w:lineRule="auto"/>
        <w:ind w:left="2" w:right="12" w:hanging="10"/>
        <w:jc w:val="both"/>
      </w:pPr>
      <w:r>
        <w:rPr>
          <w:noProof/>
        </w:rPr>
        <mc:AlternateContent>
          <mc:Choice Requires="wpg">
            <w:drawing>
              <wp:anchor distT="0" distB="0" distL="114300" distR="114300" simplePos="0" relativeHeight="251661312" behindDoc="0" locked="0" layoutInCell="1" allowOverlap="1">
                <wp:simplePos x="0" y="0"/>
                <wp:positionH relativeFrom="page">
                  <wp:posOffset>321564</wp:posOffset>
                </wp:positionH>
                <wp:positionV relativeFrom="page">
                  <wp:posOffset>3110480</wp:posOffset>
                </wp:positionV>
                <wp:extent cx="6844284" cy="4928616"/>
                <wp:effectExtent l="0" t="0" r="0" b="0"/>
                <wp:wrapTopAndBottom/>
                <wp:docPr id="214226" name="Group 214226"/>
                <wp:cNvGraphicFramePr/>
                <a:graphic xmlns:a="http://schemas.openxmlformats.org/drawingml/2006/main">
                  <a:graphicData uri="http://schemas.microsoft.com/office/word/2010/wordprocessingGroup">
                    <wpg:wgp>
                      <wpg:cNvGrpSpPr/>
                      <wpg:grpSpPr>
                        <a:xfrm>
                          <a:off x="0" y="0"/>
                          <a:ext cx="6844284" cy="4928616"/>
                          <a:chOff x="0" y="0"/>
                          <a:chExt cx="6844284" cy="4928616"/>
                        </a:xfrm>
                      </wpg:grpSpPr>
                      <wps:wsp>
                        <wps:cNvPr id="11740" name="Rectangle 11740"/>
                        <wps:cNvSpPr/>
                        <wps:spPr>
                          <a:xfrm>
                            <a:off x="0" y="14620"/>
                            <a:ext cx="2116601" cy="163187"/>
                          </a:xfrm>
                          <a:prstGeom prst="rect">
                            <a:avLst/>
                          </a:prstGeom>
                          <a:ln>
                            <a:noFill/>
                          </a:ln>
                        </wps:spPr>
                        <wps:txbx>
                          <w:txbxContent>
                            <w:p w:rsidR="00576F87" w:rsidRDefault="004165F5">
                              <w:r>
                                <w:rPr>
                                  <w:rFonts w:ascii="Verdana" w:eastAsia="Verdana" w:hAnsi="Verdana" w:cs="Verdana"/>
                                  <w:b/>
                                  <w:sz w:val="20"/>
                                </w:rPr>
                                <w:t>As at 31st March 2018</w:t>
                              </w:r>
                            </w:p>
                          </w:txbxContent>
                        </wps:txbx>
                        <wps:bodyPr horzOverflow="overflow" vert="horz" lIns="0" tIns="0" rIns="0" bIns="0" rtlCol="0">
                          <a:noAutofit/>
                        </wps:bodyPr>
                      </wps:wsp>
                      <pic:pic xmlns:pic="http://schemas.openxmlformats.org/drawingml/2006/picture">
                        <pic:nvPicPr>
                          <pic:cNvPr id="11767" name="Picture 11767"/>
                          <pic:cNvPicPr/>
                        </pic:nvPicPr>
                        <pic:blipFill>
                          <a:blip r:embed="rId181"/>
                          <a:stretch>
                            <a:fillRect/>
                          </a:stretch>
                        </pic:blipFill>
                        <pic:spPr>
                          <a:xfrm>
                            <a:off x="45720" y="0"/>
                            <a:ext cx="6798564" cy="4928616"/>
                          </a:xfrm>
                          <a:prstGeom prst="rect">
                            <a:avLst/>
                          </a:prstGeom>
                        </pic:spPr>
                      </pic:pic>
                    </wpg:wgp>
                  </a:graphicData>
                </a:graphic>
              </wp:anchor>
            </w:drawing>
          </mc:Choice>
          <mc:Fallback>
            <w:pict>
              <v:group id="Group 214226" o:spid="_x0000_s1029" style="position:absolute;left:0;text-align:left;margin-left:25.3pt;margin-top:244.9pt;width:538.9pt;height:388.1pt;z-index:251661312;mso-position-horizontal-relative:page;mso-position-vertical-relative:page" coordsize="68442,492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&#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">
                <v:rect id="Rectangle 11740" o:spid="_x0000_s1030" style="position:absolute;top:146;width:2116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" filled="f" stroked="f">
                  <v:textbox inset="0,0,0,0">
                    <w:txbxContent>
                      <w:p w:rsidR="00576F87" w:rsidRDefault="004165F5">
                        <w:r>
                          <w:rPr>
                            <w:rFonts w:ascii="Verdana" w:eastAsia="Verdana" w:hAnsi="Verdana" w:cs="Verdana"/>
                            <w:b/>
                            <w:sz w:val="20"/>
                          </w:rPr>
                          <w:t>As at 31st March 2018</w:t>
                        </w:r>
                      </w:p>
                    </w:txbxContent>
                  </v:textbox>
                </v:rect>
                <v:shape id="Picture 11767" o:spid="_x0000_s1031" type="#_x0000_t75" style="position:absolute;left:457;width:67985;height:49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">
                  <v:imagedata r:id="rId182" o:title=""/>
                </v:shape>
                <w10:wrap type="topAndBottom" anchorx="page" anchory="page"/>
              </v:group>
            </w:pict>
          </mc:Fallback>
        </mc:AlternateContent>
      </w:r>
      <w:r>
        <w:rPr>
          <w:rFonts w:ascii="Verdana" w:eastAsia="Verdana" w:hAnsi="Verdana" w:cs="Verdana"/>
          <w:sz w:val="20"/>
        </w:rPr>
        <w:t xml:space="preserve">Aside from the receivables and payables which are covered in notes 14 and 15 and the LCC stock covered in Note 8, the LPFA also has a cash balance on the residual liabilities account. A small balance is maintained with the LPFA's bank, Lloyds, for ongoing </w:t>
      </w:r>
      <w:r>
        <w:rPr>
          <w:rFonts w:ascii="Verdana" w:eastAsia="Verdana" w:hAnsi="Verdana" w:cs="Verdana"/>
          <w:sz w:val="20"/>
        </w:rPr>
        <w:t>costs, and the remainder is pooled with the GLA. The GLA holds 100% of pooled funds deposited across various banks, as per the breakdown below. As at 31st March 2018 the LPFA held £31,911k with the GLA compared to £29,723k at 31st March 2017, the balance e</w:t>
      </w:r>
      <w:r>
        <w:rPr>
          <w:rFonts w:ascii="Verdana" w:eastAsia="Verdana" w:hAnsi="Verdana" w:cs="Verdana"/>
          <w:sz w:val="20"/>
        </w:rPr>
        <w:t xml:space="preserve">ach year being held within the LPFA bank account. </w:t>
      </w:r>
      <w:r>
        <w:br w:type="page"/>
      </w:r>
    </w:p>
    <w:p w:rsidR="00576F87" w:rsidRDefault="004165F5">
      <w:pPr>
        <w:pStyle w:val="Heading2"/>
        <w:spacing w:after="205"/>
        <w:ind w:left="19"/>
      </w:pPr>
      <w:r>
        <w:rPr>
          <w:b/>
          <w:color w:val="3F977F"/>
        </w:rPr>
        <w:t>LPFA Accounts 31 March 2018</w:t>
      </w:r>
    </w:p>
    <w:p w:rsidR="00576F87" w:rsidRDefault="004165F5">
      <w:pPr>
        <w:pStyle w:val="Heading3"/>
        <w:spacing w:after="490"/>
      </w:pPr>
      <w:r>
        <w:rPr>
          <w:b w:val="0"/>
          <w:color w:val="35437C"/>
          <w:sz w:val="28"/>
        </w:rPr>
        <w:t>16. Financial Instruments</w:t>
      </w:r>
    </w:p>
    <w:p w:rsidR="00576F87" w:rsidRDefault="004165F5">
      <w:pPr>
        <w:pStyle w:val="Heading4"/>
        <w:spacing w:after="60" w:line="265" w:lineRule="auto"/>
        <w:ind w:left="5"/>
      </w:pPr>
      <w:r>
        <w:rPr>
          <w:b/>
          <w:color w:val="000000"/>
          <w:sz w:val="20"/>
        </w:rPr>
        <w:t>As at 31st March 2017</w:t>
      </w:r>
    </w:p>
    <w:p w:rsidR="00576F87" w:rsidRDefault="004165F5">
      <w:pPr>
        <w:spacing w:after="0"/>
        <w:ind w:left="5"/>
      </w:pPr>
      <w:r>
        <w:rPr>
          <w:noProof/>
        </w:rPr>
        <w:drawing>
          <wp:inline distT="0" distB="0" distL="0" distR="0">
            <wp:extent cx="6864097" cy="4745737"/>
            <wp:effectExtent l="0" t="0" r="0" b="0"/>
            <wp:docPr id="251554" name="Picture 251554"/>
            <wp:cNvGraphicFramePr/>
            <a:graphic xmlns:a="http://schemas.openxmlformats.org/drawingml/2006/main">
              <a:graphicData uri="http://schemas.openxmlformats.org/drawingml/2006/picture">
                <pic:pic xmlns:pic="http://schemas.openxmlformats.org/drawingml/2006/picture">
                  <pic:nvPicPr>
                    <pic:cNvPr id="251554" name="Picture 251554"/>
                    <pic:cNvPicPr/>
                  </pic:nvPicPr>
                  <pic:blipFill>
                    <a:blip r:embed="rId183"/>
                    <a:stretch>
                      <a:fillRect/>
                    </a:stretch>
                  </pic:blipFill>
                  <pic:spPr>
                    <a:xfrm>
                      <a:off x="0" y="0"/>
                      <a:ext cx="6864097" cy="4745737"/>
                    </a:xfrm>
                    <a:prstGeom prst="rect">
                      <a:avLst/>
                    </a:prstGeom>
                  </pic:spPr>
                </pic:pic>
              </a:graphicData>
            </a:graphic>
          </wp:inline>
        </w:drawing>
      </w:r>
    </w:p>
    <w:sectPr w:rsidR="00576F87">
      <w:headerReference w:type="even" r:id="rId184"/>
      <w:headerReference w:type="default" r:id="rId185"/>
      <w:footerReference w:type="even" r:id="rId186"/>
      <w:footerReference w:type="default" r:id="rId187"/>
      <w:headerReference w:type="first" r:id="rId188"/>
      <w:footerReference w:type="first" r:id="rId189"/>
      <w:pgSz w:w="11900" w:h="16840"/>
      <w:pgMar w:top="1290" w:right="450" w:bottom="5912" w:left="504" w:header="72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165F5">
      <w:pPr>
        <w:spacing w:after="0" w:line="240" w:lineRule="auto"/>
      </w:pPr>
      <w:r>
        <w:separator/>
      </w:r>
    </w:p>
  </w:endnote>
  <w:endnote w:type="continuationSeparator" w:id="0">
    <w:p w:rsidR="00000000" w:rsidRDefault="00416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1"/>
      <w:jc w:val="center"/>
    </w:pPr>
    <w:r>
      <w:fldChar w:fldCharType="begin"/>
    </w:r>
    <w:r>
      <w:instrText xml:space="preserve"> PAGE   \* MERGEFORMAT </w:instrText>
    </w:r>
    <w:r>
      <w:fldChar w:fldCharType="separate"/>
    </w:r>
    <w: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jc w:val="center"/>
    </w:pPr>
    <w:r>
      <w:fldChar w:fldCharType="begin"/>
    </w:r>
    <w:r>
      <w:instrText xml:space="preserve"> P</w:instrText>
    </w:r>
    <w:r>
      <w:instrText xml:space="preserve">AGE   \* MERGEFORMAT </w:instrText>
    </w:r>
    <w:r>
      <w:fldChar w:fldCharType="separate"/>
    </w:r>
    <w:r>
      <w:t>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jc w:val="center"/>
    </w:pPr>
    <w:r>
      <w:fldChar w:fldCharType="begin"/>
    </w:r>
    <w:r>
      <w:instrText xml:space="preserve"> PAGE   \* MERGEFORMAT </w:instrText>
    </w:r>
    <w:r>
      <w:fldChar w:fldCharType="separate"/>
    </w:r>
    <w:r>
      <w:t>2</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jc w:val="center"/>
    </w:pPr>
    <w:r>
      <w:fldChar w:fldCharType="begin"/>
    </w:r>
    <w:r>
      <w:instrText xml:space="preserve"> PAGE   \* MERGEFORMAT </w:instrText>
    </w:r>
    <w:r>
      <w:fldChar w:fldCharType="separate"/>
    </w:r>
    <w:r>
      <w:t>2</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33"/>
      <w:jc w:val="center"/>
    </w:pPr>
    <w:r>
      <w:fldChar w:fldCharType="begin"/>
    </w:r>
    <w:r>
      <w:instrText xml:space="preserve"> PAGE   \* MERGEFORMAT </w:instrText>
    </w:r>
    <w:r>
      <w:fldChar w:fldCharType="separate"/>
    </w:r>
    <w:r>
      <w:t>2</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33"/>
      <w:jc w:val="center"/>
    </w:pPr>
    <w:r>
      <w:fldChar w:fldCharType="begin"/>
    </w:r>
    <w:r>
      <w:instrText xml:space="preserve"> PAGE   \* MERGEFORMAT </w:instrText>
    </w:r>
    <w:r>
      <w:fldChar w:fldCharType="separate"/>
    </w:r>
    <w:r>
      <w:t>2</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33"/>
      <w:jc w:val="center"/>
    </w:pPr>
    <w:r>
      <w:fldChar w:fldCharType="begin"/>
    </w:r>
    <w:r>
      <w:instrText xml:space="preserve"> PAGE   \* MERGEFORMAT </w:instrText>
    </w:r>
    <w:r>
      <w:fldChar w:fldCharType="separate"/>
    </w:r>
    <w:r>
      <w:t>2</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48"/>
      <w:jc w:val="center"/>
    </w:pPr>
    <w:r>
      <w:fldChar w:fldCharType="begin"/>
    </w:r>
    <w:r>
      <w:instrText xml:space="preserve"> PAGE   \* MERGEFORMAT </w:instrText>
    </w:r>
    <w:r>
      <w:fldChar w:fldCharType="separate"/>
    </w:r>
    <w:r>
      <w:t>2</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48"/>
      <w:jc w:val="center"/>
    </w:pPr>
    <w:r>
      <w:fldChar w:fldCharType="begin"/>
    </w:r>
    <w:r>
      <w:instrText xml:space="preserve"> PAGE   \* MERGEFORMAT </w:instrText>
    </w:r>
    <w:r>
      <w:fldChar w:fldCharType="separate"/>
    </w:r>
    <w:r>
      <w:t>2</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48"/>
      <w:jc w:val="center"/>
    </w:pPr>
    <w:r>
      <w:fldChar w:fldCharType="begin"/>
    </w:r>
    <w:r>
      <w:instrText xml:space="preserve"> PAGE   \* MERGEFORMAT </w:instrText>
    </w:r>
    <w:r>
      <w:fldChar w:fldCharType="separate"/>
    </w:r>
    <w:r>
      <w:t>2</w:t>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48"/>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1"/>
      <w:jc w:val="center"/>
    </w:pPr>
    <w:r>
      <w:fldChar w:fldCharType="begin"/>
    </w:r>
    <w:r>
      <w:instrText xml:space="preserve"> PAGE   \* MERGEFORMAT </w:instrText>
    </w:r>
    <w:r>
      <w:fldChar w:fldCharType="separate"/>
    </w:r>
    <w:r>
      <w:t>2</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48"/>
      <w:jc w:val="center"/>
    </w:pPr>
    <w:r>
      <w:fldChar w:fldCharType="begin"/>
    </w:r>
    <w:r>
      <w:instrText xml:space="preserve"> PAGE   \* MERGEFORMAT </w:instrText>
    </w:r>
    <w:r>
      <w:fldChar w:fldCharType="separate"/>
    </w:r>
    <w:r>
      <w:t>2</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48"/>
      <w:jc w:val="center"/>
    </w:pPr>
    <w:r>
      <w:fldChar w:fldCharType="begin"/>
    </w:r>
    <w:r>
      <w:instrText xml:space="preserve"> PAGE   \* MERGEFORMAT </w:instrText>
    </w:r>
    <w:r>
      <w:fldChar w:fldCharType="separate"/>
    </w:r>
    <w:r>
      <w:t>2</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58"/>
      <w:jc w:val="center"/>
    </w:pPr>
    <w:r>
      <w:fldChar w:fldCharType="begin"/>
    </w:r>
    <w:r>
      <w:instrText xml:space="preserve"> PAGE   \* MERGEFORMAT </w:instrText>
    </w:r>
    <w:r>
      <w:fldChar w:fldCharType="separate"/>
    </w:r>
    <w:r>
      <w:t>2</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58"/>
      <w:jc w:val="center"/>
    </w:pPr>
    <w:r>
      <w:fldChar w:fldCharType="begin"/>
    </w:r>
    <w:r>
      <w:instrText xml:space="preserve"> PAGE   \* MERGEFORMAT </w:instrText>
    </w:r>
    <w:r>
      <w:fldChar w:fldCharType="separate"/>
    </w:r>
    <w:r>
      <w:t>2</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58"/>
      <w:jc w:val="center"/>
    </w:pPr>
    <w:r>
      <w:fldChar w:fldCharType="begin"/>
    </w:r>
    <w:r>
      <w:instrText xml:space="preserve"> PAGE   \* MERGEFORMA</w:instrText>
    </w:r>
    <w:r>
      <w:instrText xml:space="preserve">T </w:instrText>
    </w:r>
    <w:r>
      <w:fldChar w:fldCharType="separate"/>
    </w:r>
    <w:r>
      <w:t>2</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471"/>
      <w:jc w:val="center"/>
    </w:pPr>
    <w:r>
      <w:fldChar w:fldCharType="begin"/>
    </w:r>
    <w:r>
      <w:instrText xml:space="preserve"> PAGE   \* MERGEFORMAT </w:instrText>
    </w:r>
    <w:r>
      <w:fldChar w:fldCharType="separate"/>
    </w:r>
    <w:r>
      <w:t>2</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471"/>
      <w:jc w:val="center"/>
    </w:pPr>
    <w:r>
      <w:fldChar w:fldCharType="begin"/>
    </w:r>
    <w:r>
      <w:instrText xml:space="preserve"> PAGE   \* MERGEFORMAT </w:instrText>
    </w:r>
    <w:r>
      <w:fldChar w:fldCharType="separate"/>
    </w:r>
    <w:r>
      <w:t>2</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471"/>
      <w:jc w:val="center"/>
    </w:pPr>
    <w:r>
      <w:fldChar w:fldCharType="begin"/>
    </w:r>
    <w:r>
      <w:instrText xml:space="preserve"> PAGE   \* MERGEFORMAT </w:instrText>
    </w:r>
    <w:r>
      <w:fldChar w:fldCharType="separate"/>
    </w:r>
    <w:r>
      <w:t>2</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358"/>
      <w:jc w:val="center"/>
    </w:pPr>
    <w:r>
      <w:fldChar w:fldCharType="begin"/>
    </w:r>
    <w:r>
      <w:instrText xml:space="preserve"> PAGE   \* MERGEFORMAT </w:instrText>
    </w:r>
    <w:r>
      <w:fldChar w:fldCharType="separate"/>
    </w:r>
    <w:r>
      <w:t>2</w:t>
    </w:r>
    <w: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358"/>
      <w:jc w:val="center"/>
    </w:pP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
      <w:jc w:val="center"/>
    </w:pPr>
    <w:r>
      <w:fldChar w:fldCharType="begin"/>
    </w:r>
    <w:r>
      <w:instrText xml:space="preserve"> PAGE   \* MERGEFORMAT </w:instrText>
    </w:r>
    <w:r>
      <w:fldChar w:fldCharType="separate"/>
    </w:r>
    <w:r>
      <w:t>2</w:t>
    </w:r>
    <w: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
      <w:jc w:val="center"/>
    </w:pPr>
    <w:r>
      <w:fldChar w:fldCharType="begin"/>
    </w:r>
    <w:r>
      <w:instrText xml:space="preserve"> PAGE   \* MERGEFORMAT </w:instrText>
    </w:r>
    <w:r>
      <w:fldChar w:fldCharType="separate"/>
    </w:r>
    <w:r>
      <w:t>2</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
      <w:jc w:val="center"/>
    </w:pPr>
    <w:r>
      <w:fldChar w:fldCharType="begin"/>
    </w:r>
    <w:r>
      <w:instrText xml:space="preserve"> PAGE   \* MERGEFORMAT </w:instrText>
    </w:r>
    <w:r>
      <w:fldChar w:fldCharType="separate"/>
    </w:r>
    <w:r>
      <w:t>2</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17"/>
      <w:jc w:val="center"/>
    </w:pPr>
    <w:r>
      <w:fldChar w:fldCharType="begin"/>
    </w:r>
    <w:r>
      <w:instrText xml:space="preserve"> PAGE   \* MERGEFORMAT </w:instrText>
    </w:r>
    <w:r>
      <w:fldChar w:fldCharType="separate"/>
    </w:r>
    <w:r>
      <w:t>2</w:t>
    </w:r>
    <w: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17"/>
      <w:jc w:val="center"/>
    </w:pPr>
    <w:r>
      <w:fldChar w:fldCharType="begin"/>
    </w:r>
    <w:r>
      <w:instrText xml:space="preserve"> PAGE   \* MERGEFORMAT </w:instrText>
    </w:r>
    <w:r>
      <w:fldChar w:fldCharType="separate"/>
    </w:r>
    <w:r>
      <w:t>2</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17"/>
      <w:jc w:val="center"/>
    </w:pPr>
    <w:r>
      <w:fldChar w:fldCharType="begin"/>
    </w:r>
    <w:r>
      <w:instrText xml:space="preserve"> PAGE   \* MERGEFORMAT </w:instrText>
    </w:r>
    <w:r>
      <w:fldChar w:fldCharType="separate"/>
    </w:r>
    <w:r>
      <w:t>2</w:t>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552"/>
      <w:jc w:val="center"/>
    </w:pPr>
    <w:r>
      <w:fldChar w:fldCharType="begin"/>
    </w:r>
    <w:r>
      <w:instrText xml:space="preserve"> PAGE   \* MERGEFORMAT </w:instrText>
    </w:r>
    <w:r>
      <w:fldChar w:fldCharType="separate"/>
    </w:r>
    <w:r>
      <w:t>2</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552"/>
      <w:jc w:val="center"/>
    </w:pPr>
    <w:r>
      <w:fldChar w:fldCharType="begin"/>
    </w:r>
    <w:r>
      <w:instrText xml:space="preserve"> PAGE   \* MERGEFORMAT </w:instrText>
    </w:r>
    <w:r>
      <w:fldChar w:fldCharType="separate"/>
    </w:r>
    <w: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20"/>
      <w:jc w:val="center"/>
    </w:pPr>
    <w:r>
      <w:fldChar w:fldCharType="begin"/>
    </w:r>
    <w:r>
      <w:instrText xml:space="preserve"> PAGE   \* MERGEFORMAT </w:instrText>
    </w:r>
    <w:r>
      <w:fldChar w:fldCharType="separate"/>
    </w:r>
    <w:r>
      <w:t>2</w:t>
    </w:r>
    <w: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480"/>
      <w:jc w:val="center"/>
    </w:pPr>
    <w:r>
      <w:fldChar w:fldCharType="begin"/>
    </w:r>
    <w:r>
      <w:instrText xml:space="preserve"> PAGE   \* MERGEFORMAT </w:instrText>
    </w:r>
    <w:r>
      <w:fldChar w:fldCharType="separate"/>
    </w:r>
    <w:r>
      <w:t>2</w:t>
    </w:r>
    <w: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480"/>
      <w:jc w:val="center"/>
    </w:pPr>
    <w:r>
      <w:fldChar w:fldCharType="begin"/>
    </w:r>
    <w:r>
      <w:instrText xml:space="preserve"> PAGE   \* MERGEFORMAT </w:instrText>
    </w:r>
    <w:r>
      <w:fldChar w:fldCharType="separate"/>
    </w:r>
    <w:r>
      <w:t>2</w:t>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480"/>
      <w:jc w:val="center"/>
    </w:pPr>
    <w:r>
      <w:fldChar w:fldCharType="begin"/>
    </w:r>
    <w:r>
      <w:instrText xml:space="preserve"> PAGE   \* MERGEFORMAT </w:instrText>
    </w:r>
    <w:r>
      <w:fldChar w:fldCharType="separate"/>
    </w:r>
    <w:r>
      <w:t>2</w:t>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79"/>
      <w:jc w:val="center"/>
    </w:pPr>
    <w:r>
      <w:fldChar w:fldCharType="begin"/>
    </w:r>
    <w:r>
      <w:instrText xml:space="preserve"> PAGE   \* MERGEFORMAT </w:instrText>
    </w:r>
    <w:r>
      <w:fldChar w:fldCharType="separate"/>
    </w:r>
    <w:r>
      <w:t>66</w:t>
    </w:r>
    <w: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79"/>
      <w:jc w:val="center"/>
    </w:pPr>
    <w:r>
      <w:fldChar w:fldCharType="begin"/>
    </w:r>
    <w:r>
      <w:instrText xml:space="preserve"> PAGE   \* MERGEFORMAT </w:instrText>
    </w:r>
    <w:r>
      <w:fldChar w:fldCharType="separate"/>
    </w:r>
    <w:r>
      <w:t>66</w:t>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79"/>
      <w:jc w:val="center"/>
    </w:pPr>
    <w:r>
      <w:fldChar w:fldCharType="begin"/>
    </w:r>
    <w:r>
      <w:instrText xml:space="preserve"> PAGE   \* MERGEFORMAT </w:instrText>
    </w:r>
    <w:r>
      <w:fldChar w:fldCharType="separate"/>
    </w:r>
    <w:r>
      <w:t>66</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20"/>
      <w:jc w:val="center"/>
    </w:pPr>
    <w:r>
      <w:fldChar w:fldCharType="begin"/>
    </w:r>
    <w:r>
      <w:instrText xml:space="preserve"> PAGE   \* MERGEFORMAT </w:instrText>
    </w:r>
    <w:r>
      <w:fldChar w:fldCharType="separate"/>
    </w:r>
    <w:r>
      <w:t>2</w:t>
    </w:r>
    <w: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31"/>
      <w:jc w:val="center"/>
    </w:pPr>
    <w:r>
      <w:fldChar w:fldCharType="begin"/>
    </w:r>
    <w:r>
      <w:instrText xml:space="preserve"> PAGE   \* MERGEFORMAT </w:instrText>
    </w:r>
    <w:r>
      <w:fldChar w:fldCharType="separate"/>
    </w:r>
    <w:r>
      <w:t>73</w:t>
    </w:r>
    <w: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31"/>
      <w:jc w:val="center"/>
    </w:pPr>
    <w:r>
      <w:fldChar w:fldCharType="begin"/>
    </w:r>
    <w:r>
      <w:instrText xml:space="preserve"> PAGE   \* MERGEFORMAT </w:instrText>
    </w:r>
    <w:r>
      <w:fldChar w:fldCharType="separate"/>
    </w:r>
    <w:r>
      <w:t>73</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31"/>
      <w:jc w:val="center"/>
    </w:pPr>
    <w:r>
      <w:fldChar w:fldCharType="begin"/>
    </w:r>
    <w:r>
      <w:instrText xml:space="preserve"> PAGE   \* MERGEFORMAT </w:instrText>
    </w:r>
    <w:r>
      <w:fldChar w:fldCharType="separate"/>
    </w:r>
    <w:r>
      <w:t>73</w:t>
    </w:r>
    <w: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518"/>
      <w:jc w:val="center"/>
    </w:pPr>
    <w:r>
      <w:fldChar w:fldCharType="begin"/>
    </w:r>
    <w:r>
      <w:instrText xml:space="preserve"> PAGE   \* MERGEFORMAT </w:instrText>
    </w:r>
    <w:r>
      <w:fldChar w:fldCharType="separate"/>
    </w:r>
    <w:r>
      <w:t>79</w:t>
    </w:r>
    <w: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518"/>
      <w:jc w:val="center"/>
    </w:pPr>
    <w:r>
      <w:fldChar w:fldCharType="begin"/>
    </w:r>
    <w:r>
      <w:instrText xml:space="preserve"> PAGE   \* MERGEFORMAT </w:instrText>
    </w:r>
    <w:r>
      <w:fldChar w:fldCharType="separate"/>
    </w:r>
    <w:r>
      <w:t>79</w:t>
    </w:r>
    <w: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518"/>
      <w:jc w:val="center"/>
    </w:pPr>
    <w:r>
      <w:fldChar w:fldCharType="begin"/>
    </w:r>
    <w:r>
      <w:instrText xml:space="preserve"> PAGE   \* MERGEFORMAT </w:instrText>
    </w:r>
    <w:r>
      <w:fldChar w:fldCharType="separate"/>
    </w:r>
    <w:r>
      <w:t>79</w:t>
    </w:r>
    <w: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578"/>
      <w:jc w:val="center"/>
    </w:pPr>
    <w:r>
      <w:fldChar w:fldCharType="begin"/>
    </w:r>
    <w:r>
      <w:instrText xml:space="preserve"> PAGE   \* MERGEFORMAT </w:instrText>
    </w:r>
    <w:r>
      <w:fldChar w:fldCharType="separate"/>
    </w:r>
    <w:r>
      <w:t>73</w:t>
    </w:r>
    <w: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20"/>
      <w:jc w:val="center"/>
    </w:pPr>
    <w:r>
      <w:fldChar w:fldCharType="begin"/>
    </w:r>
    <w:r>
      <w:instrText xml:space="preserve"> PAGE   \* MERGEFORMAT </w:instrText>
    </w:r>
    <w:r>
      <w:fldChar w:fldCharType="separate"/>
    </w:r>
    <w:r>
      <w:t>2</w:t>
    </w:r>
    <w: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607"/>
      <w:jc w:val="center"/>
    </w:pPr>
    <w:r>
      <w:fldChar w:fldCharType="begin"/>
    </w:r>
    <w:r>
      <w:instrText xml:space="preserve"> PAGE   \* MERGEFORMAT </w:instrText>
    </w:r>
    <w:r>
      <w:fldChar w:fldCharType="separate"/>
    </w:r>
    <w:r>
      <w:t>73</w:t>
    </w:r>
    <w: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4"/>
      <w:jc w:val="center"/>
    </w:pPr>
    <w:r>
      <w:fldChar w:fldCharType="begin"/>
    </w:r>
    <w:r>
      <w:instrText xml:space="preserve"> PAGE   \* MERGEFORMAT </w:instrText>
    </w:r>
    <w:r>
      <w:fldChar w:fldCharType="separate"/>
    </w:r>
    <w:r>
      <w:t>2</w:t>
    </w:r>
    <w: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607"/>
      <w:jc w:val="center"/>
    </w:pPr>
    <w:r>
      <w:fldChar w:fldCharType="begin"/>
    </w:r>
    <w:r>
      <w:instrText xml:space="preserve"> PAGE   \* MERGEFORMAT </w:instrText>
    </w:r>
    <w:r>
      <w:fldChar w:fldCharType="separate"/>
    </w:r>
    <w:r>
      <w:t>73</w:t>
    </w:r>
    <w: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532"/>
      <w:jc w:val="center"/>
    </w:pPr>
    <w:r>
      <w:fldChar w:fldCharType="begin"/>
    </w:r>
    <w:r>
      <w:instrText xml:space="preserve"> PAGE   \* MERGEFORMAT </w:instrText>
    </w:r>
    <w:r>
      <w:fldChar w:fldCharType="separate"/>
    </w:r>
    <w:r>
      <w:t>2</w:t>
    </w:r>
    <w: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532"/>
      <w:jc w:val="center"/>
    </w:pPr>
    <w:r>
      <w:fldChar w:fldCharType="begin"/>
    </w:r>
    <w:r>
      <w:instrText xml:space="preserve"> PAGE   \* MERGEFORMAT </w:instrText>
    </w:r>
    <w:r>
      <w:fldChar w:fldCharType="separate"/>
    </w:r>
    <w:r>
      <w:t>2</w:t>
    </w:r>
    <w: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532"/>
      <w:jc w:val="center"/>
    </w:pPr>
    <w:r>
      <w:fldChar w:fldCharType="begin"/>
    </w:r>
    <w:r>
      <w:instrText xml:space="preserve"> PAGE   \* MERGEFORMAT </w:instrText>
    </w:r>
    <w:r>
      <w:fldChar w:fldCharType="separate"/>
    </w:r>
    <w:r>
      <w:t>2</w:t>
    </w:r>
    <w: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17"/>
      <w:jc w:val="center"/>
    </w:pPr>
    <w:r>
      <w:fldChar w:fldCharType="begin"/>
    </w:r>
    <w:r>
      <w:instrText xml:space="preserve"> PAGE   \* MERGEFORMAT </w:instrText>
    </w:r>
    <w:r>
      <w:fldChar w:fldCharType="separate"/>
    </w:r>
    <w:r>
      <w:t>66</w:t>
    </w:r>
    <w: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17"/>
      <w:jc w:val="center"/>
    </w:pPr>
    <w:r>
      <w:fldChar w:fldCharType="begin"/>
    </w:r>
    <w:r>
      <w:instrText xml:space="preserve"> PAGE   \* MERGEFORMAT </w:instrText>
    </w:r>
    <w:r>
      <w:fldChar w:fldCharType="separate"/>
    </w:r>
    <w:r>
      <w:t>66</w:t>
    </w:r>
    <w: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17"/>
      <w:jc w:val="center"/>
    </w:pPr>
    <w:r>
      <w:fldChar w:fldCharType="begin"/>
    </w:r>
    <w:r>
      <w:instrText xml:space="preserve"> PAGE   \* MERGEFORMAT </w:instrText>
    </w:r>
    <w:r>
      <w:fldChar w:fldCharType="separate"/>
    </w:r>
    <w:r>
      <w:t>66</w:t>
    </w:r>
    <w: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605"/>
      <w:jc w:val="center"/>
    </w:pPr>
    <w:r>
      <w:fldChar w:fldCharType="begin"/>
    </w:r>
    <w:r>
      <w:instrText xml:space="preserve"> PAGE   \* MERGEFORMAT </w:instrText>
    </w:r>
    <w:r>
      <w:fldChar w:fldCharType="separate"/>
    </w:r>
    <w:r>
      <w:t>2</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605"/>
      <w:jc w:val="center"/>
    </w:pPr>
    <w:r>
      <w:fldChar w:fldCharType="begin"/>
    </w:r>
    <w:r>
      <w:instrText xml:space="preserve"> PAGE   \* MERGEFORMAT </w:instrText>
    </w:r>
    <w:r>
      <w:fldChar w:fldCharType="separate"/>
    </w:r>
    <w:r>
      <w:t>2</w:t>
    </w:r>
    <w: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73"/>
      <w:jc w:val="center"/>
    </w:pPr>
    <w:r>
      <w:fldChar w:fldCharType="begin"/>
    </w:r>
    <w:r>
      <w:instrText xml:space="preserve"> PAGE   \* MERGEFORMAT </w:instrText>
    </w:r>
    <w:r>
      <w:fldChar w:fldCharType="separate"/>
    </w:r>
    <w:r>
      <w:t>2</w:t>
    </w:r>
    <w: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73"/>
      <w:jc w:val="center"/>
    </w:pPr>
    <w:r>
      <w:fldChar w:fldCharType="begin"/>
    </w:r>
    <w:r>
      <w:instrText xml:space="preserve"> PAGE   \* MERGEFORMAT </w:instrText>
    </w:r>
    <w:r>
      <w:fldChar w:fldCharType="separate"/>
    </w:r>
    <w:r>
      <w:t>2</w:t>
    </w:r>
    <w: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right="73"/>
      <w:jc w:val="center"/>
    </w:pPr>
    <w:r>
      <w:fldChar w:fldCharType="begin"/>
    </w:r>
    <w:r>
      <w:instrText xml:space="preserve"> PAGE   \* MERGEFORMAT </w:instrText>
    </w:r>
    <w:r>
      <w:fldChar w:fldCharType="separate"/>
    </w:r>
    <w:r>
      <w:t>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165F5">
      <w:pPr>
        <w:spacing w:after="0" w:line="240" w:lineRule="auto"/>
      </w:pPr>
      <w:r>
        <w:separator/>
      </w:r>
    </w:p>
  </w:footnote>
  <w:footnote w:type="continuationSeparator" w:id="0">
    <w:p w:rsidR="00000000" w:rsidRDefault="00416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76"/>
      <w:ind w:left="58"/>
    </w:pPr>
    <w:r>
      <w:rPr>
        <w:rFonts w:ascii="Arial" w:eastAsia="Arial" w:hAnsi="Arial" w:cs="Arial"/>
        <w:b/>
        <w:color w:val="7030A0"/>
      </w:rPr>
      <w:t xml:space="preserve">Independent auditor’s report to the members of the London Pensions Fund </w:t>
    </w:r>
  </w:p>
  <w:p w:rsidR="00576F87" w:rsidRDefault="004165F5">
    <w:pPr>
      <w:spacing w:after="0"/>
      <w:ind w:left="58"/>
    </w:pPr>
    <w:r>
      <w:rPr>
        <w:rFonts w:ascii="Arial" w:eastAsia="Arial" w:hAnsi="Arial" w:cs="Arial"/>
        <w:b/>
        <w:color w:val="7030A0"/>
      </w:rPr>
      <w:t xml:space="preserve">Authority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76"/>
      <w:ind w:left="58"/>
    </w:pPr>
    <w:r>
      <w:rPr>
        <w:rFonts w:ascii="Arial" w:eastAsia="Arial" w:hAnsi="Arial" w:cs="Arial"/>
        <w:b/>
        <w:color w:val="7030A0"/>
      </w:rPr>
      <w:t xml:space="preserve">Independent auditor’s report to the members of the London Pensions Fund </w:t>
    </w:r>
  </w:p>
  <w:p w:rsidR="00576F87" w:rsidRDefault="004165F5">
    <w:pPr>
      <w:spacing w:after="0"/>
      <w:ind w:left="58"/>
    </w:pPr>
    <w:r>
      <w:rPr>
        <w:rFonts w:ascii="Arial" w:eastAsia="Arial" w:hAnsi="Arial" w:cs="Arial"/>
        <w:b/>
        <w:color w:val="7030A0"/>
      </w:rPr>
      <w:t xml:space="preserve">Authority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76"/>
      <w:ind w:left="58"/>
    </w:pPr>
    <w:r>
      <w:rPr>
        <w:rFonts w:ascii="Arial" w:eastAsia="Arial" w:hAnsi="Arial" w:cs="Arial"/>
        <w:b/>
        <w:color w:val="7030A0"/>
      </w:rPr>
      <w:t xml:space="preserve">Independent auditor’s report to the members of the London Pensions Fund </w:t>
    </w:r>
  </w:p>
  <w:p w:rsidR="00576F87" w:rsidRDefault="004165F5">
    <w:pPr>
      <w:spacing w:after="0"/>
      <w:ind w:left="58"/>
    </w:pPr>
    <w:r>
      <w:rPr>
        <w:rFonts w:ascii="Arial" w:eastAsia="Arial" w:hAnsi="Arial" w:cs="Arial"/>
        <w:b/>
        <w:color w:val="7030A0"/>
      </w:rPr>
      <w:t xml:space="preserve">Authority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82"/>
      <w:ind w:left="31"/>
    </w:pPr>
    <w:r>
      <w:rPr>
        <w:rFonts w:ascii="Arial" w:eastAsia="Arial" w:hAnsi="Arial" w:cs="Arial"/>
        <w:b/>
        <w:color w:val="7030A0"/>
        <w:sz w:val="24"/>
      </w:rPr>
      <w:t xml:space="preserve">Independent auditor’s report to the members of the London Pensions Fund </w:t>
    </w:r>
  </w:p>
  <w:p w:rsidR="00576F87" w:rsidRDefault="004165F5">
    <w:pPr>
      <w:spacing w:after="0"/>
      <w:ind w:left="31"/>
    </w:pPr>
    <w:r>
      <w:rPr>
        <w:rFonts w:ascii="Arial" w:eastAsia="Arial" w:hAnsi="Arial" w:cs="Arial"/>
        <w:b/>
        <w:color w:val="7030A0"/>
        <w:sz w:val="24"/>
      </w:rPr>
      <w:t>Authority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82"/>
      <w:ind w:left="31"/>
    </w:pPr>
    <w:r>
      <w:rPr>
        <w:rFonts w:ascii="Arial" w:eastAsia="Arial" w:hAnsi="Arial" w:cs="Arial"/>
        <w:b/>
        <w:color w:val="7030A0"/>
        <w:sz w:val="24"/>
      </w:rPr>
      <w:t xml:space="preserve">Independent auditor’s report to the members of the London Pensions Fund </w:t>
    </w:r>
  </w:p>
  <w:p w:rsidR="00576F87" w:rsidRDefault="004165F5">
    <w:pPr>
      <w:spacing w:after="0"/>
      <w:ind w:left="31"/>
    </w:pPr>
    <w:r>
      <w:rPr>
        <w:rFonts w:ascii="Arial" w:eastAsia="Arial" w:hAnsi="Arial" w:cs="Arial"/>
        <w:b/>
        <w:color w:val="7030A0"/>
        <w:sz w:val="24"/>
      </w:rPr>
      <w:t>Authority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82"/>
      <w:ind w:left="31"/>
    </w:pPr>
    <w:r>
      <w:rPr>
        <w:rFonts w:ascii="Arial" w:eastAsia="Arial" w:hAnsi="Arial" w:cs="Arial"/>
        <w:b/>
        <w:color w:val="7030A0"/>
        <w:sz w:val="24"/>
      </w:rPr>
      <w:t xml:space="preserve">Independent auditor’s report to the members of the London Pensions Fund </w:t>
    </w:r>
  </w:p>
  <w:p w:rsidR="00576F87" w:rsidRDefault="004165F5">
    <w:pPr>
      <w:spacing w:after="0"/>
      <w:ind w:left="31"/>
    </w:pPr>
    <w:r>
      <w:rPr>
        <w:rFonts w:ascii="Arial" w:eastAsia="Arial" w:hAnsi="Arial" w:cs="Arial"/>
        <w:b/>
        <w:color w:val="7030A0"/>
        <w:sz w:val="24"/>
      </w:rPr>
      <w:t>Authority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
    </w:pPr>
    <w:r>
      <w:rPr>
        <w:rFonts w:ascii="Verdana" w:eastAsia="Verdana" w:hAnsi="Verdana" w:cs="Verdana"/>
        <w:b/>
        <w:color w:val="3F977F"/>
        <w:sz w:val="27"/>
      </w:rPr>
      <w:t>LPFA Accounts 31 March 2018</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
    </w:pPr>
    <w:r>
      <w:rPr>
        <w:rFonts w:ascii="Verdana" w:eastAsia="Verdana" w:hAnsi="Verdana" w:cs="Verdana"/>
        <w:b/>
        <w:color w:val="3F977F"/>
        <w:sz w:val="27"/>
      </w:rPr>
      <w:t>LPFA Accounts 31 March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
    </w:pPr>
    <w:r>
      <w:rPr>
        <w:rFonts w:ascii="Verdana" w:eastAsia="Verdana" w:hAnsi="Verdana" w:cs="Verdana"/>
        <w:b/>
        <w:color w:val="3F977F"/>
        <w:sz w:val="27"/>
      </w:rPr>
      <w:t>LPFA Accounts 31 March 2018</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
    </w:pPr>
    <w:r>
      <w:rPr>
        <w:rFonts w:ascii="Verdana" w:eastAsia="Verdana" w:hAnsi="Verdana" w:cs="Verdana"/>
        <w:b/>
        <w:color w:val="3F977F"/>
        <w:sz w:val="27"/>
      </w:rPr>
      <w:t>LPFA Accounts 31 March 2018</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4"/>
    </w:pPr>
    <w:r>
      <w:rPr>
        <w:rFonts w:ascii="Verdana" w:eastAsia="Verdana" w:hAnsi="Verdana" w:cs="Verdana"/>
        <w:b/>
        <w:color w:val="3F977F"/>
        <w:sz w:val="28"/>
      </w:rPr>
      <w:t>LPFA Accounts 31 March 2018</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4"/>
    </w:pPr>
    <w:r>
      <w:rPr>
        <w:rFonts w:ascii="Verdana" w:eastAsia="Verdana" w:hAnsi="Verdana" w:cs="Verdana"/>
        <w:b/>
        <w:color w:val="3F977F"/>
        <w:sz w:val="28"/>
      </w:rPr>
      <w:t>LPFA Accounts 31 March 2018</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4"/>
    </w:pPr>
    <w:r>
      <w:rPr>
        <w:rFonts w:ascii="Verdana" w:eastAsia="Verdana" w:hAnsi="Verdana" w:cs="Verdana"/>
        <w:b/>
        <w:color w:val="3F977F"/>
        <w:sz w:val="28"/>
      </w:rPr>
      <w:t>LPFA Accounts 31 March 2018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9"/>
    </w:pPr>
    <w:r>
      <w:rPr>
        <w:rFonts w:ascii="Verdana" w:eastAsia="Verdana" w:hAnsi="Verdana" w:cs="Verdana"/>
        <w:b/>
        <w:color w:val="3F977F"/>
        <w:sz w:val="28"/>
      </w:rPr>
      <w:t>LPFA Accounts 31 March 2018</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9"/>
    </w:pPr>
    <w:r>
      <w:rPr>
        <w:rFonts w:ascii="Verdana" w:eastAsia="Verdana" w:hAnsi="Verdana" w:cs="Verdana"/>
        <w:b/>
        <w:color w:val="3F977F"/>
        <w:sz w:val="28"/>
      </w:rPr>
      <w:t>LPFA Accounts 31 March 2018</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9"/>
    </w:pPr>
    <w:r>
      <w:rPr>
        <w:rFonts w:ascii="Verdana" w:eastAsia="Verdana" w:hAnsi="Verdana" w:cs="Verdana"/>
        <w:b/>
        <w:color w:val="3F977F"/>
        <w:sz w:val="28"/>
      </w:rPr>
      <w:t>LPFA Accounts 31 March 2018</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4"/>
    </w:pPr>
    <w:r>
      <w:rPr>
        <w:rFonts w:ascii="Verdana" w:eastAsia="Verdana" w:hAnsi="Verdana" w:cs="Verdana"/>
        <w:b/>
        <w:color w:val="3F977F"/>
        <w:sz w:val="24"/>
      </w:rPr>
      <w:t>LPFA Accounts 31 March 2018</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4"/>
    </w:pPr>
    <w:r>
      <w:rPr>
        <w:rFonts w:ascii="Verdana" w:eastAsia="Verdana" w:hAnsi="Verdana" w:cs="Verdana"/>
        <w:b/>
        <w:color w:val="3F977F"/>
        <w:sz w:val="24"/>
      </w:rPr>
      <w:t>LPFA Accounts 31 March 2018</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4"/>
    </w:pPr>
    <w:r>
      <w:rPr>
        <w:rFonts w:ascii="Verdana" w:eastAsia="Verdana" w:hAnsi="Verdana" w:cs="Verdana"/>
        <w:b/>
        <w:color w:val="3F977F"/>
        <w:sz w:val="24"/>
      </w:rPr>
      <w:t>LPFA Accounts 31 March 2018</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420"/>
    </w:pPr>
    <w:r>
      <w:rPr>
        <w:rFonts w:ascii="Verdana" w:eastAsia="Verdana" w:hAnsi="Verdana" w:cs="Verdana"/>
        <w:b/>
        <w:color w:val="3F977F"/>
        <w:sz w:val="28"/>
      </w:rPr>
      <w:t>LPFA Accounts 31 March 2018</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420"/>
    </w:pPr>
    <w:r>
      <w:rPr>
        <w:rFonts w:ascii="Verdana" w:eastAsia="Verdana" w:hAnsi="Verdana" w:cs="Verdana"/>
        <w:b/>
        <w:color w:val="3F977F"/>
        <w:sz w:val="28"/>
      </w:rPr>
      <w:t>LPFA Accounts 31 March 2018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
    </w:pPr>
    <w:r>
      <w:rPr>
        <w:rFonts w:ascii="Verdana" w:eastAsia="Verdana" w:hAnsi="Verdana" w:cs="Verdana"/>
        <w:b/>
        <w:color w:val="3F977F"/>
        <w:sz w:val="28"/>
      </w:rPr>
      <w:t>LPFA Accounts 31 March 2018</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344"/>
      <w:ind w:left="22"/>
    </w:pPr>
    <w:r>
      <w:rPr>
        <w:rFonts w:ascii="Verdana" w:eastAsia="Verdana" w:hAnsi="Verdana" w:cs="Verdana"/>
        <w:b/>
        <w:color w:val="3F977F"/>
        <w:sz w:val="28"/>
      </w:rPr>
      <w:t>LPFA Accounts 31 March 2018</w:t>
    </w:r>
  </w:p>
  <w:p w:rsidR="00576F87" w:rsidRDefault="004165F5">
    <w:pPr>
      <w:spacing w:after="0"/>
      <w:ind w:left="43"/>
    </w:pPr>
    <w:r>
      <w:rPr>
        <w:rFonts w:ascii="Verdana" w:eastAsia="Verdana" w:hAnsi="Verdana" w:cs="Verdana"/>
        <w:b/>
        <w:color w:val="009784"/>
        <w:sz w:val="40"/>
      </w:rPr>
      <w:t xml:space="preserve">8 </w:t>
    </w:r>
    <w:r>
      <w:rPr>
        <w:rFonts w:ascii="Verdana" w:eastAsia="Verdana" w:hAnsi="Verdana" w:cs="Verdana"/>
        <w:color w:val="35437C"/>
        <w:sz w:val="40"/>
      </w:rPr>
      <w:t>Employers participating in the Fund</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344"/>
      <w:ind w:left="22"/>
    </w:pPr>
    <w:r>
      <w:rPr>
        <w:rFonts w:ascii="Verdana" w:eastAsia="Verdana" w:hAnsi="Verdana" w:cs="Verdana"/>
        <w:b/>
        <w:color w:val="3F977F"/>
        <w:sz w:val="28"/>
      </w:rPr>
      <w:t>LPFA Accounts 31 March 2018</w:t>
    </w:r>
  </w:p>
  <w:p w:rsidR="00576F87" w:rsidRDefault="004165F5">
    <w:pPr>
      <w:spacing w:after="0"/>
      <w:ind w:left="43"/>
    </w:pPr>
    <w:r>
      <w:rPr>
        <w:rFonts w:ascii="Verdana" w:eastAsia="Verdana" w:hAnsi="Verdana" w:cs="Verdana"/>
        <w:b/>
        <w:color w:val="009784"/>
        <w:sz w:val="40"/>
      </w:rPr>
      <w:t xml:space="preserve">8 </w:t>
    </w:r>
    <w:r>
      <w:rPr>
        <w:rFonts w:ascii="Verdana" w:eastAsia="Verdana" w:hAnsi="Verdana" w:cs="Verdana"/>
        <w:color w:val="35437C"/>
        <w:sz w:val="40"/>
      </w:rPr>
      <w:t>Employers participating in the Fund</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
    </w:pPr>
    <w:r>
      <w:rPr>
        <w:rFonts w:ascii="Verdana" w:eastAsia="Verdana" w:hAnsi="Verdana" w:cs="Verdana"/>
        <w:b/>
        <w:color w:val="3F977F"/>
        <w:sz w:val="28"/>
      </w:rPr>
      <w:t>LPFA Accounts 31 March 2018</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48"/>
    </w:pPr>
    <w:r>
      <w:rPr>
        <w:rFonts w:ascii="Verdana" w:eastAsia="Verdana" w:hAnsi="Verdana" w:cs="Verdana"/>
        <w:b/>
        <w:color w:val="3F977F"/>
        <w:sz w:val="28"/>
      </w:rPr>
      <w:t>LPFA Accounts 31 March 2018</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48"/>
    </w:pPr>
    <w:r>
      <w:rPr>
        <w:rFonts w:ascii="Verdana" w:eastAsia="Verdana" w:hAnsi="Verdana" w:cs="Verdana"/>
        <w:b/>
        <w:color w:val="3F977F"/>
        <w:sz w:val="28"/>
      </w:rPr>
      <w:t>LPFA Accounts 31 March 2018</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48"/>
    </w:pPr>
    <w:r>
      <w:rPr>
        <w:rFonts w:ascii="Verdana" w:eastAsia="Verdana" w:hAnsi="Verdana" w:cs="Verdana"/>
        <w:b/>
        <w:color w:val="3F977F"/>
        <w:sz w:val="28"/>
      </w:rPr>
      <w:t>LPFA Accounts 31 March 2018</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4"/>
    </w:pPr>
    <w:r>
      <w:rPr>
        <w:rFonts w:ascii="Verdana" w:eastAsia="Verdana" w:hAnsi="Verdana" w:cs="Verdana"/>
        <w:b/>
        <w:color w:val="2F9582"/>
        <w:sz w:val="28"/>
      </w:rPr>
      <w:t>LPFA Accounts 31 March 2018</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4"/>
    </w:pPr>
    <w:r>
      <w:rPr>
        <w:rFonts w:ascii="Verdana" w:eastAsia="Verdana" w:hAnsi="Verdana" w:cs="Verdana"/>
        <w:b/>
        <w:color w:val="2F9582"/>
        <w:sz w:val="28"/>
      </w:rPr>
      <w:t>LPFA Accounts 31 March 2018</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4"/>
    </w:pPr>
    <w:r>
      <w:rPr>
        <w:rFonts w:ascii="Verdana" w:eastAsia="Verdana" w:hAnsi="Verdana" w:cs="Verdana"/>
        <w:b/>
        <w:color w:val="2F9582"/>
        <w:sz w:val="28"/>
      </w:rPr>
      <w:t>LPFA Accounts 31 March 2018</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
    </w:pPr>
    <w:r>
      <w:rPr>
        <w:rFonts w:ascii="Verdana" w:eastAsia="Verdana" w:hAnsi="Verdana" w:cs="Verdana"/>
        <w:b/>
        <w:color w:val="3F977F"/>
        <w:sz w:val="28"/>
      </w:rPr>
      <w:t>LPFA Accounts 31 March 2018</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576"/>
    </w:pPr>
    <w:r>
      <w:rPr>
        <w:rFonts w:ascii="Verdana" w:eastAsia="Verdana" w:hAnsi="Verdana" w:cs="Verdana"/>
        <w:b/>
        <w:color w:val="3F977F"/>
        <w:sz w:val="28"/>
      </w:rPr>
      <w:t>LPFA Accounts 31 March 2018</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
    </w:pPr>
    <w:r>
      <w:rPr>
        <w:rFonts w:ascii="Verdana" w:eastAsia="Verdana" w:hAnsi="Verdana" w:cs="Verdana"/>
        <w:b/>
        <w:color w:val="3F977F"/>
        <w:sz w:val="28"/>
      </w:rPr>
      <w:t>LPFA Accounts 31 March 2018</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
    </w:pPr>
    <w:r>
      <w:rPr>
        <w:rFonts w:ascii="Verdana" w:eastAsia="Verdana" w:hAnsi="Verdana" w:cs="Verdana"/>
        <w:b/>
        <w:color w:val="3F977F"/>
        <w:sz w:val="28"/>
      </w:rPr>
      <w:t>LPFA Accounts 31 March 2018</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
    </w:pPr>
    <w:r>
      <w:rPr>
        <w:rFonts w:ascii="Verdana" w:eastAsia="Verdana" w:hAnsi="Verdana" w:cs="Verdana"/>
        <w:b/>
        <w:color w:val="3F977F"/>
        <w:sz w:val="28"/>
      </w:rPr>
      <w:t>LPFA Accounts 31 March 2018</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4"/>
    </w:pPr>
    <w:r>
      <w:rPr>
        <w:rFonts w:ascii="Verdana" w:eastAsia="Verdana" w:hAnsi="Verdana" w:cs="Verdana"/>
        <w:b/>
        <w:color w:val="3F977F"/>
        <w:sz w:val="28"/>
      </w:rPr>
      <w:t>LPFA Accounts 31 March 2018</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4"/>
    </w:pPr>
    <w:r>
      <w:rPr>
        <w:rFonts w:ascii="Verdana" w:eastAsia="Verdana" w:hAnsi="Verdana" w:cs="Verdana"/>
        <w:b/>
        <w:color w:val="3F977F"/>
        <w:sz w:val="28"/>
      </w:rPr>
      <w:t>LPFA Accounts 31 March 2018</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4"/>
    </w:pPr>
    <w:r>
      <w:rPr>
        <w:rFonts w:ascii="Verdana" w:eastAsia="Verdana" w:hAnsi="Verdana" w:cs="Verdana"/>
        <w:b/>
        <w:color w:val="3F977F"/>
        <w:sz w:val="28"/>
      </w:rPr>
      <w:t>LPFA Accounts 31 March 2018</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4"/>
    </w:pPr>
    <w:r>
      <w:rPr>
        <w:rFonts w:ascii="Verdana" w:eastAsia="Verdana" w:hAnsi="Verdana" w:cs="Verdana"/>
        <w:b/>
        <w:color w:val="3F977F"/>
        <w:sz w:val="28"/>
      </w:rPr>
      <w:t>LPFA Accounts 31 March 2018</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4"/>
    </w:pPr>
    <w:r>
      <w:rPr>
        <w:rFonts w:ascii="Verdana" w:eastAsia="Verdana" w:hAnsi="Verdana" w:cs="Verdana"/>
        <w:b/>
        <w:color w:val="3F977F"/>
        <w:sz w:val="28"/>
      </w:rPr>
      <w:t>LPFA Accounts 31 March 2018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2"/>
    </w:pPr>
    <w:r>
      <w:rPr>
        <w:rFonts w:ascii="Verdana" w:eastAsia="Verdana" w:hAnsi="Verdana" w:cs="Verdana"/>
        <w:b/>
        <w:color w:val="3F977F"/>
        <w:sz w:val="28"/>
      </w:rPr>
      <w:t>LPFA Accounts 31 March 2018</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4"/>
    </w:pPr>
    <w:r>
      <w:rPr>
        <w:rFonts w:ascii="Verdana" w:eastAsia="Verdana" w:hAnsi="Verdana" w:cs="Verdana"/>
        <w:b/>
        <w:color w:val="3F977F"/>
        <w:sz w:val="28"/>
      </w:rPr>
      <w:t>LPFA Accounts 31 March 2018</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6"/>
    </w:pPr>
    <w:r>
      <w:rPr>
        <w:rFonts w:ascii="Verdana" w:eastAsia="Verdana" w:hAnsi="Verdana" w:cs="Verdana"/>
        <w:b/>
        <w:color w:val="3F977F"/>
        <w:sz w:val="28"/>
      </w:rPr>
      <w:t>LPFA Accounts 31 March 2018</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26"/>
    </w:pPr>
    <w:r>
      <w:rPr>
        <w:rFonts w:ascii="Verdana" w:eastAsia="Verdana" w:hAnsi="Verdana" w:cs="Verdana"/>
        <w:b/>
        <w:color w:val="3F977F"/>
        <w:sz w:val="28"/>
      </w:rPr>
      <w:t>LPFA Accounts 31 March 2018</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576"/>
    </w:pPr>
    <w:r>
      <w:rPr>
        <w:rFonts w:ascii="Verdana" w:eastAsia="Verdana" w:hAnsi="Verdana" w:cs="Verdana"/>
        <w:b/>
        <w:color w:val="3F977F"/>
        <w:sz w:val="28"/>
      </w:rPr>
      <w:t>LPFA Accounts 31 March 2018</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48"/>
    </w:pPr>
    <w:r>
      <w:rPr>
        <w:rFonts w:ascii="Verdana" w:eastAsia="Verdana" w:hAnsi="Verdana" w:cs="Verdana"/>
        <w:b/>
        <w:color w:val="3F977F"/>
        <w:sz w:val="28"/>
      </w:rPr>
      <w:t>LPFA Accounts 31 March 2018</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48"/>
    </w:pPr>
    <w:r>
      <w:rPr>
        <w:rFonts w:ascii="Verdana" w:eastAsia="Verdana" w:hAnsi="Verdana" w:cs="Verdana"/>
        <w:b/>
        <w:color w:val="3F977F"/>
        <w:sz w:val="28"/>
      </w:rPr>
      <w:t>LPFA Accounts 31 March 2018</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48"/>
    </w:pPr>
    <w:r>
      <w:rPr>
        <w:rFonts w:ascii="Verdana" w:eastAsia="Verdana" w:hAnsi="Verdana" w:cs="Verdana"/>
        <w:b/>
        <w:color w:val="3F977F"/>
        <w:sz w:val="28"/>
      </w:rPr>
      <w:t>LPFA Accounts 31 March 2018</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48"/>
    </w:pPr>
    <w:r>
      <w:rPr>
        <w:rFonts w:ascii="Verdana" w:eastAsia="Verdana" w:hAnsi="Verdana" w:cs="Verdana"/>
        <w:b/>
        <w:color w:val="3F977F"/>
        <w:sz w:val="28"/>
      </w:rPr>
      <w:t>LPFA Accounts 31 March 2018</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48"/>
    </w:pPr>
    <w:r>
      <w:rPr>
        <w:rFonts w:ascii="Verdana" w:eastAsia="Verdana" w:hAnsi="Verdana" w:cs="Verdana"/>
        <w:b/>
        <w:color w:val="3F977F"/>
        <w:sz w:val="28"/>
      </w:rPr>
      <w:t>LPFA Accounts 31 March 2018</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48"/>
    </w:pPr>
    <w:r>
      <w:rPr>
        <w:rFonts w:ascii="Verdana" w:eastAsia="Verdana" w:hAnsi="Verdana" w:cs="Verdana"/>
        <w:b/>
        <w:color w:val="3F977F"/>
        <w:sz w:val="28"/>
      </w:rPr>
      <w:t>LPFA Accounts 31 March 2018</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7"/>
    </w:pPr>
    <w:r>
      <w:rPr>
        <w:rFonts w:ascii="Verdana" w:eastAsia="Verdana" w:hAnsi="Verdana" w:cs="Verdana"/>
        <w:b/>
        <w:color w:val="3F977F"/>
        <w:sz w:val="28"/>
      </w:rPr>
      <w:t>LPFA Accounts 31 March 2018</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1"/>
    </w:pPr>
    <w:r>
      <w:rPr>
        <w:rFonts w:ascii="Verdana" w:eastAsia="Verdana" w:hAnsi="Verdana" w:cs="Verdana"/>
        <w:b/>
        <w:color w:val="3F977F"/>
        <w:sz w:val="28"/>
      </w:rPr>
      <w:t>LPFA Accounts 31 March 2018</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31"/>
    </w:pPr>
    <w:r>
      <w:rPr>
        <w:rFonts w:ascii="Verdana" w:eastAsia="Verdana" w:hAnsi="Verdana" w:cs="Verdana"/>
        <w:b/>
        <w:color w:val="3F977F"/>
        <w:sz w:val="28"/>
      </w:rPr>
      <w:t>LPFA Accounts 31 March 2018</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7"/>
    </w:pPr>
    <w:r>
      <w:rPr>
        <w:rFonts w:ascii="Verdana" w:eastAsia="Verdana" w:hAnsi="Verdana" w:cs="Verdana"/>
        <w:b/>
        <w:color w:val="3F977F"/>
        <w:sz w:val="28"/>
      </w:rPr>
      <w:t>LPFA Accounts 31 March 2018</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7"/>
    </w:pPr>
    <w:r>
      <w:rPr>
        <w:rFonts w:ascii="Verdana" w:eastAsia="Verdana" w:hAnsi="Verdana" w:cs="Verdana"/>
        <w:b/>
        <w:color w:val="3F977F"/>
        <w:sz w:val="28"/>
      </w:rPr>
      <w:t>LPFA Accounts 31 March 2018</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0"/>
      <w:ind w:left="17"/>
    </w:pPr>
    <w:r>
      <w:rPr>
        <w:rFonts w:ascii="Verdana" w:eastAsia="Verdana" w:hAnsi="Verdana" w:cs="Verdana"/>
        <w:b/>
        <w:color w:val="3F977F"/>
        <w:sz w:val="28"/>
      </w:rPr>
      <w:t>LPFA Accounts 31 March 2018</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341"/>
      <w:ind w:left="22"/>
    </w:pPr>
    <w:r>
      <w:rPr>
        <w:rFonts w:ascii="Verdana" w:eastAsia="Verdana" w:hAnsi="Verdana" w:cs="Verdana"/>
        <w:b/>
        <w:color w:val="3F977F"/>
        <w:sz w:val="28"/>
      </w:rPr>
      <w:t>LPFA Accounts 31 March 2018</w:t>
    </w:r>
  </w:p>
  <w:p w:rsidR="00576F87" w:rsidRDefault="004165F5">
    <w:pPr>
      <w:spacing w:after="0"/>
      <w:ind w:left="17"/>
    </w:pPr>
    <w:r>
      <w:rPr>
        <w:rFonts w:ascii="Verdana" w:eastAsia="Verdana" w:hAnsi="Verdana" w:cs="Verdana"/>
        <w:color w:val="35437C"/>
        <w:sz w:val="28"/>
      </w:rPr>
      <w:t>Residual Liabilities Accounts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341"/>
      <w:ind w:left="22"/>
    </w:pPr>
    <w:r>
      <w:rPr>
        <w:rFonts w:ascii="Verdana" w:eastAsia="Verdana" w:hAnsi="Verdana" w:cs="Verdana"/>
        <w:b/>
        <w:color w:val="3F977F"/>
        <w:sz w:val="28"/>
      </w:rPr>
      <w:t>LPFA Accounts 31 March 2018</w:t>
    </w:r>
  </w:p>
  <w:p w:rsidR="00576F87" w:rsidRDefault="004165F5">
    <w:pPr>
      <w:spacing w:after="0"/>
      <w:ind w:left="17"/>
    </w:pPr>
    <w:r>
      <w:rPr>
        <w:rFonts w:ascii="Verdana" w:eastAsia="Verdana" w:hAnsi="Verdana" w:cs="Verdana"/>
        <w:color w:val="35437C"/>
        <w:sz w:val="28"/>
      </w:rPr>
      <w:t>Residual Liabilities Accounts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4165F5">
    <w:pPr>
      <w:spacing w:after="341"/>
      <w:ind w:left="22"/>
    </w:pPr>
    <w:r>
      <w:rPr>
        <w:rFonts w:ascii="Verdana" w:eastAsia="Verdana" w:hAnsi="Verdana" w:cs="Verdana"/>
        <w:b/>
        <w:color w:val="3F977F"/>
        <w:sz w:val="28"/>
      </w:rPr>
      <w:t>LPFA Accounts 31 March 2018</w:t>
    </w:r>
  </w:p>
  <w:p w:rsidR="00576F87" w:rsidRDefault="004165F5">
    <w:pPr>
      <w:spacing w:after="0"/>
      <w:ind w:left="17"/>
    </w:pPr>
    <w:r>
      <w:rPr>
        <w:rFonts w:ascii="Verdana" w:eastAsia="Verdana" w:hAnsi="Verdana" w:cs="Verdana"/>
        <w:color w:val="35437C"/>
        <w:sz w:val="28"/>
      </w:rPr>
      <w:t>Residual Liabilities Accounts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76F87" w:rsidRDefault="00576F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5B50"/>
    <w:multiLevelType w:val="hybridMultilevel"/>
    <w:tmpl w:val="B3A68052"/>
    <w:lvl w:ilvl="0" w:tplc="514E9CAC">
      <w:start w:val="1"/>
      <w:numFmt w:val="bullet"/>
      <w:lvlText w:val="•"/>
      <w:lvlJc w:val="left"/>
      <w:pPr>
        <w:ind w:left="457"/>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1" w:tplc="F4C6DFB2">
      <w:start w:val="1"/>
      <w:numFmt w:val="bullet"/>
      <w:lvlText w:val="o"/>
      <w:lvlJc w:val="left"/>
      <w:pPr>
        <w:ind w:left="153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2" w:tplc="376CAF32">
      <w:start w:val="1"/>
      <w:numFmt w:val="bullet"/>
      <w:lvlText w:val="▪"/>
      <w:lvlJc w:val="left"/>
      <w:pPr>
        <w:ind w:left="225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3" w:tplc="7FBCB6F0">
      <w:start w:val="1"/>
      <w:numFmt w:val="bullet"/>
      <w:lvlText w:val="•"/>
      <w:lvlJc w:val="left"/>
      <w:pPr>
        <w:ind w:left="297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4" w:tplc="A1EA2DD0">
      <w:start w:val="1"/>
      <w:numFmt w:val="bullet"/>
      <w:lvlText w:val="o"/>
      <w:lvlJc w:val="left"/>
      <w:pPr>
        <w:ind w:left="369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5" w:tplc="CFAC9CCA">
      <w:start w:val="1"/>
      <w:numFmt w:val="bullet"/>
      <w:lvlText w:val="▪"/>
      <w:lvlJc w:val="left"/>
      <w:pPr>
        <w:ind w:left="441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6" w:tplc="A0AE9D02">
      <w:start w:val="1"/>
      <w:numFmt w:val="bullet"/>
      <w:lvlText w:val="•"/>
      <w:lvlJc w:val="left"/>
      <w:pPr>
        <w:ind w:left="513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7" w:tplc="FBCA2B9C">
      <w:start w:val="1"/>
      <w:numFmt w:val="bullet"/>
      <w:lvlText w:val="o"/>
      <w:lvlJc w:val="left"/>
      <w:pPr>
        <w:ind w:left="585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lvl w:ilvl="8" w:tplc="635C2390">
      <w:start w:val="1"/>
      <w:numFmt w:val="bullet"/>
      <w:lvlText w:val="▪"/>
      <w:lvlJc w:val="left"/>
      <w:pPr>
        <w:ind w:left="6574"/>
      </w:pPr>
      <w:rPr>
        <w:rFonts w:ascii="Garamond" w:eastAsia="Garamond" w:hAnsi="Garamond" w:cs="Garamond"/>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C862F7"/>
    <w:multiLevelType w:val="hybridMultilevel"/>
    <w:tmpl w:val="C896BB74"/>
    <w:lvl w:ilvl="0" w:tplc="C02864D8">
      <w:start w:val="9"/>
      <w:numFmt w:val="decimal"/>
      <w:lvlText w:val="%1"/>
      <w:lvlJc w:val="left"/>
      <w:pPr>
        <w:ind w:left="1857"/>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1" w:tplc="459A8EC6">
      <w:start w:val="1"/>
      <w:numFmt w:val="lowerLetter"/>
      <w:lvlText w:val="%2"/>
      <w:lvlJc w:val="left"/>
      <w:pPr>
        <w:ind w:left="1087"/>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2" w:tplc="C85876E0">
      <w:start w:val="1"/>
      <w:numFmt w:val="lowerRoman"/>
      <w:lvlText w:val="%3"/>
      <w:lvlJc w:val="left"/>
      <w:pPr>
        <w:ind w:left="1807"/>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3" w:tplc="CD9ED7D4">
      <w:start w:val="1"/>
      <w:numFmt w:val="decimal"/>
      <w:lvlText w:val="%4"/>
      <w:lvlJc w:val="left"/>
      <w:pPr>
        <w:ind w:left="2527"/>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4" w:tplc="5D0AE4C8">
      <w:start w:val="1"/>
      <w:numFmt w:val="lowerLetter"/>
      <w:lvlText w:val="%5"/>
      <w:lvlJc w:val="left"/>
      <w:pPr>
        <w:ind w:left="3247"/>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5" w:tplc="87A09538">
      <w:start w:val="1"/>
      <w:numFmt w:val="lowerRoman"/>
      <w:lvlText w:val="%6"/>
      <w:lvlJc w:val="left"/>
      <w:pPr>
        <w:ind w:left="3967"/>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6" w:tplc="F208D130">
      <w:start w:val="1"/>
      <w:numFmt w:val="decimal"/>
      <w:lvlText w:val="%7"/>
      <w:lvlJc w:val="left"/>
      <w:pPr>
        <w:ind w:left="4687"/>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7" w:tplc="97483FDC">
      <w:start w:val="1"/>
      <w:numFmt w:val="lowerLetter"/>
      <w:lvlText w:val="%8"/>
      <w:lvlJc w:val="left"/>
      <w:pPr>
        <w:ind w:left="5407"/>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8" w:tplc="3160BBC4">
      <w:start w:val="1"/>
      <w:numFmt w:val="lowerRoman"/>
      <w:lvlText w:val="%9"/>
      <w:lvlJc w:val="left"/>
      <w:pPr>
        <w:ind w:left="6127"/>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2631FD7"/>
    <w:multiLevelType w:val="hybridMultilevel"/>
    <w:tmpl w:val="47B08A66"/>
    <w:lvl w:ilvl="0" w:tplc="E7B6F5A0">
      <w:start w:val="1"/>
      <w:numFmt w:val="bullet"/>
      <w:lvlText w:val="•"/>
      <w:lvlJc w:val="left"/>
      <w:pPr>
        <w:ind w:left="391"/>
      </w:pPr>
      <w:rPr>
        <w:rFonts w:ascii="Arial" w:eastAsia="Arial" w:hAnsi="Arial" w:cs="Arial"/>
        <w:b w:val="0"/>
        <w:i w:val="0"/>
        <w:strike w:val="0"/>
        <w:dstrike w:val="0"/>
        <w:color w:val="221E1F"/>
        <w:sz w:val="19"/>
        <w:szCs w:val="19"/>
        <w:u w:val="none" w:color="000000"/>
        <w:bdr w:val="none" w:sz="0" w:space="0" w:color="auto"/>
        <w:shd w:val="clear" w:color="auto" w:fill="auto"/>
        <w:vertAlign w:val="baseline"/>
      </w:rPr>
    </w:lvl>
    <w:lvl w:ilvl="1" w:tplc="BCE4FBD6">
      <w:start w:val="1"/>
      <w:numFmt w:val="bullet"/>
      <w:lvlText w:val="o"/>
      <w:lvlJc w:val="left"/>
      <w:pPr>
        <w:ind w:left="1080"/>
      </w:pPr>
      <w:rPr>
        <w:rFonts w:ascii="Segoe UI Symbol" w:eastAsia="Segoe UI Symbol" w:hAnsi="Segoe UI Symbol" w:cs="Segoe UI Symbol"/>
        <w:b w:val="0"/>
        <w:i w:val="0"/>
        <w:strike w:val="0"/>
        <w:dstrike w:val="0"/>
        <w:color w:val="221E1F"/>
        <w:sz w:val="19"/>
        <w:szCs w:val="19"/>
        <w:u w:val="none" w:color="000000"/>
        <w:bdr w:val="none" w:sz="0" w:space="0" w:color="auto"/>
        <w:shd w:val="clear" w:color="auto" w:fill="auto"/>
        <w:vertAlign w:val="baseline"/>
      </w:rPr>
    </w:lvl>
    <w:lvl w:ilvl="2" w:tplc="FAC607D4">
      <w:start w:val="1"/>
      <w:numFmt w:val="bullet"/>
      <w:lvlText w:val="▪"/>
      <w:lvlJc w:val="left"/>
      <w:pPr>
        <w:ind w:left="1800"/>
      </w:pPr>
      <w:rPr>
        <w:rFonts w:ascii="Segoe UI Symbol" w:eastAsia="Segoe UI Symbol" w:hAnsi="Segoe UI Symbol" w:cs="Segoe UI Symbol"/>
        <w:b w:val="0"/>
        <w:i w:val="0"/>
        <w:strike w:val="0"/>
        <w:dstrike w:val="0"/>
        <w:color w:val="221E1F"/>
        <w:sz w:val="19"/>
        <w:szCs w:val="19"/>
        <w:u w:val="none" w:color="000000"/>
        <w:bdr w:val="none" w:sz="0" w:space="0" w:color="auto"/>
        <w:shd w:val="clear" w:color="auto" w:fill="auto"/>
        <w:vertAlign w:val="baseline"/>
      </w:rPr>
    </w:lvl>
    <w:lvl w:ilvl="3" w:tplc="AA3424D8">
      <w:start w:val="1"/>
      <w:numFmt w:val="bullet"/>
      <w:lvlText w:val="•"/>
      <w:lvlJc w:val="left"/>
      <w:pPr>
        <w:ind w:left="2520"/>
      </w:pPr>
      <w:rPr>
        <w:rFonts w:ascii="Arial" w:eastAsia="Arial" w:hAnsi="Arial" w:cs="Arial"/>
        <w:b w:val="0"/>
        <w:i w:val="0"/>
        <w:strike w:val="0"/>
        <w:dstrike w:val="0"/>
        <w:color w:val="221E1F"/>
        <w:sz w:val="19"/>
        <w:szCs w:val="19"/>
        <w:u w:val="none" w:color="000000"/>
        <w:bdr w:val="none" w:sz="0" w:space="0" w:color="auto"/>
        <w:shd w:val="clear" w:color="auto" w:fill="auto"/>
        <w:vertAlign w:val="baseline"/>
      </w:rPr>
    </w:lvl>
    <w:lvl w:ilvl="4" w:tplc="F84ACCCA">
      <w:start w:val="1"/>
      <w:numFmt w:val="bullet"/>
      <w:lvlText w:val="o"/>
      <w:lvlJc w:val="left"/>
      <w:pPr>
        <w:ind w:left="3240"/>
      </w:pPr>
      <w:rPr>
        <w:rFonts w:ascii="Segoe UI Symbol" w:eastAsia="Segoe UI Symbol" w:hAnsi="Segoe UI Symbol" w:cs="Segoe UI Symbol"/>
        <w:b w:val="0"/>
        <w:i w:val="0"/>
        <w:strike w:val="0"/>
        <w:dstrike w:val="0"/>
        <w:color w:val="221E1F"/>
        <w:sz w:val="19"/>
        <w:szCs w:val="19"/>
        <w:u w:val="none" w:color="000000"/>
        <w:bdr w:val="none" w:sz="0" w:space="0" w:color="auto"/>
        <w:shd w:val="clear" w:color="auto" w:fill="auto"/>
        <w:vertAlign w:val="baseline"/>
      </w:rPr>
    </w:lvl>
    <w:lvl w:ilvl="5" w:tplc="E202EA6E">
      <w:start w:val="1"/>
      <w:numFmt w:val="bullet"/>
      <w:lvlText w:val="▪"/>
      <w:lvlJc w:val="left"/>
      <w:pPr>
        <w:ind w:left="3960"/>
      </w:pPr>
      <w:rPr>
        <w:rFonts w:ascii="Segoe UI Symbol" w:eastAsia="Segoe UI Symbol" w:hAnsi="Segoe UI Symbol" w:cs="Segoe UI Symbol"/>
        <w:b w:val="0"/>
        <w:i w:val="0"/>
        <w:strike w:val="0"/>
        <w:dstrike w:val="0"/>
        <w:color w:val="221E1F"/>
        <w:sz w:val="19"/>
        <w:szCs w:val="19"/>
        <w:u w:val="none" w:color="000000"/>
        <w:bdr w:val="none" w:sz="0" w:space="0" w:color="auto"/>
        <w:shd w:val="clear" w:color="auto" w:fill="auto"/>
        <w:vertAlign w:val="baseline"/>
      </w:rPr>
    </w:lvl>
    <w:lvl w:ilvl="6" w:tplc="0848111A">
      <w:start w:val="1"/>
      <w:numFmt w:val="bullet"/>
      <w:lvlText w:val="•"/>
      <w:lvlJc w:val="left"/>
      <w:pPr>
        <w:ind w:left="4680"/>
      </w:pPr>
      <w:rPr>
        <w:rFonts w:ascii="Arial" w:eastAsia="Arial" w:hAnsi="Arial" w:cs="Arial"/>
        <w:b w:val="0"/>
        <w:i w:val="0"/>
        <w:strike w:val="0"/>
        <w:dstrike w:val="0"/>
        <w:color w:val="221E1F"/>
        <w:sz w:val="19"/>
        <w:szCs w:val="19"/>
        <w:u w:val="none" w:color="000000"/>
        <w:bdr w:val="none" w:sz="0" w:space="0" w:color="auto"/>
        <w:shd w:val="clear" w:color="auto" w:fill="auto"/>
        <w:vertAlign w:val="baseline"/>
      </w:rPr>
    </w:lvl>
    <w:lvl w:ilvl="7" w:tplc="6C347AEA">
      <w:start w:val="1"/>
      <w:numFmt w:val="bullet"/>
      <w:lvlText w:val="o"/>
      <w:lvlJc w:val="left"/>
      <w:pPr>
        <w:ind w:left="5400"/>
      </w:pPr>
      <w:rPr>
        <w:rFonts w:ascii="Segoe UI Symbol" w:eastAsia="Segoe UI Symbol" w:hAnsi="Segoe UI Symbol" w:cs="Segoe UI Symbol"/>
        <w:b w:val="0"/>
        <w:i w:val="0"/>
        <w:strike w:val="0"/>
        <w:dstrike w:val="0"/>
        <w:color w:val="221E1F"/>
        <w:sz w:val="19"/>
        <w:szCs w:val="19"/>
        <w:u w:val="none" w:color="000000"/>
        <w:bdr w:val="none" w:sz="0" w:space="0" w:color="auto"/>
        <w:shd w:val="clear" w:color="auto" w:fill="auto"/>
        <w:vertAlign w:val="baseline"/>
      </w:rPr>
    </w:lvl>
    <w:lvl w:ilvl="8" w:tplc="DE5277BE">
      <w:start w:val="1"/>
      <w:numFmt w:val="bullet"/>
      <w:lvlText w:val="▪"/>
      <w:lvlJc w:val="left"/>
      <w:pPr>
        <w:ind w:left="6120"/>
      </w:pPr>
      <w:rPr>
        <w:rFonts w:ascii="Segoe UI Symbol" w:eastAsia="Segoe UI Symbol" w:hAnsi="Segoe UI Symbol" w:cs="Segoe UI Symbol"/>
        <w:b w:val="0"/>
        <w:i w:val="0"/>
        <w:strike w:val="0"/>
        <w:dstrike w:val="0"/>
        <w:color w:val="221E1F"/>
        <w:sz w:val="19"/>
        <w:szCs w:val="19"/>
        <w:u w:val="none" w:color="000000"/>
        <w:bdr w:val="none" w:sz="0" w:space="0" w:color="auto"/>
        <w:shd w:val="clear" w:color="auto" w:fill="auto"/>
        <w:vertAlign w:val="baseline"/>
      </w:rPr>
    </w:lvl>
  </w:abstractNum>
  <w:abstractNum w:abstractNumId="3" w15:restartNumberingAfterBreak="0">
    <w:nsid w:val="135E2FFD"/>
    <w:multiLevelType w:val="hybridMultilevel"/>
    <w:tmpl w:val="4E3E2C7E"/>
    <w:lvl w:ilvl="0" w:tplc="24A0966C">
      <w:start w:val="1"/>
      <w:numFmt w:val="bullet"/>
      <w:lvlText w:val="•"/>
      <w:lvlJc w:val="left"/>
      <w:pPr>
        <w:ind w:left="4817"/>
      </w:pPr>
      <w:rPr>
        <w:rFonts w:ascii="Garamond" w:eastAsia="Garamond" w:hAnsi="Garamond" w:cs="Garamond"/>
        <w:b w:val="0"/>
        <w:i w:val="0"/>
        <w:strike w:val="0"/>
        <w:dstrike w:val="0"/>
        <w:color w:val="000000"/>
        <w:sz w:val="30"/>
        <w:szCs w:val="30"/>
        <w:u w:val="none" w:color="000000"/>
        <w:bdr w:val="none" w:sz="0" w:space="0" w:color="auto"/>
        <w:shd w:val="clear" w:color="auto" w:fill="auto"/>
        <w:vertAlign w:val="superscript"/>
      </w:rPr>
    </w:lvl>
    <w:lvl w:ilvl="1" w:tplc="38184DE6">
      <w:start w:val="1"/>
      <w:numFmt w:val="bullet"/>
      <w:lvlText w:val="o"/>
      <w:lvlJc w:val="left"/>
      <w:pPr>
        <w:ind w:left="5550"/>
      </w:pPr>
      <w:rPr>
        <w:rFonts w:ascii="Garamond" w:eastAsia="Garamond" w:hAnsi="Garamond" w:cs="Garamond"/>
        <w:b w:val="0"/>
        <w:i w:val="0"/>
        <w:strike w:val="0"/>
        <w:dstrike w:val="0"/>
        <w:color w:val="000000"/>
        <w:sz w:val="30"/>
        <w:szCs w:val="30"/>
        <w:u w:val="none" w:color="000000"/>
        <w:bdr w:val="none" w:sz="0" w:space="0" w:color="auto"/>
        <w:shd w:val="clear" w:color="auto" w:fill="auto"/>
        <w:vertAlign w:val="superscript"/>
      </w:rPr>
    </w:lvl>
    <w:lvl w:ilvl="2" w:tplc="F61884D4">
      <w:start w:val="1"/>
      <w:numFmt w:val="bullet"/>
      <w:lvlText w:val="▪"/>
      <w:lvlJc w:val="left"/>
      <w:pPr>
        <w:ind w:left="6270"/>
      </w:pPr>
      <w:rPr>
        <w:rFonts w:ascii="Garamond" w:eastAsia="Garamond" w:hAnsi="Garamond" w:cs="Garamond"/>
        <w:b w:val="0"/>
        <w:i w:val="0"/>
        <w:strike w:val="0"/>
        <w:dstrike w:val="0"/>
        <w:color w:val="000000"/>
        <w:sz w:val="30"/>
        <w:szCs w:val="30"/>
        <w:u w:val="none" w:color="000000"/>
        <w:bdr w:val="none" w:sz="0" w:space="0" w:color="auto"/>
        <w:shd w:val="clear" w:color="auto" w:fill="auto"/>
        <w:vertAlign w:val="superscript"/>
      </w:rPr>
    </w:lvl>
    <w:lvl w:ilvl="3" w:tplc="428EBCA4">
      <w:start w:val="1"/>
      <w:numFmt w:val="bullet"/>
      <w:lvlText w:val="•"/>
      <w:lvlJc w:val="left"/>
      <w:pPr>
        <w:ind w:left="6990"/>
      </w:pPr>
      <w:rPr>
        <w:rFonts w:ascii="Garamond" w:eastAsia="Garamond" w:hAnsi="Garamond" w:cs="Garamond"/>
        <w:b w:val="0"/>
        <w:i w:val="0"/>
        <w:strike w:val="0"/>
        <w:dstrike w:val="0"/>
        <w:color w:val="000000"/>
        <w:sz w:val="30"/>
        <w:szCs w:val="30"/>
        <w:u w:val="none" w:color="000000"/>
        <w:bdr w:val="none" w:sz="0" w:space="0" w:color="auto"/>
        <w:shd w:val="clear" w:color="auto" w:fill="auto"/>
        <w:vertAlign w:val="superscript"/>
      </w:rPr>
    </w:lvl>
    <w:lvl w:ilvl="4" w:tplc="83829F34">
      <w:start w:val="1"/>
      <w:numFmt w:val="bullet"/>
      <w:lvlText w:val="o"/>
      <w:lvlJc w:val="left"/>
      <w:pPr>
        <w:ind w:left="7710"/>
      </w:pPr>
      <w:rPr>
        <w:rFonts w:ascii="Garamond" w:eastAsia="Garamond" w:hAnsi="Garamond" w:cs="Garamond"/>
        <w:b w:val="0"/>
        <w:i w:val="0"/>
        <w:strike w:val="0"/>
        <w:dstrike w:val="0"/>
        <w:color w:val="000000"/>
        <w:sz w:val="30"/>
        <w:szCs w:val="30"/>
        <w:u w:val="none" w:color="000000"/>
        <w:bdr w:val="none" w:sz="0" w:space="0" w:color="auto"/>
        <w:shd w:val="clear" w:color="auto" w:fill="auto"/>
        <w:vertAlign w:val="superscript"/>
      </w:rPr>
    </w:lvl>
    <w:lvl w:ilvl="5" w:tplc="2CD088C4">
      <w:start w:val="1"/>
      <w:numFmt w:val="bullet"/>
      <w:lvlText w:val="▪"/>
      <w:lvlJc w:val="left"/>
      <w:pPr>
        <w:ind w:left="8430"/>
      </w:pPr>
      <w:rPr>
        <w:rFonts w:ascii="Garamond" w:eastAsia="Garamond" w:hAnsi="Garamond" w:cs="Garamond"/>
        <w:b w:val="0"/>
        <w:i w:val="0"/>
        <w:strike w:val="0"/>
        <w:dstrike w:val="0"/>
        <w:color w:val="000000"/>
        <w:sz w:val="30"/>
        <w:szCs w:val="30"/>
        <w:u w:val="none" w:color="000000"/>
        <w:bdr w:val="none" w:sz="0" w:space="0" w:color="auto"/>
        <w:shd w:val="clear" w:color="auto" w:fill="auto"/>
        <w:vertAlign w:val="superscript"/>
      </w:rPr>
    </w:lvl>
    <w:lvl w:ilvl="6" w:tplc="6D9EC12A">
      <w:start w:val="1"/>
      <w:numFmt w:val="bullet"/>
      <w:lvlText w:val="•"/>
      <w:lvlJc w:val="left"/>
      <w:pPr>
        <w:ind w:left="9150"/>
      </w:pPr>
      <w:rPr>
        <w:rFonts w:ascii="Garamond" w:eastAsia="Garamond" w:hAnsi="Garamond" w:cs="Garamond"/>
        <w:b w:val="0"/>
        <w:i w:val="0"/>
        <w:strike w:val="0"/>
        <w:dstrike w:val="0"/>
        <w:color w:val="000000"/>
        <w:sz w:val="30"/>
        <w:szCs w:val="30"/>
        <w:u w:val="none" w:color="000000"/>
        <w:bdr w:val="none" w:sz="0" w:space="0" w:color="auto"/>
        <w:shd w:val="clear" w:color="auto" w:fill="auto"/>
        <w:vertAlign w:val="superscript"/>
      </w:rPr>
    </w:lvl>
    <w:lvl w:ilvl="7" w:tplc="0A7ECF8A">
      <w:start w:val="1"/>
      <w:numFmt w:val="bullet"/>
      <w:lvlText w:val="o"/>
      <w:lvlJc w:val="left"/>
      <w:pPr>
        <w:ind w:left="9870"/>
      </w:pPr>
      <w:rPr>
        <w:rFonts w:ascii="Garamond" w:eastAsia="Garamond" w:hAnsi="Garamond" w:cs="Garamond"/>
        <w:b w:val="0"/>
        <w:i w:val="0"/>
        <w:strike w:val="0"/>
        <w:dstrike w:val="0"/>
        <w:color w:val="000000"/>
        <w:sz w:val="30"/>
        <w:szCs w:val="30"/>
        <w:u w:val="none" w:color="000000"/>
        <w:bdr w:val="none" w:sz="0" w:space="0" w:color="auto"/>
        <w:shd w:val="clear" w:color="auto" w:fill="auto"/>
        <w:vertAlign w:val="superscript"/>
      </w:rPr>
    </w:lvl>
    <w:lvl w:ilvl="8" w:tplc="93D60EBA">
      <w:start w:val="1"/>
      <w:numFmt w:val="bullet"/>
      <w:lvlText w:val="▪"/>
      <w:lvlJc w:val="left"/>
      <w:pPr>
        <w:ind w:left="10590"/>
      </w:pPr>
      <w:rPr>
        <w:rFonts w:ascii="Garamond" w:eastAsia="Garamond" w:hAnsi="Garamond" w:cs="Garamond"/>
        <w:b w:val="0"/>
        <w:i w:val="0"/>
        <w:strike w:val="0"/>
        <w:dstrike w:val="0"/>
        <w:color w:val="000000"/>
        <w:sz w:val="30"/>
        <w:szCs w:val="30"/>
        <w:u w:val="none" w:color="000000"/>
        <w:bdr w:val="none" w:sz="0" w:space="0" w:color="auto"/>
        <w:shd w:val="clear" w:color="auto" w:fill="auto"/>
        <w:vertAlign w:val="superscript"/>
      </w:rPr>
    </w:lvl>
  </w:abstractNum>
  <w:abstractNum w:abstractNumId="4" w15:restartNumberingAfterBreak="0">
    <w:nsid w:val="1D7E1A95"/>
    <w:multiLevelType w:val="hybridMultilevel"/>
    <w:tmpl w:val="18D88E06"/>
    <w:lvl w:ilvl="0" w:tplc="E2043834">
      <w:start w:val="1"/>
      <w:numFmt w:val="bullet"/>
      <w:lvlText w:val="•"/>
      <w:lvlJc w:val="left"/>
      <w:pPr>
        <w:ind w:left="103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6A45C7A">
      <w:start w:val="1"/>
      <w:numFmt w:val="bullet"/>
      <w:lvlText w:val="o"/>
      <w:lvlJc w:val="left"/>
      <w:pPr>
        <w:ind w:left="151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2F4AB25C">
      <w:start w:val="1"/>
      <w:numFmt w:val="bullet"/>
      <w:lvlText w:val="▪"/>
      <w:lvlJc w:val="left"/>
      <w:pPr>
        <w:ind w:left="223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11F06D08">
      <w:start w:val="1"/>
      <w:numFmt w:val="bullet"/>
      <w:lvlText w:val="•"/>
      <w:lvlJc w:val="left"/>
      <w:pPr>
        <w:ind w:left="295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62F6CBB2">
      <w:start w:val="1"/>
      <w:numFmt w:val="bullet"/>
      <w:lvlText w:val="o"/>
      <w:lvlJc w:val="left"/>
      <w:pPr>
        <w:ind w:left="367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4B099AA">
      <w:start w:val="1"/>
      <w:numFmt w:val="bullet"/>
      <w:lvlText w:val="▪"/>
      <w:lvlJc w:val="left"/>
      <w:pPr>
        <w:ind w:left="439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48C309C">
      <w:start w:val="1"/>
      <w:numFmt w:val="bullet"/>
      <w:lvlText w:val="•"/>
      <w:lvlJc w:val="left"/>
      <w:pPr>
        <w:ind w:left="511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62A9E34">
      <w:start w:val="1"/>
      <w:numFmt w:val="bullet"/>
      <w:lvlText w:val="o"/>
      <w:lvlJc w:val="left"/>
      <w:pPr>
        <w:ind w:left="583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D6DAFE92">
      <w:start w:val="1"/>
      <w:numFmt w:val="bullet"/>
      <w:lvlText w:val="▪"/>
      <w:lvlJc w:val="left"/>
      <w:pPr>
        <w:ind w:left="6552"/>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19911D6"/>
    <w:multiLevelType w:val="hybridMultilevel"/>
    <w:tmpl w:val="E0FCDC9C"/>
    <w:lvl w:ilvl="0" w:tplc="DB9A5618">
      <w:start w:val="1"/>
      <w:numFmt w:val="bullet"/>
      <w:lvlText w:val="•"/>
      <w:lvlJc w:val="left"/>
      <w:pPr>
        <w:ind w:left="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7013C4">
      <w:start w:val="1"/>
      <w:numFmt w:val="bullet"/>
      <w:lvlText w:val="o"/>
      <w:lvlJc w:val="left"/>
      <w:pPr>
        <w:ind w:left="13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FE8C82">
      <w:start w:val="1"/>
      <w:numFmt w:val="bullet"/>
      <w:lvlText w:val="▪"/>
      <w:lvlJc w:val="left"/>
      <w:pPr>
        <w:ind w:left="21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8C8FB6">
      <w:start w:val="1"/>
      <w:numFmt w:val="bullet"/>
      <w:lvlText w:val="•"/>
      <w:lvlJc w:val="left"/>
      <w:pPr>
        <w:ind w:left="2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F8B81E">
      <w:start w:val="1"/>
      <w:numFmt w:val="bullet"/>
      <w:lvlText w:val="o"/>
      <w:lvlJc w:val="left"/>
      <w:pPr>
        <w:ind w:left="35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CAC280">
      <w:start w:val="1"/>
      <w:numFmt w:val="bullet"/>
      <w:lvlText w:val="▪"/>
      <w:lvlJc w:val="left"/>
      <w:pPr>
        <w:ind w:left="42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F8BCEE">
      <w:start w:val="1"/>
      <w:numFmt w:val="bullet"/>
      <w:lvlText w:val="•"/>
      <w:lvlJc w:val="left"/>
      <w:pPr>
        <w:ind w:left="49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52B20A">
      <w:start w:val="1"/>
      <w:numFmt w:val="bullet"/>
      <w:lvlText w:val="o"/>
      <w:lvlJc w:val="left"/>
      <w:pPr>
        <w:ind w:left="57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3E4CB8">
      <w:start w:val="1"/>
      <w:numFmt w:val="bullet"/>
      <w:lvlText w:val="▪"/>
      <w:lvlJc w:val="left"/>
      <w:pPr>
        <w:ind w:left="6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2C80BF3"/>
    <w:multiLevelType w:val="hybridMultilevel"/>
    <w:tmpl w:val="46F4642A"/>
    <w:lvl w:ilvl="0" w:tplc="1A2A2050">
      <w:start w:val="1"/>
      <w:numFmt w:val="bullet"/>
      <w:lvlText w:val="•"/>
      <w:lvlJc w:val="left"/>
      <w:pPr>
        <w:ind w:left="4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8ECD4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ECD3B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EBA34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9CAEA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7ABCD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0A061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2C47B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64693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9B82CB7"/>
    <w:multiLevelType w:val="hybridMultilevel"/>
    <w:tmpl w:val="5D6A0562"/>
    <w:lvl w:ilvl="0" w:tplc="C0D08F32">
      <w:start w:val="15"/>
      <w:numFmt w:val="decimal"/>
      <w:lvlText w:val="%1"/>
      <w:lvlJc w:val="left"/>
      <w:pPr>
        <w:ind w:left="1940"/>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1" w:tplc="042A0B1E">
      <w:start w:val="1"/>
      <w:numFmt w:val="lowerLetter"/>
      <w:lvlText w:val="%2"/>
      <w:lvlJc w:val="left"/>
      <w:pPr>
        <w:ind w:left="1094"/>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2" w:tplc="C26C4A14">
      <w:start w:val="1"/>
      <w:numFmt w:val="lowerRoman"/>
      <w:lvlText w:val="%3"/>
      <w:lvlJc w:val="left"/>
      <w:pPr>
        <w:ind w:left="1814"/>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3" w:tplc="5010FEAE">
      <w:start w:val="1"/>
      <w:numFmt w:val="decimal"/>
      <w:lvlText w:val="%4"/>
      <w:lvlJc w:val="left"/>
      <w:pPr>
        <w:ind w:left="2534"/>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4" w:tplc="EB98A68A">
      <w:start w:val="1"/>
      <w:numFmt w:val="lowerLetter"/>
      <w:lvlText w:val="%5"/>
      <w:lvlJc w:val="left"/>
      <w:pPr>
        <w:ind w:left="3254"/>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5" w:tplc="911E9D50">
      <w:start w:val="1"/>
      <w:numFmt w:val="lowerRoman"/>
      <w:lvlText w:val="%6"/>
      <w:lvlJc w:val="left"/>
      <w:pPr>
        <w:ind w:left="3974"/>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6" w:tplc="7AB85A2C">
      <w:start w:val="1"/>
      <w:numFmt w:val="decimal"/>
      <w:lvlText w:val="%7"/>
      <w:lvlJc w:val="left"/>
      <w:pPr>
        <w:ind w:left="4694"/>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7" w:tplc="B1A46E5C">
      <w:start w:val="1"/>
      <w:numFmt w:val="lowerLetter"/>
      <w:lvlText w:val="%8"/>
      <w:lvlJc w:val="left"/>
      <w:pPr>
        <w:ind w:left="5414"/>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8" w:tplc="3ABA7AF4">
      <w:start w:val="1"/>
      <w:numFmt w:val="lowerRoman"/>
      <w:lvlText w:val="%9"/>
      <w:lvlJc w:val="left"/>
      <w:pPr>
        <w:ind w:left="6134"/>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DDA3715"/>
    <w:multiLevelType w:val="hybridMultilevel"/>
    <w:tmpl w:val="B38A66CA"/>
    <w:lvl w:ilvl="0" w:tplc="D58AB17A">
      <w:start w:val="17"/>
      <w:numFmt w:val="decimal"/>
      <w:lvlText w:val="%1"/>
      <w:lvlJc w:val="left"/>
      <w:pPr>
        <w:ind w:left="2556"/>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1" w:tplc="0DAA825E">
      <w:start w:val="1"/>
      <w:numFmt w:val="lowerLetter"/>
      <w:lvlText w:val="%2"/>
      <w:lvlJc w:val="left"/>
      <w:pPr>
        <w:ind w:left="1102"/>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2" w:tplc="EBDE52BE">
      <w:start w:val="1"/>
      <w:numFmt w:val="lowerRoman"/>
      <w:lvlText w:val="%3"/>
      <w:lvlJc w:val="left"/>
      <w:pPr>
        <w:ind w:left="1822"/>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3" w:tplc="A8AEBEE6">
      <w:start w:val="1"/>
      <w:numFmt w:val="decimal"/>
      <w:lvlText w:val="%4"/>
      <w:lvlJc w:val="left"/>
      <w:pPr>
        <w:ind w:left="2542"/>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4" w:tplc="27D0B9D0">
      <w:start w:val="1"/>
      <w:numFmt w:val="lowerLetter"/>
      <w:lvlText w:val="%5"/>
      <w:lvlJc w:val="left"/>
      <w:pPr>
        <w:ind w:left="3262"/>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5" w:tplc="D01A2B92">
      <w:start w:val="1"/>
      <w:numFmt w:val="lowerRoman"/>
      <w:lvlText w:val="%6"/>
      <w:lvlJc w:val="left"/>
      <w:pPr>
        <w:ind w:left="3982"/>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6" w:tplc="C6A89C64">
      <w:start w:val="1"/>
      <w:numFmt w:val="decimal"/>
      <w:lvlText w:val="%7"/>
      <w:lvlJc w:val="left"/>
      <w:pPr>
        <w:ind w:left="4702"/>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7" w:tplc="24AEA1F0">
      <w:start w:val="1"/>
      <w:numFmt w:val="lowerLetter"/>
      <w:lvlText w:val="%8"/>
      <w:lvlJc w:val="left"/>
      <w:pPr>
        <w:ind w:left="5422"/>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lvl w:ilvl="8" w:tplc="172AE78A">
      <w:start w:val="1"/>
      <w:numFmt w:val="lowerRoman"/>
      <w:lvlText w:val="%9"/>
      <w:lvlJc w:val="left"/>
      <w:pPr>
        <w:ind w:left="6142"/>
      </w:pPr>
      <w:rPr>
        <w:rFonts w:ascii="Verdana" w:eastAsia="Verdana" w:hAnsi="Verdana" w:cs="Verdana"/>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F884379"/>
    <w:multiLevelType w:val="hybridMultilevel"/>
    <w:tmpl w:val="88B870E8"/>
    <w:lvl w:ilvl="0" w:tplc="04D48A50">
      <w:start w:val="1"/>
      <w:numFmt w:val="bullet"/>
      <w:lvlText w:val="•"/>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388602">
      <w:start w:val="1"/>
      <w:numFmt w:val="bullet"/>
      <w:lvlText w:val="o"/>
      <w:lvlJc w:val="left"/>
      <w:pPr>
        <w:ind w:left="1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8C26D2">
      <w:start w:val="1"/>
      <w:numFmt w:val="bullet"/>
      <w:lvlText w:val="▪"/>
      <w:lvlJc w:val="left"/>
      <w:pPr>
        <w:ind w:left="18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58BA2C">
      <w:start w:val="1"/>
      <w:numFmt w:val="bullet"/>
      <w:lvlText w:val="•"/>
      <w:lvlJc w:val="left"/>
      <w:pPr>
        <w:ind w:left="2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8C4E4A">
      <w:start w:val="1"/>
      <w:numFmt w:val="bullet"/>
      <w:lvlText w:val="o"/>
      <w:lvlJc w:val="left"/>
      <w:pPr>
        <w:ind w:left="3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781A58">
      <w:start w:val="1"/>
      <w:numFmt w:val="bullet"/>
      <w:lvlText w:val="▪"/>
      <w:lvlJc w:val="left"/>
      <w:pPr>
        <w:ind w:left="39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3E2C208">
      <w:start w:val="1"/>
      <w:numFmt w:val="bullet"/>
      <w:lvlText w:val="•"/>
      <w:lvlJc w:val="left"/>
      <w:pPr>
        <w:ind w:left="4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9048B4">
      <w:start w:val="1"/>
      <w:numFmt w:val="bullet"/>
      <w:lvlText w:val="o"/>
      <w:lvlJc w:val="left"/>
      <w:pPr>
        <w:ind w:left="5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B8AC9D0">
      <w:start w:val="1"/>
      <w:numFmt w:val="bullet"/>
      <w:lvlText w:val="▪"/>
      <w:lvlJc w:val="left"/>
      <w:pPr>
        <w:ind w:left="61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7C37999"/>
    <w:multiLevelType w:val="hybridMultilevel"/>
    <w:tmpl w:val="72BCF240"/>
    <w:lvl w:ilvl="0" w:tplc="449A237C">
      <w:start w:val="1"/>
      <w:numFmt w:val="bullet"/>
      <w:lvlText w:val="•"/>
      <w:lvlJc w:val="left"/>
      <w:pPr>
        <w:ind w:left="367"/>
      </w:pPr>
      <w:rPr>
        <w:rFonts w:ascii="Arial" w:eastAsia="Arial" w:hAnsi="Arial" w:cs="Arial"/>
        <w:b w:val="0"/>
        <w:i w:val="0"/>
        <w:strike w:val="0"/>
        <w:dstrike w:val="0"/>
        <w:color w:val="000000"/>
        <w:sz w:val="32"/>
        <w:szCs w:val="32"/>
        <w:u w:val="none" w:color="000000"/>
        <w:bdr w:val="none" w:sz="0" w:space="0" w:color="auto"/>
        <w:shd w:val="clear" w:color="auto" w:fill="auto"/>
        <w:vertAlign w:val="superscript"/>
      </w:rPr>
    </w:lvl>
    <w:lvl w:ilvl="1" w:tplc="C742B896">
      <w:start w:val="1"/>
      <w:numFmt w:val="bullet"/>
      <w:lvlText w:val="o"/>
      <w:lvlJc w:val="left"/>
      <w:pPr>
        <w:ind w:left="120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2" w:tplc="E50209C0">
      <w:start w:val="1"/>
      <w:numFmt w:val="bullet"/>
      <w:lvlText w:val="▪"/>
      <w:lvlJc w:val="left"/>
      <w:pPr>
        <w:ind w:left="192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3" w:tplc="5484DC22">
      <w:start w:val="1"/>
      <w:numFmt w:val="bullet"/>
      <w:lvlText w:val="•"/>
      <w:lvlJc w:val="left"/>
      <w:pPr>
        <w:ind w:left="2645"/>
      </w:pPr>
      <w:rPr>
        <w:rFonts w:ascii="Arial" w:eastAsia="Arial" w:hAnsi="Arial" w:cs="Arial"/>
        <w:b w:val="0"/>
        <w:i w:val="0"/>
        <w:strike w:val="0"/>
        <w:dstrike w:val="0"/>
        <w:color w:val="000000"/>
        <w:sz w:val="32"/>
        <w:szCs w:val="32"/>
        <w:u w:val="none" w:color="000000"/>
        <w:bdr w:val="none" w:sz="0" w:space="0" w:color="auto"/>
        <w:shd w:val="clear" w:color="auto" w:fill="auto"/>
        <w:vertAlign w:val="superscript"/>
      </w:rPr>
    </w:lvl>
    <w:lvl w:ilvl="4" w:tplc="9AD2077E">
      <w:start w:val="1"/>
      <w:numFmt w:val="bullet"/>
      <w:lvlText w:val="o"/>
      <w:lvlJc w:val="left"/>
      <w:pPr>
        <w:ind w:left="336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5" w:tplc="E744BA74">
      <w:start w:val="1"/>
      <w:numFmt w:val="bullet"/>
      <w:lvlText w:val="▪"/>
      <w:lvlJc w:val="left"/>
      <w:pPr>
        <w:ind w:left="408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6" w:tplc="655E296C">
      <w:start w:val="1"/>
      <w:numFmt w:val="bullet"/>
      <w:lvlText w:val="•"/>
      <w:lvlJc w:val="left"/>
      <w:pPr>
        <w:ind w:left="4805"/>
      </w:pPr>
      <w:rPr>
        <w:rFonts w:ascii="Arial" w:eastAsia="Arial" w:hAnsi="Arial" w:cs="Arial"/>
        <w:b w:val="0"/>
        <w:i w:val="0"/>
        <w:strike w:val="0"/>
        <w:dstrike w:val="0"/>
        <w:color w:val="000000"/>
        <w:sz w:val="32"/>
        <w:szCs w:val="32"/>
        <w:u w:val="none" w:color="000000"/>
        <w:bdr w:val="none" w:sz="0" w:space="0" w:color="auto"/>
        <w:shd w:val="clear" w:color="auto" w:fill="auto"/>
        <w:vertAlign w:val="superscript"/>
      </w:rPr>
    </w:lvl>
    <w:lvl w:ilvl="7" w:tplc="86AE2590">
      <w:start w:val="1"/>
      <w:numFmt w:val="bullet"/>
      <w:lvlText w:val="o"/>
      <w:lvlJc w:val="left"/>
      <w:pPr>
        <w:ind w:left="552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lvl w:ilvl="8" w:tplc="4D68203C">
      <w:start w:val="1"/>
      <w:numFmt w:val="bullet"/>
      <w:lvlText w:val="▪"/>
      <w:lvlJc w:val="left"/>
      <w:pPr>
        <w:ind w:left="6245"/>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superscript"/>
      </w:rPr>
    </w:lvl>
  </w:abstractNum>
  <w:abstractNum w:abstractNumId="11" w15:restartNumberingAfterBreak="0">
    <w:nsid w:val="471C4B7F"/>
    <w:multiLevelType w:val="hybridMultilevel"/>
    <w:tmpl w:val="0964B28E"/>
    <w:lvl w:ilvl="0" w:tplc="7B5043E8">
      <w:start w:val="1"/>
      <w:numFmt w:val="bullet"/>
      <w:lvlText w:val="•"/>
      <w:lvlJc w:val="left"/>
      <w:pPr>
        <w:ind w:left="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D049D64">
      <w:start w:val="1"/>
      <w:numFmt w:val="bullet"/>
      <w:lvlText w:val="o"/>
      <w:lvlJc w:val="left"/>
      <w:pPr>
        <w:ind w:left="14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5E05BA">
      <w:start w:val="1"/>
      <w:numFmt w:val="bullet"/>
      <w:lvlText w:val="▪"/>
      <w:lvlJc w:val="left"/>
      <w:pPr>
        <w:ind w:left="22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0BC2A02">
      <w:start w:val="1"/>
      <w:numFmt w:val="bullet"/>
      <w:lvlText w:val="•"/>
      <w:lvlJc w:val="left"/>
      <w:pPr>
        <w:ind w:left="29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D6A446">
      <w:start w:val="1"/>
      <w:numFmt w:val="bullet"/>
      <w:lvlText w:val="o"/>
      <w:lvlJc w:val="left"/>
      <w:pPr>
        <w:ind w:left="36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B07854">
      <w:start w:val="1"/>
      <w:numFmt w:val="bullet"/>
      <w:lvlText w:val="▪"/>
      <w:lvlJc w:val="left"/>
      <w:pPr>
        <w:ind w:left="43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9017E0">
      <w:start w:val="1"/>
      <w:numFmt w:val="bullet"/>
      <w:lvlText w:val="•"/>
      <w:lvlJc w:val="left"/>
      <w:pPr>
        <w:ind w:left="50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7C1AC6">
      <w:start w:val="1"/>
      <w:numFmt w:val="bullet"/>
      <w:lvlText w:val="o"/>
      <w:lvlJc w:val="left"/>
      <w:pPr>
        <w:ind w:left="5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B84E1A">
      <w:start w:val="1"/>
      <w:numFmt w:val="bullet"/>
      <w:lvlText w:val="▪"/>
      <w:lvlJc w:val="left"/>
      <w:pPr>
        <w:ind w:left="65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535C358D"/>
    <w:multiLevelType w:val="hybridMultilevel"/>
    <w:tmpl w:val="39364844"/>
    <w:lvl w:ilvl="0" w:tplc="E2686FBA">
      <w:start w:val="1"/>
      <w:numFmt w:val="bullet"/>
      <w:lvlText w:val="•"/>
      <w:lvlJc w:val="left"/>
      <w:pPr>
        <w:ind w:left="1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78FACE">
      <w:start w:val="1"/>
      <w:numFmt w:val="bullet"/>
      <w:lvlText w:val="o"/>
      <w:lvlJc w:val="left"/>
      <w:pPr>
        <w:ind w:left="1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5427AA">
      <w:start w:val="1"/>
      <w:numFmt w:val="bullet"/>
      <w:lvlText w:val="▪"/>
      <w:lvlJc w:val="left"/>
      <w:pPr>
        <w:ind w:left="2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127312">
      <w:start w:val="1"/>
      <w:numFmt w:val="bullet"/>
      <w:lvlText w:val="•"/>
      <w:lvlJc w:val="left"/>
      <w:pPr>
        <w:ind w:left="2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C6DA56">
      <w:start w:val="1"/>
      <w:numFmt w:val="bullet"/>
      <w:lvlText w:val="o"/>
      <w:lvlJc w:val="left"/>
      <w:pPr>
        <w:ind w:left="3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6E6B36">
      <w:start w:val="1"/>
      <w:numFmt w:val="bullet"/>
      <w:lvlText w:val="▪"/>
      <w:lvlJc w:val="left"/>
      <w:pPr>
        <w:ind w:left="4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9A07038">
      <w:start w:val="1"/>
      <w:numFmt w:val="bullet"/>
      <w:lvlText w:val="•"/>
      <w:lvlJc w:val="left"/>
      <w:pPr>
        <w:ind w:left="5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3C1386">
      <w:start w:val="1"/>
      <w:numFmt w:val="bullet"/>
      <w:lvlText w:val="o"/>
      <w:lvlJc w:val="left"/>
      <w:pPr>
        <w:ind w:left="5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0EA6B4">
      <w:start w:val="1"/>
      <w:numFmt w:val="bullet"/>
      <w:lvlText w:val="▪"/>
      <w:lvlJc w:val="left"/>
      <w:pPr>
        <w:ind w:left="6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59208FA"/>
    <w:multiLevelType w:val="hybridMultilevel"/>
    <w:tmpl w:val="09F2CCE4"/>
    <w:lvl w:ilvl="0" w:tplc="04DE19E0">
      <w:start w:val="1"/>
      <w:numFmt w:val="bullet"/>
      <w:lvlText w:val="•"/>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BB43D80">
      <w:start w:val="1"/>
      <w:numFmt w:val="bullet"/>
      <w:lvlText w:val="o"/>
      <w:lvlJc w:val="left"/>
      <w:pPr>
        <w:ind w:left="1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8A12D4">
      <w:start w:val="1"/>
      <w:numFmt w:val="bullet"/>
      <w:lvlText w:val="▪"/>
      <w:lvlJc w:val="left"/>
      <w:pPr>
        <w:ind w:left="18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72FA1A">
      <w:start w:val="1"/>
      <w:numFmt w:val="bullet"/>
      <w:lvlText w:val="•"/>
      <w:lvlJc w:val="left"/>
      <w:pPr>
        <w:ind w:left="2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A63974">
      <w:start w:val="1"/>
      <w:numFmt w:val="bullet"/>
      <w:lvlText w:val="o"/>
      <w:lvlJc w:val="left"/>
      <w:pPr>
        <w:ind w:left="3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4E23FA">
      <w:start w:val="1"/>
      <w:numFmt w:val="bullet"/>
      <w:lvlText w:val="▪"/>
      <w:lvlJc w:val="left"/>
      <w:pPr>
        <w:ind w:left="39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86AFD2">
      <w:start w:val="1"/>
      <w:numFmt w:val="bullet"/>
      <w:lvlText w:val="•"/>
      <w:lvlJc w:val="left"/>
      <w:pPr>
        <w:ind w:left="4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BABD84">
      <w:start w:val="1"/>
      <w:numFmt w:val="bullet"/>
      <w:lvlText w:val="o"/>
      <w:lvlJc w:val="left"/>
      <w:pPr>
        <w:ind w:left="5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EC5EB8">
      <w:start w:val="1"/>
      <w:numFmt w:val="bullet"/>
      <w:lvlText w:val="▪"/>
      <w:lvlJc w:val="left"/>
      <w:pPr>
        <w:ind w:left="61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A4D034E"/>
    <w:multiLevelType w:val="hybridMultilevel"/>
    <w:tmpl w:val="F6D863FE"/>
    <w:lvl w:ilvl="0" w:tplc="962818BA">
      <w:start w:val="1"/>
      <w:numFmt w:val="bullet"/>
      <w:lvlText w:val="•"/>
      <w:lvlJc w:val="left"/>
      <w:pPr>
        <w:ind w:left="8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8EEA0D6">
      <w:start w:val="1"/>
      <w:numFmt w:val="bullet"/>
      <w:lvlText w:val="o"/>
      <w:lvlJc w:val="left"/>
      <w:pPr>
        <w:ind w:left="153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9E06FC">
      <w:start w:val="1"/>
      <w:numFmt w:val="bullet"/>
      <w:lvlText w:val="▪"/>
      <w:lvlJc w:val="left"/>
      <w:pPr>
        <w:ind w:left="22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39C12E4">
      <w:start w:val="1"/>
      <w:numFmt w:val="bullet"/>
      <w:lvlText w:val="•"/>
      <w:lvlJc w:val="left"/>
      <w:pPr>
        <w:ind w:left="29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3056F8">
      <w:start w:val="1"/>
      <w:numFmt w:val="bullet"/>
      <w:lvlText w:val="o"/>
      <w:lvlJc w:val="left"/>
      <w:pPr>
        <w:ind w:left="369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932A85C">
      <w:start w:val="1"/>
      <w:numFmt w:val="bullet"/>
      <w:lvlText w:val="▪"/>
      <w:lvlJc w:val="left"/>
      <w:pPr>
        <w:ind w:left="441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B4C7F8">
      <w:start w:val="1"/>
      <w:numFmt w:val="bullet"/>
      <w:lvlText w:val="•"/>
      <w:lvlJc w:val="left"/>
      <w:pPr>
        <w:ind w:left="51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D0BB84">
      <w:start w:val="1"/>
      <w:numFmt w:val="bullet"/>
      <w:lvlText w:val="o"/>
      <w:lvlJc w:val="left"/>
      <w:pPr>
        <w:ind w:left="585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12E928E">
      <w:start w:val="1"/>
      <w:numFmt w:val="bullet"/>
      <w:lvlText w:val="▪"/>
      <w:lvlJc w:val="left"/>
      <w:pPr>
        <w:ind w:left="657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B657B1B"/>
    <w:multiLevelType w:val="hybridMultilevel"/>
    <w:tmpl w:val="3082375E"/>
    <w:lvl w:ilvl="0" w:tplc="6DA00036">
      <w:start w:val="1"/>
      <w:numFmt w:val="bullet"/>
      <w:lvlText w:val="•"/>
      <w:lvlJc w:val="left"/>
      <w:pPr>
        <w:ind w:left="103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93ACC242">
      <w:start w:val="1"/>
      <w:numFmt w:val="bullet"/>
      <w:lvlText w:val="o"/>
      <w:lvlJc w:val="left"/>
      <w:pPr>
        <w:ind w:left="151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F78084F4">
      <w:start w:val="1"/>
      <w:numFmt w:val="bullet"/>
      <w:lvlText w:val="▪"/>
      <w:lvlJc w:val="left"/>
      <w:pPr>
        <w:ind w:left="223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2952B48C">
      <w:start w:val="1"/>
      <w:numFmt w:val="bullet"/>
      <w:lvlText w:val="•"/>
      <w:lvlJc w:val="left"/>
      <w:pPr>
        <w:ind w:left="295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D4E02F58">
      <w:start w:val="1"/>
      <w:numFmt w:val="bullet"/>
      <w:lvlText w:val="o"/>
      <w:lvlJc w:val="left"/>
      <w:pPr>
        <w:ind w:left="367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9F5067A8">
      <w:start w:val="1"/>
      <w:numFmt w:val="bullet"/>
      <w:lvlText w:val="▪"/>
      <w:lvlJc w:val="left"/>
      <w:pPr>
        <w:ind w:left="439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F94C5A1C">
      <w:start w:val="1"/>
      <w:numFmt w:val="bullet"/>
      <w:lvlText w:val="•"/>
      <w:lvlJc w:val="left"/>
      <w:pPr>
        <w:ind w:left="511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5712E698">
      <w:start w:val="1"/>
      <w:numFmt w:val="bullet"/>
      <w:lvlText w:val="o"/>
      <w:lvlJc w:val="left"/>
      <w:pPr>
        <w:ind w:left="583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E6B41B80">
      <w:start w:val="1"/>
      <w:numFmt w:val="bullet"/>
      <w:lvlText w:val="▪"/>
      <w:lvlJc w:val="left"/>
      <w:pPr>
        <w:ind w:left="655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6A2E2744"/>
    <w:multiLevelType w:val="hybridMultilevel"/>
    <w:tmpl w:val="370A0B14"/>
    <w:lvl w:ilvl="0" w:tplc="6546CC4E">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94F14E">
      <w:start w:val="1"/>
      <w:numFmt w:val="bullet"/>
      <w:lvlText w:val="o"/>
      <w:lvlJc w:val="left"/>
      <w:pPr>
        <w:ind w:left="16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1C2668">
      <w:start w:val="1"/>
      <w:numFmt w:val="bullet"/>
      <w:lvlText w:val="▪"/>
      <w:lvlJc w:val="left"/>
      <w:pPr>
        <w:ind w:left="24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D23A3C">
      <w:start w:val="1"/>
      <w:numFmt w:val="bullet"/>
      <w:lvlText w:val="•"/>
      <w:lvlJc w:val="left"/>
      <w:pPr>
        <w:ind w:left="31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5C56B4">
      <w:start w:val="1"/>
      <w:numFmt w:val="bullet"/>
      <w:lvlText w:val="o"/>
      <w:lvlJc w:val="left"/>
      <w:pPr>
        <w:ind w:left="38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CC0F2A">
      <w:start w:val="1"/>
      <w:numFmt w:val="bullet"/>
      <w:lvlText w:val="▪"/>
      <w:lvlJc w:val="left"/>
      <w:pPr>
        <w:ind w:left="45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4AC6A0">
      <w:start w:val="1"/>
      <w:numFmt w:val="bullet"/>
      <w:lvlText w:val="•"/>
      <w:lvlJc w:val="left"/>
      <w:pPr>
        <w:ind w:left="52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22DADA">
      <w:start w:val="1"/>
      <w:numFmt w:val="bullet"/>
      <w:lvlText w:val="o"/>
      <w:lvlJc w:val="left"/>
      <w:pPr>
        <w:ind w:left="60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3AF4C6">
      <w:start w:val="1"/>
      <w:numFmt w:val="bullet"/>
      <w:lvlText w:val="▪"/>
      <w:lvlJc w:val="left"/>
      <w:pPr>
        <w:ind w:left="67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10F0B28"/>
    <w:multiLevelType w:val="hybridMultilevel"/>
    <w:tmpl w:val="4D0053A6"/>
    <w:lvl w:ilvl="0" w:tplc="6916D138">
      <w:start w:val="1"/>
      <w:numFmt w:val="bullet"/>
      <w:lvlText w:val="•"/>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98CB86">
      <w:start w:val="1"/>
      <w:numFmt w:val="bullet"/>
      <w:lvlText w:val="o"/>
      <w:lvlJc w:val="left"/>
      <w:pPr>
        <w:ind w:left="1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9872AA">
      <w:start w:val="1"/>
      <w:numFmt w:val="bullet"/>
      <w:lvlText w:val="▪"/>
      <w:lvlJc w:val="left"/>
      <w:pPr>
        <w:ind w:left="18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2A60D94">
      <w:start w:val="1"/>
      <w:numFmt w:val="bullet"/>
      <w:lvlText w:val="•"/>
      <w:lvlJc w:val="left"/>
      <w:pPr>
        <w:ind w:left="2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3540B2A">
      <w:start w:val="1"/>
      <w:numFmt w:val="bullet"/>
      <w:lvlText w:val="o"/>
      <w:lvlJc w:val="left"/>
      <w:pPr>
        <w:ind w:left="3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D6DF44">
      <w:start w:val="1"/>
      <w:numFmt w:val="bullet"/>
      <w:lvlText w:val="▪"/>
      <w:lvlJc w:val="left"/>
      <w:pPr>
        <w:ind w:left="39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D45800">
      <w:start w:val="1"/>
      <w:numFmt w:val="bullet"/>
      <w:lvlText w:val="•"/>
      <w:lvlJc w:val="left"/>
      <w:pPr>
        <w:ind w:left="4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F4C8BC">
      <w:start w:val="1"/>
      <w:numFmt w:val="bullet"/>
      <w:lvlText w:val="o"/>
      <w:lvlJc w:val="left"/>
      <w:pPr>
        <w:ind w:left="5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22DB22">
      <w:start w:val="1"/>
      <w:numFmt w:val="bullet"/>
      <w:lvlText w:val="▪"/>
      <w:lvlJc w:val="left"/>
      <w:pPr>
        <w:ind w:left="61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5687600"/>
    <w:multiLevelType w:val="hybridMultilevel"/>
    <w:tmpl w:val="660A132C"/>
    <w:lvl w:ilvl="0" w:tplc="DFB4B77E">
      <w:start w:val="1"/>
      <w:numFmt w:val="bullet"/>
      <w:lvlText w:val="•"/>
      <w:lvlJc w:val="left"/>
      <w:pPr>
        <w:ind w:left="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18C8C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210E77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E5E871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AE521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736FF9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82969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9209A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52C922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BC34959"/>
    <w:multiLevelType w:val="hybridMultilevel"/>
    <w:tmpl w:val="5FB8A232"/>
    <w:lvl w:ilvl="0" w:tplc="F7EE2B36">
      <w:start w:val="1"/>
      <w:numFmt w:val="bullet"/>
      <w:lvlText w:val="•"/>
      <w:lvlJc w:val="left"/>
      <w:pPr>
        <w:ind w:left="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E5E7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C8DDD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6EFD5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E42AB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3C8CA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14A3E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B4A3D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EEEAFE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4"/>
  </w:num>
  <w:num w:numId="3">
    <w:abstractNumId w:val="15"/>
  </w:num>
  <w:num w:numId="4">
    <w:abstractNumId w:val="10"/>
  </w:num>
  <w:num w:numId="5">
    <w:abstractNumId w:val="0"/>
  </w:num>
  <w:num w:numId="6">
    <w:abstractNumId w:val="11"/>
  </w:num>
  <w:num w:numId="7">
    <w:abstractNumId w:val="14"/>
  </w:num>
  <w:num w:numId="8">
    <w:abstractNumId w:val="17"/>
  </w:num>
  <w:num w:numId="9">
    <w:abstractNumId w:val="9"/>
  </w:num>
  <w:num w:numId="10">
    <w:abstractNumId w:val="13"/>
  </w:num>
  <w:num w:numId="11">
    <w:abstractNumId w:val="6"/>
  </w:num>
  <w:num w:numId="12">
    <w:abstractNumId w:val="19"/>
  </w:num>
  <w:num w:numId="13">
    <w:abstractNumId w:val="12"/>
  </w:num>
  <w:num w:numId="14">
    <w:abstractNumId w:val="16"/>
  </w:num>
  <w:num w:numId="15">
    <w:abstractNumId w:val="1"/>
  </w:num>
  <w:num w:numId="16">
    <w:abstractNumId w:val="18"/>
  </w:num>
  <w:num w:numId="17">
    <w:abstractNumId w:val="7"/>
  </w:num>
  <w:num w:numId="18">
    <w:abstractNumId w:val="8"/>
  </w:num>
  <w:num w:numId="19">
    <w:abstractNumId w:val="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F87"/>
    <w:rsid w:val="004165F5"/>
    <w:rsid w:val="00576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271484-CF60-4264-8C64-A1880339B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05" w:line="265" w:lineRule="auto"/>
      <w:ind w:left="32" w:hanging="10"/>
      <w:outlineLvl w:val="0"/>
    </w:pPr>
    <w:rPr>
      <w:rFonts w:ascii="Verdana" w:eastAsia="Verdana" w:hAnsi="Verdana" w:cs="Verdana"/>
      <w:b/>
      <w:color w:val="3F977F"/>
      <w:sz w:val="28"/>
    </w:rPr>
  </w:style>
  <w:style w:type="paragraph" w:styleId="Heading2">
    <w:name w:val="heading 2"/>
    <w:next w:val="Normal"/>
    <w:link w:val="Heading2Char"/>
    <w:uiPriority w:val="9"/>
    <w:unhideWhenUsed/>
    <w:qFormat/>
    <w:pPr>
      <w:keepNext/>
      <w:keepLines/>
      <w:spacing w:after="0" w:line="265" w:lineRule="auto"/>
      <w:ind w:left="29" w:hanging="10"/>
      <w:outlineLvl w:val="1"/>
    </w:pPr>
    <w:rPr>
      <w:rFonts w:ascii="Verdana" w:eastAsia="Verdana" w:hAnsi="Verdana" w:cs="Verdana"/>
      <w:color w:val="35437C"/>
      <w:sz w:val="28"/>
    </w:rPr>
  </w:style>
  <w:style w:type="paragraph" w:styleId="Heading3">
    <w:name w:val="heading 3"/>
    <w:next w:val="Normal"/>
    <w:link w:val="Heading3Char"/>
    <w:uiPriority w:val="9"/>
    <w:unhideWhenUsed/>
    <w:qFormat/>
    <w:pPr>
      <w:keepNext/>
      <w:keepLines/>
      <w:spacing w:after="70" w:line="265" w:lineRule="auto"/>
      <w:ind w:left="17" w:hanging="10"/>
      <w:outlineLvl w:val="2"/>
    </w:pPr>
    <w:rPr>
      <w:rFonts w:ascii="Verdana" w:eastAsia="Verdana" w:hAnsi="Verdana" w:cs="Verdana"/>
      <w:b/>
      <w:color w:val="99CA3C"/>
      <w:sz w:val="20"/>
    </w:rPr>
  </w:style>
  <w:style w:type="paragraph" w:styleId="Heading4">
    <w:name w:val="heading 4"/>
    <w:next w:val="Normal"/>
    <w:link w:val="Heading4Char"/>
    <w:uiPriority w:val="9"/>
    <w:unhideWhenUsed/>
    <w:qFormat/>
    <w:pPr>
      <w:keepNext/>
      <w:keepLines/>
      <w:spacing w:after="176"/>
      <w:ind w:left="18" w:hanging="8"/>
      <w:outlineLvl w:val="3"/>
    </w:pPr>
    <w:rPr>
      <w:rFonts w:ascii="Verdana" w:eastAsia="Verdana" w:hAnsi="Verdana" w:cs="Verdana"/>
      <w:color w:val="35437C"/>
      <w:sz w:val="24"/>
    </w:rPr>
  </w:style>
  <w:style w:type="paragraph" w:styleId="Heading5">
    <w:name w:val="heading 5"/>
    <w:next w:val="Normal"/>
    <w:link w:val="Heading5Char"/>
    <w:uiPriority w:val="9"/>
    <w:unhideWhenUsed/>
    <w:qFormat/>
    <w:pPr>
      <w:keepNext/>
      <w:keepLines/>
      <w:spacing w:after="22" w:line="265" w:lineRule="auto"/>
      <w:ind w:left="15" w:hanging="8"/>
      <w:outlineLvl w:val="4"/>
    </w:pPr>
    <w:rPr>
      <w:rFonts w:ascii="Verdana" w:eastAsia="Verdana" w:hAnsi="Verdana" w:cs="Verdana"/>
      <w:b/>
      <w:color w:val="000000"/>
      <w:sz w:val="20"/>
    </w:rPr>
  </w:style>
  <w:style w:type="paragraph" w:styleId="Heading6">
    <w:name w:val="heading 6"/>
    <w:next w:val="Normal"/>
    <w:link w:val="Heading6Char"/>
    <w:uiPriority w:val="9"/>
    <w:unhideWhenUsed/>
    <w:qFormat/>
    <w:pPr>
      <w:keepNext/>
      <w:keepLines/>
      <w:spacing w:after="88" w:line="265" w:lineRule="auto"/>
      <w:ind w:left="31" w:hanging="10"/>
      <w:outlineLvl w:val="5"/>
    </w:pPr>
    <w:rPr>
      <w:rFonts w:ascii="Arial" w:eastAsia="Arial" w:hAnsi="Arial" w:cs="Arial"/>
      <w:b/>
      <w:color w:val="7030A0"/>
      <w:sz w:val="19"/>
    </w:rPr>
  </w:style>
  <w:style w:type="paragraph" w:styleId="Heading7">
    <w:name w:val="heading 7"/>
    <w:next w:val="Normal"/>
    <w:link w:val="Heading7Char"/>
    <w:uiPriority w:val="9"/>
    <w:unhideWhenUsed/>
    <w:qFormat/>
    <w:pPr>
      <w:keepNext/>
      <w:keepLines/>
      <w:pBdr>
        <w:top w:val="single" w:sz="19" w:space="0" w:color="7030A0"/>
        <w:left w:val="single" w:sz="24" w:space="0" w:color="7030A0"/>
        <w:bottom w:val="single" w:sz="19" w:space="0" w:color="7030A0"/>
        <w:right w:val="single" w:sz="25" w:space="0" w:color="7030A0"/>
      </w:pBdr>
      <w:spacing w:after="12"/>
      <w:ind w:left="139"/>
      <w:outlineLvl w:val="6"/>
    </w:pPr>
    <w:rPr>
      <w:rFonts w:ascii="Arial" w:eastAsia="Arial" w:hAnsi="Arial" w:cs="Arial"/>
      <w:b/>
      <w:color w:val="7030A0"/>
      <w:sz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Pr>
      <w:rFonts w:ascii="Arial" w:eastAsia="Arial" w:hAnsi="Arial" w:cs="Arial"/>
      <w:b/>
      <w:color w:val="7030A0"/>
      <w:sz w:val="15"/>
    </w:rPr>
  </w:style>
  <w:style w:type="character" w:customStyle="1" w:styleId="Heading6Char">
    <w:name w:val="Heading 6 Char"/>
    <w:link w:val="Heading6"/>
    <w:rPr>
      <w:rFonts w:ascii="Arial" w:eastAsia="Arial" w:hAnsi="Arial" w:cs="Arial"/>
      <w:b/>
      <w:color w:val="7030A0"/>
      <w:sz w:val="19"/>
    </w:rPr>
  </w:style>
  <w:style w:type="character" w:customStyle="1" w:styleId="Heading5Char">
    <w:name w:val="Heading 5 Char"/>
    <w:link w:val="Heading5"/>
    <w:rPr>
      <w:rFonts w:ascii="Verdana" w:eastAsia="Verdana" w:hAnsi="Verdana" w:cs="Verdana"/>
      <w:b/>
      <w:color w:val="000000"/>
      <w:sz w:val="20"/>
    </w:rPr>
  </w:style>
  <w:style w:type="character" w:customStyle="1" w:styleId="Heading3Char">
    <w:name w:val="Heading 3 Char"/>
    <w:link w:val="Heading3"/>
    <w:rPr>
      <w:rFonts w:ascii="Verdana" w:eastAsia="Verdana" w:hAnsi="Verdana" w:cs="Verdana"/>
      <w:b/>
      <w:color w:val="99CA3C"/>
      <w:sz w:val="20"/>
    </w:rPr>
  </w:style>
  <w:style w:type="character" w:customStyle="1" w:styleId="Heading4Char">
    <w:name w:val="Heading 4 Char"/>
    <w:link w:val="Heading4"/>
    <w:rPr>
      <w:rFonts w:ascii="Verdana" w:eastAsia="Verdana" w:hAnsi="Verdana" w:cs="Verdana"/>
      <w:color w:val="35437C"/>
      <w:sz w:val="24"/>
    </w:rPr>
  </w:style>
  <w:style w:type="character" w:customStyle="1" w:styleId="Heading1Char">
    <w:name w:val="Heading 1 Char"/>
    <w:link w:val="Heading1"/>
    <w:rPr>
      <w:rFonts w:ascii="Verdana" w:eastAsia="Verdana" w:hAnsi="Verdana" w:cs="Verdana"/>
      <w:b/>
      <w:color w:val="3F977F"/>
      <w:sz w:val="28"/>
    </w:rPr>
  </w:style>
  <w:style w:type="character" w:customStyle="1" w:styleId="Heading2Char">
    <w:name w:val="Heading 2 Char"/>
    <w:link w:val="Heading2"/>
    <w:rPr>
      <w:rFonts w:ascii="Verdana" w:eastAsia="Verdana" w:hAnsi="Verdana" w:cs="Verdana"/>
      <w:color w:val="35437C"/>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50.xml"/><Relationship Id="rId21" Type="http://schemas.openxmlformats.org/officeDocument/2006/relationships/header" Target="header7.xml"/><Relationship Id="rId42" Type="http://schemas.openxmlformats.org/officeDocument/2006/relationships/header" Target="header13.xml"/><Relationship Id="rId47" Type="http://schemas.openxmlformats.org/officeDocument/2006/relationships/footer" Target="footer15.xml"/><Relationship Id="rId63" Type="http://schemas.openxmlformats.org/officeDocument/2006/relationships/footer" Target="footer23.xml"/><Relationship Id="rId68" Type="http://schemas.openxmlformats.org/officeDocument/2006/relationships/footer" Target="footer25.xml"/><Relationship Id="rId84" Type="http://schemas.openxmlformats.org/officeDocument/2006/relationships/header" Target="header34.xml"/><Relationship Id="rId89" Type="http://schemas.openxmlformats.org/officeDocument/2006/relationships/footer" Target="footer36.xml"/><Relationship Id="rId112" Type="http://schemas.openxmlformats.org/officeDocument/2006/relationships/header" Target="header48.xml"/><Relationship Id="rId133" Type="http://schemas.openxmlformats.org/officeDocument/2006/relationships/header" Target="header59.xml"/><Relationship Id="rId138" Type="http://schemas.openxmlformats.org/officeDocument/2006/relationships/image" Target="media/image12.jpg"/><Relationship Id="rId154" Type="http://schemas.openxmlformats.org/officeDocument/2006/relationships/footer" Target="footer68.xml"/><Relationship Id="rId159" Type="http://schemas.openxmlformats.org/officeDocument/2006/relationships/footer" Target="footer70.xml"/><Relationship Id="rId175" Type="http://schemas.openxmlformats.org/officeDocument/2006/relationships/header" Target="header79.xml"/><Relationship Id="rId170" Type="http://schemas.openxmlformats.org/officeDocument/2006/relationships/header" Target="header77.xml"/><Relationship Id="rId191"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footer" Target="footer45.xml"/><Relationship Id="rId11" Type="http://schemas.openxmlformats.org/officeDocument/2006/relationships/header" Target="header3.xml"/><Relationship Id="rId32" Type="http://schemas.openxmlformats.org/officeDocument/2006/relationships/header" Target="header11.xml"/><Relationship Id="rId37" Type="http://schemas.openxmlformats.org/officeDocument/2006/relationships/image" Target="media/image7.jpg"/><Relationship Id="rId53" Type="http://schemas.openxmlformats.org/officeDocument/2006/relationships/footer" Target="footer18.xml"/><Relationship Id="rId58" Type="http://schemas.openxmlformats.org/officeDocument/2006/relationships/header" Target="header21.xml"/><Relationship Id="rId74" Type="http://schemas.openxmlformats.org/officeDocument/2006/relationships/footer" Target="footer28.xml"/><Relationship Id="rId79" Type="http://schemas.openxmlformats.org/officeDocument/2006/relationships/header" Target="header32.xml"/><Relationship Id="rId102" Type="http://schemas.openxmlformats.org/officeDocument/2006/relationships/header" Target="header43.xml"/><Relationship Id="rId123" Type="http://schemas.openxmlformats.org/officeDocument/2006/relationships/footer" Target="footer53.xml"/><Relationship Id="rId128" Type="http://schemas.openxmlformats.org/officeDocument/2006/relationships/footer" Target="footer55.xml"/><Relationship Id="rId144" Type="http://schemas.openxmlformats.org/officeDocument/2006/relationships/footer" Target="footer63.xml"/><Relationship Id="rId149" Type="http://schemas.openxmlformats.org/officeDocument/2006/relationships/header" Target="header66.xml"/><Relationship Id="rId5" Type="http://schemas.openxmlformats.org/officeDocument/2006/relationships/footnotes" Target="footnotes.xml"/><Relationship Id="rId90" Type="http://schemas.openxmlformats.org/officeDocument/2006/relationships/header" Target="header37.xml"/><Relationship Id="rId95" Type="http://schemas.openxmlformats.org/officeDocument/2006/relationships/footer" Target="footer39.xml"/><Relationship Id="rId160" Type="http://schemas.openxmlformats.org/officeDocument/2006/relationships/footer" Target="footer71.xml"/><Relationship Id="rId165" Type="http://schemas.openxmlformats.org/officeDocument/2006/relationships/footer" Target="footer73.xml"/><Relationship Id="rId181" Type="http://schemas.openxmlformats.org/officeDocument/2006/relationships/image" Target="media/image13.jpg"/><Relationship Id="rId186" Type="http://schemas.openxmlformats.org/officeDocument/2006/relationships/footer" Target="footer82.xml"/><Relationship Id="rId22" Type="http://schemas.openxmlformats.org/officeDocument/2006/relationships/header" Target="header8.xml"/><Relationship Id="rId27" Type="http://schemas.openxmlformats.org/officeDocument/2006/relationships/image" Target="media/image3.png"/><Relationship Id="rId43" Type="http://schemas.openxmlformats.org/officeDocument/2006/relationships/header" Target="header14.xml"/><Relationship Id="rId48" Type="http://schemas.openxmlformats.org/officeDocument/2006/relationships/header" Target="header16.xml"/><Relationship Id="rId64" Type="http://schemas.openxmlformats.org/officeDocument/2006/relationships/header" Target="header24.xml"/><Relationship Id="rId69" Type="http://schemas.openxmlformats.org/officeDocument/2006/relationships/footer" Target="footer26.xml"/><Relationship Id="rId113" Type="http://schemas.openxmlformats.org/officeDocument/2006/relationships/footer" Target="footer48.xml"/><Relationship Id="rId118" Type="http://schemas.openxmlformats.org/officeDocument/2006/relationships/header" Target="header51.xml"/><Relationship Id="rId134" Type="http://schemas.openxmlformats.org/officeDocument/2006/relationships/footer" Target="footer58.xml"/><Relationship Id="rId139" Type="http://schemas.openxmlformats.org/officeDocument/2006/relationships/header" Target="header61.xml"/><Relationship Id="rId80" Type="http://schemas.openxmlformats.org/officeDocument/2006/relationships/footer" Target="footer31.xml"/><Relationship Id="rId85" Type="http://schemas.openxmlformats.org/officeDocument/2006/relationships/header" Target="header35.xml"/><Relationship Id="rId150" Type="http://schemas.openxmlformats.org/officeDocument/2006/relationships/footer" Target="footer66.xml"/><Relationship Id="rId155" Type="http://schemas.openxmlformats.org/officeDocument/2006/relationships/header" Target="header69.xml"/><Relationship Id="rId171" Type="http://schemas.openxmlformats.org/officeDocument/2006/relationships/footer" Target="footer76.xml"/><Relationship Id="rId176" Type="http://schemas.openxmlformats.org/officeDocument/2006/relationships/header" Target="header80.xml"/><Relationship Id="rId12" Type="http://schemas.openxmlformats.org/officeDocument/2006/relationships/footer" Target="footer3.xml"/><Relationship Id="rId17" Type="http://schemas.openxmlformats.org/officeDocument/2006/relationships/footer" Target="footer5.xml"/><Relationship Id="rId33" Type="http://schemas.openxmlformats.org/officeDocument/2006/relationships/footer" Target="footer10.xml"/><Relationship Id="rId38" Type="http://schemas.openxmlformats.org/officeDocument/2006/relationships/image" Target="media/image8.png"/><Relationship Id="rId59" Type="http://schemas.openxmlformats.org/officeDocument/2006/relationships/footer" Target="footer21.xml"/><Relationship Id="rId103" Type="http://schemas.openxmlformats.org/officeDocument/2006/relationships/header" Target="header44.xml"/><Relationship Id="rId108" Type="http://schemas.openxmlformats.org/officeDocument/2006/relationships/header" Target="header46.xml"/><Relationship Id="rId124" Type="http://schemas.openxmlformats.org/officeDocument/2006/relationships/header" Target="header54.xml"/><Relationship Id="rId129" Type="http://schemas.openxmlformats.org/officeDocument/2006/relationships/footer" Target="footer56.xml"/><Relationship Id="rId54" Type="http://schemas.openxmlformats.org/officeDocument/2006/relationships/header" Target="header19.xml"/><Relationship Id="rId70" Type="http://schemas.openxmlformats.org/officeDocument/2006/relationships/header" Target="header27.xml"/><Relationship Id="rId75" Type="http://schemas.openxmlformats.org/officeDocument/2006/relationships/footer" Target="footer29.xml"/><Relationship Id="rId91" Type="http://schemas.openxmlformats.org/officeDocument/2006/relationships/header" Target="header38.xml"/><Relationship Id="rId96" Type="http://schemas.openxmlformats.org/officeDocument/2006/relationships/header" Target="header40.xml"/><Relationship Id="rId140" Type="http://schemas.openxmlformats.org/officeDocument/2006/relationships/header" Target="header62.xml"/><Relationship Id="rId145" Type="http://schemas.openxmlformats.org/officeDocument/2006/relationships/header" Target="header64.xml"/><Relationship Id="rId161" Type="http://schemas.openxmlformats.org/officeDocument/2006/relationships/header" Target="header72.xml"/><Relationship Id="rId166" Type="http://schemas.openxmlformats.org/officeDocument/2006/relationships/footer" Target="footer74.xml"/><Relationship Id="rId182" Type="http://schemas.openxmlformats.org/officeDocument/2006/relationships/image" Target="media/image14.jpeg"/><Relationship Id="rId187" Type="http://schemas.openxmlformats.org/officeDocument/2006/relationships/footer" Target="footer8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7.xml"/><Relationship Id="rId28" Type="http://schemas.openxmlformats.org/officeDocument/2006/relationships/image" Target="media/image4.png"/><Relationship Id="rId49" Type="http://schemas.openxmlformats.org/officeDocument/2006/relationships/header" Target="header17.xml"/><Relationship Id="rId114" Type="http://schemas.openxmlformats.org/officeDocument/2006/relationships/header" Target="header49.xml"/><Relationship Id="rId119" Type="http://schemas.openxmlformats.org/officeDocument/2006/relationships/footer" Target="footer51.xml"/><Relationship Id="rId44" Type="http://schemas.openxmlformats.org/officeDocument/2006/relationships/footer" Target="footer13.xml"/><Relationship Id="rId60" Type="http://schemas.openxmlformats.org/officeDocument/2006/relationships/header" Target="header22.xml"/><Relationship Id="rId65" Type="http://schemas.openxmlformats.org/officeDocument/2006/relationships/footer" Target="footer24.xml"/><Relationship Id="rId81" Type="http://schemas.openxmlformats.org/officeDocument/2006/relationships/footer" Target="footer32.xml"/><Relationship Id="rId86" Type="http://schemas.openxmlformats.org/officeDocument/2006/relationships/footer" Target="footer34.xml"/><Relationship Id="rId130" Type="http://schemas.openxmlformats.org/officeDocument/2006/relationships/header" Target="header57.xml"/><Relationship Id="rId135" Type="http://schemas.openxmlformats.org/officeDocument/2006/relationships/footer" Target="footer59.xml"/><Relationship Id="rId151" Type="http://schemas.openxmlformats.org/officeDocument/2006/relationships/header" Target="header67.xml"/><Relationship Id="rId156" Type="http://schemas.openxmlformats.org/officeDocument/2006/relationships/footer" Target="footer69.xml"/><Relationship Id="rId177" Type="http://schemas.openxmlformats.org/officeDocument/2006/relationships/footer" Target="footer79.xml"/><Relationship Id="rId172" Type="http://schemas.openxmlformats.org/officeDocument/2006/relationships/footer" Target="footer77.xml"/><Relationship Id="rId13" Type="http://schemas.openxmlformats.org/officeDocument/2006/relationships/image" Target="media/image1.jpg"/><Relationship Id="rId18" Type="http://schemas.openxmlformats.org/officeDocument/2006/relationships/header" Target="header6.xml"/><Relationship Id="rId39" Type="http://schemas.openxmlformats.org/officeDocument/2006/relationships/image" Target="media/image9.jpg"/><Relationship Id="rId109" Type="http://schemas.openxmlformats.org/officeDocument/2006/relationships/header" Target="header47.xml"/><Relationship Id="rId34" Type="http://schemas.openxmlformats.org/officeDocument/2006/relationships/footer" Target="footer11.xml"/><Relationship Id="rId50" Type="http://schemas.openxmlformats.org/officeDocument/2006/relationships/footer" Target="footer16.xml"/><Relationship Id="rId55" Type="http://schemas.openxmlformats.org/officeDocument/2006/relationships/header" Target="header20.xml"/><Relationship Id="rId76" Type="http://schemas.openxmlformats.org/officeDocument/2006/relationships/header" Target="header30.xml"/><Relationship Id="rId97" Type="http://schemas.openxmlformats.org/officeDocument/2006/relationships/header" Target="header41.xml"/><Relationship Id="rId104" Type="http://schemas.openxmlformats.org/officeDocument/2006/relationships/footer" Target="footer43.xml"/><Relationship Id="rId120" Type="http://schemas.openxmlformats.org/officeDocument/2006/relationships/header" Target="header52.xml"/><Relationship Id="rId125" Type="http://schemas.openxmlformats.org/officeDocument/2006/relationships/footer" Target="footer54.xml"/><Relationship Id="rId141" Type="http://schemas.openxmlformats.org/officeDocument/2006/relationships/footer" Target="footer61.xml"/><Relationship Id="rId146" Type="http://schemas.openxmlformats.org/officeDocument/2006/relationships/header" Target="header65.xml"/><Relationship Id="rId167" Type="http://schemas.openxmlformats.org/officeDocument/2006/relationships/header" Target="header75.xml"/><Relationship Id="rId188" Type="http://schemas.openxmlformats.org/officeDocument/2006/relationships/header" Target="header84.xml"/><Relationship Id="rId7" Type="http://schemas.openxmlformats.org/officeDocument/2006/relationships/header" Target="header1.xml"/><Relationship Id="rId71" Type="http://schemas.openxmlformats.org/officeDocument/2006/relationships/footer" Target="footer27.xml"/><Relationship Id="rId92" Type="http://schemas.openxmlformats.org/officeDocument/2006/relationships/footer" Target="footer37.xml"/><Relationship Id="rId162" Type="http://schemas.openxmlformats.org/officeDocument/2006/relationships/footer" Target="footer72.xml"/><Relationship Id="rId183" Type="http://schemas.openxmlformats.org/officeDocument/2006/relationships/image" Target="media/image15.png"/><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footer" Target="footer8.xml"/><Relationship Id="rId40" Type="http://schemas.openxmlformats.org/officeDocument/2006/relationships/image" Target="media/image10.png"/><Relationship Id="rId45" Type="http://schemas.openxmlformats.org/officeDocument/2006/relationships/footer" Target="footer14.xml"/><Relationship Id="rId66" Type="http://schemas.openxmlformats.org/officeDocument/2006/relationships/header" Target="header25.xml"/><Relationship Id="rId87" Type="http://schemas.openxmlformats.org/officeDocument/2006/relationships/footer" Target="footer35.xml"/><Relationship Id="rId110" Type="http://schemas.openxmlformats.org/officeDocument/2006/relationships/footer" Target="footer46.xml"/><Relationship Id="rId115" Type="http://schemas.openxmlformats.org/officeDocument/2006/relationships/header" Target="header50.xml"/><Relationship Id="rId131" Type="http://schemas.openxmlformats.org/officeDocument/2006/relationships/footer" Target="footer57.xml"/><Relationship Id="rId136" Type="http://schemas.openxmlformats.org/officeDocument/2006/relationships/header" Target="header60.xml"/><Relationship Id="rId157" Type="http://schemas.openxmlformats.org/officeDocument/2006/relationships/header" Target="header70.xml"/><Relationship Id="rId178" Type="http://schemas.openxmlformats.org/officeDocument/2006/relationships/footer" Target="footer80.xml"/><Relationship Id="rId61" Type="http://schemas.openxmlformats.org/officeDocument/2006/relationships/header" Target="header23.xml"/><Relationship Id="rId82" Type="http://schemas.openxmlformats.org/officeDocument/2006/relationships/header" Target="header33.xml"/><Relationship Id="rId152" Type="http://schemas.openxmlformats.org/officeDocument/2006/relationships/header" Target="header68.xml"/><Relationship Id="rId173" Type="http://schemas.openxmlformats.org/officeDocument/2006/relationships/header" Target="header78.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image" Target="media/image6.jpg"/><Relationship Id="rId35" Type="http://schemas.openxmlformats.org/officeDocument/2006/relationships/header" Target="header12.xml"/><Relationship Id="rId56" Type="http://schemas.openxmlformats.org/officeDocument/2006/relationships/footer" Target="footer19.xml"/><Relationship Id="rId77" Type="http://schemas.openxmlformats.org/officeDocument/2006/relationships/footer" Target="footer30.xml"/><Relationship Id="rId100" Type="http://schemas.openxmlformats.org/officeDocument/2006/relationships/header" Target="header42.xml"/><Relationship Id="rId105" Type="http://schemas.openxmlformats.org/officeDocument/2006/relationships/footer" Target="footer44.xml"/><Relationship Id="rId126" Type="http://schemas.openxmlformats.org/officeDocument/2006/relationships/header" Target="header55.xml"/><Relationship Id="rId147" Type="http://schemas.openxmlformats.org/officeDocument/2006/relationships/footer" Target="footer64.xml"/><Relationship Id="rId168" Type="http://schemas.openxmlformats.org/officeDocument/2006/relationships/footer" Target="footer75.xml"/><Relationship Id="rId8" Type="http://schemas.openxmlformats.org/officeDocument/2006/relationships/header" Target="header2.xml"/><Relationship Id="rId51" Type="http://schemas.openxmlformats.org/officeDocument/2006/relationships/footer" Target="footer17.xml"/><Relationship Id="rId72" Type="http://schemas.openxmlformats.org/officeDocument/2006/relationships/header" Target="header28.xml"/><Relationship Id="rId93" Type="http://schemas.openxmlformats.org/officeDocument/2006/relationships/footer" Target="footer38.xml"/><Relationship Id="rId98" Type="http://schemas.openxmlformats.org/officeDocument/2006/relationships/footer" Target="footer40.xml"/><Relationship Id="rId121" Type="http://schemas.openxmlformats.org/officeDocument/2006/relationships/header" Target="header53.xml"/><Relationship Id="rId142" Type="http://schemas.openxmlformats.org/officeDocument/2006/relationships/footer" Target="footer62.xml"/><Relationship Id="rId163" Type="http://schemas.openxmlformats.org/officeDocument/2006/relationships/header" Target="header73.xml"/><Relationship Id="rId184" Type="http://schemas.openxmlformats.org/officeDocument/2006/relationships/header" Target="header82.xml"/><Relationship Id="rId189" Type="http://schemas.openxmlformats.org/officeDocument/2006/relationships/footer" Target="footer84.xm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header" Target="header15.xml"/><Relationship Id="rId67" Type="http://schemas.openxmlformats.org/officeDocument/2006/relationships/header" Target="header26.xml"/><Relationship Id="rId116" Type="http://schemas.openxmlformats.org/officeDocument/2006/relationships/footer" Target="footer49.xml"/><Relationship Id="rId137" Type="http://schemas.openxmlformats.org/officeDocument/2006/relationships/footer" Target="footer60.xml"/><Relationship Id="rId158" Type="http://schemas.openxmlformats.org/officeDocument/2006/relationships/header" Target="header71.xml"/><Relationship Id="rId20" Type="http://schemas.openxmlformats.org/officeDocument/2006/relationships/image" Target="media/image2.jpg"/><Relationship Id="rId41" Type="http://schemas.openxmlformats.org/officeDocument/2006/relationships/image" Target="media/image11.jpg"/><Relationship Id="rId62" Type="http://schemas.openxmlformats.org/officeDocument/2006/relationships/footer" Target="footer22.xml"/><Relationship Id="rId83" Type="http://schemas.openxmlformats.org/officeDocument/2006/relationships/footer" Target="footer33.xml"/><Relationship Id="rId88" Type="http://schemas.openxmlformats.org/officeDocument/2006/relationships/header" Target="header36.xml"/><Relationship Id="rId111" Type="http://schemas.openxmlformats.org/officeDocument/2006/relationships/footer" Target="footer47.xml"/><Relationship Id="rId132" Type="http://schemas.openxmlformats.org/officeDocument/2006/relationships/header" Target="header58.xml"/><Relationship Id="rId153" Type="http://schemas.openxmlformats.org/officeDocument/2006/relationships/footer" Target="footer67.xml"/><Relationship Id="rId174" Type="http://schemas.openxmlformats.org/officeDocument/2006/relationships/footer" Target="footer78.xml"/><Relationship Id="rId179" Type="http://schemas.openxmlformats.org/officeDocument/2006/relationships/header" Target="header81.xml"/><Relationship Id="rId190" Type="http://schemas.openxmlformats.org/officeDocument/2006/relationships/fontTable" Target="fontTable.xml"/><Relationship Id="rId15" Type="http://schemas.openxmlformats.org/officeDocument/2006/relationships/header" Target="header5.xml"/><Relationship Id="rId36" Type="http://schemas.openxmlformats.org/officeDocument/2006/relationships/footer" Target="footer12.xml"/><Relationship Id="rId57" Type="http://schemas.openxmlformats.org/officeDocument/2006/relationships/footer" Target="footer20.xml"/><Relationship Id="rId106" Type="http://schemas.openxmlformats.org/officeDocument/2006/relationships/header" Target="header45.xml"/><Relationship Id="rId127" Type="http://schemas.openxmlformats.org/officeDocument/2006/relationships/header" Target="header56.xml"/><Relationship Id="rId10" Type="http://schemas.openxmlformats.org/officeDocument/2006/relationships/footer" Target="footer2.xml"/><Relationship Id="rId31" Type="http://schemas.openxmlformats.org/officeDocument/2006/relationships/header" Target="header10.xml"/><Relationship Id="rId52" Type="http://schemas.openxmlformats.org/officeDocument/2006/relationships/header" Target="header18.xml"/><Relationship Id="rId73" Type="http://schemas.openxmlformats.org/officeDocument/2006/relationships/header" Target="header29.xml"/><Relationship Id="rId78" Type="http://schemas.openxmlformats.org/officeDocument/2006/relationships/header" Target="header31.xml"/><Relationship Id="rId94" Type="http://schemas.openxmlformats.org/officeDocument/2006/relationships/header" Target="header39.xml"/><Relationship Id="rId99" Type="http://schemas.openxmlformats.org/officeDocument/2006/relationships/footer" Target="footer41.xml"/><Relationship Id="rId101" Type="http://schemas.openxmlformats.org/officeDocument/2006/relationships/footer" Target="footer42.xml"/><Relationship Id="rId122" Type="http://schemas.openxmlformats.org/officeDocument/2006/relationships/footer" Target="footer52.xml"/><Relationship Id="rId143" Type="http://schemas.openxmlformats.org/officeDocument/2006/relationships/header" Target="header63.xml"/><Relationship Id="rId148" Type="http://schemas.openxmlformats.org/officeDocument/2006/relationships/footer" Target="footer65.xml"/><Relationship Id="rId164" Type="http://schemas.openxmlformats.org/officeDocument/2006/relationships/header" Target="header74.xml"/><Relationship Id="rId169" Type="http://schemas.openxmlformats.org/officeDocument/2006/relationships/header" Target="header76.xml"/><Relationship Id="rId185" Type="http://schemas.openxmlformats.org/officeDocument/2006/relationships/header" Target="header83.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8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33773E15</Template>
  <TotalTime>0</TotalTime>
  <Pages>46</Pages>
  <Words>28167</Words>
  <Characters>160554</Characters>
  <Application>Microsoft Office Word</Application>
  <DocSecurity>0</DocSecurity>
  <Lines>1337</Lines>
  <Paragraphs>376</Paragraphs>
  <ScaleCrop>false</ScaleCrop>
  <Company/>
  <LinksUpToDate>false</LinksUpToDate>
  <CharactersWithSpaces>188345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LPFA Annual Accounts Period Year end 2017-18 DRAFT 10b.xlsx</dc:title>
  <dc:subject/>
  <dc:creator>Adrian.Hayward</dc:creator>
  <cp:keywords/>
  <cp:lastModifiedBy>Stuart Brown</cp:lastModifiedBy>
  <cp:revision>2</cp:revision>
  <dcterms:created xsi:type="dcterms:W3CDTF">2018-11-23T11:33:00Z</dcterms:created>
  <dcterms:modified xsi:type="dcterms:W3CDTF">2018-11-23T11:33:00Z</dcterms:modified>
</cp:coreProperties>
</file>