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A3AEFE" w14:textId="77777777" w:rsidR="00582B96" w:rsidRDefault="00582B96"/>
    <w:tbl>
      <w:tblPr>
        <w:tblStyle w:val="TableGrid1"/>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487"/>
      </w:tblGrid>
      <w:tr w:rsidR="00582B96" w:rsidRPr="008D4A19" w14:paraId="4DA3AF01" w14:textId="77777777" w:rsidTr="00061C01">
        <w:tc>
          <w:tcPr>
            <w:tcW w:w="4539" w:type="dxa"/>
          </w:tcPr>
          <w:p w14:paraId="4DA3AEFF" w14:textId="77777777" w:rsidR="00582B96" w:rsidRPr="008D4A19" w:rsidRDefault="00582B96" w:rsidP="00061C01">
            <w:pPr>
              <w:spacing w:after="200" w:line="276" w:lineRule="auto"/>
              <w:rPr>
                <w:rFonts w:eastAsiaTheme="minorHAnsi" w:cstheme="minorBidi"/>
                <w:b/>
                <w:color w:val="FF0000"/>
                <w:szCs w:val="22"/>
              </w:rPr>
            </w:pPr>
            <w:r w:rsidRPr="008D4A19">
              <w:rPr>
                <w:rFonts w:eastAsiaTheme="minorHAnsi" w:cstheme="minorBidi"/>
                <w:b/>
                <w:noProof/>
                <w:color w:val="FF0000"/>
                <w:szCs w:val="22"/>
                <w:lang w:eastAsia="en-GB"/>
              </w:rPr>
              <w:drawing>
                <wp:inline distT="0" distB="0" distL="0" distR="0" wp14:anchorId="4DA3B112" wp14:editId="4DA3B113">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2"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487" w:type="dxa"/>
          </w:tcPr>
          <w:p w14:paraId="4DA3AF00" w14:textId="77777777" w:rsidR="00582B96" w:rsidRPr="008D4A19" w:rsidRDefault="00582B96" w:rsidP="00061C01">
            <w:pPr>
              <w:spacing w:after="200" w:line="276" w:lineRule="auto"/>
              <w:jc w:val="right"/>
              <w:rPr>
                <w:rFonts w:eastAsiaTheme="minorHAnsi" w:cstheme="minorBidi"/>
                <w:b/>
                <w:color w:val="FF0000"/>
                <w:szCs w:val="22"/>
              </w:rPr>
            </w:pPr>
            <w:r>
              <w:rPr>
                <w:noProof/>
                <w:lang w:eastAsia="en-GB"/>
              </w:rPr>
              <w:drawing>
                <wp:inline distT="0" distB="0" distL="0" distR="0" wp14:anchorId="4DA3B114" wp14:editId="4DA3B115">
                  <wp:extent cx="1047135" cy="1047135"/>
                  <wp:effectExtent l="0" t="0" r="635" b="635"/>
                  <wp:docPr id="1"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bl>
    <w:p w14:paraId="4DA3AF02" w14:textId="77777777" w:rsidR="00582B96" w:rsidRDefault="00582B96" w:rsidP="00582B96"/>
    <w:p w14:paraId="4DA3AF03" w14:textId="77777777" w:rsidR="00582B96" w:rsidRPr="00D144D9" w:rsidRDefault="00582B96" w:rsidP="00582B96">
      <w:pPr>
        <w:rPr>
          <w:color w:val="FF0000"/>
        </w:rPr>
      </w:pPr>
    </w:p>
    <w:p w14:paraId="4DA3AF04" w14:textId="77777777" w:rsidR="00582B96" w:rsidRDefault="00582B96" w:rsidP="00582B96"/>
    <w:p w14:paraId="4DA3AF05" w14:textId="77777777" w:rsidR="00582B96" w:rsidRDefault="00582B96" w:rsidP="00582B96"/>
    <w:p w14:paraId="4DA3AF06" w14:textId="77777777" w:rsidR="00582B96" w:rsidRDefault="00582B96" w:rsidP="00582B96"/>
    <w:p w14:paraId="4DA3AF07" w14:textId="77777777" w:rsidR="00C5289B" w:rsidRDefault="00C5289B" w:rsidP="00582B96">
      <w:pPr>
        <w:rPr>
          <w:b/>
          <w:sz w:val="52"/>
          <w:szCs w:val="52"/>
        </w:rPr>
      </w:pPr>
    </w:p>
    <w:p w14:paraId="4DA3AF08" w14:textId="0F53B9C6" w:rsidR="00582B96" w:rsidRPr="002340A8" w:rsidRDefault="3B86E627" w:rsidP="00582B96">
      <w:pPr>
        <w:rPr>
          <w:b/>
          <w:sz w:val="48"/>
          <w:szCs w:val="48"/>
        </w:rPr>
      </w:pPr>
      <w:r w:rsidRPr="002340A8">
        <w:rPr>
          <w:b/>
          <w:bCs/>
          <w:sz w:val="48"/>
          <w:szCs w:val="48"/>
        </w:rPr>
        <w:t xml:space="preserve">SPECIFICATION </w:t>
      </w:r>
      <w:r w:rsidR="002340A8" w:rsidRPr="002340A8">
        <w:rPr>
          <w:b/>
          <w:bCs/>
          <w:sz w:val="48"/>
          <w:szCs w:val="48"/>
        </w:rPr>
        <w:t>&amp; QUESTIONNAIRE</w:t>
      </w:r>
    </w:p>
    <w:p w14:paraId="4DA3AF09" w14:textId="77777777" w:rsidR="00582B96" w:rsidRDefault="00582B96" w:rsidP="00582B96">
      <w:pPr>
        <w:rPr>
          <w:b/>
          <w:sz w:val="48"/>
          <w:szCs w:val="48"/>
        </w:rPr>
      </w:pPr>
    </w:p>
    <w:p w14:paraId="4DA3AF0A" w14:textId="77777777" w:rsidR="00582B96" w:rsidRDefault="00582B96" w:rsidP="00582B96">
      <w:pPr>
        <w:rPr>
          <w:b/>
          <w:sz w:val="48"/>
          <w:szCs w:val="48"/>
        </w:rPr>
      </w:pPr>
    </w:p>
    <w:p w14:paraId="4DA3AF0B" w14:textId="5D21215A" w:rsidR="00582B96" w:rsidRPr="00360CDD" w:rsidRDefault="3B86E627" w:rsidP="00582B96">
      <w:pPr>
        <w:rPr>
          <w:b/>
          <w:color w:val="FF0000"/>
          <w:sz w:val="36"/>
          <w:szCs w:val="36"/>
        </w:rPr>
      </w:pPr>
      <w:r w:rsidRPr="3B86E627">
        <w:rPr>
          <w:b/>
          <w:bCs/>
          <w:sz w:val="36"/>
          <w:szCs w:val="36"/>
        </w:rPr>
        <w:t xml:space="preserve">INVITATION TO TENDER </w:t>
      </w:r>
      <w:r w:rsidR="002340A8" w:rsidRPr="002340A8">
        <w:rPr>
          <w:b/>
          <w:bCs/>
          <w:sz w:val="36"/>
          <w:szCs w:val="36"/>
        </w:rPr>
        <w:t>itt_30100</w:t>
      </w:r>
    </w:p>
    <w:p w14:paraId="4DA3AF0C" w14:textId="77777777" w:rsidR="00582B96" w:rsidRPr="00360CDD" w:rsidRDefault="00582B96" w:rsidP="00582B96">
      <w:pPr>
        <w:autoSpaceDE w:val="0"/>
        <w:autoSpaceDN w:val="0"/>
        <w:adjustRightInd w:val="0"/>
        <w:rPr>
          <w:rFonts w:cs="Arial"/>
          <w:b/>
          <w:bCs/>
          <w:sz w:val="48"/>
          <w:szCs w:val="48"/>
        </w:rPr>
      </w:pPr>
    </w:p>
    <w:p w14:paraId="4DA3AF0D" w14:textId="77777777" w:rsidR="007213CF" w:rsidRPr="002340A8" w:rsidRDefault="3B86E627" w:rsidP="007213CF">
      <w:pPr>
        <w:autoSpaceDE w:val="0"/>
        <w:autoSpaceDN w:val="0"/>
        <w:adjustRightInd w:val="0"/>
        <w:rPr>
          <w:rFonts w:cs="Arial"/>
          <w:b/>
          <w:bCs/>
          <w:sz w:val="36"/>
          <w:szCs w:val="36"/>
        </w:rPr>
      </w:pPr>
      <w:r w:rsidRPr="002340A8">
        <w:rPr>
          <w:rFonts w:eastAsia="Arial" w:cs="Arial"/>
          <w:b/>
          <w:bCs/>
          <w:sz w:val="36"/>
          <w:szCs w:val="36"/>
        </w:rPr>
        <w:t>GREATER MANCHESTER CAREERS EDUCATION INFORMATION ADVICE AND GUIDANCE PROGRAMME FOR ADULTS AND YOUNG PEOPLE</w:t>
      </w:r>
    </w:p>
    <w:p w14:paraId="4DA3AF0E" w14:textId="5B094F56" w:rsidR="007213CF" w:rsidRDefault="3B86E627" w:rsidP="007213CF">
      <w:pPr>
        <w:rPr>
          <w:b/>
          <w:sz w:val="48"/>
          <w:szCs w:val="48"/>
        </w:rPr>
      </w:pPr>
      <w:r w:rsidRPr="3B86E627">
        <w:rPr>
          <w:b/>
          <w:bCs/>
          <w:sz w:val="48"/>
          <w:szCs w:val="48"/>
        </w:rPr>
        <w:t>15-902</w:t>
      </w:r>
    </w:p>
    <w:p w14:paraId="4DA3AF0F" w14:textId="77777777" w:rsidR="007213CF" w:rsidRDefault="007213CF" w:rsidP="007213CF">
      <w:pPr>
        <w:rPr>
          <w:b/>
          <w:sz w:val="48"/>
          <w:szCs w:val="48"/>
        </w:rPr>
      </w:pPr>
    </w:p>
    <w:p w14:paraId="4DA3AF10" w14:textId="77777777" w:rsidR="007213CF" w:rsidRPr="00360CDD" w:rsidRDefault="3B86E627" w:rsidP="007213CF">
      <w:pPr>
        <w:autoSpaceDE w:val="0"/>
        <w:autoSpaceDN w:val="0"/>
        <w:adjustRightInd w:val="0"/>
        <w:rPr>
          <w:rFonts w:cs="Arial"/>
          <w:b/>
          <w:bCs/>
          <w:color w:val="FF0000"/>
          <w:sz w:val="36"/>
          <w:szCs w:val="36"/>
        </w:rPr>
      </w:pPr>
      <w:r w:rsidRPr="3B86E627">
        <w:rPr>
          <w:rFonts w:eastAsia="Arial" w:cs="Arial"/>
          <w:b/>
          <w:bCs/>
          <w:sz w:val="36"/>
          <w:szCs w:val="36"/>
        </w:rPr>
        <w:t>Greater Manchester LEP</w:t>
      </w:r>
    </w:p>
    <w:p w14:paraId="4DA3AF11" w14:textId="77777777" w:rsidR="007213CF" w:rsidRDefault="007213CF" w:rsidP="007213CF">
      <w:pPr>
        <w:rPr>
          <w:b/>
          <w:sz w:val="48"/>
          <w:szCs w:val="48"/>
        </w:rPr>
      </w:pPr>
    </w:p>
    <w:p w14:paraId="4DA3AF12" w14:textId="77777777" w:rsidR="007213CF" w:rsidRDefault="007213CF" w:rsidP="007213CF">
      <w:pPr>
        <w:rPr>
          <w:b/>
          <w:sz w:val="48"/>
          <w:szCs w:val="48"/>
        </w:rPr>
      </w:pPr>
    </w:p>
    <w:p w14:paraId="4DA3AF13" w14:textId="77777777" w:rsidR="007213CF" w:rsidRDefault="007213CF" w:rsidP="007213CF">
      <w:pPr>
        <w:rPr>
          <w:b/>
          <w:sz w:val="48"/>
          <w:szCs w:val="48"/>
        </w:rPr>
      </w:pPr>
    </w:p>
    <w:p w14:paraId="4DA3AF14" w14:textId="77777777" w:rsidR="007213CF" w:rsidRPr="00360CDD" w:rsidRDefault="3B86E627" w:rsidP="007213CF">
      <w:pPr>
        <w:rPr>
          <w:b/>
          <w:sz w:val="36"/>
          <w:szCs w:val="36"/>
        </w:rPr>
      </w:pPr>
      <w:r w:rsidRPr="3B86E627">
        <w:rPr>
          <w:b/>
          <w:bCs/>
          <w:sz w:val="36"/>
          <w:szCs w:val="36"/>
        </w:rPr>
        <w:t>DATE: June 2016</w:t>
      </w:r>
    </w:p>
    <w:p w14:paraId="4DA3AF15" w14:textId="77777777" w:rsidR="00582B96" w:rsidRDefault="00582B96" w:rsidP="00582B96">
      <w:pPr>
        <w:rPr>
          <w:b/>
          <w:sz w:val="48"/>
          <w:szCs w:val="48"/>
        </w:rPr>
      </w:pPr>
    </w:p>
    <w:p w14:paraId="4DA3AF16" w14:textId="77777777" w:rsidR="00582B96" w:rsidRDefault="00582B96" w:rsidP="00582B96">
      <w:pPr>
        <w:rPr>
          <w:b/>
          <w:sz w:val="48"/>
          <w:szCs w:val="48"/>
        </w:rPr>
      </w:pPr>
    </w:p>
    <w:p w14:paraId="4DA3AF17" w14:textId="77777777" w:rsidR="00582B96" w:rsidRDefault="00582B96"/>
    <w:tbl>
      <w:tblPr>
        <w:tblW w:w="0" w:type="auto"/>
        <w:tblLook w:val="01E0" w:firstRow="1" w:lastRow="1" w:firstColumn="1" w:lastColumn="1" w:noHBand="0" w:noVBand="0"/>
      </w:tblPr>
      <w:tblGrid>
        <w:gridCol w:w="4421"/>
        <w:gridCol w:w="4366"/>
      </w:tblGrid>
      <w:tr w:rsidR="00ED67E0" w14:paraId="4DA3AF1A" w14:textId="77777777" w:rsidTr="00B24D65">
        <w:tc>
          <w:tcPr>
            <w:tcW w:w="4421" w:type="dxa"/>
          </w:tcPr>
          <w:p w14:paraId="4DA3AF18" w14:textId="77777777" w:rsidR="00ED67E0" w:rsidRDefault="00ED67E0" w:rsidP="000419AD">
            <w:pPr>
              <w:pStyle w:val="Header"/>
              <w:tabs>
                <w:tab w:val="clear" w:pos="4153"/>
                <w:tab w:val="clear" w:pos="8306"/>
                <w:tab w:val="left" w:pos="1185"/>
              </w:tabs>
            </w:pPr>
            <w:r>
              <w:tab/>
            </w:r>
          </w:p>
        </w:tc>
        <w:tc>
          <w:tcPr>
            <w:tcW w:w="4366" w:type="dxa"/>
          </w:tcPr>
          <w:p w14:paraId="4DA3AF19" w14:textId="77777777" w:rsidR="00ED67E0" w:rsidRDefault="00ED67E0" w:rsidP="000419AD">
            <w:pPr>
              <w:pStyle w:val="Header"/>
              <w:jc w:val="right"/>
            </w:pPr>
          </w:p>
        </w:tc>
      </w:tr>
      <w:tr w:rsidR="00ED67E0" w:rsidRPr="002465E9" w14:paraId="4DA3AF1D" w14:textId="77777777" w:rsidTr="00B24D65">
        <w:tc>
          <w:tcPr>
            <w:tcW w:w="4421" w:type="dxa"/>
          </w:tcPr>
          <w:p w14:paraId="4DA3AF1B" w14:textId="77777777" w:rsidR="00ED67E0" w:rsidRDefault="00ED67E0" w:rsidP="000419AD">
            <w:pPr>
              <w:pStyle w:val="Header"/>
            </w:pPr>
            <w:r>
              <w:rPr>
                <w:noProof/>
                <w:lang w:eastAsia="en-GB"/>
              </w:rPr>
              <w:lastRenderedPageBreak/>
              <w:drawing>
                <wp:inline distT="0" distB="0" distL="0" distR="0" wp14:anchorId="4DA3B116" wp14:editId="4DA3B117">
                  <wp:extent cx="1809750" cy="1085850"/>
                  <wp:effectExtent l="19050" t="0" r="0" b="0"/>
                  <wp:docPr id="8" name="Picture 1"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A_BLK_AW"/>
                          <pic:cNvPicPr>
                            <a:picLocks noChangeAspect="1" noChangeArrowheads="1"/>
                          </pic:cNvPicPr>
                        </pic:nvPicPr>
                        <pic:blipFill>
                          <a:blip r:embed="rId14"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366" w:type="dxa"/>
          </w:tcPr>
          <w:p w14:paraId="4DA3AF1C" w14:textId="77777777" w:rsidR="00ED67E0" w:rsidRDefault="000D51DE" w:rsidP="000419AD">
            <w:pPr>
              <w:pStyle w:val="Header"/>
              <w:jc w:val="right"/>
            </w:pPr>
            <w:r>
              <w:rPr>
                <w:noProof/>
                <w:lang w:eastAsia="en-GB"/>
              </w:rPr>
              <w:drawing>
                <wp:inline distT="0" distB="0" distL="0" distR="0" wp14:anchorId="4DA3B118" wp14:editId="4DA3B119">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r w:rsidR="008441FE" w:rsidRPr="002465E9" w14:paraId="4DA3AF20" w14:textId="77777777" w:rsidTr="00B24D65">
        <w:tc>
          <w:tcPr>
            <w:tcW w:w="4421" w:type="dxa"/>
          </w:tcPr>
          <w:p w14:paraId="4DA3AF1E" w14:textId="77777777" w:rsidR="008441FE" w:rsidRDefault="008441FE" w:rsidP="000419AD">
            <w:pPr>
              <w:pStyle w:val="Header"/>
              <w:rPr>
                <w:noProof/>
                <w:lang w:eastAsia="en-GB"/>
              </w:rPr>
            </w:pPr>
          </w:p>
        </w:tc>
        <w:tc>
          <w:tcPr>
            <w:tcW w:w="4366" w:type="dxa"/>
          </w:tcPr>
          <w:p w14:paraId="4DA3AF1F" w14:textId="77777777" w:rsidR="008441FE" w:rsidRDefault="008441FE" w:rsidP="000419AD">
            <w:pPr>
              <w:pStyle w:val="Header"/>
              <w:jc w:val="right"/>
              <w:rPr>
                <w:noProof/>
                <w:lang w:eastAsia="en-GB"/>
              </w:rPr>
            </w:pPr>
          </w:p>
        </w:tc>
      </w:tr>
    </w:tbl>
    <w:p w14:paraId="4DA3AF21" w14:textId="77777777" w:rsidR="0015011A" w:rsidRDefault="0015011A" w:rsidP="0015011A"/>
    <w:tbl>
      <w:tblPr>
        <w:tblStyle w:val="TableGrid"/>
        <w:tblW w:w="5408" w:type="pct"/>
        <w:tblLook w:val="04A0" w:firstRow="1" w:lastRow="0" w:firstColumn="1" w:lastColumn="0" w:noHBand="0" w:noVBand="1"/>
      </w:tblPr>
      <w:tblGrid>
        <w:gridCol w:w="9686"/>
      </w:tblGrid>
      <w:tr w:rsidR="00967429" w:rsidRPr="00EF4406" w14:paraId="4DA3AF26" w14:textId="77777777" w:rsidTr="3B86E627">
        <w:trPr>
          <w:trHeight w:val="597"/>
        </w:trPr>
        <w:tc>
          <w:tcPr>
            <w:tcW w:w="9493" w:type="dxa"/>
          </w:tcPr>
          <w:p w14:paraId="4DA3AF24" w14:textId="38164427" w:rsidR="007213CF" w:rsidRPr="00F73704" w:rsidRDefault="002340A8" w:rsidP="007213CF">
            <w:pPr>
              <w:pStyle w:val="BodyText"/>
              <w:tabs>
                <w:tab w:val="num" w:pos="1134"/>
              </w:tabs>
              <w:spacing w:after="0"/>
              <w:jc w:val="both"/>
              <w:rPr>
                <w:rFonts w:ascii="Arial" w:hAnsi="Arial" w:cs="Arial"/>
                <w:b/>
              </w:rPr>
            </w:pPr>
            <w:r>
              <w:rPr>
                <w:rFonts w:ascii="Arial" w:eastAsia="Arial" w:hAnsi="Arial" w:cs="Arial"/>
                <w:b/>
                <w:bCs/>
              </w:rPr>
              <w:t xml:space="preserve">ESF: </w:t>
            </w:r>
            <w:r w:rsidR="3B86E627" w:rsidRPr="3B86E627">
              <w:rPr>
                <w:rFonts w:ascii="Arial" w:eastAsia="Arial" w:hAnsi="Arial" w:cs="Arial"/>
                <w:b/>
                <w:bCs/>
              </w:rPr>
              <w:t>Greater Manchester Careers Education Information Advice and Guidance programme for young people and adults</w:t>
            </w:r>
            <w:r>
              <w:rPr>
                <w:rFonts w:ascii="Arial" w:eastAsia="Arial" w:hAnsi="Arial" w:cs="Arial"/>
                <w:b/>
                <w:bCs/>
              </w:rPr>
              <w:t xml:space="preserve"> itt_30100</w:t>
            </w:r>
          </w:p>
          <w:p w14:paraId="4DA3AF25" w14:textId="77777777" w:rsidR="007213CF" w:rsidRPr="00200BC6" w:rsidRDefault="007213CF" w:rsidP="007213CF">
            <w:pPr>
              <w:pStyle w:val="BodyText"/>
              <w:tabs>
                <w:tab w:val="num" w:pos="1134"/>
              </w:tabs>
              <w:spacing w:after="0"/>
              <w:jc w:val="both"/>
              <w:rPr>
                <w:rFonts w:ascii="Arial" w:hAnsi="Arial" w:cs="Arial"/>
                <w:b/>
                <w:color w:val="FF0000"/>
              </w:rPr>
            </w:pPr>
          </w:p>
        </w:tc>
      </w:tr>
      <w:tr w:rsidR="00967429" w14:paraId="4DA3AF28" w14:textId="77777777" w:rsidTr="3B86E627">
        <w:trPr>
          <w:trHeight w:val="567"/>
        </w:trPr>
        <w:tc>
          <w:tcPr>
            <w:tcW w:w="9493" w:type="dxa"/>
            <w:shd w:val="clear" w:color="auto" w:fill="D9D9D9" w:themeFill="background1" w:themeFillShade="D9"/>
            <w:vAlign w:val="center"/>
          </w:tcPr>
          <w:p w14:paraId="4DA3AF27" w14:textId="77777777" w:rsidR="00967429" w:rsidRPr="00FD3B0A" w:rsidRDefault="3B86E627" w:rsidP="00FD3B0A">
            <w:pPr>
              <w:pStyle w:val="SpecificationHeading"/>
            </w:pPr>
            <w:r>
              <w:t>BACKGROUND</w:t>
            </w:r>
          </w:p>
        </w:tc>
      </w:tr>
      <w:tr w:rsidR="00967429" w:rsidRPr="00EF4406" w14:paraId="4DA3AF59" w14:textId="77777777" w:rsidTr="3B86E627">
        <w:tc>
          <w:tcPr>
            <w:tcW w:w="9493" w:type="dxa"/>
          </w:tcPr>
          <w:p w14:paraId="4DA3AF29" w14:textId="77777777" w:rsidR="00B24D65" w:rsidRPr="002833D9" w:rsidRDefault="00B24D65" w:rsidP="00FF3875">
            <w:pPr>
              <w:tabs>
                <w:tab w:val="num" w:pos="900"/>
              </w:tabs>
              <w:autoSpaceDE w:val="0"/>
              <w:autoSpaceDN w:val="0"/>
              <w:adjustRightInd w:val="0"/>
              <w:jc w:val="both"/>
              <w:rPr>
                <w:rFonts w:cs="Arial"/>
                <w:b/>
              </w:rPr>
            </w:pPr>
          </w:p>
          <w:p w14:paraId="4DA3AF2A" w14:textId="77777777" w:rsidR="001F0385" w:rsidRPr="002833D9" w:rsidRDefault="3B86E627" w:rsidP="00FF3875">
            <w:pPr>
              <w:tabs>
                <w:tab w:val="num" w:pos="900"/>
              </w:tabs>
              <w:autoSpaceDE w:val="0"/>
              <w:autoSpaceDN w:val="0"/>
              <w:adjustRightInd w:val="0"/>
              <w:jc w:val="both"/>
              <w:rPr>
                <w:rFonts w:cs="Arial"/>
                <w:b/>
              </w:rPr>
            </w:pPr>
            <w:r w:rsidRPr="3B86E627">
              <w:rPr>
                <w:rFonts w:eastAsia="Arial" w:cs="Arial"/>
                <w:b/>
                <w:bCs/>
              </w:rPr>
              <w:t>General</w:t>
            </w:r>
          </w:p>
          <w:p w14:paraId="4DA3AF2B" w14:textId="77777777" w:rsidR="002833D9" w:rsidRDefault="002833D9" w:rsidP="00FF3875">
            <w:pPr>
              <w:tabs>
                <w:tab w:val="num" w:pos="900"/>
              </w:tabs>
              <w:autoSpaceDE w:val="0"/>
              <w:autoSpaceDN w:val="0"/>
              <w:adjustRightInd w:val="0"/>
              <w:jc w:val="both"/>
              <w:rPr>
                <w:rFonts w:cs="Arial"/>
                <w:b/>
              </w:rPr>
            </w:pPr>
          </w:p>
          <w:p w14:paraId="4DA3AF2C" w14:textId="77777777" w:rsidR="007213CF" w:rsidRPr="005A1D76" w:rsidRDefault="3B86E627" w:rsidP="007213CF">
            <w:pPr>
              <w:tabs>
                <w:tab w:val="num" w:pos="900"/>
              </w:tabs>
              <w:autoSpaceDE w:val="0"/>
              <w:autoSpaceDN w:val="0"/>
              <w:adjustRightInd w:val="0"/>
              <w:rPr>
                <w:rFonts w:cs="Arial"/>
              </w:rPr>
            </w:pPr>
            <w:r w:rsidRPr="3B86E627">
              <w:rPr>
                <w:rFonts w:eastAsia="Arial" w:cs="Arial"/>
              </w:rPr>
              <w:t>The contracting authority is the Secretary of State for Business Innovation and Skills acting through the Skills Funding Agency (SFA), an executive agency of the Department for Business Innovation and Skills exercising functions to fund adult education and skills.</w:t>
            </w:r>
          </w:p>
          <w:p w14:paraId="4DA3AF2D" w14:textId="77777777" w:rsidR="007213CF" w:rsidRPr="005A1D76" w:rsidRDefault="007213CF" w:rsidP="007213CF">
            <w:pPr>
              <w:tabs>
                <w:tab w:val="num" w:pos="900"/>
              </w:tabs>
              <w:autoSpaceDE w:val="0"/>
              <w:autoSpaceDN w:val="0"/>
              <w:adjustRightInd w:val="0"/>
              <w:rPr>
                <w:rFonts w:cs="Arial"/>
              </w:rPr>
            </w:pPr>
          </w:p>
          <w:p w14:paraId="4DA3AF2E" w14:textId="77777777" w:rsidR="007213CF" w:rsidRPr="005A1D76" w:rsidRDefault="3B86E627" w:rsidP="007213CF">
            <w:pPr>
              <w:rPr>
                <w:rFonts w:cs="Arial"/>
              </w:rPr>
            </w:pPr>
            <w:r w:rsidRPr="3B86E627">
              <w:rPr>
                <w:rFonts w:eastAsia="Arial" w:cs="Arial"/>
              </w:rPr>
              <w:t xml:space="preserve">The SFA, acting as an Opt-In Organisation for the European Social Fund (ESF), is procuring education and training services to meet priorities identified by </w:t>
            </w:r>
            <w:r>
              <w:t xml:space="preserve">Local Enterprise Partnership (LEP) area European Structural and Investment Funds Sub–Committees. </w:t>
            </w:r>
            <w:r w:rsidRPr="3B86E627">
              <w:rPr>
                <w:rFonts w:eastAsia="Arial" w:cs="Arial"/>
              </w:rPr>
              <w:t>As an Opt-In Organisation the SFA provides match funding at Priority Axis level utilising sources of public funding as match for ESF funded activity.</w:t>
            </w:r>
          </w:p>
          <w:p w14:paraId="4DA3AF2F" w14:textId="77777777" w:rsidR="007213CF" w:rsidRPr="005A1D76" w:rsidRDefault="007213CF" w:rsidP="007213CF">
            <w:pPr>
              <w:rPr>
                <w:rFonts w:cs="Arial"/>
              </w:rPr>
            </w:pPr>
          </w:p>
          <w:p w14:paraId="4DA3AF30" w14:textId="77777777" w:rsidR="007213CF" w:rsidRPr="00A63E89" w:rsidRDefault="3B86E627" w:rsidP="007213CF">
            <w:r w:rsidRPr="3B86E627">
              <w:rPr>
                <w:rFonts w:eastAsia="Arial" w:cs="Arial"/>
              </w:rPr>
              <w:t>This Invitation to Tender (ITT) is for Priority Axis 1 and its Investment Priorities (IP)</w:t>
            </w:r>
            <w:r>
              <w:t xml:space="preserve">, where the need has been identified both in the LEP area and European Structural and Investment Fund Strategies.  </w:t>
            </w:r>
          </w:p>
          <w:p w14:paraId="4DA3AF32" w14:textId="77777777" w:rsidR="0012676B" w:rsidRDefault="0012676B" w:rsidP="007213CF">
            <w:pPr>
              <w:rPr>
                <w:sz w:val="23"/>
                <w:szCs w:val="23"/>
              </w:rPr>
            </w:pPr>
          </w:p>
          <w:p w14:paraId="4DA3AF33" w14:textId="77777777" w:rsidR="007213CF" w:rsidRDefault="3B86E627" w:rsidP="007213CF">
            <w:r>
              <w:t>The themes in Priority Axis 1 in this specification are:</w:t>
            </w:r>
          </w:p>
          <w:p w14:paraId="4DA3AF34" w14:textId="77777777" w:rsidR="007213CF" w:rsidRDefault="007213CF" w:rsidP="007213CF"/>
          <w:p w14:paraId="4DA3AF35" w14:textId="77777777" w:rsidR="007213CF" w:rsidRDefault="3B86E627" w:rsidP="007213CF">
            <w:pPr>
              <w:pStyle w:val="ListParagraph"/>
              <w:numPr>
                <w:ilvl w:val="0"/>
                <w:numId w:val="16"/>
              </w:numPr>
            </w:pPr>
            <w:r w:rsidRPr="3B86E627">
              <w:rPr>
                <w:b/>
                <w:bCs/>
              </w:rPr>
              <w:t>Access to employment for jobseekers and inactive people</w:t>
            </w:r>
            <w:r>
              <w:t xml:space="preserve"> (IP1.1) - to help those who are disadvantaged but still relatively close to the labour market to tackle their barriers to work, and enter and sustain employment.  </w:t>
            </w:r>
          </w:p>
          <w:p w14:paraId="4DA3AF36" w14:textId="77777777" w:rsidR="007213CF" w:rsidRDefault="3B86E627" w:rsidP="007213CF">
            <w:pPr>
              <w:pStyle w:val="ListParagraph"/>
              <w:numPr>
                <w:ilvl w:val="0"/>
                <w:numId w:val="16"/>
              </w:numPr>
            </w:pPr>
            <w:r w:rsidRPr="3B86E627">
              <w:rPr>
                <w:b/>
                <w:bCs/>
              </w:rPr>
              <w:t>Sustainable integration of young people</w:t>
            </w:r>
            <w:r>
              <w:t xml:space="preserve"> (IP1.2) - to focus on helping young people, particularly those who are NEET or at risk of NEET, to participate in the labour market and learning in areas through focused Information, Advice and Guidance.</w:t>
            </w:r>
          </w:p>
          <w:p w14:paraId="4DA3AF37" w14:textId="77777777" w:rsidR="0012676B" w:rsidRDefault="0012676B" w:rsidP="007213CF">
            <w:pPr>
              <w:tabs>
                <w:tab w:val="num" w:pos="900"/>
              </w:tabs>
              <w:autoSpaceDE w:val="0"/>
              <w:autoSpaceDN w:val="0"/>
              <w:adjustRightInd w:val="0"/>
              <w:rPr>
                <w:rFonts w:cs="Arial"/>
              </w:rPr>
            </w:pPr>
          </w:p>
          <w:p w14:paraId="4DA3AF38" w14:textId="77777777" w:rsidR="00BA2A6E" w:rsidRDefault="3B86E627" w:rsidP="007213CF">
            <w:pPr>
              <w:rPr>
                <w:rFonts w:cs="Arial"/>
              </w:rPr>
            </w:pPr>
            <w:r w:rsidRPr="3B86E627">
              <w:rPr>
                <w:rFonts w:eastAsia="Arial" w:cs="Arial"/>
              </w:rPr>
              <w:t xml:space="preserve">The SFA is looking to procure an organisation to deliver Careers Education, Information Advice and Guidance in the LEP area set out below. This will be split between two target groups: </w:t>
            </w:r>
          </w:p>
          <w:p w14:paraId="4DA3AF39" w14:textId="77777777" w:rsidR="008D679F" w:rsidRDefault="008D679F" w:rsidP="007213CF">
            <w:pPr>
              <w:rPr>
                <w:rFonts w:cs="Arial"/>
              </w:rPr>
            </w:pPr>
          </w:p>
          <w:p w14:paraId="4DA3AF3A" w14:textId="77777777" w:rsidR="00BA2A6E" w:rsidRPr="0066567A" w:rsidRDefault="3B86E627" w:rsidP="3B86E627">
            <w:pPr>
              <w:pStyle w:val="ListParagraph"/>
              <w:numPr>
                <w:ilvl w:val="0"/>
                <w:numId w:val="19"/>
              </w:numPr>
              <w:rPr>
                <w:rFonts w:eastAsia="Arial" w:cs="Arial"/>
                <w:b/>
                <w:bCs/>
              </w:rPr>
            </w:pPr>
            <w:r w:rsidRPr="3B86E627">
              <w:rPr>
                <w:rFonts w:eastAsia="Arial" w:cs="Arial"/>
                <w:b/>
                <w:bCs/>
              </w:rPr>
              <w:t xml:space="preserve">Theme 1: Young people who are 15-18 and up to 25 with Special Educational needs and disability (SEND) and Care Leavers </w:t>
            </w:r>
          </w:p>
          <w:p w14:paraId="4DA3AF3B" w14:textId="77777777" w:rsidR="007213CF" w:rsidRPr="0066567A" w:rsidRDefault="3B86E627" w:rsidP="3B86E627">
            <w:pPr>
              <w:pStyle w:val="ListParagraph"/>
              <w:numPr>
                <w:ilvl w:val="0"/>
                <w:numId w:val="19"/>
              </w:numPr>
              <w:rPr>
                <w:rFonts w:eastAsia="Arial" w:cs="Arial"/>
                <w:b/>
                <w:bCs/>
              </w:rPr>
            </w:pPr>
            <w:r w:rsidRPr="3B86E627">
              <w:rPr>
                <w:rFonts w:eastAsia="Arial" w:cs="Arial"/>
                <w:b/>
                <w:bCs/>
              </w:rPr>
              <w:t>Theme 2: IAG Adults</w:t>
            </w:r>
          </w:p>
          <w:p w14:paraId="4DA3AF3C" w14:textId="77777777" w:rsidR="007213CF" w:rsidRPr="0066567A" w:rsidRDefault="007213CF" w:rsidP="007213CF">
            <w:pPr>
              <w:tabs>
                <w:tab w:val="num" w:pos="900"/>
              </w:tabs>
              <w:autoSpaceDE w:val="0"/>
              <w:autoSpaceDN w:val="0"/>
              <w:adjustRightInd w:val="0"/>
              <w:rPr>
                <w:rFonts w:cs="Arial"/>
                <w:b/>
              </w:rPr>
            </w:pPr>
          </w:p>
          <w:p w14:paraId="4DA3AF3D" w14:textId="77777777" w:rsidR="00EB57C4" w:rsidRPr="0066567A" w:rsidRDefault="3B86E627" w:rsidP="00FF3875">
            <w:pPr>
              <w:jc w:val="both"/>
              <w:rPr>
                <w:rFonts w:cs="Arial"/>
                <w:b/>
              </w:rPr>
            </w:pPr>
            <w:r w:rsidRPr="3B86E627">
              <w:rPr>
                <w:rFonts w:eastAsia="Arial" w:cs="Arial"/>
                <w:b/>
                <w:bCs/>
              </w:rPr>
              <w:lastRenderedPageBreak/>
              <w:t>Greater Manchester</w:t>
            </w:r>
            <w:r w:rsidRPr="3B86E627">
              <w:rPr>
                <w:rFonts w:eastAsia="Arial" w:cs="Arial"/>
              </w:rPr>
              <w:t xml:space="preserve"> </w:t>
            </w:r>
            <w:r w:rsidRPr="3B86E627">
              <w:rPr>
                <w:rFonts w:eastAsia="Arial" w:cs="Arial"/>
                <w:b/>
                <w:bCs/>
              </w:rPr>
              <w:t>Local Enterprise Partnership Background</w:t>
            </w:r>
          </w:p>
          <w:p w14:paraId="4DA3AF3E" w14:textId="77777777" w:rsidR="000D51DE" w:rsidRPr="0066567A" w:rsidRDefault="000D51DE" w:rsidP="00FF3875">
            <w:pPr>
              <w:jc w:val="both"/>
              <w:rPr>
                <w:rFonts w:cs="Arial"/>
              </w:rPr>
            </w:pPr>
          </w:p>
          <w:p w14:paraId="4DA3AF3F" w14:textId="77777777" w:rsidR="00CF1691" w:rsidRPr="0066567A" w:rsidRDefault="3B86E627" w:rsidP="00CF1691">
            <w:pPr>
              <w:rPr>
                <w:rFonts w:cs="Arial"/>
              </w:rPr>
            </w:pPr>
            <w:r w:rsidRPr="3B86E627">
              <w:rPr>
                <w:rFonts w:eastAsia="Arial" w:cs="Arial"/>
              </w:rPr>
              <w:t>Through our work to implement the employment and skills elements of the November 2014/15 devolution agreements Greater Manchester has set out a vision for an integrated employment and skills system. We want to deliver a system that supports individuals and employers and that drives growth and prosperity. We aim to provide people with the support they need at the point at which they need it, improving outcomes for the individual, ensuring employers have access to the skills they need, and reducing dependency on the state.</w:t>
            </w:r>
          </w:p>
          <w:p w14:paraId="4DA3AF40" w14:textId="77777777" w:rsidR="00772BB8" w:rsidRPr="0066567A" w:rsidRDefault="00772BB8" w:rsidP="00FF3875">
            <w:pPr>
              <w:jc w:val="both"/>
              <w:rPr>
                <w:rFonts w:cs="Arial"/>
              </w:rPr>
            </w:pPr>
          </w:p>
          <w:p w14:paraId="4DA3AF41" w14:textId="77777777" w:rsidR="007213CF" w:rsidRPr="0066567A" w:rsidRDefault="3B86E627" w:rsidP="007213CF">
            <w:pPr>
              <w:rPr>
                <w:rFonts w:cs="Arial"/>
              </w:rPr>
            </w:pPr>
            <w:r w:rsidRPr="3B86E627">
              <w:rPr>
                <w:rFonts w:eastAsia="Arial" w:cs="Arial"/>
              </w:rPr>
              <w:t>Careers Education Information Advice and Guidance is one of 10 key priorities for the Greater Manchester Skills and Employment Partnership aimed at supporting that ambition:</w:t>
            </w:r>
          </w:p>
          <w:p w14:paraId="4DA3AF42" w14:textId="77777777" w:rsidR="007213CF" w:rsidRPr="0066567A" w:rsidRDefault="007213CF" w:rsidP="007213CF">
            <w:pPr>
              <w:rPr>
                <w:rFonts w:cs="Arial"/>
              </w:rPr>
            </w:pPr>
          </w:p>
          <w:p w14:paraId="4DA3AF43" w14:textId="77777777" w:rsidR="007213CF" w:rsidRPr="0066567A" w:rsidRDefault="3B86E627" w:rsidP="0066567A">
            <w:pPr>
              <w:autoSpaceDE w:val="0"/>
              <w:autoSpaceDN w:val="0"/>
              <w:adjustRightInd w:val="0"/>
              <w:spacing w:line="276" w:lineRule="auto"/>
              <w:jc w:val="both"/>
              <w:rPr>
                <w:rFonts w:cs="Arial"/>
              </w:rPr>
            </w:pPr>
            <w:r w:rsidRPr="3B86E627">
              <w:rPr>
                <w:rFonts w:eastAsia="Arial" w:cs="Arial"/>
                <w:b/>
                <w:bCs/>
              </w:rPr>
              <w:t>‘Careers Education Information Advice &amp; Guidance (CEIAG)</w:t>
            </w:r>
            <w:r w:rsidRPr="3B86E627">
              <w:rPr>
                <w:rFonts w:eastAsia="Arial" w:cs="Arial"/>
              </w:rPr>
              <w:t>: Based on up to date Labour Market Information, enhance high quality CEIAG across school, FE and Work provision to ensure young people, their parents &amp; teachers and adults understand the range of education, skills and employment opportunities and progression pathways available in GM and as a result make informed choices’</w:t>
            </w:r>
          </w:p>
          <w:p w14:paraId="4DA3AF44" w14:textId="77777777" w:rsidR="001929A6" w:rsidRPr="0066567A" w:rsidRDefault="001929A6" w:rsidP="0066567A">
            <w:pPr>
              <w:rPr>
                <w:rFonts w:cs="Arial"/>
                <w:highlight w:val="lightGray"/>
              </w:rPr>
            </w:pPr>
          </w:p>
          <w:p w14:paraId="4DA3AF45" w14:textId="77777777" w:rsidR="003F1A0E" w:rsidRPr="0066567A" w:rsidRDefault="3B86E627" w:rsidP="003F1A0E">
            <w:pPr>
              <w:rPr>
                <w:rFonts w:cs="Arial"/>
              </w:rPr>
            </w:pPr>
            <w:r w:rsidRPr="3B86E627">
              <w:rPr>
                <w:rFonts w:eastAsia="Arial" w:cs="Arial"/>
              </w:rPr>
              <w:t>The Greater Manchester LEP is looking for an underpinning all age approach to CEIAG that is complementary to other interventions supporting at risk young people and adults.  We want to be able to support young people and adults to progress and enter into and sustain training and employment outcomes including Apprenticeships and Traineeships through a comprehensive and robust offer of CEIAG targeted at the most appropriate time.</w:t>
            </w:r>
          </w:p>
          <w:p w14:paraId="4DA3AF46" w14:textId="77777777" w:rsidR="003F1A0E" w:rsidRPr="0066567A" w:rsidRDefault="003F1A0E" w:rsidP="007213CF">
            <w:pPr>
              <w:autoSpaceDE w:val="0"/>
              <w:autoSpaceDN w:val="0"/>
              <w:adjustRightInd w:val="0"/>
              <w:spacing w:line="276" w:lineRule="auto"/>
              <w:jc w:val="both"/>
              <w:rPr>
                <w:rFonts w:cs="Arial"/>
              </w:rPr>
            </w:pPr>
          </w:p>
          <w:p w14:paraId="4DA3AF47" w14:textId="5A39A334" w:rsidR="000F509E" w:rsidRPr="0066567A" w:rsidRDefault="3B86E627" w:rsidP="000F509E">
            <w:pPr>
              <w:rPr>
                <w:rFonts w:cs="Arial"/>
                <w:lang w:eastAsia="en-GB"/>
              </w:rPr>
            </w:pPr>
            <w:r w:rsidRPr="3B86E627">
              <w:rPr>
                <w:rFonts w:eastAsia="Arial" w:cs="Arial"/>
                <w:lang w:eastAsia="en-GB"/>
              </w:rPr>
              <w:t xml:space="preserve">For young people and adults to make positive transitions into and progress through the labour market more guided and targeted face to face Careers information, advice and guidance must be planned. This must be achieved by improving the knowledge of the labour market and the decision making capabilities of all residents, through differentiated activities and experiences and access to intensive and innovative face to face IAG </w:t>
            </w:r>
            <w:r w:rsidRPr="3B86E627">
              <w:rPr>
                <w:rFonts w:eastAsia="Arial" w:cs="Arial"/>
                <w:color w:val="000000" w:themeColor="text1"/>
                <w:lang w:eastAsia="en-GB"/>
              </w:rPr>
              <w:t>as well as broader opportunities for career education.</w:t>
            </w:r>
            <w:r w:rsidRPr="3B86E627">
              <w:rPr>
                <w:rFonts w:eastAsia="Arial" w:cs="Arial"/>
                <w:b/>
                <w:bCs/>
                <w:lang w:eastAsia="en-GB"/>
              </w:rPr>
              <w:t xml:space="preserve"> </w:t>
            </w:r>
          </w:p>
          <w:p w14:paraId="4DA3AF48" w14:textId="77777777" w:rsidR="00772BB8" w:rsidRPr="0066567A" w:rsidRDefault="00772BB8" w:rsidP="007213CF">
            <w:pPr>
              <w:rPr>
                <w:rFonts w:cs="Arial"/>
              </w:rPr>
            </w:pPr>
          </w:p>
          <w:p w14:paraId="4DA3AF49" w14:textId="4DA777A6" w:rsidR="00C060BC" w:rsidRPr="0066567A" w:rsidRDefault="3B86E627" w:rsidP="00C060BC">
            <w:pPr>
              <w:rPr>
                <w:rFonts w:cs="Arial"/>
              </w:rPr>
            </w:pPr>
            <w:r w:rsidRPr="3B86E627">
              <w:rPr>
                <w:rFonts w:eastAsia="Arial" w:cs="Arial"/>
              </w:rPr>
              <w:t>ESF cannot replace specific IAG delivered through statutory responsibilities of schools /academies and colleges. It must enhance and add value to the current GM Careers Education, Information, Advice and Guidance (CEIAG) offer.</w:t>
            </w:r>
          </w:p>
          <w:p w14:paraId="4DA3AF4A" w14:textId="77777777" w:rsidR="00C060BC" w:rsidRPr="0066567A" w:rsidRDefault="00C060BC" w:rsidP="00C060BC">
            <w:pPr>
              <w:rPr>
                <w:rFonts w:cs="Arial"/>
              </w:rPr>
            </w:pPr>
          </w:p>
          <w:p w14:paraId="4DA3AF4B" w14:textId="77777777" w:rsidR="00E0768B" w:rsidRPr="0066567A" w:rsidRDefault="3B86E627" w:rsidP="00E0768B">
            <w:pPr>
              <w:rPr>
                <w:rFonts w:cs="Arial"/>
              </w:rPr>
            </w:pPr>
            <w:r w:rsidRPr="3B86E627">
              <w:rPr>
                <w:rFonts w:eastAsia="Arial" w:cs="Arial"/>
                <w:lang w:eastAsia="en-GB"/>
              </w:rPr>
              <w:t>There is growing evidence that the characteristics of those young people who become NEET at ages 17 and 18 are those who received a minimal level of IAG at school evidenced through tracking of specific cohorts conducted by Local Authorities. (30%)</w:t>
            </w:r>
          </w:p>
          <w:p w14:paraId="4DA3AF4C" w14:textId="77777777" w:rsidR="00E0768B" w:rsidRPr="0066567A" w:rsidRDefault="00E0768B" w:rsidP="00C060BC">
            <w:pPr>
              <w:rPr>
                <w:rFonts w:cs="Arial"/>
              </w:rPr>
            </w:pPr>
          </w:p>
          <w:p w14:paraId="4DA3AF4D" w14:textId="77777777" w:rsidR="009A467C" w:rsidRPr="0066567A" w:rsidRDefault="3B86E627" w:rsidP="009A467C">
            <w:pPr>
              <w:rPr>
                <w:rFonts w:cs="Arial"/>
                <w:lang w:eastAsia="en-GB"/>
              </w:rPr>
            </w:pPr>
            <w:r w:rsidRPr="3B86E627">
              <w:rPr>
                <w:rFonts w:eastAsia="Arial" w:cs="Arial"/>
                <w:lang w:eastAsia="en-GB"/>
              </w:rPr>
              <w:t xml:space="preserve">Participation decreases at ages 17 and 18 with 7.1% of young people being NEET at 18. GM’s primary concern is those at risk of becoming NEET, young people unclear of pathways to employment (despite minimum IAG intervention) and those who make poor choices at age 16, change pathway at age 17 and therefore at risk of long-term NEET risking their chances of progression into higher skills programmes. </w:t>
            </w:r>
          </w:p>
          <w:p w14:paraId="4DA3AF4E" w14:textId="77777777" w:rsidR="00740ECA" w:rsidRPr="0066567A" w:rsidRDefault="00740ECA" w:rsidP="009A467C">
            <w:pPr>
              <w:rPr>
                <w:rFonts w:cs="Arial"/>
                <w:lang w:eastAsia="en-GB"/>
              </w:rPr>
            </w:pPr>
          </w:p>
          <w:p w14:paraId="4DA3AF4F" w14:textId="77777777" w:rsidR="00E0768B" w:rsidRPr="0066567A" w:rsidRDefault="3B86E627" w:rsidP="009A467C">
            <w:pPr>
              <w:rPr>
                <w:rFonts w:cs="Arial"/>
                <w:lang w:eastAsia="en-GB"/>
              </w:rPr>
            </w:pPr>
            <w:r w:rsidRPr="3B86E627">
              <w:rPr>
                <w:rFonts w:eastAsia="Arial" w:cs="Arial"/>
                <w:lang w:eastAsia="en-GB"/>
              </w:rPr>
              <w:lastRenderedPageBreak/>
              <w:t>Adult priority groups have been identified to ensure that residents in GM are supported more intensively to be part of GM’s work and skills eco-system leading to increased productivity.</w:t>
            </w:r>
          </w:p>
          <w:p w14:paraId="4DA3AF50" w14:textId="77777777" w:rsidR="007213CF" w:rsidRPr="0066567A" w:rsidRDefault="007213CF" w:rsidP="007213CF">
            <w:pPr>
              <w:rPr>
                <w:rFonts w:cs="Arial"/>
              </w:rPr>
            </w:pPr>
          </w:p>
          <w:p w14:paraId="4DA3AF51" w14:textId="77777777" w:rsidR="00972533" w:rsidRPr="0066567A" w:rsidRDefault="3B86E627" w:rsidP="00FF3875">
            <w:pPr>
              <w:pStyle w:val="Default"/>
              <w:jc w:val="both"/>
              <w:rPr>
                <w:color w:val="auto"/>
              </w:rPr>
            </w:pPr>
            <w:r w:rsidRPr="3B86E627">
              <w:rPr>
                <w:color w:val="auto"/>
              </w:rPr>
              <w:t xml:space="preserve">In order to address the issues highlighted in the Greater Manchester Strategy (GMS document can be found here: </w:t>
            </w:r>
          </w:p>
          <w:p w14:paraId="4DA3AF52" w14:textId="77777777" w:rsidR="00972533" w:rsidRPr="0066567A" w:rsidRDefault="00557F62" w:rsidP="00FF3875">
            <w:pPr>
              <w:pStyle w:val="Default"/>
              <w:jc w:val="both"/>
              <w:rPr>
                <w:color w:val="auto"/>
              </w:rPr>
            </w:pPr>
            <w:hyperlink r:id="rId15">
              <w:r w:rsidR="3B86E627" w:rsidRPr="3B86E627">
                <w:rPr>
                  <w:rStyle w:val="Hyperlink"/>
                  <w:color w:val="auto"/>
                  <w:sz w:val="24"/>
                  <w:szCs w:val="24"/>
                </w:rPr>
                <w:t>https://www.greatermanchester-ca.gov.uk/info/20067/greater_manchester_strategy</w:t>
              </w:r>
            </w:hyperlink>
            <w:r w:rsidR="3B86E627" w:rsidRPr="3B86E627">
              <w:rPr>
                <w:color w:val="auto"/>
              </w:rPr>
              <w:t xml:space="preserve">), </w:t>
            </w:r>
          </w:p>
          <w:p w14:paraId="4DA3AF53" w14:textId="77777777" w:rsidR="00972533" w:rsidRPr="0066567A" w:rsidRDefault="00972533" w:rsidP="00FF3875">
            <w:pPr>
              <w:pStyle w:val="Default"/>
              <w:jc w:val="both"/>
              <w:rPr>
                <w:color w:val="auto"/>
              </w:rPr>
            </w:pPr>
          </w:p>
          <w:p w14:paraId="4DA3AF54" w14:textId="77777777" w:rsidR="00D84643" w:rsidRDefault="3B86E627" w:rsidP="00FF3875">
            <w:pPr>
              <w:pStyle w:val="Default"/>
              <w:jc w:val="both"/>
              <w:rPr>
                <w:color w:val="auto"/>
              </w:rPr>
            </w:pPr>
            <w:r w:rsidRPr="3B86E627">
              <w:rPr>
                <w:color w:val="auto"/>
              </w:rPr>
              <w:t>This project is seeking to secure activity that focuses on the following local priorities, identified in the GM ESIF Plan:</w:t>
            </w:r>
          </w:p>
          <w:p w14:paraId="076E6E67" w14:textId="77777777" w:rsidR="00B07E09" w:rsidRPr="0066567A" w:rsidRDefault="00B07E09" w:rsidP="00FF3875">
            <w:pPr>
              <w:pStyle w:val="Default"/>
              <w:jc w:val="both"/>
              <w:rPr>
                <w:color w:val="auto"/>
              </w:rPr>
            </w:pPr>
          </w:p>
          <w:p w14:paraId="4DA3AF55" w14:textId="77777777" w:rsidR="00D75CC2" w:rsidRPr="0066567A" w:rsidRDefault="3B86E627" w:rsidP="00D75CC2">
            <w:pPr>
              <w:pStyle w:val="Default"/>
              <w:numPr>
                <w:ilvl w:val="0"/>
                <w:numId w:val="17"/>
              </w:numPr>
              <w:jc w:val="both"/>
              <w:rPr>
                <w:color w:val="auto"/>
              </w:rPr>
            </w:pPr>
            <w:r w:rsidRPr="3B86E627">
              <w:rPr>
                <w:color w:val="auto"/>
              </w:rPr>
              <w:t>Ensure GM residents will have the right support to make the best choices about their employment and skills option; and once they are in-work have career and wage progression opportunities</w:t>
            </w:r>
          </w:p>
          <w:p w14:paraId="4DA3AF56" w14:textId="77777777" w:rsidR="00AA0496" w:rsidRPr="0066567A" w:rsidRDefault="3B86E627" w:rsidP="00AA0496">
            <w:pPr>
              <w:pStyle w:val="Default"/>
              <w:numPr>
                <w:ilvl w:val="0"/>
                <w:numId w:val="17"/>
              </w:numPr>
              <w:jc w:val="both"/>
              <w:rPr>
                <w:color w:val="auto"/>
                <w:lang w:eastAsia="en-GB"/>
              </w:rPr>
            </w:pPr>
            <w:r w:rsidRPr="3B86E627">
              <w:rPr>
                <w:color w:val="auto"/>
              </w:rPr>
              <w:t>Ensure all young people in GM entering employment for the first time have had the opportunity to make informed choices about their learning and to achieve the qualifications and develop the experience / skills that employers seek.</w:t>
            </w:r>
          </w:p>
          <w:p w14:paraId="4DA3AF57" w14:textId="77777777" w:rsidR="00772BB8" w:rsidRPr="0066567A" w:rsidRDefault="3B86E627" w:rsidP="3B86E627">
            <w:pPr>
              <w:pStyle w:val="ListParagraph"/>
              <w:numPr>
                <w:ilvl w:val="0"/>
                <w:numId w:val="17"/>
              </w:numPr>
              <w:rPr>
                <w:rFonts w:eastAsia="Arial" w:cs="Arial"/>
              </w:rPr>
            </w:pPr>
            <w:r w:rsidRPr="3B86E627">
              <w:rPr>
                <w:rFonts w:eastAsia="Arial" w:cs="Arial"/>
              </w:rPr>
              <w:t xml:space="preserve">CEIAG delivery must support the Apprenticeship Ambition for GM and the GM Raising Participation Strategy, recognising that high quality CEIAG is a part of the solution to improving employment outcomes for GM residents more long-term. </w:t>
            </w:r>
          </w:p>
          <w:p w14:paraId="4DA3AF58" w14:textId="77777777" w:rsidR="0067510C" w:rsidRPr="006C4B44" w:rsidRDefault="0067510C" w:rsidP="00772BB8">
            <w:pPr>
              <w:pStyle w:val="Default"/>
              <w:ind w:left="720"/>
              <w:jc w:val="both"/>
              <w:rPr>
                <w:lang w:eastAsia="en-GB"/>
              </w:rPr>
            </w:pPr>
          </w:p>
        </w:tc>
      </w:tr>
      <w:tr w:rsidR="00967429" w14:paraId="4DA3AF5B" w14:textId="77777777" w:rsidTr="3B86E627">
        <w:trPr>
          <w:trHeight w:val="567"/>
        </w:trPr>
        <w:tc>
          <w:tcPr>
            <w:tcW w:w="9493" w:type="dxa"/>
            <w:shd w:val="clear" w:color="auto" w:fill="D9D9D9" w:themeFill="background1" w:themeFillShade="D9"/>
            <w:vAlign w:val="center"/>
          </w:tcPr>
          <w:p w14:paraId="4DA3AF5A" w14:textId="77777777" w:rsidR="00967429" w:rsidRPr="00C107CE" w:rsidRDefault="3B86E627" w:rsidP="00C107CE">
            <w:pPr>
              <w:tabs>
                <w:tab w:val="num" w:pos="900"/>
              </w:tabs>
              <w:autoSpaceDE w:val="0"/>
              <w:autoSpaceDN w:val="0"/>
              <w:adjustRightInd w:val="0"/>
              <w:rPr>
                <w:rFonts w:cs="Arial"/>
                <w:b/>
              </w:rPr>
            </w:pPr>
            <w:r w:rsidRPr="3B86E627">
              <w:rPr>
                <w:rFonts w:eastAsia="Arial" w:cs="Arial"/>
                <w:b/>
                <w:bCs/>
              </w:rPr>
              <w:lastRenderedPageBreak/>
              <w:t>DEFINITION OF TERMS</w:t>
            </w:r>
          </w:p>
        </w:tc>
      </w:tr>
      <w:tr w:rsidR="00967429" w:rsidRPr="00EF4406" w14:paraId="4DA3AF77" w14:textId="77777777" w:rsidTr="3B86E627">
        <w:tc>
          <w:tcPr>
            <w:tcW w:w="9493" w:type="dxa"/>
          </w:tcPr>
          <w:p w14:paraId="4DA3AF5C" w14:textId="77777777" w:rsidR="002E25F4" w:rsidRDefault="002E25F4" w:rsidP="00FF3875">
            <w:pPr>
              <w:jc w:val="both"/>
              <w:rPr>
                <w:rFonts w:cs="Arial"/>
                <w:i/>
              </w:rPr>
            </w:pPr>
          </w:p>
          <w:p w14:paraId="018781B0" w14:textId="77777777" w:rsidR="00B07E09" w:rsidRDefault="3B86E627" w:rsidP="00FF3875">
            <w:pPr>
              <w:ind w:left="360" w:hanging="360"/>
              <w:jc w:val="both"/>
              <w:rPr>
                <w:rStyle w:val="eop"/>
                <w:rFonts w:cs="Arial"/>
              </w:rPr>
            </w:pPr>
            <w:r w:rsidRPr="3B86E627">
              <w:rPr>
                <w:rStyle w:val="normaltextrun"/>
                <w:rFonts w:eastAsia="Arial" w:cs="Arial"/>
                <w:b/>
                <w:bCs/>
              </w:rPr>
              <w:t xml:space="preserve">At risk of becoming NEET:  </w:t>
            </w:r>
            <w:r w:rsidRPr="3B86E627">
              <w:rPr>
                <w:rStyle w:val="normaltextrun"/>
                <w:rFonts w:eastAsia="Arial" w:cs="Arial"/>
              </w:rPr>
              <w:t>Young people</w:t>
            </w:r>
            <w:r w:rsidRPr="3B86E627">
              <w:rPr>
                <w:rStyle w:val="normaltextrun"/>
                <w:rFonts w:eastAsia="Arial" w:cs="Arial"/>
                <w:b/>
                <w:bCs/>
              </w:rPr>
              <w:t xml:space="preserve"> </w:t>
            </w:r>
            <w:r w:rsidRPr="3B86E627">
              <w:rPr>
                <w:rStyle w:val="normaltextrun"/>
                <w:rFonts w:eastAsia="Arial" w:cs="Arial"/>
              </w:rPr>
              <w:t>from age 15 who are at risk of becoming NEET from mainstream education.</w:t>
            </w:r>
            <w:r w:rsidRPr="3B86E627">
              <w:rPr>
                <w:rStyle w:val="eop"/>
                <w:rFonts w:eastAsia="Arial" w:cs="Arial"/>
              </w:rPr>
              <w:t> </w:t>
            </w:r>
          </w:p>
          <w:p w14:paraId="41ED023E" w14:textId="77777777" w:rsidR="00B07E09" w:rsidRDefault="00B07E09" w:rsidP="00FF3875">
            <w:pPr>
              <w:ind w:left="360" w:hanging="360"/>
              <w:jc w:val="both"/>
              <w:rPr>
                <w:rStyle w:val="eop"/>
                <w:rFonts w:cs="Arial"/>
              </w:rPr>
            </w:pPr>
          </w:p>
          <w:p w14:paraId="4DA3AF5F" w14:textId="77777777" w:rsidR="0004585A" w:rsidRDefault="3B86E627" w:rsidP="00FF3875">
            <w:pPr>
              <w:ind w:left="360" w:hanging="360"/>
              <w:jc w:val="both"/>
            </w:pPr>
            <w:r w:rsidRPr="3B86E627">
              <w:rPr>
                <w:rFonts w:eastAsia="Arial" w:cs="Arial"/>
                <w:b/>
                <w:bCs/>
              </w:rPr>
              <w:t xml:space="preserve">Candidate: </w:t>
            </w:r>
            <w:r w:rsidRPr="3B86E627">
              <w:rPr>
                <w:rFonts w:eastAsia="Arial" w:cs="Arial"/>
              </w:rPr>
              <w:t>means an organisation who has been invited to take part in this restricted procurement procedure</w:t>
            </w:r>
          </w:p>
          <w:p w14:paraId="4DA3AF60" w14:textId="77777777" w:rsidR="0004585A" w:rsidRDefault="233CE29A" w:rsidP="00FF3875">
            <w:pPr>
              <w:ind w:left="360" w:hanging="360"/>
              <w:jc w:val="both"/>
            </w:pPr>
            <w:r w:rsidRPr="001F4B04">
              <w:rPr>
                <w:rFonts w:eastAsia="Arial" w:cs="Arial"/>
                <w:b/>
                <w:bCs/>
              </w:rPr>
              <w:t xml:space="preserve"> </w:t>
            </w:r>
          </w:p>
          <w:p w14:paraId="4DA3AF61" w14:textId="77777777" w:rsidR="0004585A" w:rsidRDefault="3B86E627" w:rsidP="00FF3875">
            <w:pPr>
              <w:ind w:left="360" w:hanging="360"/>
              <w:jc w:val="both"/>
            </w:pPr>
            <w:r w:rsidRPr="3B86E627">
              <w:rPr>
                <w:rFonts w:eastAsia="Arial" w:cs="Arial"/>
                <w:b/>
                <w:bCs/>
              </w:rPr>
              <w:t>Disability</w:t>
            </w:r>
            <w:r w:rsidRPr="3B86E627">
              <w:rPr>
                <w:rFonts w:eastAsia="Arial" w:cs="Arial"/>
              </w:rPr>
              <w:t xml:space="preserve">: A person </w:t>
            </w:r>
            <w:r w:rsidRPr="3B86E627">
              <w:rPr>
                <w:rFonts w:eastAsia="Arial" w:cs="Arial"/>
                <w:lang w:val="en"/>
              </w:rPr>
              <w:t>who has a physical or mental impairment that has a substantial and long-term adverse effect on the ability to carry out normal day-to-day activities.</w:t>
            </w:r>
          </w:p>
          <w:p w14:paraId="4DA3AF62" w14:textId="77777777" w:rsidR="0004585A" w:rsidRDefault="233CE29A" w:rsidP="00FF3875">
            <w:pPr>
              <w:ind w:left="360" w:hanging="360"/>
              <w:jc w:val="both"/>
            </w:pPr>
            <w:r w:rsidRPr="001F4B04">
              <w:rPr>
                <w:rFonts w:eastAsia="Arial" w:cs="Arial"/>
                <w:b/>
                <w:bCs/>
              </w:rPr>
              <w:t xml:space="preserve"> </w:t>
            </w:r>
          </w:p>
          <w:p w14:paraId="4DA3AF63" w14:textId="77777777" w:rsidR="0004585A" w:rsidRDefault="3B86E627" w:rsidP="00FF3875">
            <w:pPr>
              <w:ind w:left="360" w:hanging="360"/>
              <w:jc w:val="both"/>
            </w:pPr>
            <w:r w:rsidRPr="3B86E627">
              <w:rPr>
                <w:rFonts w:eastAsia="Arial" w:cs="Arial"/>
                <w:b/>
                <w:bCs/>
              </w:rPr>
              <w:t>Eligibility:</w:t>
            </w:r>
            <w:r w:rsidRPr="3B86E627">
              <w:rPr>
                <w:rFonts w:eastAsia="Arial" w:cs="Arial"/>
              </w:rPr>
              <w:t xml:space="preserve"> Only people who are eligible to work in UK are eligible for this EU programme.  </w:t>
            </w:r>
          </w:p>
          <w:p w14:paraId="4DA3AF64" w14:textId="77777777" w:rsidR="0004585A" w:rsidRDefault="233CE29A" w:rsidP="00FF3875">
            <w:pPr>
              <w:ind w:left="360" w:hanging="360"/>
              <w:jc w:val="both"/>
            </w:pPr>
            <w:r w:rsidRPr="001F4B04">
              <w:rPr>
                <w:rFonts w:eastAsia="Arial" w:cs="Arial"/>
              </w:rPr>
              <w:t xml:space="preserve"> </w:t>
            </w:r>
          </w:p>
          <w:p w14:paraId="4DA3AF65" w14:textId="77777777" w:rsidR="0004585A" w:rsidRDefault="3B86E627" w:rsidP="00FF3875">
            <w:pPr>
              <w:ind w:left="360" w:hanging="360"/>
              <w:jc w:val="both"/>
            </w:pPr>
            <w:r w:rsidRPr="3B86E627">
              <w:rPr>
                <w:rFonts w:eastAsia="Arial" w:cs="Arial"/>
                <w:b/>
                <w:bCs/>
              </w:rPr>
              <w:t>Employed</w:t>
            </w:r>
            <w:r w:rsidRPr="3B86E627">
              <w:rPr>
                <w:rFonts w:eastAsia="Arial" w:cs="Arial"/>
              </w:rPr>
              <w:t>: People are employed if they perform work for pay, profit or family gain. People are self-employed if they work in his/her own business for the purpose of earning a profit, even if they are not making a profit or are just setting up.</w:t>
            </w:r>
          </w:p>
          <w:p w14:paraId="4DA3AF66" w14:textId="77777777" w:rsidR="00AA0496" w:rsidRDefault="00AA0496" w:rsidP="00FF3875">
            <w:pPr>
              <w:ind w:left="360" w:hanging="360"/>
              <w:jc w:val="both"/>
              <w:rPr>
                <w:rFonts w:eastAsia="Arial" w:cs="Arial"/>
                <w:highlight w:val="yellow"/>
              </w:rPr>
            </w:pPr>
          </w:p>
          <w:p w14:paraId="4DA3AF67" w14:textId="77777777" w:rsidR="00AA0496" w:rsidRPr="00AA0496" w:rsidRDefault="3B86E627" w:rsidP="00FF3875">
            <w:pPr>
              <w:ind w:left="360" w:hanging="360"/>
              <w:jc w:val="both"/>
              <w:rPr>
                <w:rFonts w:eastAsia="Arial" w:cs="Arial"/>
              </w:rPr>
            </w:pPr>
            <w:r w:rsidRPr="3B86E627">
              <w:rPr>
                <w:rFonts w:eastAsia="Arial" w:cs="Arial"/>
                <w:b/>
                <w:bCs/>
              </w:rPr>
              <w:t>IAG:</w:t>
            </w:r>
            <w:r w:rsidRPr="3B86E627">
              <w:rPr>
                <w:rFonts w:eastAsia="Arial" w:cs="Arial"/>
              </w:rPr>
              <w:t xml:space="preserve"> Information, advice and guidance service offered to participants.</w:t>
            </w:r>
          </w:p>
          <w:p w14:paraId="4DA3AF68" w14:textId="77777777" w:rsidR="0004585A" w:rsidRDefault="0004585A" w:rsidP="00FF3875">
            <w:pPr>
              <w:ind w:left="360" w:hanging="360"/>
              <w:jc w:val="both"/>
            </w:pPr>
          </w:p>
          <w:p w14:paraId="4DA3AF69" w14:textId="77777777" w:rsidR="0004585A" w:rsidRDefault="3B86E627" w:rsidP="00B07E09">
            <w:pPr>
              <w:ind w:left="360" w:hanging="360"/>
              <w:jc w:val="both"/>
            </w:pPr>
            <w:r w:rsidRPr="3B86E627">
              <w:rPr>
                <w:rFonts w:eastAsia="Arial" w:cs="Arial"/>
                <w:b/>
                <w:bCs/>
              </w:rPr>
              <w:t xml:space="preserve">Qualifications: </w:t>
            </w:r>
            <w:r w:rsidRPr="3B86E627">
              <w:rPr>
                <w:rFonts w:eastAsia="Arial" w:cs="Arial"/>
              </w:rPr>
              <w:t xml:space="preserve">Qualification means a formal outcome assessment and validation process which is obtained when a competent body determines that an individual has achieved learning outcomes to given standards.  Regulated qualifications/aims are those listed in the Learning Aims Reference Service as being regulated.  Non-regulated aims are those listed in the Learning Aims Reference Service as being non-regulated.  </w:t>
            </w:r>
          </w:p>
          <w:p w14:paraId="4DA3AF6A" w14:textId="77777777" w:rsidR="0004585A" w:rsidRDefault="233CE29A" w:rsidP="00FF3875">
            <w:pPr>
              <w:ind w:left="360" w:hanging="360"/>
              <w:jc w:val="both"/>
            </w:pPr>
            <w:r w:rsidRPr="001F4B04">
              <w:rPr>
                <w:rFonts w:eastAsia="Arial" w:cs="Arial"/>
              </w:rPr>
              <w:t xml:space="preserve"> </w:t>
            </w:r>
          </w:p>
          <w:p w14:paraId="4DA3AF6B" w14:textId="77777777" w:rsidR="0004585A" w:rsidRDefault="3B86E627" w:rsidP="00FF3875">
            <w:pPr>
              <w:ind w:left="360" w:hanging="360"/>
              <w:jc w:val="both"/>
            </w:pPr>
            <w:r w:rsidRPr="3B86E627">
              <w:rPr>
                <w:rFonts w:eastAsia="Arial" w:cs="Arial"/>
              </w:rPr>
              <w:t xml:space="preserve">     Regulated and non-regulated aims must be planned to be delivered within budget.</w:t>
            </w:r>
          </w:p>
          <w:p w14:paraId="4DA3AF6C" w14:textId="77777777" w:rsidR="0004585A" w:rsidRDefault="233CE29A" w:rsidP="00FF3875">
            <w:pPr>
              <w:ind w:left="360" w:hanging="360"/>
              <w:jc w:val="both"/>
            </w:pPr>
            <w:r w:rsidRPr="001F4B04">
              <w:rPr>
                <w:rFonts w:eastAsia="Arial" w:cs="Arial"/>
              </w:rPr>
              <w:lastRenderedPageBreak/>
              <w:t xml:space="preserve"> </w:t>
            </w:r>
          </w:p>
          <w:p w14:paraId="4DA3AF6D" w14:textId="77777777" w:rsidR="0004585A" w:rsidRDefault="3B86E627" w:rsidP="00FF3875">
            <w:pPr>
              <w:ind w:left="360" w:hanging="360"/>
              <w:jc w:val="both"/>
            </w:pPr>
            <w:r w:rsidRPr="3B86E627">
              <w:rPr>
                <w:rFonts w:eastAsia="Arial" w:cs="Arial"/>
              </w:rPr>
              <w:t xml:space="preserve">     Qualification rates are based on the published LARS rates at the start of the contract.</w:t>
            </w:r>
          </w:p>
          <w:p w14:paraId="4DA3AF6E" w14:textId="77777777" w:rsidR="0004585A" w:rsidRDefault="233CE29A" w:rsidP="00FF3875">
            <w:pPr>
              <w:ind w:left="360" w:hanging="360"/>
              <w:jc w:val="both"/>
            </w:pPr>
            <w:r w:rsidRPr="001F4B04">
              <w:rPr>
                <w:rFonts w:eastAsia="Arial" w:cs="Arial"/>
              </w:rPr>
              <w:t xml:space="preserve"> </w:t>
            </w:r>
          </w:p>
          <w:p w14:paraId="4DA3AF6F" w14:textId="77777777" w:rsidR="0004585A" w:rsidRDefault="3B86E627" w:rsidP="00FF3875">
            <w:pPr>
              <w:ind w:left="360" w:hanging="360"/>
              <w:jc w:val="both"/>
            </w:pPr>
            <w:r w:rsidRPr="3B86E627">
              <w:rPr>
                <w:rFonts w:eastAsia="Arial" w:cs="Arial"/>
                <w:b/>
                <w:bCs/>
              </w:rPr>
              <w:t xml:space="preserve">Services:  </w:t>
            </w:r>
            <w:r w:rsidRPr="3B86E627">
              <w:rPr>
                <w:rFonts w:eastAsia="Arial" w:cs="Arial"/>
              </w:rPr>
              <w:t>The provision of education, training or support delivered to individuals.</w:t>
            </w:r>
          </w:p>
          <w:p w14:paraId="4DA3AF70" w14:textId="77777777" w:rsidR="0004585A" w:rsidRDefault="0004585A" w:rsidP="00FF3875">
            <w:pPr>
              <w:ind w:left="360" w:hanging="360"/>
              <w:jc w:val="both"/>
              <w:rPr>
                <w:rFonts w:eastAsia="Arial" w:cs="Arial"/>
              </w:rPr>
            </w:pPr>
          </w:p>
          <w:p w14:paraId="4DA3AF71" w14:textId="77777777" w:rsidR="00835A4F" w:rsidRDefault="3B86E627" w:rsidP="00FF3875">
            <w:pPr>
              <w:ind w:left="360" w:hanging="360"/>
              <w:jc w:val="both"/>
            </w:pPr>
            <w:r w:rsidRPr="3B86E627">
              <w:rPr>
                <w:rFonts w:eastAsia="Arial" w:cs="Arial"/>
                <w:b/>
                <w:bCs/>
              </w:rPr>
              <w:t>Status:</w:t>
            </w:r>
            <w:r w:rsidRPr="3B86E627">
              <w:rPr>
                <w:rFonts w:eastAsia="Arial" w:cs="Arial"/>
              </w:rPr>
              <w:t xml:space="preserve"> Employment status and age are determined on the date of starting on the Services:</w:t>
            </w:r>
          </w:p>
          <w:p w14:paraId="4DA3AF72" w14:textId="77777777" w:rsidR="0004585A" w:rsidRDefault="0004585A" w:rsidP="00FF3875">
            <w:pPr>
              <w:ind w:left="360" w:hanging="360"/>
              <w:jc w:val="both"/>
            </w:pPr>
          </w:p>
          <w:p w14:paraId="4DA3AF73" w14:textId="77777777" w:rsidR="0004585A" w:rsidRDefault="3B86E627" w:rsidP="00FF3875">
            <w:pPr>
              <w:ind w:left="360" w:hanging="360"/>
              <w:jc w:val="both"/>
            </w:pPr>
            <w:r w:rsidRPr="3B86E627">
              <w:rPr>
                <w:rFonts w:eastAsia="Arial" w:cs="Arial"/>
                <w:b/>
                <w:bCs/>
              </w:rPr>
              <w:t>Survey</w:t>
            </w:r>
            <w:r w:rsidRPr="3B86E627">
              <w:rPr>
                <w:rFonts w:eastAsia="Arial" w:cs="Arial"/>
              </w:rPr>
              <w:t>: Where applicable, long term sustained outcomes over 6 months will be monitored separately.  Some ESF indicators will be collected by survey by the ESF Managing Authority directly from the participants.</w:t>
            </w:r>
          </w:p>
          <w:p w14:paraId="4DA3AF74" w14:textId="77777777" w:rsidR="0004585A" w:rsidRDefault="233CE29A" w:rsidP="00FF3875">
            <w:pPr>
              <w:ind w:left="360" w:hanging="360"/>
              <w:jc w:val="both"/>
            </w:pPr>
            <w:r w:rsidRPr="001F4B04">
              <w:rPr>
                <w:rFonts w:eastAsia="Arial" w:cs="Arial"/>
                <w:color w:val="FF0000"/>
              </w:rPr>
              <w:t xml:space="preserve"> </w:t>
            </w:r>
          </w:p>
          <w:p w14:paraId="4DA3AF75" w14:textId="77777777" w:rsidR="0004585A" w:rsidRDefault="3B86E627" w:rsidP="00FF3875">
            <w:pPr>
              <w:ind w:left="360" w:hanging="360"/>
              <w:jc w:val="both"/>
            </w:pPr>
            <w:r w:rsidRPr="3B86E627">
              <w:rPr>
                <w:rFonts w:eastAsia="Arial" w:cs="Arial"/>
                <w:b/>
                <w:bCs/>
              </w:rPr>
              <w:t>Unemployed:</w:t>
            </w:r>
            <w:r w:rsidRPr="3B86E627">
              <w:rPr>
                <w:rFonts w:eastAsia="Arial" w:cs="Arial"/>
              </w:rPr>
              <w:t xml:space="preserve"> Unemployed are persons usually without work, available for work and actively seeking work.  Persons considered registered unemployed would be included.  Full time students are considered as inactive but not eligible for this provision as they are not available for work.  Long term unemployment is greater than 6 months for under 25 years old and greater than 12 months for 25 years old or more.</w:t>
            </w:r>
          </w:p>
          <w:p w14:paraId="4DA3AF76" w14:textId="77777777" w:rsidR="00200BC6" w:rsidRPr="00590073" w:rsidRDefault="00200BC6" w:rsidP="0001501F">
            <w:pPr>
              <w:autoSpaceDE w:val="0"/>
              <w:autoSpaceDN w:val="0"/>
              <w:adjustRightInd w:val="0"/>
              <w:jc w:val="both"/>
            </w:pPr>
          </w:p>
        </w:tc>
      </w:tr>
      <w:tr w:rsidR="00967429" w:rsidRPr="00544738" w14:paraId="4DA3AF79" w14:textId="77777777" w:rsidTr="3B86E627">
        <w:trPr>
          <w:trHeight w:val="567"/>
        </w:trPr>
        <w:tc>
          <w:tcPr>
            <w:tcW w:w="9493" w:type="dxa"/>
            <w:shd w:val="clear" w:color="auto" w:fill="D9D9D9" w:themeFill="background1" w:themeFillShade="D9"/>
            <w:vAlign w:val="center"/>
          </w:tcPr>
          <w:p w14:paraId="4DA3AF78" w14:textId="77777777" w:rsidR="00967429" w:rsidRPr="00C107CE" w:rsidRDefault="3B86E627" w:rsidP="00C107CE">
            <w:pPr>
              <w:autoSpaceDE w:val="0"/>
              <w:autoSpaceDN w:val="0"/>
              <w:adjustRightInd w:val="0"/>
              <w:rPr>
                <w:rFonts w:cs="Arial"/>
                <w:b/>
                <w:lang w:eastAsia="en-GB"/>
              </w:rPr>
            </w:pPr>
            <w:r w:rsidRPr="3B86E627">
              <w:rPr>
                <w:rFonts w:eastAsia="Arial" w:cs="Arial"/>
                <w:b/>
                <w:bCs/>
                <w:lang w:eastAsia="en-GB"/>
              </w:rPr>
              <w:lastRenderedPageBreak/>
              <w:t>SERVICE REQUIREMENTS</w:t>
            </w:r>
          </w:p>
        </w:tc>
      </w:tr>
      <w:tr w:rsidR="00967429" w:rsidRPr="00544738" w14:paraId="4DA3B023" w14:textId="77777777" w:rsidTr="3B86E627">
        <w:tc>
          <w:tcPr>
            <w:tcW w:w="9493" w:type="dxa"/>
          </w:tcPr>
          <w:p w14:paraId="4DA3AF7A" w14:textId="77777777" w:rsidR="000D51DE" w:rsidRDefault="000D51DE" w:rsidP="00515168">
            <w:pPr>
              <w:jc w:val="both"/>
              <w:rPr>
                <w:rFonts w:cs="Arial"/>
                <w:b/>
              </w:rPr>
            </w:pPr>
          </w:p>
          <w:p w14:paraId="4DA3AF7B" w14:textId="77777777" w:rsidR="002E25F4" w:rsidRDefault="3B86E627" w:rsidP="00515168">
            <w:pPr>
              <w:jc w:val="both"/>
              <w:rPr>
                <w:rFonts w:cs="Arial"/>
                <w:b/>
              </w:rPr>
            </w:pPr>
            <w:r w:rsidRPr="3B86E627">
              <w:rPr>
                <w:rFonts w:eastAsia="Arial" w:cs="Arial"/>
                <w:b/>
                <w:bCs/>
              </w:rPr>
              <w:t>General Service Requirements</w:t>
            </w:r>
          </w:p>
          <w:p w14:paraId="4DA3AF7C" w14:textId="77777777" w:rsidR="00EA180F" w:rsidRPr="001A4B05" w:rsidRDefault="00EA180F" w:rsidP="00515168">
            <w:pPr>
              <w:jc w:val="both"/>
              <w:rPr>
                <w:rFonts w:cs="Arial"/>
                <w:b/>
              </w:rPr>
            </w:pPr>
          </w:p>
          <w:p w14:paraId="4DA3AF7D" w14:textId="77777777" w:rsidR="002E25F4" w:rsidRPr="00D535E6" w:rsidRDefault="3B86E627" w:rsidP="00515168">
            <w:pPr>
              <w:jc w:val="both"/>
              <w:rPr>
                <w:rFonts w:cs="Arial"/>
              </w:rPr>
            </w:pPr>
            <w:r w:rsidRPr="3B86E627">
              <w:rPr>
                <w:rFonts w:eastAsia="Arial" w:cs="Arial"/>
              </w:rPr>
              <w:t>All activities must complement and avoid duplication with other provision, thereby adding value to Department for Work and Pensions/Big Lottery, Education Funding Agency, Skills Funding Agency, local authority, National Careers Service and the new Careers Enterprise Company funded provision.  Successful candidates will be required to ensure that ESF provision will clearly add value and not duplicate any provision that can be arranged locally through existing mainstream institutions.</w:t>
            </w:r>
          </w:p>
          <w:p w14:paraId="4DA3AF7E" w14:textId="77777777" w:rsidR="00ED156A" w:rsidRPr="00D535E6" w:rsidRDefault="00ED156A" w:rsidP="00515168">
            <w:pPr>
              <w:jc w:val="both"/>
              <w:rPr>
                <w:rFonts w:cs="Arial"/>
              </w:rPr>
            </w:pPr>
          </w:p>
          <w:p w14:paraId="4DA3AF7F" w14:textId="77777777" w:rsidR="0031325C" w:rsidRPr="00D535E6" w:rsidRDefault="3B86E627" w:rsidP="00515168">
            <w:pPr>
              <w:jc w:val="both"/>
              <w:rPr>
                <w:rFonts w:cs="Arial"/>
                <w:b/>
                <w:i/>
              </w:rPr>
            </w:pPr>
            <w:r w:rsidRPr="3B86E627">
              <w:rPr>
                <w:rFonts w:eastAsia="Arial" w:cs="Arial"/>
                <w:b/>
                <w:bCs/>
                <w:i/>
                <w:iCs/>
              </w:rPr>
              <w:t>Capacity and readiness to deliver</w:t>
            </w:r>
          </w:p>
          <w:p w14:paraId="4DA3AF80" w14:textId="77777777" w:rsidR="00ED156A" w:rsidRPr="00D535E6" w:rsidRDefault="3B86E627" w:rsidP="00515168">
            <w:pPr>
              <w:autoSpaceDE w:val="0"/>
              <w:autoSpaceDN w:val="0"/>
              <w:adjustRightInd w:val="0"/>
              <w:jc w:val="both"/>
              <w:rPr>
                <w:rFonts w:cs="Arial"/>
              </w:rPr>
            </w:pPr>
            <w:r w:rsidRPr="3B86E627">
              <w:rPr>
                <w:rFonts w:eastAsia="Arial" w:cs="Arial"/>
              </w:rPr>
              <w:t>Candidates must have:</w:t>
            </w:r>
          </w:p>
          <w:p w14:paraId="4DA3AF81" w14:textId="77777777" w:rsidR="00ED156A" w:rsidRPr="00D535E6" w:rsidRDefault="3B86E627" w:rsidP="3B86E627">
            <w:pPr>
              <w:pStyle w:val="ListParagraph"/>
              <w:numPr>
                <w:ilvl w:val="0"/>
                <w:numId w:val="21"/>
              </w:numPr>
              <w:autoSpaceDE w:val="0"/>
              <w:autoSpaceDN w:val="0"/>
              <w:adjustRightInd w:val="0"/>
              <w:jc w:val="both"/>
              <w:rPr>
                <w:rFonts w:eastAsia="Arial" w:cs="Arial"/>
                <w:strike/>
              </w:rPr>
            </w:pPr>
            <w:r w:rsidRPr="3B86E627">
              <w:rPr>
                <w:rFonts w:eastAsia="Arial" w:cs="Arial"/>
              </w:rPr>
              <w:t xml:space="preserve">The resources to offer locally tailored solutions and flexible delivery to meet the skills and Apprenticeship priorities of employers and employees in the defined geographical area of delivery. If the LEP area also has a ‘transitional’  area defined in addition to the ‘more developed’ area, delivery locations will have to be available </w:t>
            </w:r>
            <w:r w:rsidRPr="3B86E627">
              <w:rPr>
                <w:rFonts w:eastAsia="Arial" w:cs="Arial"/>
                <w:i/>
                <w:iCs/>
              </w:rPr>
              <w:t>in each locality</w:t>
            </w:r>
          </w:p>
          <w:p w14:paraId="4DA3AF82" w14:textId="77777777" w:rsidR="00ED156A" w:rsidRPr="00D535E6" w:rsidRDefault="3B86E627" w:rsidP="3B86E627">
            <w:pPr>
              <w:pStyle w:val="ListParagraph"/>
              <w:numPr>
                <w:ilvl w:val="0"/>
                <w:numId w:val="21"/>
              </w:numPr>
              <w:jc w:val="both"/>
              <w:rPr>
                <w:rFonts w:eastAsia="Arial" w:cs="Arial"/>
                <w:lang w:eastAsia="en-GB"/>
              </w:rPr>
            </w:pPr>
            <w:r w:rsidRPr="3B86E627">
              <w:rPr>
                <w:rFonts w:eastAsia="Arial" w:cs="Arial"/>
                <w:lang w:eastAsia="en-GB"/>
              </w:rPr>
              <w:t>The capacity to deliver provision immediately upon commencement of the contract and that delivery should not be delayed in any way by any recruitment processes or other processes or relationships that need to be established.</w:t>
            </w:r>
          </w:p>
          <w:p w14:paraId="4DA3AF83" w14:textId="77777777" w:rsidR="002F71DB" w:rsidRPr="005A1D76" w:rsidRDefault="3B86E627" w:rsidP="3B86E627">
            <w:pPr>
              <w:pStyle w:val="ListParagraph"/>
              <w:numPr>
                <w:ilvl w:val="0"/>
                <w:numId w:val="21"/>
              </w:numPr>
              <w:jc w:val="both"/>
              <w:rPr>
                <w:rFonts w:eastAsia="Arial" w:cs="Arial"/>
                <w:lang w:eastAsia="en-GB"/>
              </w:rPr>
            </w:pPr>
            <w:r w:rsidRPr="3B86E627">
              <w:rPr>
                <w:rFonts w:eastAsia="Arial" w:cs="Arial"/>
                <w:lang w:eastAsia="en-GB"/>
              </w:rPr>
              <w:t>Candidates must be able to demonstrate the ability to undertake robust initial assessment of eligible individuals.  Vocational training delivered must be regulated units and qualifications on the Qualifications and Curriculum Framework and be able to support individuals into higher levels of training and workplace progression</w:t>
            </w:r>
          </w:p>
          <w:p w14:paraId="4DA3AF84" w14:textId="77777777" w:rsidR="00ED156A" w:rsidRPr="002F4192" w:rsidRDefault="00ED156A" w:rsidP="00515168">
            <w:pPr>
              <w:jc w:val="both"/>
              <w:rPr>
                <w:rFonts w:cs="Arial"/>
                <w:lang w:eastAsia="en-GB"/>
              </w:rPr>
            </w:pPr>
          </w:p>
          <w:p w14:paraId="4DA3AF85" w14:textId="77777777" w:rsidR="00ED156A" w:rsidRPr="005A1D76" w:rsidRDefault="3B86E627" w:rsidP="00515168">
            <w:pPr>
              <w:jc w:val="both"/>
              <w:rPr>
                <w:rFonts w:cs="Arial"/>
                <w:b/>
                <w:i/>
                <w:lang w:eastAsia="en-GB"/>
              </w:rPr>
            </w:pPr>
            <w:r w:rsidRPr="3B86E627">
              <w:rPr>
                <w:rFonts w:eastAsia="Arial" w:cs="Arial"/>
                <w:b/>
                <w:bCs/>
                <w:i/>
                <w:iCs/>
                <w:lang w:eastAsia="en-GB"/>
              </w:rPr>
              <w:t>Track record</w:t>
            </w:r>
          </w:p>
          <w:p w14:paraId="4DA3AF86" w14:textId="77777777" w:rsidR="00ED156A" w:rsidRDefault="3B86E627" w:rsidP="00515168">
            <w:pPr>
              <w:jc w:val="both"/>
              <w:rPr>
                <w:rFonts w:cs="Arial"/>
                <w:szCs w:val="22"/>
              </w:rPr>
            </w:pPr>
            <w:r w:rsidRPr="3B86E627">
              <w:rPr>
                <w:rFonts w:eastAsia="Arial" w:cs="Arial"/>
              </w:rPr>
              <w:t>The ability to deliver the required activity, based on a track record in the successful delivery and management of this type and size of programme</w:t>
            </w:r>
          </w:p>
          <w:p w14:paraId="4DA3AF87" w14:textId="77777777" w:rsidR="00E43DDB" w:rsidRPr="005A1D76" w:rsidRDefault="00E43DDB" w:rsidP="00515168">
            <w:pPr>
              <w:jc w:val="both"/>
              <w:rPr>
                <w:rFonts w:cs="Arial"/>
                <w:szCs w:val="22"/>
              </w:rPr>
            </w:pPr>
          </w:p>
          <w:p w14:paraId="4DA3AF88" w14:textId="77777777" w:rsidR="00E43DDB" w:rsidRPr="00E43DDB" w:rsidRDefault="3B86E627" w:rsidP="00515168">
            <w:pPr>
              <w:jc w:val="both"/>
              <w:rPr>
                <w:rFonts w:cs="Arial"/>
                <w:b/>
                <w:i/>
                <w:lang w:eastAsia="en-GB"/>
              </w:rPr>
            </w:pPr>
            <w:r w:rsidRPr="3B86E627">
              <w:rPr>
                <w:rFonts w:eastAsia="Arial" w:cs="Arial"/>
                <w:b/>
                <w:bCs/>
                <w:i/>
                <w:iCs/>
                <w:lang w:eastAsia="en-GB"/>
              </w:rPr>
              <w:t>Information, Advice and Guidance</w:t>
            </w:r>
          </w:p>
          <w:p w14:paraId="4DA3AF89" w14:textId="77777777" w:rsidR="00E43DDB" w:rsidRPr="00E43DDB" w:rsidRDefault="3B86E627" w:rsidP="00515168">
            <w:pPr>
              <w:jc w:val="both"/>
              <w:rPr>
                <w:rFonts w:cs="Arial"/>
                <w:lang w:eastAsia="en-GB"/>
              </w:rPr>
            </w:pPr>
            <w:r w:rsidRPr="3B86E627">
              <w:rPr>
                <w:rFonts w:eastAsia="Arial" w:cs="Arial"/>
                <w:lang w:eastAsia="en-GB"/>
              </w:rPr>
              <w:t>Where the activity requires effective Information, Advice and Guidance successful</w:t>
            </w:r>
          </w:p>
          <w:p w14:paraId="4DA3AF8A" w14:textId="77777777" w:rsidR="00E43DDB" w:rsidRDefault="3B86E627" w:rsidP="00515168">
            <w:pPr>
              <w:jc w:val="both"/>
              <w:rPr>
                <w:rFonts w:cs="Arial"/>
                <w:lang w:eastAsia="en-GB"/>
              </w:rPr>
            </w:pPr>
            <w:r w:rsidRPr="3B86E627">
              <w:rPr>
                <w:rFonts w:eastAsia="Arial" w:cs="Arial"/>
                <w:lang w:eastAsia="en-GB"/>
              </w:rPr>
              <w:t>applicants and/or subcontractors delivering this element will either hold or be working towards the Matrix standard.</w:t>
            </w:r>
          </w:p>
          <w:p w14:paraId="4DA3AF8B" w14:textId="77777777" w:rsidR="00E43DDB" w:rsidRDefault="00E43DDB" w:rsidP="00515168">
            <w:pPr>
              <w:jc w:val="both"/>
              <w:rPr>
                <w:rFonts w:cs="Arial"/>
                <w:lang w:eastAsia="en-GB"/>
              </w:rPr>
            </w:pPr>
          </w:p>
          <w:p w14:paraId="4DA3AF8C" w14:textId="77777777" w:rsidR="00ED156A" w:rsidRPr="005A1D76" w:rsidRDefault="3B86E627" w:rsidP="00515168">
            <w:pPr>
              <w:jc w:val="both"/>
              <w:rPr>
                <w:rFonts w:cs="Arial"/>
              </w:rPr>
            </w:pPr>
            <w:r w:rsidRPr="3B86E627">
              <w:rPr>
                <w:rFonts w:eastAsia="Arial" w:cs="Arial"/>
                <w:b/>
                <w:bCs/>
                <w:i/>
                <w:iCs/>
              </w:rPr>
              <w:t>Management and quality assurance</w:t>
            </w:r>
          </w:p>
          <w:p w14:paraId="4DA3AF8D" w14:textId="77777777" w:rsidR="002E25F4" w:rsidRPr="005A1D76" w:rsidRDefault="3B86E627" w:rsidP="00515168">
            <w:pPr>
              <w:jc w:val="both"/>
              <w:rPr>
                <w:rFonts w:cs="Arial"/>
              </w:rPr>
            </w:pPr>
            <w:r w:rsidRPr="3B86E627">
              <w:rPr>
                <w:rFonts w:eastAsia="Arial" w:cs="Arial"/>
              </w:rPr>
              <w:t>Candidates will need to have effective management arrangements in place to ensure all of the requirements of this specification are fulfilled.  The Services must be delivered to a high quality and successful tenderers will need to have in place quality assurance and improvement processes.</w:t>
            </w:r>
          </w:p>
          <w:p w14:paraId="4DA3AF8E" w14:textId="77777777" w:rsidR="00B06A9F" w:rsidRPr="005A1D76" w:rsidRDefault="00B06A9F" w:rsidP="00515168">
            <w:pPr>
              <w:jc w:val="both"/>
              <w:rPr>
                <w:rFonts w:cs="Arial"/>
              </w:rPr>
            </w:pPr>
          </w:p>
          <w:p w14:paraId="4DA3AF8F" w14:textId="77777777" w:rsidR="00B06A9F" w:rsidRPr="005A1D76" w:rsidRDefault="3B86E627" w:rsidP="00515168">
            <w:pPr>
              <w:jc w:val="both"/>
              <w:rPr>
                <w:rFonts w:cs="Arial"/>
              </w:rPr>
            </w:pPr>
            <w:r w:rsidRPr="3B86E627">
              <w:rPr>
                <w:rFonts w:eastAsia="Arial" w:cs="Arial"/>
              </w:rPr>
              <w:t xml:space="preserve">The Service needs to be flexible and responsive to the changing economic and political landscape and take into consideration that the approach and associated processes may change during the life of this contract.  Therefore Candidates will be expected to be able to change the delivery of the Services accordingly.  </w:t>
            </w:r>
          </w:p>
          <w:p w14:paraId="4DA3AF90" w14:textId="77777777" w:rsidR="001A4B05" w:rsidRPr="005A1D76" w:rsidRDefault="001A4B05" w:rsidP="00515168">
            <w:pPr>
              <w:jc w:val="both"/>
              <w:rPr>
                <w:rFonts w:cs="Arial"/>
              </w:rPr>
            </w:pPr>
          </w:p>
          <w:p w14:paraId="4DA3AF91" w14:textId="77777777" w:rsidR="002E25F4" w:rsidRPr="005A1D76" w:rsidRDefault="3B86E627" w:rsidP="00515168">
            <w:pPr>
              <w:jc w:val="both"/>
              <w:rPr>
                <w:rFonts w:cs="Arial"/>
              </w:rPr>
            </w:pPr>
            <w:r w:rsidRPr="3B86E627">
              <w:rPr>
                <w:rFonts w:eastAsia="Arial" w:cs="Arial"/>
                <w:b/>
                <w:bCs/>
                <w:i/>
                <w:iCs/>
              </w:rPr>
              <w:t>Partnership working</w:t>
            </w:r>
          </w:p>
          <w:p w14:paraId="4DA3AF92" w14:textId="77777777" w:rsidR="002E25F4" w:rsidRPr="005A1D76" w:rsidRDefault="3B86E627" w:rsidP="00515168">
            <w:pPr>
              <w:jc w:val="both"/>
              <w:rPr>
                <w:rFonts w:cs="Arial"/>
              </w:rPr>
            </w:pPr>
            <w:r w:rsidRPr="3B86E627">
              <w:rPr>
                <w:rFonts w:eastAsia="Arial" w:cs="Arial"/>
              </w:rPr>
              <w:t>Candidates will be required to work in partnership with other organisations delivering education and training in the area to ensure the Service is complementary to and not in competition with other funded provision.</w:t>
            </w:r>
          </w:p>
          <w:p w14:paraId="4DA3AF93" w14:textId="77777777" w:rsidR="002E25F4" w:rsidRPr="005A1D76" w:rsidRDefault="002E25F4" w:rsidP="00515168">
            <w:pPr>
              <w:jc w:val="both"/>
              <w:rPr>
                <w:rFonts w:cs="Arial"/>
              </w:rPr>
            </w:pPr>
          </w:p>
          <w:p w14:paraId="4DA3AF94" w14:textId="77777777" w:rsidR="002E25F4" w:rsidRPr="005A1D76" w:rsidRDefault="3B86E627" w:rsidP="00515168">
            <w:pPr>
              <w:jc w:val="both"/>
              <w:rPr>
                <w:rFonts w:cs="Arial"/>
              </w:rPr>
            </w:pPr>
            <w:r w:rsidRPr="3B86E627">
              <w:rPr>
                <w:rFonts w:eastAsia="Arial" w:cs="Arial"/>
              </w:rPr>
              <w:t xml:space="preserve">The Service must be able to respond to changing local needs and opportunities, as well as policy changes. </w:t>
            </w:r>
          </w:p>
          <w:p w14:paraId="4DA3AF95" w14:textId="77777777" w:rsidR="00ED156A" w:rsidRPr="006C64F5" w:rsidRDefault="00ED156A" w:rsidP="00515168">
            <w:pPr>
              <w:jc w:val="both"/>
              <w:rPr>
                <w:rFonts w:cs="Arial"/>
                <w:highlight w:val="yellow"/>
              </w:rPr>
            </w:pPr>
          </w:p>
          <w:p w14:paraId="4DA3AF96" w14:textId="77777777" w:rsidR="002E25F4" w:rsidRDefault="3B86E627" w:rsidP="00515168">
            <w:pPr>
              <w:autoSpaceDE w:val="0"/>
              <w:autoSpaceDN w:val="0"/>
              <w:adjustRightInd w:val="0"/>
              <w:jc w:val="both"/>
              <w:rPr>
                <w:rFonts w:cs="Arial"/>
              </w:rPr>
            </w:pPr>
            <w:r w:rsidRPr="3B86E627">
              <w:rPr>
                <w:rFonts w:eastAsia="Arial" w:cs="Arial"/>
              </w:rPr>
              <w:t xml:space="preserve">Candidates will be required to establish linkages with and have an understanding of, local stakeholder needs and develop strong links with the key stakeholders. </w:t>
            </w:r>
          </w:p>
          <w:p w14:paraId="4DA3AF97" w14:textId="77777777" w:rsidR="00160E5D" w:rsidRDefault="00160E5D" w:rsidP="00515168">
            <w:pPr>
              <w:autoSpaceDE w:val="0"/>
              <w:autoSpaceDN w:val="0"/>
              <w:adjustRightInd w:val="0"/>
              <w:jc w:val="both"/>
              <w:rPr>
                <w:rFonts w:cs="Arial"/>
              </w:rPr>
            </w:pPr>
          </w:p>
          <w:p w14:paraId="4DA3AF98" w14:textId="77777777" w:rsidR="00160E5D" w:rsidRPr="00BC7F87" w:rsidRDefault="3B86E627" w:rsidP="00515168">
            <w:pPr>
              <w:autoSpaceDE w:val="0"/>
              <w:autoSpaceDN w:val="0"/>
              <w:adjustRightInd w:val="0"/>
              <w:jc w:val="both"/>
              <w:rPr>
                <w:rFonts w:cs="Arial"/>
              </w:rPr>
            </w:pPr>
            <w:r w:rsidRPr="3B86E627">
              <w:rPr>
                <w:rFonts w:eastAsia="Arial" w:cs="Arial"/>
              </w:rPr>
              <w:t xml:space="preserve">Candidates will be required to work with employers </w:t>
            </w:r>
            <w:r w:rsidRPr="3B86E627">
              <w:rPr>
                <w:rFonts w:eastAsia="Arial" w:cs="Arial"/>
                <w:color w:val="000000" w:themeColor="text1"/>
              </w:rPr>
              <w:t>to identify the skills gaps and needs to drive employer growth</w:t>
            </w:r>
            <w:r w:rsidRPr="3B86E627">
              <w:rPr>
                <w:rFonts w:eastAsia="Arial" w:cs="Arial"/>
              </w:rPr>
              <w:t xml:space="preserve"> </w:t>
            </w:r>
          </w:p>
          <w:p w14:paraId="4DA3AF99" w14:textId="77777777" w:rsidR="00C0243B" w:rsidRDefault="00C0243B" w:rsidP="00515168">
            <w:pPr>
              <w:jc w:val="both"/>
              <w:rPr>
                <w:rFonts w:cs="Arial"/>
              </w:rPr>
            </w:pPr>
          </w:p>
          <w:p w14:paraId="4DA3AF9A" w14:textId="77777777" w:rsidR="000E66D3" w:rsidRDefault="3B86E627" w:rsidP="00515168">
            <w:pPr>
              <w:jc w:val="both"/>
              <w:rPr>
                <w:rFonts w:cs="Arial"/>
              </w:rPr>
            </w:pPr>
            <w:r w:rsidRPr="3B86E627">
              <w:rPr>
                <w:rFonts w:eastAsia="Arial" w:cs="Arial"/>
              </w:rPr>
              <w:t xml:space="preserve">Where the Service works with Jobcentre Plus clients the Candidates will be required to co-operate </w:t>
            </w:r>
            <w:r w:rsidRPr="3B86E627">
              <w:rPr>
                <w:rFonts w:eastAsia="Arial" w:cs="Arial"/>
                <w:lang w:eastAsia="en-GB"/>
              </w:rPr>
              <w:t xml:space="preserve">effectively with Jobcentre Plus making them aware of candidates who fail to attend training and notifying them of any instances where individuals leave training due to starting work.  </w:t>
            </w:r>
            <w:r w:rsidRPr="3B86E627">
              <w:rPr>
                <w:rFonts w:eastAsia="Arial" w:cs="Arial"/>
              </w:rPr>
              <w:t xml:space="preserve">Candidates will be required to establish links with </w:t>
            </w:r>
            <w:r w:rsidRPr="3B86E627">
              <w:rPr>
                <w:rFonts w:eastAsia="Arial" w:cs="Arial"/>
                <w:lang w:eastAsia="en-GB"/>
              </w:rPr>
              <w:t xml:space="preserve">Jobcentre Plus and visits to public or private sector employers should be made in conjunction with Jobcentre Plus and National Careers Service wherever possible to ensure a smooth, efficient, and joined up approach to arranging benefit claims, offering new employment opportunities and training for all eligible individuals.  </w:t>
            </w:r>
          </w:p>
          <w:p w14:paraId="4DA3AF9B" w14:textId="77777777" w:rsidR="000E66D3" w:rsidRDefault="000E66D3" w:rsidP="00515168">
            <w:pPr>
              <w:jc w:val="both"/>
              <w:rPr>
                <w:rFonts w:cs="Arial"/>
              </w:rPr>
            </w:pPr>
          </w:p>
          <w:p w14:paraId="4DA3AF9C" w14:textId="77777777" w:rsidR="002E25F4" w:rsidRPr="00BC7F87" w:rsidRDefault="3B86E627" w:rsidP="00515168">
            <w:pPr>
              <w:jc w:val="both"/>
              <w:rPr>
                <w:rFonts w:cs="Arial"/>
              </w:rPr>
            </w:pPr>
            <w:r w:rsidRPr="3B86E627">
              <w:rPr>
                <w:rFonts w:eastAsia="Arial" w:cs="Arial"/>
                <w:b/>
                <w:bCs/>
                <w:i/>
                <w:iCs/>
              </w:rPr>
              <w:t>Market intelligence and local knowledge</w:t>
            </w:r>
          </w:p>
          <w:p w14:paraId="4DA3AF9D" w14:textId="77777777" w:rsidR="002E25F4" w:rsidRPr="00BC7F87" w:rsidRDefault="3B86E627" w:rsidP="00515168">
            <w:pPr>
              <w:autoSpaceDE w:val="0"/>
              <w:autoSpaceDN w:val="0"/>
              <w:adjustRightInd w:val="0"/>
              <w:ind w:left="29"/>
              <w:jc w:val="both"/>
              <w:rPr>
                <w:rFonts w:cs="Arial"/>
                <w:strike/>
                <w:szCs w:val="22"/>
                <w:highlight w:val="yellow"/>
              </w:rPr>
            </w:pPr>
            <w:r w:rsidRPr="3B86E627">
              <w:rPr>
                <w:rFonts w:eastAsia="Arial" w:cs="Arial"/>
              </w:rPr>
              <w:t xml:space="preserve">The delivery of the Services must take into account the current and future social and economic indicators including labour market intelligence. Candidates must be able to demonstrate a comprehensive understanding of the current employment market and the current and future social and economic indicators including labour market intelligence for the geographical area being supported. Candidates must also have an understanding of local skills shortages and gaps and any existing skills support structures within the LEP area. </w:t>
            </w:r>
          </w:p>
          <w:p w14:paraId="4DA3AF9E" w14:textId="77777777" w:rsidR="00812EC6" w:rsidRPr="00BC7F87" w:rsidRDefault="00812EC6" w:rsidP="00515168">
            <w:pPr>
              <w:jc w:val="both"/>
              <w:rPr>
                <w:rFonts w:cs="Arial"/>
              </w:rPr>
            </w:pPr>
          </w:p>
          <w:p w14:paraId="4DA3AF9F" w14:textId="77777777" w:rsidR="002E25F4" w:rsidRPr="00BC7F87" w:rsidRDefault="3B86E627" w:rsidP="00515168">
            <w:pPr>
              <w:pStyle w:val="letteredlist"/>
              <w:numPr>
                <w:ilvl w:val="4"/>
                <w:numId w:val="0"/>
              </w:numPr>
              <w:spacing w:after="0"/>
              <w:ind w:left="29"/>
              <w:jc w:val="both"/>
              <w:rPr>
                <w:b/>
                <w:i/>
              </w:rPr>
            </w:pPr>
            <w:r w:rsidRPr="3B86E627">
              <w:rPr>
                <w:b/>
                <w:bCs/>
                <w:i/>
                <w:iCs/>
              </w:rPr>
              <w:lastRenderedPageBreak/>
              <w:t>Management information and reporting</w:t>
            </w:r>
          </w:p>
          <w:p w14:paraId="4DA3AFA0" w14:textId="77777777" w:rsidR="002E25F4" w:rsidRPr="00BC7F87" w:rsidRDefault="3B86E627" w:rsidP="00515168">
            <w:pPr>
              <w:jc w:val="both"/>
              <w:rPr>
                <w:rFonts w:cs="Arial"/>
              </w:rPr>
            </w:pPr>
            <w:r>
              <w:t xml:space="preserve">Candidates will develop management information systems to enable it to submit data to the Skills Funding Agency via the Individual Learner Record (ILR) and put in place robust arrangements for ensuring that the evidence required to support payments is collected and retained.  </w:t>
            </w:r>
          </w:p>
          <w:p w14:paraId="4DA3AFA1" w14:textId="77777777" w:rsidR="002E25F4" w:rsidRPr="00BC7F87" w:rsidRDefault="002E25F4" w:rsidP="00515168">
            <w:pPr>
              <w:jc w:val="both"/>
              <w:rPr>
                <w:rFonts w:cs="Arial"/>
              </w:rPr>
            </w:pPr>
          </w:p>
          <w:p w14:paraId="4DA3AFA2" w14:textId="77777777" w:rsidR="007121E9" w:rsidRDefault="3B86E627" w:rsidP="00515168">
            <w:pPr>
              <w:jc w:val="both"/>
              <w:rPr>
                <w:rFonts w:cs="Arial"/>
                <w:szCs w:val="22"/>
              </w:rPr>
            </w:pPr>
            <w:r w:rsidRPr="3B86E627">
              <w:rPr>
                <w:rFonts w:eastAsia="Arial" w:cs="Arial"/>
              </w:rPr>
              <w:t xml:space="preserve">Candidates will be required to share with LEPs and the Skills Funding Agency ongoing performance management data as well as additional intelligence to improve the effectiveness of Skills Support projects in the LEP area in the future. </w:t>
            </w:r>
          </w:p>
          <w:p w14:paraId="4DA3AFA3" w14:textId="77777777" w:rsidR="00261BD3" w:rsidRDefault="00261BD3" w:rsidP="00515168">
            <w:pPr>
              <w:jc w:val="both"/>
              <w:rPr>
                <w:rFonts w:cs="Arial"/>
              </w:rPr>
            </w:pPr>
          </w:p>
          <w:p w14:paraId="4DA3AFA4" w14:textId="77777777" w:rsidR="00B773E0" w:rsidRDefault="3B86E627" w:rsidP="00515168">
            <w:pPr>
              <w:jc w:val="both"/>
              <w:rPr>
                <w:rFonts w:cs="Arial"/>
                <w:b/>
              </w:rPr>
            </w:pPr>
            <w:r w:rsidRPr="3B86E627">
              <w:rPr>
                <w:rFonts w:eastAsia="Arial" w:cs="Arial"/>
                <w:b/>
                <w:bCs/>
              </w:rPr>
              <w:t>Specific Service Requirements</w:t>
            </w:r>
          </w:p>
          <w:p w14:paraId="4DA3AFA5" w14:textId="77777777" w:rsidR="00106FAF" w:rsidRPr="007121E9" w:rsidRDefault="00106FAF" w:rsidP="00515168">
            <w:pPr>
              <w:jc w:val="both"/>
              <w:rPr>
                <w:rFonts w:cs="Arial"/>
                <w:b/>
              </w:rPr>
            </w:pPr>
          </w:p>
          <w:p w14:paraId="4DA3AFA6" w14:textId="77777777" w:rsidR="00106FAF" w:rsidRPr="0066567A" w:rsidRDefault="3B86E627" w:rsidP="00106FAF">
            <w:pPr>
              <w:jc w:val="both"/>
              <w:rPr>
                <w:rFonts w:cs="Arial"/>
                <w:lang w:eastAsia="en-GB"/>
              </w:rPr>
            </w:pPr>
            <w:r w:rsidRPr="3B86E627">
              <w:rPr>
                <w:rFonts w:eastAsia="Arial" w:cs="Arial"/>
                <w:lang w:eastAsia="en-GB"/>
              </w:rPr>
              <w:t>Greater Manchester wants to build on and add value to the current programmes and services for Careers Education Information Advice and Guidance operating for all age ranges.</w:t>
            </w:r>
          </w:p>
          <w:p w14:paraId="4DA3AFA7" w14:textId="77777777" w:rsidR="00106FAF" w:rsidRPr="0066567A" w:rsidRDefault="00106FAF" w:rsidP="00106FAF">
            <w:pPr>
              <w:jc w:val="both"/>
              <w:rPr>
                <w:rFonts w:cs="Arial"/>
                <w:lang w:eastAsia="en-GB"/>
              </w:rPr>
            </w:pPr>
          </w:p>
          <w:p w14:paraId="4DA3AFA8" w14:textId="4B455D0C" w:rsidR="00106FAF" w:rsidRPr="0066567A" w:rsidRDefault="3B86E627" w:rsidP="00106FAF">
            <w:pPr>
              <w:jc w:val="both"/>
              <w:rPr>
                <w:rFonts w:cs="Arial"/>
                <w:lang w:eastAsia="en-GB"/>
              </w:rPr>
            </w:pPr>
            <w:r w:rsidRPr="3B86E627">
              <w:rPr>
                <w:rFonts w:eastAsia="Arial" w:cs="Arial"/>
                <w:lang w:eastAsia="en-GB"/>
              </w:rPr>
              <w:t>The Services must provide full geographical and sectoral coverage.  The Services for both age groups should build on the current statutory duties, enhance current careers provision including NCS Framework and the previous three years of GM’s CEIAG strategy, provision and investment based on research and qualitative analysis.</w:t>
            </w:r>
          </w:p>
          <w:p w14:paraId="4DA3AFA9" w14:textId="77777777" w:rsidR="00306351" w:rsidRDefault="00306351" w:rsidP="00515168">
            <w:pPr>
              <w:jc w:val="both"/>
              <w:rPr>
                <w:rFonts w:cs="Arial"/>
              </w:rPr>
            </w:pPr>
          </w:p>
          <w:p w14:paraId="4DA3AFAA" w14:textId="77777777" w:rsidR="001768E1" w:rsidRPr="00593D65" w:rsidRDefault="3B86E627" w:rsidP="00515168">
            <w:pPr>
              <w:autoSpaceDE w:val="0"/>
              <w:autoSpaceDN w:val="0"/>
              <w:adjustRightInd w:val="0"/>
              <w:jc w:val="both"/>
              <w:rPr>
                <w:rFonts w:cs="Arial"/>
                <w:b/>
                <w:bCs/>
                <w:lang w:eastAsia="en-GB"/>
              </w:rPr>
            </w:pPr>
            <w:r w:rsidRPr="3B86E627">
              <w:rPr>
                <w:rFonts w:eastAsia="Arial" w:cs="Arial"/>
                <w:b/>
                <w:bCs/>
                <w:lang w:eastAsia="en-GB"/>
              </w:rPr>
              <w:t>Theme 1: Careers Education, Information, Advice and Guidance for Young People</w:t>
            </w:r>
          </w:p>
          <w:p w14:paraId="4DA3AFAB" w14:textId="77777777" w:rsidR="00827B24" w:rsidRPr="00593D65" w:rsidRDefault="00827B24" w:rsidP="00515168">
            <w:pPr>
              <w:autoSpaceDE w:val="0"/>
              <w:autoSpaceDN w:val="0"/>
              <w:adjustRightInd w:val="0"/>
              <w:jc w:val="both"/>
              <w:rPr>
                <w:rFonts w:cs="Arial"/>
                <w:b/>
                <w:highlight w:val="yellow"/>
              </w:rPr>
            </w:pPr>
          </w:p>
          <w:p w14:paraId="4DA3AFAC" w14:textId="329C17E9" w:rsidR="00827B24" w:rsidRDefault="3B86E627" w:rsidP="00515168">
            <w:pPr>
              <w:autoSpaceDE w:val="0"/>
              <w:autoSpaceDN w:val="0"/>
              <w:adjustRightInd w:val="0"/>
              <w:jc w:val="both"/>
              <w:rPr>
                <w:rFonts w:eastAsia="Arial" w:cs="Arial"/>
              </w:rPr>
            </w:pPr>
            <w:r w:rsidRPr="3B86E627">
              <w:rPr>
                <w:rFonts w:eastAsia="Arial" w:cs="Arial"/>
              </w:rPr>
              <w:t>These Services must provide innovative high quality face to face careers education, information advice and guidance that enables young people to develop the knowledge; skills and attitude they need to manage their career and support their transitions into learning and work.</w:t>
            </w:r>
          </w:p>
          <w:p w14:paraId="4DA3AFAD" w14:textId="77777777" w:rsidR="00247541" w:rsidRDefault="00247541" w:rsidP="00515168">
            <w:pPr>
              <w:autoSpaceDE w:val="0"/>
              <w:autoSpaceDN w:val="0"/>
              <w:adjustRightInd w:val="0"/>
              <w:jc w:val="both"/>
              <w:rPr>
                <w:rFonts w:eastAsia="Arial" w:cs="Arial"/>
              </w:rPr>
            </w:pPr>
          </w:p>
          <w:p w14:paraId="4DA3AFAE" w14:textId="77777777" w:rsidR="00247541" w:rsidRPr="0066567A" w:rsidRDefault="3B86E627" w:rsidP="00247541">
            <w:pPr>
              <w:pStyle w:val="NoSpacing"/>
              <w:jc w:val="both"/>
              <w:rPr>
                <w:rFonts w:ascii="Arial" w:hAnsi="Arial" w:cs="Arial"/>
              </w:rPr>
            </w:pPr>
            <w:r w:rsidRPr="3B86E627">
              <w:rPr>
                <w:rFonts w:ascii="Arial" w:eastAsia="Arial" w:hAnsi="Arial" w:cs="Arial"/>
              </w:rPr>
              <w:t>The aim of the Services is to support disadvantaged young people age 15-18 and up to 25 for learners with Special Educational Needs and Disability (SEND) and Care Leavers with the skills needed to make positive transitions into the labour market and into higher level skills, through vocational further and higher education, training, Apprenticeships and Traineeships. Services must focus on those young people in schools and colleges with the following characteristics:</w:t>
            </w:r>
          </w:p>
          <w:p w14:paraId="4DA3AFAF" w14:textId="77777777" w:rsidR="00247541" w:rsidRPr="0066567A" w:rsidRDefault="00247541" w:rsidP="00247541">
            <w:pPr>
              <w:pStyle w:val="NoSpacing"/>
              <w:jc w:val="both"/>
              <w:rPr>
                <w:rFonts w:ascii="Arial" w:hAnsi="Arial" w:cs="Arial"/>
              </w:rPr>
            </w:pPr>
          </w:p>
          <w:p w14:paraId="4DA3AFB0" w14:textId="77777777" w:rsidR="00247541" w:rsidRPr="0066567A" w:rsidRDefault="3B86E627" w:rsidP="00247541">
            <w:pPr>
              <w:pStyle w:val="NoSpacing"/>
              <w:numPr>
                <w:ilvl w:val="0"/>
                <w:numId w:val="21"/>
              </w:numPr>
              <w:jc w:val="both"/>
              <w:rPr>
                <w:rFonts w:ascii="Arial" w:eastAsia="Arial" w:hAnsi="Arial" w:cs="Arial"/>
              </w:rPr>
            </w:pPr>
            <w:r w:rsidRPr="3B86E627">
              <w:rPr>
                <w:rFonts w:ascii="Arial" w:eastAsia="Arial" w:hAnsi="Arial" w:cs="Arial"/>
              </w:rPr>
              <w:t>In an area of high deprivation</w:t>
            </w:r>
          </w:p>
          <w:p w14:paraId="4DA3AFB1" w14:textId="77777777" w:rsidR="00247541" w:rsidRPr="0066567A" w:rsidRDefault="3B86E627" w:rsidP="00247541">
            <w:pPr>
              <w:pStyle w:val="NoSpacing"/>
              <w:numPr>
                <w:ilvl w:val="0"/>
                <w:numId w:val="21"/>
              </w:numPr>
              <w:jc w:val="both"/>
              <w:rPr>
                <w:rFonts w:ascii="Arial" w:eastAsia="Arial" w:hAnsi="Arial" w:cs="Arial"/>
              </w:rPr>
            </w:pPr>
            <w:r w:rsidRPr="3B86E627">
              <w:rPr>
                <w:rFonts w:ascii="Arial" w:eastAsia="Arial" w:hAnsi="Arial" w:cs="Arial"/>
              </w:rPr>
              <w:t>High FSM/pupil premium</w:t>
            </w:r>
          </w:p>
          <w:p w14:paraId="4DA3AFB2" w14:textId="77777777" w:rsidR="00247541" w:rsidRPr="0066567A" w:rsidRDefault="3B86E627" w:rsidP="00247541">
            <w:pPr>
              <w:pStyle w:val="NoSpacing"/>
              <w:numPr>
                <w:ilvl w:val="0"/>
                <w:numId w:val="21"/>
              </w:numPr>
              <w:jc w:val="both"/>
              <w:rPr>
                <w:rFonts w:ascii="Arial" w:eastAsia="Arial" w:hAnsi="Arial" w:cs="Arial"/>
              </w:rPr>
            </w:pPr>
            <w:r w:rsidRPr="3B86E627">
              <w:rPr>
                <w:rFonts w:ascii="Arial" w:eastAsia="Arial" w:hAnsi="Arial" w:cs="Arial"/>
              </w:rPr>
              <w:t>Schools and academies with low GCSE attainment of 5A*- C including English and maths</w:t>
            </w:r>
          </w:p>
          <w:p w14:paraId="4DA3AFB3" w14:textId="77777777" w:rsidR="00247541" w:rsidRPr="0066567A" w:rsidRDefault="3B86E627" w:rsidP="00247541">
            <w:pPr>
              <w:pStyle w:val="NoSpacing"/>
              <w:numPr>
                <w:ilvl w:val="0"/>
                <w:numId w:val="21"/>
              </w:numPr>
              <w:jc w:val="both"/>
              <w:rPr>
                <w:rFonts w:ascii="Arial" w:eastAsia="Arial" w:hAnsi="Arial" w:cs="Arial"/>
              </w:rPr>
            </w:pPr>
            <w:r w:rsidRPr="3B86E627">
              <w:rPr>
                <w:rFonts w:ascii="Arial" w:eastAsia="Arial" w:hAnsi="Arial" w:cs="Arial"/>
              </w:rPr>
              <w:t>Coming from high NEET producing schools and academies</w:t>
            </w:r>
          </w:p>
          <w:p w14:paraId="4DA3AFB4" w14:textId="77777777" w:rsidR="00247541" w:rsidRPr="0066567A" w:rsidRDefault="3B86E627" w:rsidP="00247541">
            <w:pPr>
              <w:pStyle w:val="NoSpacing"/>
              <w:numPr>
                <w:ilvl w:val="0"/>
                <w:numId w:val="21"/>
              </w:numPr>
              <w:jc w:val="both"/>
              <w:rPr>
                <w:rFonts w:ascii="Arial" w:eastAsia="Arial" w:hAnsi="Arial" w:cs="Arial"/>
              </w:rPr>
            </w:pPr>
            <w:r w:rsidRPr="3B86E627">
              <w:rPr>
                <w:rFonts w:ascii="Arial" w:eastAsia="Arial" w:hAnsi="Arial" w:cs="Arial"/>
              </w:rPr>
              <w:t>Schools and academies with low apprenticeship destinations including schools where attainment is high</w:t>
            </w:r>
          </w:p>
          <w:p w14:paraId="4DA3AFB5" w14:textId="77777777" w:rsidR="00247541" w:rsidRPr="0066567A" w:rsidRDefault="3B86E627" w:rsidP="00247541">
            <w:pPr>
              <w:pStyle w:val="NoSpacing"/>
              <w:numPr>
                <w:ilvl w:val="0"/>
                <w:numId w:val="21"/>
              </w:numPr>
              <w:jc w:val="both"/>
              <w:rPr>
                <w:rFonts w:ascii="Arial" w:eastAsia="Arial" w:hAnsi="Arial" w:cs="Arial"/>
              </w:rPr>
            </w:pPr>
            <w:r w:rsidRPr="3B86E627">
              <w:rPr>
                <w:rFonts w:ascii="Arial" w:eastAsia="Arial" w:hAnsi="Arial" w:cs="Arial"/>
              </w:rPr>
              <w:t>Areas with low participation into HE, young people in worklessness families</w:t>
            </w:r>
          </w:p>
          <w:p w14:paraId="4DA3AFB6" w14:textId="77777777" w:rsidR="00247541" w:rsidRDefault="00247541" w:rsidP="00247541">
            <w:pPr>
              <w:pStyle w:val="NoSpacing"/>
              <w:jc w:val="both"/>
              <w:rPr>
                <w:rFonts w:ascii="Arial" w:hAnsi="Arial" w:cs="Arial"/>
                <w:color w:val="0070C0"/>
              </w:rPr>
            </w:pPr>
          </w:p>
          <w:p w14:paraId="4DA3AFB7" w14:textId="77777777" w:rsidR="00247541" w:rsidRPr="0066567A" w:rsidRDefault="3B86E627" w:rsidP="00247541">
            <w:pPr>
              <w:pStyle w:val="NoSpacing"/>
              <w:jc w:val="both"/>
              <w:rPr>
                <w:rFonts w:ascii="Arial" w:hAnsi="Arial" w:cs="Arial"/>
              </w:rPr>
            </w:pPr>
            <w:r w:rsidRPr="3B86E627">
              <w:rPr>
                <w:rFonts w:ascii="Arial" w:eastAsia="Arial" w:hAnsi="Arial" w:cs="Arial"/>
              </w:rPr>
              <w:t xml:space="preserve">The Services should provide an innovative approach in enhancing and adding value to the required independent professional face to face careers guidance to young people in schools to prepare them for the transition into post-16 and post-18 destinations at ages16 and at 17. </w:t>
            </w:r>
          </w:p>
          <w:p w14:paraId="4DA3AFB8" w14:textId="77777777" w:rsidR="00247541" w:rsidRPr="0066567A" w:rsidRDefault="00247541" w:rsidP="00247541">
            <w:pPr>
              <w:pStyle w:val="NoSpacing"/>
              <w:jc w:val="both"/>
              <w:rPr>
                <w:rFonts w:ascii="Arial" w:hAnsi="Arial" w:cs="Arial"/>
              </w:rPr>
            </w:pPr>
          </w:p>
          <w:p w14:paraId="4DA3AFB9" w14:textId="77777777" w:rsidR="00247541" w:rsidRPr="0066567A" w:rsidRDefault="3B86E627" w:rsidP="00247541">
            <w:pPr>
              <w:pStyle w:val="NoSpacing"/>
              <w:jc w:val="both"/>
              <w:rPr>
                <w:rFonts w:ascii="Arial" w:hAnsi="Arial" w:cs="Arial"/>
              </w:rPr>
            </w:pPr>
            <w:r w:rsidRPr="3B86E627">
              <w:rPr>
                <w:rFonts w:ascii="Arial" w:eastAsia="Arial" w:hAnsi="Arial" w:cs="Arial"/>
              </w:rPr>
              <w:t>The Services must target those young people at risk of NEET, especially those considering vocational pathways and who require much more targeted and expert interventions. The Candidate must support these young people to understand the complex landscape of vocational education and skills including Apprenticeships and Traineeships and support them to have the skills required to progress into them.</w:t>
            </w:r>
          </w:p>
          <w:p w14:paraId="4DA3AFBA" w14:textId="77777777" w:rsidR="00247541" w:rsidRPr="0066567A" w:rsidRDefault="00247541" w:rsidP="00247541">
            <w:pPr>
              <w:pStyle w:val="NoSpacing"/>
              <w:jc w:val="both"/>
              <w:rPr>
                <w:rFonts w:ascii="Arial" w:hAnsi="Arial" w:cs="Arial"/>
              </w:rPr>
            </w:pPr>
          </w:p>
          <w:p w14:paraId="4DA3AFBB" w14:textId="77777777" w:rsidR="00247541" w:rsidRPr="0066567A" w:rsidRDefault="3B86E627" w:rsidP="00247541">
            <w:pPr>
              <w:pStyle w:val="NoSpacing"/>
              <w:jc w:val="both"/>
              <w:rPr>
                <w:rFonts w:ascii="Arial" w:hAnsi="Arial" w:cs="Arial"/>
              </w:rPr>
            </w:pPr>
            <w:r w:rsidRPr="3B86E627">
              <w:rPr>
                <w:rFonts w:ascii="Arial" w:eastAsia="Arial" w:hAnsi="Arial" w:cs="Arial"/>
              </w:rPr>
              <w:t>The Services should work with specific cohorts of young people in partnership with schools/colleges and Local Authorities.  The learning and good practice must form part of an evaluation to inform future policy to support schools and colleges as they improve their ability to deliver on their statutory duties.</w:t>
            </w:r>
          </w:p>
          <w:p w14:paraId="4DA3AFBC" w14:textId="77777777" w:rsidR="00247541" w:rsidRPr="0066567A" w:rsidRDefault="00247541" w:rsidP="00247541">
            <w:pPr>
              <w:pStyle w:val="NoSpacing"/>
              <w:jc w:val="both"/>
              <w:rPr>
                <w:rFonts w:ascii="Arial" w:hAnsi="Arial" w:cs="Arial"/>
              </w:rPr>
            </w:pPr>
          </w:p>
          <w:p w14:paraId="4DA3AFBD" w14:textId="403CB7DA" w:rsidR="00247541" w:rsidRPr="0066567A" w:rsidRDefault="3B86E627" w:rsidP="00247541">
            <w:pPr>
              <w:pStyle w:val="NoSpacing"/>
              <w:jc w:val="both"/>
              <w:rPr>
                <w:rFonts w:ascii="Arial" w:hAnsi="Arial" w:cs="Arial"/>
              </w:rPr>
            </w:pPr>
            <w:r w:rsidRPr="3B86E627">
              <w:rPr>
                <w:rFonts w:ascii="Arial" w:eastAsia="Arial" w:hAnsi="Arial" w:cs="Arial"/>
              </w:rPr>
              <w:t>A key focus of the Services should be to move young women and ethnic minorities into vocational routes with particular emphasis on Science, Technology, Engineering and Mathematics (STEM) and Digital Services.</w:t>
            </w:r>
          </w:p>
          <w:p w14:paraId="4DA3AFBE" w14:textId="77777777" w:rsidR="00247541" w:rsidRPr="0066567A" w:rsidRDefault="00247541" w:rsidP="00247541">
            <w:pPr>
              <w:pStyle w:val="NoSpacing"/>
              <w:jc w:val="both"/>
              <w:rPr>
                <w:rFonts w:ascii="Arial" w:hAnsi="Arial" w:cs="Arial"/>
              </w:rPr>
            </w:pPr>
          </w:p>
          <w:p w14:paraId="4DA3AFBF" w14:textId="33FCB5B6" w:rsidR="00247541" w:rsidRPr="0066567A" w:rsidRDefault="3B86E627" w:rsidP="00247541">
            <w:pPr>
              <w:pStyle w:val="NoSpacing"/>
              <w:jc w:val="both"/>
              <w:rPr>
                <w:rFonts w:ascii="Arial" w:hAnsi="Arial" w:cs="Arial"/>
              </w:rPr>
            </w:pPr>
            <w:r w:rsidRPr="3B86E627">
              <w:rPr>
                <w:rFonts w:ascii="Arial" w:eastAsia="Arial" w:hAnsi="Arial" w:cs="Arial"/>
              </w:rPr>
              <w:t>The Services must support young people to make good decisions and transitions at key points right through to adulthood.  The Services will support young people to be more work ready and prepared to enter the labour market.  This will involve a career management programme and will develop skills such as resilience, communication and confidence.  The Services will focus on young people post 16 and post 18 who are looking to explore alternative career pathways.</w:t>
            </w:r>
          </w:p>
          <w:p w14:paraId="4DA3AFC0" w14:textId="77777777" w:rsidR="00247541" w:rsidRPr="0066567A" w:rsidRDefault="00247541" w:rsidP="00247541">
            <w:pPr>
              <w:pStyle w:val="NoSpacing"/>
              <w:jc w:val="both"/>
              <w:rPr>
                <w:rFonts w:ascii="Arial" w:hAnsi="Arial" w:cs="Arial"/>
              </w:rPr>
            </w:pPr>
          </w:p>
          <w:p w14:paraId="4DA3AFC1" w14:textId="77777777" w:rsidR="00247541" w:rsidRPr="0066567A" w:rsidRDefault="3B86E627" w:rsidP="00247541">
            <w:pPr>
              <w:pStyle w:val="NoSpacing"/>
              <w:jc w:val="both"/>
              <w:rPr>
                <w:rFonts w:ascii="Arial" w:hAnsi="Arial" w:cs="Arial"/>
              </w:rPr>
            </w:pPr>
            <w:r w:rsidRPr="3B86E627">
              <w:rPr>
                <w:rFonts w:ascii="Arial" w:eastAsia="Arial" w:hAnsi="Arial" w:cs="Arial"/>
              </w:rPr>
              <w:t xml:space="preserve">The Services must aim to increase the number of disadvantaged 16-18 year olds choosing higher level education or training. </w:t>
            </w:r>
          </w:p>
          <w:p w14:paraId="4DA3AFC2" w14:textId="77777777" w:rsidR="00247541" w:rsidRPr="0067510C" w:rsidRDefault="00247541" w:rsidP="00247541">
            <w:pPr>
              <w:pStyle w:val="NoSpacing"/>
              <w:jc w:val="both"/>
              <w:rPr>
                <w:rFonts w:ascii="Arial" w:hAnsi="Arial" w:cs="Arial"/>
                <w:color w:val="0070C0"/>
              </w:rPr>
            </w:pPr>
          </w:p>
          <w:p w14:paraId="4DA3AFC3" w14:textId="77777777" w:rsidR="00247541" w:rsidRDefault="3B86E627" w:rsidP="00247541">
            <w:pPr>
              <w:pStyle w:val="NoSpacing"/>
              <w:jc w:val="both"/>
              <w:rPr>
                <w:rFonts w:ascii="Arial" w:eastAsia="Arial" w:hAnsi="Arial" w:cs="Arial"/>
              </w:rPr>
            </w:pPr>
            <w:r w:rsidRPr="3B86E627">
              <w:rPr>
                <w:rFonts w:ascii="Arial" w:eastAsia="Arial" w:hAnsi="Arial" w:cs="Arial"/>
              </w:rPr>
              <w:t xml:space="preserve">The target group are disadvantaged young people and those at risk of NEET, specifically defined as:   </w:t>
            </w:r>
          </w:p>
          <w:p w14:paraId="7AFB245E" w14:textId="77777777" w:rsidR="00B07E09" w:rsidRPr="0066567A" w:rsidRDefault="00B07E09" w:rsidP="00247541">
            <w:pPr>
              <w:pStyle w:val="NoSpacing"/>
              <w:jc w:val="both"/>
              <w:rPr>
                <w:rFonts w:ascii="Arial" w:hAnsi="Arial" w:cs="Arial"/>
              </w:rPr>
            </w:pPr>
          </w:p>
          <w:p w14:paraId="4DA3AFC4" w14:textId="77777777" w:rsidR="00247541" w:rsidRPr="0066567A" w:rsidRDefault="3B86E627" w:rsidP="00247541">
            <w:pPr>
              <w:pStyle w:val="NoSpacing"/>
              <w:numPr>
                <w:ilvl w:val="0"/>
                <w:numId w:val="21"/>
              </w:numPr>
              <w:jc w:val="both"/>
              <w:rPr>
                <w:rFonts w:ascii="Arial" w:eastAsia="Arial" w:hAnsi="Arial" w:cs="Arial"/>
              </w:rPr>
            </w:pPr>
            <w:r w:rsidRPr="3B86E627">
              <w:rPr>
                <w:rFonts w:ascii="Arial" w:eastAsia="Arial" w:hAnsi="Arial" w:cs="Arial"/>
              </w:rPr>
              <w:t>Young people not planning to go to University but able to progress through to higher level vocational skills.</w:t>
            </w:r>
          </w:p>
          <w:p w14:paraId="4DA3AFC5" w14:textId="77777777" w:rsidR="00247541" w:rsidRPr="0066567A" w:rsidRDefault="3B86E627" w:rsidP="00247541">
            <w:pPr>
              <w:pStyle w:val="NoSpacing"/>
              <w:numPr>
                <w:ilvl w:val="0"/>
                <w:numId w:val="21"/>
              </w:numPr>
              <w:jc w:val="both"/>
              <w:rPr>
                <w:rFonts w:ascii="Arial" w:eastAsia="Arial" w:hAnsi="Arial" w:cs="Arial"/>
              </w:rPr>
            </w:pPr>
            <w:r w:rsidRPr="3B86E627">
              <w:rPr>
                <w:rFonts w:ascii="Arial" w:eastAsia="Arial" w:hAnsi="Arial" w:cs="Arial"/>
              </w:rPr>
              <w:t>Those with low confidence and self-esteem</w:t>
            </w:r>
          </w:p>
          <w:p w14:paraId="4DA3AFC6" w14:textId="77777777" w:rsidR="00247541" w:rsidRPr="0066567A" w:rsidRDefault="3B86E627" w:rsidP="00247541">
            <w:pPr>
              <w:pStyle w:val="NoSpacing"/>
              <w:numPr>
                <w:ilvl w:val="0"/>
                <w:numId w:val="21"/>
              </w:numPr>
              <w:jc w:val="both"/>
              <w:rPr>
                <w:rFonts w:ascii="Arial" w:eastAsia="Arial" w:hAnsi="Arial" w:cs="Arial"/>
              </w:rPr>
            </w:pPr>
            <w:r w:rsidRPr="3B86E627">
              <w:rPr>
                <w:rFonts w:ascii="Arial" w:eastAsia="Arial" w:hAnsi="Arial" w:cs="Arial"/>
              </w:rPr>
              <w:t>Looked after Children and Care Leavers (including in care homes)</w:t>
            </w:r>
          </w:p>
          <w:p w14:paraId="4DA3AFC7" w14:textId="77777777" w:rsidR="00247541" w:rsidRPr="0066567A" w:rsidRDefault="3B86E627" w:rsidP="00247541">
            <w:pPr>
              <w:pStyle w:val="NoSpacing"/>
              <w:numPr>
                <w:ilvl w:val="0"/>
                <w:numId w:val="21"/>
              </w:numPr>
              <w:jc w:val="both"/>
              <w:rPr>
                <w:rFonts w:ascii="Arial" w:eastAsia="Arial" w:hAnsi="Arial" w:cs="Arial"/>
              </w:rPr>
            </w:pPr>
            <w:r w:rsidRPr="3B86E627">
              <w:rPr>
                <w:rFonts w:ascii="Arial" w:eastAsia="Arial" w:hAnsi="Arial" w:cs="Arial"/>
              </w:rPr>
              <w:t xml:space="preserve">Underachieving boys </w:t>
            </w:r>
          </w:p>
          <w:p w14:paraId="4DA3AFC8" w14:textId="77777777" w:rsidR="00247541" w:rsidRPr="0066567A" w:rsidRDefault="3B86E627" w:rsidP="00247541">
            <w:pPr>
              <w:pStyle w:val="NoSpacing"/>
              <w:numPr>
                <w:ilvl w:val="0"/>
                <w:numId w:val="21"/>
              </w:numPr>
              <w:jc w:val="both"/>
              <w:rPr>
                <w:rFonts w:ascii="Arial" w:eastAsia="Arial" w:hAnsi="Arial" w:cs="Arial"/>
              </w:rPr>
            </w:pPr>
            <w:r w:rsidRPr="3B86E627">
              <w:rPr>
                <w:rFonts w:ascii="Arial" w:eastAsia="Arial" w:hAnsi="Arial" w:cs="Arial"/>
              </w:rPr>
              <w:t>SEND</w:t>
            </w:r>
          </w:p>
          <w:p w14:paraId="4DA3AFC9" w14:textId="77777777" w:rsidR="00247541" w:rsidRPr="0066567A" w:rsidRDefault="3B86E627" w:rsidP="00247541">
            <w:pPr>
              <w:pStyle w:val="NoSpacing"/>
              <w:numPr>
                <w:ilvl w:val="0"/>
                <w:numId w:val="21"/>
              </w:numPr>
              <w:jc w:val="both"/>
              <w:rPr>
                <w:rFonts w:ascii="Arial" w:eastAsia="Arial" w:hAnsi="Arial" w:cs="Arial"/>
              </w:rPr>
            </w:pPr>
            <w:r w:rsidRPr="3B86E627">
              <w:rPr>
                <w:rFonts w:ascii="Arial" w:eastAsia="Arial" w:hAnsi="Arial" w:cs="Arial"/>
              </w:rPr>
              <w:t xml:space="preserve">High ability young people with low aspirations </w:t>
            </w:r>
          </w:p>
          <w:p w14:paraId="4DA3AFCA" w14:textId="77777777" w:rsidR="00247541" w:rsidRPr="0066567A" w:rsidRDefault="3B86E627" w:rsidP="00247541">
            <w:pPr>
              <w:pStyle w:val="NoSpacing"/>
              <w:numPr>
                <w:ilvl w:val="0"/>
                <w:numId w:val="21"/>
              </w:numPr>
              <w:jc w:val="both"/>
              <w:rPr>
                <w:rFonts w:ascii="Arial" w:eastAsia="Arial" w:hAnsi="Arial" w:cs="Arial"/>
              </w:rPr>
            </w:pPr>
            <w:r w:rsidRPr="3B86E627">
              <w:rPr>
                <w:rFonts w:ascii="Arial" w:eastAsia="Arial" w:hAnsi="Arial" w:cs="Arial"/>
              </w:rPr>
              <w:t>Young people In receipt of pupil premium</w:t>
            </w:r>
          </w:p>
          <w:p w14:paraId="4DA3AFCB" w14:textId="77777777" w:rsidR="00247541" w:rsidRPr="0066567A" w:rsidRDefault="3B86E627" w:rsidP="00247541">
            <w:pPr>
              <w:pStyle w:val="NoSpacing"/>
              <w:numPr>
                <w:ilvl w:val="0"/>
                <w:numId w:val="21"/>
              </w:numPr>
              <w:jc w:val="both"/>
              <w:rPr>
                <w:rFonts w:ascii="Arial" w:eastAsia="Arial" w:hAnsi="Arial" w:cs="Arial"/>
              </w:rPr>
            </w:pPr>
            <w:r w:rsidRPr="3B86E627">
              <w:rPr>
                <w:rFonts w:ascii="Arial" w:eastAsia="Arial" w:hAnsi="Arial" w:cs="Arial"/>
              </w:rPr>
              <w:t>Young women disengaging from STEM and Digital activities and careers</w:t>
            </w:r>
          </w:p>
          <w:p w14:paraId="4DA3AFCC" w14:textId="77777777" w:rsidR="00247541" w:rsidRPr="0066567A" w:rsidRDefault="3B86E627" w:rsidP="00247541">
            <w:pPr>
              <w:pStyle w:val="NoSpacing"/>
              <w:numPr>
                <w:ilvl w:val="0"/>
                <w:numId w:val="21"/>
              </w:numPr>
              <w:jc w:val="both"/>
              <w:rPr>
                <w:rFonts w:ascii="Arial" w:eastAsia="Arial" w:hAnsi="Arial" w:cs="Arial"/>
              </w:rPr>
            </w:pPr>
            <w:r w:rsidRPr="3B86E627">
              <w:rPr>
                <w:rFonts w:ascii="Arial" w:eastAsia="Arial" w:hAnsi="Arial" w:cs="Arial"/>
              </w:rPr>
              <w:t>Those 16/17 year olds who have made inappropriate career/learning decisions.</w:t>
            </w:r>
          </w:p>
          <w:p w14:paraId="4DA3AFCD" w14:textId="77777777" w:rsidR="00BA46D0" w:rsidRDefault="00BA46D0" w:rsidP="00515168">
            <w:pPr>
              <w:autoSpaceDE w:val="0"/>
              <w:autoSpaceDN w:val="0"/>
              <w:adjustRightInd w:val="0"/>
              <w:jc w:val="both"/>
              <w:rPr>
                <w:rFonts w:cs="Arial"/>
              </w:rPr>
            </w:pPr>
          </w:p>
          <w:p w14:paraId="4DA3AFCE" w14:textId="3C16567E" w:rsidR="00BA46D0" w:rsidRDefault="3B86E627" w:rsidP="00515168">
            <w:pPr>
              <w:autoSpaceDE w:val="0"/>
              <w:autoSpaceDN w:val="0"/>
              <w:adjustRightInd w:val="0"/>
              <w:jc w:val="both"/>
              <w:rPr>
                <w:rFonts w:cs="Arial"/>
              </w:rPr>
            </w:pPr>
            <w:r w:rsidRPr="3B86E627">
              <w:rPr>
                <w:rFonts w:eastAsia="Arial" w:cs="Arial"/>
              </w:rPr>
              <w:t>The Services must be innovative in providing enhanced careers education information, advice and guidance to individuals who wish to progress but at present, lack the ability to understand any clear progression routes either within their current industry or a different one.  The Services must also support activities which inspire participants into making better informed career choices at key transition points in their lives. including by getting employers to work more closely with schools and colleges, preparing and inspiring the workforce of the future</w:t>
            </w:r>
          </w:p>
          <w:p w14:paraId="4DA3AFCF" w14:textId="77777777" w:rsidR="00FB2719" w:rsidRDefault="00FB2719" w:rsidP="00515168">
            <w:pPr>
              <w:autoSpaceDE w:val="0"/>
              <w:autoSpaceDN w:val="0"/>
              <w:adjustRightInd w:val="0"/>
              <w:jc w:val="both"/>
              <w:rPr>
                <w:rFonts w:cs="Arial"/>
              </w:rPr>
            </w:pPr>
          </w:p>
          <w:p w14:paraId="4DA3AFD0" w14:textId="77777777" w:rsidR="004353FF" w:rsidRDefault="3B86E627" w:rsidP="00515168">
            <w:pPr>
              <w:autoSpaceDE w:val="0"/>
              <w:autoSpaceDN w:val="0"/>
              <w:adjustRightInd w:val="0"/>
              <w:jc w:val="both"/>
              <w:rPr>
                <w:rFonts w:cs="Arial"/>
              </w:rPr>
            </w:pPr>
            <w:r w:rsidRPr="3B86E627">
              <w:rPr>
                <w:rFonts w:eastAsia="Arial" w:cs="Arial"/>
              </w:rPr>
              <w:lastRenderedPageBreak/>
              <w:t xml:space="preserve">The Services must support enhanced careers provision and better links with employers, building upon the work already undertaken by the National Careers Service and the Careers and Enterprise Company. The Services must provide an enhanced careers service to particular target groups and provide an enhanced Inspiration Agenda.  </w:t>
            </w:r>
          </w:p>
          <w:p w14:paraId="4DA3AFD1" w14:textId="77777777" w:rsidR="004353FF" w:rsidRDefault="004353FF" w:rsidP="00515168">
            <w:pPr>
              <w:autoSpaceDE w:val="0"/>
              <w:autoSpaceDN w:val="0"/>
              <w:adjustRightInd w:val="0"/>
              <w:jc w:val="both"/>
              <w:rPr>
                <w:rFonts w:cs="Arial"/>
              </w:rPr>
            </w:pPr>
          </w:p>
          <w:p w14:paraId="4DA3AFD2" w14:textId="77777777" w:rsidR="00FB2719" w:rsidRDefault="3B86E627" w:rsidP="00515168">
            <w:pPr>
              <w:jc w:val="both"/>
              <w:rPr>
                <w:rFonts w:cs="Arial"/>
              </w:rPr>
            </w:pPr>
            <w:r w:rsidRPr="3B86E627">
              <w:rPr>
                <w:rFonts w:eastAsia="Arial" w:cs="Arial"/>
              </w:rPr>
              <w:t>The Services must provide stakeholder programmes and Tutor CPD that will drive greater links between education and employers, and expose participants and educators to careers in key growth sectors with an aim to increase the number of participants taking up further education and employment in those sectors. These costs will be integrated into the unit cost per individual.</w:t>
            </w:r>
          </w:p>
          <w:p w14:paraId="4DA3AFD3" w14:textId="77777777" w:rsidR="00827B24" w:rsidRDefault="00827B24" w:rsidP="00515168">
            <w:pPr>
              <w:autoSpaceDE w:val="0"/>
              <w:autoSpaceDN w:val="0"/>
              <w:adjustRightInd w:val="0"/>
              <w:jc w:val="both"/>
              <w:rPr>
                <w:rFonts w:cs="Arial"/>
              </w:rPr>
            </w:pPr>
          </w:p>
          <w:p w14:paraId="4DA3AFD4" w14:textId="77777777" w:rsidR="00FB2719" w:rsidRPr="0097395D" w:rsidRDefault="3B86E627" w:rsidP="00515168">
            <w:pPr>
              <w:jc w:val="both"/>
              <w:rPr>
                <w:rFonts w:cs="Arial"/>
              </w:rPr>
            </w:pPr>
            <w:r w:rsidRPr="3B86E627">
              <w:rPr>
                <w:rFonts w:eastAsia="Arial" w:cs="Arial"/>
              </w:rPr>
              <w:t xml:space="preserve">The Services must support enhanced careers provision and better links with employers, building upon the work already undertaken by the National Careers Service and the Careers and Enterprise Company. The Services must provide an enhanced careers service to particular target groups and provide an enhanced Inspiration Agenda.  </w:t>
            </w:r>
          </w:p>
          <w:p w14:paraId="4DA3AFD5" w14:textId="77777777" w:rsidR="0056339D" w:rsidRPr="00A83221" w:rsidRDefault="0056339D" w:rsidP="00515168">
            <w:pPr>
              <w:autoSpaceDE w:val="0"/>
              <w:autoSpaceDN w:val="0"/>
              <w:adjustRightInd w:val="0"/>
              <w:jc w:val="both"/>
              <w:rPr>
                <w:rFonts w:cs="Arial"/>
              </w:rPr>
            </w:pPr>
          </w:p>
          <w:p w14:paraId="4DA3AFD6" w14:textId="77777777" w:rsidR="00827B24" w:rsidRPr="0066567A" w:rsidRDefault="3B86E627" w:rsidP="00515168">
            <w:pPr>
              <w:autoSpaceDE w:val="0"/>
              <w:autoSpaceDN w:val="0"/>
              <w:adjustRightInd w:val="0"/>
              <w:jc w:val="both"/>
              <w:rPr>
                <w:rFonts w:cs="Arial"/>
                <w:b/>
              </w:rPr>
            </w:pPr>
            <w:r w:rsidRPr="3B86E627">
              <w:rPr>
                <w:rFonts w:eastAsia="Arial" w:cs="Arial"/>
              </w:rPr>
              <w:t>The Services must align with ‘mainstream’ activities provided by schools and colleges and with other programmes that are part of the Greater Manchester ESF Programme, including those that provide employment and / or skills support to young people.</w:t>
            </w:r>
          </w:p>
          <w:p w14:paraId="4DA3AFD7" w14:textId="77777777" w:rsidR="00827B24" w:rsidRPr="0066567A" w:rsidRDefault="00827B24" w:rsidP="00515168">
            <w:pPr>
              <w:autoSpaceDE w:val="0"/>
              <w:autoSpaceDN w:val="0"/>
              <w:adjustRightInd w:val="0"/>
              <w:jc w:val="both"/>
              <w:rPr>
                <w:rFonts w:cs="Arial"/>
                <w:b/>
              </w:rPr>
            </w:pPr>
          </w:p>
          <w:p w14:paraId="4DA3AFD8" w14:textId="77777777" w:rsidR="00827B24" w:rsidRPr="0066567A" w:rsidRDefault="3B86E627" w:rsidP="00515168">
            <w:pPr>
              <w:autoSpaceDE w:val="0"/>
              <w:autoSpaceDN w:val="0"/>
              <w:adjustRightInd w:val="0"/>
              <w:jc w:val="both"/>
              <w:rPr>
                <w:rFonts w:cs="Arial"/>
              </w:rPr>
            </w:pPr>
            <w:r w:rsidRPr="3B86E627">
              <w:rPr>
                <w:rFonts w:eastAsia="Arial" w:cs="Arial"/>
              </w:rPr>
              <w:t xml:space="preserve">The Services must be delivered to young people referred from Local Authorities and schools/academies and colleges as part of the local referral infrastructure. </w:t>
            </w:r>
          </w:p>
          <w:p w14:paraId="4DA3AFD9" w14:textId="77777777" w:rsidR="00DE7620" w:rsidRPr="0066567A" w:rsidRDefault="00DE7620" w:rsidP="00515168">
            <w:pPr>
              <w:pStyle w:val="NoSpacing"/>
              <w:jc w:val="both"/>
              <w:rPr>
                <w:rFonts w:ascii="Arial" w:hAnsi="Arial" w:cs="Arial"/>
              </w:rPr>
            </w:pPr>
          </w:p>
          <w:p w14:paraId="4DA3AFDA" w14:textId="77777777" w:rsidR="0067510C" w:rsidRPr="0066567A" w:rsidRDefault="3B86E627" w:rsidP="00515168">
            <w:pPr>
              <w:jc w:val="both"/>
              <w:rPr>
                <w:rFonts w:cs="Arial"/>
              </w:rPr>
            </w:pPr>
            <w:r w:rsidRPr="3B86E627">
              <w:rPr>
                <w:rFonts w:eastAsia="Arial" w:cs="Arial"/>
              </w:rPr>
              <w:t>The Services must:</w:t>
            </w:r>
          </w:p>
          <w:p w14:paraId="4DA3AFDB" w14:textId="77777777" w:rsidR="0067510C" w:rsidRPr="0066567A" w:rsidRDefault="0067510C" w:rsidP="00515168">
            <w:pPr>
              <w:jc w:val="both"/>
              <w:rPr>
                <w:rFonts w:cs="Arial"/>
              </w:rPr>
            </w:pPr>
          </w:p>
          <w:p w14:paraId="4DA3AFDC" w14:textId="785F9CCF" w:rsidR="0067510C" w:rsidRPr="0066567A" w:rsidRDefault="3B86E627" w:rsidP="00515168">
            <w:pPr>
              <w:pStyle w:val="NoSpacing"/>
              <w:numPr>
                <w:ilvl w:val="0"/>
                <w:numId w:val="21"/>
              </w:numPr>
              <w:jc w:val="both"/>
              <w:rPr>
                <w:rFonts w:ascii="Arial" w:eastAsia="Arial" w:hAnsi="Arial" w:cs="Arial"/>
              </w:rPr>
            </w:pPr>
            <w:r w:rsidRPr="3B86E627">
              <w:rPr>
                <w:rFonts w:ascii="Arial" w:eastAsia="Arial" w:hAnsi="Arial" w:cs="Arial"/>
              </w:rPr>
              <w:t>Provide innovative face to face guidance and careers education to those young people who are at risk of NEET and to disadvantaged 15-18 year olds (up to 25 with SEND and Care Leavers) to help them understand and choose vocational pathways leading to employment, higher skills and Apprenticeships.</w:t>
            </w:r>
          </w:p>
          <w:p w14:paraId="4DA3AFDD" w14:textId="77777777" w:rsidR="0067510C" w:rsidRPr="0066567A" w:rsidRDefault="3B86E627" w:rsidP="00515168">
            <w:pPr>
              <w:pStyle w:val="NoSpacing"/>
              <w:numPr>
                <w:ilvl w:val="0"/>
                <w:numId w:val="21"/>
              </w:numPr>
              <w:jc w:val="both"/>
              <w:rPr>
                <w:rFonts w:ascii="Arial" w:eastAsia="Arial" w:hAnsi="Arial" w:cs="Arial"/>
              </w:rPr>
            </w:pPr>
            <w:r w:rsidRPr="3B86E627">
              <w:rPr>
                <w:rFonts w:ascii="Arial" w:eastAsia="Arial" w:hAnsi="Arial" w:cs="Arial"/>
              </w:rPr>
              <w:t xml:space="preserve">Support disadvantaged young people to progress into Apprenticeships and Traineeships and onto higher level skills. </w:t>
            </w:r>
          </w:p>
          <w:p w14:paraId="4DA3AFDE" w14:textId="77777777" w:rsidR="00EA0256" w:rsidRPr="0066567A" w:rsidRDefault="3B86E627" w:rsidP="00515168">
            <w:pPr>
              <w:pStyle w:val="NoSpacing"/>
              <w:numPr>
                <w:ilvl w:val="0"/>
                <w:numId w:val="21"/>
              </w:numPr>
              <w:jc w:val="both"/>
              <w:rPr>
                <w:rFonts w:ascii="Arial" w:eastAsia="Arial" w:hAnsi="Arial" w:cs="Arial"/>
              </w:rPr>
            </w:pPr>
            <w:r w:rsidRPr="3B86E627">
              <w:rPr>
                <w:rFonts w:ascii="Arial" w:eastAsia="Arial" w:hAnsi="Arial" w:cs="Arial"/>
              </w:rPr>
              <w:t>Provide support to young people, their parents/carers and schools/academies and colleges to clearly understand progression pathways.</w:t>
            </w:r>
          </w:p>
          <w:p w14:paraId="4DA3AFDF" w14:textId="77777777" w:rsidR="0067510C" w:rsidRPr="0066567A" w:rsidRDefault="3B86E627" w:rsidP="00515168">
            <w:pPr>
              <w:pStyle w:val="NoSpacing"/>
              <w:numPr>
                <w:ilvl w:val="0"/>
                <w:numId w:val="21"/>
              </w:numPr>
              <w:jc w:val="both"/>
              <w:rPr>
                <w:rFonts w:ascii="Arial" w:eastAsia="Arial" w:hAnsi="Arial" w:cs="Arial"/>
              </w:rPr>
            </w:pPr>
            <w:r w:rsidRPr="3B86E627">
              <w:rPr>
                <w:rFonts w:ascii="Arial" w:eastAsia="Arial" w:hAnsi="Arial" w:cs="Arial"/>
              </w:rPr>
              <w:t>Create a process to support the employability of young people and  support their transition at specific points in their education and training leading to employment</w:t>
            </w:r>
          </w:p>
          <w:p w14:paraId="4DA3AFE0" w14:textId="77777777" w:rsidR="0067510C" w:rsidRPr="0066567A" w:rsidRDefault="3B86E627" w:rsidP="00515168">
            <w:pPr>
              <w:pStyle w:val="NoSpacing"/>
              <w:numPr>
                <w:ilvl w:val="0"/>
                <w:numId w:val="21"/>
              </w:numPr>
              <w:jc w:val="both"/>
              <w:rPr>
                <w:rFonts w:ascii="Arial" w:eastAsia="Arial" w:hAnsi="Arial" w:cs="Arial"/>
              </w:rPr>
            </w:pPr>
            <w:r w:rsidRPr="3B86E627">
              <w:rPr>
                <w:rFonts w:ascii="Arial" w:eastAsia="Arial" w:hAnsi="Arial" w:cs="Arial"/>
              </w:rPr>
              <w:t>Increase the number of ‘insight into industry’ opportunities linked to GM’s growth sectors building on partnerships/relationships in schools where there is high levels of disadvantage</w:t>
            </w:r>
          </w:p>
          <w:p w14:paraId="4DA3AFE1" w14:textId="77777777" w:rsidR="00B24655" w:rsidRPr="0066567A" w:rsidRDefault="3B86E627" w:rsidP="3B86E627">
            <w:pPr>
              <w:pStyle w:val="ListParagraph"/>
              <w:numPr>
                <w:ilvl w:val="0"/>
                <w:numId w:val="21"/>
              </w:numPr>
              <w:jc w:val="both"/>
              <w:rPr>
                <w:rFonts w:eastAsia="Arial" w:cs="Arial"/>
              </w:rPr>
            </w:pPr>
            <w:r w:rsidRPr="3B86E627">
              <w:rPr>
                <w:rFonts w:eastAsia="Arial" w:cs="Arial"/>
              </w:rPr>
              <w:t xml:space="preserve">Develop innovative ways to support the promotion and engagement of STEM and Digital opportunities for the identified cohorts of young people and align services to the current market offer.   </w:t>
            </w:r>
          </w:p>
          <w:p w14:paraId="4DA3AFE2" w14:textId="77777777" w:rsidR="008031AA" w:rsidRPr="0066567A" w:rsidRDefault="3B86E627" w:rsidP="3B86E627">
            <w:pPr>
              <w:pStyle w:val="ListParagraph"/>
              <w:numPr>
                <w:ilvl w:val="0"/>
                <w:numId w:val="21"/>
              </w:numPr>
              <w:jc w:val="both"/>
              <w:rPr>
                <w:rFonts w:eastAsia="Arial" w:cs="Arial"/>
              </w:rPr>
            </w:pPr>
            <w:r w:rsidRPr="3B86E627">
              <w:rPr>
                <w:rFonts w:eastAsia="Arial" w:cs="Arial"/>
              </w:rPr>
              <w:t>Provide up to date labour market intelligence, presented in a user-friendly way, drawing on existing services and products and linking closely to local LMI to identified cohorts, parents, schools/academies and colleges.</w:t>
            </w:r>
          </w:p>
          <w:p w14:paraId="4DA3AFE3" w14:textId="77777777" w:rsidR="00B24655" w:rsidRPr="0066567A" w:rsidRDefault="3B86E627" w:rsidP="3B86E627">
            <w:pPr>
              <w:pStyle w:val="ListParagraph"/>
              <w:numPr>
                <w:ilvl w:val="0"/>
                <w:numId w:val="21"/>
              </w:numPr>
              <w:jc w:val="both"/>
              <w:rPr>
                <w:rFonts w:eastAsia="Arial" w:cs="Arial"/>
              </w:rPr>
            </w:pPr>
            <w:r w:rsidRPr="3B86E627">
              <w:rPr>
                <w:rFonts w:eastAsia="Arial" w:cs="Arial"/>
              </w:rPr>
              <w:t>Provide work related learning activity and insight into industry for learners most in need</w:t>
            </w:r>
          </w:p>
          <w:p w14:paraId="4DA3AFE4" w14:textId="77777777" w:rsidR="0067510C" w:rsidRPr="0066567A" w:rsidRDefault="0067510C" w:rsidP="00515168">
            <w:pPr>
              <w:jc w:val="both"/>
              <w:rPr>
                <w:rFonts w:cs="Arial"/>
              </w:rPr>
            </w:pPr>
          </w:p>
          <w:p w14:paraId="4DA3AFE5" w14:textId="77777777" w:rsidR="0067510C" w:rsidRPr="0066567A" w:rsidRDefault="3B86E627" w:rsidP="00515168">
            <w:pPr>
              <w:jc w:val="both"/>
              <w:rPr>
                <w:rFonts w:cs="Arial"/>
                <w:highlight w:val="yellow"/>
              </w:rPr>
            </w:pPr>
            <w:r w:rsidRPr="3B86E627">
              <w:rPr>
                <w:rFonts w:eastAsia="Arial" w:cs="Arial"/>
              </w:rPr>
              <w:lastRenderedPageBreak/>
              <w:t xml:space="preserve">Referrals routes will be through locally defined referral mechanisms between LAs and schools/academies and colleges.  </w:t>
            </w:r>
          </w:p>
          <w:p w14:paraId="4DA3AFE6" w14:textId="77777777" w:rsidR="00DE7620" w:rsidRPr="0067510C" w:rsidRDefault="00DE7620" w:rsidP="00515168">
            <w:pPr>
              <w:jc w:val="both"/>
              <w:rPr>
                <w:b/>
                <w:color w:val="0070C0"/>
              </w:rPr>
            </w:pPr>
          </w:p>
          <w:p w14:paraId="4DA3AFE7" w14:textId="77777777" w:rsidR="00972533" w:rsidRDefault="3B86E627" w:rsidP="00972533">
            <w:pPr>
              <w:jc w:val="both"/>
              <w:rPr>
                <w:rFonts w:cs="Arial"/>
                <w:b/>
              </w:rPr>
            </w:pPr>
            <w:r w:rsidRPr="3B86E627">
              <w:rPr>
                <w:rFonts w:eastAsia="Arial" w:cs="Arial"/>
                <w:b/>
                <w:bCs/>
              </w:rPr>
              <w:t xml:space="preserve">Theme 2: CAREERS EDUCATION INFORMATION ADVICE AND GUIDANCE (CEIAG) for Adults </w:t>
            </w:r>
          </w:p>
          <w:p w14:paraId="4DA3AFE8" w14:textId="77777777" w:rsidR="00972533" w:rsidRDefault="00972533" w:rsidP="00972533">
            <w:pPr>
              <w:jc w:val="both"/>
              <w:rPr>
                <w:rFonts w:cs="Arial"/>
                <w:b/>
              </w:rPr>
            </w:pPr>
          </w:p>
          <w:p w14:paraId="4DA3AFE9" w14:textId="77777777" w:rsidR="00972533" w:rsidRDefault="3B86E627" w:rsidP="00972533">
            <w:pPr>
              <w:jc w:val="both"/>
              <w:rPr>
                <w:rFonts w:eastAsia="Arial" w:cs="Arial"/>
              </w:rPr>
            </w:pPr>
            <w:r w:rsidRPr="3B86E627">
              <w:rPr>
                <w:rFonts w:eastAsia="Arial" w:cs="Arial"/>
              </w:rPr>
              <w:t xml:space="preserve">The Services must not duplicate the service delivered under the National Careers Service contract but must add value to those services.  </w:t>
            </w:r>
          </w:p>
          <w:p w14:paraId="4DA3AFEA" w14:textId="77777777" w:rsidR="00247541" w:rsidRDefault="00247541" w:rsidP="00972533">
            <w:pPr>
              <w:jc w:val="both"/>
              <w:rPr>
                <w:rFonts w:eastAsia="Arial" w:cs="Arial"/>
              </w:rPr>
            </w:pPr>
          </w:p>
          <w:p w14:paraId="4DA3AFEB" w14:textId="156B4092" w:rsidR="00247541" w:rsidRPr="0066567A" w:rsidRDefault="3B86E627" w:rsidP="00247541">
            <w:pPr>
              <w:pStyle w:val="NoSpacing"/>
              <w:jc w:val="both"/>
              <w:rPr>
                <w:rFonts w:ascii="Arial" w:hAnsi="Arial" w:cs="Arial"/>
              </w:rPr>
            </w:pPr>
            <w:r w:rsidRPr="3B86E627">
              <w:rPr>
                <w:rFonts w:ascii="Arial" w:eastAsia="Arial" w:hAnsi="Arial" w:cs="Arial"/>
              </w:rPr>
              <w:t>The Services must provide enhanced and sustained careers education, information, advice and guidance for specific groups of adults in Greater Manchester.  The Services must align with existing and emerging skills and employment provision including existing National Careers Service support, existing DWP support (Work Programme, Work Choice and Job Centre Plus support), Working Well Expansion Programme, Skills for Employment Pilot and support public service reform.</w:t>
            </w:r>
          </w:p>
          <w:p w14:paraId="4DA3AFEC" w14:textId="77777777" w:rsidR="00247541" w:rsidRPr="0066567A" w:rsidRDefault="00247541" w:rsidP="00247541">
            <w:pPr>
              <w:pStyle w:val="NoSpacing"/>
              <w:jc w:val="both"/>
              <w:rPr>
                <w:rFonts w:ascii="Arial" w:hAnsi="Arial" w:cs="Arial"/>
              </w:rPr>
            </w:pPr>
          </w:p>
          <w:p w14:paraId="4DA3AFED" w14:textId="77777777" w:rsidR="00247541" w:rsidRPr="0066567A" w:rsidRDefault="3B86E627" w:rsidP="00247541">
            <w:pPr>
              <w:pStyle w:val="NoSpacing"/>
              <w:jc w:val="both"/>
              <w:rPr>
                <w:rFonts w:ascii="Arial" w:hAnsi="Arial" w:cs="Arial"/>
              </w:rPr>
            </w:pPr>
            <w:r w:rsidRPr="3B86E627">
              <w:rPr>
                <w:rFonts w:ascii="Arial" w:eastAsia="Arial" w:hAnsi="Arial" w:cs="Arial"/>
              </w:rPr>
              <w:t>Further details of the Working Well Expansion Programme can be found here:</w:t>
            </w:r>
          </w:p>
          <w:p w14:paraId="4DA3AFEE" w14:textId="77777777" w:rsidR="00247541" w:rsidRPr="0066567A" w:rsidRDefault="00247541" w:rsidP="00247541">
            <w:pPr>
              <w:pStyle w:val="NoSpacing"/>
              <w:jc w:val="both"/>
              <w:rPr>
                <w:rFonts w:ascii="Arial" w:hAnsi="Arial" w:cs="Arial"/>
              </w:rPr>
            </w:pPr>
          </w:p>
          <w:p w14:paraId="4DA3AFEF" w14:textId="77777777" w:rsidR="00247541" w:rsidRDefault="00557F62" w:rsidP="00247541">
            <w:pPr>
              <w:rPr>
                <w:color w:val="1F497D"/>
              </w:rPr>
            </w:pPr>
            <w:hyperlink r:id="rId16" w:history="1">
              <w:r w:rsidR="00247541">
                <w:rPr>
                  <w:rStyle w:val="Hyperlink"/>
                </w:rPr>
                <w:t>https://www.greatermanchester-ca.gov.uk/info/20063/beating_unemployment</w:t>
              </w:r>
            </w:hyperlink>
          </w:p>
          <w:p w14:paraId="4DA3AFF0" w14:textId="77777777" w:rsidR="00247541" w:rsidRDefault="00247541" w:rsidP="00247541">
            <w:pPr>
              <w:rPr>
                <w:color w:val="1F497D"/>
              </w:rPr>
            </w:pPr>
          </w:p>
          <w:p w14:paraId="4DA3AFF1" w14:textId="77777777" w:rsidR="00247541" w:rsidRPr="0066567A" w:rsidRDefault="3B86E627" w:rsidP="00247541">
            <w:pPr>
              <w:pStyle w:val="NoSpacing"/>
              <w:jc w:val="both"/>
              <w:rPr>
                <w:rFonts w:ascii="Arial" w:hAnsi="Arial" w:cs="Arial"/>
              </w:rPr>
            </w:pPr>
            <w:r w:rsidRPr="3B86E627">
              <w:rPr>
                <w:rFonts w:ascii="Arial" w:eastAsia="Arial" w:hAnsi="Arial" w:cs="Arial"/>
              </w:rPr>
              <w:t>The Services must add value to the National Careers Service, by delivering intensive and sustained careers guidance to the following customers, as Intensive Priority Groups:</w:t>
            </w:r>
          </w:p>
          <w:p w14:paraId="4DA3AFF2" w14:textId="77777777" w:rsidR="00247541" w:rsidRPr="0066567A" w:rsidRDefault="00247541" w:rsidP="00247541">
            <w:pPr>
              <w:pStyle w:val="NoSpacing"/>
              <w:jc w:val="both"/>
              <w:rPr>
                <w:rFonts w:ascii="Arial" w:hAnsi="Arial" w:cs="Arial"/>
              </w:rPr>
            </w:pPr>
          </w:p>
          <w:p w14:paraId="4DA3AFF3" w14:textId="77777777" w:rsidR="00247541" w:rsidRPr="0066567A" w:rsidRDefault="3B86E627" w:rsidP="00247541">
            <w:pPr>
              <w:pStyle w:val="NoSpacing"/>
              <w:numPr>
                <w:ilvl w:val="0"/>
                <w:numId w:val="21"/>
              </w:numPr>
              <w:jc w:val="both"/>
              <w:rPr>
                <w:rFonts w:ascii="Arial" w:eastAsia="Arial" w:hAnsi="Arial" w:cs="Arial"/>
              </w:rPr>
            </w:pPr>
            <w:r w:rsidRPr="3B86E627">
              <w:rPr>
                <w:rFonts w:ascii="Arial" w:eastAsia="Arial" w:hAnsi="Arial" w:cs="Arial"/>
              </w:rPr>
              <w:t>Customers with mild to moderate mental health needs</w:t>
            </w:r>
          </w:p>
          <w:p w14:paraId="4DA3AFF4" w14:textId="77777777" w:rsidR="00247541" w:rsidRPr="0066567A" w:rsidRDefault="3B86E627" w:rsidP="00247541">
            <w:pPr>
              <w:pStyle w:val="NoSpacing"/>
              <w:numPr>
                <w:ilvl w:val="0"/>
                <w:numId w:val="21"/>
              </w:numPr>
              <w:jc w:val="both"/>
              <w:rPr>
                <w:rFonts w:ascii="Arial" w:eastAsia="Arial" w:hAnsi="Arial" w:cs="Arial"/>
              </w:rPr>
            </w:pPr>
            <w:r w:rsidRPr="3B86E627">
              <w:rPr>
                <w:rFonts w:ascii="Arial" w:eastAsia="Arial" w:hAnsi="Arial" w:cs="Arial"/>
              </w:rPr>
              <w:t>Income support claimants whose youngest child is 3 or 4 years old</w:t>
            </w:r>
          </w:p>
          <w:p w14:paraId="4DA3AFF5" w14:textId="77777777" w:rsidR="00247541" w:rsidRDefault="3B86E627" w:rsidP="00247541">
            <w:pPr>
              <w:pStyle w:val="NoSpacing"/>
              <w:numPr>
                <w:ilvl w:val="0"/>
                <w:numId w:val="21"/>
              </w:numPr>
              <w:jc w:val="both"/>
              <w:rPr>
                <w:rFonts w:ascii="Arial" w:eastAsia="Arial" w:hAnsi="Arial" w:cs="Arial"/>
              </w:rPr>
            </w:pPr>
            <w:r w:rsidRPr="3B86E627">
              <w:rPr>
                <w:rFonts w:ascii="Arial" w:eastAsia="Arial" w:hAnsi="Arial" w:cs="Arial"/>
              </w:rPr>
              <w:t>Over 50s</w:t>
            </w:r>
          </w:p>
          <w:p w14:paraId="0FAF2CC0" w14:textId="77777777" w:rsidR="00B07E09" w:rsidRPr="0066567A" w:rsidRDefault="00B07E09" w:rsidP="00B07E09">
            <w:pPr>
              <w:pStyle w:val="NoSpacing"/>
              <w:ind w:left="720"/>
              <w:jc w:val="both"/>
              <w:rPr>
                <w:rFonts w:ascii="Arial" w:eastAsia="Arial" w:hAnsi="Arial" w:cs="Arial"/>
              </w:rPr>
            </w:pPr>
          </w:p>
          <w:p w14:paraId="4DA3AFF6" w14:textId="77777777" w:rsidR="00247541" w:rsidRPr="0066567A" w:rsidRDefault="3B86E627" w:rsidP="00247541">
            <w:pPr>
              <w:rPr>
                <w:rFonts w:cs="Arial"/>
              </w:rPr>
            </w:pPr>
            <w:r w:rsidRPr="3B86E627">
              <w:rPr>
                <w:rFonts w:eastAsia="Arial" w:cs="Arial"/>
              </w:rPr>
              <w:t xml:space="preserve">Other customers of the ‘Working Well Expansion’ programme </w:t>
            </w:r>
          </w:p>
          <w:p w14:paraId="4DA3AFF7" w14:textId="77777777" w:rsidR="00247541" w:rsidRPr="0066567A" w:rsidRDefault="00247541" w:rsidP="00972533">
            <w:pPr>
              <w:jc w:val="both"/>
              <w:rPr>
                <w:rFonts w:cs="Arial"/>
              </w:rPr>
            </w:pPr>
          </w:p>
          <w:p w14:paraId="4DA3AFF8" w14:textId="77777777" w:rsidR="00BC4962" w:rsidRPr="0066567A" w:rsidRDefault="3B86E627" w:rsidP="00BC4962">
            <w:pPr>
              <w:pStyle w:val="NoSpacing"/>
              <w:jc w:val="both"/>
              <w:rPr>
                <w:rFonts w:ascii="Arial" w:hAnsi="Arial" w:cs="Arial"/>
                <w:color w:val="0070C0"/>
              </w:rPr>
            </w:pPr>
            <w:r w:rsidRPr="3B86E627">
              <w:rPr>
                <w:rFonts w:ascii="Arial" w:eastAsia="Arial" w:hAnsi="Arial" w:cs="Arial"/>
              </w:rPr>
              <w:t>The Services must deliver a specialist careers guidance service for the customers of the Working Well Expansion Programme and Skills for Employment Pilot.   Referrals to the Services will come directly from the Working Well Expansion key worker or Skills for Employment Learning Mentor as well as from other locally defined referral mechanisms.</w:t>
            </w:r>
            <w:r w:rsidRPr="3B86E627">
              <w:rPr>
                <w:rFonts w:ascii="Arial" w:eastAsia="Arial" w:hAnsi="Arial" w:cs="Arial"/>
                <w:b/>
                <w:bCs/>
              </w:rPr>
              <w:t xml:space="preserve"> </w:t>
            </w:r>
            <w:r w:rsidRPr="3B86E627">
              <w:rPr>
                <w:rFonts w:ascii="Arial" w:eastAsia="Arial" w:hAnsi="Arial" w:cs="Arial"/>
              </w:rPr>
              <w:t>Providers must ensure individual consent is provided before accessing the IAG for Adults 19+ service.</w:t>
            </w:r>
            <w:r w:rsidRPr="3B86E627">
              <w:rPr>
                <w:rFonts w:ascii="Arial" w:eastAsia="Arial" w:hAnsi="Arial" w:cs="Arial"/>
                <w:b/>
                <w:bCs/>
              </w:rPr>
              <w:t xml:space="preserve"> </w:t>
            </w:r>
            <w:r w:rsidRPr="3B86E627">
              <w:rPr>
                <w:rFonts w:ascii="Arial" w:eastAsia="Arial" w:hAnsi="Arial" w:cs="Arial"/>
              </w:rPr>
              <w:t>It is expected that data sharing agreements are set up between the successful provider and both the Working Well Expansion and Skills for Employment programmes.</w:t>
            </w:r>
          </w:p>
          <w:p w14:paraId="4DA3AFF9" w14:textId="77777777" w:rsidR="00BC4962" w:rsidRPr="0067510C" w:rsidRDefault="00BC4962" w:rsidP="00BC4962">
            <w:pPr>
              <w:pStyle w:val="NoSpacing"/>
              <w:jc w:val="both"/>
              <w:rPr>
                <w:rFonts w:ascii="Arial" w:hAnsi="Arial" w:cs="Arial"/>
                <w:color w:val="0070C0"/>
              </w:rPr>
            </w:pPr>
          </w:p>
          <w:p w14:paraId="4DA3AFFA" w14:textId="77777777" w:rsidR="00BC4962" w:rsidRDefault="3B86E627" w:rsidP="00BC4962">
            <w:pPr>
              <w:pStyle w:val="NoSpacing"/>
              <w:jc w:val="both"/>
              <w:rPr>
                <w:rFonts w:ascii="Arial" w:eastAsia="Arial" w:hAnsi="Arial" w:cs="Arial"/>
              </w:rPr>
            </w:pPr>
            <w:r w:rsidRPr="3B86E627">
              <w:rPr>
                <w:rFonts w:ascii="Arial" w:eastAsia="Arial" w:hAnsi="Arial" w:cs="Arial"/>
              </w:rPr>
              <w:t xml:space="preserve">The Services should focus on: </w:t>
            </w:r>
          </w:p>
          <w:p w14:paraId="4E548C4E" w14:textId="77777777" w:rsidR="00B07E09" w:rsidRPr="0066567A" w:rsidRDefault="00B07E09" w:rsidP="00BC4962">
            <w:pPr>
              <w:pStyle w:val="NoSpacing"/>
              <w:jc w:val="both"/>
              <w:rPr>
                <w:rFonts w:ascii="Arial" w:hAnsi="Arial" w:cs="Arial"/>
              </w:rPr>
            </w:pPr>
          </w:p>
          <w:p w14:paraId="4DA3AFFB" w14:textId="77777777" w:rsidR="00BC4962" w:rsidRPr="0066567A" w:rsidRDefault="3B86E627" w:rsidP="00BC4962">
            <w:pPr>
              <w:pStyle w:val="NoSpacing"/>
              <w:numPr>
                <w:ilvl w:val="0"/>
                <w:numId w:val="37"/>
              </w:numPr>
              <w:jc w:val="both"/>
              <w:rPr>
                <w:rFonts w:ascii="Arial" w:eastAsia="Arial" w:hAnsi="Arial" w:cs="Arial"/>
              </w:rPr>
            </w:pPr>
            <w:r w:rsidRPr="3B86E627">
              <w:rPr>
                <w:rFonts w:ascii="Arial" w:eastAsia="Arial" w:hAnsi="Arial" w:cs="Arial"/>
              </w:rPr>
              <w:t>19 year olds (including those who are not claiming benefits)</w:t>
            </w:r>
          </w:p>
          <w:p w14:paraId="4DA3AFFC" w14:textId="77777777" w:rsidR="00BC4962" w:rsidRPr="0066567A" w:rsidRDefault="3B86E627" w:rsidP="00BC4962">
            <w:pPr>
              <w:pStyle w:val="NoSpacing"/>
              <w:numPr>
                <w:ilvl w:val="0"/>
                <w:numId w:val="37"/>
              </w:numPr>
              <w:jc w:val="both"/>
              <w:rPr>
                <w:rFonts w:ascii="Arial" w:eastAsia="Arial" w:hAnsi="Arial" w:cs="Arial"/>
              </w:rPr>
            </w:pPr>
            <w:r w:rsidRPr="3B86E627">
              <w:rPr>
                <w:rFonts w:ascii="Arial" w:eastAsia="Arial" w:hAnsi="Arial" w:cs="Arial"/>
              </w:rPr>
              <w:t xml:space="preserve">Post graduate support to help young adults to enter into a career or continue with training to higher level skills </w:t>
            </w:r>
          </w:p>
          <w:p w14:paraId="4DA3AFFD" w14:textId="77777777" w:rsidR="00BC4962" w:rsidRPr="0066567A" w:rsidRDefault="3B86E627" w:rsidP="00BC4962">
            <w:pPr>
              <w:pStyle w:val="NoSpacing"/>
              <w:numPr>
                <w:ilvl w:val="0"/>
                <w:numId w:val="37"/>
              </w:numPr>
              <w:jc w:val="both"/>
              <w:rPr>
                <w:rFonts w:ascii="Arial" w:eastAsia="Arial" w:hAnsi="Arial" w:cs="Arial"/>
              </w:rPr>
            </w:pPr>
            <w:r w:rsidRPr="3B86E627">
              <w:rPr>
                <w:rFonts w:ascii="Arial" w:eastAsia="Arial" w:hAnsi="Arial" w:cs="Arial"/>
              </w:rPr>
              <w:t xml:space="preserve">Women into Science, Technology, Engineering and Mathematics (STEM) related training </w:t>
            </w:r>
          </w:p>
          <w:p w14:paraId="4DA3AFFE" w14:textId="77777777" w:rsidR="00BC4962" w:rsidRPr="0066567A" w:rsidRDefault="00BC4962" w:rsidP="00BC4962">
            <w:pPr>
              <w:pStyle w:val="NoSpacing"/>
              <w:jc w:val="both"/>
              <w:rPr>
                <w:rFonts w:ascii="Arial" w:hAnsi="Arial" w:cs="Arial"/>
              </w:rPr>
            </w:pPr>
          </w:p>
          <w:p w14:paraId="4DA3AFFF" w14:textId="77777777" w:rsidR="00BC4962" w:rsidRPr="0066567A" w:rsidRDefault="3B86E627" w:rsidP="00BC4962">
            <w:pPr>
              <w:pStyle w:val="NoSpacing"/>
              <w:jc w:val="both"/>
              <w:rPr>
                <w:rFonts w:ascii="Arial" w:hAnsi="Arial" w:cs="Arial"/>
              </w:rPr>
            </w:pPr>
            <w:r w:rsidRPr="3B86E627">
              <w:rPr>
                <w:rFonts w:ascii="Arial" w:eastAsia="Arial" w:hAnsi="Arial" w:cs="Arial"/>
              </w:rPr>
              <w:t>The Services will:</w:t>
            </w:r>
          </w:p>
          <w:p w14:paraId="4DA3B000" w14:textId="77777777" w:rsidR="00BC4962" w:rsidRPr="00F7046C" w:rsidRDefault="00BC4962" w:rsidP="00BC4962">
            <w:pPr>
              <w:pStyle w:val="NoSpacing"/>
              <w:jc w:val="both"/>
              <w:rPr>
                <w:rFonts w:ascii="Arial" w:hAnsi="Arial" w:cs="Arial"/>
                <w:b/>
                <w:color w:val="0070C0"/>
              </w:rPr>
            </w:pPr>
          </w:p>
          <w:p w14:paraId="4DA3B001" w14:textId="77777777" w:rsidR="00BC4962" w:rsidRPr="0066567A" w:rsidRDefault="3B86E627" w:rsidP="00BC4962">
            <w:pPr>
              <w:pStyle w:val="NoSpacing"/>
              <w:numPr>
                <w:ilvl w:val="0"/>
                <w:numId w:val="21"/>
              </w:numPr>
              <w:jc w:val="both"/>
              <w:rPr>
                <w:rFonts w:ascii="Arial" w:eastAsia="Arial" w:hAnsi="Arial" w:cs="Arial"/>
              </w:rPr>
            </w:pPr>
            <w:r w:rsidRPr="3B86E627">
              <w:rPr>
                <w:rFonts w:ascii="Arial" w:eastAsia="Arial" w:hAnsi="Arial" w:cs="Arial"/>
              </w:rPr>
              <w:lastRenderedPageBreak/>
              <w:t>Provide intensive, sustained support not available under the current provision, including:</w:t>
            </w:r>
          </w:p>
          <w:p w14:paraId="4DA3B002" w14:textId="77777777" w:rsidR="00BC4962" w:rsidRPr="0066567A" w:rsidRDefault="3B86E627" w:rsidP="00BC4962">
            <w:pPr>
              <w:pStyle w:val="NoSpacing"/>
              <w:numPr>
                <w:ilvl w:val="1"/>
                <w:numId w:val="21"/>
              </w:numPr>
              <w:jc w:val="both"/>
              <w:rPr>
                <w:rFonts w:ascii="Arial" w:eastAsia="Arial" w:hAnsi="Arial" w:cs="Arial"/>
              </w:rPr>
            </w:pPr>
            <w:r w:rsidRPr="3B86E627">
              <w:rPr>
                <w:rFonts w:ascii="Arial" w:eastAsia="Arial" w:hAnsi="Arial" w:cs="Arial"/>
              </w:rPr>
              <w:t xml:space="preserve">regular telephone or face to face guidance meetings over the period of the contract </w:t>
            </w:r>
          </w:p>
          <w:p w14:paraId="4DA3B003" w14:textId="77777777" w:rsidR="00BC4962" w:rsidRPr="0066567A" w:rsidRDefault="3B86E627" w:rsidP="00BC4962">
            <w:pPr>
              <w:pStyle w:val="NoSpacing"/>
              <w:numPr>
                <w:ilvl w:val="1"/>
                <w:numId w:val="21"/>
              </w:numPr>
              <w:jc w:val="both"/>
              <w:rPr>
                <w:rFonts w:ascii="Arial" w:eastAsia="Arial" w:hAnsi="Arial" w:cs="Arial"/>
              </w:rPr>
            </w:pPr>
            <w:r w:rsidRPr="3B86E627">
              <w:rPr>
                <w:rFonts w:ascii="Arial" w:eastAsia="Arial" w:hAnsi="Arial" w:cs="Arial"/>
              </w:rPr>
              <w:t>at least bi-monthly contact by text or email</w:t>
            </w:r>
          </w:p>
          <w:p w14:paraId="4DA3B004" w14:textId="77777777" w:rsidR="00BC4962" w:rsidRPr="0066567A" w:rsidRDefault="3B86E627" w:rsidP="00BC4962">
            <w:pPr>
              <w:pStyle w:val="NoSpacing"/>
              <w:numPr>
                <w:ilvl w:val="0"/>
                <w:numId w:val="21"/>
              </w:numPr>
              <w:jc w:val="both"/>
              <w:rPr>
                <w:rFonts w:ascii="Arial" w:eastAsia="Arial" w:hAnsi="Arial" w:cs="Arial"/>
              </w:rPr>
            </w:pPr>
            <w:r w:rsidRPr="3B86E627">
              <w:rPr>
                <w:rFonts w:ascii="Arial" w:eastAsia="Arial" w:hAnsi="Arial" w:cs="Arial"/>
              </w:rPr>
              <w:t xml:space="preserve">Engage and support those aged over 50 with additional labour market knowledge, social media training, self-esteem development and helping them identify transferable skills </w:t>
            </w:r>
          </w:p>
          <w:p w14:paraId="4DA3B005" w14:textId="77777777" w:rsidR="00BC4962" w:rsidRPr="0066567A" w:rsidRDefault="3B86E627" w:rsidP="00BC4962">
            <w:pPr>
              <w:pStyle w:val="NoSpacing"/>
              <w:numPr>
                <w:ilvl w:val="0"/>
                <w:numId w:val="21"/>
              </w:numPr>
              <w:jc w:val="both"/>
              <w:rPr>
                <w:rFonts w:ascii="Arial" w:eastAsia="Arial" w:hAnsi="Arial" w:cs="Arial"/>
              </w:rPr>
            </w:pPr>
            <w:r w:rsidRPr="3B86E627">
              <w:rPr>
                <w:rFonts w:ascii="Arial" w:eastAsia="Arial" w:hAnsi="Arial" w:cs="Arial"/>
              </w:rPr>
              <w:t>Engage and support females – as an underrepresented group through specific sector focused activities which could include:</w:t>
            </w:r>
          </w:p>
          <w:p w14:paraId="4DA3B006" w14:textId="77777777" w:rsidR="00BC4962" w:rsidRPr="0066567A" w:rsidRDefault="3B86E627" w:rsidP="00BC4962">
            <w:pPr>
              <w:pStyle w:val="NoSpacing"/>
              <w:numPr>
                <w:ilvl w:val="1"/>
                <w:numId w:val="21"/>
              </w:numPr>
              <w:jc w:val="both"/>
              <w:rPr>
                <w:rFonts w:ascii="Arial" w:eastAsia="Arial" w:hAnsi="Arial" w:cs="Arial"/>
              </w:rPr>
            </w:pPr>
            <w:r w:rsidRPr="3B86E627">
              <w:rPr>
                <w:rFonts w:ascii="Arial" w:eastAsia="Arial" w:hAnsi="Arial" w:cs="Arial"/>
              </w:rPr>
              <w:t xml:space="preserve">employer events to showcase careers and myth busting ideas of science based roles, </w:t>
            </w:r>
          </w:p>
          <w:p w14:paraId="4DA3B007" w14:textId="77777777" w:rsidR="00BC4962" w:rsidRPr="0066567A" w:rsidRDefault="3B86E627" w:rsidP="00BC4962">
            <w:pPr>
              <w:pStyle w:val="NoSpacing"/>
              <w:numPr>
                <w:ilvl w:val="1"/>
                <w:numId w:val="21"/>
              </w:numPr>
              <w:jc w:val="both"/>
              <w:rPr>
                <w:rFonts w:ascii="Arial" w:eastAsia="Arial" w:hAnsi="Arial" w:cs="Arial"/>
              </w:rPr>
            </w:pPr>
            <w:r w:rsidRPr="3B86E627">
              <w:rPr>
                <w:rFonts w:ascii="Arial" w:eastAsia="Arial" w:hAnsi="Arial" w:cs="Arial"/>
              </w:rPr>
              <w:t>‘have a go’ activities to promote apprenticeships</w:t>
            </w:r>
          </w:p>
          <w:p w14:paraId="4DA3B008" w14:textId="77777777" w:rsidR="00BC4962" w:rsidRPr="0066567A" w:rsidRDefault="3B86E627" w:rsidP="00BC4962">
            <w:pPr>
              <w:pStyle w:val="NoSpacing"/>
              <w:numPr>
                <w:ilvl w:val="1"/>
                <w:numId w:val="21"/>
              </w:numPr>
              <w:jc w:val="both"/>
              <w:rPr>
                <w:rFonts w:ascii="Arial" w:eastAsia="Arial" w:hAnsi="Arial" w:cs="Arial"/>
              </w:rPr>
            </w:pPr>
            <w:r w:rsidRPr="3B86E627">
              <w:rPr>
                <w:rFonts w:ascii="Arial" w:eastAsia="Arial" w:hAnsi="Arial" w:cs="Arial"/>
              </w:rPr>
              <w:t xml:space="preserve">engagement at family focused venues, </w:t>
            </w:r>
          </w:p>
          <w:p w14:paraId="4DA3B009" w14:textId="77777777" w:rsidR="00BC4962" w:rsidRPr="0066567A" w:rsidRDefault="3B86E627" w:rsidP="00BC4962">
            <w:pPr>
              <w:pStyle w:val="NoSpacing"/>
              <w:numPr>
                <w:ilvl w:val="1"/>
                <w:numId w:val="21"/>
              </w:numPr>
              <w:jc w:val="both"/>
              <w:rPr>
                <w:rFonts w:ascii="Arial" w:eastAsia="Arial" w:hAnsi="Arial" w:cs="Arial"/>
              </w:rPr>
            </w:pPr>
            <w:r w:rsidRPr="3B86E627">
              <w:rPr>
                <w:rFonts w:ascii="Arial" w:eastAsia="Arial" w:hAnsi="Arial" w:cs="Arial"/>
              </w:rPr>
              <w:t xml:space="preserve">activities linked to STEM careers opportunities linked to high volume vacancies; </w:t>
            </w:r>
          </w:p>
          <w:p w14:paraId="4DA3B00A" w14:textId="77777777" w:rsidR="00BC4962" w:rsidRPr="0066567A" w:rsidRDefault="3B86E627" w:rsidP="00BC4962">
            <w:pPr>
              <w:pStyle w:val="NoSpacing"/>
              <w:numPr>
                <w:ilvl w:val="1"/>
                <w:numId w:val="21"/>
              </w:numPr>
              <w:jc w:val="both"/>
              <w:rPr>
                <w:rFonts w:ascii="Arial" w:eastAsia="Arial" w:hAnsi="Arial" w:cs="Arial"/>
              </w:rPr>
            </w:pPr>
            <w:r w:rsidRPr="3B86E627">
              <w:rPr>
                <w:rFonts w:ascii="Arial" w:eastAsia="Arial" w:hAnsi="Arial" w:cs="Arial"/>
              </w:rPr>
              <w:t xml:space="preserve">use of female role models-employer representatives, </w:t>
            </w:r>
          </w:p>
          <w:p w14:paraId="4DA3B00B" w14:textId="77777777" w:rsidR="00BC4962" w:rsidRPr="0066567A" w:rsidRDefault="3B86E627" w:rsidP="00BC4962">
            <w:pPr>
              <w:pStyle w:val="NoSpacing"/>
              <w:numPr>
                <w:ilvl w:val="0"/>
                <w:numId w:val="21"/>
              </w:numPr>
              <w:jc w:val="both"/>
              <w:rPr>
                <w:rFonts w:ascii="Arial" w:eastAsia="Arial" w:hAnsi="Arial" w:cs="Arial"/>
              </w:rPr>
            </w:pPr>
            <w:r w:rsidRPr="3B86E627">
              <w:rPr>
                <w:rFonts w:ascii="Arial" w:eastAsia="Arial" w:hAnsi="Arial" w:cs="Arial"/>
              </w:rPr>
              <w:t xml:space="preserve">Engage and support individuals with moderate mental health issues through monthly face-to-face meetings set in familiar locations with a careers adviser focusing on careers action planning, skills, resilience and preparing for interview: Referrals from the Working Well Expansion Programme will be made directly from the key worker to avoid duplication. </w:t>
            </w:r>
          </w:p>
          <w:p w14:paraId="4DA3B00C" w14:textId="77777777" w:rsidR="00BC4962" w:rsidRDefault="3B86E627" w:rsidP="00BC4962">
            <w:pPr>
              <w:pStyle w:val="NoSpacing"/>
              <w:numPr>
                <w:ilvl w:val="0"/>
                <w:numId w:val="21"/>
              </w:numPr>
              <w:jc w:val="both"/>
              <w:rPr>
                <w:rFonts w:ascii="Arial" w:eastAsia="Arial" w:hAnsi="Arial" w:cs="Arial"/>
              </w:rPr>
            </w:pPr>
            <w:r w:rsidRPr="3B86E627">
              <w:rPr>
                <w:rFonts w:ascii="Arial" w:eastAsia="Arial" w:hAnsi="Arial" w:cs="Arial"/>
              </w:rPr>
              <w:t>Undertake group sessions and webinars to include guidance on the part-time labour market, use of volunteering and career action planning.</w:t>
            </w:r>
          </w:p>
          <w:p w14:paraId="4DA3B00D" w14:textId="77777777" w:rsidR="0066567A" w:rsidRPr="0066567A" w:rsidRDefault="0066567A" w:rsidP="0066567A">
            <w:pPr>
              <w:pStyle w:val="NoSpacing"/>
              <w:ind w:left="720"/>
              <w:jc w:val="both"/>
              <w:rPr>
                <w:rFonts w:ascii="Arial" w:eastAsia="Arial" w:hAnsi="Arial" w:cs="Arial"/>
              </w:rPr>
            </w:pPr>
          </w:p>
          <w:p w14:paraId="4DA3B00E" w14:textId="030E240B" w:rsidR="00972533" w:rsidRPr="0066567A" w:rsidRDefault="3B86E627" w:rsidP="00BC4962">
            <w:pPr>
              <w:jc w:val="both"/>
              <w:rPr>
                <w:rFonts w:cs="Arial"/>
              </w:rPr>
            </w:pPr>
            <w:r w:rsidRPr="3B86E627">
              <w:rPr>
                <w:rFonts w:eastAsia="Arial" w:cs="Arial"/>
              </w:rPr>
              <w:t>Provide a presence in key locations, e.g. at colleges, to enhance the existing CEIAG that they receive as part their exit plan.</w:t>
            </w:r>
          </w:p>
          <w:p w14:paraId="4DA3B00F" w14:textId="77777777" w:rsidR="00972533" w:rsidRPr="0066567A" w:rsidRDefault="00972533" w:rsidP="00972533">
            <w:pPr>
              <w:jc w:val="both"/>
              <w:rPr>
                <w:rFonts w:cs="Arial"/>
              </w:rPr>
            </w:pPr>
          </w:p>
          <w:p w14:paraId="4DA3B010" w14:textId="584F5A5B" w:rsidR="00972533" w:rsidRDefault="3B86E627" w:rsidP="00972533">
            <w:pPr>
              <w:autoSpaceDE w:val="0"/>
              <w:autoSpaceDN w:val="0"/>
              <w:adjustRightInd w:val="0"/>
              <w:jc w:val="both"/>
              <w:rPr>
                <w:rFonts w:cs="Arial"/>
              </w:rPr>
            </w:pPr>
            <w:r w:rsidRPr="3B86E627">
              <w:rPr>
                <w:rFonts w:eastAsia="Arial" w:cs="Arial"/>
              </w:rPr>
              <w:t xml:space="preserve">The Services must be innovative in providing enhanced CEIAG to individuals who wish to progress but at present, lack the ability to understand any clear progression routes.  The Services must also support activities which inspire participants into making better informed career choices at key transition points in their lives. </w:t>
            </w:r>
          </w:p>
          <w:p w14:paraId="4DA3B011" w14:textId="77777777" w:rsidR="00972533" w:rsidRDefault="00972533" w:rsidP="00972533">
            <w:pPr>
              <w:jc w:val="both"/>
              <w:rPr>
                <w:rFonts w:cs="Arial"/>
              </w:rPr>
            </w:pPr>
          </w:p>
          <w:p w14:paraId="4DA3B012" w14:textId="77777777" w:rsidR="00972533" w:rsidRDefault="3B86E627" w:rsidP="00972533">
            <w:pPr>
              <w:jc w:val="both"/>
              <w:rPr>
                <w:rFonts w:cs="Arial"/>
                <w:color w:val="000000"/>
              </w:rPr>
            </w:pPr>
            <w:r w:rsidRPr="3B86E627">
              <w:rPr>
                <w:rFonts w:eastAsia="Arial" w:cs="Arial"/>
              </w:rPr>
              <w:t xml:space="preserve">The Services must develop toolkits to support </w:t>
            </w:r>
            <w:r w:rsidRPr="3B86E627">
              <w:rPr>
                <w:rFonts w:eastAsia="Arial" w:cs="Arial"/>
                <w:color w:val="000000" w:themeColor="text1"/>
              </w:rPr>
              <w:t>promotion and engagement of Science, Technology, Engineering and Mathematics (STEM) opportunities</w:t>
            </w:r>
          </w:p>
          <w:p w14:paraId="4DA3B013" w14:textId="77777777" w:rsidR="00972533" w:rsidRDefault="00972533" w:rsidP="00972533">
            <w:pPr>
              <w:jc w:val="both"/>
              <w:rPr>
                <w:rFonts w:cs="Arial"/>
              </w:rPr>
            </w:pPr>
          </w:p>
          <w:p w14:paraId="4DA3B014" w14:textId="77777777" w:rsidR="00972533" w:rsidRDefault="3B86E627" w:rsidP="00972533">
            <w:pPr>
              <w:jc w:val="both"/>
              <w:rPr>
                <w:rFonts w:cs="Arial"/>
              </w:rPr>
            </w:pPr>
            <w:r w:rsidRPr="3B86E627">
              <w:rPr>
                <w:rFonts w:eastAsia="Arial" w:cs="Arial"/>
              </w:rPr>
              <w:t>The Services must undertake activities to improve the perception of sectors that are experiencing recruitment difficulties and skills shortages.</w:t>
            </w:r>
          </w:p>
          <w:p w14:paraId="4DA3B015" w14:textId="77777777" w:rsidR="00972533" w:rsidRDefault="00972533" w:rsidP="00972533">
            <w:pPr>
              <w:jc w:val="both"/>
              <w:rPr>
                <w:rFonts w:cs="Arial"/>
              </w:rPr>
            </w:pPr>
          </w:p>
          <w:p w14:paraId="4DA3B016" w14:textId="77777777" w:rsidR="00972533" w:rsidRPr="00A05875" w:rsidRDefault="3B86E627" w:rsidP="00972533">
            <w:pPr>
              <w:jc w:val="both"/>
              <w:rPr>
                <w:rFonts w:cs="Arial"/>
              </w:rPr>
            </w:pPr>
            <w:r w:rsidRPr="3B86E627">
              <w:rPr>
                <w:rFonts w:eastAsia="Arial" w:cs="Arial"/>
              </w:rPr>
              <w:t xml:space="preserve">The successful Candidate will engage in ongoing dialogue with the National Careers Service to ensure that the local careers website complements that of the NCS.  </w:t>
            </w:r>
          </w:p>
          <w:p w14:paraId="4DA3B017" w14:textId="77777777" w:rsidR="00972533" w:rsidRDefault="00972533" w:rsidP="00972533">
            <w:pPr>
              <w:jc w:val="both"/>
              <w:rPr>
                <w:rFonts w:cs="Arial"/>
              </w:rPr>
            </w:pPr>
          </w:p>
          <w:p w14:paraId="4DA3B01A" w14:textId="77777777" w:rsidR="00972533" w:rsidRDefault="3B86E627" w:rsidP="00972533">
            <w:pPr>
              <w:jc w:val="both"/>
              <w:rPr>
                <w:rFonts w:cs="Arial"/>
              </w:rPr>
            </w:pPr>
            <w:r w:rsidRPr="3B86E627">
              <w:rPr>
                <w:rFonts w:eastAsia="Arial" w:cs="Arial"/>
              </w:rPr>
              <w:t>The Service provision must invest in building capacity in the community to increase access to and engagement with the careers advice.  The Services will provide enhanced careers provision for priority groups which seeks to progress individuals into non accredited training to address identified need, voluntary work, one to one coaching in voluntary or paid work</w:t>
            </w:r>
          </w:p>
          <w:p w14:paraId="4DA3B01B" w14:textId="77777777" w:rsidR="00972533" w:rsidRDefault="00972533" w:rsidP="00972533">
            <w:pPr>
              <w:jc w:val="both"/>
              <w:rPr>
                <w:rFonts w:cs="Arial"/>
              </w:rPr>
            </w:pPr>
          </w:p>
          <w:p w14:paraId="4DA3B01C" w14:textId="77777777" w:rsidR="00972533" w:rsidRPr="00F73704" w:rsidRDefault="3B86E627" w:rsidP="00972533">
            <w:pPr>
              <w:jc w:val="both"/>
              <w:rPr>
                <w:rFonts w:cs="Arial"/>
              </w:rPr>
            </w:pPr>
            <w:r w:rsidRPr="3B86E627">
              <w:rPr>
                <w:rFonts w:eastAsia="Arial" w:cs="Arial"/>
              </w:rPr>
              <w:lastRenderedPageBreak/>
              <w:t xml:space="preserve">The successful Candidate must conduct research to inform service improvements and provide peer information, advice, signposting and referral to the NCS service. </w:t>
            </w:r>
          </w:p>
          <w:p w14:paraId="4DA3B01D" w14:textId="77777777" w:rsidR="0012360B" w:rsidRPr="00515168" w:rsidRDefault="0012360B" w:rsidP="00515168">
            <w:pPr>
              <w:jc w:val="both"/>
              <w:rPr>
                <w:rFonts w:cs="Arial"/>
                <w:color w:val="0070C0"/>
              </w:rPr>
            </w:pPr>
          </w:p>
          <w:p w14:paraId="4DA3B01E" w14:textId="77777777" w:rsidR="0012360B" w:rsidRDefault="3B86E627" w:rsidP="00515168">
            <w:pPr>
              <w:jc w:val="both"/>
              <w:rPr>
                <w:rFonts w:eastAsia="Arial" w:cs="Arial"/>
              </w:rPr>
            </w:pPr>
            <w:r w:rsidRPr="3B86E627">
              <w:rPr>
                <w:rFonts w:eastAsia="Arial" w:cs="Arial"/>
              </w:rPr>
              <w:t>The successful Candidate must:</w:t>
            </w:r>
          </w:p>
          <w:p w14:paraId="1C975BEA" w14:textId="77777777" w:rsidR="00B07E09" w:rsidRPr="0066567A" w:rsidRDefault="00B07E09" w:rsidP="00515168">
            <w:pPr>
              <w:jc w:val="both"/>
              <w:rPr>
                <w:rFonts w:cs="Arial"/>
              </w:rPr>
            </w:pPr>
          </w:p>
          <w:p w14:paraId="4DA3B01F" w14:textId="77777777" w:rsidR="00B01EBF" w:rsidRPr="0066567A" w:rsidRDefault="3B86E627" w:rsidP="00515168">
            <w:pPr>
              <w:pStyle w:val="NoSpacing"/>
              <w:numPr>
                <w:ilvl w:val="0"/>
                <w:numId w:val="21"/>
              </w:numPr>
              <w:jc w:val="both"/>
              <w:rPr>
                <w:rFonts w:ascii="Arial" w:eastAsia="Arial" w:hAnsi="Arial" w:cs="Arial"/>
              </w:rPr>
            </w:pPr>
            <w:r w:rsidRPr="3B86E627">
              <w:rPr>
                <w:rFonts w:ascii="Arial" w:eastAsia="Arial" w:hAnsi="Arial" w:cs="Arial"/>
              </w:rPr>
              <w:t>engage with colleges and business, targeting colleges in disadvantaged areas and have experience of working with vulnerable and disadvantaged young people and their families.</w:t>
            </w:r>
          </w:p>
          <w:p w14:paraId="4DA3B020" w14:textId="77777777" w:rsidR="00B01EBF" w:rsidRPr="0066567A" w:rsidRDefault="3B86E627" w:rsidP="00515168">
            <w:pPr>
              <w:pStyle w:val="NoSpacing"/>
              <w:numPr>
                <w:ilvl w:val="0"/>
                <w:numId w:val="21"/>
              </w:numPr>
              <w:jc w:val="both"/>
              <w:rPr>
                <w:rFonts w:ascii="Arial" w:eastAsia="Arial" w:hAnsi="Arial" w:cs="Arial"/>
              </w:rPr>
            </w:pPr>
            <w:r w:rsidRPr="3B86E627">
              <w:rPr>
                <w:rFonts w:ascii="Arial" w:eastAsia="Arial" w:hAnsi="Arial" w:cs="Arial"/>
              </w:rPr>
              <w:t>add value to the GM CEIAG strategy and provision in GM, be able to work with the GM CEIAG task group and link with other key GM projects, e.g. Working Well Expansion Programme, Skills for Employment Pilot and those funded and evaluated under City Deal and the GM Apprenticeship Hub.</w:t>
            </w:r>
          </w:p>
          <w:p w14:paraId="4DA3B021" w14:textId="77777777" w:rsidR="00CD5652" w:rsidRPr="00515168" w:rsidRDefault="3B86E627" w:rsidP="00515168">
            <w:pPr>
              <w:pStyle w:val="NoSpacing"/>
              <w:numPr>
                <w:ilvl w:val="0"/>
                <w:numId w:val="21"/>
              </w:numPr>
              <w:jc w:val="both"/>
              <w:rPr>
                <w:rFonts w:ascii="Arial" w:eastAsia="Arial" w:hAnsi="Arial" w:cs="Arial"/>
                <w:color w:val="0070C0"/>
              </w:rPr>
            </w:pPr>
            <w:r w:rsidRPr="3B86E627">
              <w:rPr>
                <w:rFonts w:ascii="Arial" w:eastAsia="Arial" w:hAnsi="Arial" w:cs="Arial"/>
              </w:rPr>
              <w:t>hold the Matrix accreditation</w:t>
            </w:r>
            <w:r w:rsidRPr="3B86E627">
              <w:rPr>
                <w:rFonts w:ascii="Arial" w:eastAsia="Arial" w:hAnsi="Arial" w:cs="Arial"/>
                <w:color w:val="0070C0"/>
              </w:rPr>
              <w:t>.</w:t>
            </w:r>
          </w:p>
          <w:p w14:paraId="4DA3B022" w14:textId="77777777" w:rsidR="00B01EBF" w:rsidRPr="007E7854" w:rsidRDefault="00B01EBF" w:rsidP="00515168">
            <w:pPr>
              <w:autoSpaceDE w:val="0"/>
              <w:autoSpaceDN w:val="0"/>
              <w:adjustRightInd w:val="0"/>
              <w:jc w:val="both"/>
              <w:rPr>
                <w:rFonts w:cs="Arial"/>
              </w:rPr>
            </w:pPr>
          </w:p>
        </w:tc>
      </w:tr>
      <w:tr w:rsidR="00967429" w:rsidRPr="00544738" w14:paraId="4DA3B025" w14:textId="77777777" w:rsidTr="3B86E627">
        <w:trPr>
          <w:trHeight w:val="567"/>
        </w:trPr>
        <w:tc>
          <w:tcPr>
            <w:tcW w:w="9493" w:type="dxa"/>
            <w:shd w:val="clear" w:color="auto" w:fill="D9D9D9" w:themeFill="background1" w:themeFillShade="D9"/>
            <w:vAlign w:val="center"/>
          </w:tcPr>
          <w:p w14:paraId="4DA3B024" w14:textId="77777777" w:rsidR="00967429" w:rsidRPr="00544738" w:rsidRDefault="3B86E627" w:rsidP="00FD3B0A">
            <w:pPr>
              <w:pStyle w:val="SpecificationHeading"/>
            </w:pPr>
            <w:r>
              <w:lastRenderedPageBreak/>
              <w:t>ELIGIBILITY</w:t>
            </w:r>
          </w:p>
        </w:tc>
      </w:tr>
      <w:tr w:rsidR="00967429" w:rsidRPr="00EF4406" w14:paraId="4DA3B085" w14:textId="77777777" w:rsidTr="3B86E627">
        <w:tc>
          <w:tcPr>
            <w:tcW w:w="9493" w:type="dxa"/>
          </w:tcPr>
          <w:p w14:paraId="4DA3B026" w14:textId="77777777" w:rsidR="001E23AA" w:rsidRDefault="001E23AA" w:rsidP="002F70E9">
            <w:pPr>
              <w:rPr>
                <w:rFonts w:cs="Arial"/>
                <w:b/>
                <w:u w:val="single"/>
              </w:rPr>
            </w:pPr>
          </w:p>
          <w:p w14:paraId="4DA3B027" w14:textId="77777777" w:rsidR="00A005EF" w:rsidRPr="00344FA1" w:rsidRDefault="3B86E627" w:rsidP="00A005EF">
            <w:r w:rsidRPr="3B86E627">
              <w:rPr>
                <w:b/>
                <w:bCs/>
              </w:rPr>
              <w:t>General</w:t>
            </w:r>
          </w:p>
          <w:p w14:paraId="4DA3B028" w14:textId="77777777" w:rsidR="00A005EF" w:rsidRPr="002833D9" w:rsidRDefault="3B86E627" w:rsidP="00A005EF">
            <w:pPr>
              <w:rPr>
                <w:rFonts w:cs="Arial"/>
              </w:rPr>
            </w:pPr>
            <w:r w:rsidRPr="3B86E627">
              <w:rPr>
                <w:rFonts w:eastAsia="Arial" w:cs="Arial"/>
              </w:rPr>
              <w:t>General eligibility requirements are set out in : the</w:t>
            </w:r>
            <w:r>
              <w:t xml:space="preserve"> </w:t>
            </w:r>
            <w:r w:rsidRPr="3B86E627">
              <w:rPr>
                <w:rFonts w:eastAsia="Arial" w:cs="Arial"/>
              </w:rPr>
              <w:t xml:space="preserve">European Social Fund Programme for England 2014-2020 National Eligibility Rules which can be found here: </w:t>
            </w:r>
            <w:hyperlink r:id="rId17">
              <w:r w:rsidRPr="3B86E627">
                <w:rPr>
                  <w:rStyle w:val="Hyperlink"/>
                  <w:rFonts w:eastAsia="Arial" w:cs="Arial"/>
                  <w:sz w:val="24"/>
                  <w:szCs w:val="24"/>
                </w:rPr>
                <w:t>https://www.gov.uk/government/publications/european-structural-and-investment-funds-programme-guidance</w:t>
              </w:r>
            </w:hyperlink>
            <w:r w:rsidRPr="3B86E627">
              <w:rPr>
                <w:rFonts w:eastAsia="Arial" w:cs="Arial"/>
              </w:rPr>
              <w:t xml:space="preserve"> </w:t>
            </w:r>
          </w:p>
          <w:p w14:paraId="4DA3B029" w14:textId="77777777" w:rsidR="00982A89" w:rsidRDefault="00982A89" w:rsidP="001A1695">
            <w:pPr>
              <w:rPr>
                <w:rFonts w:cs="Arial"/>
                <w:b/>
                <w:color w:val="0070C0"/>
              </w:rPr>
            </w:pPr>
          </w:p>
          <w:p w14:paraId="4DA3B02A" w14:textId="77777777" w:rsidR="00A05875" w:rsidRDefault="3B86E627" w:rsidP="00A05875">
            <w:pPr>
              <w:rPr>
                <w:rFonts w:cs="Arial"/>
              </w:rPr>
            </w:pPr>
            <w:r w:rsidRPr="3B86E627">
              <w:rPr>
                <w:rFonts w:eastAsia="Arial" w:cs="Arial"/>
              </w:rPr>
              <w:t xml:space="preserve">Please note LEP Specific requirements are subject to the National Eligibility Rules detailed above. </w:t>
            </w:r>
          </w:p>
          <w:p w14:paraId="4DA3B02B" w14:textId="77777777" w:rsidR="00A05875" w:rsidRDefault="00A05875" w:rsidP="00A05875">
            <w:pPr>
              <w:rPr>
                <w:rFonts w:cs="Arial"/>
                <w:iCs/>
              </w:rPr>
            </w:pPr>
          </w:p>
          <w:p w14:paraId="4DA3B02C" w14:textId="77777777" w:rsidR="00E63CFC" w:rsidRDefault="3B86E627" w:rsidP="00E63CFC">
            <w:pPr>
              <w:rPr>
                <w:b/>
              </w:rPr>
            </w:pPr>
            <w:r w:rsidRPr="3B86E627">
              <w:rPr>
                <w:b/>
                <w:bCs/>
              </w:rPr>
              <w:t>Theme 1: CEIAG for Young People (IP1.2)</w:t>
            </w:r>
          </w:p>
          <w:p w14:paraId="75ADCFBC" w14:textId="77777777" w:rsidR="00B07E09" w:rsidRPr="0066567A" w:rsidRDefault="00B07E09" w:rsidP="00E63CFC">
            <w:pPr>
              <w:rPr>
                <w:b/>
              </w:rPr>
            </w:pPr>
          </w:p>
          <w:p w14:paraId="4DA3B02D" w14:textId="77777777" w:rsidR="00E63CFC" w:rsidRPr="0066567A" w:rsidRDefault="3B86E627" w:rsidP="3B86E627">
            <w:pPr>
              <w:pStyle w:val="ListParagraph"/>
              <w:numPr>
                <w:ilvl w:val="0"/>
                <w:numId w:val="41"/>
              </w:numPr>
              <w:rPr>
                <w:rFonts w:eastAsia="Arial" w:cs="Arial"/>
              </w:rPr>
            </w:pPr>
            <w:r w:rsidRPr="3B86E627">
              <w:rPr>
                <w:rFonts w:eastAsia="Arial" w:cs="Arial"/>
              </w:rPr>
              <w:t>Unemployed, any length of unemployment</w:t>
            </w:r>
          </w:p>
          <w:p w14:paraId="4DA3B02E" w14:textId="77777777" w:rsidR="00E63CFC" w:rsidRPr="0066567A" w:rsidRDefault="3B86E627" w:rsidP="3B86E627">
            <w:pPr>
              <w:pStyle w:val="ListParagraph"/>
              <w:numPr>
                <w:ilvl w:val="0"/>
                <w:numId w:val="41"/>
              </w:numPr>
              <w:rPr>
                <w:rFonts w:eastAsia="Arial" w:cs="Arial"/>
              </w:rPr>
            </w:pPr>
            <w:r w:rsidRPr="3B86E627">
              <w:rPr>
                <w:rFonts w:eastAsia="Arial" w:cs="Arial"/>
              </w:rPr>
              <w:t xml:space="preserve">Inactive </w:t>
            </w:r>
          </w:p>
          <w:p w14:paraId="4DA3B02F" w14:textId="77777777" w:rsidR="00EF0227" w:rsidRPr="0066567A" w:rsidRDefault="3B86E627" w:rsidP="3B86E627">
            <w:pPr>
              <w:pStyle w:val="ListParagraph"/>
              <w:numPr>
                <w:ilvl w:val="0"/>
                <w:numId w:val="41"/>
              </w:numPr>
              <w:rPr>
                <w:rFonts w:eastAsia="Arial" w:cs="Arial"/>
              </w:rPr>
            </w:pPr>
            <w:r>
              <w:t xml:space="preserve">Aged 15-18 (up to 25 if </w:t>
            </w:r>
            <w:r w:rsidRPr="3B86E627">
              <w:rPr>
                <w:rFonts w:eastAsia="Arial" w:cs="Arial"/>
              </w:rPr>
              <w:t>with Special Educational Needs and Disability (SEND) and Care Leavers)</w:t>
            </w:r>
          </w:p>
          <w:p w14:paraId="4DA3B030" w14:textId="77777777" w:rsidR="00E63CFC" w:rsidRDefault="00E63CFC" w:rsidP="00E63CFC">
            <w:pPr>
              <w:rPr>
                <w:b/>
                <w:color w:val="0070C0"/>
              </w:rPr>
            </w:pPr>
          </w:p>
          <w:p w14:paraId="4DA3B032" w14:textId="77777777" w:rsidR="00A05875" w:rsidRDefault="3B86E627" w:rsidP="00E63CFC">
            <w:pPr>
              <w:rPr>
                <w:rFonts w:eastAsia="Arial" w:cs="Arial"/>
                <w:b/>
              </w:rPr>
            </w:pPr>
            <w:r w:rsidRPr="3B86E627">
              <w:rPr>
                <w:rFonts w:eastAsia="Arial" w:cs="Arial"/>
                <w:b/>
                <w:bCs/>
              </w:rPr>
              <w:t xml:space="preserve">Theme 2 :  IAG for Adults (IPI.1) </w:t>
            </w:r>
          </w:p>
          <w:p w14:paraId="6A1792E2" w14:textId="77777777" w:rsidR="00B07E09" w:rsidRPr="00A05875" w:rsidRDefault="00B07E09" w:rsidP="00E63CFC">
            <w:pPr>
              <w:rPr>
                <w:rFonts w:cs="Arial"/>
                <w:b/>
                <w:iCs/>
              </w:rPr>
            </w:pPr>
          </w:p>
          <w:p w14:paraId="4DA3B033" w14:textId="77777777" w:rsidR="00A05875" w:rsidRPr="00E63CFC" w:rsidRDefault="3B86E627" w:rsidP="3B86E627">
            <w:pPr>
              <w:pStyle w:val="ListParagraph"/>
              <w:numPr>
                <w:ilvl w:val="0"/>
                <w:numId w:val="41"/>
              </w:numPr>
              <w:rPr>
                <w:rFonts w:eastAsia="Arial" w:cs="Arial"/>
              </w:rPr>
            </w:pPr>
            <w:r w:rsidRPr="3B86E627">
              <w:rPr>
                <w:rFonts w:eastAsia="Arial" w:cs="Arial"/>
              </w:rPr>
              <w:t>Unemployed, any length of unemployment</w:t>
            </w:r>
          </w:p>
          <w:p w14:paraId="4DA3B034" w14:textId="77777777" w:rsidR="00A05875" w:rsidRPr="00E63CFC" w:rsidRDefault="3B86E627" w:rsidP="3B86E627">
            <w:pPr>
              <w:pStyle w:val="ListParagraph"/>
              <w:numPr>
                <w:ilvl w:val="0"/>
                <w:numId w:val="41"/>
              </w:numPr>
              <w:rPr>
                <w:rFonts w:eastAsia="Arial" w:cs="Arial"/>
              </w:rPr>
            </w:pPr>
            <w:r w:rsidRPr="3B86E627">
              <w:rPr>
                <w:rFonts w:eastAsia="Arial" w:cs="Arial"/>
              </w:rPr>
              <w:t>Inactive</w:t>
            </w:r>
          </w:p>
          <w:p w14:paraId="4DA3B035" w14:textId="77777777" w:rsidR="00E63CFC" w:rsidRPr="00E63CFC" w:rsidRDefault="3B86E627" w:rsidP="3B86E627">
            <w:pPr>
              <w:pStyle w:val="ListParagraph"/>
              <w:numPr>
                <w:ilvl w:val="0"/>
                <w:numId w:val="41"/>
              </w:numPr>
              <w:rPr>
                <w:rFonts w:eastAsia="Arial" w:cs="Arial"/>
              </w:rPr>
            </w:pPr>
            <w:r w:rsidRPr="3B86E627">
              <w:rPr>
                <w:rFonts w:eastAsia="Arial" w:cs="Arial"/>
              </w:rPr>
              <w:t>Age 19+</w:t>
            </w:r>
          </w:p>
          <w:p w14:paraId="4DA3B036" w14:textId="77777777" w:rsidR="00A05875" w:rsidRPr="005E1278" w:rsidRDefault="00A05875" w:rsidP="00A05875">
            <w:pPr>
              <w:rPr>
                <w:rFonts w:cs="Arial"/>
                <w:iCs/>
              </w:rPr>
            </w:pPr>
          </w:p>
          <w:p w14:paraId="4DA3B037" w14:textId="77777777" w:rsidR="00A05875" w:rsidRDefault="3B86E627" w:rsidP="00A05875">
            <w:pPr>
              <w:rPr>
                <w:rFonts w:cs="Arial"/>
                <w:iCs/>
              </w:rPr>
            </w:pPr>
            <w:r w:rsidRPr="3B86E627">
              <w:rPr>
                <w:rFonts w:eastAsia="Arial" w:cs="Arial"/>
              </w:rPr>
              <w:t>In delivering the Services, the successful Candidate must take into account and support the targets for the following groups where this is consistent with the other Services requirements for addressing the needs of groups identified as priority and meeting the Services deliverables at a minimum level of:</w:t>
            </w:r>
          </w:p>
          <w:p w14:paraId="4DA3B038" w14:textId="77777777" w:rsidR="00694BB9" w:rsidRPr="00883DC0" w:rsidRDefault="00694BB9" w:rsidP="00694BB9">
            <w:pPr>
              <w:rPr>
                <w:b/>
              </w:rPr>
            </w:pPr>
          </w:p>
          <w:tbl>
            <w:tblPr>
              <w:tblW w:w="9384" w:type="dxa"/>
              <w:tblLook w:val="04A0" w:firstRow="1" w:lastRow="0" w:firstColumn="1" w:lastColumn="0" w:noHBand="0" w:noVBand="1"/>
            </w:tblPr>
            <w:tblGrid>
              <w:gridCol w:w="6266"/>
              <w:gridCol w:w="1559"/>
              <w:gridCol w:w="1559"/>
            </w:tblGrid>
            <w:tr w:rsidR="0066567A" w:rsidRPr="0066567A" w14:paraId="4DA3B03E" w14:textId="77777777" w:rsidTr="3B86E627">
              <w:trPr>
                <w:trHeight w:val="504"/>
              </w:trPr>
              <w:tc>
                <w:tcPr>
                  <w:tcW w:w="6266" w:type="dxa"/>
                  <w:tcBorders>
                    <w:top w:val="nil"/>
                    <w:left w:val="nil"/>
                    <w:bottom w:val="nil"/>
                    <w:right w:val="nil"/>
                  </w:tcBorders>
                  <w:shd w:val="clear" w:color="auto" w:fill="auto"/>
                  <w:noWrap/>
                  <w:vAlign w:val="bottom"/>
                  <w:hideMark/>
                </w:tcPr>
                <w:p w14:paraId="4DA3B039" w14:textId="77777777" w:rsidR="00694BB9" w:rsidRPr="0066567A" w:rsidRDefault="00694BB9" w:rsidP="0083026D">
                  <w:pPr>
                    <w:rPr>
                      <w:rFonts w:cs="Arial"/>
                      <w:lang w:eastAsia="en-GB"/>
                    </w:rPr>
                  </w:pPr>
                </w:p>
              </w:tc>
              <w:tc>
                <w:tcPr>
                  <w:tcW w:w="1559" w:type="dxa"/>
                  <w:tcBorders>
                    <w:top w:val="nil"/>
                    <w:left w:val="nil"/>
                    <w:bottom w:val="nil"/>
                    <w:right w:val="nil"/>
                  </w:tcBorders>
                  <w:shd w:val="clear" w:color="auto" w:fill="auto"/>
                  <w:vAlign w:val="bottom"/>
                  <w:hideMark/>
                </w:tcPr>
                <w:p w14:paraId="4DA3B03A" w14:textId="77777777" w:rsidR="00694BB9" w:rsidRPr="0066567A" w:rsidRDefault="3B86E627" w:rsidP="0083026D">
                  <w:pPr>
                    <w:jc w:val="center"/>
                    <w:rPr>
                      <w:rFonts w:cs="Arial"/>
                      <w:b/>
                      <w:bCs/>
                      <w:lang w:eastAsia="en-GB"/>
                    </w:rPr>
                  </w:pPr>
                  <w:r w:rsidRPr="3B86E627">
                    <w:rPr>
                      <w:rFonts w:eastAsia="Arial" w:cs="Arial"/>
                      <w:b/>
                      <w:bCs/>
                      <w:lang w:eastAsia="en-GB"/>
                    </w:rPr>
                    <w:t>More developed</w:t>
                  </w:r>
                </w:p>
                <w:p w14:paraId="4DA3B03B" w14:textId="77777777" w:rsidR="00694BB9" w:rsidRPr="0066567A" w:rsidRDefault="00694BB9" w:rsidP="0083026D">
                  <w:pPr>
                    <w:jc w:val="center"/>
                    <w:rPr>
                      <w:rFonts w:cs="Arial"/>
                      <w:b/>
                      <w:bCs/>
                      <w:lang w:eastAsia="en-GB"/>
                    </w:rPr>
                  </w:pPr>
                  <w:r w:rsidRPr="0066567A">
                    <w:rPr>
                      <w:rFonts w:cs="Arial"/>
                      <w:b/>
                      <w:bCs/>
                      <w:lang w:eastAsia="en-GB"/>
                    </w:rPr>
                    <w:t>IP1.1</w:t>
                  </w:r>
                </w:p>
              </w:tc>
              <w:tc>
                <w:tcPr>
                  <w:tcW w:w="1559" w:type="dxa"/>
                  <w:tcBorders>
                    <w:top w:val="nil"/>
                    <w:left w:val="nil"/>
                    <w:bottom w:val="nil"/>
                    <w:right w:val="nil"/>
                  </w:tcBorders>
                </w:tcPr>
                <w:p w14:paraId="4DA3B03C" w14:textId="77777777" w:rsidR="00694BB9" w:rsidRPr="0066567A" w:rsidRDefault="3B86E627" w:rsidP="0083026D">
                  <w:pPr>
                    <w:jc w:val="center"/>
                    <w:rPr>
                      <w:rFonts w:cs="Arial"/>
                      <w:b/>
                      <w:bCs/>
                      <w:lang w:eastAsia="en-GB"/>
                    </w:rPr>
                  </w:pPr>
                  <w:r w:rsidRPr="3B86E627">
                    <w:rPr>
                      <w:rFonts w:eastAsia="Arial" w:cs="Arial"/>
                      <w:b/>
                      <w:bCs/>
                      <w:lang w:eastAsia="en-GB"/>
                    </w:rPr>
                    <w:t>More Developed</w:t>
                  </w:r>
                </w:p>
                <w:p w14:paraId="4DA3B03D" w14:textId="77777777" w:rsidR="00694BB9" w:rsidRPr="0066567A" w:rsidRDefault="00694BB9" w:rsidP="0083026D">
                  <w:pPr>
                    <w:jc w:val="center"/>
                    <w:rPr>
                      <w:rFonts w:cs="Arial"/>
                      <w:b/>
                      <w:bCs/>
                      <w:lang w:eastAsia="en-GB"/>
                    </w:rPr>
                  </w:pPr>
                  <w:r w:rsidRPr="0066567A">
                    <w:rPr>
                      <w:rFonts w:cs="Arial"/>
                      <w:b/>
                      <w:bCs/>
                      <w:lang w:eastAsia="en-GB"/>
                    </w:rPr>
                    <w:t>IP1.2</w:t>
                  </w:r>
                </w:p>
              </w:tc>
            </w:tr>
            <w:tr w:rsidR="0066567A" w:rsidRPr="0066567A" w14:paraId="4DA3B043" w14:textId="77777777" w:rsidTr="3B86E627">
              <w:trPr>
                <w:trHeight w:val="576"/>
              </w:trPr>
              <w:tc>
                <w:tcPr>
                  <w:tcW w:w="6266" w:type="dxa"/>
                  <w:tcBorders>
                    <w:top w:val="nil"/>
                    <w:left w:val="nil"/>
                    <w:bottom w:val="nil"/>
                    <w:right w:val="nil"/>
                  </w:tcBorders>
                  <w:shd w:val="clear" w:color="auto" w:fill="auto"/>
                  <w:vAlign w:val="bottom"/>
                  <w:hideMark/>
                </w:tcPr>
                <w:p w14:paraId="4DA3B03F" w14:textId="77777777" w:rsidR="00694BB9" w:rsidRPr="0066567A" w:rsidRDefault="3B86E627" w:rsidP="0083026D">
                  <w:pPr>
                    <w:rPr>
                      <w:rFonts w:cs="Arial"/>
                      <w:lang w:eastAsia="en-GB"/>
                    </w:rPr>
                  </w:pPr>
                  <w:r w:rsidRPr="3B86E627">
                    <w:rPr>
                      <w:rFonts w:eastAsia="Arial" w:cs="Arial"/>
                      <w:lang w:eastAsia="en-GB"/>
                    </w:rPr>
                    <w:lastRenderedPageBreak/>
                    <w:t>Total participants who are unemployed (including long term unemployed)</w:t>
                  </w:r>
                </w:p>
              </w:tc>
              <w:tc>
                <w:tcPr>
                  <w:tcW w:w="1559" w:type="dxa"/>
                  <w:tcBorders>
                    <w:top w:val="nil"/>
                    <w:left w:val="nil"/>
                    <w:bottom w:val="nil"/>
                    <w:right w:val="nil"/>
                  </w:tcBorders>
                  <w:shd w:val="clear" w:color="auto" w:fill="auto"/>
                  <w:noWrap/>
                  <w:vAlign w:val="bottom"/>
                  <w:hideMark/>
                </w:tcPr>
                <w:p w14:paraId="4DA3B040" w14:textId="77777777" w:rsidR="00694BB9" w:rsidRPr="0066567A" w:rsidRDefault="3B86E627" w:rsidP="0083026D">
                  <w:pPr>
                    <w:jc w:val="center"/>
                    <w:rPr>
                      <w:rFonts w:cs="Arial"/>
                      <w:lang w:eastAsia="en-GB"/>
                    </w:rPr>
                  </w:pPr>
                  <w:r w:rsidRPr="3B86E627">
                    <w:rPr>
                      <w:rFonts w:eastAsia="Arial" w:cs="Arial"/>
                      <w:lang w:eastAsia="en-GB"/>
                    </w:rPr>
                    <w:t>70%</w:t>
                  </w:r>
                </w:p>
              </w:tc>
              <w:tc>
                <w:tcPr>
                  <w:tcW w:w="1559" w:type="dxa"/>
                  <w:tcBorders>
                    <w:top w:val="nil"/>
                    <w:left w:val="nil"/>
                    <w:bottom w:val="nil"/>
                    <w:right w:val="nil"/>
                  </w:tcBorders>
                </w:tcPr>
                <w:p w14:paraId="4DA3B041" w14:textId="77777777" w:rsidR="00694BB9" w:rsidRPr="0066567A" w:rsidRDefault="00694BB9" w:rsidP="0083026D">
                  <w:pPr>
                    <w:jc w:val="center"/>
                    <w:rPr>
                      <w:rFonts w:cs="Arial"/>
                      <w:lang w:eastAsia="en-GB"/>
                    </w:rPr>
                  </w:pPr>
                </w:p>
                <w:p w14:paraId="4DA3B042" w14:textId="77777777" w:rsidR="00694BB9" w:rsidRPr="0066567A" w:rsidRDefault="3B86E627" w:rsidP="0083026D">
                  <w:pPr>
                    <w:jc w:val="center"/>
                    <w:rPr>
                      <w:rFonts w:cs="Arial"/>
                      <w:lang w:eastAsia="en-GB"/>
                    </w:rPr>
                  </w:pPr>
                  <w:r w:rsidRPr="3B86E627">
                    <w:rPr>
                      <w:rFonts w:eastAsia="Arial" w:cs="Arial"/>
                      <w:lang w:eastAsia="en-GB"/>
                    </w:rPr>
                    <w:t>70%</w:t>
                  </w:r>
                </w:p>
              </w:tc>
            </w:tr>
            <w:tr w:rsidR="0066567A" w:rsidRPr="0066567A" w14:paraId="4DA3B047" w14:textId="77777777" w:rsidTr="3B86E627">
              <w:trPr>
                <w:trHeight w:val="288"/>
              </w:trPr>
              <w:tc>
                <w:tcPr>
                  <w:tcW w:w="6266" w:type="dxa"/>
                  <w:tcBorders>
                    <w:top w:val="nil"/>
                    <w:left w:val="nil"/>
                    <w:bottom w:val="nil"/>
                    <w:right w:val="nil"/>
                  </w:tcBorders>
                  <w:shd w:val="clear" w:color="auto" w:fill="auto"/>
                  <w:vAlign w:val="bottom"/>
                  <w:hideMark/>
                </w:tcPr>
                <w:p w14:paraId="4DA3B044" w14:textId="77777777" w:rsidR="00694BB9" w:rsidRPr="0066567A" w:rsidRDefault="3B86E627" w:rsidP="0083026D">
                  <w:pPr>
                    <w:rPr>
                      <w:rFonts w:cs="Arial"/>
                      <w:lang w:eastAsia="en-GB"/>
                    </w:rPr>
                  </w:pPr>
                  <w:r w:rsidRPr="3B86E627">
                    <w:rPr>
                      <w:rFonts w:eastAsia="Arial" w:cs="Arial"/>
                      <w:lang w:eastAsia="en-GB"/>
                    </w:rPr>
                    <w:t>Total participants who are inactive</w:t>
                  </w:r>
                </w:p>
              </w:tc>
              <w:tc>
                <w:tcPr>
                  <w:tcW w:w="1559" w:type="dxa"/>
                  <w:tcBorders>
                    <w:top w:val="nil"/>
                    <w:left w:val="nil"/>
                    <w:bottom w:val="nil"/>
                    <w:right w:val="nil"/>
                  </w:tcBorders>
                  <w:shd w:val="clear" w:color="auto" w:fill="auto"/>
                  <w:noWrap/>
                  <w:vAlign w:val="bottom"/>
                  <w:hideMark/>
                </w:tcPr>
                <w:p w14:paraId="4DA3B045" w14:textId="77777777" w:rsidR="00694BB9" w:rsidRPr="0066567A" w:rsidRDefault="3B86E627" w:rsidP="0083026D">
                  <w:pPr>
                    <w:jc w:val="center"/>
                    <w:rPr>
                      <w:rFonts w:cs="Arial"/>
                      <w:lang w:eastAsia="en-GB"/>
                    </w:rPr>
                  </w:pPr>
                  <w:r w:rsidRPr="3B86E627">
                    <w:rPr>
                      <w:rFonts w:eastAsia="Arial" w:cs="Arial"/>
                      <w:lang w:eastAsia="en-GB"/>
                    </w:rPr>
                    <w:t>25%</w:t>
                  </w:r>
                </w:p>
              </w:tc>
              <w:tc>
                <w:tcPr>
                  <w:tcW w:w="1559" w:type="dxa"/>
                  <w:tcBorders>
                    <w:top w:val="nil"/>
                    <w:left w:val="nil"/>
                    <w:bottom w:val="nil"/>
                    <w:right w:val="nil"/>
                  </w:tcBorders>
                </w:tcPr>
                <w:p w14:paraId="4DA3B046" w14:textId="77777777" w:rsidR="00694BB9" w:rsidRPr="0066567A" w:rsidRDefault="3B86E627" w:rsidP="0083026D">
                  <w:pPr>
                    <w:jc w:val="center"/>
                    <w:rPr>
                      <w:rFonts w:cs="Arial"/>
                      <w:lang w:eastAsia="en-GB"/>
                    </w:rPr>
                  </w:pPr>
                  <w:r w:rsidRPr="3B86E627">
                    <w:rPr>
                      <w:rFonts w:eastAsia="Arial" w:cs="Arial"/>
                      <w:lang w:eastAsia="en-GB"/>
                    </w:rPr>
                    <w:t>25%</w:t>
                  </w:r>
                </w:p>
              </w:tc>
            </w:tr>
            <w:tr w:rsidR="0066567A" w:rsidRPr="0066567A" w14:paraId="4DA3B04B" w14:textId="77777777" w:rsidTr="3B86E627">
              <w:trPr>
                <w:trHeight w:val="288"/>
              </w:trPr>
              <w:tc>
                <w:tcPr>
                  <w:tcW w:w="6266" w:type="dxa"/>
                  <w:tcBorders>
                    <w:top w:val="nil"/>
                    <w:left w:val="nil"/>
                    <w:bottom w:val="nil"/>
                    <w:right w:val="nil"/>
                  </w:tcBorders>
                  <w:shd w:val="clear" w:color="auto" w:fill="auto"/>
                  <w:vAlign w:val="bottom"/>
                  <w:hideMark/>
                </w:tcPr>
                <w:p w14:paraId="4DA3B048" w14:textId="77777777" w:rsidR="00694BB9" w:rsidRPr="0066567A" w:rsidRDefault="3B86E627" w:rsidP="0083026D">
                  <w:pPr>
                    <w:rPr>
                      <w:rFonts w:cs="Arial"/>
                      <w:lang w:eastAsia="en-GB"/>
                    </w:rPr>
                  </w:pPr>
                  <w:r w:rsidRPr="3B86E627">
                    <w:rPr>
                      <w:rFonts w:eastAsia="Arial" w:cs="Arial"/>
                      <w:lang w:eastAsia="en-GB"/>
                    </w:rPr>
                    <w:t>Participants who are over 50</w:t>
                  </w:r>
                </w:p>
              </w:tc>
              <w:tc>
                <w:tcPr>
                  <w:tcW w:w="1559" w:type="dxa"/>
                  <w:tcBorders>
                    <w:top w:val="nil"/>
                    <w:left w:val="nil"/>
                    <w:bottom w:val="nil"/>
                    <w:right w:val="nil"/>
                  </w:tcBorders>
                  <w:shd w:val="clear" w:color="auto" w:fill="auto"/>
                  <w:noWrap/>
                  <w:vAlign w:val="bottom"/>
                  <w:hideMark/>
                </w:tcPr>
                <w:p w14:paraId="4DA3B049" w14:textId="77777777" w:rsidR="00694BB9" w:rsidRPr="0066567A" w:rsidRDefault="3B86E627" w:rsidP="0083026D">
                  <w:pPr>
                    <w:jc w:val="center"/>
                    <w:rPr>
                      <w:rFonts w:cs="Arial"/>
                      <w:lang w:eastAsia="en-GB"/>
                    </w:rPr>
                  </w:pPr>
                  <w:r w:rsidRPr="3B86E627">
                    <w:rPr>
                      <w:rFonts w:eastAsia="Arial" w:cs="Arial"/>
                      <w:lang w:eastAsia="en-GB"/>
                    </w:rPr>
                    <w:t>20%</w:t>
                  </w:r>
                </w:p>
              </w:tc>
              <w:tc>
                <w:tcPr>
                  <w:tcW w:w="1559" w:type="dxa"/>
                  <w:tcBorders>
                    <w:top w:val="nil"/>
                    <w:left w:val="nil"/>
                    <w:bottom w:val="nil"/>
                    <w:right w:val="nil"/>
                  </w:tcBorders>
                </w:tcPr>
                <w:p w14:paraId="4DA3B04A" w14:textId="77777777" w:rsidR="00694BB9" w:rsidRPr="0066567A" w:rsidRDefault="3B86E627" w:rsidP="0083026D">
                  <w:pPr>
                    <w:jc w:val="center"/>
                    <w:rPr>
                      <w:rFonts w:cs="Arial"/>
                      <w:lang w:eastAsia="en-GB"/>
                    </w:rPr>
                  </w:pPr>
                  <w:r w:rsidRPr="3B86E627">
                    <w:rPr>
                      <w:rFonts w:eastAsia="Arial" w:cs="Arial"/>
                      <w:lang w:eastAsia="en-GB"/>
                    </w:rPr>
                    <w:t>N/A</w:t>
                  </w:r>
                </w:p>
              </w:tc>
            </w:tr>
            <w:tr w:rsidR="0066567A" w:rsidRPr="0066567A" w14:paraId="4DA3B04F" w14:textId="77777777" w:rsidTr="3B86E627">
              <w:trPr>
                <w:trHeight w:val="288"/>
              </w:trPr>
              <w:tc>
                <w:tcPr>
                  <w:tcW w:w="6266" w:type="dxa"/>
                  <w:tcBorders>
                    <w:top w:val="nil"/>
                    <w:left w:val="nil"/>
                    <w:bottom w:val="nil"/>
                    <w:right w:val="nil"/>
                  </w:tcBorders>
                  <w:shd w:val="clear" w:color="auto" w:fill="auto"/>
                  <w:vAlign w:val="bottom"/>
                  <w:hideMark/>
                </w:tcPr>
                <w:p w14:paraId="4DA3B04C" w14:textId="77777777" w:rsidR="00694BB9" w:rsidRPr="0066567A" w:rsidRDefault="3B86E627" w:rsidP="0083026D">
                  <w:pPr>
                    <w:rPr>
                      <w:rFonts w:cs="Arial"/>
                      <w:lang w:eastAsia="en-GB"/>
                    </w:rPr>
                  </w:pPr>
                  <w:r w:rsidRPr="3B86E627">
                    <w:rPr>
                      <w:rFonts w:eastAsia="Arial" w:cs="Arial"/>
                      <w:lang w:eastAsia="en-GB"/>
                    </w:rPr>
                    <w:t>Participants from ethnic minorities</w:t>
                  </w:r>
                </w:p>
              </w:tc>
              <w:tc>
                <w:tcPr>
                  <w:tcW w:w="1559" w:type="dxa"/>
                  <w:tcBorders>
                    <w:top w:val="nil"/>
                    <w:left w:val="nil"/>
                    <w:bottom w:val="nil"/>
                    <w:right w:val="nil"/>
                  </w:tcBorders>
                  <w:shd w:val="clear" w:color="auto" w:fill="auto"/>
                  <w:noWrap/>
                  <w:vAlign w:val="bottom"/>
                  <w:hideMark/>
                </w:tcPr>
                <w:p w14:paraId="4DA3B04D" w14:textId="77777777" w:rsidR="00694BB9" w:rsidRPr="0066567A" w:rsidRDefault="3B86E627" w:rsidP="0083026D">
                  <w:pPr>
                    <w:jc w:val="center"/>
                    <w:rPr>
                      <w:rFonts w:cs="Arial"/>
                      <w:lang w:eastAsia="en-GB"/>
                    </w:rPr>
                  </w:pPr>
                  <w:r w:rsidRPr="3B86E627">
                    <w:rPr>
                      <w:rFonts w:eastAsia="Arial" w:cs="Arial"/>
                      <w:lang w:eastAsia="en-GB"/>
                    </w:rPr>
                    <w:t>22%</w:t>
                  </w:r>
                </w:p>
              </w:tc>
              <w:tc>
                <w:tcPr>
                  <w:tcW w:w="1559" w:type="dxa"/>
                  <w:tcBorders>
                    <w:top w:val="nil"/>
                    <w:left w:val="nil"/>
                    <w:bottom w:val="nil"/>
                    <w:right w:val="nil"/>
                  </w:tcBorders>
                </w:tcPr>
                <w:p w14:paraId="4DA3B04E" w14:textId="77777777" w:rsidR="00694BB9" w:rsidRPr="0066567A" w:rsidRDefault="3B86E627" w:rsidP="0083026D">
                  <w:pPr>
                    <w:jc w:val="center"/>
                    <w:rPr>
                      <w:rFonts w:cs="Arial"/>
                      <w:lang w:eastAsia="en-GB"/>
                    </w:rPr>
                  </w:pPr>
                  <w:r w:rsidRPr="3B86E627">
                    <w:rPr>
                      <w:rFonts w:eastAsia="Arial" w:cs="Arial"/>
                      <w:lang w:eastAsia="en-GB"/>
                    </w:rPr>
                    <w:t>20%</w:t>
                  </w:r>
                </w:p>
              </w:tc>
            </w:tr>
            <w:tr w:rsidR="0066567A" w:rsidRPr="0066567A" w14:paraId="4DA3B053" w14:textId="77777777" w:rsidTr="3B86E627">
              <w:trPr>
                <w:trHeight w:val="288"/>
              </w:trPr>
              <w:tc>
                <w:tcPr>
                  <w:tcW w:w="6266" w:type="dxa"/>
                  <w:tcBorders>
                    <w:top w:val="nil"/>
                    <w:left w:val="nil"/>
                    <w:bottom w:val="nil"/>
                    <w:right w:val="nil"/>
                  </w:tcBorders>
                  <w:shd w:val="clear" w:color="auto" w:fill="auto"/>
                  <w:vAlign w:val="bottom"/>
                  <w:hideMark/>
                </w:tcPr>
                <w:p w14:paraId="4DA3B050" w14:textId="77777777" w:rsidR="00694BB9" w:rsidRPr="0066567A" w:rsidRDefault="3B86E627" w:rsidP="0083026D">
                  <w:pPr>
                    <w:rPr>
                      <w:rFonts w:cs="Arial"/>
                      <w:lang w:eastAsia="en-GB"/>
                    </w:rPr>
                  </w:pPr>
                  <w:r w:rsidRPr="3B86E627">
                    <w:rPr>
                      <w:rFonts w:eastAsia="Arial" w:cs="Arial"/>
                      <w:lang w:eastAsia="en-GB"/>
                    </w:rPr>
                    <w:t>Female participants</w:t>
                  </w:r>
                </w:p>
              </w:tc>
              <w:tc>
                <w:tcPr>
                  <w:tcW w:w="1559" w:type="dxa"/>
                  <w:tcBorders>
                    <w:top w:val="nil"/>
                    <w:left w:val="nil"/>
                    <w:bottom w:val="nil"/>
                    <w:right w:val="nil"/>
                  </w:tcBorders>
                  <w:shd w:val="clear" w:color="auto" w:fill="auto"/>
                  <w:noWrap/>
                  <w:vAlign w:val="bottom"/>
                  <w:hideMark/>
                </w:tcPr>
                <w:p w14:paraId="4DA3B051" w14:textId="77777777" w:rsidR="00694BB9" w:rsidRPr="0066567A" w:rsidRDefault="3B86E627" w:rsidP="0083026D">
                  <w:pPr>
                    <w:jc w:val="center"/>
                    <w:rPr>
                      <w:rFonts w:cs="Arial"/>
                      <w:lang w:eastAsia="en-GB"/>
                    </w:rPr>
                  </w:pPr>
                  <w:r w:rsidRPr="3B86E627">
                    <w:rPr>
                      <w:rFonts w:eastAsia="Arial" w:cs="Arial"/>
                      <w:lang w:eastAsia="en-GB"/>
                    </w:rPr>
                    <w:t>45%</w:t>
                  </w:r>
                </w:p>
              </w:tc>
              <w:tc>
                <w:tcPr>
                  <w:tcW w:w="1559" w:type="dxa"/>
                  <w:tcBorders>
                    <w:top w:val="nil"/>
                    <w:left w:val="nil"/>
                    <w:bottom w:val="nil"/>
                    <w:right w:val="nil"/>
                  </w:tcBorders>
                </w:tcPr>
                <w:p w14:paraId="4DA3B052" w14:textId="77777777" w:rsidR="00694BB9" w:rsidRPr="0066567A" w:rsidRDefault="3B86E627" w:rsidP="0083026D">
                  <w:pPr>
                    <w:jc w:val="center"/>
                    <w:rPr>
                      <w:rFonts w:cs="Arial"/>
                      <w:lang w:eastAsia="en-GB"/>
                    </w:rPr>
                  </w:pPr>
                  <w:r w:rsidRPr="3B86E627">
                    <w:rPr>
                      <w:rFonts w:eastAsia="Arial" w:cs="Arial"/>
                      <w:lang w:eastAsia="en-GB"/>
                    </w:rPr>
                    <w:t>45%</w:t>
                  </w:r>
                </w:p>
              </w:tc>
            </w:tr>
            <w:tr w:rsidR="0066567A" w:rsidRPr="0066567A" w14:paraId="4DA3B057" w14:textId="77777777" w:rsidTr="3B86E627">
              <w:trPr>
                <w:trHeight w:val="288"/>
              </w:trPr>
              <w:tc>
                <w:tcPr>
                  <w:tcW w:w="6266" w:type="dxa"/>
                  <w:tcBorders>
                    <w:top w:val="nil"/>
                    <w:left w:val="nil"/>
                    <w:bottom w:val="nil"/>
                    <w:right w:val="nil"/>
                  </w:tcBorders>
                  <w:shd w:val="clear" w:color="auto" w:fill="auto"/>
                  <w:vAlign w:val="bottom"/>
                  <w:hideMark/>
                </w:tcPr>
                <w:p w14:paraId="4DA3B054" w14:textId="77777777" w:rsidR="00694BB9" w:rsidRPr="0066567A" w:rsidRDefault="3B86E627" w:rsidP="0083026D">
                  <w:pPr>
                    <w:rPr>
                      <w:rFonts w:cs="Arial"/>
                      <w:lang w:eastAsia="en-GB"/>
                    </w:rPr>
                  </w:pPr>
                  <w:r w:rsidRPr="3B86E627">
                    <w:rPr>
                      <w:rFonts w:eastAsia="Arial" w:cs="Arial"/>
                      <w:lang w:eastAsia="en-GB"/>
                    </w:rPr>
                    <w:t>Participants without basic skills</w:t>
                  </w:r>
                </w:p>
              </w:tc>
              <w:tc>
                <w:tcPr>
                  <w:tcW w:w="1559" w:type="dxa"/>
                  <w:tcBorders>
                    <w:top w:val="nil"/>
                    <w:left w:val="nil"/>
                    <w:bottom w:val="nil"/>
                    <w:right w:val="nil"/>
                  </w:tcBorders>
                  <w:shd w:val="clear" w:color="auto" w:fill="auto"/>
                  <w:noWrap/>
                  <w:vAlign w:val="bottom"/>
                  <w:hideMark/>
                </w:tcPr>
                <w:p w14:paraId="4DA3B055" w14:textId="77777777" w:rsidR="00694BB9" w:rsidRPr="0066567A" w:rsidRDefault="3B86E627" w:rsidP="0083026D">
                  <w:pPr>
                    <w:jc w:val="center"/>
                    <w:rPr>
                      <w:rFonts w:cs="Arial"/>
                      <w:lang w:eastAsia="en-GB"/>
                    </w:rPr>
                  </w:pPr>
                  <w:r w:rsidRPr="3B86E627">
                    <w:rPr>
                      <w:rFonts w:eastAsia="Arial" w:cs="Arial"/>
                      <w:lang w:eastAsia="en-GB"/>
                    </w:rPr>
                    <w:t>21%</w:t>
                  </w:r>
                </w:p>
              </w:tc>
              <w:tc>
                <w:tcPr>
                  <w:tcW w:w="1559" w:type="dxa"/>
                  <w:tcBorders>
                    <w:top w:val="nil"/>
                    <w:left w:val="nil"/>
                    <w:bottom w:val="nil"/>
                    <w:right w:val="nil"/>
                  </w:tcBorders>
                </w:tcPr>
                <w:p w14:paraId="4DA3B056" w14:textId="77777777" w:rsidR="00694BB9" w:rsidRPr="0066567A" w:rsidRDefault="3B86E627" w:rsidP="0083026D">
                  <w:pPr>
                    <w:jc w:val="center"/>
                    <w:rPr>
                      <w:rFonts w:cs="Arial"/>
                      <w:lang w:eastAsia="en-GB"/>
                    </w:rPr>
                  </w:pPr>
                  <w:r w:rsidRPr="3B86E627">
                    <w:rPr>
                      <w:rFonts w:eastAsia="Arial" w:cs="Arial"/>
                      <w:lang w:eastAsia="en-GB"/>
                    </w:rPr>
                    <w:t>18%</w:t>
                  </w:r>
                </w:p>
              </w:tc>
            </w:tr>
            <w:tr w:rsidR="0066567A" w:rsidRPr="0066567A" w14:paraId="4DA3B05B" w14:textId="77777777" w:rsidTr="3B86E627">
              <w:trPr>
                <w:trHeight w:val="288"/>
              </w:trPr>
              <w:tc>
                <w:tcPr>
                  <w:tcW w:w="6266" w:type="dxa"/>
                  <w:tcBorders>
                    <w:top w:val="nil"/>
                    <w:left w:val="nil"/>
                    <w:bottom w:val="nil"/>
                    <w:right w:val="nil"/>
                  </w:tcBorders>
                  <w:shd w:val="clear" w:color="auto" w:fill="auto"/>
                  <w:vAlign w:val="bottom"/>
                  <w:hideMark/>
                </w:tcPr>
                <w:p w14:paraId="4DA3B058" w14:textId="77777777" w:rsidR="00694BB9" w:rsidRPr="0066567A" w:rsidRDefault="3B86E627" w:rsidP="0083026D">
                  <w:pPr>
                    <w:rPr>
                      <w:rFonts w:cs="Arial"/>
                      <w:lang w:eastAsia="en-GB"/>
                    </w:rPr>
                  </w:pPr>
                  <w:r w:rsidRPr="3B86E627">
                    <w:rPr>
                      <w:rFonts w:eastAsia="Arial" w:cs="Arial"/>
                      <w:lang w:eastAsia="en-GB"/>
                    </w:rPr>
                    <w:t>Participants with a disability or health problems</w:t>
                  </w:r>
                </w:p>
              </w:tc>
              <w:tc>
                <w:tcPr>
                  <w:tcW w:w="1559" w:type="dxa"/>
                  <w:tcBorders>
                    <w:top w:val="nil"/>
                    <w:left w:val="nil"/>
                    <w:bottom w:val="nil"/>
                    <w:right w:val="nil"/>
                  </w:tcBorders>
                  <w:shd w:val="clear" w:color="auto" w:fill="auto"/>
                  <w:noWrap/>
                  <w:vAlign w:val="bottom"/>
                  <w:hideMark/>
                </w:tcPr>
                <w:p w14:paraId="4DA3B059" w14:textId="77777777" w:rsidR="00694BB9" w:rsidRPr="0066567A" w:rsidRDefault="3B86E627" w:rsidP="0083026D">
                  <w:pPr>
                    <w:jc w:val="center"/>
                    <w:rPr>
                      <w:rFonts w:cs="Arial"/>
                      <w:lang w:eastAsia="en-GB"/>
                    </w:rPr>
                  </w:pPr>
                  <w:r w:rsidRPr="3B86E627">
                    <w:rPr>
                      <w:rFonts w:eastAsia="Arial" w:cs="Arial"/>
                      <w:lang w:eastAsia="en-GB"/>
                    </w:rPr>
                    <w:t>25%</w:t>
                  </w:r>
                </w:p>
              </w:tc>
              <w:tc>
                <w:tcPr>
                  <w:tcW w:w="1559" w:type="dxa"/>
                  <w:tcBorders>
                    <w:top w:val="nil"/>
                    <w:left w:val="nil"/>
                    <w:bottom w:val="nil"/>
                    <w:right w:val="nil"/>
                  </w:tcBorders>
                </w:tcPr>
                <w:p w14:paraId="4DA3B05A" w14:textId="77777777" w:rsidR="00694BB9" w:rsidRPr="0066567A" w:rsidRDefault="3B86E627" w:rsidP="0083026D">
                  <w:pPr>
                    <w:jc w:val="center"/>
                    <w:rPr>
                      <w:rFonts w:cs="Arial"/>
                      <w:lang w:eastAsia="en-GB"/>
                    </w:rPr>
                  </w:pPr>
                  <w:r w:rsidRPr="3B86E627">
                    <w:rPr>
                      <w:rFonts w:eastAsia="Arial" w:cs="Arial"/>
                      <w:lang w:eastAsia="en-GB"/>
                    </w:rPr>
                    <w:t>10%</w:t>
                  </w:r>
                </w:p>
              </w:tc>
            </w:tr>
            <w:tr w:rsidR="0066567A" w:rsidRPr="0066567A" w14:paraId="4DA3B05F" w14:textId="77777777" w:rsidTr="3B86E627">
              <w:trPr>
                <w:trHeight w:val="288"/>
              </w:trPr>
              <w:tc>
                <w:tcPr>
                  <w:tcW w:w="6266" w:type="dxa"/>
                  <w:tcBorders>
                    <w:top w:val="nil"/>
                    <w:left w:val="nil"/>
                    <w:bottom w:val="nil"/>
                    <w:right w:val="nil"/>
                  </w:tcBorders>
                  <w:shd w:val="clear" w:color="auto" w:fill="auto"/>
                  <w:vAlign w:val="bottom"/>
                  <w:hideMark/>
                </w:tcPr>
                <w:p w14:paraId="4DA3B05C" w14:textId="77777777" w:rsidR="00694BB9" w:rsidRPr="0066567A" w:rsidRDefault="3B86E627" w:rsidP="0083026D">
                  <w:pPr>
                    <w:rPr>
                      <w:rFonts w:cs="Arial"/>
                      <w:lang w:eastAsia="en-GB"/>
                    </w:rPr>
                  </w:pPr>
                  <w:r w:rsidRPr="3B86E627">
                    <w:rPr>
                      <w:rFonts w:eastAsia="Arial" w:cs="Arial"/>
                      <w:lang w:eastAsia="en-GB"/>
                    </w:rPr>
                    <w:t>Participants who are lone parents</w:t>
                  </w:r>
                </w:p>
              </w:tc>
              <w:tc>
                <w:tcPr>
                  <w:tcW w:w="1559" w:type="dxa"/>
                  <w:tcBorders>
                    <w:top w:val="nil"/>
                    <w:left w:val="nil"/>
                    <w:bottom w:val="nil"/>
                    <w:right w:val="nil"/>
                  </w:tcBorders>
                  <w:shd w:val="clear" w:color="auto" w:fill="auto"/>
                  <w:noWrap/>
                  <w:vAlign w:val="bottom"/>
                  <w:hideMark/>
                </w:tcPr>
                <w:p w14:paraId="4DA3B05D" w14:textId="77777777" w:rsidR="00694BB9" w:rsidRPr="0066567A" w:rsidRDefault="3B86E627" w:rsidP="0083026D">
                  <w:pPr>
                    <w:jc w:val="center"/>
                    <w:rPr>
                      <w:rFonts w:cs="Arial"/>
                      <w:lang w:eastAsia="en-GB"/>
                    </w:rPr>
                  </w:pPr>
                  <w:r w:rsidRPr="3B86E627">
                    <w:rPr>
                      <w:rFonts w:eastAsia="Arial" w:cs="Arial"/>
                      <w:lang w:eastAsia="en-GB"/>
                    </w:rPr>
                    <w:t>13%</w:t>
                  </w:r>
                </w:p>
              </w:tc>
              <w:tc>
                <w:tcPr>
                  <w:tcW w:w="1559" w:type="dxa"/>
                  <w:tcBorders>
                    <w:top w:val="nil"/>
                    <w:left w:val="nil"/>
                    <w:bottom w:val="nil"/>
                    <w:right w:val="nil"/>
                  </w:tcBorders>
                </w:tcPr>
                <w:p w14:paraId="4DA3B05E" w14:textId="77777777" w:rsidR="00694BB9" w:rsidRPr="0066567A" w:rsidRDefault="3B86E627" w:rsidP="0083026D">
                  <w:pPr>
                    <w:jc w:val="center"/>
                    <w:rPr>
                      <w:rFonts w:cs="Arial"/>
                      <w:lang w:eastAsia="en-GB"/>
                    </w:rPr>
                  </w:pPr>
                  <w:r w:rsidRPr="3B86E627">
                    <w:rPr>
                      <w:rFonts w:eastAsia="Arial" w:cs="Arial"/>
                      <w:lang w:eastAsia="en-GB"/>
                    </w:rPr>
                    <w:t>5%</w:t>
                  </w:r>
                </w:p>
              </w:tc>
            </w:tr>
          </w:tbl>
          <w:p w14:paraId="4DA3B060" w14:textId="77777777" w:rsidR="00694BB9" w:rsidRDefault="00694BB9" w:rsidP="001A1695">
            <w:pPr>
              <w:rPr>
                <w:rFonts w:cs="Arial"/>
                <w:b/>
                <w:color w:val="0070C0"/>
              </w:rPr>
            </w:pPr>
          </w:p>
          <w:p w14:paraId="4DA3B061" w14:textId="77777777" w:rsidR="00694BB9" w:rsidRDefault="00694BB9" w:rsidP="001A1695">
            <w:pPr>
              <w:rPr>
                <w:rFonts w:cs="Arial"/>
                <w:b/>
                <w:color w:val="0070C0"/>
              </w:rPr>
            </w:pPr>
          </w:p>
          <w:p w14:paraId="4DA3B062" w14:textId="77777777" w:rsidR="001A1695" w:rsidRPr="0066567A" w:rsidRDefault="3B86E627" w:rsidP="001A1695">
            <w:pPr>
              <w:rPr>
                <w:rFonts w:cs="Arial"/>
                <w:b/>
              </w:rPr>
            </w:pPr>
            <w:r w:rsidRPr="3B86E627">
              <w:rPr>
                <w:rFonts w:eastAsia="Arial" w:cs="Arial"/>
                <w:b/>
                <w:bCs/>
              </w:rPr>
              <w:t>Greater Manchester Local Enterprise Partnership Specific Eligibility Requirements</w:t>
            </w:r>
          </w:p>
          <w:p w14:paraId="4DA3B063" w14:textId="77777777" w:rsidR="009638E8" w:rsidRPr="0066567A" w:rsidRDefault="009638E8" w:rsidP="001A1695">
            <w:pPr>
              <w:rPr>
                <w:rFonts w:cs="Arial"/>
                <w:b/>
              </w:rPr>
            </w:pPr>
          </w:p>
          <w:p w14:paraId="4DA3B064" w14:textId="77777777" w:rsidR="00874C67" w:rsidRDefault="3B86E627" w:rsidP="00874C67">
            <w:pPr>
              <w:pStyle w:val="NoSpacing"/>
              <w:rPr>
                <w:rFonts w:ascii="Arial" w:eastAsia="Arial" w:hAnsi="Arial" w:cs="Arial"/>
              </w:rPr>
            </w:pPr>
            <w:r w:rsidRPr="3B86E627">
              <w:rPr>
                <w:rFonts w:ascii="Arial" w:eastAsia="Arial" w:hAnsi="Arial" w:cs="Arial"/>
              </w:rPr>
              <w:t>Theme 1: CEAIG Young People.  Priority must be given to:</w:t>
            </w:r>
          </w:p>
          <w:p w14:paraId="256ACA7C" w14:textId="77777777" w:rsidR="00B07E09" w:rsidRPr="0066567A" w:rsidRDefault="00B07E09" w:rsidP="00874C67">
            <w:pPr>
              <w:pStyle w:val="NoSpacing"/>
              <w:rPr>
                <w:rFonts w:ascii="Arial" w:hAnsi="Arial" w:cs="Arial"/>
              </w:rPr>
            </w:pPr>
          </w:p>
          <w:p w14:paraId="4DA3B065" w14:textId="77777777" w:rsidR="00874C67" w:rsidRPr="0066567A" w:rsidRDefault="3B86E627" w:rsidP="00EF0227">
            <w:pPr>
              <w:pStyle w:val="NoSpacing"/>
              <w:numPr>
                <w:ilvl w:val="0"/>
                <w:numId w:val="41"/>
              </w:numPr>
              <w:rPr>
                <w:rFonts w:ascii="Arial" w:eastAsia="Arial" w:hAnsi="Arial" w:cs="Arial"/>
              </w:rPr>
            </w:pPr>
            <w:r w:rsidRPr="3B86E627">
              <w:rPr>
                <w:rFonts w:ascii="Arial" w:eastAsia="Arial" w:hAnsi="Arial" w:cs="Arial"/>
              </w:rPr>
              <w:t>Young people not planning to go to University but able to progress through to higher level vocational skills.</w:t>
            </w:r>
          </w:p>
          <w:p w14:paraId="4DA3B066" w14:textId="77777777" w:rsidR="00874C67" w:rsidRPr="0066567A" w:rsidRDefault="3B86E627" w:rsidP="00EF0227">
            <w:pPr>
              <w:pStyle w:val="NoSpacing"/>
              <w:numPr>
                <w:ilvl w:val="0"/>
                <w:numId w:val="41"/>
              </w:numPr>
              <w:rPr>
                <w:rFonts w:ascii="Arial" w:eastAsia="Arial" w:hAnsi="Arial" w:cs="Arial"/>
              </w:rPr>
            </w:pPr>
            <w:r w:rsidRPr="3B86E627">
              <w:rPr>
                <w:rFonts w:ascii="Arial" w:eastAsia="Arial" w:hAnsi="Arial" w:cs="Arial"/>
              </w:rPr>
              <w:t>Low confidence and self-esteem</w:t>
            </w:r>
          </w:p>
          <w:p w14:paraId="4DA3B067" w14:textId="77777777" w:rsidR="00874C67" w:rsidRPr="0066567A" w:rsidRDefault="3B86E627" w:rsidP="00EF0227">
            <w:pPr>
              <w:pStyle w:val="NoSpacing"/>
              <w:numPr>
                <w:ilvl w:val="0"/>
                <w:numId w:val="41"/>
              </w:numPr>
              <w:rPr>
                <w:rFonts w:ascii="Arial" w:eastAsia="Arial" w:hAnsi="Arial" w:cs="Arial"/>
              </w:rPr>
            </w:pPr>
            <w:r w:rsidRPr="3B86E627">
              <w:rPr>
                <w:rFonts w:ascii="Arial" w:eastAsia="Arial" w:hAnsi="Arial" w:cs="Arial"/>
              </w:rPr>
              <w:t>Looked after Children and Care Leavers (including in care homes)</w:t>
            </w:r>
          </w:p>
          <w:p w14:paraId="4DA3B068" w14:textId="77777777" w:rsidR="00874C67" w:rsidRPr="0066567A" w:rsidRDefault="3B86E627" w:rsidP="00EF0227">
            <w:pPr>
              <w:pStyle w:val="NoSpacing"/>
              <w:numPr>
                <w:ilvl w:val="0"/>
                <w:numId w:val="41"/>
              </w:numPr>
              <w:rPr>
                <w:rFonts w:ascii="Arial" w:eastAsia="Arial" w:hAnsi="Arial" w:cs="Arial"/>
              </w:rPr>
            </w:pPr>
            <w:r w:rsidRPr="3B86E627">
              <w:rPr>
                <w:rFonts w:ascii="Arial" w:eastAsia="Arial" w:hAnsi="Arial" w:cs="Arial"/>
              </w:rPr>
              <w:t xml:space="preserve">Underachieving boys </w:t>
            </w:r>
          </w:p>
          <w:p w14:paraId="4DA3B069" w14:textId="77777777" w:rsidR="00874C67" w:rsidRPr="0066567A" w:rsidRDefault="3B86E627" w:rsidP="00EF0227">
            <w:pPr>
              <w:pStyle w:val="NoSpacing"/>
              <w:numPr>
                <w:ilvl w:val="0"/>
                <w:numId w:val="41"/>
              </w:numPr>
              <w:rPr>
                <w:rFonts w:ascii="Arial" w:eastAsia="Arial" w:hAnsi="Arial" w:cs="Arial"/>
              </w:rPr>
            </w:pPr>
            <w:r w:rsidRPr="3B86E627">
              <w:rPr>
                <w:rFonts w:ascii="Arial" w:eastAsia="Arial" w:hAnsi="Arial" w:cs="Arial"/>
              </w:rPr>
              <w:t>SEND</w:t>
            </w:r>
          </w:p>
          <w:p w14:paraId="4DA3B06A" w14:textId="77777777" w:rsidR="00874C67" w:rsidRPr="0066567A" w:rsidRDefault="3B86E627" w:rsidP="00EF0227">
            <w:pPr>
              <w:pStyle w:val="NoSpacing"/>
              <w:numPr>
                <w:ilvl w:val="0"/>
                <w:numId w:val="41"/>
              </w:numPr>
              <w:rPr>
                <w:rFonts w:ascii="Arial" w:eastAsia="Arial" w:hAnsi="Arial" w:cs="Arial"/>
              </w:rPr>
            </w:pPr>
            <w:r w:rsidRPr="3B86E627">
              <w:rPr>
                <w:rFonts w:ascii="Arial" w:eastAsia="Arial" w:hAnsi="Arial" w:cs="Arial"/>
              </w:rPr>
              <w:t xml:space="preserve">Low aspiration/coasting of high ability young people </w:t>
            </w:r>
          </w:p>
          <w:p w14:paraId="4DA3B06B" w14:textId="77777777" w:rsidR="00874C67" w:rsidRPr="0066567A" w:rsidRDefault="3B86E627" w:rsidP="00EF0227">
            <w:pPr>
              <w:pStyle w:val="NoSpacing"/>
              <w:numPr>
                <w:ilvl w:val="0"/>
                <w:numId w:val="41"/>
              </w:numPr>
              <w:rPr>
                <w:rFonts w:ascii="Arial" w:eastAsia="Arial" w:hAnsi="Arial" w:cs="Arial"/>
              </w:rPr>
            </w:pPr>
            <w:r w:rsidRPr="3B86E627">
              <w:rPr>
                <w:rFonts w:ascii="Arial" w:eastAsia="Arial" w:hAnsi="Arial" w:cs="Arial"/>
              </w:rPr>
              <w:t>In receipt of pupil premium</w:t>
            </w:r>
          </w:p>
          <w:p w14:paraId="4DA3B06C" w14:textId="77777777" w:rsidR="00874C67" w:rsidRPr="0066567A" w:rsidRDefault="3B86E627" w:rsidP="00EF0227">
            <w:pPr>
              <w:pStyle w:val="NoSpacing"/>
              <w:numPr>
                <w:ilvl w:val="0"/>
                <w:numId w:val="41"/>
              </w:numPr>
              <w:rPr>
                <w:rFonts w:ascii="Arial" w:eastAsia="Arial" w:hAnsi="Arial" w:cs="Arial"/>
              </w:rPr>
            </w:pPr>
            <w:r w:rsidRPr="3B86E627">
              <w:rPr>
                <w:rFonts w:ascii="Arial" w:eastAsia="Arial" w:hAnsi="Arial" w:cs="Arial"/>
              </w:rPr>
              <w:t>Young women disengaging from STEM and Digital activities and careers</w:t>
            </w:r>
          </w:p>
          <w:p w14:paraId="4DA3B06D" w14:textId="77777777" w:rsidR="00874C67" w:rsidRPr="0066567A" w:rsidRDefault="3B86E627" w:rsidP="00EF0227">
            <w:pPr>
              <w:pStyle w:val="NoSpacing"/>
              <w:numPr>
                <w:ilvl w:val="0"/>
                <w:numId w:val="41"/>
              </w:numPr>
              <w:rPr>
                <w:rFonts w:ascii="Arial" w:eastAsia="Arial" w:hAnsi="Arial" w:cs="Arial"/>
              </w:rPr>
            </w:pPr>
            <w:r w:rsidRPr="3B86E627">
              <w:rPr>
                <w:rFonts w:ascii="Arial" w:eastAsia="Arial" w:hAnsi="Arial" w:cs="Arial"/>
              </w:rPr>
              <w:t>Post-16 young people who have made the wrong choice</w:t>
            </w:r>
          </w:p>
          <w:p w14:paraId="4DA3B06E" w14:textId="77777777" w:rsidR="00874C67" w:rsidRPr="0066567A" w:rsidRDefault="00874C67" w:rsidP="00C107CE">
            <w:pPr>
              <w:rPr>
                <w:rFonts w:cs="Arial"/>
              </w:rPr>
            </w:pPr>
          </w:p>
          <w:p w14:paraId="4DA3B06F" w14:textId="77777777" w:rsidR="001A1695" w:rsidRDefault="3B86E627" w:rsidP="00C107CE">
            <w:pPr>
              <w:rPr>
                <w:rFonts w:eastAsia="Arial" w:cs="Arial"/>
              </w:rPr>
            </w:pPr>
            <w:r w:rsidRPr="3B86E627">
              <w:rPr>
                <w:rFonts w:eastAsia="Arial" w:cs="Arial"/>
              </w:rPr>
              <w:t>Theme 2: IAG Adults.  Priority must be given to:</w:t>
            </w:r>
          </w:p>
          <w:p w14:paraId="0CE6BD7C" w14:textId="77777777" w:rsidR="00B07E09" w:rsidRPr="0066567A" w:rsidRDefault="00B07E09" w:rsidP="00C107CE">
            <w:pPr>
              <w:rPr>
                <w:rFonts w:cs="Arial"/>
              </w:rPr>
            </w:pPr>
          </w:p>
          <w:p w14:paraId="4DA3B070" w14:textId="77777777" w:rsidR="009638E8" w:rsidRPr="0066567A" w:rsidRDefault="3B86E627" w:rsidP="00EF0227">
            <w:pPr>
              <w:pStyle w:val="NoSpacing"/>
              <w:numPr>
                <w:ilvl w:val="0"/>
                <w:numId w:val="41"/>
              </w:numPr>
              <w:rPr>
                <w:rFonts w:ascii="Arial" w:eastAsia="Arial" w:hAnsi="Arial" w:cs="Arial"/>
              </w:rPr>
            </w:pPr>
            <w:r w:rsidRPr="3B86E627">
              <w:rPr>
                <w:rFonts w:ascii="Arial" w:eastAsia="Arial" w:hAnsi="Arial" w:cs="Arial"/>
              </w:rPr>
              <w:t>Customers with mild to moderate mental health needs</w:t>
            </w:r>
          </w:p>
          <w:p w14:paraId="4DA3B071" w14:textId="77777777" w:rsidR="009638E8" w:rsidRPr="0066567A" w:rsidRDefault="3B86E627" w:rsidP="00EF0227">
            <w:pPr>
              <w:pStyle w:val="NoSpacing"/>
              <w:numPr>
                <w:ilvl w:val="0"/>
                <w:numId w:val="41"/>
              </w:numPr>
              <w:rPr>
                <w:rFonts w:ascii="Arial" w:eastAsia="Arial" w:hAnsi="Arial" w:cs="Arial"/>
              </w:rPr>
            </w:pPr>
            <w:r w:rsidRPr="3B86E627">
              <w:rPr>
                <w:rFonts w:ascii="Arial" w:eastAsia="Arial" w:hAnsi="Arial" w:cs="Arial"/>
              </w:rPr>
              <w:t>Income support claimants whose youngest child is 3 or 4 years old</w:t>
            </w:r>
          </w:p>
          <w:p w14:paraId="4DA3B072" w14:textId="77777777" w:rsidR="009638E8" w:rsidRPr="0066567A" w:rsidRDefault="3B86E627" w:rsidP="00EF0227">
            <w:pPr>
              <w:pStyle w:val="NoSpacing"/>
              <w:numPr>
                <w:ilvl w:val="0"/>
                <w:numId w:val="41"/>
              </w:numPr>
              <w:rPr>
                <w:rFonts w:ascii="Arial" w:eastAsia="Arial" w:hAnsi="Arial" w:cs="Arial"/>
              </w:rPr>
            </w:pPr>
            <w:r w:rsidRPr="3B86E627">
              <w:rPr>
                <w:rFonts w:ascii="Arial" w:eastAsia="Arial" w:hAnsi="Arial" w:cs="Arial"/>
              </w:rPr>
              <w:t>Over 50s</w:t>
            </w:r>
          </w:p>
          <w:p w14:paraId="4DA3B073" w14:textId="77777777" w:rsidR="009638E8" w:rsidRPr="0066567A" w:rsidRDefault="3B86E627" w:rsidP="00EF0227">
            <w:pPr>
              <w:pStyle w:val="NoSpacing"/>
              <w:numPr>
                <w:ilvl w:val="0"/>
                <w:numId w:val="41"/>
              </w:numPr>
              <w:rPr>
                <w:rFonts w:ascii="Arial" w:eastAsia="Arial" w:hAnsi="Arial" w:cs="Arial"/>
              </w:rPr>
            </w:pPr>
            <w:r w:rsidRPr="3B86E627">
              <w:rPr>
                <w:rFonts w:ascii="Arial" w:eastAsia="Arial" w:hAnsi="Arial" w:cs="Arial"/>
              </w:rPr>
              <w:t>Other Working Well Expansion Programme customer</w:t>
            </w:r>
          </w:p>
          <w:p w14:paraId="4DA3B074" w14:textId="77777777" w:rsidR="009638E8" w:rsidRPr="0066567A" w:rsidRDefault="3B86E627" w:rsidP="00EF0227">
            <w:pPr>
              <w:pStyle w:val="NoSpacing"/>
              <w:numPr>
                <w:ilvl w:val="0"/>
                <w:numId w:val="41"/>
              </w:numPr>
              <w:rPr>
                <w:rFonts w:ascii="Arial" w:eastAsia="Arial" w:hAnsi="Arial" w:cs="Arial"/>
              </w:rPr>
            </w:pPr>
            <w:r w:rsidRPr="3B86E627">
              <w:rPr>
                <w:rFonts w:ascii="Arial" w:eastAsia="Arial" w:hAnsi="Arial" w:cs="Arial"/>
              </w:rPr>
              <w:t>19 year olds (including those who are not claiming benefits)</w:t>
            </w:r>
          </w:p>
          <w:p w14:paraId="4DA3B075" w14:textId="77777777" w:rsidR="009638E8" w:rsidRPr="0066567A" w:rsidRDefault="3B86E627" w:rsidP="00EF0227">
            <w:pPr>
              <w:pStyle w:val="NoSpacing"/>
              <w:numPr>
                <w:ilvl w:val="0"/>
                <w:numId w:val="41"/>
              </w:numPr>
              <w:rPr>
                <w:rFonts w:ascii="Arial" w:eastAsia="Arial" w:hAnsi="Arial" w:cs="Arial"/>
              </w:rPr>
            </w:pPr>
            <w:r w:rsidRPr="3B86E627">
              <w:rPr>
                <w:rFonts w:ascii="Arial" w:eastAsia="Arial" w:hAnsi="Arial" w:cs="Arial"/>
              </w:rPr>
              <w:t>Post graduate support to help orientate young adults to enter into a career or continue with training to higher level skills to support the economy</w:t>
            </w:r>
          </w:p>
          <w:p w14:paraId="4DA3B076" w14:textId="77777777" w:rsidR="009638E8" w:rsidRPr="0066567A" w:rsidRDefault="3B86E627" w:rsidP="00EF0227">
            <w:pPr>
              <w:pStyle w:val="NoSpacing"/>
              <w:numPr>
                <w:ilvl w:val="0"/>
                <w:numId w:val="41"/>
              </w:numPr>
              <w:rPr>
                <w:rFonts w:ascii="Arial" w:eastAsia="Arial" w:hAnsi="Arial" w:cs="Arial"/>
              </w:rPr>
            </w:pPr>
            <w:r w:rsidRPr="3B86E627">
              <w:rPr>
                <w:rFonts w:ascii="Arial" w:eastAsia="Arial" w:hAnsi="Arial" w:cs="Arial"/>
              </w:rPr>
              <w:t>Women into Science, Technology, Engineering and Mathematics (STEM)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1276"/>
              <w:gridCol w:w="1417"/>
            </w:tblGrid>
            <w:tr w:rsidR="00F17F1E" w14:paraId="4DA3B083" w14:textId="77777777" w:rsidTr="0066567A">
              <w:trPr>
                <w:trHeight w:val="274"/>
              </w:trPr>
              <w:tc>
                <w:tcPr>
                  <w:tcW w:w="3681" w:type="dxa"/>
                </w:tcPr>
                <w:p w14:paraId="2E465A64" w14:textId="77777777" w:rsidR="00F17F1E" w:rsidRDefault="00F17F1E" w:rsidP="00A05875">
                  <w:pPr>
                    <w:rPr>
                      <w:rFonts w:cs="Arial"/>
                      <w:iCs/>
                    </w:rPr>
                  </w:pPr>
                </w:p>
                <w:p w14:paraId="5C067668" w14:textId="77777777" w:rsidR="00B07E09" w:rsidRDefault="00B07E09" w:rsidP="00A05875">
                  <w:pPr>
                    <w:rPr>
                      <w:rFonts w:cs="Arial"/>
                      <w:iCs/>
                    </w:rPr>
                  </w:pPr>
                </w:p>
                <w:p w14:paraId="7EF969F1" w14:textId="77777777" w:rsidR="00B07E09" w:rsidRDefault="00B07E09" w:rsidP="00A05875">
                  <w:pPr>
                    <w:rPr>
                      <w:rFonts w:cs="Arial"/>
                      <w:iCs/>
                    </w:rPr>
                  </w:pPr>
                </w:p>
                <w:p w14:paraId="41622D8C" w14:textId="77777777" w:rsidR="00B07E09" w:rsidRDefault="00B07E09" w:rsidP="00A05875">
                  <w:pPr>
                    <w:rPr>
                      <w:rFonts w:cs="Arial"/>
                      <w:iCs/>
                    </w:rPr>
                  </w:pPr>
                </w:p>
                <w:p w14:paraId="6E7A3C62" w14:textId="77777777" w:rsidR="00B07E09" w:rsidRDefault="00B07E09" w:rsidP="00A05875">
                  <w:pPr>
                    <w:rPr>
                      <w:rFonts w:cs="Arial"/>
                      <w:iCs/>
                    </w:rPr>
                  </w:pPr>
                </w:p>
                <w:p w14:paraId="626B6459" w14:textId="77777777" w:rsidR="00B07E09" w:rsidRDefault="00B07E09" w:rsidP="00A05875">
                  <w:pPr>
                    <w:rPr>
                      <w:rFonts w:cs="Arial"/>
                      <w:iCs/>
                    </w:rPr>
                  </w:pPr>
                </w:p>
                <w:p w14:paraId="4DA3B080" w14:textId="77777777" w:rsidR="00B07E09" w:rsidRDefault="00B07E09" w:rsidP="00A05875">
                  <w:pPr>
                    <w:rPr>
                      <w:rFonts w:cs="Arial"/>
                      <w:iCs/>
                    </w:rPr>
                  </w:pPr>
                </w:p>
              </w:tc>
              <w:tc>
                <w:tcPr>
                  <w:tcW w:w="1276" w:type="dxa"/>
                </w:tcPr>
                <w:p w14:paraId="4DA3B081" w14:textId="77777777" w:rsidR="00F17F1E" w:rsidRDefault="00F17F1E" w:rsidP="00874C67">
                  <w:pPr>
                    <w:rPr>
                      <w:rFonts w:cs="Arial"/>
                      <w:iCs/>
                    </w:rPr>
                  </w:pPr>
                </w:p>
              </w:tc>
              <w:tc>
                <w:tcPr>
                  <w:tcW w:w="1417" w:type="dxa"/>
                </w:tcPr>
                <w:p w14:paraId="4DA3B082" w14:textId="77777777" w:rsidR="00F17F1E" w:rsidRDefault="00F17F1E" w:rsidP="00874C67">
                  <w:pPr>
                    <w:rPr>
                      <w:rFonts w:cs="Arial"/>
                      <w:iCs/>
                    </w:rPr>
                  </w:pPr>
                </w:p>
              </w:tc>
            </w:tr>
          </w:tbl>
          <w:p w14:paraId="4DA3B084" w14:textId="77777777" w:rsidR="00FD3B0A" w:rsidRPr="00507D77" w:rsidRDefault="00FD3B0A" w:rsidP="003F4FAC">
            <w:pPr>
              <w:rPr>
                <w:iCs/>
              </w:rPr>
            </w:pPr>
          </w:p>
        </w:tc>
      </w:tr>
      <w:tr w:rsidR="00967429" w:rsidRPr="00EF4406" w14:paraId="4DA3B087" w14:textId="77777777" w:rsidTr="3B86E627">
        <w:trPr>
          <w:trHeight w:val="567"/>
        </w:trPr>
        <w:tc>
          <w:tcPr>
            <w:tcW w:w="9493" w:type="dxa"/>
            <w:shd w:val="clear" w:color="auto" w:fill="D9D9D9" w:themeFill="background1" w:themeFillShade="D9"/>
            <w:vAlign w:val="center"/>
          </w:tcPr>
          <w:p w14:paraId="4DA3B086" w14:textId="77777777" w:rsidR="00967429" w:rsidRPr="00A005EF" w:rsidRDefault="3B86E627" w:rsidP="005E37D8">
            <w:pPr>
              <w:spacing w:before="120" w:after="120"/>
              <w:rPr>
                <w:b/>
                <w:bCs/>
              </w:rPr>
            </w:pPr>
            <w:r w:rsidRPr="3B86E627">
              <w:rPr>
                <w:b/>
                <w:bCs/>
              </w:rPr>
              <w:lastRenderedPageBreak/>
              <w:t>GEOGRAPHY / AREA OF DELIVERY</w:t>
            </w:r>
          </w:p>
        </w:tc>
      </w:tr>
      <w:tr w:rsidR="00967429" w:rsidRPr="0052695C" w14:paraId="4DA3B08D" w14:textId="77777777" w:rsidTr="3B86E627">
        <w:trPr>
          <w:trHeight w:val="983"/>
        </w:trPr>
        <w:tc>
          <w:tcPr>
            <w:tcW w:w="9493" w:type="dxa"/>
          </w:tcPr>
          <w:p w14:paraId="4DA3B088" w14:textId="77777777" w:rsidR="00A005EF" w:rsidRDefault="00A005EF" w:rsidP="008D7D92">
            <w:pPr>
              <w:jc w:val="both"/>
            </w:pPr>
          </w:p>
          <w:p w14:paraId="4DA3B089" w14:textId="77777777" w:rsidR="007E7731" w:rsidRDefault="3B86E627" w:rsidP="008D7D92">
            <w:pPr>
              <w:jc w:val="both"/>
              <w:rPr>
                <w:b/>
              </w:rPr>
            </w:pPr>
            <w:r w:rsidRPr="3B86E627">
              <w:rPr>
                <w:b/>
                <w:bCs/>
              </w:rPr>
              <w:t>LEP Specific</w:t>
            </w:r>
          </w:p>
          <w:p w14:paraId="4DA3B08A" w14:textId="77777777" w:rsidR="007E7731" w:rsidRPr="0066567A" w:rsidRDefault="007E7731" w:rsidP="008D7D92">
            <w:pPr>
              <w:jc w:val="both"/>
              <w:rPr>
                <w:b/>
              </w:rPr>
            </w:pPr>
          </w:p>
          <w:p w14:paraId="4DA3B08B" w14:textId="77777777" w:rsidR="00D25F39" w:rsidRDefault="3B86E627" w:rsidP="008D7D92">
            <w:pPr>
              <w:autoSpaceDE w:val="0"/>
              <w:autoSpaceDN w:val="0"/>
              <w:adjustRightInd w:val="0"/>
              <w:jc w:val="both"/>
              <w:rPr>
                <w:rFonts w:eastAsia="Arial" w:cs="Arial"/>
              </w:rPr>
            </w:pPr>
            <w:r w:rsidRPr="3B86E627">
              <w:rPr>
                <w:rFonts w:eastAsia="Arial" w:cs="Arial"/>
              </w:rPr>
              <w:t>The Services will be delivered within the Greater Manchester Local Enterprise Partnership area. Applicants will be expected to deliver services across all of the ten local authority areas within Greater Manchester.</w:t>
            </w:r>
          </w:p>
          <w:p w14:paraId="4DA3B08C" w14:textId="77777777" w:rsidR="00874C67" w:rsidRPr="00286A20" w:rsidRDefault="00874C67" w:rsidP="008D7D92">
            <w:pPr>
              <w:autoSpaceDE w:val="0"/>
              <w:autoSpaceDN w:val="0"/>
              <w:adjustRightInd w:val="0"/>
              <w:jc w:val="both"/>
              <w:rPr>
                <w:rFonts w:cs="Arial"/>
              </w:rPr>
            </w:pPr>
          </w:p>
        </w:tc>
      </w:tr>
      <w:tr w:rsidR="00967429" w:rsidRPr="00505117" w14:paraId="4DA3B08F" w14:textId="77777777" w:rsidTr="3B86E627">
        <w:trPr>
          <w:trHeight w:val="567"/>
        </w:trPr>
        <w:tc>
          <w:tcPr>
            <w:tcW w:w="9493" w:type="dxa"/>
            <w:shd w:val="clear" w:color="auto" w:fill="D9D9D9" w:themeFill="background1" w:themeFillShade="D9"/>
            <w:vAlign w:val="center"/>
          </w:tcPr>
          <w:p w14:paraId="4DA3B08E" w14:textId="77777777" w:rsidR="00967429" w:rsidRPr="00A005EF" w:rsidRDefault="3B86E627" w:rsidP="00DA3E5E">
            <w:pPr>
              <w:spacing w:before="120" w:after="120"/>
              <w:rPr>
                <w:b/>
                <w:bCs/>
              </w:rPr>
            </w:pPr>
            <w:r w:rsidRPr="3B86E627">
              <w:rPr>
                <w:b/>
                <w:bCs/>
              </w:rPr>
              <w:t>FUNDING AND DELIVERABLES</w:t>
            </w:r>
          </w:p>
        </w:tc>
      </w:tr>
      <w:tr w:rsidR="00967429" w:rsidRPr="00EF4406" w14:paraId="4DA3B110" w14:textId="77777777" w:rsidTr="3B86E627">
        <w:trPr>
          <w:trHeight w:val="1408"/>
        </w:trPr>
        <w:tc>
          <w:tcPr>
            <w:tcW w:w="9493" w:type="dxa"/>
          </w:tcPr>
          <w:p w14:paraId="4DA3B090" w14:textId="77777777" w:rsidR="007E7731" w:rsidRDefault="007E7731" w:rsidP="008D7D92">
            <w:pPr>
              <w:jc w:val="both"/>
              <w:rPr>
                <w:rFonts w:cs="Arial"/>
              </w:rPr>
            </w:pPr>
          </w:p>
          <w:p w14:paraId="4DA3B091" w14:textId="77777777" w:rsidR="007E7731" w:rsidRPr="00C107CE" w:rsidRDefault="3B86E627" w:rsidP="008D7D92">
            <w:pPr>
              <w:jc w:val="both"/>
              <w:rPr>
                <w:rFonts w:cs="Arial"/>
                <w:b/>
              </w:rPr>
            </w:pPr>
            <w:r w:rsidRPr="3B86E627">
              <w:rPr>
                <w:rFonts w:eastAsia="Arial" w:cs="Arial"/>
                <w:b/>
                <w:bCs/>
              </w:rPr>
              <w:t>LEP Specific</w:t>
            </w:r>
          </w:p>
          <w:p w14:paraId="4DA3B092" w14:textId="77777777" w:rsidR="007E7731" w:rsidRDefault="007E7731" w:rsidP="008D7D92">
            <w:pPr>
              <w:jc w:val="both"/>
              <w:rPr>
                <w:rFonts w:cs="Arial"/>
              </w:rPr>
            </w:pPr>
          </w:p>
          <w:p w14:paraId="4DA3B093" w14:textId="07FCD03E" w:rsidR="00130EFA" w:rsidRPr="0066567A" w:rsidRDefault="3B86E627" w:rsidP="008D7D92">
            <w:pPr>
              <w:jc w:val="both"/>
              <w:rPr>
                <w:rFonts w:cs="Arial"/>
              </w:rPr>
            </w:pPr>
            <w:r w:rsidRPr="3B86E627">
              <w:rPr>
                <w:rFonts w:eastAsia="Arial" w:cs="Arial"/>
              </w:rPr>
              <w:t xml:space="preserve">Currently up to </w:t>
            </w:r>
            <w:r w:rsidRPr="3B86E627">
              <w:rPr>
                <w:rFonts w:eastAsia="Arial" w:cs="Arial"/>
                <w:b/>
                <w:bCs/>
              </w:rPr>
              <w:t xml:space="preserve">£3,663,700 </w:t>
            </w:r>
            <w:r w:rsidRPr="3B86E627">
              <w:rPr>
                <w:rFonts w:eastAsia="Arial" w:cs="Arial"/>
              </w:rPr>
              <w:t xml:space="preserve">will be available for the period from </w:t>
            </w:r>
            <w:r w:rsidR="00C83C79">
              <w:rPr>
                <w:rFonts w:eastAsia="Arial" w:cs="Arial"/>
              </w:rPr>
              <w:t>September</w:t>
            </w:r>
            <w:r w:rsidRPr="3B86E627">
              <w:rPr>
                <w:rFonts w:eastAsia="Arial" w:cs="Arial"/>
              </w:rPr>
              <w:t xml:space="preserve"> 2016 to March 2018.  This may be increased if additional funding becomes available. </w:t>
            </w:r>
          </w:p>
          <w:p w14:paraId="4DA3B094" w14:textId="77777777" w:rsidR="00130EFA" w:rsidRDefault="00130EFA" w:rsidP="008D7D92">
            <w:pPr>
              <w:jc w:val="both"/>
              <w:rPr>
                <w:rFonts w:cs="Arial"/>
              </w:rPr>
            </w:pPr>
          </w:p>
          <w:p w14:paraId="4DA3B095" w14:textId="77777777" w:rsidR="00745113" w:rsidRPr="0066567A" w:rsidRDefault="3B86E627" w:rsidP="00745113">
            <w:pPr>
              <w:jc w:val="both"/>
              <w:rPr>
                <w:rFonts w:cs="Arial"/>
              </w:rPr>
            </w:pPr>
            <w:r w:rsidRPr="3B86E627">
              <w:rPr>
                <w:rFonts w:eastAsia="Arial" w:cs="Arial"/>
              </w:rPr>
              <w:t xml:space="preserve">IP1.2 Young People - </w:t>
            </w:r>
            <w:r>
              <w:t xml:space="preserve">£1,911,400 </w:t>
            </w:r>
          </w:p>
          <w:p w14:paraId="4DA3B096" w14:textId="77777777" w:rsidR="00745113" w:rsidRPr="0066567A" w:rsidRDefault="3B86E627" w:rsidP="00745113">
            <w:pPr>
              <w:jc w:val="both"/>
              <w:rPr>
                <w:rFonts w:cs="Arial"/>
              </w:rPr>
            </w:pPr>
            <w:r w:rsidRPr="3B86E627">
              <w:rPr>
                <w:rFonts w:eastAsia="Arial" w:cs="Arial"/>
              </w:rPr>
              <w:t>IP1.1 Adults - £1,752,300</w:t>
            </w:r>
          </w:p>
          <w:p w14:paraId="4DA3B097" w14:textId="77777777" w:rsidR="00614CD9" w:rsidRPr="0066567A" w:rsidRDefault="00614CD9" w:rsidP="008D7D92">
            <w:pPr>
              <w:jc w:val="both"/>
              <w:rPr>
                <w:rFonts w:cs="Arial"/>
              </w:rPr>
            </w:pPr>
          </w:p>
          <w:p w14:paraId="4DA3B098" w14:textId="77777777" w:rsidR="00F22934" w:rsidRPr="0066567A" w:rsidRDefault="3B86E627" w:rsidP="008D7D92">
            <w:pPr>
              <w:jc w:val="both"/>
              <w:rPr>
                <w:rFonts w:cs="Arial"/>
              </w:rPr>
            </w:pPr>
            <w:r w:rsidRPr="3B86E627">
              <w:rPr>
                <w:rFonts w:eastAsia="Arial" w:cs="Arial"/>
              </w:rPr>
              <w:t xml:space="preserve">The table below shows the initial planned outcomes, but performance management may change the volumes and mix during the life of the contract.  </w:t>
            </w:r>
          </w:p>
          <w:p w14:paraId="4DA3B099" w14:textId="77777777" w:rsidR="008D7D92" w:rsidRPr="00874C67" w:rsidRDefault="008D7D92" w:rsidP="008D7D92">
            <w:pPr>
              <w:jc w:val="both"/>
              <w:rPr>
                <w:b/>
                <w:color w:val="0070C0"/>
              </w:rPr>
            </w:pPr>
          </w:p>
          <w:p w14:paraId="4DA3B09A" w14:textId="77777777" w:rsidR="00874C67" w:rsidRPr="0066567A" w:rsidRDefault="3B86E627" w:rsidP="008D7D92">
            <w:pPr>
              <w:jc w:val="both"/>
              <w:rPr>
                <w:rFonts w:cs="Arial"/>
                <w:b/>
              </w:rPr>
            </w:pPr>
            <w:r w:rsidRPr="3B86E627">
              <w:rPr>
                <w:rFonts w:eastAsia="Arial" w:cs="Arial"/>
                <w:b/>
                <w:bCs/>
              </w:rPr>
              <w:t>Deliverables:</w:t>
            </w:r>
          </w:p>
          <w:p w14:paraId="4DA3B09B" w14:textId="77777777" w:rsidR="00874C67" w:rsidRPr="0066567A" w:rsidRDefault="00874C67" w:rsidP="008D7D92">
            <w:pPr>
              <w:ind w:left="29"/>
              <w:jc w:val="both"/>
              <w:rPr>
                <w:rFonts w:cs="Arial"/>
                <w:highlight w:val="yellow"/>
              </w:rPr>
            </w:pPr>
          </w:p>
          <w:p w14:paraId="4DA3B09C" w14:textId="77777777" w:rsidR="00874C67" w:rsidRPr="0066567A" w:rsidRDefault="3B86E627" w:rsidP="008D7D92">
            <w:pPr>
              <w:spacing w:after="200" w:line="276" w:lineRule="auto"/>
              <w:jc w:val="both"/>
              <w:rPr>
                <w:rFonts w:cs="Arial"/>
              </w:rPr>
            </w:pPr>
            <w:r w:rsidRPr="3B86E627">
              <w:rPr>
                <w:rFonts w:eastAsia="Arial" w:cs="Arial"/>
              </w:rPr>
              <w:t xml:space="preserve">In order to measure the progress of Greater Manchester participants, the successful Candidate will need to provide the following information to support the deliverables: </w:t>
            </w:r>
          </w:p>
          <w:p w14:paraId="4DA3B09D" w14:textId="77777777" w:rsidR="00874C67" w:rsidRDefault="3B86E627" w:rsidP="3B86E627">
            <w:pPr>
              <w:pStyle w:val="ListParagraph"/>
              <w:numPr>
                <w:ilvl w:val="0"/>
                <w:numId w:val="36"/>
              </w:numPr>
              <w:spacing w:after="200" w:line="276" w:lineRule="auto"/>
              <w:jc w:val="both"/>
              <w:rPr>
                <w:rFonts w:eastAsia="Arial" w:cs="Arial"/>
              </w:rPr>
            </w:pPr>
            <w:r w:rsidRPr="3B86E627">
              <w:rPr>
                <w:rFonts w:eastAsia="Arial" w:cs="Arial"/>
              </w:rPr>
              <w:t>Customer satisfaction outcomes (SD01 deliverable) – demonstrated by the completion of an individual action plan on which the customer and adviser confirm:</w:t>
            </w:r>
          </w:p>
          <w:p w14:paraId="2829A488" w14:textId="77777777" w:rsidR="00B07E09" w:rsidRPr="0066567A" w:rsidRDefault="00B07E09" w:rsidP="00B07E09">
            <w:pPr>
              <w:pStyle w:val="ListParagraph"/>
              <w:spacing w:after="200" w:line="276" w:lineRule="auto"/>
              <w:ind w:left="644"/>
              <w:jc w:val="both"/>
              <w:rPr>
                <w:rFonts w:eastAsia="Arial" w:cs="Arial"/>
              </w:rPr>
            </w:pPr>
          </w:p>
          <w:p w14:paraId="4DA3B09E" w14:textId="77777777" w:rsidR="00874C67" w:rsidRPr="0066567A" w:rsidRDefault="3B86E627" w:rsidP="3B86E627">
            <w:pPr>
              <w:pStyle w:val="ListParagraph"/>
              <w:numPr>
                <w:ilvl w:val="0"/>
                <w:numId w:val="31"/>
              </w:numPr>
              <w:spacing w:after="200"/>
              <w:jc w:val="both"/>
              <w:rPr>
                <w:rFonts w:eastAsia="Arial" w:cs="Arial"/>
              </w:rPr>
            </w:pPr>
            <w:r w:rsidRPr="3B86E627">
              <w:rPr>
                <w:rFonts w:eastAsia="Arial" w:cs="Arial"/>
              </w:rPr>
              <w:t>The relevance of agreed actions and outcomes to expectations;</w:t>
            </w:r>
          </w:p>
          <w:p w14:paraId="4DA3B09F" w14:textId="77777777" w:rsidR="00874C67" w:rsidRPr="0066567A" w:rsidRDefault="3B86E627" w:rsidP="3B86E627">
            <w:pPr>
              <w:pStyle w:val="ListParagraph"/>
              <w:numPr>
                <w:ilvl w:val="0"/>
                <w:numId w:val="31"/>
              </w:numPr>
              <w:spacing w:after="200"/>
              <w:jc w:val="both"/>
              <w:rPr>
                <w:rFonts w:eastAsia="Arial" w:cs="Arial"/>
              </w:rPr>
            </w:pPr>
            <w:r w:rsidRPr="3B86E627">
              <w:rPr>
                <w:rFonts w:eastAsia="Arial" w:cs="Arial"/>
              </w:rPr>
              <w:t>The accuracy of recording of customer needs;</w:t>
            </w:r>
          </w:p>
          <w:p w14:paraId="4DA3B0A0" w14:textId="77777777" w:rsidR="00874C67" w:rsidRPr="0066567A" w:rsidRDefault="3B86E627" w:rsidP="3B86E627">
            <w:pPr>
              <w:pStyle w:val="ListParagraph"/>
              <w:numPr>
                <w:ilvl w:val="0"/>
                <w:numId w:val="31"/>
              </w:numPr>
              <w:spacing w:after="200"/>
              <w:jc w:val="both"/>
              <w:rPr>
                <w:rFonts w:eastAsia="Arial" w:cs="Arial"/>
              </w:rPr>
            </w:pPr>
            <w:r w:rsidRPr="3B86E627">
              <w:rPr>
                <w:rFonts w:eastAsia="Arial" w:cs="Arial"/>
              </w:rPr>
              <w:t>Customer satisfaction with the service provided; its timeliness, location and method of delivery and</w:t>
            </w:r>
          </w:p>
          <w:p w14:paraId="4DA3B0A1" w14:textId="77777777" w:rsidR="00874C67" w:rsidRPr="0066567A" w:rsidRDefault="3B86E627" w:rsidP="3B86E627">
            <w:pPr>
              <w:pStyle w:val="ListParagraph"/>
              <w:numPr>
                <w:ilvl w:val="0"/>
                <w:numId w:val="31"/>
              </w:numPr>
              <w:spacing w:after="200"/>
              <w:jc w:val="both"/>
              <w:rPr>
                <w:rFonts w:eastAsia="Arial" w:cs="Arial"/>
              </w:rPr>
            </w:pPr>
            <w:r w:rsidRPr="3B86E627">
              <w:rPr>
                <w:rFonts w:eastAsia="Arial" w:cs="Arial"/>
              </w:rPr>
              <w:t>Customer awareness of how on-going support will be provided.</w:t>
            </w:r>
          </w:p>
          <w:p w14:paraId="4DA3B0A2" w14:textId="77777777" w:rsidR="00623107" w:rsidRPr="0066567A" w:rsidRDefault="00623107" w:rsidP="00623107">
            <w:pPr>
              <w:pStyle w:val="ListParagraph"/>
              <w:spacing w:after="200"/>
              <w:ind w:left="1440"/>
              <w:jc w:val="both"/>
              <w:rPr>
                <w:rFonts w:cs="Arial"/>
              </w:rPr>
            </w:pPr>
          </w:p>
          <w:p w14:paraId="4DA3B0A3" w14:textId="77777777" w:rsidR="00874C67" w:rsidRDefault="3B86E627" w:rsidP="3B86E627">
            <w:pPr>
              <w:pStyle w:val="ListParagraph"/>
              <w:numPr>
                <w:ilvl w:val="0"/>
                <w:numId w:val="36"/>
              </w:numPr>
              <w:spacing w:after="200" w:line="276" w:lineRule="auto"/>
              <w:jc w:val="both"/>
              <w:rPr>
                <w:rFonts w:eastAsia="Arial" w:cs="Arial"/>
              </w:rPr>
            </w:pPr>
            <w:r w:rsidRPr="3B86E627">
              <w:rPr>
                <w:rFonts w:eastAsia="Arial" w:cs="Arial"/>
              </w:rPr>
              <w:t>Independent career management outcomes (SD02 deliverable) – demonstrated by (for example):</w:t>
            </w:r>
          </w:p>
          <w:p w14:paraId="6099CC52" w14:textId="77777777" w:rsidR="00B07E09" w:rsidRPr="0066567A" w:rsidRDefault="00B07E09" w:rsidP="00B07E09">
            <w:pPr>
              <w:pStyle w:val="ListParagraph"/>
              <w:spacing w:after="200" w:line="276" w:lineRule="auto"/>
              <w:ind w:left="644"/>
              <w:jc w:val="both"/>
              <w:rPr>
                <w:rFonts w:eastAsia="Arial" w:cs="Arial"/>
              </w:rPr>
            </w:pPr>
          </w:p>
          <w:p w14:paraId="4DA3B0A4" w14:textId="77777777" w:rsidR="00874C67" w:rsidRPr="0066567A" w:rsidRDefault="3B86E627" w:rsidP="3B86E627">
            <w:pPr>
              <w:pStyle w:val="ListParagraph"/>
              <w:numPr>
                <w:ilvl w:val="0"/>
                <w:numId w:val="33"/>
              </w:numPr>
              <w:spacing w:after="200"/>
              <w:jc w:val="both"/>
              <w:rPr>
                <w:rFonts w:eastAsia="Arial" w:cs="Arial"/>
              </w:rPr>
            </w:pPr>
            <w:r w:rsidRPr="3B86E627">
              <w:rPr>
                <w:rFonts w:eastAsia="Arial" w:cs="Arial"/>
              </w:rPr>
              <w:t>Customers self-assessing their skills</w:t>
            </w:r>
          </w:p>
          <w:p w14:paraId="4DA3B0A5" w14:textId="77777777" w:rsidR="00874C67" w:rsidRPr="0066567A" w:rsidRDefault="3B86E627" w:rsidP="3B86E627">
            <w:pPr>
              <w:pStyle w:val="ListParagraph"/>
              <w:numPr>
                <w:ilvl w:val="0"/>
                <w:numId w:val="33"/>
              </w:numPr>
              <w:spacing w:after="200"/>
              <w:jc w:val="both"/>
              <w:rPr>
                <w:rFonts w:eastAsia="Arial" w:cs="Arial"/>
              </w:rPr>
            </w:pPr>
            <w:r w:rsidRPr="3B86E627">
              <w:rPr>
                <w:rFonts w:eastAsia="Arial" w:cs="Arial"/>
              </w:rPr>
              <w:t>Customers identifying appropriate learning opportunities to follow</w:t>
            </w:r>
          </w:p>
          <w:p w14:paraId="4DA3B0A6" w14:textId="77777777" w:rsidR="00874C67" w:rsidRPr="0066567A" w:rsidRDefault="3B86E627" w:rsidP="3B86E627">
            <w:pPr>
              <w:pStyle w:val="ListParagraph"/>
              <w:numPr>
                <w:ilvl w:val="0"/>
                <w:numId w:val="33"/>
              </w:numPr>
              <w:spacing w:after="200"/>
              <w:jc w:val="both"/>
              <w:rPr>
                <w:rFonts w:eastAsia="Arial" w:cs="Arial"/>
              </w:rPr>
            </w:pPr>
            <w:r w:rsidRPr="3B86E627">
              <w:rPr>
                <w:rFonts w:eastAsia="Arial" w:cs="Arial"/>
              </w:rPr>
              <w:t>Customers accessing their Personal Learner Record and updating their Lifelong Learning Account or CV (for example, by using CV Builder or the Skills Health Check)</w:t>
            </w:r>
          </w:p>
          <w:p w14:paraId="4DA3B0A7" w14:textId="77777777" w:rsidR="00874C67" w:rsidRPr="0066567A" w:rsidRDefault="3B86E627" w:rsidP="3B86E627">
            <w:pPr>
              <w:pStyle w:val="ListParagraph"/>
              <w:numPr>
                <w:ilvl w:val="0"/>
                <w:numId w:val="33"/>
              </w:numPr>
              <w:spacing w:after="200"/>
              <w:jc w:val="both"/>
              <w:rPr>
                <w:rFonts w:eastAsia="Arial" w:cs="Arial"/>
              </w:rPr>
            </w:pPr>
            <w:r w:rsidRPr="3B86E627">
              <w:rPr>
                <w:rFonts w:eastAsia="Arial" w:cs="Arial"/>
              </w:rPr>
              <w:t>Customers identifying and pursuing opportunities to improve their employability (for example through volunteering)</w:t>
            </w:r>
          </w:p>
          <w:p w14:paraId="4DA3B0A8" w14:textId="77777777" w:rsidR="00507D77" w:rsidRPr="00874C67" w:rsidRDefault="00507D77" w:rsidP="00507D77">
            <w:pPr>
              <w:pStyle w:val="ListParagraph"/>
              <w:spacing w:after="200"/>
              <w:ind w:left="1440"/>
              <w:jc w:val="both"/>
              <w:rPr>
                <w:rFonts w:cs="Arial"/>
                <w:color w:val="0070C0"/>
              </w:rPr>
            </w:pPr>
          </w:p>
          <w:p w14:paraId="4DA3B0A9" w14:textId="77777777" w:rsidR="00F22934" w:rsidRDefault="3B86E627" w:rsidP="008D7D92">
            <w:pPr>
              <w:autoSpaceDE w:val="0"/>
              <w:autoSpaceDN w:val="0"/>
              <w:adjustRightInd w:val="0"/>
              <w:jc w:val="both"/>
              <w:rPr>
                <w:rFonts w:eastAsia="Arial" w:cs="Arial"/>
              </w:rPr>
            </w:pPr>
            <w:r w:rsidRPr="3B86E627">
              <w:rPr>
                <w:rFonts w:eastAsia="Arial" w:cs="Arial"/>
              </w:rPr>
              <w:lastRenderedPageBreak/>
              <w:t>The minimum service deliverables, values and volumes for which evidence must be provided are:</w:t>
            </w:r>
          </w:p>
          <w:p w14:paraId="4DA3B0AA" w14:textId="77777777" w:rsidR="0037201B" w:rsidRDefault="0037201B" w:rsidP="008D7D92">
            <w:pPr>
              <w:jc w:val="both"/>
              <w:rPr>
                <w:rFonts w:cs="Arial"/>
                <w:color w:val="1F497D" w:themeColor="text2"/>
              </w:rPr>
            </w:pPr>
          </w:p>
          <w:p w14:paraId="4DA3B0AB" w14:textId="768915E8" w:rsidR="00F22934" w:rsidRDefault="003B379C" w:rsidP="008D7D92">
            <w:pPr>
              <w:jc w:val="both"/>
              <w:rPr>
                <w:rFonts w:eastAsia="Arial" w:cs="Arial"/>
                <w:b/>
              </w:rPr>
            </w:pPr>
            <w:r>
              <w:rPr>
                <w:rFonts w:eastAsia="Arial" w:cs="Arial"/>
                <w:b/>
                <w:bCs/>
              </w:rPr>
              <w:t xml:space="preserve">Theme 1 </w:t>
            </w:r>
            <w:r w:rsidR="3B86E627" w:rsidRPr="3B86E627">
              <w:rPr>
                <w:rFonts w:eastAsia="Arial" w:cs="Arial"/>
                <w:b/>
                <w:bCs/>
              </w:rPr>
              <w:t>IP1.2 CEIAG Young People</w:t>
            </w:r>
          </w:p>
          <w:p w14:paraId="4DA3B0AC" w14:textId="77777777" w:rsidR="00745113" w:rsidRDefault="00745113" w:rsidP="008D7D92">
            <w:pPr>
              <w:jc w:val="both"/>
              <w:rPr>
                <w:rFonts w:eastAsia="Arial" w:cs="Arial"/>
                <w:b/>
              </w:rPr>
            </w:pPr>
          </w:p>
          <w:tbl>
            <w:tblPr>
              <w:tblW w:w="9460" w:type="dxa"/>
              <w:tblLook w:val="04A0" w:firstRow="1" w:lastRow="0" w:firstColumn="1" w:lastColumn="0" w:noHBand="0" w:noVBand="1"/>
            </w:tblPr>
            <w:tblGrid>
              <w:gridCol w:w="5785"/>
              <w:gridCol w:w="1097"/>
              <w:gridCol w:w="1361"/>
              <w:gridCol w:w="1217"/>
            </w:tblGrid>
            <w:tr w:rsidR="00745113" w:rsidRPr="00745113" w14:paraId="4DA3B0B1" w14:textId="77777777" w:rsidTr="3B86E627">
              <w:trPr>
                <w:trHeight w:val="1404"/>
              </w:trPr>
              <w:tc>
                <w:tcPr>
                  <w:tcW w:w="6009"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4DA3B0AD" w14:textId="77777777" w:rsidR="00745113" w:rsidRPr="00745113" w:rsidRDefault="3B86E627" w:rsidP="00745113">
                  <w:pPr>
                    <w:rPr>
                      <w:rFonts w:cs="Arial"/>
                      <w:b/>
                      <w:bCs/>
                      <w:color w:val="000000"/>
                      <w:sz w:val="20"/>
                      <w:szCs w:val="20"/>
                      <w:lang w:eastAsia="en-GB"/>
                    </w:rPr>
                  </w:pPr>
                  <w:r w:rsidRPr="3B86E627">
                    <w:rPr>
                      <w:rFonts w:eastAsia="Arial" w:cs="Arial"/>
                      <w:b/>
                      <w:bCs/>
                      <w:color w:val="000000" w:themeColor="text1"/>
                      <w:sz w:val="20"/>
                      <w:szCs w:val="20"/>
                      <w:lang w:eastAsia="en-GB"/>
                    </w:rPr>
                    <w:t>Description</w:t>
                  </w:r>
                </w:p>
              </w:tc>
              <w:tc>
                <w:tcPr>
                  <w:tcW w:w="1097"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4DA3B0AE" w14:textId="77777777" w:rsidR="00745113" w:rsidRPr="00745113" w:rsidRDefault="3B86E627" w:rsidP="00745113">
                  <w:pPr>
                    <w:jc w:val="center"/>
                    <w:rPr>
                      <w:rFonts w:cs="Arial"/>
                      <w:b/>
                      <w:bCs/>
                      <w:color w:val="000000"/>
                      <w:sz w:val="20"/>
                      <w:szCs w:val="20"/>
                      <w:lang w:eastAsia="en-GB"/>
                    </w:rPr>
                  </w:pPr>
                  <w:r w:rsidRPr="3B86E627">
                    <w:rPr>
                      <w:rFonts w:eastAsia="Arial" w:cs="Arial"/>
                      <w:b/>
                      <w:bCs/>
                      <w:color w:val="000000" w:themeColor="text1"/>
                      <w:sz w:val="20"/>
                      <w:szCs w:val="20"/>
                      <w:lang w:eastAsia="en-GB"/>
                    </w:rPr>
                    <w:t>Volumes</w:t>
                  </w:r>
                </w:p>
              </w:tc>
              <w:tc>
                <w:tcPr>
                  <w:tcW w:w="1254"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4DA3B0AF" w14:textId="77777777" w:rsidR="00745113" w:rsidRPr="00745113" w:rsidRDefault="3B86E627" w:rsidP="00745113">
                  <w:pPr>
                    <w:jc w:val="center"/>
                    <w:rPr>
                      <w:rFonts w:cs="Arial"/>
                      <w:b/>
                      <w:bCs/>
                      <w:color w:val="000000"/>
                      <w:sz w:val="20"/>
                      <w:szCs w:val="20"/>
                      <w:lang w:eastAsia="en-GB"/>
                    </w:rPr>
                  </w:pPr>
                  <w:r w:rsidRPr="3B86E627">
                    <w:rPr>
                      <w:rFonts w:eastAsia="Arial" w:cs="Arial"/>
                      <w:b/>
                      <w:bCs/>
                      <w:color w:val="000000" w:themeColor="text1"/>
                      <w:sz w:val="20"/>
                      <w:szCs w:val="20"/>
                      <w:lang w:eastAsia="en-GB"/>
                    </w:rPr>
                    <w:t>Unit Cost Total Value Average per Intervention</w:t>
                  </w:r>
                </w:p>
              </w:tc>
              <w:tc>
                <w:tcPr>
                  <w:tcW w:w="110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4DA3B0B0" w14:textId="77777777" w:rsidR="00745113" w:rsidRPr="00745113" w:rsidRDefault="3B86E627" w:rsidP="00745113">
                  <w:pPr>
                    <w:jc w:val="center"/>
                    <w:rPr>
                      <w:rFonts w:cs="Arial"/>
                      <w:b/>
                      <w:bCs/>
                      <w:color w:val="000000"/>
                      <w:sz w:val="20"/>
                      <w:szCs w:val="20"/>
                      <w:lang w:eastAsia="en-GB"/>
                    </w:rPr>
                  </w:pPr>
                  <w:r w:rsidRPr="3B86E627">
                    <w:rPr>
                      <w:rFonts w:eastAsia="Arial" w:cs="Arial"/>
                      <w:b/>
                      <w:bCs/>
                      <w:color w:val="000000" w:themeColor="text1"/>
                      <w:sz w:val="20"/>
                      <w:szCs w:val="20"/>
                      <w:lang w:eastAsia="en-GB"/>
                    </w:rPr>
                    <w:t>£</w:t>
                  </w:r>
                </w:p>
              </w:tc>
            </w:tr>
            <w:tr w:rsidR="00745113" w:rsidRPr="00745113" w14:paraId="4DA3B0B6" w14:textId="77777777" w:rsidTr="3B86E627">
              <w:trPr>
                <w:trHeight w:val="450"/>
              </w:trPr>
              <w:tc>
                <w:tcPr>
                  <w:tcW w:w="6100" w:type="dxa"/>
                  <w:tcBorders>
                    <w:top w:val="single" w:sz="4" w:space="0" w:color="000000" w:themeColor="text1"/>
                    <w:left w:val="single" w:sz="4" w:space="0" w:color="000000" w:themeColor="text1"/>
                    <w:bottom w:val="single" w:sz="4" w:space="0" w:color="auto"/>
                    <w:right w:val="single" w:sz="4" w:space="0" w:color="auto"/>
                  </w:tcBorders>
                  <w:shd w:val="clear" w:color="auto" w:fill="D9D9D9" w:themeFill="background1" w:themeFillShade="D9"/>
                  <w:vAlign w:val="center"/>
                  <w:hideMark/>
                </w:tcPr>
                <w:p w14:paraId="4DA3B0B2" w14:textId="77777777" w:rsidR="00745113" w:rsidRPr="00745113" w:rsidRDefault="3B86E627" w:rsidP="00745113">
                  <w:pPr>
                    <w:rPr>
                      <w:rFonts w:cs="Arial"/>
                      <w:color w:val="000000"/>
                      <w:sz w:val="20"/>
                      <w:szCs w:val="20"/>
                      <w:lang w:eastAsia="en-GB"/>
                    </w:rPr>
                  </w:pPr>
                  <w:r w:rsidRPr="3B86E627">
                    <w:rPr>
                      <w:rFonts w:eastAsia="Arial" w:cs="Arial"/>
                      <w:color w:val="000000" w:themeColor="text1"/>
                      <w:sz w:val="20"/>
                      <w:szCs w:val="20"/>
                      <w:lang w:eastAsia="en-GB"/>
                    </w:rPr>
                    <w:t>ST01 Learner Assessment and Plan</w:t>
                  </w:r>
                </w:p>
              </w:tc>
              <w:tc>
                <w:tcPr>
                  <w:tcW w:w="1100"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4DA3B0B3" w14:textId="2BBBBACD" w:rsidR="00745113" w:rsidRPr="00745113" w:rsidRDefault="3B86E627" w:rsidP="00745113">
                  <w:pPr>
                    <w:jc w:val="center"/>
                    <w:rPr>
                      <w:rFonts w:cs="Arial"/>
                      <w:color w:val="000000"/>
                      <w:sz w:val="20"/>
                      <w:szCs w:val="20"/>
                      <w:lang w:eastAsia="en-GB"/>
                    </w:rPr>
                  </w:pPr>
                  <w:r w:rsidRPr="3B86E627">
                    <w:rPr>
                      <w:rFonts w:eastAsia="Arial" w:cs="Arial"/>
                      <w:color w:val="000000" w:themeColor="text1"/>
                      <w:sz w:val="20"/>
                      <w:szCs w:val="20"/>
                      <w:lang w:eastAsia="en-GB"/>
                    </w:rPr>
                    <w:t>5,500</w:t>
                  </w:r>
                </w:p>
              </w:tc>
              <w:tc>
                <w:tcPr>
                  <w:tcW w:w="1160"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noWrap/>
                  <w:vAlign w:val="center"/>
                  <w:hideMark/>
                </w:tcPr>
                <w:p w14:paraId="4DA3B0B4" w14:textId="77777777" w:rsidR="00745113" w:rsidRPr="00745113" w:rsidRDefault="3B86E627" w:rsidP="00745113">
                  <w:pPr>
                    <w:jc w:val="center"/>
                    <w:rPr>
                      <w:rFonts w:cs="Arial"/>
                      <w:color w:val="000000"/>
                      <w:sz w:val="20"/>
                      <w:szCs w:val="20"/>
                      <w:lang w:eastAsia="en-GB"/>
                    </w:rPr>
                  </w:pPr>
                  <w:r w:rsidRPr="3B86E627">
                    <w:rPr>
                      <w:rFonts w:eastAsia="Arial" w:cs="Arial"/>
                      <w:color w:val="000000" w:themeColor="text1"/>
                      <w:sz w:val="20"/>
                      <w:szCs w:val="20"/>
                      <w:lang w:eastAsia="en-GB"/>
                    </w:rPr>
                    <w:t>£0</w:t>
                  </w:r>
                </w:p>
              </w:tc>
              <w:tc>
                <w:tcPr>
                  <w:tcW w:w="1100"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noWrap/>
                  <w:vAlign w:val="center"/>
                  <w:hideMark/>
                </w:tcPr>
                <w:p w14:paraId="4DA3B0B5" w14:textId="77777777" w:rsidR="00745113" w:rsidRPr="00745113" w:rsidRDefault="3B86E627" w:rsidP="00745113">
                  <w:pPr>
                    <w:jc w:val="center"/>
                    <w:rPr>
                      <w:rFonts w:cs="Arial"/>
                      <w:color w:val="000000"/>
                      <w:sz w:val="20"/>
                      <w:szCs w:val="20"/>
                      <w:lang w:eastAsia="en-GB"/>
                    </w:rPr>
                  </w:pPr>
                  <w:r w:rsidRPr="3B86E627">
                    <w:rPr>
                      <w:rFonts w:eastAsia="Arial" w:cs="Arial"/>
                      <w:color w:val="000000" w:themeColor="text1"/>
                      <w:sz w:val="20"/>
                      <w:szCs w:val="20"/>
                      <w:lang w:eastAsia="en-GB"/>
                    </w:rPr>
                    <w:t>£0</w:t>
                  </w:r>
                </w:p>
              </w:tc>
            </w:tr>
            <w:tr w:rsidR="00745113" w:rsidRPr="00745113" w14:paraId="4DA3B0BB" w14:textId="77777777" w:rsidTr="3B86E627">
              <w:trPr>
                <w:trHeight w:val="450"/>
              </w:trPr>
              <w:tc>
                <w:tcPr>
                  <w:tcW w:w="6100" w:type="dxa"/>
                  <w:tcBorders>
                    <w:top w:val="single" w:sz="4" w:space="0" w:color="000000" w:themeColor="text1"/>
                    <w:left w:val="single" w:sz="4" w:space="0" w:color="000000" w:themeColor="text1"/>
                    <w:bottom w:val="single" w:sz="4" w:space="0" w:color="auto"/>
                    <w:right w:val="single" w:sz="4" w:space="0" w:color="auto"/>
                  </w:tcBorders>
                  <w:shd w:val="clear" w:color="auto" w:fill="auto"/>
                  <w:vAlign w:val="center"/>
                  <w:hideMark/>
                </w:tcPr>
                <w:p w14:paraId="4DA3B0B7" w14:textId="77777777" w:rsidR="00745113" w:rsidRPr="00745113" w:rsidRDefault="3B86E627" w:rsidP="00745113">
                  <w:pPr>
                    <w:rPr>
                      <w:rFonts w:cs="Arial"/>
                      <w:color w:val="000000"/>
                      <w:sz w:val="20"/>
                      <w:szCs w:val="20"/>
                      <w:lang w:eastAsia="en-GB"/>
                    </w:rPr>
                  </w:pPr>
                  <w:r w:rsidRPr="3B86E627">
                    <w:rPr>
                      <w:rFonts w:eastAsia="Arial" w:cs="Arial"/>
                      <w:color w:val="000000" w:themeColor="text1"/>
                      <w:sz w:val="20"/>
                      <w:szCs w:val="20"/>
                      <w:lang w:eastAsia="en-GB"/>
                    </w:rPr>
                    <w:t xml:space="preserve">SD01 Customer satisfied with intervention </w:t>
                  </w:r>
                </w:p>
              </w:tc>
              <w:tc>
                <w:tcPr>
                  <w:tcW w:w="1100" w:type="dxa"/>
                  <w:tcBorders>
                    <w:top w:val="single" w:sz="4" w:space="0" w:color="000000" w:themeColor="text1"/>
                    <w:left w:val="single" w:sz="4" w:space="0" w:color="auto"/>
                    <w:bottom w:val="single" w:sz="4" w:space="0" w:color="auto"/>
                    <w:right w:val="single" w:sz="4" w:space="0" w:color="auto"/>
                  </w:tcBorders>
                  <w:shd w:val="clear" w:color="auto" w:fill="auto"/>
                  <w:vAlign w:val="center"/>
                  <w:hideMark/>
                </w:tcPr>
                <w:p w14:paraId="4DA3B0B8" w14:textId="0F76975C" w:rsidR="00745113" w:rsidRPr="00745113" w:rsidRDefault="3B86E627" w:rsidP="00745113">
                  <w:pPr>
                    <w:jc w:val="center"/>
                    <w:rPr>
                      <w:rFonts w:cs="Arial"/>
                      <w:color w:val="000000"/>
                      <w:sz w:val="20"/>
                      <w:szCs w:val="20"/>
                      <w:lang w:eastAsia="en-GB"/>
                    </w:rPr>
                  </w:pPr>
                  <w:r w:rsidRPr="3B86E627">
                    <w:rPr>
                      <w:rFonts w:eastAsia="Arial" w:cs="Arial"/>
                      <w:color w:val="000000" w:themeColor="text1"/>
                      <w:sz w:val="20"/>
                      <w:szCs w:val="20"/>
                      <w:lang w:eastAsia="en-GB"/>
                    </w:rPr>
                    <w:t>5,500</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A3B0B9" w14:textId="77777777" w:rsidR="00745113" w:rsidRPr="00745113" w:rsidRDefault="3B86E627" w:rsidP="00745113">
                  <w:pPr>
                    <w:jc w:val="center"/>
                    <w:rPr>
                      <w:rFonts w:cs="Arial"/>
                      <w:color w:val="000000"/>
                      <w:sz w:val="20"/>
                      <w:szCs w:val="20"/>
                      <w:lang w:eastAsia="en-GB"/>
                    </w:rPr>
                  </w:pPr>
                  <w:r w:rsidRPr="3B86E627">
                    <w:rPr>
                      <w:rFonts w:eastAsia="Arial" w:cs="Arial"/>
                      <w:color w:val="000000" w:themeColor="text1"/>
                      <w:sz w:val="20"/>
                      <w:szCs w:val="20"/>
                      <w:lang w:eastAsia="en-GB"/>
                    </w:rPr>
                    <w:t>£100</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A3B0BA" w14:textId="77777777" w:rsidR="00745113" w:rsidRPr="00745113" w:rsidRDefault="3B86E627" w:rsidP="00745113">
                  <w:pPr>
                    <w:jc w:val="center"/>
                    <w:rPr>
                      <w:rFonts w:cs="Arial"/>
                      <w:color w:val="000000"/>
                      <w:sz w:val="20"/>
                      <w:szCs w:val="20"/>
                      <w:lang w:eastAsia="en-GB"/>
                    </w:rPr>
                  </w:pPr>
                  <w:r w:rsidRPr="3B86E627">
                    <w:rPr>
                      <w:rFonts w:eastAsia="Arial" w:cs="Arial"/>
                      <w:color w:val="000000" w:themeColor="text1"/>
                      <w:sz w:val="20"/>
                      <w:szCs w:val="20"/>
                      <w:lang w:eastAsia="en-GB"/>
                    </w:rPr>
                    <w:t>£550,000</w:t>
                  </w:r>
                </w:p>
              </w:tc>
            </w:tr>
            <w:tr w:rsidR="00745113" w:rsidRPr="00745113" w14:paraId="4DA3B0C0" w14:textId="77777777" w:rsidTr="3B86E627">
              <w:trPr>
                <w:trHeight w:val="450"/>
              </w:trPr>
              <w:tc>
                <w:tcPr>
                  <w:tcW w:w="6100" w:type="dxa"/>
                  <w:tcBorders>
                    <w:top w:val="single" w:sz="4" w:space="0" w:color="000000" w:themeColor="text1"/>
                    <w:left w:val="single" w:sz="4" w:space="0" w:color="000000" w:themeColor="text1"/>
                    <w:bottom w:val="single" w:sz="4" w:space="0" w:color="auto"/>
                    <w:right w:val="single" w:sz="4" w:space="0" w:color="auto"/>
                  </w:tcBorders>
                  <w:shd w:val="clear" w:color="auto" w:fill="D9D9D9" w:themeFill="background1" w:themeFillShade="D9"/>
                  <w:vAlign w:val="center"/>
                  <w:hideMark/>
                </w:tcPr>
                <w:p w14:paraId="4DA3B0BC" w14:textId="77777777" w:rsidR="00745113" w:rsidRPr="00745113" w:rsidRDefault="3B86E627" w:rsidP="00745113">
                  <w:pPr>
                    <w:rPr>
                      <w:rFonts w:cs="Arial"/>
                      <w:color w:val="000000"/>
                      <w:sz w:val="20"/>
                      <w:szCs w:val="20"/>
                      <w:lang w:eastAsia="en-GB"/>
                    </w:rPr>
                  </w:pPr>
                  <w:r w:rsidRPr="3B86E627">
                    <w:rPr>
                      <w:rFonts w:eastAsia="Arial" w:cs="Arial"/>
                      <w:color w:val="000000" w:themeColor="text1"/>
                      <w:sz w:val="20"/>
                      <w:szCs w:val="20"/>
                      <w:lang w:eastAsia="en-GB"/>
                    </w:rPr>
                    <w:t>SD02 Independent Career Management Outcome</w:t>
                  </w:r>
                </w:p>
              </w:tc>
              <w:tc>
                <w:tcPr>
                  <w:tcW w:w="1100"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4DA3B0BD" w14:textId="7DC290DB" w:rsidR="00745113" w:rsidRPr="00745113" w:rsidRDefault="3B86E627" w:rsidP="00745113">
                  <w:pPr>
                    <w:jc w:val="center"/>
                    <w:rPr>
                      <w:rFonts w:cs="Arial"/>
                      <w:color w:val="000000"/>
                      <w:sz w:val="20"/>
                      <w:szCs w:val="20"/>
                      <w:lang w:eastAsia="en-GB"/>
                    </w:rPr>
                  </w:pPr>
                  <w:r w:rsidRPr="3B86E627">
                    <w:rPr>
                      <w:rFonts w:eastAsia="Arial" w:cs="Arial"/>
                      <w:color w:val="000000" w:themeColor="text1"/>
                      <w:sz w:val="20"/>
                      <w:szCs w:val="20"/>
                      <w:lang w:eastAsia="en-GB"/>
                    </w:rPr>
                    <w:t>4,400</w:t>
                  </w:r>
                </w:p>
              </w:tc>
              <w:tc>
                <w:tcPr>
                  <w:tcW w:w="1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DA3B0BE" w14:textId="77777777" w:rsidR="00745113" w:rsidRPr="00745113" w:rsidRDefault="3B86E627" w:rsidP="00745113">
                  <w:pPr>
                    <w:jc w:val="center"/>
                    <w:rPr>
                      <w:rFonts w:cs="Arial"/>
                      <w:color w:val="000000"/>
                      <w:sz w:val="20"/>
                      <w:szCs w:val="20"/>
                      <w:lang w:eastAsia="en-GB"/>
                    </w:rPr>
                  </w:pPr>
                  <w:r w:rsidRPr="3B86E627">
                    <w:rPr>
                      <w:rFonts w:eastAsia="Arial" w:cs="Arial"/>
                      <w:color w:val="000000" w:themeColor="text1"/>
                      <w:sz w:val="20"/>
                      <w:szCs w:val="20"/>
                      <w:lang w:eastAsia="en-GB"/>
                    </w:rPr>
                    <w:t>£125</w:t>
                  </w:r>
                </w:p>
              </w:tc>
              <w:tc>
                <w:tcPr>
                  <w:tcW w:w="11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DA3B0BF" w14:textId="77777777" w:rsidR="00745113" w:rsidRPr="00745113" w:rsidRDefault="3B86E627" w:rsidP="00745113">
                  <w:pPr>
                    <w:jc w:val="center"/>
                    <w:rPr>
                      <w:rFonts w:cs="Arial"/>
                      <w:color w:val="000000"/>
                      <w:sz w:val="20"/>
                      <w:szCs w:val="20"/>
                      <w:lang w:eastAsia="en-GB"/>
                    </w:rPr>
                  </w:pPr>
                  <w:r w:rsidRPr="3B86E627">
                    <w:rPr>
                      <w:rFonts w:eastAsia="Arial" w:cs="Arial"/>
                      <w:color w:val="000000" w:themeColor="text1"/>
                      <w:sz w:val="20"/>
                      <w:szCs w:val="20"/>
                      <w:lang w:eastAsia="en-GB"/>
                    </w:rPr>
                    <w:t>£550,000</w:t>
                  </w:r>
                </w:p>
              </w:tc>
            </w:tr>
            <w:tr w:rsidR="00745113" w:rsidRPr="00745113" w14:paraId="4DA3B0C5" w14:textId="77777777" w:rsidTr="3B86E627">
              <w:trPr>
                <w:trHeight w:val="450"/>
              </w:trPr>
              <w:tc>
                <w:tcPr>
                  <w:tcW w:w="6100" w:type="dxa"/>
                  <w:tcBorders>
                    <w:top w:val="single" w:sz="4" w:space="0" w:color="000000" w:themeColor="text1"/>
                    <w:left w:val="single" w:sz="4" w:space="0" w:color="000000" w:themeColor="text1"/>
                    <w:bottom w:val="single" w:sz="4" w:space="0" w:color="auto"/>
                    <w:right w:val="single" w:sz="4" w:space="0" w:color="auto"/>
                  </w:tcBorders>
                  <w:shd w:val="clear" w:color="auto" w:fill="auto"/>
                  <w:vAlign w:val="center"/>
                  <w:hideMark/>
                </w:tcPr>
                <w:p w14:paraId="4DA3B0C1" w14:textId="77777777" w:rsidR="00745113" w:rsidRPr="00745113" w:rsidRDefault="3B86E627" w:rsidP="00745113">
                  <w:pPr>
                    <w:rPr>
                      <w:rFonts w:cs="Arial"/>
                      <w:color w:val="000000"/>
                      <w:sz w:val="20"/>
                      <w:szCs w:val="20"/>
                      <w:lang w:eastAsia="en-GB"/>
                    </w:rPr>
                  </w:pPr>
                  <w:r w:rsidRPr="3B86E627">
                    <w:rPr>
                      <w:rFonts w:eastAsia="Arial" w:cs="Arial"/>
                      <w:color w:val="000000" w:themeColor="text1"/>
                      <w:sz w:val="20"/>
                      <w:szCs w:val="20"/>
                      <w:lang w:eastAsia="en-GB"/>
                    </w:rPr>
                    <w:t>PG01 Progression Paid Employment (EMP)</w:t>
                  </w:r>
                </w:p>
              </w:tc>
              <w:tc>
                <w:tcPr>
                  <w:tcW w:w="1100" w:type="dxa"/>
                  <w:tcBorders>
                    <w:top w:val="single" w:sz="4" w:space="0" w:color="000000" w:themeColor="text1"/>
                    <w:left w:val="single" w:sz="4" w:space="0" w:color="auto"/>
                    <w:bottom w:val="single" w:sz="4" w:space="0" w:color="auto"/>
                    <w:right w:val="single" w:sz="4" w:space="0" w:color="auto"/>
                  </w:tcBorders>
                  <w:shd w:val="clear" w:color="auto" w:fill="auto"/>
                  <w:vAlign w:val="center"/>
                  <w:hideMark/>
                </w:tcPr>
                <w:p w14:paraId="4DA3B0C2" w14:textId="4C3F801E" w:rsidR="00745113" w:rsidRPr="00745113" w:rsidRDefault="3B86E627" w:rsidP="00745113">
                  <w:pPr>
                    <w:jc w:val="center"/>
                    <w:rPr>
                      <w:rFonts w:cs="Arial"/>
                      <w:color w:val="000000"/>
                      <w:sz w:val="20"/>
                      <w:szCs w:val="20"/>
                      <w:lang w:eastAsia="en-GB"/>
                    </w:rPr>
                  </w:pPr>
                  <w:r w:rsidRPr="3B86E627">
                    <w:rPr>
                      <w:rFonts w:eastAsia="Arial" w:cs="Arial"/>
                      <w:color w:val="000000" w:themeColor="text1"/>
                      <w:sz w:val="20"/>
                      <w:szCs w:val="20"/>
                      <w:lang w:eastAsia="en-GB"/>
                    </w:rPr>
                    <w:t>413</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A3B0C3" w14:textId="77777777" w:rsidR="00745113" w:rsidRPr="00745113" w:rsidRDefault="3B86E627" w:rsidP="00745113">
                  <w:pPr>
                    <w:jc w:val="center"/>
                    <w:rPr>
                      <w:rFonts w:cs="Arial"/>
                      <w:color w:val="000000"/>
                      <w:sz w:val="20"/>
                      <w:szCs w:val="20"/>
                      <w:lang w:eastAsia="en-GB"/>
                    </w:rPr>
                  </w:pPr>
                  <w:r w:rsidRPr="3B86E627">
                    <w:rPr>
                      <w:rFonts w:eastAsia="Arial" w:cs="Arial"/>
                      <w:color w:val="000000" w:themeColor="text1"/>
                      <w:sz w:val="20"/>
                      <w:szCs w:val="20"/>
                      <w:lang w:eastAsia="en-GB"/>
                    </w:rPr>
                    <w:t>£200</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A3B0C4" w14:textId="77777777" w:rsidR="00745113" w:rsidRPr="00745113" w:rsidRDefault="3B86E627" w:rsidP="00745113">
                  <w:pPr>
                    <w:jc w:val="center"/>
                    <w:rPr>
                      <w:rFonts w:cs="Arial"/>
                      <w:color w:val="000000"/>
                      <w:sz w:val="20"/>
                      <w:szCs w:val="20"/>
                      <w:lang w:eastAsia="en-GB"/>
                    </w:rPr>
                  </w:pPr>
                  <w:r w:rsidRPr="3B86E627">
                    <w:rPr>
                      <w:rFonts w:eastAsia="Arial" w:cs="Arial"/>
                      <w:color w:val="000000" w:themeColor="text1"/>
                      <w:sz w:val="20"/>
                      <w:szCs w:val="20"/>
                      <w:lang w:eastAsia="en-GB"/>
                    </w:rPr>
                    <w:t>£82,600</w:t>
                  </w:r>
                </w:p>
              </w:tc>
            </w:tr>
            <w:tr w:rsidR="00745113" w:rsidRPr="00745113" w14:paraId="4DA3B0CA" w14:textId="77777777" w:rsidTr="3B86E627">
              <w:trPr>
                <w:trHeight w:val="450"/>
              </w:trPr>
              <w:tc>
                <w:tcPr>
                  <w:tcW w:w="6100" w:type="dxa"/>
                  <w:tcBorders>
                    <w:top w:val="single" w:sz="4" w:space="0" w:color="000000" w:themeColor="text1"/>
                    <w:left w:val="single" w:sz="4" w:space="0" w:color="000000" w:themeColor="text1"/>
                    <w:bottom w:val="single" w:sz="4" w:space="0" w:color="auto"/>
                    <w:right w:val="single" w:sz="4" w:space="0" w:color="auto"/>
                  </w:tcBorders>
                  <w:shd w:val="clear" w:color="auto" w:fill="D9D9D9" w:themeFill="background1" w:themeFillShade="D9"/>
                  <w:vAlign w:val="center"/>
                  <w:hideMark/>
                </w:tcPr>
                <w:p w14:paraId="4DA3B0C6" w14:textId="77777777" w:rsidR="00745113" w:rsidRPr="00745113" w:rsidRDefault="3B86E627" w:rsidP="00745113">
                  <w:pPr>
                    <w:rPr>
                      <w:rFonts w:cs="Arial"/>
                      <w:color w:val="000000"/>
                      <w:sz w:val="20"/>
                      <w:szCs w:val="20"/>
                      <w:lang w:eastAsia="en-GB"/>
                    </w:rPr>
                  </w:pPr>
                  <w:r w:rsidRPr="3B86E627">
                    <w:rPr>
                      <w:rFonts w:eastAsia="Arial" w:cs="Arial"/>
                      <w:color w:val="000000" w:themeColor="text1"/>
                      <w:sz w:val="20"/>
                      <w:szCs w:val="20"/>
                      <w:lang w:eastAsia="en-GB"/>
                    </w:rPr>
                    <w:t>PG02 Progression Unpaid Employment (VOL)</w:t>
                  </w:r>
                </w:p>
              </w:tc>
              <w:tc>
                <w:tcPr>
                  <w:tcW w:w="1100"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4DA3B0C7" w14:textId="790E56C7" w:rsidR="00745113" w:rsidRPr="00745113" w:rsidRDefault="3B86E627" w:rsidP="00745113">
                  <w:pPr>
                    <w:jc w:val="center"/>
                    <w:rPr>
                      <w:rFonts w:cs="Arial"/>
                      <w:color w:val="000000"/>
                      <w:sz w:val="20"/>
                      <w:szCs w:val="20"/>
                      <w:lang w:eastAsia="en-GB"/>
                    </w:rPr>
                  </w:pPr>
                  <w:r w:rsidRPr="3B86E627">
                    <w:rPr>
                      <w:rFonts w:eastAsia="Arial" w:cs="Arial"/>
                      <w:color w:val="000000" w:themeColor="text1"/>
                      <w:sz w:val="20"/>
                      <w:szCs w:val="20"/>
                      <w:lang w:eastAsia="en-GB"/>
                    </w:rPr>
                    <w:t>138</w:t>
                  </w:r>
                </w:p>
              </w:tc>
              <w:tc>
                <w:tcPr>
                  <w:tcW w:w="1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DA3B0C8" w14:textId="77777777" w:rsidR="00745113" w:rsidRPr="00745113" w:rsidRDefault="3B86E627" w:rsidP="00745113">
                  <w:pPr>
                    <w:jc w:val="center"/>
                    <w:rPr>
                      <w:rFonts w:cs="Arial"/>
                      <w:color w:val="000000"/>
                      <w:sz w:val="20"/>
                      <w:szCs w:val="20"/>
                      <w:lang w:eastAsia="en-GB"/>
                    </w:rPr>
                  </w:pPr>
                  <w:r w:rsidRPr="3B86E627">
                    <w:rPr>
                      <w:rFonts w:eastAsia="Arial" w:cs="Arial"/>
                      <w:color w:val="000000" w:themeColor="text1"/>
                      <w:sz w:val="20"/>
                      <w:szCs w:val="20"/>
                      <w:lang w:eastAsia="en-GB"/>
                    </w:rPr>
                    <w:t>£100</w:t>
                  </w:r>
                </w:p>
              </w:tc>
              <w:tc>
                <w:tcPr>
                  <w:tcW w:w="11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DA3B0C9" w14:textId="77777777" w:rsidR="00745113" w:rsidRPr="00745113" w:rsidRDefault="3B86E627" w:rsidP="00745113">
                  <w:pPr>
                    <w:jc w:val="center"/>
                    <w:rPr>
                      <w:rFonts w:cs="Arial"/>
                      <w:color w:val="000000"/>
                      <w:sz w:val="20"/>
                      <w:szCs w:val="20"/>
                      <w:lang w:eastAsia="en-GB"/>
                    </w:rPr>
                  </w:pPr>
                  <w:r w:rsidRPr="3B86E627">
                    <w:rPr>
                      <w:rFonts w:eastAsia="Arial" w:cs="Arial"/>
                      <w:color w:val="000000" w:themeColor="text1"/>
                      <w:sz w:val="20"/>
                      <w:szCs w:val="20"/>
                      <w:lang w:eastAsia="en-GB"/>
                    </w:rPr>
                    <w:t>£13,800</w:t>
                  </w:r>
                </w:p>
              </w:tc>
            </w:tr>
            <w:tr w:rsidR="00745113" w:rsidRPr="00745113" w14:paraId="4DA3B0CF" w14:textId="77777777" w:rsidTr="3B86E627">
              <w:trPr>
                <w:trHeight w:val="450"/>
              </w:trPr>
              <w:tc>
                <w:tcPr>
                  <w:tcW w:w="6100" w:type="dxa"/>
                  <w:tcBorders>
                    <w:top w:val="single" w:sz="4" w:space="0" w:color="000000" w:themeColor="text1"/>
                    <w:left w:val="single" w:sz="4" w:space="0" w:color="000000" w:themeColor="text1"/>
                    <w:bottom w:val="single" w:sz="4" w:space="0" w:color="auto"/>
                    <w:right w:val="single" w:sz="4" w:space="0" w:color="auto"/>
                  </w:tcBorders>
                  <w:shd w:val="clear" w:color="auto" w:fill="auto"/>
                  <w:vAlign w:val="center"/>
                  <w:hideMark/>
                </w:tcPr>
                <w:p w14:paraId="4DA3B0CB" w14:textId="77777777" w:rsidR="00745113" w:rsidRPr="00745113" w:rsidRDefault="3B86E627" w:rsidP="00745113">
                  <w:pPr>
                    <w:rPr>
                      <w:rFonts w:cs="Arial"/>
                      <w:color w:val="000000"/>
                      <w:sz w:val="20"/>
                      <w:szCs w:val="20"/>
                      <w:lang w:eastAsia="en-GB"/>
                    </w:rPr>
                  </w:pPr>
                  <w:r w:rsidRPr="3B86E627">
                    <w:rPr>
                      <w:rFonts w:eastAsia="Arial" w:cs="Arial"/>
                      <w:color w:val="000000" w:themeColor="text1"/>
                      <w:sz w:val="20"/>
                      <w:szCs w:val="20"/>
                      <w:lang w:eastAsia="en-GB"/>
                    </w:rPr>
                    <w:t>PG03 Progression Education (EDU)</w:t>
                  </w:r>
                </w:p>
              </w:tc>
              <w:tc>
                <w:tcPr>
                  <w:tcW w:w="1100" w:type="dxa"/>
                  <w:tcBorders>
                    <w:top w:val="single" w:sz="4" w:space="0" w:color="000000" w:themeColor="text1"/>
                    <w:left w:val="single" w:sz="4" w:space="0" w:color="auto"/>
                    <w:bottom w:val="single" w:sz="4" w:space="0" w:color="auto"/>
                    <w:right w:val="single" w:sz="4" w:space="0" w:color="auto"/>
                  </w:tcBorders>
                  <w:shd w:val="clear" w:color="auto" w:fill="auto"/>
                  <w:vAlign w:val="center"/>
                  <w:hideMark/>
                </w:tcPr>
                <w:p w14:paraId="4DA3B0CC" w14:textId="328DA9C1" w:rsidR="00745113" w:rsidRPr="00745113" w:rsidRDefault="3B86E627" w:rsidP="00745113">
                  <w:pPr>
                    <w:jc w:val="center"/>
                    <w:rPr>
                      <w:rFonts w:cs="Arial"/>
                      <w:color w:val="000000"/>
                      <w:sz w:val="20"/>
                      <w:szCs w:val="20"/>
                      <w:lang w:eastAsia="en-GB"/>
                    </w:rPr>
                  </w:pPr>
                  <w:r w:rsidRPr="3B86E627">
                    <w:rPr>
                      <w:rFonts w:eastAsia="Arial" w:cs="Arial"/>
                      <w:color w:val="000000" w:themeColor="text1"/>
                      <w:sz w:val="20"/>
                      <w:szCs w:val="20"/>
                      <w:lang w:eastAsia="en-GB"/>
                    </w:rPr>
                    <w:t>2,475</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A3B0CD" w14:textId="77777777" w:rsidR="00745113" w:rsidRPr="00745113" w:rsidRDefault="3B86E627" w:rsidP="00745113">
                  <w:pPr>
                    <w:jc w:val="center"/>
                    <w:rPr>
                      <w:rFonts w:cs="Arial"/>
                      <w:color w:val="000000"/>
                      <w:sz w:val="20"/>
                      <w:szCs w:val="20"/>
                      <w:lang w:eastAsia="en-GB"/>
                    </w:rPr>
                  </w:pPr>
                  <w:r w:rsidRPr="3B86E627">
                    <w:rPr>
                      <w:rFonts w:eastAsia="Arial" w:cs="Arial"/>
                      <w:color w:val="000000" w:themeColor="text1"/>
                      <w:sz w:val="20"/>
                      <w:szCs w:val="20"/>
                      <w:lang w:eastAsia="en-GB"/>
                    </w:rPr>
                    <w:t>£200</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A3B0CE" w14:textId="77777777" w:rsidR="00745113" w:rsidRPr="00745113" w:rsidRDefault="3B86E627" w:rsidP="00745113">
                  <w:pPr>
                    <w:jc w:val="center"/>
                    <w:rPr>
                      <w:rFonts w:cs="Arial"/>
                      <w:color w:val="000000"/>
                      <w:sz w:val="20"/>
                      <w:szCs w:val="20"/>
                      <w:lang w:eastAsia="en-GB"/>
                    </w:rPr>
                  </w:pPr>
                  <w:r w:rsidRPr="3B86E627">
                    <w:rPr>
                      <w:rFonts w:eastAsia="Arial" w:cs="Arial"/>
                      <w:color w:val="000000" w:themeColor="text1"/>
                      <w:sz w:val="20"/>
                      <w:szCs w:val="20"/>
                      <w:lang w:eastAsia="en-GB"/>
                    </w:rPr>
                    <w:t>£495,000</w:t>
                  </w:r>
                </w:p>
              </w:tc>
            </w:tr>
            <w:tr w:rsidR="00745113" w:rsidRPr="00745113" w14:paraId="4DA3B0D4" w14:textId="77777777" w:rsidTr="3B86E627">
              <w:trPr>
                <w:trHeight w:val="450"/>
              </w:trPr>
              <w:tc>
                <w:tcPr>
                  <w:tcW w:w="6100" w:type="dxa"/>
                  <w:tcBorders>
                    <w:top w:val="single" w:sz="4" w:space="0" w:color="000000" w:themeColor="text1"/>
                    <w:left w:val="single" w:sz="4" w:space="0" w:color="000000" w:themeColor="text1"/>
                    <w:bottom w:val="single" w:sz="4" w:space="0" w:color="auto"/>
                    <w:right w:val="single" w:sz="4" w:space="0" w:color="auto"/>
                  </w:tcBorders>
                  <w:shd w:val="clear" w:color="auto" w:fill="D9D9D9" w:themeFill="background1" w:themeFillShade="D9"/>
                  <w:vAlign w:val="center"/>
                  <w:hideMark/>
                </w:tcPr>
                <w:p w14:paraId="4DA3B0D0" w14:textId="77777777" w:rsidR="00745113" w:rsidRPr="00745113" w:rsidRDefault="3B86E627" w:rsidP="00745113">
                  <w:pPr>
                    <w:rPr>
                      <w:rFonts w:cs="Arial"/>
                      <w:color w:val="000000"/>
                      <w:sz w:val="20"/>
                      <w:szCs w:val="20"/>
                      <w:lang w:eastAsia="en-GB"/>
                    </w:rPr>
                  </w:pPr>
                  <w:r w:rsidRPr="3B86E627">
                    <w:rPr>
                      <w:rFonts w:eastAsia="Arial" w:cs="Arial"/>
                      <w:color w:val="000000" w:themeColor="text1"/>
                      <w:sz w:val="20"/>
                      <w:szCs w:val="20"/>
                      <w:lang w:eastAsia="en-GB"/>
                    </w:rPr>
                    <w:t>PG04 Progression Apprenticeship (EDU)</w:t>
                  </w:r>
                </w:p>
              </w:tc>
              <w:tc>
                <w:tcPr>
                  <w:tcW w:w="1100"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4DA3B0D1" w14:textId="25C20320" w:rsidR="00745113" w:rsidRPr="00745113" w:rsidRDefault="3B86E627" w:rsidP="00745113">
                  <w:pPr>
                    <w:jc w:val="center"/>
                    <w:rPr>
                      <w:rFonts w:cs="Arial"/>
                      <w:color w:val="000000"/>
                      <w:sz w:val="20"/>
                      <w:szCs w:val="20"/>
                      <w:lang w:eastAsia="en-GB"/>
                    </w:rPr>
                  </w:pPr>
                  <w:r w:rsidRPr="3B86E627">
                    <w:rPr>
                      <w:rFonts w:eastAsia="Arial" w:cs="Arial"/>
                      <w:color w:val="000000" w:themeColor="text1"/>
                      <w:sz w:val="20"/>
                      <w:szCs w:val="20"/>
                      <w:lang w:eastAsia="en-GB"/>
                    </w:rPr>
                    <w:t>550</w:t>
                  </w:r>
                </w:p>
              </w:tc>
              <w:tc>
                <w:tcPr>
                  <w:tcW w:w="1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DA3B0D2" w14:textId="77777777" w:rsidR="00745113" w:rsidRPr="00745113" w:rsidRDefault="3B86E627" w:rsidP="00745113">
                  <w:pPr>
                    <w:jc w:val="center"/>
                    <w:rPr>
                      <w:rFonts w:cs="Arial"/>
                      <w:color w:val="000000"/>
                      <w:sz w:val="20"/>
                      <w:szCs w:val="20"/>
                      <w:lang w:eastAsia="en-GB"/>
                    </w:rPr>
                  </w:pPr>
                  <w:r w:rsidRPr="3B86E627">
                    <w:rPr>
                      <w:rFonts w:eastAsia="Arial" w:cs="Arial"/>
                      <w:color w:val="000000" w:themeColor="text1"/>
                      <w:sz w:val="20"/>
                      <w:szCs w:val="20"/>
                      <w:lang w:eastAsia="en-GB"/>
                    </w:rPr>
                    <w:t>£200</w:t>
                  </w:r>
                </w:p>
              </w:tc>
              <w:tc>
                <w:tcPr>
                  <w:tcW w:w="11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DA3B0D3" w14:textId="77777777" w:rsidR="00745113" w:rsidRPr="00745113" w:rsidRDefault="3B86E627" w:rsidP="00745113">
                  <w:pPr>
                    <w:jc w:val="center"/>
                    <w:rPr>
                      <w:rFonts w:cs="Arial"/>
                      <w:color w:val="000000"/>
                      <w:sz w:val="20"/>
                      <w:szCs w:val="20"/>
                      <w:lang w:eastAsia="en-GB"/>
                    </w:rPr>
                  </w:pPr>
                  <w:r w:rsidRPr="3B86E627">
                    <w:rPr>
                      <w:rFonts w:eastAsia="Arial" w:cs="Arial"/>
                      <w:color w:val="000000" w:themeColor="text1"/>
                      <w:sz w:val="20"/>
                      <w:szCs w:val="20"/>
                      <w:lang w:eastAsia="en-GB"/>
                    </w:rPr>
                    <w:t>£110,000</w:t>
                  </w:r>
                </w:p>
              </w:tc>
            </w:tr>
            <w:tr w:rsidR="00745113" w:rsidRPr="00745113" w14:paraId="4DA3B0D9" w14:textId="77777777" w:rsidTr="3B86E627">
              <w:trPr>
                <w:trHeight w:val="450"/>
              </w:trPr>
              <w:tc>
                <w:tcPr>
                  <w:tcW w:w="6100" w:type="dxa"/>
                  <w:tcBorders>
                    <w:top w:val="single" w:sz="4" w:space="0" w:color="000000" w:themeColor="text1"/>
                    <w:left w:val="single" w:sz="4" w:space="0" w:color="000000" w:themeColor="text1"/>
                    <w:bottom w:val="single" w:sz="4" w:space="0" w:color="auto"/>
                    <w:right w:val="single" w:sz="4" w:space="0" w:color="auto"/>
                  </w:tcBorders>
                  <w:shd w:val="clear" w:color="auto" w:fill="auto"/>
                  <w:vAlign w:val="center"/>
                  <w:hideMark/>
                </w:tcPr>
                <w:p w14:paraId="4DA3B0D5" w14:textId="77777777" w:rsidR="00745113" w:rsidRPr="00745113" w:rsidRDefault="3B86E627" w:rsidP="00745113">
                  <w:pPr>
                    <w:rPr>
                      <w:rFonts w:cs="Arial"/>
                      <w:color w:val="000000"/>
                      <w:sz w:val="20"/>
                      <w:szCs w:val="20"/>
                      <w:lang w:eastAsia="en-GB"/>
                    </w:rPr>
                  </w:pPr>
                  <w:r w:rsidRPr="3B86E627">
                    <w:rPr>
                      <w:rFonts w:eastAsia="Arial" w:cs="Arial"/>
                      <w:color w:val="000000" w:themeColor="text1"/>
                      <w:sz w:val="20"/>
                      <w:szCs w:val="20"/>
                      <w:lang w:eastAsia="en-GB"/>
                    </w:rPr>
                    <w:t>PG05 Progression Traineeship (EDU)</w:t>
                  </w:r>
                </w:p>
              </w:tc>
              <w:tc>
                <w:tcPr>
                  <w:tcW w:w="1100" w:type="dxa"/>
                  <w:tcBorders>
                    <w:top w:val="single" w:sz="4" w:space="0" w:color="000000" w:themeColor="text1"/>
                    <w:left w:val="single" w:sz="4" w:space="0" w:color="auto"/>
                    <w:bottom w:val="single" w:sz="4" w:space="0" w:color="auto"/>
                    <w:right w:val="single" w:sz="4" w:space="0" w:color="auto"/>
                  </w:tcBorders>
                  <w:shd w:val="clear" w:color="auto" w:fill="auto"/>
                  <w:vAlign w:val="center"/>
                  <w:hideMark/>
                </w:tcPr>
                <w:p w14:paraId="4DA3B0D6" w14:textId="03C4B875" w:rsidR="00745113" w:rsidRPr="00745113" w:rsidRDefault="3B86E627" w:rsidP="00745113">
                  <w:pPr>
                    <w:jc w:val="center"/>
                    <w:rPr>
                      <w:rFonts w:cs="Arial"/>
                      <w:color w:val="000000"/>
                      <w:sz w:val="20"/>
                      <w:szCs w:val="20"/>
                      <w:lang w:eastAsia="en-GB"/>
                    </w:rPr>
                  </w:pPr>
                  <w:r w:rsidRPr="3B86E627">
                    <w:rPr>
                      <w:rFonts w:eastAsia="Arial" w:cs="Arial"/>
                      <w:color w:val="000000" w:themeColor="text1"/>
                      <w:sz w:val="20"/>
                      <w:szCs w:val="20"/>
                      <w:lang w:eastAsia="en-GB"/>
                    </w:rPr>
                    <w:t>550</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A3B0D7" w14:textId="77777777" w:rsidR="00745113" w:rsidRPr="00745113" w:rsidRDefault="3B86E627" w:rsidP="00745113">
                  <w:pPr>
                    <w:jc w:val="center"/>
                    <w:rPr>
                      <w:rFonts w:cs="Arial"/>
                      <w:color w:val="000000"/>
                      <w:sz w:val="20"/>
                      <w:szCs w:val="20"/>
                      <w:lang w:eastAsia="en-GB"/>
                    </w:rPr>
                  </w:pPr>
                  <w:r w:rsidRPr="3B86E627">
                    <w:rPr>
                      <w:rFonts w:eastAsia="Arial" w:cs="Arial"/>
                      <w:color w:val="000000" w:themeColor="text1"/>
                      <w:sz w:val="20"/>
                      <w:szCs w:val="20"/>
                      <w:lang w:eastAsia="en-GB"/>
                    </w:rPr>
                    <w:t>£200</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A3B0D8" w14:textId="77777777" w:rsidR="00745113" w:rsidRPr="00745113" w:rsidRDefault="3B86E627" w:rsidP="00745113">
                  <w:pPr>
                    <w:jc w:val="center"/>
                    <w:rPr>
                      <w:rFonts w:cs="Arial"/>
                      <w:color w:val="000000"/>
                      <w:sz w:val="20"/>
                      <w:szCs w:val="20"/>
                      <w:lang w:eastAsia="en-GB"/>
                    </w:rPr>
                  </w:pPr>
                  <w:r w:rsidRPr="3B86E627">
                    <w:rPr>
                      <w:rFonts w:eastAsia="Arial" w:cs="Arial"/>
                      <w:color w:val="000000" w:themeColor="text1"/>
                      <w:sz w:val="20"/>
                      <w:szCs w:val="20"/>
                      <w:lang w:eastAsia="en-GB"/>
                    </w:rPr>
                    <w:t>£110,000</w:t>
                  </w:r>
                </w:p>
              </w:tc>
            </w:tr>
            <w:tr w:rsidR="00745113" w:rsidRPr="00745113" w14:paraId="4DA3B0DE" w14:textId="77777777" w:rsidTr="3B86E627">
              <w:trPr>
                <w:trHeight w:val="450"/>
              </w:trPr>
              <w:tc>
                <w:tcPr>
                  <w:tcW w:w="6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A3B0DA" w14:textId="77777777" w:rsidR="00745113" w:rsidRPr="00745113" w:rsidRDefault="3B86E627" w:rsidP="00745113">
                  <w:pPr>
                    <w:rPr>
                      <w:rFonts w:cs="Arial"/>
                      <w:color w:val="000000"/>
                      <w:sz w:val="20"/>
                      <w:szCs w:val="20"/>
                      <w:lang w:eastAsia="en-GB"/>
                    </w:rPr>
                  </w:pPr>
                  <w:r w:rsidRPr="3B86E627">
                    <w:rPr>
                      <w:rFonts w:eastAsia="Arial" w:cs="Arial"/>
                      <w:color w:val="000000" w:themeColor="text1"/>
                      <w:sz w:val="20"/>
                      <w:szCs w:val="20"/>
                      <w:lang w:eastAsia="en-GB"/>
                    </w:rPr>
                    <w:t>Total</w:t>
                  </w:r>
                </w:p>
              </w:tc>
              <w:tc>
                <w:tcPr>
                  <w:tcW w:w="1100" w:type="dxa"/>
                  <w:tcBorders>
                    <w:top w:val="single" w:sz="4" w:space="0" w:color="auto"/>
                    <w:left w:val="nil"/>
                    <w:bottom w:val="single" w:sz="4" w:space="0" w:color="auto"/>
                    <w:right w:val="single" w:sz="4" w:space="0" w:color="auto"/>
                  </w:tcBorders>
                  <w:shd w:val="clear" w:color="auto" w:fill="FFFFFF" w:themeFill="background1"/>
                  <w:vAlign w:val="center"/>
                  <w:hideMark/>
                </w:tcPr>
                <w:p w14:paraId="4DA3B0DB" w14:textId="77777777" w:rsidR="00745113" w:rsidRPr="00745113" w:rsidRDefault="3B86E627" w:rsidP="00745113">
                  <w:pPr>
                    <w:jc w:val="center"/>
                    <w:rPr>
                      <w:rFonts w:cs="Arial"/>
                      <w:sz w:val="20"/>
                      <w:szCs w:val="20"/>
                      <w:lang w:eastAsia="en-GB"/>
                    </w:rPr>
                  </w:pPr>
                  <w:r w:rsidRPr="3B86E627">
                    <w:rPr>
                      <w:rFonts w:eastAsia="Arial" w:cs="Arial"/>
                      <w:sz w:val="20"/>
                      <w:szCs w:val="20"/>
                      <w:lang w:eastAsia="en-GB"/>
                    </w:rPr>
                    <w:t> </w:t>
                  </w:r>
                </w:p>
              </w:tc>
              <w:tc>
                <w:tcPr>
                  <w:tcW w:w="11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4DA3B0DC" w14:textId="77777777" w:rsidR="00745113" w:rsidRPr="00745113" w:rsidRDefault="3B86E627" w:rsidP="00745113">
                  <w:pPr>
                    <w:jc w:val="center"/>
                    <w:rPr>
                      <w:rFonts w:cs="Arial"/>
                      <w:color w:val="000000"/>
                      <w:sz w:val="20"/>
                      <w:szCs w:val="20"/>
                      <w:lang w:eastAsia="en-GB"/>
                    </w:rPr>
                  </w:pPr>
                  <w:r w:rsidRPr="3B86E627">
                    <w:rPr>
                      <w:rFonts w:eastAsia="Arial" w:cs="Arial"/>
                      <w:color w:val="000000" w:themeColor="text1"/>
                      <w:sz w:val="20"/>
                      <w:szCs w:val="20"/>
                      <w:lang w:eastAsia="en-GB"/>
                    </w:rPr>
                    <w:t> </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14:paraId="4DA3B0DD" w14:textId="77777777" w:rsidR="00745113" w:rsidRPr="00745113" w:rsidRDefault="3B86E627" w:rsidP="00745113">
                  <w:pPr>
                    <w:jc w:val="center"/>
                    <w:rPr>
                      <w:rFonts w:cs="Arial"/>
                      <w:color w:val="000000"/>
                      <w:sz w:val="20"/>
                      <w:szCs w:val="20"/>
                      <w:lang w:eastAsia="en-GB"/>
                    </w:rPr>
                  </w:pPr>
                  <w:r w:rsidRPr="3B86E627">
                    <w:rPr>
                      <w:rFonts w:eastAsia="Arial" w:cs="Arial"/>
                      <w:color w:val="000000" w:themeColor="text1"/>
                      <w:sz w:val="20"/>
                      <w:szCs w:val="20"/>
                      <w:lang w:eastAsia="en-GB"/>
                    </w:rPr>
                    <w:t>£1,911,400</w:t>
                  </w:r>
                </w:p>
              </w:tc>
            </w:tr>
          </w:tbl>
          <w:p w14:paraId="4DA3B0DF" w14:textId="77777777" w:rsidR="00745113" w:rsidRDefault="00745113" w:rsidP="008D7D92">
            <w:pPr>
              <w:jc w:val="both"/>
              <w:rPr>
                <w:rFonts w:eastAsia="Arial" w:cs="Arial"/>
                <w:b/>
              </w:rPr>
            </w:pPr>
          </w:p>
          <w:p w14:paraId="4DA3B0E0" w14:textId="70A0514C" w:rsidR="00745113" w:rsidRDefault="003B379C" w:rsidP="00745113">
            <w:pPr>
              <w:jc w:val="both"/>
              <w:rPr>
                <w:rFonts w:eastAsia="Arial" w:cs="Arial"/>
                <w:b/>
              </w:rPr>
            </w:pPr>
            <w:r>
              <w:rPr>
                <w:rFonts w:eastAsia="Arial" w:cs="Arial"/>
                <w:b/>
                <w:bCs/>
              </w:rPr>
              <w:t xml:space="preserve">Theme 2 </w:t>
            </w:r>
            <w:r w:rsidR="3B86E627" w:rsidRPr="3B86E627">
              <w:rPr>
                <w:rFonts w:eastAsia="Arial" w:cs="Arial"/>
                <w:b/>
                <w:bCs/>
              </w:rPr>
              <w:t>IP1.1 IAG Adults</w:t>
            </w:r>
          </w:p>
          <w:p w14:paraId="4DA3B0E1" w14:textId="77777777" w:rsidR="00745113" w:rsidRPr="0066567A" w:rsidRDefault="00745113" w:rsidP="00745113">
            <w:pPr>
              <w:jc w:val="both"/>
              <w:rPr>
                <w:rFonts w:cs="Arial"/>
                <w:b/>
              </w:rPr>
            </w:pPr>
          </w:p>
          <w:tbl>
            <w:tblPr>
              <w:tblW w:w="5000" w:type="pct"/>
              <w:tblLook w:val="04A0" w:firstRow="1" w:lastRow="0" w:firstColumn="1" w:lastColumn="0" w:noHBand="0" w:noVBand="1"/>
            </w:tblPr>
            <w:tblGrid>
              <w:gridCol w:w="5460"/>
              <w:gridCol w:w="1287"/>
              <w:gridCol w:w="1485"/>
              <w:gridCol w:w="1228"/>
            </w:tblGrid>
            <w:tr w:rsidR="00745113" w:rsidRPr="0066567A" w14:paraId="4DA3B0E6" w14:textId="77777777" w:rsidTr="3B86E627">
              <w:trPr>
                <w:trHeight w:val="1404"/>
              </w:trPr>
              <w:tc>
                <w:tcPr>
                  <w:tcW w:w="2886" w:type="pct"/>
                  <w:tcBorders>
                    <w:top w:val="single" w:sz="4" w:space="0" w:color="000000" w:themeColor="text1"/>
                    <w:left w:val="single" w:sz="4" w:space="0" w:color="auto"/>
                    <w:bottom w:val="single" w:sz="12" w:space="0" w:color="auto"/>
                    <w:right w:val="single" w:sz="4" w:space="0" w:color="auto"/>
                  </w:tcBorders>
                  <w:shd w:val="clear" w:color="auto" w:fill="auto"/>
                  <w:vAlign w:val="center"/>
                  <w:hideMark/>
                </w:tcPr>
                <w:p w14:paraId="4DA3B0E2" w14:textId="77777777" w:rsidR="00745113" w:rsidRPr="0066567A" w:rsidRDefault="3B86E627" w:rsidP="00745113">
                  <w:pPr>
                    <w:rPr>
                      <w:rFonts w:cs="Arial"/>
                      <w:b/>
                      <w:bCs/>
                      <w:color w:val="000000"/>
                      <w:sz w:val="20"/>
                      <w:szCs w:val="20"/>
                      <w:lang w:eastAsia="en-GB"/>
                    </w:rPr>
                  </w:pPr>
                  <w:r w:rsidRPr="3B86E627">
                    <w:rPr>
                      <w:rFonts w:eastAsia="Arial" w:cs="Arial"/>
                      <w:b/>
                      <w:bCs/>
                      <w:color w:val="000000" w:themeColor="text1"/>
                      <w:sz w:val="20"/>
                      <w:szCs w:val="20"/>
                      <w:lang w:eastAsia="en-GB"/>
                    </w:rPr>
                    <w:t>Description</w:t>
                  </w:r>
                  <w:r w:rsidR="00745113">
                    <w:br/>
                  </w:r>
                </w:p>
              </w:tc>
              <w:tc>
                <w:tcPr>
                  <w:tcW w:w="680" w:type="pct"/>
                  <w:tcBorders>
                    <w:top w:val="single" w:sz="4" w:space="0" w:color="000000" w:themeColor="text1"/>
                    <w:left w:val="single" w:sz="4" w:space="0" w:color="auto"/>
                    <w:bottom w:val="single" w:sz="12" w:space="0" w:color="auto"/>
                    <w:right w:val="single" w:sz="4" w:space="0" w:color="auto"/>
                  </w:tcBorders>
                  <w:shd w:val="clear" w:color="auto" w:fill="auto"/>
                  <w:vAlign w:val="center"/>
                  <w:hideMark/>
                </w:tcPr>
                <w:p w14:paraId="4DA3B0E3" w14:textId="77777777" w:rsidR="00745113" w:rsidRPr="0066567A" w:rsidRDefault="3B86E627" w:rsidP="00745113">
                  <w:pPr>
                    <w:jc w:val="center"/>
                    <w:rPr>
                      <w:rFonts w:cs="Arial"/>
                      <w:b/>
                      <w:bCs/>
                      <w:color w:val="000000"/>
                      <w:sz w:val="20"/>
                      <w:szCs w:val="20"/>
                      <w:lang w:eastAsia="en-GB"/>
                    </w:rPr>
                  </w:pPr>
                  <w:r w:rsidRPr="3B86E627">
                    <w:rPr>
                      <w:rFonts w:eastAsia="Arial" w:cs="Arial"/>
                      <w:b/>
                      <w:bCs/>
                      <w:color w:val="000000" w:themeColor="text1"/>
                      <w:sz w:val="20"/>
                      <w:szCs w:val="20"/>
                      <w:lang w:eastAsia="en-GB"/>
                    </w:rPr>
                    <w:t>Volumes</w:t>
                  </w:r>
                </w:p>
              </w:tc>
              <w:tc>
                <w:tcPr>
                  <w:tcW w:w="785" w:type="pct"/>
                  <w:tcBorders>
                    <w:top w:val="single" w:sz="4" w:space="0" w:color="000000" w:themeColor="text1"/>
                    <w:left w:val="single" w:sz="4" w:space="0" w:color="auto"/>
                    <w:bottom w:val="single" w:sz="12" w:space="0" w:color="auto"/>
                    <w:right w:val="single" w:sz="4" w:space="0" w:color="auto"/>
                  </w:tcBorders>
                  <w:shd w:val="clear" w:color="auto" w:fill="auto"/>
                  <w:vAlign w:val="center"/>
                  <w:hideMark/>
                </w:tcPr>
                <w:p w14:paraId="4DA3B0E4" w14:textId="77777777" w:rsidR="00745113" w:rsidRPr="0066567A" w:rsidRDefault="3B86E627" w:rsidP="00745113">
                  <w:pPr>
                    <w:jc w:val="center"/>
                    <w:rPr>
                      <w:rFonts w:cs="Arial"/>
                      <w:b/>
                      <w:bCs/>
                      <w:color w:val="000000"/>
                      <w:sz w:val="20"/>
                      <w:szCs w:val="20"/>
                      <w:lang w:eastAsia="en-GB"/>
                    </w:rPr>
                  </w:pPr>
                  <w:r w:rsidRPr="3B86E627">
                    <w:rPr>
                      <w:rFonts w:eastAsia="Arial" w:cs="Arial"/>
                      <w:b/>
                      <w:bCs/>
                      <w:color w:val="000000" w:themeColor="text1"/>
                      <w:sz w:val="20"/>
                      <w:szCs w:val="20"/>
                      <w:lang w:eastAsia="en-GB"/>
                    </w:rPr>
                    <w:t>Unit Cost Total Value Average per Intervention</w:t>
                  </w:r>
                </w:p>
              </w:tc>
              <w:tc>
                <w:tcPr>
                  <w:tcW w:w="649" w:type="pct"/>
                  <w:tcBorders>
                    <w:top w:val="single" w:sz="4" w:space="0" w:color="000000" w:themeColor="text1"/>
                    <w:left w:val="single" w:sz="4" w:space="0" w:color="auto"/>
                    <w:bottom w:val="single" w:sz="12" w:space="0" w:color="auto"/>
                    <w:right w:val="single" w:sz="4" w:space="0" w:color="000000" w:themeColor="text1"/>
                  </w:tcBorders>
                  <w:shd w:val="clear" w:color="auto" w:fill="auto"/>
                  <w:vAlign w:val="center"/>
                  <w:hideMark/>
                </w:tcPr>
                <w:p w14:paraId="4DA3B0E5" w14:textId="77777777" w:rsidR="00745113" w:rsidRPr="0066567A" w:rsidRDefault="3B86E627" w:rsidP="00745113">
                  <w:pPr>
                    <w:jc w:val="center"/>
                    <w:rPr>
                      <w:rFonts w:cs="Arial"/>
                      <w:b/>
                      <w:bCs/>
                      <w:color w:val="000000"/>
                      <w:sz w:val="20"/>
                      <w:szCs w:val="20"/>
                      <w:lang w:eastAsia="en-GB"/>
                    </w:rPr>
                  </w:pPr>
                  <w:r w:rsidRPr="3B86E627">
                    <w:rPr>
                      <w:rFonts w:eastAsia="Arial" w:cs="Arial"/>
                      <w:b/>
                      <w:bCs/>
                      <w:color w:val="000000" w:themeColor="text1"/>
                      <w:sz w:val="20"/>
                      <w:szCs w:val="20"/>
                      <w:lang w:eastAsia="en-GB"/>
                    </w:rPr>
                    <w:t>£</w:t>
                  </w:r>
                </w:p>
              </w:tc>
            </w:tr>
            <w:tr w:rsidR="00745113" w:rsidRPr="0066567A" w14:paraId="4DA3B0EB" w14:textId="77777777" w:rsidTr="3B86E627">
              <w:trPr>
                <w:trHeight w:val="450"/>
              </w:trPr>
              <w:tc>
                <w:tcPr>
                  <w:tcW w:w="2886" w:type="pct"/>
                  <w:tcBorders>
                    <w:top w:val="single" w:sz="4" w:space="0" w:color="000000" w:themeColor="text1"/>
                    <w:left w:val="single" w:sz="4" w:space="0" w:color="000000" w:themeColor="text1"/>
                    <w:bottom w:val="single" w:sz="4" w:space="0" w:color="auto"/>
                    <w:right w:val="single" w:sz="4" w:space="0" w:color="auto"/>
                  </w:tcBorders>
                  <w:shd w:val="clear" w:color="auto" w:fill="D9D9D9" w:themeFill="background1" w:themeFillShade="D9"/>
                  <w:vAlign w:val="center"/>
                  <w:hideMark/>
                </w:tcPr>
                <w:p w14:paraId="4DA3B0E7" w14:textId="77777777" w:rsidR="00745113" w:rsidRPr="0066567A" w:rsidRDefault="3B86E627" w:rsidP="00745113">
                  <w:pPr>
                    <w:rPr>
                      <w:rFonts w:cs="Arial"/>
                      <w:color w:val="000000"/>
                      <w:sz w:val="20"/>
                      <w:szCs w:val="20"/>
                      <w:lang w:eastAsia="en-GB"/>
                    </w:rPr>
                  </w:pPr>
                  <w:r w:rsidRPr="3B86E627">
                    <w:rPr>
                      <w:rFonts w:eastAsia="Arial" w:cs="Arial"/>
                      <w:color w:val="000000" w:themeColor="text1"/>
                      <w:sz w:val="20"/>
                      <w:szCs w:val="20"/>
                      <w:lang w:eastAsia="en-GB"/>
                    </w:rPr>
                    <w:t>ST01 Learner Assessment and Plan</w:t>
                  </w:r>
                </w:p>
              </w:tc>
              <w:tc>
                <w:tcPr>
                  <w:tcW w:w="680" w:type="pct"/>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4DA3B0E8" w14:textId="77777777" w:rsidR="00745113" w:rsidRPr="0066567A" w:rsidRDefault="3B86E627" w:rsidP="00745113">
                  <w:pPr>
                    <w:jc w:val="center"/>
                    <w:rPr>
                      <w:rFonts w:cs="Arial"/>
                      <w:color w:val="000000"/>
                      <w:sz w:val="20"/>
                      <w:szCs w:val="20"/>
                      <w:lang w:eastAsia="en-GB"/>
                    </w:rPr>
                  </w:pPr>
                  <w:r w:rsidRPr="3B86E627">
                    <w:rPr>
                      <w:rFonts w:eastAsia="Arial" w:cs="Arial"/>
                      <w:color w:val="000000" w:themeColor="text1"/>
                      <w:sz w:val="20"/>
                      <w:szCs w:val="20"/>
                      <w:lang w:eastAsia="en-GB"/>
                    </w:rPr>
                    <w:t>5,900</w:t>
                  </w:r>
                </w:p>
              </w:tc>
              <w:tc>
                <w:tcPr>
                  <w:tcW w:w="785" w:type="pct"/>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noWrap/>
                  <w:vAlign w:val="center"/>
                  <w:hideMark/>
                </w:tcPr>
                <w:p w14:paraId="4DA3B0E9" w14:textId="77777777" w:rsidR="00745113" w:rsidRPr="0066567A" w:rsidRDefault="3B86E627" w:rsidP="00745113">
                  <w:pPr>
                    <w:jc w:val="center"/>
                    <w:rPr>
                      <w:rFonts w:cs="Arial"/>
                      <w:color w:val="000000"/>
                      <w:sz w:val="20"/>
                      <w:szCs w:val="20"/>
                      <w:lang w:eastAsia="en-GB"/>
                    </w:rPr>
                  </w:pPr>
                  <w:r w:rsidRPr="3B86E627">
                    <w:rPr>
                      <w:rFonts w:eastAsia="Arial" w:cs="Arial"/>
                      <w:color w:val="000000" w:themeColor="text1"/>
                      <w:sz w:val="20"/>
                      <w:szCs w:val="20"/>
                      <w:lang w:eastAsia="en-GB"/>
                    </w:rPr>
                    <w:t>£0</w:t>
                  </w:r>
                </w:p>
              </w:tc>
              <w:tc>
                <w:tcPr>
                  <w:tcW w:w="649" w:type="pct"/>
                  <w:tcBorders>
                    <w:top w:val="single" w:sz="4" w:space="0" w:color="000000" w:themeColor="text1"/>
                    <w:left w:val="single" w:sz="4" w:space="0" w:color="auto"/>
                    <w:bottom w:val="single" w:sz="4" w:space="0" w:color="auto"/>
                    <w:right w:val="single" w:sz="4" w:space="0" w:color="000000" w:themeColor="text1"/>
                  </w:tcBorders>
                  <w:shd w:val="clear" w:color="auto" w:fill="D9D9D9" w:themeFill="background1" w:themeFillShade="D9"/>
                  <w:noWrap/>
                  <w:vAlign w:val="center"/>
                  <w:hideMark/>
                </w:tcPr>
                <w:p w14:paraId="4DA3B0EA" w14:textId="77777777" w:rsidR="00745113" w:rsidRPr="0066567A" w:rsidRDefault="3B86E627" w:rsidP="00745113">
                  <w:pPr>
                    <w:jc w:val="center"/>
                    <w:rPr>
                      <w:rFonts w:cs="Arial"/>
                      <w:color w:val="000000"/>
                      <w:sz w:val="20"/>
                      <w:szCs w:val="20"/>
                      <w:lang w:eastAsia="en-GB"/>
                    </w:rPr>
                  </w:pPr>
                  <w:r w:rsidRPr="3B86E627">
                    <w:rPr>
                      <w:rFonts w:eastAsia="Arial" w:cs="Arial"/>
                      <w:color w:val="000000" w:themeColor="text1"/>
                      <w:sz w:val="20"/>
                      <w:szCs w:val="20"/>
                      <w:lang w:eastAsia="en-GB"/>
                    </w:rPr>
                    <w:t>£0</w:t>
                  </w:r>
                </w:p>
              </w:tc>
            </w:tr>
            <w:tr w:rsidR="00745113" w:rsidRPr="0066567A" w14:paraId="4DA3B0F0" w14:textId="77777777" w:rsidTr="3B86E627">
              <w:trPr>
                <w:trHeight w:val="450"/>
              </w:trPr>
              <w:tc>
                <w:tcPr>
                  <w:tcW w:w="2886" w:type="pct"/>
                  <w:tcBorders>
                    <w:top w:val="single" w:sz="4" w:space="0" w:color="000000" w:themeColor="text1"/>
                    <w:left w:val="single" w:sz="4" w:space="0" w:color="000000" w:themeColor="text1"/>
                    <w:bottom w:val="single" w:sz="4" w:space="0" w:color="auto"/>
                    <w:right w:val="single" w:sz="4" w:space="0" w:color="auto"/>
                  </w:tcBorders>
                  <w:shd w:val="clear" w:color="auto" w:fill="auto"/>
                  <w:vAlign w:val="center"/>
                  <w:hideMark/>
                </w:tcPr>
                <w:p w14:paraId="4DA3B0EC" w14:textId="77777777" w:rsidR="00745113" w:rsidRPr="0066567A" w:rsidRDefault="3B86E627" w:rsidP="00745113">
                  <w:pPr>
                    <w:rPr>
                      <w:rFonts w:cs="Arial"/>
                      <w:color w:val="000000"/>
                      <w:sz w:val="20"/>
                      <w:szCs w:val="20"/>
                      <w:lang w:eastAsia="en-GB"/>
                    </w:rPr>
                  </w:pPr>
                  <w:r w:rsidRPr="3B86E627">
                    <w:rPr>
                      <w:rFonts w:eastAsia="Arial" w:cs="Arial"/>
                      <w:color w:val="000000" w:themeColor="text1"/>
                      <w:sz w:val="20"/>
                      <w:szCs w:val="20"/>
                      <w:lang w:eastAsia="en-GB"/>
                    </w:rPr>
                    <w:t xml:space="preserve">SD01 Customer satisfied with intervention </w:t>
                  </w:r>
                </w:p>
              </w:tc>
              <w:tc>
                <w:tcPr>
                  <w:tcW w:w="680" w:type="pct"/>
                  <w:tcBorders>
                    <w:top w:val="single" w:sz="4" w:space="0" w:color="000000" w:themeColor="text1"/>
                    <w:left w:val="single" w:sz="4" w:space="0" w:color="auto"/>
                    <w:bottom w:val="single" w:sz="4" w:space="0" w:color="auto"/>
                    <w:right w:val="single" w:sz="4" w:space="0" w:color="auto"/>
                  </w:tcBorders>
                  <w:shd w:val="clear" w:color="auto" w:fill="auto"/>
                  <w:vAlign w:val="center"/>
                  <w:hideMark/>
                </w:tcPr>
                <w:p w14:paraId="4DA3B0ED" w14:textId="77777777" w:rsidR="00745113" w:rsidRPr="0066567A" w:rsidRDefault="3B86E627" w:rsidP="00745113">
                  <w:pPr>
                    <w:jc w:val="center"/>
                    <w:rPr>
                      <w:rFonts w:cs="Arial"/>
                      <w:color w:val="000000"/>
                      <w:sz w:val="20"/>
                      <w:szCs w:val="20"/>
                      <w:lang w:eastAsia="en-GB"/>
                    </w:rPr>
                  </w:pPr>
                  <w:r w:rsidRPr="3B86E627">
                    <w:rPr>
                      <w:rFonts w:eastAsia="Arial" w:cs="Arial"/>
                      <w:color w:val="000000" w:themeColor="text1"/>
                      <w:sz w:val="20"/>
                      <w:szCs w:val="20"/>
                      <w:lang w:eastAsia="en-GB"/>
                    </w:rPr>
                    <w:t>5,900</w:t>
                  </w:r>
                </w:p>
              </w:tc>
              <w:tc>
                <w:tcPr>
                  <w:tcW w:w="7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A3B0EE" w14:textId="77777777" w:rsidR="00745113" w:rsidRPr="0066567A" w:rsidRDefault="3B86E627" w:rsidP="00745113">
                  <w:pPr>
                    <w:jc w:val="center"/>
                    <w:rPr>
                      <w:rFonts w:cs="Arial"/>
                      <w:color w:val="000000"/>
                      <w:sz w:val="20"/>
                      <w:szCs w:val="20"/>
                      <w:lang w:eastAsia="en-GB"/>
                    </w:rPr>
                  </w:pPr>
                  <w:r w:rsidRPr="3B86E627">
                    <w:rPr>
                      <w:rFonts w:eastAsia="Arial" w:cs="Arial"/>
                      <w:color w:val="000000" w:themeColor="text1"/>
                      <w:sz w:val="20"/>
                      <w:szCs w:val="20"/>
                      <w:lang w:eastAsia="en-GB"/>
                    </w:rPr>
                    <w:t>£100</w:t>
                  </w:r>
                </w:p>
              </w:tc>
              <w:tc>
                <w:tcPr>
                  <w:tcW w:w="649" w:type="pct"/>
                  <w:tcBorders>
                    <w:top w:val="single" w:sz="4" w:space="0" w:color="auto"/>
                    <w:left w:val="single" w:sz="4" w:space="0" w:color="auto"/>
                    <w:bottom w:val="single" w:sz="4" w:space="0" w:color="auto"/>
                    <w:right w:val="single" w:sz="4" w:space="0" w:color="000000" w:themeColor="text1"/>
                  </w:tcBorders>
                  <w:shd w:val="clear" w:color="auto" w:fill="auto"/>
                  <w:noWrap/>
                  <w:vAlign w:val="center"/>
                  <w:hideMark/>
                </w:tcPr>
                <w:p w14:paraId="4DA3B0EF" w14:textId="77777777" w:rsidR="00745113" w:rsidRPr="0066567A" w:rsidRDefault="3B86E627" w:rsidP="00745113">
                  <w:pPr>
                    <w:jc w:val="center"/>
                    <w:rPr>
                      <w:rFonts w:cs="Arial"/>
                      <w:color w:val="000000"/>
                      <w:sz w:val="20"/>
                      <w:szCs w:val="20"/>
                      <w:lang w:eastAsia="en-GB"/>
                    </w:rPr>
                  </w:pPr>
                  <w:r w:rsidRPr="3B86E627">
                    <w:rPr>
                      <w:rFonts w:eastAsia="Arial" w:cs="Arial"/>
                      <w:color w:val="000000" w:themeColor="text1"/>
                      <w:sz w:val="20"/>
                      <w:szCs w:val="20"/>
                      <w:lang w:eastAsia="en-GB"/>
                    </w:rPr>
                    <w:t>£590,000</w:t>
                  </w:r>
                </w:p>
              </w:tc>
            </w:tr>
            <w:tr w:rsidR="00745113" w:rsidRPr="0066567A" w14:paraId="4DA3B0F5" w14:textId="77777777" w:rsidTr="3B86E627">
              <w:trPr>
                <w:trHeight w:val="450"/>
              </w:trPr>
              <w:tc>
                <w:tcPr>
                  <w:tcW w:w="2886" w:type="pct"/>
                  <w:tcBorders>
                    <w:top w:val="single" w:sz="4" w:space="0" w:color="000000" w:themeColor="text1"/>
                    <w:left w:val="single" w:sz="4" w:space="0" w:color="000000" w:themeColor="text1"/>
                    <w:bottom w:val="single" w:sz="4" w:space="0" w:color="auto"/>
                    <w:right w:val="single" w:sz="4" w:space="0" w:color="auto"/>
                  </w:tcBorders>
                  <w:shd w:val="clear" w:color="auto" w:fill="D9D9D9" w:themeFill="background1" w:themeFillShade="D9"/>
                  <w:vAlign w:val="center"/>
                  <w:hideMark/>
                </w:tcPr>
                <w:p w14:paraId="4DA3B0F1" w14:textId="77777777" w:rsidR="00745113" w:rsidRPr="0066567A" w:rsidRDefault="3B86E627" w:rsidP="00745113">
                  <w:pPr>
                    <w:rPr>
                      <w:rFonts w:cs="Arial"/>
                      <w:color w:val="000000"/>
                      <w:sz w:val="20"/>
                      <w:szCs w:val="20"/>
                      <w:lang w:eastAsia="en-GB"/>
                    </w:rPr>
                  </w:pPr>
                  <w:r w:rsidRPr="3B86E627">
                    <w:rPr>
                      <w:rFonts w:eastAsia="Arial" w:cs="Arial"/>
                      <w:color w:val="000000" w:themeColor="text1"/>
                      <w:sz w:val="20"/>
                      <w:szCs w:val="20"/>
                      <w:lang w:eastAsia="en-GB"/>
                    </w:rPr>
                    <w:t>SD02 Independent Career Management Outcome</w:t>
                  </w:r>
                </w:p>
              </w:tc>
              <w:tc>
                <w:tcPr>
                  <w:tcW w:w="680" w:type="pct"/>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4DA3B0F2" w14:textId="77777777" w:rsidR="00745113" w:rsidRPr="0066567A" w:rsidRDefault="3B86E627" w:rsidP="00745113">
                  <w:pPr>
                    <w:jc w:val="center"/>
                    <w:rPr>
                      <w:rFonts w:cs="Arial"/>
                      <w:color w:val="000000"/>
                      <w:sz w:val="20"/>
                      <w:szCs w:val="20"/>
                      <w:lang w:eastAsia="en-GB"/>
                    </w:rPr>
                  </w:pPr>
                  <w:r w:rsidRPr="3B86E627">
                    <w:rPr>
                      <w:rFonts w:eastAsia="Arial" w:cs="Arial"/>
                      <w:color w:val="000000" w:themeColor="text1"/>
                      <w:sz w:val="20"/>
                      <w:szCs w:val="20"/>
                      <w:lang w:eastAsia="en-GB"/>
                    </w:rPr>
                    <w:t>4,720</w:t>
                  </w:r>
                </w:p>
              </w:tc>
              <w:tc>
                <w:tcPr>
                  <w:tcW w:w="785"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DA3B0F3" w14:textId="77777777" w:rsidR="00745113" w:rsidRPr="0066567A" w:rsidRDefault="3B86E627" w:rsidP="00745113">
                  <w:pPr>
                    <w:jc w:val="center"/>
                    <w:rPr>
                      <w:rFonts w:cs="Arial"/>
                      <w:color w:val="000000"/>
                      <w:sz w:val="20"/>
                      <w:szCs w:val="20"/>
                      <w:lang w:eastAsia="en-GB"/>
                    </w:rPr>
                  </w:pPr>
                  <w:r w:rsidRPr="3B86E627">
                    <w:rPr>
                      <w:rFonts w:eastAsia="Arial" w:cs="Arial"/>
                      <w:color w:val="000000" w:themeColor="text1"/>
                      <w:sz w:val="20"/>
                      <w:szCs w:val="20"/>
                      <w:lang w:eastAsia="en-GB"/>
                    </w:rPr>
                    <w:t>£125</w:t>
                  </w:r>
                </w:p>
              </w:tc>
              <w:tc>
                <w:tcPr>
                  <w:tcW w:w="649" w:type="pct"/>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noWrap/>
                  <w:vAlign w:val="center"/>
                  <w:hideMark/>
                </w:tcPr>
                <w:p w14:paraId="4DA3B0F4" w14:textId="77777777" w:rsidR="00745113" w:rsidRPr="0066567A" w:rsidRDefault="3B86E627" w:rsidP="00745113">
                  <w:pPr>
                    <w:jc w:val="center"/>
                    <w:rPr>
                      <w:rFonts w:cs="Arial"/>
                      <w:color w:val="000000"/>
                      <w:sz w:val="20"/>
                      <w:szCs w:val="20"/>
                      <w:lang w:eastAsia="en-GB"/>
                    </w:rPr>
                  </w:pPr>
                  <w:r w:rsidRPr="3B86E627">
                    <w:rPr>
                      <w:rFonts w:eastAsia="Arial" w:cs="Arial"/>
                      <w:color w:val="000000" w:themeColor="text1"/>
                      <w:sz w:val="20"/>
                      <w:szCs w:val="20"/>
                      <w:lang w:eastAsia="en-GB"/>
                    </w:rPr>
                    <w:t>£590,000</w:t>
                  </w:r>
                </w:p>
              </w:tc>
            </w:tr>
            <w:tr w:rsidR="00745113" w:rsidRPr="0066567A" w14:paraId="4DA3B0FA" w14:textId="77777777" w:rsidTr="3B86E627">
              <w:trPr>
                <w:trHeight w:val="450"/>
              </w:trPr>
              <w:tc>
                <w:tcPr>
                  <w:tcW w:w="2886" w:type="pct"/>
                  <w:tcBorders>
                    <w:top w:val="single" w:sz="4" w:space="0" w:color="000000" w:themeColor="text1"/>
                    <w:left w:val="single" w:sz="4" w:space="0" w:color="000000" w:themeColor="text1"/>
                    <w:bottom w:val="single" w:sz="4" w:space="0" w:color="auto"/>
                    <w:right w:val="single" w:sz="4" w:space="0" w:color="auto"/>
                  </w:tcBorders>
                  <w:shd w:val="clear" w:color="auto" w:fill="auto"/>
                  <w:vAlign w:val="center"/>
                  <w:hideMark/>
                </w:tcPr>
                <w:p w14:paraId="4DA3B0F6" w14:textId="77777777" w:rsidR="00745113" w:rsidRPr="0066567A" w:rsidRDefault="3B86E627" w:rsidP="00745113">
                  <w:pPr>
                    <w:rPr>
                      <w:rFonts w:cs="Arial"/>
                      <w:color w:val="000000"/>
                      <w:sz w:val="20"/>
                      <w:szCs w:val="20"/>
                      <w:lang w:eastAsia="en-GB"/>
                    </w:rPr>
                  </w:pPr>
                  <w:r w:rsidRPr="3B86E627">
                    <w:rPr>
                      <w:rFonts w:eastAsia="Arial" w:cs="Arial"/>
                      <w:color w:val="000000" w:themeColor="text1"/>
                      <w:sz w:val="20"/>
                      <w:szCs w:val="20"/>
                      <w:lang w:eastAsia="en-GB"/>
                    </w:rPr>
                    <w:t>PG01 Progression Paid Employment (EMP)</w:t>
                  </w:r>
                </w:p>
              </w:tc>
              <w:tc>
                <w:tcPr>
                  <w:tcW w:w="680" w:type="pct"/>
                  <w:tcBorders>
                    <w:top w:val="single" w:sz="4" w:space="0" w:color="000000" w:themeColor="text1"/>
                    <w:left w:val="single" w:sz="4" w:space="0" w:color="auto"/>
                    <w:bottom w:val="single" w:sz="4" w:space="0" w:color="auto"/>
                    <w:right w:val="single" w:sz="4" w:space="0" w:color="auto"/>
                  </w:tcBorders>
                  <w:shd w:val="clear" w:color="auto" w:fill="auto"/>
                  <w:vAlign w:val="center"/>
                  <w:hideMark/>
                </w:tcPr>
                <w:p w14:paraId="4DA3B0F7" w14:textId="77777777" w:rsidR="00745113" w:rsidRPr="0066567A" w:rsidRDefault="3B86E627" w:rsidP="00745113">
                  <w:pPr>
                    <w:jc w:val="center"/>
                    <w:rPr>
                      <w:rFonts w:cs="Arial"/>
                      <w:color w:val="000000"/>
                      <w:sz w:val="20"/>
                      <w:szCs w:val="20"/>
                      <w:lang w:eastAsia="en-GB"/>
                    </w:rPr>
                  </w:pPr>
                  <w:r w:rsidRPr="3B86E627">
                    <w:rPr>
                      <w:rFonts w:eastAsia="Arial" w:cs="Arial"/>
                      <w:color w:val="000000" w:themeColor="text1"/>
                      <w:sz w:val="20"/>
                      <w:szCs w:val="20"/>
                      <w:lang w:eastAsia="en-GB"/>
                    </w:rPr>
                    <w:t>670</w:t>
                  </w:r>
                </w:p>
              </w:tc>
              <w:tc>
                <w:tcPr>
                  <w:tcW w:w="7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A3B0F8" w14:textId="77777777" w:rsidR="00745113" w:rsidRPr="0066567A" w:rsidRDefault="3B86E627" w:rsidP="00745113">
                  <w:pPr>
                    <w:jc w:val="center"/>
                    <w:rPr>
                      <w:rFonts w:cs="Arial"/>
                      <w:color w:val="000000"/>
                      <w:sz w:val="20"/>
                      <w:szCs w:val="20"/>
                      <w:lang w:eastAsia="en-GB"/>
                    </w:rPr>
                  </w:pPr>
                  <w:r w:rsidRPr="3B86E627">
                    <w:rPr>
                      <w:rFonts w:eastAsia="Arial" w:cs="Arial"/>
                      <w:color w:val="000000" w:themeColor="text1"/>
                      <w:sz w:val="20"/>
                      <w:szCs w:val="20"/>
                      <w:lang w:eastAsia="en-GB"/>
                    </w:rPr>
                    <w:t>£200</w:t>
                  </w:r>
                </w:p>
              </w:tc>
              <w:tc>
                <w:tcPr>
                  <w:tcW w:w="649" w:type="pct"/>
                  <w:tcBorders>
                    <w:top w:val="single" w:sz="4" w:space="0" w:color="auto"/>
                    <w:left w:val="single" w:sz="4" w:space="0" w:color="auto"/>
                    <w:bottom w:val="single" w:sz="4" w:space="0" w:color="auto"/>
                    <w:right w:val="single" w:sz="4" w:space="0" w:color="000000" w:themeColor="text1"/>
                  </w:tcBorders>
                  <w:shd w:val="clear" w:color="auto" w:fill="auto"/>
                  <w:noWrap/>
                  <w:vAlign w:val="center"/>
                  <w:hideMark/>
                </w:tcPr>
                <w:p w14:paraId="4DA3B0F9" w14:textId="77777777" w:rsidR="00745113" w:rsidRPr="0066567A" w:rsidRDefault="3B86E627" w:rsidP="00745113">
                  <w:pPr>
                    <w:jc w:val="center"/>
                    <w:rPr>
                      <w:rFonts w:cs="Arial"/>
                      <w:color w:val="000000"/>
                      <w:sz w:val="20"/>
                      <w:szCs w:val="20"/>
                      <w:lang w:eastAsia="en-GB"/>
                    </w:rPr>
                  </w:pPr>
                  <w:r w:rsidRPr="3B86E627">
                    <w:rPr>
                      <w:rFonts w:eastAsia="Arial" w:cs="Arial"/>
                      <w:color w:val="000000" w:themeColor="text1"/>
                      <w:sz w:val="20"/>
                      <w:szCs w:val="20"/>
                      <w:lang w:eastAsia="en-GB"/>
                    </w:rPr>
                    <w:t>£134,000</w:t>
                  </w:r>
                </w:p>
              </w:tc>
            </w:tr>
            <w:tr w:rsidR="00745113" w:rsidRPr="0066567A" w14:paraId="4DA3B0FF" w14:textId="77777777" w:rsidTr="3B86E627">
              <w:trPr>
                <w:trHeight w:val="450"/>
              </w:trPr>
              <w:tc>
                <w:tcPr>
                  <w:tcW w:w="2886" w:type="pct"/>
                  <w:tcBorders>
                    <w:top w:val="single" w:sz="4" w:space="0" w:color="000000" w:themeColor="text1"/>
                    <w:left w:val="single" w:sz="4" w:space="0" w:color="000000" w:themeColor="text1"/>
                    <w:bottom w:val="single" w:sz="4" w:space="0" w:color="auto"/>
                    <w:right w:val="single" w:sz="4" w:space="0" w:color="auto"/>
                  </w:tcBorders>
                  <w:shd w:val="clear" w:color="auto" w:fill="D9D9D9" w:themeFill="background1" w:themeFillShade="D9"/>
                  <w:vAlign w:val="center"/>
                  <w:hideMark/>
                </w:tcPr>
                <w:p w14:paraId="4DA3B0FB" w14:textId="77777777" w:rsidR="00745113" w:rsidRPr="0066567A" w:rsidRDefault="3B86E627" w:rsidP="00745113">
                  <w:pPr>
                    <w:rPr>
                      <w:rFonts w:cs="Arial"/>
                      <w:color w:val="000000"/>
                      <w:sz w:val="20"/>
                      <w:szCs w:val="20"/>
                      <w:lang w:eastAsia="en-GB"/>
                    </w:rPr>
                  </w:pPr>
                  <w:r w:rsidRPr="3B86E627">
                    <w:rPr>
                      <w:rFonts w:eastAsia="Arial" w:cs="Arial"/>
                      <w:color w:val="000000" w:themeColor="text1"/>
                      <w:sz w:val="20"/>
                      <w:szCs w:val="20"/>
                      <w:lang w:eastAsia="en-GB"/>
                    </w:rPr>
                    <w:t>PG03 Progression Education (EDU)</w:t>
                  </w:r>
                </w:p>
              </w:tc>
              <w:tc>
                <w:tcPr>
                  <w:tcW w:w="680" w:type="pct"/>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4DA3B0FC" w14:textId="77777777" w:rsidR="00745113" w:rsidRPr="0066567A" w:rsidRDefault="3B86E627" w:rsidP="00745113">
                  <w:pPr>
                    <w:jc w:val="center"/>
                    <w:rPr>
                      <w:rFonts w:cs="Arial"/>
                      <w:color w:val="000000"/>
                      <w:sz w:val="20"/>
                      <w:szCs w:val="20"/>
                      <w:lang w:eastAsia="en-GB"/>
                    </w:rPr>
                  </w:pPr>
                  <w:r w:rsidRPr="3B86E627">
                    <w:rPr>
                      <w:rFonts w:eastAsia="Arial" w:cs="Arial"/>
                      <w:color w:val="000000" w:themeColor="text1"/>
                      <w:sz w:val="20"/>
                      <w:szCs w:val="20"/>
                      <w:lang w:eastAsia="en-GB"/>
                    </w:rPr>
                    <w:t>255</w:t>
                  </w:r>
                </w:p>
              </w:tc>
              <w:tc>
                <w:tcPr>
                  <w:tcW w:w="785"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DA3B0FD" w14:textId="77777777" w:rsidR="00745113" w:rsidRPr="0066567A" w:rsidRDefault="3B86E627" w:rsidP="00745113">
                  <w:pPr>
                    <w:jc w:val="center"/>
                    <w:rPr>
                      <w:rFonts w:cs="Arial"/>
                      <w:color w:val="000000"/>
                      <w:sz w:val="20"/>
                      <w:szCs w:val="20"/>
                      <w:lang w:eastAsia="en-GB"/>
                    </w:rPr>
                  </w:pPr>
                  <w:r w:rsidRPr="3B86E627">
                    <w:rPr>
                      <w:rFonts w:eastAsia="Arial" w:cs="Arial"/>
                      <w:color w:val="000000" w:themeColor="text1"/>
                      <w:sz w:val="20"/>
                      <w:szCs w:val="20"/>
                      <w:lang w:eastAsia="en-GB"/>
                    </w:rPr>
                    <w:t>£100</w:t>
                  </w:r>
                </w:p>
              </w:tc>
              <w:tc>
                <w:tcPr>
                  <w:tcW w:w="649" w:type="pct"/>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noWrap/>
                  <w:vAlign w:val="center"/>
                  <w:hideMark/>
                </w:tcPr>
                <w:p w14:paraId="4DA3B0FE" w14:textId="77777777" w:rsidR="00745113" w:rsidRPr="0066567A" w:rsidRDefault="3B86E627" w:rsidP="00745113">
                  <w:pPr>
                    <w:jc w:val="center"/>
                    <w:rPr>
                      <w:rFonts w:cs="Arial"/>
                      <w:color w:val="000000"/>
                      <w:sz w:val="20"/>
                      <w:szCs w:val="20"/>
                      <w:lang w:eastAsia="en-GB"/>
                    </w:rPr>
                  </w:pPr>
                  <w:r w:rsidRPr="3B86E627">
                    <w:rPr>
                      <w:rFonts w:eastAsia="Arial" w:cs="Arial"/>
                      <w:color w:val="000000" w:themeColor="text1"/>
                      <w:sz w:val="20"/>
                      <w:szCs w:val="20"/>
                      <w:lang w:eastAsia="en-GB"/>
                    </w:rPr>
                    <w:t>£25,500</w:t>
                  </w:r>
                </w:p>
              </w:tc>
            </w:tr>
            <w:tr w:rsidR="00745113" w:rsidRPr="0066567A" w14:paraId="4DA3B104" w14:textId="77777777" w:rsidTr="3B86E627">
              <w:trPr>
                <w:trHeight w:val="450"/>
              </w:trPr>
              <w:tc>
                <w:tcPr>
                  <w:tcW w:w="2886" w:type="pct"/>
                  <w:tcBorders>
                    <w:top w:val="single" w:sz="4" w:space="0" w:color="000000" w:themeColor="text1"/>
                    <w:left w:val="single" w:sz="4" w:space="0" w:color="000000" w:themeColor="text1"/>
                    <w:bottom w:val="single" w:sz="4" w:space="0" w:color="auto"/>
                    <w:right w:val="single" w:sz="4" w:space="0" w:color="auto"/>
                  </w:tcBorders>
                  <w:shd w:val="clear" w:color="auto" w:fill="auto"/>
                  <w:vAlign w:val="center"/>
                  <w:hideMark/>
                </w:tcPr>
                <w:p w14:paraId="4DA3B100" w14:textId="77777777" w:rsidR="00745113" w:rsidRPr="0066567A" w:rsidRDefault="3B86E627" w:rsidP="00745113">
                  <w:pPr>
                    <w:rPr>
                      <w:rFonts w:cs="Arial"/>
                      <w:color w:val="000000"/>
                      <w:sz w:val="20"/>
                      <w:szCs w:val="20"/>
                      <w:lang w:eastAsia="en-GB"/>
                    </w:rPr>
                  </w:pPr>
                  <w:r w:rsidRPr="3B86E627">
                    <w:rPr>
                      <w:rFonts w:eastAsia="Arial" w:cs="Arial"/>
                      <w:color w:val="000000" w:themeColor="text1"/>
                      <w:sz w:val="20"/>
                      <w:szCs w:val="20"/>
                      <w:lang w:eastAsia="en-GB"/>
                    </w:rPr>
                    <w:t>PG02 Progression Unpaid Employment (VOL)</w:t>
                  </w:r>
                </w:p>
              </w:tc>
              <w:tc>
                <w:tcPr>
                  <w:tcW w:w="680" w:type="pct"/>
                  <w:tcBorders>
                    <w:top w:val="single" w:sz="4" w:space="0" w:color="000000" w:themeColor="text1"/>
                    <w:left w:val="single" w:sz="4" w:space="0" w:color="auto"/>
                    <w:bottom w:val="single" w:sz="4" w:space="0" w:color="auto"/>
                    <w:right w:val="single" w:sz="4" w:space="0" w:color="auto"/>
                  </w:tcBorders>
                  <w:shd w:val="clear" w:color="auto" w:fill="auto"/>
                  <w:vAlign w:val="center"/>
                  <w:hideMark/>
                </w:tcPr>
                <w:p w14:paraId="4DA3B101" w14:textId="77777777" w:rsidR="00745113" w:rsidRPr="0066567A" w:rsidRDefault="3B86E627" w:rsidP="00745113">
                  <w:pPr>
                    <w:jc w:val="center"/>
                    <w:rPr>
                      <w:rFonts w:cs="Arial"/>
                      <w:color w:val="000000"/>
                      <w:sz w:val="20"/>
                      <w:szCs w:val="20"/>
                      <w:lang w:eastAsia="en-GB"/>
                    </w:rPr>
                  </w:pPr>
                  <w:r w:rsidRPr="3B86E627">
                    <w:rPr>
                      <w:rFonts w:eastAsia="Arial" w:cs="Arial"/>
                      <w:color w:val="000000" w:themeColor="text1"/>
                      <w:sz w:val="20"/>
                      <w:szCs w:val="20"/>
                      <w:lang w:eastAsia="en-GB"/>
                    </w:rPr>
                    <w:t>1,525</w:t>
                  </w:r>
                </w:p>
              </w:tc>
              <w:tc>
                <w:tcPr>
                  <w:tcW w:w="7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A3B102" w14:textId="77777777" w:rsidR="00745113" w:rsidRPr="0066567A" w:rsidRDefault="3B86E627" w:rsidP="00745113">
                  <w:pPr>
                    <w:jc w:val="center"/>
                    <w:rPr>
                      <w:rFonts w:cs="Arial"/>
                      <w:color w:val="000000"/>
                      <w:sz w:val="20"/>
                      <w:szCs w:val="20"/>
                      <w:lang w:eastAsia="en-GB"/>
                    </w:rPr>
                  </w:pPr>
                  <w:r w:rsidRPr="3B86E627">
                    <w:rPr>
                      <w:rFonts w:eastAsia="Arial" w:cs="Arial"/>
                      <w:color w:val="000000" w:themeColor="text1"/>
                      <w:sz w:val="20"/>
                      <w:szCs w:val="20"/>
                      <w:lang w:eastAsia="en-GB"/>
                    </w:rPr>
                    <w:t>£200</w:t>
                  </w:r>
                </w:p>
              </w:tc>
              <w:tc>
                <w:tcPr>
                  <w:tcW w:w="649" w:type="pct"/>
                  <w:tcBorders>
                    <w:top w:val="single" w:sz="4" w:space="0" w:color="auto"/>
                    <w:left w:val="single" w:sz="4" w:space="0" w:color="auto"/>
                    <w:bottom w:val="single" w:sz="4" w:space="0" w:color="auto"/>
                    <w:right w:val="single" w:sz="4" w:space="0" w:color="000000" w:themeColor="text1"/>
                  </w:tcBorders>
                  <w:shd w:val="clear" w:color="auto" w:fill="auto"/>
                  <w:noWrap/>
                  <w:vAlign w:val="center"/>
                  <w:hideMark/>
                </w:tcPr>
                <w:p w14:paraId="4DA3B103" w14:textId="77777777" w:rsidR="00745113" w:rsidRPr="0066567A" w:rsidRDefault="3B86E627" w:rsidP="00745113">
                  <w:pPr>
                    <w:jc w:val="center"/>
                    <w:rPr>
                      <w:rFonts w:cs="Arial"/>
                      <w:color w:val="000000"/>
                      <w:sz w:val="20"/>
                      <w:szCs w:val="20"/>
                      <w:lang w:eastAsia="en-GB"/>
                    </w:rPr>
                  </w:pPr>
                  <w:r w:rsidRPr="3B86E627">
                    <w:rPr>
                      <w:rFonts w:eastAsia="Arial" w:cs="Arial"/>
                      <w:color w:val="000000" w:themeColor="text1"/>
                      <w:sz w:val="20"/>
                      <w:szCs w:val="20"/>
                      <w:lang w:eastAsia="en-GB"/>
                    </w:rPr>
                    <w:t>£305,000</w:t>
                  </w:r>
                </w:p>
              </w:tc>
            </w:tr>
            <w:tr w:rsidR="00745113" w:rsidRPr="0066567A" w14:paraId="4DA3B109" w14:textId="77777777" w:rsidTr="3B86E627">
              <w:trPr>
                <w:trHeight w:val="450"/>
              </w:trPr>
              <w:tc>
                <w:tcPr>
                  <w:tcW w:w="2886" w:type="pct"/>
                  <w:tcBorders>
                    <w:top w:val="single" w:sz="4" w:space="0" w:color="000000" w:themeColor="text1"/>
                    <w:left w:val="single" w:sz="4" w:space="0" w:color="000000" w:themeColor="text1"/>
                    <w:bottom w:val="single" w:sz="4" w:space="0" w:color="auto"/>
                    <w:right w:val="single" w:sz="4" w:space="0" w:color="auto"/>
                  </w:tcBorders>
                  <w:shd w:val="clear" w:color="auto" w:fill="D9D9D9" w:themeFill="background1" w:themeFillShade="D9"/>
                  <w:vAlign w:val="center"/>
                  <w:hideMark/>
                </w:tcPr>
                <w:p w14:paraId="4DA3B105" w14:textId="77777777" w:rsidR="00745113" w:rsidRPr="0066567A" w:rsidRDefault="3B86E627" w:rsidP="00745113">
                  <w:pPr>
                    <w:rPr>
                      <w:rFonts w:cs="Arial"/>
                      <w:color w:val="000000"/>
                      <w:sz w:val="20"/>
                      <w:szCs w:val="20"/>
                      <w:lang w:eastAsia="en-GB"/>
                    </w:rPr>
                  </w:pPr>
                  <w:r w:rsidRPr="3B86E627">
                    <w:rPr>
                      <w:rFonts w:eastAsia="Arial" w:cs="Arial"/>
                      <w:color w:val="000000" w:themeColor="text1"/>
                      <w:sz w:val="20"/>
                      <w:szCs w:val="20"/>
                      <w:lang w:eastAsia="en-GB"/>
                    </w:rPr>
                    <w:t>PG04 Progression Apprenticeship (EDU)</w:t>
                  </w:r>
                </w:p>
              </w:tc>
              <w:tc>
                <w:tcPr>
                  <w:tcW w:w="680" w:type="pct"/>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4DA3B106" w14:textId="77777777" w:rsidR="00745113" w:rsidRPr="0066567A" w:rsidRDefault="3B86E627" w:rsidP="00745113">
                  <w:pPr>
                    <w:jc w:val="center"/>
                    <w:rPr>
                      <w:rFonts w:cs="Arial"/>
                      <w:color w:val="000000"/>
                      <w:sz w:val="20"/>
                      <w:szCs w:val="20"/>
                      <w:lang w:eastAsia="en-GB"/>
                    </w:rPr>
                  </w:pPr>
                  <w:r w:rsidRPr="3B86E627">
                    <w:rPr>
                      <w:rFonts w:eastAsia="Arial" w:cs="Arial"/>
                      <w:color w:val="000000" w:themeColor="text1"/>
                      <w:sz w:val="20"/>
                      <w:szCs w:val="20"/>
                      <w:lang w:eastAsia="en-GB"/>
                    </w:rPr>
                    <w:t>539</w:t>
                  </w:r>
                </w:p>
              </w:tc>
              <w:tc>
                <w:tcPr>
                  <w:tcW w:w="785"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DA3B107" w14:textId="77777777" w:rsidR="00745113" w:rsidRPr="0066567A" w:rsidRDefault="3B86E627" w:rsidP="00745113">
                  <w:pPr>
                    <w:jc w:val="center"/>
                    <w:rPr>
                      <w:rFonts w:cs="Arial"/>
                      <w:color w:val="000000"/>
                      <w:sz w:val="20"/>
                      <w:szCs w:val="20"/>
                      <w:lang w:eastAsia="en-GB"/>
                    </w:rPr>
                  </w:pPr>
                  <w:r w:rsidRPr="3B86E627">
                    <w:rPr>
                      <w:rFonts w:eastAsia="Arial" w:cs="Arial"/>
                      <w:color w:val="000000" w:themeColor="text1"/>
                      <w:sz w:val="20"/>
                      <w:szCs w:val="20"/>
                      <w:lang w:eastAsia="en-GB"/>
                    </w:rPr>
                    <w:t>£200</w:t>
                  </w:r>
                </w:p>
              </w:tc>
              <w:tc>
                <w:tcPr>
                  <w:tcW w:w="649" w:type="pct"/>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noWrap/>
                  <w:vAlign w:val="center"/>
                  <w:hideMark/>
                </w:tcPr>
                <w:p w14:paraId="4DA3B108" w14:textId="77777777" w:rsidR="00745113" w:rsidRPr="0066567A" w:rsidRDefault="3B86E627" w:rsidP="00745113">
                  <w:pPr>
                    <w:jc w:val="center"/>
                    <w:rPr>
                      <w:rFonts w:cs="Arial"/>
                      <w:color w:val="000000"/>
                      <w:sz w:val="20"/>
                      <w:szCs w:val="20"/>
                      <w:lang w:eastAsia="en-GB"/>
                    </w:rPr>
                  </w:pPr>
                  <w:r w:rsidRPr="3B86E627">
                    <w:rPr>
                      <w:rFonts w:eastAsia="Arial" w:cs="Arial"/>
                      <w:color w:val="000000" w:themeColor="text1"/>
                      <w:sz w:val="20"/>
                      <w:szCs w:val="20"/>
                      <w:lang w:eastAsia="en-GB"/>
                    </w:rPr>
                    <w:t>£107,800</w:t>
                  </w:r>
                </w:p>
              </w:tc>
            </w:tr>
            <w:tr w:rsidR="00745113" w:rsidRPr="0066567A" w14:paraId="4DA3B10E" w14:textId="77777777" w:rsidTr="3B86E627">
              <w:trPr>
                <w:trHeight w:val="450"/>
              </w:trPr>
              <w:tc>
                <w:tcPr>
                  <w:tcW w:w="28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A3B10A" w14:textId="77777777" w:rsidR="00745113" w:rsidRPr="0066567A" w:rsidRDefault="3B86E627" w:rsidP="00745113">
                  <w:pPr>
                    <w:rPr>
                      <w:rFonts w:cs="Arial"/>
                      <w:color w:val="000000"/>
                      <w:sz w:val="20"/>
                      <w:szCs w:val="20"/>
                      <w:lang w:eastAsia="en-GB"/>
                    </w:rPr>
                  </w:pPr>
                  <w:r w:rsidRPr="3B86E627">
                    <w:rPr>
                      <w:rFonts w:eastAsia="Arial" w:cs="Arial"/>
                      <w:color w:val="000000" w:themeColor="text1"/>
                      <w:sz w:val="20"/>
                      <w:szCs w:val="20"/>
                      <w:lang w:eastAsia="en-GB"/>
                    </w:rPr>
                    <w:t>Total</w:t>
                  </w:r>
                </w:p>
              </w:tc>
              <w:tc>
                <w:tcPr>
                  <w:tcW w:w="680" w:type="pct"/>
                  <w:tcBorders>
                    <w:top w:val="single" w:sz="4" w:space="0" w:color="auto"/>
                    <w:left w:val="nil"/>
                    <w:bottom w:val="single" w:sz="4" w:space="0" w:color="auto"/>
                    <w:right w:val="single" w:sz="4" w:space="0" w:color="auto"/>
                  </w:tcBorders>
                  <w:shd w:val="clear" w:color="auto" w:fill="FFFFFF" w:themeFill="background1"/>
                  <w:vAlign w:val="center"/>
                  <w:hideMark/>
                </w:tcPr>
                <w:p w14:paraId="4DA3B10B" w14:textId="77777777" w:rsidR="00745113" w:rsidRPr="0066567A" w:rsidRDefault="3B86E627" w:rsidP="00745113">
                  <w:pPr>
                    <w:jc w:val="center"/>
                    <w:rPr>
                      <w:rFonts w:cs="Arial"/>
                      <w:sz w:val="20"/>
                      <w:szCs w:val="20"/>
                      <w:lang w:eastAsia="en-GB"/>
                    </w:rPr>
                  </w:pPr>
                  <w:r w:rsidRPr="3B86E627">
                    <w:rPr>
                      <w:rFonts w:eastAsia="Arial" w:cs="Arial"/>
                      <w:sz w:val="20"/>
                      <w:szCs w:val="20"/>
                      <w:lang w:eastAsia="en-GB"/>
                    </w:rPr>
                    <w:t> </w:t>
                  </w:r>
                </w:p>
              </w:tc>
              <w:tc>
                <w:tcPr>
                  <w:tcW w:w="78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4DA3B10C" w14:textId="77777777" w:rsidR="00745113" w:rsidRPr="0066567A" w:rsidRDefault="3B86E627" w:rsidP="00745113">
                  <w:pPr>
                    <w:jc w:val="center"/>
                    <w:rPr>
                      <w:rFonts w:cs="Arial"/>
                      <w:color w:val="000000"/>
                      <w:sz w:val="20"/>
                      <w:szCs w:val="20"/>
                      <w:lang w:eastAsia="en-GB"/>
                    </w:rPr>
                  </w:pPr>
                  <w:r w:rsidRPr="3B86E627">
                    <w:rPr>
                      <w:rFonts w:eastAsia="Arial" w:cs="Arial"/>
                      <w:color w:val="000000" w:themeColor="text1"/>
                      <w:sz w:val="20"/>
                      <w:szCs w:val="20"/>
                      <w:lang w:eastAsia="en-GB"/>
                    </w:rPr>
                    <w:t> </w:t>
                  </w:r>
                </w:p>
              </w:tc>
              <w:tc>
                <w:tcPr>
                  <w:tcW w:w="649" w:type="pct"/>
                  <w:tcBorders>
                    <w:top w:val="single" w:sz="4" w:space="0" w:color="auto"/>
                    <w:left w:val="nil"/>
                    <w:bottom w:val="single" w:sz="4" w:space="0" w:color="auto"/>
                    <w:right w:val="single" w:sz="4" w:space="0" w:color="auto"/>
                  </w:tcBorders>
                  <w:shd w:val="clear" w:color="auto" w:fill="auto"/>
                  <w:noWrap/>
                  <w:vAlign w:val="center"/>
                  <w:hideMark/>
                </w:tcPr>
                <w:p w14:paraId="4DA3B10D" w14:textId="77777777" w:rsidR="00745113" w:rsidRPr="0066567A" w:rsidRDefault="3B86E627" w:rsidP="00745113">
                  <w:pPr>
                    <w:jc w:val="center"/>
                    <w:rPr>
                      <w:rFonts w:cs="Arial"/>
                      <w:color w:val="000000"/>
                      <w:sz w:val="20"/>
                      <w:szCs w:val="20"/>
                      <w:lang w:eastAsia="en-GB"/>
                    </w:rPr>
                  </w:pPr>
                  <w:r w:rsidRPr="3B86E627">
                    <w:rPr>
                      <w:rFonts w:eastAsia="Arial" w:cs="Arial"/>
                      <w:color w:val="000000" w:themeColor="text1"/>
                      <w:sz w:val="20"/>
                      <w:szCs w:val="20"/>
                      <w:lang w:eastAsia="en-GB"/>
                    </w:rPr>
                    <w:t>£1,752,300</w:t>
                  </w:r>
                </w:p>
              </w:tc>
            </w:tr>
          </w:tbl>
          <w:p w14:paraId="4DA3B10F" w14:textId="77777777" w:rsidR="00344FA1" w:rsidRPr="00DB2FA1" w:rsidRDefault="00344FA1" w:rsidP="008D7D92">
            <w:pPr>
              <w:jc w:val="both"/>
              <w:rPr>
                <w:rFonts w:cs="Arial"/>
                <w:b/>
              </w:rPr>
            </w:pPr>
          </w:p>
        </w:tc>
      </w:tr>
    </w:tbl>
    <w:p w14:paraId="4DA3B111" w14:textId="77777777" w:rsidR="00E072F5" w:rsidRDefault="00E072F5"/>
    <w:p w14:paraId="73357F1A" w14:textId="77777777" w:rsidR="002340A8" w:rsidRDefault="002340A8">
      <w:bookmarkStart w:id="0" w:name="_GoBack"/>
      <w:bookmarkEnd w:id="0"/>
    </w:p>
    <w:sectPr w:rsidR="002340A8" w:rsidSect="0030198F">
      <w:headerReference w:type="default" r:id="rId18"/>
      <w:footerReference w:type="default" r:id="rId19"/>
      <w:type w:val="continuous"/>
      <w:pgSz w:w="11906" w:h="16838"/>
      <w:pgMar w:top="1418" w:right="1701" w:bottom="1418" w:left="1418" w:header="85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9ECEE5" w14:textId="77777777" w:rsidR="00557F62" w:rsidRDefault="00557F62">
      <w:r>
        <w:separator/>
      </w:r>
    </w:p>
  </w:endnote>
  <w:endnote w:type="continuationSeparator" w:id="0">
    <w:p w14:paraId="11F343A7" w14:textId="77777777" w:rsidR="00557F62" w:rsidRDefault="00557F62">
      <w:r>
        <w:continuationSeparator/>
      </w:r>
    </w:p>
  </w:endnote>
  <w:endnote w:type="continuationNotice" w:id="1">
    <w:p w14:paraId="404699B0" w14:textId="77777777" w:rsidR="00557F62" w:rsidRDefault="00557F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7279648"/>
      <w:docPartObj>
        <w:docPartGallery w:val="Page Numbers (Bottom of Page)"/>
        <w:docPartUnique/>
      </w:docPartObj>
    </w:sdtPr>
    <w:sdtEndPr>
      <w:rPr>
        <w:noProof/>
      </w:rPr>
    </w:sdtEndPr>
    <w:sdtContent>
      <w:p w14:paraId="4DA3B121" w14:textId="77777777" w:rsidR="002340A8" w:rsidRDefault="002340A8">
        <w:pPr>
          <w:pStyle w:val="Footer"/>
          <w:jc w:val="right"/>
          <w:rPr>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8"/>
          <w:gridCol w:w="3869"/>
        </w:tblGrid>
        <w:tr w:rsidR="002340A8" w14:paraId="4DA3B124" w14:textId="77777777" w:rsidTr="009808AC">
          <w:tc>
            <w:tcPr>
              <w:tcW w:w="4908" w:type="dxa"/>
            </w:tcPr>
            <w:p w14:paraId="4DA3B122" w14:textId="77777777" w:rsidR="002340A8" w:rsidRDefault="002340A8" w:rsidP="009808AC">
              <w:pPr>
                <w:pStyle w:val="Footer"/>
              </w:pPr>
            </w:p>
          </w:tc>
          <w:tc>
            <w:tcPr>
              <w:tcW w:w="3869" w:type="dxa"/>
            </w:tcPr>
            <w:p w14:paraId="4DA3B123" w14:textId="77777777" w:rsidR="002340A8" w:rsidRDefault="002340A8" w:rsidP="009808AC">
              <w:pPr>
                <w:pStyle w:val="Footer"/>
                <w:jc w:val="right"/>
              </w:pPr>
              <w:r>
                <w:t xml:space="preserve"> </w:t>
              </w:r>
              <w:r>
                <w:rPr>
                  <w:b/>
                  <w:bCs/>
                </w:rPr>
                <w:fldChar w:fldCharType="begin"/>
              </w:r>
              <w:r>
                <w:rPr>
                  <w:b/>
                  <w:bCs/>
                </w:rPr>
                <w:instrText xml:space="preserve"> PAGE  \* Arabic  \* MERGEFORMAT </w:instrText>
              </w:r>
              <w:r>
                <w:rPr>
                  <w:b/>
                  <w:bCs/>
                </w:rPr>
                <w:fldChar w:fldCharType="separate"/>
              </w:r>
              <w:r w:rsidR="00B13CEA">
                <w:rPr>
                  <w:b/>
                  <w:bCs/>
                  <w:noProof/>
                </w:rPr>
                <w:t>15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B13CEA">
                <w:rPr>
                  <w:b/>
                  <w:bCs/>
                  <w:noProof/>
                </w:rPr>
                <w:t>15</w:t>
              </w:r>
              <w:r>
                <w:rPr>
                  <w:b/>
                  <w:bCs/>
                </w:rPr>
                <w:fldChar w:fldCharType="end"/>
              </w:r>
            </w:p>
          </w:tc>
        </w:tr>
      </w:tbl>
      <w:p w14:paraId="4DA3B125" w14:textId="77777777" w:rsidR="002340A8" w:rsidRDefault="00557F62">
        <w:pPr>
          <w:pStyle w:val="Footer"/>
          <w:jc w:val="right"/>
        </w:pPr>
      </w:p>
    </w:sdtContent>
  </w:sdt>
  <w:p w14:paraId="4DA3B126" w14:textId="77777777" w:rsidR="002340A8" w:rsidRDefault="002340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F234FD" w14:textId="77777777" w:rsidR="00557F62" w:rsidRDefault="00557F62">
      <w:r>
        <w:separator/>
      </w:r>
    </w:p>
  </w:footnote>
  <w:footnote w:type="continuationSeparator" w:id="0">
    <w:p w14:paraId="56BA8BE1" w14:textId="77777777" w:rsidR="00557F62" w:rsidRDefault="00557F62">
      <w:r>
        <w:continuationSeparator/>
      </w:r>
    </w:p>
  </w:footnote>
  <w:footnote w:type="continuationNotice" w:id="1">
    <w:p w14:paraId="6AAF8F2D" w14:textId="77777777" w:rsidR="00557F62" w:rsidRDefault="00557F6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6606804"/>
      <w:docPartObj>
        <w:docPartGallery w:val="Watermarks"/>
        <w:docPartUnique/>
      </w:docPartObj>
    </w:sdtPr>
    <w:sdtEndPr/>
    <w:sdtContent>
      <w:p w14:paraId="4DA3B120" w14:textId="77777777" w:rsidR="002340A8" w:rsidRDefault="00557F62">
        <w:pPr>
          <w:pStyle w:val="Header"/>
        </w:pPr>
        <w:r>
          <w:rPr>
            <w:noProof/>
            <w:lang w:val="en-US"/>
          </w:rPr>
          <w:pict w14:anchorId="4DA3B1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CB2AB56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FB"/>
    <w:multiLevelType w:val="multilevel"/>
    <w:tmpl w:val="F5DC8188"/>
    <w:lvl w:ilvl="0">
      <w:start w:val="1"/>
      <w:numFmt w:val="decimal"/>
      <w:lvlText w:val="%1."/>
      <w:lvlJc w:val="left"/>
      <w:pPr>
        <w:tabs>
          <w:tab w:val="num" w:pos="0"/>
        </w:tabs>
        <w:ind w:left="720" w:hanging="720"/>
      </w:pPr>
      <w:rPr>
        <w:rFonts w:cs="Times New Roman" w:hint="default"/>
      </w:rPr>
    </w:lvl>
    <w:lvl w:ilvl="1">
      <w:start w:val="1"/>
      <w:numFmt w:val="decimal"/>
      <w:lvlText w:val="%1.%2"/>
      <w:lvlJc w:val="left"/>
      <w:pPr>
        <w:tabs>
          <w:tab w:val="num" w:pos="0"/>
        </w:tabs>
        <w:ind w:left="1440" w:hanging="720"/>
      </w:pPr>
      <w:rPr>
        <w:rFonts w:cs="Times New Roman" w:hint="default"/>
        <w:b w:val="0"/>
        <w:i w:val="0"/>
        <w:caps w:val="0"/>
        <w:strike w:val="0"/>
        <w:dstrike w:val="0"/>
        <w:vanish w:val="0"/>
        <w:color w:val="000000"/>
        <w:vertAlign w:val="baseline"/>
      </w:rPr>
    </w:lvl>
    <w:lvl w:ilvl="2">
      <w:start w:val="1"/>
      <w:numFmt w:val="decimal"/>
      <w:lvlText w:val="%1.%2.%3"/>
      <w:lvlJc w:val="left"/>
      <w:pPr>
        <w:tabs>
          <w:tab w:val="num" w:pos="0"/>
        </w:tabs>
        <w:ind w:left="2564" w:hanging="720"/>
      </w:pPr>
      <w:rPr>
        <w:rFonts w:cs="Times New Roman" w:hint="default"/>
        <w:b w:val="0"/>
      </w:rPr>
    </w:lvl>
    <w:lvl w:ilvl="3">
      <w:start w:val="1"/>
      <w:numFmt w:val="decimal"/>
      <w:lvlText w:val="%1.%2.%3.%4"/>
      <w:lvlJc w:val="left"/>
      <w:pPr>
        <w:tabs>
          <w:tab w:val="num" w:pos="0"/>
        </w:tabs>
        <w:ind w:left="2880" w:hanging="720"/>
      </w:pPr>
      <w:rPr>
        <w:rFonts w:ascii="Arial" w:hAnsi="Arial" w:cs="Times New Roman"/>
        <w:b w:val="0"/>
        <w:bCs w:val="0"/>
        <w:i w:val="0"/>
        <w:iCs w:val="0"/>
        <w:caps w:val="0"/>
        <w:smallCaps w:val="0"/>
        <w:strike w:val="0"/>
        <w:dstrike w:val="0"/>
        <w:vanish w:val="0"/>
        <w:color w:val="auto"/>
        <w:spacing w:val="0"/>
        <w:w w:val="100"/>
        <w:kern w:val="0"/>
        <w:position w:val="0"/>
        <w:sz w:val="20"/>
        <w:szCs w:val="20"/>
        <w:u w:val="none" w:color="000000"/>
        <w:vertAlign w:val="baseline"/>
      </w:rPr>
    </w:lvl>
    <w:lvl w:ilvl="4">
      <w:start w:val="1"/>
      <w:numFmt w:val="lowerLetter"/>
      <w:lvlText w:val="(%5)"/>
      <w:lvlJc w:val="left"/>
      <w:pPr>
        <w:tabs>
          <w:tab w:val="num" w:pos="0"/>
        </w:tabs>
        <w:ind w:left="3600" w:hanging="720"/>
      </w:pPr>
      <w:rPr>
        <w:rFonts w:cs="Times New Roman" w:hint="default"/>
      </w:rPr>
    </w:lvl>
    <w:lvl w:ilvl="5">
      <w:start w:val="1"/>
      <w:numFmt w:val="lowerRoman"/>
      <w:lvlText w:val="(%6)"/>
      <w:lvlJc w:val="left"/>
      <w:pPr>
        <w:tabs>
          <w:tab w:val="num" w:pos="0"/>
        </w:tabs>
        <w:ind w:left="4320" w:hanging="720"/>
      </w:pPr>
      <w:rPr>
        <w:rFonts w:cs="Times New Roman" w:hint="default"/>
      </w:rPr>
    </w:lvl>
    <w:lvl w:ilvl="6">
      <w:start w:val="1"/>
      <w:numFmt w:val="decimal"/>
      <w:lvlText w:val="(%7)"/>
      <w:lvlJc w:val="left"/>
      <w:pPr>
        <w:tabs>
          <w:tab w:val="num" w:pos="0"/>
        </w:tabs>
        <w:ind w:left="5040" w:hanging="720"/>
      </w:pPr>
      <w:rPr>
        <w:rFonts w:cs="Times New Roman" w:hint="default"/>
      </w:rPr>
    </w:lvl>
    <w:lvl w:ilvl="7">
      <w:start w:val="1"/>
      <w:numFmt w:val="none"/>
      <w:suff w:val="nothing"/>
      <w:lvlText w:val=""/>
      <w:lvlJc w:val="left"/>
      <w:pPr>
        <w:ind w:left="5760" w:hanging="720"/>
      </w:pPr>
      <w:rPr>
        <w:rFonts w:cs="Times New Roman" w:hint="default"/>
      </w:rPr>
    </w:lvl>
    <w:lvl w:ilvl="8">
      <w:start w:val="1"/>
      <w:numFmt w:val="none"/>
      <w:suff w:val="nothing"/>
      <w:lvlText w:val=""/>
      <w:lvlJc w:val="left"/>
      <w:pPr>
        <w:ind w:left="6480" w:hanging="720"/>
      </w:pPr>
      <w:rPr>
        <w:rFonts w:cs="Times New Roman" w:hint="default"/>
      </w:rPr>
    </w:lvl>
  </w:abstractNum>
  <w:abstractNum w:abstractNumId="2" w15:restartNumberingAfterBreak="0">
    <w:nsid w:val="00C524FD"/>
    <w:multiLevelType w:val="hybridMultilevel"/>
    <w:tmpl w:val="6EE24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72413C"/>
    <w:multiLevelType w:val="hybridMultilevel"/>
    <w:tmpl w:val="9E4C4152"/>
    <w:lvl w:ilvl="0" w:tplc="3FA6236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6B0D5D"/>
    <w:multiLevelType w:val="hybridMultilevel"/>
    <w:tmpl w:val="9F3C3C4C"/>
    <w:lvl w:ilvl="0" w:tplc="7F8200D2">
      <w:start w:val="1"/>
      <w:numFmt w:val="bullet"/>
      <w:pStyle w:val="bulletedList"/>
      <w:lvlText w:val=""/>
      <w:lvlJc w:val="left"/>
      <w:pPr>
        <w:tabs>
          <w:tab w:val="num" w:pos="567"/>
        </w:tabs>
        <w:ind w:left="567" w:hanging="567"/>
      </w:pPr>
      <w:rPr>
        <w:rFonts w:ascii="Symbol" w:hAnsi="Symbol" w:hint="default"/>
        <w:b w:val="0"/>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E242A3"/>
    <w:multiLevelType w:val="multilevel"/>
    <w:tmpl w:val="0526FD8A"/>
    <w:name w:val="items4"/>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rPr>
        <w:b/>
      </w:rPr>
    </w:lvl>
    <w:lvl w:ilvl="2">
      <w:start w:val="1"/>
      <w:numFmt w:val="none"/>
      <w:pStyle w:val="Heading3"/>
      <w:lvlText w:val=""/>
      <w:lvlJc w:val="left"/>
      <w:pPr>
        <w:tabs>
          <w:tab w:val="num" w:pos="0"/>
        </w:tabs>
        <w:ind w:left="0" w:firstLine="0"/>
      </w:pPr>
      <w:rPr>
        <w:b/>
      </w:rPr>
    </w:lvl>
    <w:lvl w:ilvl="3">
      <w:start w:val="1"/>
      <w:numFmt w:val="decimal"/>
      <w:lvlRestart w:val="0"/>
      <w:pStyle w:val="numberedparagraph"/>
      <w:lvlText w:val="%4"/>
      <w:lvlJc w:val="left"/>
      <w:pPr>
        <w:tabs>
          <w:tab w:val="num" w:pos="567"/>
        </w:tabs>
        <w:ind w:left="567" w:hanging="567"/>
      </w:pPr>
    </w:lvl>
    <w:lvl w:ilvl="4">
      <w:start w:val="1"/>
      <w:numFmt w:val="lowerLetter"/>
      <w:pStyle w:val="letteredlist"/>
      <w:lvlText w:val="%5"/>
      <w:lvlJc w:val="left"/>
      <w:pPr>
        <w:tabs>
          <w:tab w:val="num" w:pos="964"/>
        </w:tabs>
        <w:ind w:left="964" w:hanging="397"/>
      </w:pPr>
      <w:rPr>
        <w:b w:val="0"/>
      </w:r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6" w15:restartNumberingAfterBreak="0">
    <w:nsid w:val="0C500BA1"/>
    <w:multiLevelType w:val="hybridMultilevel"/>
    <w:tmpl w:val="E864F19C"/>
    <w:lvl w:ilvl="0" w:tplc="7CDA568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EB0D5F"/>
    <w:multiLevelType w:val="multilevel"/>
    <w:tmpl w:val="3F0C26FE"/>
    <w:lvl w:ilvl="0">
      <w:start w:val="17"/>
      <w:numFmt w:val="decimal"/>
      <w:pStyle w:val="DfESOutNumbered1"/>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8" w15:restartNumberingAfterBreak="0">
    <w:nsid w:val="10B94DB0"/>
    <w:multiLevelType w:val="hybridMultilevel"/>
    <w:tmpl w:val="2862C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3E29BF"/>
    <w:multiLevelType w:val="hybridMultilevel"/>
    <w:tmpl w:val="763093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E9395F"/>
    <w:multiLevelType w:val="hybridMultilevel"/>
    <w:tmpl w:val="441E9C60"/>
    <w:lvl w:ilvl="0" w:tplc="603401DC">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4496FF0"/>
    <w:multiLevelType w:val="hybridMultilevel"/>
    <w:tmpl w:val="4B0A4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CA789C"/>
    <w:multiLevelType w:val="hybridMultilevel"/>
    <w:tmpl w:val="9BBC0F8C"/>
    <w:lvl w:ilvl="0" w:tplc="08090001">
      <w:start w:val="1"/>
      <w:numFmt w:val="bullet"/>
      <w:lvlText w:val=""/>
      <w:lvlJc w:val="left"/>
      <w:pPr>
        <w:ind w:left="1440" w:hanging="72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D492D03"/>
    <w:multiLevelType w:val="hybridMultilevel"/>
    <w:tmpl w:val="3CF4E52E"/>
    <w:lvl w:ilvl="0" w:tplc="0809000F">
      <w:start w:val="1"/>
      <w:numFmt w:val="decimal"/>
      <w:lvlText w:val="%1."/>
      <w:lvlJc w:val="left"/>
      <w:pPr>
        <w:tabs>
          <w:tab w:val="num" w:pos="720"/>
        </w:tabs>
        <w:ind w:left="720" w:hanging="360"/>
      </w:pPr>
      <w:rPr>
        <w:rFonts w:cs="Times New Roman"/>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0BD26AF"/>
    <w:multiLevelType w:val="hybridMultilevel"/>
    <w:tmpl w:val="787A4B5C"/>
    <w:lvl w:ilvl="0" w:tplc="E3DA9FE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B8D0024"/>
    <w:multiLevelType w:val="hybridMultilevel"/>
    <w:tmpl w:val="D5300D12"/>
    <w:lvl w:ilvl="0" w:tplc="603401DC">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9E25A1"/>
    <w:multiLevelType w:val="hybridMultilevel"/>
    <w:tmpl w:val="84704B58"/>
    <w:lvl w:ilvl="0" w:tplc="0809001B">
      <w:start w:val="1"/>
      <w:numFmt w:val="lowerRoman"/>
      <w:lvlText w:val="%1."/>
      <w:lvlJc w:val="righ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7" w15:restartNumberingAfterBreak="0">
    <w:nsid w:val="31E567FA"/>
    <w:multiLevelType w:val="hybridMultilevel"/>
    <w:tmpl w:val="6AFCE5B2"/>
    <w:lvl w:ilvl="0" w:tplc="08090001">
      <w:start w:val="1"/>
      <w:numFmt w:val="bullet"/>
      <w:lvlText w:val=""/>
      <w:lvlJc w:val="left"/>
      <w:pPr>
        <w:ind w:left="765" w:hanging="360"/>
      </w:pPr>
      <w:rPr>
        <w:rFonts w:ascii="Symbol" w:hAnsi="Symbol"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8" w15:restartNumberingAfterBreak="0">
    <w:nsid w:val="33C8388D"/>
    <w:multiLevelType w:val="hybridMultilevel"/>
    <w:tmpl w:val="5F465F36"/>
    <w:lvl w:ilvl="0" w:tplc="63646CE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8210D1D"/>
    <w:multiLevelType w:val="hybridMultilevel"/>
    <w:tmpl w:val="AC129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2927BB"/>
    <w:multiLevelType w:val="hybridMultilevel"/>
    <w:tmpl w:val="0D1EA2A2"/>
    <w:lvl w:ilvl="0" w:tplc="D054A79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701BF5"/>
    <w:multiLevelType w:val="hybridMultilevel"/>
    <w:tmpl w:val="D242C9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7DA2AE0"/>
    <w:multiLevelType w:val="hybridMultilevel"/>
    <w:tmpl w:val="919ED7D0"/>
    <w:lvl w:ilvl="0" w:tplc="0809000F">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8732790"/>
    <w:multiLevelType w:val="hybridMultilevel"/>
    <w:tmpl w:val="DC485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8848A2"/>
    <w:multiLevelType w:val="hybridMultilevel"/>
    <w:tmpl w:val="E550EE08"/>
    <w:lvl w:ilvl="0" w:tplc="08090001">
      <w:start w:val="1"/>
      <w:numFmt w:val="bullet"/>
      <w:lvlText w:val=""/>
      <w:lvlJc w:val="left"/>
      <w:pPr>
        <w:ind w:left="720" w:hanging="360"/>
      </w:pPr>
      <w:rPr>
        <w:rFonts w:ascii="Symbol" w:hAnsi="Symbol" w:hint="default"/>
      </w:rPr>
    </w:lvl>
    <w:lvl w:ilvl="1" w:tplc="45C2A9C2">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C27CC7"/>
    <w:multiLevelType w:val="hybridMultilevel"/>
    <w:tmpl w:val="7988E7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3B3443A"/>
    <w:multiLevelType w:val="hybridMultilevel"/>
    <w:tmpl w:val="52607F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4756313"/>
    <w:multiLevelType w:val="multilevel"/>
    <w:tmpl w:val="01C2AB76"/>
    <w:lvl w:ilvl="0">
      <w:start w:val="1"/>
      <w:numFmt w:val="decimal"/>
      <w:pStyle w:val="NormalWeb"/>
      <w:lvlText w:val="%1"/>
      <w:lvlJc w:val="left"/>
      <w:pPr>
        <w:tabs>
          <w:tab w:val="num" w:pos="720"/>
        </w:tabs>
        <w:ind w:left="720" w:hanging="720"/>
      </w:pPr>
      <w:rPr>
        <w:rFonts w:ascii="Arial" w:hAnsi="Arial" w:cs="Times New Roman" w:hint="default"/>
        <w:sz w:val="21"/>
      </w:rPr>
    </w:lvl>
    <w:lvl w:ilvl="1">
      <w:start w:val="1"/>
      <w:numFmt w:val="decimal"/>
      <w:pStyle w:val="Level1"/>
      <w:lvlText w:val="%1.%2"/>
      <w:lvlJc w:val="left"/>
      <w:pPr>
        <w:tabs>
          <w:tab w:val="num" w:pos="720"/>
        </w:tabs>
        <w:ind w:left="720" w:hanging="720"/>
      </w:pPr>
      <w:rPr>
        <w:rFonts w:ascii="Arial" w:hAnsi="Arial" w:cs="Times New Roman" w:hint="default"/>
        <w:b/>
        <w:sz w:val="22"/>
        <w:szCs w:val="22"/>
      </w:rPr>
    </w:lvl>
    <w:lvl w:ilvl="2">
      <w:start w:val="1"/>
      <w:numFmt w:val="lowerLetter"/>
      <w:pStyle w:val="Level2"/>
      <w:lvlText w:val="(%3)"/>
      <w:lvlJc w:val="left"/>
      <w:pPr>
        <w:tabs>
          <w:tab w:val="num" w:pos="1440"/>
        </w:tabs>
        <w:ind w:left="1440" w:hanging="720"/>
      </w:pPr>
      <w:rPr>
        <w:rFonts w:ascii="Arial" w:hAnsi="Arial" w:cs="Times New Roman" w:hint="default"/>
        <w:sz w:val="21"/>
      </w:rPr>
    </w:lvl>
    <w:lvl w:ilvl="3">
      <w:start w:val="1"/>
      <w:numFmt w:val="lowerRoman"/>
      <w:pStyle w:val="Level3"/>
      <w:lvlText w:val="(%4)"/>
      <w:lvlJc w:val="left"/>
      <w:pPr>
        <w:tabs>
          <w:tab w:val="num" w:pos="2160"/>
        </w:tabs>
        <w:ind w:left="2160" w:hanging="720"/>
      </w:pPr>
      <w:rPr>
        <w:rFonts w:ascii="Arial" w:hAnsi="Arial" w:cs="Times New Roman" w:hint="default"/>
        <w:sz w:val="21"/>
      </w:rPr>
    </w:lvl>
    <w:lvl w:ilvl="4">
      <w:start w:val="1"/>
      <w:numFmt w:val="upperLetter"/>
      <w:pStyle w:val="Level4"/>
      <w:lvlText w:val="(%5)"/>
      <w:lvlJc w:val="left"/>
      <w:pPr>
        <w:tabs>
          <w:tab w:val="num" w:pos="2880"/>
        </w:tabs>
        <w:ind w:left="2880" w:hanging="720"/>
      </w:pPr>
      <w:rPr>
        <w:rFonts w:ascii="Arial" w:hAnsi="Arial" w:cs="Times New Roman" w:hint="default"/>
        <w:sz w:val="21"/>
      </w:rPr>
    </w:lvl>
    <w:lvl w:ilvl="5">
      <w:start w:val="1"/>
      <w:numFmt w:val="upperRoman"/>
      <w:pStyle w:val="Level5"/>
      <w:lvlText w:val="(%6)"/>
      <w:lvlJc w:val="left"/>
      <w:pPr>
        <w:tabs>
          <w:tab w:val="num" w:pos="3600"/>
        </w:tabs>
        <w:ind w:left="3600" w:hanging="720"/>
      </w:pPr>
      <w:rPr>
        <w:rFonts w:ascii="Arial" w:hAnsi="Arial" w:cs="Times New Roman" w:hint="default"/>
        <w:sz w:val="21"/>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28" w15:restartNumberingAfterBreak="0">
    <w:nsid w:val="55956E00"/>
    <w:multiLevelType w:val="hybridMultilevel"/>
    <w:tmpl w:val="F18E851A"/>
    <w:lvl w:ilvl="0" w:tplc="A20C48F4">
      <w:start w:val="1"/>
      <w:numFmt w:val="bullet"/>
      <w:lvlText w:val=""/>
      <w:lvlJc w:val="left"/>
      <w:pPr>
        <w:ind w:left="720" w:hanging="360"/>
      </w:pPr>
      <w:rPr>
        <w:rFonts w:ascii="Symbol" w:hAnsi="Symbol" w:hint="default"/>
        <w:color w:val="auto"/>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110C79"/>
    <w:multiLevelType w:val="hybridMultilevel"/>
    <w:tmpl w:val="4940A0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681F0C"/>
    <w:multiLevelType w:val="hybridMultilevel"/>
    <w:tmpl w:val="A754EE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5A47149D"/>
    <w:multiLevelType w:val="hybridMultilevel"/>
    <w:tmpl w:val="B8DA2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8C091A"/>
    <w:multiLevelType w:val="hybridMultilevel"/>
    <w:tmpl w:val="CE122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10308B"/>
    <w:multiLevelType w:val="hybridMultilevel"/>
    <w:tmpl w:val="F42A8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976614"/>
    <w:multiLevelType w:val="hybridMultilevel"/>
    <w:tmpl w:val="AEBA98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CFA27FC"/>
    <w:multiLevelType w:val="hybridMultilevel"/>
    <w:tmpl w:val="3446E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A92ED3"/>
    <w:multiLevelType w:val="hybridMultilevel"/>
    <w:tmpl w:val="253A7F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B61FC4"/>
    <w:multiLevelType w:val="multilevel"/>
    <w:tmpl w:val="7904FE84"/>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none"/>
      <w:lvlRestart w:val="1"/>
      <w:lvlText w:val=""/>
      <w:lvlJc w:val="left"/>
      <w:pPr>
        <w:tabs>
          <w:tab w:val="num" w:pos="851"/>
        </w:tabs>
        <w:ind w:left="851" w:hanging="851"/>
      </w:pPr>
      <w:rPr>
        <w:rFonts w:ascii="Arial" w:hAnsi="Arial" w:hint="default"/>
      </w:rPr>
    </w:lvl>
    <w:lvl w:ilvl="3">
      <w:start w:val="1"/>
      <w:numFmt w:val="none"/>
      <w:lvlRestart w:val="1"/>
      <w:lvlText w:val="%4"/>
      <w:lvlJc w:val="left"/>
      <w:pPr>
        <w:tabs>
          <w:tab w:val="num" w:pos="964"/>
        </w:tabs>
        <w:ind w:left="964" w:hanging="397"/>
      </w:pPr>
      <w:rPr>
        <w:rFonts w:ascii="Arial" w:hAnsi="Arial" w:hint="default"/>
      </w:rPr>
    </w:lvl>
    <w:lvl w:ilvl="4">
      <w:start w:val="1"/>
      <w:numFmt w:val="none"/>
      <w:pStyle w:val="paragraph"/>
      <w:suff w:val="nothing"/>
      <w:lvlText w:val="%1"/>
      <w:lvlJc w:val="left"/>
      <w:pPr>
        <w:ind w:left="0" w:firstLine="0"/>
      </w:pPr>
      <w:rPr>
        <w:rFonts w:hint="default"/>
      </w:rPr>
    </w:lvl>
    <w:lvl w:ilvl="5">
      <w:start w:val="1"/>
      <w:numFmt w:val="lowerLetter"/>
      <w:pStyle w:val="letteredList0"/>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38" w15:restartNumberingAfterBreak="0">
    <w:nsid w:val="669E007B"/>
    <w:multiLevelType w:val="hybridMultilevel"/>
    <w:tmpl w:val="1B4A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7433D01"/>
    <w:multiLevelType w:val="hybridMultilevel"/>
    <w:tmpl w:val="FEBAA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89C7989"/>
    <w:multiLevelType w:val="hybridMultilevel"/>
    <w:tmpl w:val="AAE801B0"/>
    <w:lvl w:ilvl="0" w:tplc="08090001">
      <w:start w:val="1"/>
      <w:numFmt w:val="bullet"/>
      <w:lvlText w:val=""/>
      <w:lvlJc w:val="left"/>
      <w:pPr>
        <w:ind w:left="749" w:hanging="360"/>
      </w:pPr>
      <w:rPr>
        <w:rFonts w:ascii="Symbol" w:hAnsi="Symbol" w:hint="default"/>
      </w:rPr>
    </w:lvl>
    <w:lvl w:ilvl="1" w:tplc="08090003" w:tentative="1">
      <w:start w:val="1"/>
      <w:numFmt w:val="bullet"/>
      <w:lvlText w:val="o"/>
      <w:lvlJc w:val="left"/>
      <w:pPr>
        <w:ind w:left="1469" w:hanging="360"/>
      </w:pPr>
      <w:rPr>
        <w:rFonts w:ascii="Courier New" w:hAnsi="Courier New" w:cs="Courier New" w:hint="default"/>
      </w:rPr>
    </w:lvl>
    <w:lvl w:ilvl="2" w:tplc="08090005" w:tentative="1">
      <w:start w:val="1"/>
      <w:numFmt w:val="bullet"/>
      <w:lvlText w:val=""/>
      <w:lvlJc w:val="left"/>
      <w:pPr>
        <w:ind w:left="2189" w:hanging="360"/>
      </w:pPr>
      <w:rPr>
        <w:rFonts w:ascii="Wingdings" w:hAnsi="Wingdings" w:hint="default"/>
      </w:rPr>
    </w:lvl>
    <w:lvl w:ilvl="3" w:tplc="08090001" w:tentative="1">
      <w:start w:val="1"/>
      <w:numFmt w:val="bullet"/>
      <w:lvlText w:val=""/>
      <w:lvlJc w:val="left"/>
      <w:pPr>
        <w:ind w:left="2909" w:hanging="360"/>
      </w:pPr>
      <w:rPr>
        <w:rFonts w:ascii="Symbol" w:hAnsi="Symbol" w:hint="default"/>
      </w:rPr>
    </w:lvl>
    <w:lvl w:ilvl="4" w:tplc="08090003" w:tentative="1">
      <w:start w:val="1"/>
      <w:numFmt w:val="bullet"/>
      <w:lvlText w:val="o"/>
      <w:lvlJc w:val="left"/>
      <w:pPr>
        <w:ind w:left="3629" w:hanging="360"/>
      </w:pPr>
      <w:rPr>
        <w:rFonts w:ascii="Courier New" w:hAnsi="Courier New" w:cs="Courier New" w:hint="default"/>
      </w:rPr>
    </w:lvl>
    <w:lvl w:ilvl="5" w:tplc="08090005" w:tentative="1">
      <w:start w:val="1"/>
      <w:numFmt w:val="bullet"/>
      <w:lvlText w:val=""/>
      <w:lvlJc w:val="left"/>
      <w:pPr>
        <w:ind w:left="4349" w:hanging="360"/>
      </w:pPr>
      <w:rPr>
        <w:rFonts w:ascii="Wingdings" w:hAnsi="Wingdings" w:hint="default"/>
      </w:rPr>
    </w:lvl>
    <w:lvl w:ilvl="6" w:tplc="08090001" w:tentative="1">
      <w:start w:val="1"/>
      <w:numFmt w:val="bullet"/>
      <w:lvlText w:val=""/>
      <w:lvlJc w:val="left"/>
      <w:pPr>
        <w:ind w:left="5069" w:hanging="360"/>
      </w:pPr>
      <w:rPr>
        <w:rFonts w:ascii="Symbol" w:hAnsi="Symbol" w:hint="default"/>
      </w:rPr>
    </w:lvl>
    <w:lvl w:ilvl="7" w:tplc="08090003" w:tentative="1">
      <w:start w:val="1"/>
      <w:numFmt w:val="bullet"/>
      <w:lvlText w:val="o"/>
      <w:lvlJc w:val="left"/>
      <w:pPr>
        <w:ind w:left="5789" w:hanging="360"/>
      </w:pPr>
      <w:rPr>
        <w:rFonts w:ascii="Courier New" w:hAnsi="Courier New" w:cs="Courier New" w:hint="default"/>
      </w:rPr>
    </w:lvl>
    <w:lvl w:ilvl="8" w:tplc="08090005" w:tentative="1">
      <w:start w:val="1"/>
      <w:numFmt w:val="bullet"/>
      <w:lvlText w:val=""/>
      <w:lvlJc w:val="left"/>
      <w:pPr>
        <w:ind w:left="6509" w:hanging="360"/>
      </w:pPr>
      <w:rPr>
        <w:rFonts w:ascii="Wingdings" w:hAnsi="Wingdings" w:hint="default"/>
      </w:rPr>
    </w:lvl>
  </w:abstractNum>
  <w:abstractNum w:abstractNumId="41" w15:restartNumberingAfterBreak="0">
    <w:nsid w:val="6CFC3E9B"/>
    <w:multiLevelType w:val="hybridMultilevel"/>
    <w:tmpl w:val="E3EEB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AB4562"/>
    <w:multiLevelType w:val="hybridMultilevel"/>
    <w:tmpl w:val="44C80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C70A3E"/>
    <w:multiLevelType w:val="hybridMultilevel"/>
    <w:tmpl w:val="2DA43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8274CAD"/>
    <w:multiLevelType w:val="hybridMultilevel"/>
    <w:tmpl w:val="B0CAC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8977D67"/>
    <w:multiLevelType w:val="hybridMultilevel"/>
    <w:tmpl w:val="B78E3C38"/>
    <w:lvl w:ilvl="0" w:tplc="2DB2545E">
      <w:start w:val="1"/>
      <w:numFmt w:val="bullet"/>
      <w:pStyle w:val="BulletInLetteredList"/>
      <w:lvlText w:val="-"/>
      <w:lvlJc w:val="left"/>
      <w:pPr>
        <w:tabs>
          <w:tab w:val="num" w:pos="1134"/>
        </w:tabs>
        <w:ind w:left="1134" w:hanging="567"/>
      </w:pPr>
      <w:rPr>
        <w:rFonts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8AD5220"/>
    <w:multiLevelType w:val="hybridMultilevel"/>
    <w:tmpl w:val="D9ECC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45"/>
  </w:num>
  <w:num w:numId="3">
    <w:abstractNumId w:val="37"/>
  </w:num>
  <w:num w:numId="4">
    <w:abstractNumId w:val="37"/>
  </w:num>
  <w:num w:numId="5">
    <w:abstractNumId w:val="5"/>
  </w:num>
  <w:num w:numId="6">
    <w:abstractNumId w:val="0"/>
  </w:num>
  <w:num w:numId="7">
    <w:abstractNumId w:val="7"/>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11"/>
  </w:num>
  <w:num w:numId="10">
    <w:abstractNumId w:val="27"/>
  </w:num>
  <w:num w:numId="11">
    <w:abstractNumId w:val="19"/>
  </w:num>
  <w:num w:numId="12">
    <w:abstractNumId w:val="31"/>
  </w:num>
  <w:num w:numId="13">
    <w:abstractNumId w:val="33"/>
  </w:num>
  <w:num w:numId="14">
    <w:abstractNumId w:val="35"/>
  </w:num>
  <w:num w:numId="15">
    <w:abstractNumId w:val="23"/>
  </w:num>
  <w:num w:numId="16">
    <w:abstractNumId w:val="46"/>
  </w:num>
  <w:num w:numId="17">
    <w:abstractNumId w:val="3"/>
  </w:num>
  <w:num w:numId="18">
    <w:abstractNumId w:val="40"/>
  </w:num>
  <w:num w:numId="19">
    <w:abstractNumId w:val="20"/>
  </w:num>
  <w:num w:numId="20">
    <w:abstractNumId w:val="25"/>
  </w:num>
  <w:num w:numId="21">
    <w:abstractNumId w:val="28"/>
  </w:num>
  <w:num w:numId="22">
    <w:abstractNumId w:val="39"/>
  </w:num>
  <w:num w:numId="23">
    <w:abstractNumId w:val="41"/>
  </w:num>
  <w:num w:numId="24">
    <w:abstractNumId w:val="38"/>
  </w:num>
  <w:num w:numId="25">
    <w:abstractNumId w:val="42"/>
  </w:num>
  <w:num w:numId="26">
    <w:abstractNumId w:val="34"/>
  </w:num>
  <w:num w:numId="27">
    <w:abstractNumId w:val="17"/>
  </w:num>
  <w:num w:numId="28">
    <w:abstractNumId w:val="29"/>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26"/>
  </w:num>
  <w:num w:numId="32">
    <w:abstractNumId w:val="18"/>
  </w:num>
  <w:num w:numId="33">
    <w:abstractNumId w:val="30"/>
  </w:num>
  <w:num w:numId="34">
    <w:abstractNumId w:val="14"/>
  </w:num>
  <w:num w:numId="35">
    <w:abstractNumId w:val="13"/>
  </w:num>
  <w:num w:numId="36">
    <w:abstractNumId w:val="22"/>
  </w:num>
  <w:num w:numId="37">
    <w:abstractNumId w:val="8"/>
  </w:num>
  <w:num w:numId="38">
    <w:abstractNumId w:val="2"/>
  </w:num>
  <w:num w:numId="39">
    <w:abstractNumId w:val="24"/>
  </w:num>
  <w:num w:numId="40">
    <w:abstractNumId w:val="36"/>
  </w:num>
  <w:num w:numId="41">
    <w:abstractNumId w:val="9"/>
  </w:num>
  <w:num w:numId="42">
    <w:abstractNumId w:val="44"/>
  </w:num>
  <w:num w:numId="43">
    <w:abstractNumId w:val="15"/>
  </w:num>
  <w:num w:numId="44">
    <w:abstractNumId w:val="10"/>
  </w:num>
  <w:num w:numId="45">
    <w:abstractNumId w:val="12"/>
  </w:num>
  <w:num w:numId="46">
    <w:abstractNumId w:val="32"/>
  </w:num>
  <w:num w:numId="47">
    <w:abstractNumId w:val="6"/>
  </w:num>
  <w:num w:numId="48">
    <w:abstractNumId w:val="1"/>
  </w:num>
  <w:num w:numId="49">
    <w:abstractNumId w:val="4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noPunctuationKerning/>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ystalPersist" w:val="&lt;CrystalAddin Version=&quot;1&quot;/&gt;"/>
  </w:docVars>
  <w:rsids>
    <w:rsidRoot w:val="006F33C3"/>
    <w:rsid w:val="00005122"/>
    <w:rsid w:val="00007597"/>
    <w:rsid w:val="0000772D"/>
    <w:rsid w:val="00014673"/>
    <w:rsid w:val="00014A96"/>
    <w:rsid w:val="0001501F"/>
    <w:rsid w:val="0002332D"/>
    <w:rsid w:val="000241A5"/>
    <w:rsid w:val="00025309"/>
    <w:rsid w:val="00025EF8"/>
    <w:rsid w:val="000262AC"/>
    <w:rsid w:val="00027A87"/>
    <w:rsid w:val="000304B2"/>
    <w:rsid w:val="00030CDC"/>
    <w:rsid w:val="000315F3"/>
    <w:rsid w:val="00031747"/>
    <w:rsid w:val="00033BE9"/>
    <w:rsid w:val="00034C95"/>
    <w:rsid w:val="00037D9F"/>
    <w:rsid w:val="000419AD"/>
    <w:rsid w:val="000426C3"/>
    <w:rsid w:val="00044B29"/>
    <w:rsid w:val="00044F7E"/>
    <w:rsid w:val="00045543"/>
    <w:rsid w:val="000457C3"/>
    <w:rsid w:val="0004585A"/>
    <w:rsid w:val="00045DF4"/>
    <w:rsid w:val="00055B31"/>
    <w:rsid w:val="00056EC9"/>
    <w:rsid w:val="00061405"/>
    <w:rsid w:val="000616F5"/>
    <w:rsid w:val="00061C01"/>
    <w:rsid w:val="00065977"/>
    <w:rsid w:val="0006613A"/>
    <w:rsid w:val="00066B3B"/>
    <w:rsid w:val="0006724D"/>
    <w:rsid w:val="0007093F"/>
    <w:rsid w:val="00072D44"/>
    <w:rsid w:val="000730F1"/>
    <w:rsid w:val="00087B1E"/>
    <w:rsid w:val="00090908"/>
    <w:rsid w:val="0009275B"/>
    <w:rsid w:val="000935EF"/>
    <w:rsid w:val="00094335"/>
    <w:rsid w:val="000976D1"/>
    <w:rsid w:val="000A0728"/>
    <w:rsid w:val="000A5C48"/>
    <w:rsid w:val="000A6802"/>
    <w:rsid w:val="000B07A1"/>
    <w:rsid w:val="000B1E60"/>
    <w:rsid w:val="000B41E7"/>
    <w:rsid w:val="000B44ED"/>
    <w:rsid w:val="000B4E0D"/>
    <w:rsid w:val="000B6A53"/>
    <w:rsid w:val="000C0B90"/>
    <w:rsid w:val="000C1CF5"/>
    <w:rsid w:val="000C4E1D"/>
    <w:rsid w:val="000C7A51"/>
    <w:rsid w:val="000D0395"/>
    <w:rsid w:val="000D3936"/>
    <w:rsid w:val="000D4283"/>
    <w:rsid w:val="000D51DE"/>
    <w:rsid w:val="000E4725"/>
    <w:rsid w:val="000E66D3"/>
    <w:rsid w:val="000F0F49"/>
    <w:rsid w:val="000F1295"/>
    <w:rsid w:val="000F1BF3"/>
    <w:rsid w:val="000F509E"/>
    <w:rsid w:val="000F718A"/>
    <w:rsid w:val="00101C79"/>
    <w:rsid w:val="00103E4B"/>
    <w:rsid w:val="00105A7C"/>
    <w:rsid w:val="00106FAF"/>
    <w:rsid w:val="00106FB5"/>
    <w:rsid w:val="00110113"/>
    <w:rsid w:val="00111F99"/>
    <w:rsid w:val="00117D0D"/>
    <w:rsid w:val="0012138E"/>
    <w:rsid w:val="0012338B"/>
    <w:rsid w:val="0012360B"/>
    <w:rsid w:val="00123C60"/>
    <w:rsid w:val="0012676B"/>
    <w:rsid w:val="00130EFA"/>
    <w:rsid w:val="00131443"/>
    <w:rsid w:val="0013204A"/>
    <w:rsid w:val="00132947"/>
    <w:rsid w:val="00133A11"/>
    <w:rsid w:val="001342CA"/>
    <w:rsid w:val="00136327"/>
    <w:rsid w:val="00137737"/>
    <w:rsid w:val="00143A7D"/>
    <w:rsid w:val="0014799D"/>
    <w:rsid w:val="0015011A"/>
    <w:rsid w:val="001535BC"/>
    <w:rsid w:val="00154523"/>
    <w:rsid w:val="001545B4"/>
    <w:rsid w:val="00160E5D"/>
    <w:rsid w:val="00171CCB"/>
    <w:rsid w:val="0017418C"/>
    <w:rsid w:val="00174E73"/>
    <w:rsid w:val="001768E1"/>
    <w:rsid w:val="00180539"/>
    <w:rsid w:val="001819AA"/>
    <w:rsid w:val="001913DF"/>
    <w:rsid w:val="0019169D"/>
    <w:rsid w:val="00191EFE"/>
    <w:rsid w:val="0019279D"/>
    <w:rsid w:val="001929A6"/>
    <w:rsid w:val="001931FA"/>
    <w:rsid w:val="00194CEF"/>
    <w:rsid w:val="00195C99"/>
    <w:rsid w:val="001A0525"/>
    <w:rsid w:val="001A1174"/>
    <w:rsid w:val="001A1695"/>
    <w:rsid w:val="001A34A6"/>
    <w:rsid w:val="001A4B05"/>
    <w:rsid w:val="001A4B42"/>
    <w:rsid w:val="001A5133"/>
    <w:rsid w:val="001B0B95"/>
    <w:rsid w:val="001B180A"/>
    <w:rsid w:val="001B68C9"/>
    <w:rsid w:val="001C0F4B"/>
    <w:rsid w:val="001C5ABA"/>
    <w:rsid w:val="001C6BE0"/>
    <w:rsid w:val="001D0D50"/>
    <w:rsid w:val="001D1AC8"/>
    <w:rsid w:val="001E04A4"/>
    <w:rsid w:val="001E12F9"/>
    <w:rsid w:val="001E1416"/>
    <w:rsid w:val="001E1EA5"/>
    <w:rsid w:val="001E23AA"/>
    <w:rsid w:val="001E3703"/>
    <w:rsid w:val="001E45D5"/>
    <w:rsid w:val="001E48F1"/>
    <w:rsid w:val="001E4DC7"/>
    <w:rsid w:val="001E5188"/>
    <w:rsid w:val="001E6A24"/>
    <w:rsid w:val="001E6B29"/>
    <w:rsid w:val="001E712C"/>
    <w:rsid w:val="001E73E3"/>
    <w:rsid w:val="001F0385"/>
    <w:rsid w:val="001F0D61"/>
    <w:rsid w:val="001F0E6A"/>
    <w:rsid w:val="001F255D"/>
    <w:rsid w:val="001F3A28"/>
    <w:rsid w:val="001F4B04"/>
    <w:rsid w:val="001F5B7F"/>
    <w:rsid w:val="001F683C"/>
    <w:rsid w:val="001F687D"/>
    <w:rsid w:val="002007BA"/>
    <w:rsid w:val="00200BC6"/>
    <w:rsid w:val="0020278B"/>
    <w:rsid w:val="00202E09"/>
    <w:rsid w:val="00202EA7"/>
    <w:rsid w:val="0020486E"/>
    <w:rsid w:val="00207E67"/>
    <w:rsid w:val="00210134"/>
    <w:rsid w:val="0021080C"/>
    <w:rsid w:val="00212817"/>
    <w:rsid w:val="00216470"/>
    <w:rsid w:val="002203D8"/>
    <w:rsid w:val="00225C7E"/>
    <w:rsid w:val="00226225"/>
    <w:rsid w:val="002264BC"/>
    <w:rsid w:val="00230104"/>
    <w:rsid w:val="002325E4"/>
    <w:rsid w:val="002340A8"/>
    <w:rsid w:val="00234B05"/>
    <w:rsid w:val="002369B8"/>
    <w:rsid w:val="00236EB2"/>
    <w:rsid w:val="00241191"/>
    <w:rsid w:val="00244732"/>
    <w:rsid w:val="00246ACC"/>
    <w:rsid w:val="00247541"/>
    <w:rsid w:val="0025417A"/>
    <w:rsid w:val="00254DC6"/>
    <w:rsid w:val="00261A57"/>
    <w:rsid w:val="00261BD3"/>
    <w:rsid w:val="002668C5"/>
    <w:rsid w:val="00272D93"/>
    <w:rsid w:val="00273291"/>
    <w:rsid w:val="00274F72"/>
    <w:rsid w:val="00275DF2"/>
    <w:rsid w:val="002776CB"/>
    <w:rsid w:val="00280D7E"/>
    <w:rsid w:val="00281694"/>
    <w:rsid w:val="0028229D"/>
    <w:rsid w:val="002833D9"/>
    <w:rsid w:val="002839ED"/>
    <w:rsid w:val="00286A20"/>
    <w:rsid w:val="002914C4"/>
    <w:rsid w:val="00293631"/>
    <w:rsid w:val="002938AB"/>
    <w:rsid w:val="00294130"/>
    <w:rsid w:val="00294FCA"/>
    <w:rsid w:val="002A10EA"/>
    <w:rsid w:val="002A4103"/>
    <w:rsid w:val="002A5006"/>
    <w:rsid w:val="002A5E6B"/>
    <w:rsid w:val="002A6131"/>
    <w:rsid w:val="002B2730"/>
    <w:rsid w:val="002B2B9C"/>
    <w:rsid w:val="002B7851"/>
    <w:rsid w:val="002B7967"/>
    <w:rsid w:val="002C3DD0"/>
    <w:rsid w:val="002C62CF"/>
    <w:rsid w:val="002C72A2"/>
    <w:rsid w:val="002D4532"/>
    <w:rsid w:val="002D5A8E"/>
    <w:rsid w:val="002D7D91"/>
    <w:rsid w:val="002E25F4"/>
    <w:rsid w:val="002E3B36"/>
    <w:rsid w:val="002E3B40"/>
    <w:rsid w:val="002E53B9"/>
    <w:rsid w:val="002F04CB"/>
    <w:rsid w:val="002F07FD"/>
    <w:rsid w:val="002F2910"/>
    <w:rsid w:val="002F4192"/>
    <w:rsid w:val="002F67EA"/>
    <w:rsid w:val="002F70E9"/>
    <w:rsid w:val="002F71DB"/>
    <w:rsid w:val="00300754"/>
    <w:rsid w:val="0030198F"/>
    <w:rsid w:val="00301CA8"/>
    <w:rsid w:val="003035E8"/>
    <w:rsid w:val="00303609"/>
    <w:rsid w:val="00303EFB"/>
    <w:rsid w:val="003045E2"/>
    <w:rsid w:val="00306351"/>
    <w:rsid w:val="00307FC5"/>
    <w:rsid w:val="0031325C"/>
    <w:rsid w:val="003146D9"/>
    <w:rsid w:val="00320393"/>
    <w:rsid w:val="003242A9"/>
    <w:rsid w:val="00325BC2"/>
    <w:rsid w:val="00325EB2"/>
    <w:rsid w:val="003320A1"/>
    <w:rsid w:val="00332E13"/>
    <w:rsid w:val="003341FC"/>
    <w:rsid w:val="00334363"/>
    <w:rsid w:val="003372BE"/>
    <w:rsid w:val="00341D4B"/>
    <w:rsid w:val="0034251F"/>
    <w:rsid w:val="003436BF"/>
    <w:rsid w:val="003437A8"/>
    <w:rsid w:val="003441FF"/>
    <w:rsid w:val="00344FA1"/>
    <w:rsid w:val="003531F2"/>
    <w:rsid w:val="0035514D"/>
    <w:rsid w:val="00362848"/>
    <w:rsid w:val="00363111"/>
    <w:rsid w:val="0036417A"/>
    <w:rsid w:val="00365815"/>
    <w:rsid w:val="00370ADD"/>
    <w:rsid w:val="003711BA"/>
    <w:rsid w:val="00371414"/>
    <w:rsid w:val="0037201B"/>
    <w:rsid w:val="00372BC6"/>
    <w:rsid w:val="00373F66"/>
    <w:rsid w:val="00376B4D"/>
    <w:rsid w:val="003815F3"/>
    <w:rsid w:val="003817E6"/>
    <w:rsid w:val="00384AE2"/>
    <w:rsid w:val="003850D3"/>
    <w:rsid w:val="00391879"/>
    <w:rsid w:val="00394F36"/>
    <w:rsid w:val="003A017D"/>
    <w:rsid w:val="003A3761"/>
    <w:rsid w:val="003A40D0"/>
    <w:rsid w:val="003A457D"/>
    <w:rsid w:val="003A4747"/>
    <w:rsid w:val="003A4850"/>
    <w:rsid w:val="003A703E"/>
    <w:rsid w:val="003A723F"/>
    <w:rsid w:val="003B0CB7"/>
    <w:rsid w:val="003B379C"/>
    <w:rsid w:val="003B6ACC"/>
    <w:rsid w:val="003B6D47"/>
    <w:rsid w:val="003C070A"/>
    <w:rsid w:val="003C218D"/>
    <w:rsid w:val="003C3FC1"/>
    <w:rsid w:val="003D0098"/>
    <w:rsid w:val="003D2BC8"/>
    <w:rsid w:val="003D5251"/>
    <w:rsid w:val="003D58B2"/>
    <w:rsid w:val="003D5D97"/>
    <w:rsid w:val="003E3DEA"/>
    <w:rsid w:val="003E657D"/>
    <w:rsid w:val="003F1A0E"/>
    <w:rsid w:val="003F348C"/>
    <w:rsid w:val="003F4FAC"/>
    <w:rsid w:val="003F57F0"/>
    <w:rsid w:val="004000AB"/>
    <w:rsid w:val="00404490"/>
    <w:rsid w:val="004050CC"/>
    <w:rsid w:val="00407ED0"/>
    <w:rsid w:val="00412EFF"/>
    <w:rsid w:val="0041542B"/>
    <w:rsid w:val="00415AB1"/>
    <w:rsid w:val="00416BE3"/>
    <w:rsid w:val="004241A1"/>
    <w:rsid w:val="00430AA9"/>
    <w:rsid w:val="004350DE"/>
    <w:rsid w:val="004353FF"/>
    <w:rsid w:val="00436F35"/>
    <w:rsid w:val="004404D5"/>
    <w:rsid w:val="0044066C"/>
    <w:rsid w:val="0044102F"/>
    <w:rsid w:val="0044287C"/>
    <w:rsid w:val="00442DA3"/>
    <w:rsid w:val="00444DB8"/>
    <w:rsid w:val="00447E3D"/>
    <w:rsid w:val="00454193"/>
    <w:rsid w:val="00454504"/>
    <w:rsid w:val="00457BC3"/>
    <w:rsid w:val="0046064D"/>
    <w:rsid w:val="00463A64"/>
    <w:rsid w:val="00464432"/>
    <w:rsid w:val="00464787"/>
    <w:rsid w:val="004659D5"/>
    <w:rsid w:val="00467BBB"/>
    <w:rsid w:val="00471029"/>
    <w:rsid w:val="00475425"/>
    <w:rsid w:val="00475879"/>
    <w:rsid w:val="004815E5"/>
    <w:rsid w:val="004825CA"/>
    <w:rsid w:val="004A2467"/>
    <w:rsid w:val="004A34B5"/>
    <w:rsid w:val="004A5EE0"/>
    <w:rsid w:val="004B051A"/>
    <w:rsid w:val="004B6441"/>
    <w:rsid w:val="004B698A"/>
    <w:rsid w:val="004B701F"/>
    <w:rsid w:val="004B73F4"/>
    <w:rsid w:val="004B7AFB"/>
    <w:rsid w:val="004B7B72"/>
    <w:rsid w:val="004B7F95"/>
    <w:rsid w:val="004C5399"/>
    <w:rsid w:val="004C6E5B"/>
    <w:rsid w:val="004C726D"/>
    <w:rsid w:val="004C7C23"/>
    <w:rsid w:val="004D1EA6"/>
    <w:rsid w:val="004D45FA"/>
    <w:rsid w:val="004D7820"/>
    <w:rsid w:val="004E16B6"/>
    <w:rsid w:val="004E3E35"/>
    <w:rsid w:val="004E5C17"/>
    <w:rsid w:val="004F4BA2"/>
    <w:rsid w:val="005005F6"/>
    <w:rsid w:val="0050287E"/>
    <w:rsid w:val="00503222"/>
    <w:rsid w:val="00503817"/>
    <w:rsid w:val="0050687A"/>
    <w:rsid w:val="00506FF5"/>
    <w:rsid w:val="005072C1"/>
    <w:rsid w:val="00507D77"/>
    <w:rsid w:val="0051414C"/>
    <w:rsid w:val="00515168"/>
    <w:rsid w:val="00515602"/>
    <w:rsid w:val="00517252"/>
    <w:rsid w:val="00522DFF"/>
    <w:rsid w:val="0052301F"/>
    <w:rsid w:val="005230E0"/>
    <w:rsid w:val="0052417A"/>
    <w:rsid w:val="00524B4A"/>
    <w:rsid w:val="00525050"/>
    <w:rsid w:val="00526F80"/>
    <w:rsid w:val="00527247"/>
    <w:rsid w:val="00527F53"/>
    <w:rsid w:val="005306A2"/>
    <w:rsid w:val="00532143"/>
    <w:rsid w:val="005325A3"/>
    <w:rsid w:val="00533590"/>
    <w:rsid w:val="0053752C"/>
    <w:rsid w:val="00540B10"/>
    <w:rsid w:val="00546D27"/>
    <w:rsid w:val="00552885"/>
    <w:rsid w:val="005530E1"/>
    <w:rsid w:val="005532B7"/>
    <w:rsid w:val="0055442A"/>
    <w:rsid w:val="005574E2"/>
    <w:rsid w:val="00557F62"/>
    <w:rsid w:val="0056339D"/>
    <w:rsid w:val="00566647"/>
    <w:rsid w:val="00567FE1"/>
    <w:rsid w:val="00570163"/>
    <w:rsid w:val="0057560E"/>
    <w:rsid w:val="00575A04"/>
    <w:rsid w:val="00580A30"/>
    <w:rsid w:val="00581451"/>
    <w:rsid w:val="00581C17"/>
    <w:rsid w:val="00582B96"/>
    <w:rsid w:val="005844BD"/>
    <w:rsid w:val="00584D89"/>
    <w:rsid w:val="00584F79"/>
    <w:rsid w:val="00587150"/>
    <w:rsid w:val="00590073"/>
    <w:rsid w:val="005913DB"/>
    <w:rsid w:val="00593D65"/>
    <w:rsid w:val="00596FF4"/>
    <w:rsid w:val="005A19C2"/>
    <w:rsid w:val="005A1D76"/>
    <w:rsid w:val="005A233C"/>
    <w:rsid w:val="005B0619"/>
    <w:rsid w:val="005B25BE"/>
    <w:rsid w:val="005B3498"/>
    <w:rsid w:val="005B4B9E"/>
    <w:rsid w:val="005C04A2"/>
    <w:rsid w:val="005C350D"/>
    <w:rsid w:val="005C44C5"/>
    <w:rsid w:val="005C5996"/>
    <w:rsid w:val="005C7499"/>
    <w:rsid w:val="005C74C2"/>
    <w:rsid w:val="005D2D1A"/>
    <w:rsid w:val="005D2FF1"/>
    <w:rsid w:val="005D3214"/>
    <w:rsid w:val="005D3E38"/>
    <w:rsid w:val="005D77FE"/>
    <w:rsid w:val="005E0E16"/>
    <w:rsid w:val="005E1278"/>
    <w:rsid w:val="005E1FA1"/>
    <w:rsid w:val="005E317E"/>
    <w:rsid w:val="005E37D8"/>
    <w:rsid w:val="005E3A1D"/>
    <w:rsid w:val="005F081E"/>
    <w:rsid w:val="005F1102"/>
    <w:rsid w:val="005F4D48"/>
    <w:rsid w:val="00601F38"/>
    <w:rsid w:val="006041F0"/>
    <w:rsid w:val="00607A17"/>
    <w:rsid w:val="006106F1"/>
    <w:rsid w:val="00614CD9"/>
    <w:rsid w:val="00616D9D"/>
    <w:rsid w:val="00622E87"/>
    <w:rsid w:val="00623107"/>
    <w:rsid w:val="006254BD"/>
    <w:rsid w:val="006275EF"/>
    <w:rsid w:val="006321E9"/>
    <w:rsid w:val="006443B2"/>
    <w:rsid w:val="00651A1C"/>
    <w:rsid w:val="006531F4"/>
    <w:rsid w:val="006558FC"/>
    <w:rsid w:val="00655E68"/>
    <w:rsid w:val="00657E32"/>
    <w:rsid w:val="00662EB0"/>
    <w:rsid w:val="00663C28"/>
    <w:rsid w:val="0066567A"/>
    <w:rsid w:val="006701D5"/>
    <w:rsid w:val="00670BF4"/>
    <w:rsid w:val="0067125E"/>
    <w:rsid w:val="00673325"/>
    <w:rsid w:val="0067510C"/>
    <w:rsid w:val="00675BB3"/>
    <w:rsid w:val="006769F9"/>
    <w:rsid w:val="00680408"/>
    <w:rsid w:val="006830CF"/>
    <w:rsid w:val="00683123"/>
    <w:rsid w:val="00683FE3"/>
    <w:rsid w:val="0068445E"/>
    <w:rsid w:val="00685FB5"/>
    <w:rsid w:val="00692CED"/>
    <w:rsid w:val="00693A74"/>
    <w:rsid w:val="00694BB9"/>
    <w:rsid w:val="0069528E"/>
    <w:rsid w:val="00697265"/>
    <w:rsid w:val="006979A1"/>
    <w:rsid w:val="006A21EB"/>
    <w:rsid w:val="006A2753"/>
    <w:rsid w:val="006A28A1"/>
    <w:rsid w:val="006A39B4"/>
    <w:rsid w:val="006A4FD3"/>
    <w:rsid w:val="006B0A4D"/>
    <w:rsid w:val="006B2902"/>
    <w:rsid w:val="006B58FF"/>
    <w:rsid w:val="006B627F"/>
    <w:rsid w:val="006B6B87"/>
    <w:rsid w:val="006B7267"/>
    <w:rsid w:val="006C00C2"/>
    <w:rsid w:val="006C4B44"/>
    <w:rsid w:val="006C5495"/>
    <w:rsid w:val="006C64F5"/>
    <w:rsid w:val="006C75C3"/>
    <w:rsid w:val="006D484F"/>
    <w:rsid w:val="006D5858"/>
    <w:rsid w:val="006D6773"/>
    <w:rsid w:val="006D69C2"/>
    <w:rsid w:val="006E31CF"/>
    <w:rsid w:val="006E4BB8"/>
    <w:rsid w:val="006E609B"/>
    <w:rsid w:val="006E6DED"/>
    <w:rsid w:val="006E7CEE"/>
    <w:rsid w:val="006F33C3"/>
    <w:rsid w:val="006F520C"/>
    <w:rsid w:val="006F6AE4"/>
    <w:rsid w:val="007002C7"/>
    <w:rsid w:val="0070130B"/>
    <w:rsid w:val="0070487E"/>
    <w:rsid w:val="0070702A"/>
    <w:rsid w:val="00711636"/>
    <w:rsid w:val="007121E9"/>
    <w:rsid w:val="007167C9"/>
    <w:rsid w:val="00717214"/>
    <w:rsid w:val="0072012D"/>
    <w:rsid w:val="007213CF"/>
    <w:rsid w:val="00721D14"/>
    <w:rsid w:val="007221B7"/>
    <w:rsid w:val="00722F1E"/>
    <w:rsid w:val="00724028"/>
    <w:rsid w:val="00731311"/>
    <w:rsid w:val="00733C44"/>
    <w:rsid w:val="00734B1E"/>
    <w:rsid w:val="007362B9"/>
    <w:rsid w:val="00736E23"/>
    <w:rsid w:val="00740BBC"/>
    <w:rsid w:val="00740ECA"/>
    <w:rsid w:val="00741E70"/>
    <w:rsid w:val="00742085"/>
    <w:rsid w:val="00745113"/>
    <w:rsid w:val="007544F0"/>
    <w:rsid w:val="00755E41"/>
    <w:rsid w:val="00757723"/>
    <w:rsid w:val="00757D21"/>
    <w:rsid w:val="0076010B"/>
    <w:rsid w:val="00761C48"/>
    <w:rsid w:val="007654E6"/>
    <w:rsid w:val="00765616"/>
    <w:rsid w:val="00772BB8"/>
    <w:rsid w:val="00772BBA"/>
    <w:rsid w:val="00773DA2"/>
    <w:rsid w:val="007779B8"/>
    <w:rsid w:val="00780C7F"/>
    <w:rsid w:val="00783657"/>
    <w:rsid w:val="00785103"/>
    <w:rsid w:val="00787807"/>
    <w:rsid w:val="00794997"/>
    <w:rsid w:val="00795FB8"/>
    <w:rsid w:val="007975B0"/>
    <w:rsid w:val="007977E5"/>
    <w:rsid w:val="00797BD3"/>
    <w:rsid w:val="007A13BE"/>
    <w:rsid w:val="007A1505"/>
    <w:rsid w:val="007A1663"/>
    <w:rsid w:val="007A38DA"/>
    <w:rsid w:val="007A3B66"/>
    <w:rsid w:val="007A4CDA"/>
    <w:rsid w:val="007A63F7"/>
    <w:rsid w:val="007B305F"/>
    <w:rsid w:val="007B33D4"/>
    <w:rsid w:val="007C1168"/>
    <w:rsid w:val="007C15E8"/>
    <w:rsid w:val="007C1C00"/>
    <w:rsid w:val="007C294F"/>
    <w:rsid w:val="007C2B80"/>
    <w:rsid w:val="007D0301"/>
    <w:rsid w:val="007D184B"/>
    <w:rsid w:val="007D2100"/>
    <w:rsid w:val="007D25C3"/>
    <w:rsid w:val="007D4445"/>
    <w:rsid w:val="007E2C13"/>
    <w:rsid w:val="007E2F31"/>
    <w:rsid w:val="007E5398"/>
    <w:rsid w:val="007E5629"/>
    <w:rsid w:val="007E7731"/>
    <w:rsid w:val="007E7854"/>
    <w:rsid w:val="007F3C8A"/>
    <w:rsid w:val="007F51F2"/>
    <w:rsid w:val="007F575A"/>
    <w:rsid w:val="007F61A6"/>
    <w:rsid w:val="008031AA"/>
    <w:rsid w:val="008040A8"/>
    <w:rsid w:val="00806C56"/>
    <w:rsid w:val="00810CA9"/>
    <w:rsid w:val="00812EC6"/>
    <w:rsid w:val="008139C0"/>
    <w:rsid w:val="00816670"/>
    <w:rsid w:val="0081783D"/>
    <w:rsid w:val="00827B24"/>
    <w:rsid w:val="0083026D"/>
    <w:rsid w:val="00835A4F"/>
    <w:rsid w:val="008441FE"/>
    <w:rsid w:val="008507EE"/>
    <w:rsid w:val="0086257F"/>
    <w:rsid w:val="00865DD0"/>
    <w:rsid w:val="00865F09"/>
    <w:rsid w:val="00866AC3"/>
    <w:rsid w:val="00866F8D"/>
    <w:rsid w:val="00870619"/>
    <w:rsid w:val="00871CDC"/>
    <w:rsid w:val="00874C67"/>
    <w:rsid w:val="008751AB"/>
    <w:rsid w:val="008755C5"/>
    <w:rsid w:val="00884042"/>
    <w:rsid w:val="00885437"/>
    <w:rsid w:val="00887561"/>
    <w:rsid w:val="00887CC4"/>
    <w:rsid w:val="00890BEE"/>
    <w:rsid w:val="008914FB"/>
    <w:rsid w:val="008917DC"/>
    <w:rsid w:val="00891843"/>
    <w:rsid w:val="00891C05"/>
    <w:rsid w:val="008924BC"/>
    <w:rsid w:val="00892D58"/>
    <w:rsid w:val="00893B59"/>
    <w:rsid w:val="00896BA9"/>
    <w:rsid w:val="008A35F2"/>
    <w:rsid w:val="008A7BFE"/>
    <w:rsid w:val="008B0638"/>
    <w:rsid w:val="008B301A"/>
    <w:rsid w:val="008B3265"/>
    <w:rsid w:val="008C04D4"/>
    <w:rsid w:val="008C0D1C"/>
    <w:rsid w:val="008C148F"/>
    <w:rsid w:val="008C6517"/>
    <w:rsid w:val="008C74BF"/>
    <w:rsid w:val="008D41F4"/>
    <w:rsid w:val="008D679F"/>
    <w:rsid w:val="008D685F"/>
    <w:rsid w:val="008D7D92"/>
    <w:rsid w:val="008E0CA3"/>
    <w:rsid w:val="008E1302"/>
    <w:rsid w:val="008E1583"/>
    <w:rsid w:val="008E1A0A"/>
    <w:rsid w:val="008E2EBC"/>
    <w:rsid w:val="008E6320"/>
    <w:rsid w:val="008F34BD"/>
    <w:rsid w:val="00900D0A"/>
    <w:rsid w:val="0090511E"/>
    <w:rsid w:val="00906ED1"/>
    <w:rsid w:val="009100F8"/>
    <w:rsid w:val="00911515"/>
    <w:rsid w:val="009116BD"/>
    <w:rsid w:val="00911A56"/>
    <w:rsid w:val="00912377"/>
    <w:rsid w:val="00914BB9"/>
    <w:rsid w:val="00914DF9"/>
    <w:rsid w:val="00920D7A"/>
    <w:rsid w:val="00936137"/>
    <w:rsid w:val="00936630"/>
    <w:rsid w:val="0094091E"/>
    <w:rsid w:val="00940B2A"/>
    <w:rsid w:val="00945E4C"/>
    <w:rsid w:val="00945ED8"/>
    <w:rsid w:val="00946A67"/>
    <w:rsid w:val="00952453"/>
    <w:rsid w:val="009527A4"/>
    <w:rsid w:val="009549AE"/>
    <w:rsid w:val="009552C2"/>
    <w:rsid w:val="009555BC"/>
    <w:rsid w:val="009612F7"/>
    <w:rsid w:val="009638E8"/>
    <w:rsid w:val="00965A85"/>
    <w:rsid w:val="00966299"/>
    <w:rsid w:val="00967429"/>
    <w:rsid w:val="00972533"/>
    <w:rsid w:val="0097395D"/>
    <w:rsid w:val="009746C4"/>
    <w:rsid w:val="00975D7E"/>
    <w:rsid w:val="009808AC"/>
    <w:rsid w:val="0098181E"/>
    <w:rsid w:val="00982A89"/>
    <w:rsid w:val="009840A5"/>
    <w:rsid w:val="009907A3"/>
    <w:rsid w:val="009924E0"/>
    <w:rsid w:val="009945CA"/>
    <w:rsid w:val="009A467C"/>
    <w:rsid w:val="009A48CE"/>
    <w:rsid w:val="009A79E6"/>
    <w:rsid w:val="009B020D"/>
    <w:rsid w:val="009B05DB"/>
    <w:rsid w:val="009B485E"/>
    <w:rsid w:val="009B6412"/>
    <w:rsid w:val="009B666D"/>
    <w:rsid w:val="009B798F"/>
    <w:rsid w:val="009C17F2"/>
    <w:rsid w:val="009C1A29"/>
    <w:rsid w:val="009D12A3"/>
    <w:rsid w:val="009D12C5"/>
    <w:rsid w:val="009D13EE"/>
    <w:rsid w:val="009D327E"/>
    <w:rsid w:val="009D3D53"/>
    <w:rsid w:val="009D404E"/>
    <w:rsid w:val="009D55C8"/>
    <w:rsid w:val="009D5E40"/>
    <w:rsid w:val="009E0CB1"/>
    <w:rsid w:val="009E20A3"/>
    <w:rsid w:val="009E7A30"/>
    <w:rsid w:val="009F1166"/>
    <w:rsid w:val="009F2BFB"/>
    <w:rsid w:val="009F51A8"/>
    <w:rsid w:val="00A005EF"/>
    <w:rsid w:val="00A02A42"/>
    <w:rsid w:val="00A040AC"/>
    <w:rsid w:val="00A05875"/>
    <w:rsid w:val="00A06583"/>
    <w:rsid w:val="00A077AE"/>
    <w:rsid w:val="00A11AEC"/>
    <w:rsid w:val="00A134CC"/>
    <w:rsid w:val="00A138B4"/>
    <w:rsid w:val="00A1546F"/>
    <w:rsid w:val="00A1567A"/>
    <w:rsid w:val="00A15B0A"/>
    <w:rsid w:val="00A205A2"/>
    <w:rsid w:val="00A2263A"/>
    <w:rsid w:val="00A228E4"/>
    <w:rsid w:val="00A254AE"/>
    <w:rsid w:val="00A3031B"/>
    <w:rsid w:val="00A31AB9"/>
    <w:rsid w:val="00A32176"/>
    <w:rsid w:val="00A402FE"/>
    <w:rsid w:val="00A4045A"/>
    <w:rsid w:val="00A406BC"/>
    <w:rsid w:val="00A4721A"/>
    <w:rsid w:val="00A477D1"/>
    <w:rsid w:val="00A524B5"/>
    <w:rsid w:val="00A55875"/>
    <w:rsid w:val="00A60220"/>
    <w:rsid w:val="00A605B5"/>
    <w:rsid w:val="00A62B87"/>
    <w:rsid w:val="00A63E89"/>
    <w:rsid w:val="00A6430E"/>
    <w:rsid w:val="00A644A1"/>
    <w:rsid w:val="00A668E8"/>
    <w:rsid w:val="00A76A58"/>
    <w:rsid w:val="00A813F8"/>
    <w:rsid w:val="00A818CD"/>
    <w:rsid w:val="00A83221"/>
    <w:rsid w:val="00A85142"/>
    <w:rsid w:val="00A857B7"/>
    <w:rsid w:val="00A87E0F"/>
    <w:rsid w:val="00A926B4"/>
    <w:rsid w:val="00A933DA"/>
    <w:rsid w:val="00A93F46"/>
    <w:rsid w:val="00A94B0A"/>
    <w:rsid w:val="00A976C7"/>
    <w:rsid w:val="00AA0496"/>
    <w:rsid w:val="00AA0653"/>
    <w:rsid w:val="00AA0B4C"/>
    <w:rsid w:val="00AA35C7"/>
    <w:rsid w:val="00AA3E5C"/>
    <w:rsid w:val="00AA4F49"/>
    <w:rsid w:val="00AA5676"/>
    <w:rsid w:val="00AB276E"/>
    <w:rsid w:val="00AB37C6"/>
    <w:rsid w:val="00AB4EEA"/>
    <w:rsid w:val="00AB5F90"/>
    <w:rsid w:val="00AC1A53"/>
    <w:rsid w:val="00AC384B"/>
    <w:rsid w:val="00AC3AC1"/>
    <w:rsid w:val="00AD0B65"/>
    <w:rsid w:val="00AD6D2B"/>
    <w:rsid w:val="00AE01E8"/>
    <w:rsid w:val="00AE13CF"/>
    <w:rsid w:val="00AE2E02"/>
    <w:rsid w:val="00AE4437"/>
    <w:rsid w:val="00AF0CF1"/>
    <w:rsid w:val="00AF3545"/>
    <w:rsid w:val="00AF6AC9"/>
    <w:rsid w:val="00B01EBF"/>
    <w:rsid w:val="00B02931"/>
    <w:rsid w:val="00B048EE"/>
    <w:rsid w:val="00B05C27"/>
    <w:rsid w:val="00B06A9F"/>
    <w:rsid w:val="00B07E09"/>
    <w:rsid w:val="00B13229"/>
    <w:rsid w:val="00B13CEA"/>
    <w:rsid w:val="00B15E45"/>
    <w:rsid w:val="00B20E5C"/>
    <w:rsid w:val="00B21ED4"/>
    <w:rsid w:val="00B24655"/>
    <w:rsid w:val="00B24D65"/>
    <w:rsid w:val="00B3130F"/>
    <w:rsid w:val="00B3399A"/>
    <w:rsid w:val="00B348CF"/>
    <w:rsid w:val="00B37256"/>
    <w:rsid w:val="00B4400E"/>
    <w:rsid w:val="00B505CF"/>
    <w:rsid w:val="00B52D80"/>
    <w:rsid w:val="00B5379B"/>
    <w:rsid w:val="00B5677B"/>
    <w:rsid w:val="00B56C5A"/>
    <w:rsid w:val="00B64855"/>
    <w:rsid w:val="00B650A9"/>
    <w:rsid w:val="00B6696F"/>
    <w:rsid w:val="00B66CC6"/>
    <w:rsid w:val="00B70558"/>
    <w:rsid w:val="00B70FB2"/>
    <w:rsid w:val="00B75521"/>
    <w:rsid w:val="00B773E0"/>
    <w:rsid w:val="00B866AF"/>
    <w:rsid w:val="00B87752"/>
    <w:rsid w:val="00B9079A"/>
    <w:rsid w:val="00B93DDE"/>
    <w:rsid w:val="00BA120C"/>
    <w:rsid w:val="00BA1865"/>
    <w:rsid w:val="00BA2334"/>
    <w:rsid w:val="00BA2A6E"/>
    <w:rsid w:val="00BA46D0"/>
    <w:rsid w:val="00BA7086"/>
    <w:rsid w:val="00BB06DA"/>
    <w:rsid w:val="00BB158B"/>
    <w:rsid w:val="00BC07D7"/>
    <w:rsid w:val="00BC357A"/>
    <w:rsid w:val="00BC3D6D"/>
    <w:rsid w:val="00BC4384"/>
    <w:rsid w:val="00BC4962"/>
    <w:rsid w:val="00BC7F87"/>
    <w:rsid w:val="00BD16C9"/>
    <w:rsid w:val="00BD40A0"/>
    <w:rsid w:val="00BD660A"/>
    <w:rsid w:val="00BD7FA4"/>
    <w:rsid w:val="00BE4001"/>
    <w:rsid w:val="00BE49F7"/>
    <w:rsid w:val="00BE7874"/>
    <w:rsid w:val="00BF0406"/>
    <w:rsid w:val="00BF0EC3"/>
    <w:rsid w:val="00BF2096"/>
    <w:rsid w:val="00BF6304"/>
    <w:rsid w:val="00BF644B"/>
    <w:rsid w:val="00C00A3A"/>
    <w:rsid w:val="00C0243B"/>
    <w:rsid w:val="00C060BC"/>
    <w:rsid w:val="00C1049A"/>
    <w:rsid w:val="00C107CE"/>
    <w:rsid w:val="00C13DE3"/>
    <w:rsid w:val="00C14DC6"/>
    <w:rsid w:val="00C20DCE"/>
    <w:rsid w:val="00C3030B"/>
    <w:rsid w:val="00C34EC6"/>
    <w:rsid w:val="00C3711A"/>
    <w:rsid w:val="00C4536B"/>
    <w:rsid w:val="00C47F4E"/>
    <w:rsid w:val="00C5289B"/>
    <w:rsid w:val="00C54995"/>
    <w:rsid w:val="00C55419"/>
    <w:rsid w:val="00C6044B"/>
    <w:rsid w:val="00C60796"/>
    <w:rsid w:val="00C6219F"/>
    <w:rsid w:val="00C641E9"/>
    <w:rsid w:val="00C644F5"/>
    <w:rsid w:val="00C7380E"/>
    <w:rsid w:val="00C7641A"/>
    <w:rsid w:val="00C80FAC"/>
    <w:rsid w:val="00C8302D"/>
    <w:rsid w:val="00C83C79"/>
    <w:rsid w:val="00C84DE2"/>
    <w:rsid w:val="00C86B99"/>
    <w:rsid w:val="00C87D58"/>
    <w:rsid w:val="00C87D6D"/>
    <w:rsid w:val="00C92574"/>
    <w:rsid w:val="00C92660"/>
    <w:rsid w:val="00C9718A"/>
    <w:rsid w:val="00CA13F9"/>
    <w:rsid w:val="00CA2C74"/>
    <w:rsid w:val="00CA6149"/>
    <w:rsid w:val="00CA6D69"/>
    <w:rsid w:val="00CB0267"/>
    <w:rsid w:val="00CB241F"/>
    <w:rsid w:val="00CB61CE"/>
    <w:rsid w:val="00CB6BB7"/>
    <w:rsid w:val="00CC1802"/>
    <w:rsid w:val="00CC357C"/>
    <w:rsid w:val="00CC3985"/>
    <w:rsid w:val="00CC47B5"/>
    <w:rsid w:val="00CD5652"/>
    <w:rsid w:val="00CE146F"/>
    <w:rsid w:val="00CE1B6E"/>
    <w:rsid w:val="00CE298D"/>
    <w:rsid w:val="00CE5B13"/>
    <w:rsid w:val="00CE6114"/>
    <w:rsid w:val="00CF0BD1"/>
    <w:rsid w:val="00CF1691"/>
    <w:rsid w:val="00D01B68"/>
    <w:rsid w:val="00D05732"/>
    <w:rsid w:val="00D0739B"/>
    <w:rsid w:val="00D25F39"/>
    <w:rsid w:val="00D40CC3"/>
    <w:rsid w:val="00D439FC"/>
    <w:rsid w:val="00D4509F"/>
    <w:rsid w:val="00D47BED"/>
    <w:rsid w:val="00D501D9"/>
    <w:rsid w:val="00D52ABC"/>
    <w:rsid w:val="00D535E6"/>
    <w:rsid w:val="00D6008C"/>
    <w:rsid w:val="00D6167E"/>
    <w:rsid w:val="00D67580"/>
    <w:rsid w:val="00D70054"/>
    <w:rsid w:val="00D728E9"/>
    <w:rsid w:val="00D73447"/>
    <w:rsid w:val="00D73867"/>
    <w:rsid w:val="00D75418"/>
    <w:rsid w:val="00D75CC2"/>
    <w:rsid w:val="00D76FA8"/>
    <w:rsid w:val="00D832DA"/>
    <w:rsid w:val="00D84643"/>
    <w:rsid w:val="00D90744"/>
    <w:rsid w:val="00D92E9F"/>
    <w:rsid w:val="00D934F2"/>
    <w:rsid w:val="00DA2BB4"/>
    <w:rsid w:val="00DA37E3"/>
    <w:rsid w:val="00DA39DA"/>
    <w:rsid w:val="00DA3E5E"/>
    <w:rsid w:val="00DA7651"/>
    <w:rsid w:val="00DB2FA1"/>
    <w:rsid w:val="00DB5C0F"/>
    <w:rsid w:val="00DC5127"/>
    <w:rsid w:val="00DC7B87"/>
    <w:rsid w:val="00DD01C6"/>
    <w:rsid w:val="00DD44CA"/>
    <w:rsid w:val="00DD47E2"/>
    <w:rsid w:val="00DD595E"/>
    <w:rsid w:val="00DD6338"/>
    <w:rsid w:val="00DE0CAB"/>
    <w:rsid w:val="00DE18A3"/>
    <w:rsid w:val="00DE1B57"/>
    <w:rsid w:val="00DE4672"/>
    <w:rsid w:val="00DE7620"/>
    <w:rsid w:val="00DF4569"/>
    <w:rsid w:val="00DF61FC"/>
    <w:rsid w:val="00E0685C"/>
    <w:rsid w:val="00E072F5"/>
    <w:rsid w:val="00E0768B"/>
    <w:rsid w:val="00E076C0"/>
    <w:rsid w:val="00E11599"/>
    <w:rsid w:val="00E21F98"/>
    <w:rsid w:val="00E24CC5"/>
    <w:rsid w:val="00E275C2"/>
    <w:rsid w:val="00E37B6C"/>
    <w:rsid w:val="00E413C6"/>
    <w:rsid w:val="00E415A9"/>
    <w:rsid w:val="00E41BB7"/>
    <w:rsid w:val="00E41EDD"/>
    <w:rsid w:val="00E43DDB"/>
    <w:rsid w:val="00E44261"/>
    <w:rsid w:val="00E45544"/>
    <w:rsid w:val="00E45EEF"/>
    <w:rsid w:val="00E55D00"/>
    <w:rsid w:val="00E56D8F"/>
    <w:rsid w:val="00E57D32"/>
    <w:rsid w:val="00E627AE"/>
    <w:rsid w:val="00E63068"/>
    <w:rsid w:val="00E63CFC"/>
    <w:rsid w:val="00E653A8"/>
    <w:rsid w:val="00E66D4E"/>
    <w:rsid w:val="00E70564"/>
    <w:rsid w:val="00E74099"/>
    <w:rsid w:val="00E74951"/>
    <w:rsid w:val="00E751A1"/>
    <w:rsid w:val="00E82E42"/>
    <w:rsid w:val="00E838E3"/>
    <w:rsid w:val="00E84720"/>
    <w:rsid w:val="00E93E97"/>
    <w:rsid w:val="00EA0256"/>
    <w:rsid w:val="00EA180F"/>
    <w:rsid w:val="00EA599B"/>
    <w:rsid w:val="00EA61ED"/>
    <w:rsid w:val="00EB0715"/>
    <w:rsid w:val="00EB1337"/>
    <w:rsid w:val="00EB25A8"/>
    <w:rsid w:val="00EB5200"/>
    <w:rsid w:val="00EB57C4"/>
    <w:rsid w:val="00EB6E31"/>
    <w:rsid w:val="00EC0AD0"/>
    <w:rsid w:val="00EC1414"/>
    <w:rsid w:val="00EC2618"/>
    <w:rsid w:val="00EC2AFC"/>
    <w:rsid w:val="00EC2CBB"/>
    <w:rsid w:val="00EC30E8"/>
    <w:rsid w:val="00EC5F1C"/>
    <w:rsid w:val="00ED0DDC"/>
    <w:rsid w:val="00ED0DEE"/>
    <w:rsid w:val="00ED156A"/>
    <w:rsid w:val="00ED31BF"/>
    <w:rsid w:val="00ED5F5C"/>
    <w:rsid w:val="00ED67E0"/>
    <w:rsid w:val="00EE23B3"/>
    <w:rsid w:val="00EE3F01"/>
    <w:rsid w:val="00EE6303"/>
    <w:rsid w:val="00EF0227"/>
    <w:rsid w:val="00EF2392"/>
    <w:rsid w:val="00F04782"/>
    <w:rsid w:val="00F06729"/>
    <w:rsid w:val="00F06766"/>
    <w:rsid w:val="00F06780"/>
    <w:rsid w:val="00F06A90"/>
    <w:rsid w:val="00F10244"/>
    <w:rsid w:val="00F118A0"/>
    <w:rsid w:val="00F11CC0"/>
    <w:rsid w:val="00F145F4"/>
    <w:rsid w:val="00F1618A"/>
    <w:rsid w:val="00F17CE2"/>
    <w:rsid w:val="00F17F1E"/>
    <w:rsid w:val="00F20CFE"/>
    <w:rsid w:val="00F20E79"/>
    <w:rsid w:val="00F2255D"/>
    <w:rsid w:val="00F22934"/>
    <w:rsid w:val="00F22D1A"/>
    <w:rsid w:val="00F24C41"/>
    <w:rsid w:val="00F300E4"/>
    <w:rsid w:val="00F34F57"/>
    <w:rsid w:val="00F35014"/>
    <w:rsid w:val="00F351EC"/>
    <w:rsid w:val="00F3689D"/>
    <w:rsid w:val="00F37CFF"/>
    <w:rsid w:val="00F41B74"/>
    <w:rsid w:val="00F43132"/>
    <w:rsid w:val="00F45857"/>
    <w:rsid w:val="00F47A15"/>
    <w:rsid w:val="00F523D2"/>
    <w:rsid w:val="00F531CC"/>
    <w:rsid w:val="00F5623E"/>
    <w:rsid w:val="00F5711C"/>
    <w:rsid w:val="00F66474"/>
    <w:rsid w:val="00F67FBE"/>
    <w:rsid w:val="00F7046C"/>
    <w:rsid w:val="00F722BB"/>
    <w:rsid w:val="00F72938"/>
    <w:rsid w:val="00F73704"/>
    <w:rsid w:val="00F82251"/>
    <w:rsid w:val="00F87955"/>
    <w:rsid w:val="00F87D3E"/>
    <w:rsid w:val="00F9192C"/>
    <w:rsid w:val="00F925C5"/>
    <w:rsid w:val="00F97D7D"/>
    <w:rsid w:val="00FA311A"/>
    <w:rsid w:val="00FA346F"/>
    <w:rsid w:val="00FA5F66"/>
    <w:rsid w:val="00FA683B"/>
    <w:rsid w:val="00FB2719"/>
    <w:rsid w:val="00FB5489"/>
    <w:rsid w:val="00FC0576"/>
    <w:rsid w:val="00FC3A08"/>
    <w:rsid w:val="00FC4C10"/>
    <w:rsid w:val="00FD0099"/>
    <w:rsid w:val="00FD05D4"/>
    <w:rsid w:val="00FD3B0A"/>
    <w:rsid w:val="00FD4ABD"/>
    <w:rsid w:val="00FD6B67"/>
    <w:rsid w:val="00FE3ACB"/>
    <w:rsid w:val="00FE3BBF"/>
    <w:rsid w:val="00FF0667"/>
    <w:rsid w:val="00FF0769"/>
    <w:rsid w:val="00FF08DF"/>
    <w:rsid w:val="00FF33F2"/>
    <w:rsid w:val="00FF3875"/>
    <w:rsid w:val="00FF6CCA"/>
    <w:rsid w:val="098EBCDD"/>
    <w:rsid w:val="233CE29A"/>
    <w:rsid w:val="31F006EF"/>
    <w:rsid w:val="3B86E627"/>
    <w:rsid w:val="3DFBEF60"/>
    <w:rsid w:val="7EEAE3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DA3AEFE"/>
  <w15:docId w15:val="{159F42EF-BD78-46EA-94D9-506D9C73A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380E"/>
    <w:rPr>
      <w:rFonts w:ascii="Arial" w:hAnsi="Arial"/>
      <w:sz w:val="24"/>
      <w:szCs w:val="24"/>
      <w:lang w:eastAsia="en-US"/>
    </w:rPr>
  </w:style>
  <w:style w:type="paragraph" w:styleId="Heading1">
    <w:name w:val="heading 1"/>
    <w:basedOn w:val="Normal"/>
    <w:next w:val="numberedparagraph"/>
    <w:link w:val="Heading1Char"/>
    <w:qFormat/>
    <w:rsid w:val="00ED67E0"/>
    <w:pPr>
      <w:keepNext/>
      <w:numPr>
        <w:numId w:val="5"/>
      </w:numPr>
      <w:spacing w:before="240" w:after="80"/>
      <w:outlineLvl w:val="0"/>
    </w:pPr>
    <w:rPr>
      <w:rFonts w:cs="Arial"/>
      <w:b/>
      <w:bCs/>
      <w:kern w:val="32"/>
      <w:sz w:val="36"/>
      <w:szCs w:val="32"/>
    </w:rPr>
  </w:style>
  <w:style w:type="paragraph" w:styleId="Heading2">
    <w:name w:val="heading 2"/>
    <w:aliases w:val="KJL:1st Level,Heading Two,h2,(1.1,1.2,1.3 etc),Prophead 2,2,RFP Heading 2,Activity,l2,H2,PARA2,h 3,Numbered - 2,Reset numbering,S Heading,S Heading 2,Major"/>
    <w:basedOn w:val="Normal"/>
    <w:next w:val="numberedparagraph"/>
    <w:link w:val="Heading2Char"/>
    <w:qFormat/>
    <w:rsid w:val="00ED67E0"/>
    <w:pPr>
      <w:keepNext/>
      <w:numPr>
        <w:ilvl w:val="1"/>
        <w:numId w:val="5"/>
      </w:numPr>
      <w:spacing w:before="120" w:after="80"/>
      <w:outlineLvl w:val="1"/>
    </w:pPr>
    <w:rPr>
      <w:rFonts w:cs="Arial"/>
      <w:b/>
      <w:bCs/>
      <w:iCs/>
      <w:sz w:val="28"/>
      <w:szCs w:val="28"/>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
    <w:basedOn w:val="Normal"/>
    <w:next w:val="numberedparagraph"/>
    <w:link w:val="Heading3Char"/>
    <w:qFormat/>
    <w:rsid w:val="00ED67E0"/>
    <w:pPr>
      <w:keepNext/>
      <w:numPr>
        <w:ilvl w:val="2"/>
        <w:numId w:val="5"/>
      </w:numPr>
      <w:spacing w:before="120" w:after="80"/>
      <w:outlineLvl w:val="2"/>
    </w:pPr>
    <w:rPr>
      <w:rFonts w:cs="Arial"/>
      <w:b/>
      <w:bCs/>
      <w:szCs w:val="26"/>
    </w:rPr>
  </w:style>
  <w:style w:type="paragraph" w:styleId="Heading4">
    <w:name w:val="heading 4"/>
    <w:aliases w:val="Sub-Minor,Project table,Propos,Level 2 - a,Bullet 11,Bullet 12,Bullet 13,Bullet 14,Bullet 15,Bullet 16,h4"/>
    <w:basedOn w:val="Normal"/>
    <w:link w:val="Heading4Char"/>
    <w:qFormat/>
    <w:rsid w:val="002340A8"/>
    <w:pPr>
      <w:tabs>
        <w:tab w:val="num" w:pos="0"/>
      </w:tabs>
      <w:overflowPunct w:val="0"/>
      <w:autoSpaceDE w:val="0"/>
      <w:autoSpaceDN w:val="0"/>
      <w:adjustRightInd w:val="0"/>
      <w:spacing w:after="240" w:line="240" w:lineRule="exact"/>
      <w:ind w:left="2880" w:right="284" w:hanging="720"/>
      <w:jc w:val="both"/>
      <w:textAlignment w:val="baseline"/>
      <w:outlineLvl w:val="3"/>
    </w:pPr>
    <w:rPr>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List">
    <w:name w:val="bulletedList"/>
    <w:basedOn w:val="Normal"/>
    <w:rsid w:val="0014799D"/>
    <w:pPr>
      <w:numPr>
        <w:numId w:val="1"/>
      </w:numPr>
      <w:spacing w:after="60"/>
    </w:pPr>
  </w:style>
  <w:style w:type="paragraph" w:customStyle="1" w:styleId="BulletInLetteredList">
    <w:name w:val="BulletInLetteredList"/>
    <w:basedOn w:val="Normal"/>
    <w:rsid w:val="0014799D"/>
    <w:pPr>
      <w:numPr>
        <w:numId w:val="2"/>
      </w:numPr>
      <w:spacing w:after="60"/>
    </w:pPr>
  </w:style>
  <w:style w:type="paragraph" w:styleId="DocumentMap">
    <w:name w:val="Document Map"/>
    <w:basedOn w:val="Normal"/>
    <w:semiHidden/>
    <w:rsid w:val="0014799D"/>
    <w:pPr>
      <w:shd w:val="clear" w:color="auto" w:fill="000080"/>
    </w:pPr>
    <w:rPr>
      <w:rFonts w:ascii="Tahoma" w:hAnsi="Tahoma" w:cs="Tahoma"/>
      <w:sz w:val="22"/>
    </w:rPr>
  </w:style>
  <w:style w:type="character" w:styleId="Emphasis">
    <w:name w:val="Emphasis"/>
    <w:basedOn w:val="DefaultParagraphFont"/>
    <w:qFormat/>
    <w:rsid w:val="0014799D"/>
    <w:rPr>
      <w:b/>
      <w:iCs/>
    </w:rPr>
  </w:style>
  <w:style w:type="paragraph" w:styleId="Footer">
    <w:name w:val="footer"/>
    <w:basedOn w:val="Normal"/>
    <w:link w:val="FooterChar"/>
    <w:uiPriority w:val="99"/>
    <w:rsid w:val="0014799D"/>
    <w:pPr>
      <w:tabs>
        <w:tab w:val="center" w:pos="4153"/>
        <w:tab w:val="right" w:pos="8306"/>
      </w:tabs>
      <w:spacing w:after="60"/>
    </w:pPr>
    <w:rPr>
      <w:sz w:val="20"/>
    </w:rPr>
  </w:style>
  <w:style w:type="paragraph" w:customStyle="1" w:styleId="footerLine">
    <w:name w:val="footerLine"/>
    <w:basedOn w:val="Footer"/>
    <w:next w:val="Footer"/>
    <w:rsid w:val="0014799D"/>
    <w:pPr>
      <w:pBdr>
        <w:bottom w:val="single" w:sz="4" w:space="1" w:color="auto"/>
      </w:pBdr>
    </w:pPr>
  </w:style>
  <w:style w:type="paragraph" w:styleId="Header">
    <w:name w:val="header"/>
    <w:basedOn w:val="Normal"/>
    <w:rsid w:val="0014799D"/>
    <w:pPr>
      <w:tabs>
        <w:tab w:val="center" w:pos="4153"/>
        <w:tab w:val="right" w:pos="8306"/>
      </w:tabs>
    </w:pPr>
    <w:rPr>
      <w:sz w:val="20"/>
    </w:rPr>
  </w:style>
  <w:style w:type="character" w:styleId="Hyperlink">
    <w:name w:val="Hyperlink"/>
    <w:basedOn w:val="DefaultParagraphFont"/>
    <w:rsid w:val="0014799D"/>
    <w:rPr>
      <w:rFonts w:ascii="Arial" w:hAnsi="Arial"/>
      <w:color w:val="0000FF"/>
      <w:sz w:val="22"/>
      <w:szCs w:val="22"/>
      <w:u w:val="single"/>
    </w:rPr>
  </w:style>
  <w:style w:type="paragraph" w:customStyle="1" w:styleId="letteredList0">
    <w:name w:val="letteredList"/>
    <w:basedOn w:val="Normal"/>
    <w:rsid w:val="0014799D"/>
    <w:pPr>
      <w:numPr>
        <w:ilvl w:val="5"/>
        <w:numId w:val="3"/>
      </w:numPr>
      <w:spacing w:after="60"/>
    </w:pPr>
  </w:style>
  <w:style w:type="paragraph" w:customStyle="1" w:styleId="Mainheading">
    <w:name w:val="Main heading"/>
    <w:basedOn w:val="Normal"/>
    <w:next w:val="Normal"/>
    <w:rsid w:val="0014799D"/>
    <w:pPr>
      <w:keepNext/>
      <w:spacing w:before="240" w:after="80"/>
      <w:outlineLvl w:val="0"/>
    </w:pPr>
    <w:rPr>
      <w:rFonts w:cs="Arial"/>
      <w:b/>
      <w:bCs/>
      <w:kern w:val="32"/>
      <w:sz w:val="28"/>
    </w:rPr>
  </w:style>
  <w:style w:type="paragraph" w:customStyle="1" w:styleId="paragraph">
    <w:name w:val="paragraph"/>
    <w:basedOn w:val="Normal"/>
    <w:rsid w:val="0014799D"/>
    <w:pPr>
      <w:numPr>
        <w:ilvl w:val="4"/>
        <w:numId w:val="4"/>
      </w:numPr>
      <w:spacing w:after="120"/>
      <w:outlineLvl w:val="4"/>
    </w:pPr>
  </w:style>
  <w:style w:type="paragraph" w:styleId="Quote">
    <w:name w:val="Quote"/>
    <w:basedOn w:val="Normal"/>
    <w:qFormat/>
    <w:rsid w:val="0014799D"/>
    <w:pPr>
      <w:spacing w:after="60"/>
      <w:ind w:left="851"/>
    </w:pPr>
    <w:rPr>
      <w:i/>
    </w:rPr>
  </w:style>
  <w:style w:type="paragraph" w:customStyle="1" w:styleId="QuoteSource">
    <w:name w:val="QuoteSource"/>
    <w:basedOn w:val="Normal"/>
    <w:next w:val="Normal"/>
    <w:rsid w:val="0014799D"/>
    <w:pPr>
      <w:spacing w:after="60"/>
      <w:jc w:val="right"/>
    </w:pPr>
  </w:style>
  <w:style w:type="paragraph" w:customStyle="1" w:styleId="Sub-heading">
    <w:name w:val="Sub-heading"/>
    <w:basedOn w:val="Normal"/>
    <w:next w:val="paragraph"/>
    <w:rsid w:val="0014799D"/>
    <w:pPr>
      <w:keepNext/>
      <w:spacing w:before="120" w:after="80"/>
      <w:outlineLvl w:val="1"/>
    </w:pPr>
    <w:rPr>
      <w:b/>
    </w:rPr>
  </w:style>
  <w:style w:type="paragraph" w:customStyle="1" w:styleId="Subtitle1">
    <w:name w:val="Subtitle1"/>
    <w:basedOn w:val="Normal"/>
    <w:rsid w:val="0014799D"/>
    <w:pPr>
      <w:spacing w:before="120" w:after="120"/>
    </w:pPr>
    <w:rPr>
      <w:b/>
    </w:rPr>
  </w:style>
  <w:style w:type="paragraph" w:styleId="Title">
    <w:name w:val="Title"/>
    <w:basedOn w:val="Normal"/>
    <w:qFormat/>
    <w:rsid w:val="0014799D"/>
    <w:pPr>
      <w:spacing w:after="120"/>
      <w:outlineLvl w:val="0"/>
    </w:pPr>
    <w:rPr>
      <w:rFonts w:cs="Arial"/>
      <w:b/>
      <w:bCs/>
      <w:sz w:val="28"/>
      <w:szCs w:val="32"/>
    </w:rPr>
  </w:style>
  <w:style w:type="paragraph" w:customStyle="1" w:styleId="CharCharCharChar">
    <w:name w:val="Char Char Char Char"/>
    <w:basedOn w:val="Normal"/>
    <w:rsid w:val="0015011A"/>
    <w:pPr>
      <w:spacing w:after="160" w:line="240" w:lineRule="exact"/>
    </w:pPr>
    <w:rPr>
      <w:rFonts w:ascii="Verdana" w:eastAsia="MS Mincho" w:hAnsi="Verdana"/>
      <w:sz w:val="20"/>
      <w:szCs w:val="20"/>
    </w:rPr>
  </w:style>
  <w:style w:type="paragraph" w:customStyle="1" w:styleId="DocumentTitle">
    <w:name w:val="DocumentTitle"/>
    <w:basedOn w:val="Normal"/>
    <w:next w:val="Subtitle1"/>
    <w:rsid w:val="0014799D"/>
    <w:pPr>
      <w:spacing w:after="120"/>
      <w:outlineLvl w:val="0"/>
    </w:pPr>
    <w:rPr>
      <w:b/>
      <w:sz w:val="28"/>
    </w:rPr>
  </w:style>
  <w:style w:type="table" w:styleId="TableGrid">
    <w:name w:val="Table Grid"/>
    <w:basedOn w:val="TableNormal"/>
    <w:uiPriority w:val="39"/>
    <w:rsid w:val="00150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D67E0"/>
    <w:rPr>
      <w:rFonts w:ascii="Tahoma" w:hAnsi="Tahoma" w:cs="Tahoma"/>
      <w:sz w:val="16"/>
      <w:szCs w:val="16"/>
    </w:rPr>
  </w:style>
  <w:style w:type="character" w:customStyle="1" w:styleId="BalloonTextChar">
    <w:name w:val="Balloon Text Char"/>
    <w:basedOn w:val="DefaultParagraphFont"/>
    <w:link w:val="BalloonText"/>
    <w:rsid w:val="00ED67E0"/>
    <w:rPr>
      <w:rFonts w:ascii="Tahoma" w:hAnsi="Tahoma" w:cs="Tahoma"/>
      <w:sz w:val="16"/>
      <w:szCs w:val="16"/>
      <w:lang w:eastAsia="en-US"/>
    </w:rPr>
  </w:style>
  <w:style w:type="character" w:customStyle="1" w:styleId="Heading1Char">
    <w:name w:val="Heading 1 Char"/>
    <w:basedOn w:val="DefaultParagraphFont"/>
    <w:link w:val="Heading1"/>
    <w:uiPriority w:val="99"/>
    <w:rsid w:val="00ED67E0"/>
    <w:rPr>
      <w:rFonts w:ascii="Arial" w:hAnsi="Arial" w:cs="Arial"/>
      <w:b/>
      <w:bCs/>
      <w:kern w:val="32"/>
      <w:sz w:val="36"/>
      <w:szCs w:val="32"/>
      <w:lang w:eastAsia="en-US"/>
    </w:rPr>
  </w:style>
  <w:style w:type="character" w:customStyle="1" w:styleId="Heading2Char">
    <w:name w:val="Heading 2 Char"/>
    <w:aliases w:val="KJL:1st Level Char,Heading Two Char,h2 Char,(1.1 Char,1.2 Char,1.3 etc) Char,Prophead 2 Char,2 Char,RFP Heading 2 Char,Activity Char,l2 Char,H2 Char,PARA2 Char,h 3 Char,Numbered - 2 Char,Reset numbering Char,S Heading Char,Major Char"/>
    <w:basedOn w:val="DefaultParagraphFont"/>
    <w:link w:val="Heading2"/>
    <w:uiPriority w:val="99"/>
    <w:rsid w:val="00ED67E0"/>
    <w:rPr>
      <w:rFonts w:ascii="Arial" w:hAnsi="Arial" w:cs="Arial"/>
      <w:b/>
      <w:bCs/>
      <w:iCs/>
      <w:sz w:val="28"/>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uiPriority w:val="99"/>
    <w:rsid w:val="00ED67E0"/>
    <w:rPr>
      <w:rFonts w:ascii="Arial" w:hAnsi="Arial" w:cs="Arial"/>
      <w:b/>
      <w:bCs/>
      <w:sz w:val="24"/>
      <w:szCs w:val="26"/>
      <w:lang w:eastAsia="en-US"/>
    </w:rPr>
  </w:style>
  <w:style w:type="paragraph" w:customStyle="1" w:styleId="numberedparagraph">
    <w:name w:val="numbered paragraph"/>
    <w:basedOn w:val="Normal"/>
    <w:link w:val="numberedparagraphChar"/>
    <w:uiPriority w:val="99"/>
    <w:rsid w:val="00ED67E0"/>
    <w:pPr>
      <w:numPr>
        <w:ilvl w:val="3"/>
        <w:numId w:val="5"/>
      </w:numPr>
      <w:spacing w:before="120" w:after="120"/>
    </w:pPr>
    <w:rPr>
      <w:rFonts w:cs="Arial"/>
    </w:rPr>
  </w:style>
  <w:style w:type="paragraph" w:customStyle="1" w:styleId="letteredlist">
    <w:name w:val="lettered list"/>
    <w:basedOn w:val="Normal"/>
    <w:uiPriority w:val="99"/>
    <w:rsid w:val="00ED67E0"/>
    <w:pPr>
      <w:numPr>
        <w:ilvl w:val="4"/>
        <w:numId w:val="5"/>
      </w:numPr>
      <w:spacing w:after="60"/>
    </w:pPr>
    <w:rPr>
      <w:rFonts w:cs="Arial"/>
    </w:rPr>
  </w:style>
  <w:style w:type="paragraph" w:customStyle="1" w:styleId="SpecificationHeading">
    <w:name w:val="Specification Heading"/>
    <w:basedOn w:val="Normal"/>
    <w:autoRedefine/>
    <w:uiPriority w:val="99"/>
    <w:rsid w:val="00FD3B0A"/>
    <w:pPr>
      <w:keepNext/>
      <w:keepLines/>
      <w:spacing w:before="120" w:after="60"/>
    </w:pPr>
    <w:rPr>
      <w:rFonts w:cs="Arial"/>
      <w:b/>
      <w:color w:val="000000"/>
    </w:rPr>
  </w:style>
  <w:style w:type="paragraph" w:styleId="BodyText">
    <w:name w:val="Body Text"/>
    <w:basedOn w:val="Normal"/>
    <w:link w:val="BodyTextChar"/>
    <w:uiPriority w:val="99"/>
    <w:rsid w:val="00967429"/>
    <w:pPr>
      <w:spacing w:after="120"/>
    </w:pPr>
    <w:rPr>
      <w:rFonts w:ascii="Times New Roman" w:hAnsi="Times New Roman"/>
      <w:lang w:eastAsia="en-GB"/>
    </w:rPr>
  </w:style>
  <w:style w:type="character" w:customStyle="1" w:styleId="BodyTextChar">
    <w:name w:val="Body Text Char"/>
    <w:basedOn w:val="DefaultParagraphFont"/>
    <w:link w:val="BodyText"/>
    <w:uiPriority w:val="99"/>
    <w:rsid w:val="00967429"/>
    <w:rPr>
      <w:sz w:val="24"/>
      <w:szCs w:val="24"/>
    </w:rPr>
  </w:style>
  <w:style w:type="paragraph" w:styleId="CommentText">
    <w:name w:val="annotation text"/>
    <w:basedOn w:val="Normal"/>
    <w:link w:val="CommentTextChar"/>
    <w:uiPriority w:val="99"/>
    <w:rsid w:val="00967429"/>
    <w:rPr>
      <w:sz w:val="20"/>
      <w:szCs w:val="20"/>
      <w:lang w:eastAsia="en-GB"/>
    </w:rPr>
  </w:style>
  <w:style w:type="character" w:customStyle="1" w:styleId="CommentTextChar">
    <w:name w:val="Comment Text Char"/>
    <w:basedOn w:val="DefaultParagraphFont"/>
    <w:link w:val="CommentText"/>
    <w:uiPriority w:val="99"/>
    <w:rsid w:val="00967429"/>
    <w:rPr>
      <w:rFonts w:ascii="Arial" w:hAnsi="Arial"/>
    </w:rPr>
  </w:style>
  <w:style w:type="paragraph" w:styleId="FootnoteText">
    <w:name w:val="footnote text"/>
    <w:basedOn w:val="Normal"/>
    <w:link w:val="FootnoteTextChar"/>
    <w:uiPriority w:val="99"/>
    <w:rsid w:val="00967429"/>
    <w:rPr>
      <w:sz w:val="20"/>
      <w:szCs w:val="20"/>
      <w:lang w:eastAsia="en-GB"/>
    </w:rPr>
  </w:style>
  <w:style w:type="character" w:customStyle="1" w:styleId="FootnoteTextChar">
    <w:name w:val="Footnote Text Char"/>
    <w:basedOn w:val="DefaultParagraphFont"/>
    <w:link w:val="FootnoteText"/>
    <w:uiPriority w:val="99"/>
    <w:rsid w:val="00967429"/>
    <w:rPr>
      <w:rFonts w:ascii="Arial" w:hAnsi="Arial"/>
    </w:rPr>
  </w:style>
  <w:style w:type="character" w:customStyle="1" w:styleId="numberedparagraphChar">
    <w:name w:val="numbered paragraph Char"/>
    <w:basedOn w:val="DefaultParagraphFont"/>
    <w:link w:val="numberedparagraph"/>
    <w:uiPriority w:val="99"/>
    <w:locked/>
    <w:rsid w:val="00967429"/>
    <w:rPr>
      <w:rFonts w:ascii="Arial" w:hAnsi="Arial" w:cs="Arial"/>
      <w:sz w:val="24"/>
      <w:szCs w:val="24"/>
      <w:lang w:eastAsia="en-US"/>
    </w:rPr>
  </w:style>
  <w:style w:type="paragraph" w:styleId="ListParagraph">
    <w:name w:val="List Paragraph"/>
    <w:aliases w:val="F5 List Paragraph,List Paragraph1,List Paragraph11,Dot pt,No Spacing1,List Paragraph Char Char Char,Indicator Text,Numbered Para 1,Bullet 1,Bullet Points,MAIN CONTENT,List Paragraph12,Bullet Style,Colorful List - Accent 11,Normal numbered"/>
    <w:basedOn w:val="Normal"/>
    <w:link w:val="ListParagraphChar"/>
    <w:uiPriority w:val="34"/>
    <w:qFormat/>
    <w:rsid w:val="002F70E9"/>
    <w:pPr>
      <w:ind w:left="720"/>
      <w:contextualSpacing/>
    </w:pPr>
  </w:style>
  <w:style w:type="character" w:styleId="CommentReference">
    <w:name w:val="annotation reference"/>
    <w:basedOn w:val="DefaultParagraphFont"/>
    <w:uiPriority w:val="99"/>
    <w:semiHidden/>
    <w:unhideWhenUsed/>
    <w:rsid w:val="005E37D8"/>
    <w:rPr>
      <w:sz w:val="16"/>
      <w:szCs w:val="16"/>
    </w:rPr>
  </w:style>
  <w:style w:type="paragraph" w:styleId="CommentSubject">
    <w:name w:val="annotation subject"/>
    <w:basedOn w:val="CommentText"/>
    <w:next w:val="CommentText"/>
    <w:link w:val="CommentSubjectChar"/>
    <w:semiHidden/>
    <w:unhideWhenUsed/>
    <w:rsid w:val="005E37D8"/>
    <w:rPr>
      <w:b/>
      <w:bCs/>
      <w:lang w:eastAsia="en-US"/>
    </w:rPr>
  </w:style>
  <w:style w:type="character" w:customStyle="1" w:styleId="CommentSubjectChar">
    <w:name w:val="Comment Subject Char"/>
    <w:basedOn w:val="CommentTextChar"/>
    <w:link w:val="CommentSubject"/>
    <w:semiHidden/>
    <w:rsid w:val="005E37D8"/>
    <w:rPr>
      <w:rFonts w:ascii="Arial" w:hAnsi="Arial"/>
      <w:b/>
      <w:bCs/>
      <w:lang w:eastAsia="en-US"/>
    </w:rPr>
  </w:style>
  <w:style w:type="paragraph" w:customStyle="1" w:styleId="Default">
    <w:name w:val="Default"/>
    <w:rsid w:val="000D3936"/>
    <w:pPr>
      <w:autoSpaceDE w:val="0"/>
      <w:autoSpaceDN w:val="0"/>
      <w:adjustRightInd w:val="0"/>
    </w:pPr>
    <w:rPr>
      <w:rFonts w:ascii="Arial" w:eastAsiaTheme="minorHAnsi" w:hAnsi="Arial" w:cs="Arial"/>
      <w:color w:val="000000"/>
      <w:sz w:val="24"/>
      <w:szCs w:val="24"/>
      <w:lang w:eastAsia="en-US"/>
    </w:rPr>
  </w:style>
  <w:style w:type="paragraph" w:styleId="ListBullet3">
    <w:name w:val="List Bullet 3"/>
    <w:basedOn w:val="Normal"/>
    <w:uiPriority w:val="99"/>
    <w:semiHidden/>
    <w:unhideWhenUsed/>
    <w:rsid w:val="00DD47E2"/>
    <w:pPr>
      <w:numPr>
        <w:numId w:val="6"/>
      </w:numPr>
      <w:spacing w:after="240" w:line="288" w:lineRule="auto"/>
      <w:contextualSpacing/>
    </w:pPr>
    <w:rPr>
      <w:rFonts w:eastAsiaTheme="minorHAnsi" w:cs="Arial"/>
      <w:lang w:eastAsia="en-GB"/>
    </w:rPr>
  </w:style>
  <w:style w:type="character" w:customStyle="1" w:styleId="DfESOutNumbered1Char">
    <w:name w:val="DfESOutNumbered1 Char"/>
    <w:basedOn w:val="DefaultParagraphFont"/>
    <w:link w:val="DfESOutNumbered1"/>
    <w:locked/>
    <w:rsid w:val="00DD47E2"/>
  </w:style>
  <w:style w:type="paragraph" w:customStyle="1" w:styleId="DfESOutNumbered1">
    <w:name w:val="DfESOutNumbered1"/>
    <w:basedOn w:val="Normal"/>
    <w:link w:val="DfESOutNumbered1Char"/>
    <w:rsid w:val="00DD47E2"/>
    <w:pPr>
      <w:numPr>
        <w:numId w:val="7"/>
      </w:numPr>
      <w:spacing w:after="240" w:line="288" w:lineRule="auto"/>
    </w:pPr>
    <w:rPr>
      <w:rFonts w:ascii="Times New Roman" w:hAnsi="Times New Roman"/>
      <w:sz w:val="20"/>
      <w:szCs w:val="20"/>
      <w:lang w:eastAsia="en-GB"/>
    </w:rPr>
  </w:style>
  <w:style w:type="character" w:styleId="FollowedHyperlink">
    <w:name w:val="FollowedHyperlink"/>
    <w:basedOn w:val="DefaultParagraphFont"/>
    <w:semiHidden/>
    <w:unhideWhenUsed/>
    <w:rsid w:val="00FD3B0A"/>
    <w:rPr>
      <w:color w:val="800080" w:themeColor="followedHyperlink"/>
      <w:u w:val="single"/>
    </w:rPr>
  </w:style>
  <w:style w:type="paragraph" w:styleId="Revision">
    <w:name w:val="Revision"/>
    <w:hidden/>
    <w:uiPriority w:val="99"/>
    <w:semiHidden/>
    <w:rsid w:val="00FD3B0A"/>
    <w:rPr>
      <w:rFonts w:ascii="Arial" w:hAnsi="Arial"/>
      <w:sz w:val="24"/>
      <w:szCs w:val="24"/>
      <w:lang w:eastAsia="en-US"/>
    </w:rPr>
  </w:style>
  <w:style w:type="character" w:customStyle="1" w:styleId="FooterChar">
    <w:name w:val="Footer Char"/>
    <w:basedOn w:val="DefaultParagraphFont"/>
    <w:link w:val="Footer"/>
    <w:uiPriority w:val="99"/>
    <w:rsid w:val="008441FE"/>
    <w:rPr>
      <w:rFonts w:ascii="Arial" w:hAnsi="Arial"/>
      <w:szCs w:val="24"/>
      <w:lang w:eastAsia="en-US"/>
    </w:rPr>
  </w:style>
  <w:style w:type="table" w:customStyle="1" w:styleId="TableGrid1">
    <w:name w:val="Table Grid1"/>
    <w:basedOn w:val="TableNormal"/>
    <w:next w:val="TableGrid"/>
    <w:uiPriority w:val="39"/>
    <w:rsid w:val="00582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E2E02"/>
    <w:pPr>
      <w:numPr>
        <w:numId w:val="10"/>
      </w:numPr>
      <w:spacing w:before="100" w:beforeAutospacing="1" w:after="100" w:afterAutospacing="1" w:line="260" w:lineRule="atLeast"/>
      <w:jc w:val="both"/>
    </w:pPr>
    <w:rPr>
      <w:rFonts w:ascii="Verdana" w:hAnsi="Verdana"/>
      <w:sz w:val="16"/>
      <w:lang w:eastAsia="en-GB"/>
    </w:rPr>
  </w:style>
  <w:style w:type="paragraph" w:customStyle="1" w:styleId="Level1">
    <w:name w:val="Level 1"/>
    <w:basedOn w:val="Normal"/>
    <w:rsid w:val="00AE2E02"/>
    <w:pPr>
      <w:keepNext/>
      <w:numPr>
        <w:ilvl w:val="1"/>
        <w:numId w:val="10"/>
      </w:numPr>
      <w:spacing w:after="260" w:line="260" w:lineRule="atLeast"/>
      <w:jc w:val="both"/>
      <w:outlineLvl w:val="0"/>
    </w:pPr>
    <w:rPr>
      <w:b/>
      <w:caps/>
      <w:sz w:val="22"/>
    </w:rPr>
  </w:style>
  <w:style w:type="paragraph" w:customStyle="1" w:styleId="Level2">
    <w:name w:val="Level 2"/>
    <w:basedOn w:val="Normal"/>
    <w:rsid w:val="00AE2E02"/>
    <w:pPr>
      <w:numPr>
        <w:ilvl w:val="2"/>
        <w:numId w:val="10"/>
      </w:numPr>
      <w:tabs>
        <w:tab w:val="num" w:pos="720"/>
      </w:tabs>
      <w:spacing w:after="260" w:line="260" w:lineRule="atLeast"/>
      <w:ind w:left="720"/>
      <w:jc w:val="both"/>
      <w:outlineLvl w:val="1"/>
    </w:pPr>
    <w:rPr>
      <w:sz w:val="22"/>
    </w:rPr>
  </w:style>
  <w:style w:type="paragraph" w:customStyle="1" w:styleId="Level3">
    <w:name w:val="Level 3"/>
    <w:basedOn w:val="Normal"/>
    <w:rsid w:val="00AE2E02"/>
    <w:pPr>
      <w:numPr>
        <w:ilvl w:val="3"/>
        <w:numId w:val="10"/>
      </w:numPr>
      <w:tabs>
        <w:tab w:val="num" w:pos="1440"/>
      </w:tabs>
      <w:spacing w:after="260" w:line="260" w:lineRule="atLeast"/>
      <w:ind w:left="1440"/>
      <w:jc w:val="both"/>
      <w:outlineLvl w:val="2"/>
    </w:pPr>
    <w:rPr>
      <w:sz w:val="22"/>
    </w:rPr>
  </w:style>
  <w:style w:type="paragraph" w:customStyle="1" w:styleId="Level4">
    <w:name w:val="Level 4"/>
    <w:basedOn w:val="Normal"/>
    <w:rsid w:val="00AE2E02"/>
    <w:pPr>
      <w:numPr>
        <w:ilvl w:val="4"/>
        <w:numId w:val="10"/>
      </w:numPr>
      <w:tabs>
        <w:tab w:val="num" w:pos="2160"/>
      </w:tabs>
      <w:spacing w:after="260" w:line="260" w:lineRule="atLeast"/>
      <w:ind w:left="2160"/>
      <w:jc w:val="both"/>
      <w:outlineLvl w:val="3"/>
    </w:pPr>
    <w:rPr>
      <w:sz w:val="22"/>
    </w:rPr>
  </w:style>
  <w:style w:type="paragraph" w:customStyle="1" w:styleId="Level5">
    <w:name w:val="Level 5"/>
    <w:basedOn w:val="Normal"/>
    <w:rsid w:val="00AE2E02"/>
    <w:pPr>
      <w:numPr>
        <w:ilvl w:val="5"/>
        <w:numId w:val="10"/>
      </w:numPr>
      <w:tabs>
        <w:tab w:val="num" w:pos="2880"/>
      </w:tabs>
      <w:spacing w:after="260" w:line="260" w:lineRule="atLeast"/>
      <w:ind w:left="2880"/>
      <w:jc w:val="both"/>
      <w:outlineLvl w:val="4"/>
    </w:pPr>
    <w:rPr>
      <w:sz w:val="22"/>
    </w:rPr>
  </w:style>
  <w:style w:type="character" w:customStyle="1" w:styleId="ListParagraphChar">
    <w:name w:val="List Paragraph Char"/>
    <w:aliases w:val="F5 List Paragraph Char,List Paragraph1 Char,List Paragraph11 Char,Dot pt Char,No Spacing1 Char,List Paragraph Char Char Char Char,Indicator Text Char,Numbered Para 1 Char,Bullet 1 Char,Bullet Points Char,MAIN CONTENT Char"/>
    <w:link w:val="ListParagraph"/>
    <w:uiPriority w:val="34"/>
    <w:locked/>
    <w:rsid w:val="00AE2E02"/>
    <w:rPr>
      <w:rFonts w:ascii="Arial" w:hAnsi="Arial"/>
      <w:sz w:val="24"/>
      <w:szCs w:val="24"/>
      <w:lang w:eastAsia="en-US"/>
    </w:rPr>
  </w:style>
  <w:style w:type="character" w:styleId="Strong">
    <w:name w:val="Strong"/>
    <w:basedOn w:val="DefaultParagraphFont"/>
    <w:qFormat/>
    <w:rsid w:val="00B773E0"/>
    <w:rPr>
      <w:b/>
      <w:bCs/>
    </w:rPr>
  </w:style>
  <w:style w:type="paragraph" w:styleId="NoSpacing">
    <w:name w:val="No Spacing"/>
    <w:uiPriority w:val="1"/>
    <w:qFormat/>
    <w:rsid w:val="005F4D48"/>
    <w:rPr>
      <w:sz w:val="24"/>
      <w:szCs w:val="24"/>
      <w:lang w:eastAsia="en-US"/>
    </w:rPr>
  </w:style>
  <w:style w:type="character" w:styleId="FootnoteReference">
    <w:name w:val="footnote reference"/>
    <w:basedOn w:val="DefaultParagraphFont"/>
    <w:uiPriority w:val="99"/>
    <w:semiHidden/>
    <w:unhideWhenUsed/>
    <w:rsid w:val="00827B24"/>
    <w:rPr>
      <w:vertAlign w:val="superscript"/>
    </w:rPr>
  </w:style>
  <w:style w:type="character" w:customStyle="1" w:styleId="normaltextrun">
    <w:name w:val="normaltextrun"/>
    <w:basedOn w:val="DefaultParagraphFont"/>
    <w:rsid w:val="00B07E09"/>
  </w:style>
  <w:style w:type="character" w:customStyle="1" w:styleId="eop">
    <w:name w:val="eop"/>
    <w:basedOn w:val="DefaultParagraphFont"/>
    <w:rsid w:val="00B07E09"/>
  </w:style>
  <w:style w:type="character" w:customStyle="1" w:styleId="Heading4Char">
    <w:name w:val="Heading 4 Char"/>
    <w:aliases w:val="Sub-Minor Char,Project table Char,Propos Char,Level 2 - a Char,Bullet 11 Char,Bullet 12 Char,Bullet 13 Char,Bullet 14 Char,Bullet 15 Char,Bullet 16 Char,h4 Char"/>
    <w:basedOn w:val="DefaultParagraphFont"/>
    <w:link w:val="Heading4"/>
    <w:rsid w:val="002340A8"/>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8332">
      <w:bodyDiv w:val="1"/>
      <w:marLeft w:val="0"/>
      <w:marRight w:val="0"/>
      <w:marTop w:val="0"/>
      <w:marBottom w:val="0"/>
      <w:divBdr>
        <w:top w:val="none" w:sz="0" w:space="0" w:color="auto"/>
        <w:left w:val="none" w:sz="0" w:space="0" w:color="auto"/>
        <w:bottom w:val="none" w:sz="0" w:space="0" w:color="auto"/>
        <w:right w:val="none" w:sz="0" w:space="0" w:color="auto"/>
      </w:divBdr>
    </w:div>
    <w:div w:id="281889465">
      <w:bodyDiv w:val="1"/>
      <w:marLeft w:val="0"/>
      <w:marRight w:val="0"/>
      <w:marTop w:val="0"/>
      <w:marBottom w:val="0"/>
      <w:divBdr>
        <w:top w:val="none" w:sz="0" w:space="0" w:color="auto"/>
        <w:left w:val="none" w:sz="0" w:space="0" w:color="auto"/>
        <w:bottom w:val="none" w:sz="0" w:space="0" w:color="auto"/>
        <w:right w:val="none" w:sz="0" w:space="0" w:color="auto"/>
      </w:divBdr>
    </w:div>
    <w:div w:id="361976399">
      <w:bodyDiv w:val="1"/>
      <w:marLeft w:val="0"/>
      <w:marRight w:val="0"/>
      <w:marTop w:val="0"/>
      <w:marBottom w:val="0"/>
      <w:divBdr>
        <w:top w:val="none" w:sz="0" w:space="0" w:color="auto"/>
        <w:left w:val="none" w:sz="0" w:space="0" w:color="auto"/>
        <w:bottom w:val="none" w:sz="0" w:space="0" w:color="auto"/>
        <w:right w:val="none" w:sz="0" w:space="0" w:color="auto"/>
      </w:divBdr>
    </w:div>
    <w:div w:id="475487267">
      <w:bodyDiv w:val="1"/>
      <w:marLeft w:val="0"/>
      <w:marRight w:val="0"/>
      <w:marTop w:val="0"/>
      <w:marBottom w:val="0"/>
      <w:divBdr>
        <w:top w:val="none" w:sz="0" w:space="0" w:color="auto"/>
        <w:left w:val="none" w:sz="0" w:space="0" w:color="auto"/>
        <w:bottom w:val="none" w:sz="0" w:space="0" w:color="auto"/>
        <w:right w:val="none" w:sz="0" w:space="0" w:color="auto"/>
      </w:divBdr>
    </w:div>
    <w:div w:id="676149583">
      <w:bodyDiv w:val="1"/>
      <w:marLeft w:val="0"/>
      <w:marRight w:val="0"/>
      <w:marTop w:val="0"/>
      <w:marBottom w:val="0"/>
      <w:divBdr>
        <w:top w:val="none" w:sz="0" w:space="0" w:color="auto"/>
        <w:left w:val="none" w:sz="0" w:space="0" w:color="auto"/>
        <w:bottom w:val="none" w:sz="0" w:space="0" w:color="auto"/>
        <w:right w:val="none" w:sz="0" w:space="0" w:color="auto"/>
      </w:divBdr>
    </w:div>
    <w:div w:id="904295633">
      <w:bodyDiv w:val="1"/>
      <w:marLeft w:val="0"/>
      <w:marRight w:val="0"/>
      <w:marTop w:val="0"/>
      <w:marBottom w:val="0"/>
      <w:divBdr>
        <w:top w:val="none" w:sz="0" w:space="0" w:color="auto"/>
        <w:left w:val="none" w:sz="0" w:space="0" w:color="auto"/>
        <w:bottom w:val="none" w:sz="0" w:space="0" w:color="auto"/>
        <w:right w:val="none" w:sz="0" w:space="0" w:color="auto"/>
      </w:divBdr>
    </w:div>
    <w:div w:id="922687969">
      <w:bodyDiv w:val="1"/>
      <w:marLeft w:val="0"/>
      <w:marRight w:val="0"/>
      <w:marTop w:val="0"/>
      <w:marBottom w:val="0"/>
      <w:divBdr>
        <w:top w:val="none" w:sz="0" w:space="0" w:color="auto"/>
        <w:left w:val="none" w:sz="0" w:space="0" w:color="auto"/>
        <w:bottom w:val="none" w:sz="0" w:space="0" w:color="auto"/>
        <w:right w:val="none" w:sz="0" w:space="0" w:color="auto"/>
      </w:divBdr>
    </w:div>
    <w:div w:id="1128354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overnment/publications/european-structural-and-investment-funds-programme-guidance" TargetMode="External"/><Relationship Id="rId2" Type="http://schemas.openxmlformats.org/officeDocument/2006/relationships/customXml" Target="../customXml/item2.xml"/><Relationship Id="rId16" Type="http://schemas.openxmlformats.org/officeDocument/2006/relationships/hyperlink" Target="https://www.greatermanchester-ca.gov.uk/info/20063/beating_unemploymen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reatermanchester-ca.gov.uk/info/20067/greater_manchester_strategy"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f48591a5093306da1cc403a71fa94a4b">
  <xsd:schema xmlns:xsd="http://www.w3.org/2001/XMLSchema" xmlns:xs="http://www.w3.org/2001/XMLSchema" xmlns:p="http://schemas.microsoft.com/office/2006/metadata/properties" xmlns:ns2="57662250-88eb-4feb-ad90-0853014cc4f8" targetNamespace="http://schemas.microsoft.com/office/2006/metadata/properties" ma:root="true" ma:fieldsID="6bb11078ca620caf36c6731721d3aa63"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E69F1-F864-44F6-8D91-1990296B882B}">
  <ds:schemaRefs>
    <ds:schemaRef ds:uri="http://schemas.microsoft.com/sharepoint/v3/contenttype/forms"/>
  </ds:schemaRefs>
</ds:datastoreItem>
</file>

<file path=customXml/itemProps2.xml><?xml version="1.0" encoding="utf-8"?>
<ds:datastoreItem xmlns:ds="http://schemas.openxmlformats.org/officeDocument/2006/customXml" ds:itemID="{B95BFB58-40B2-4ABF-B4AC-D978A2243B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632BDC-9E09-4606-924E-4C135CAFED4B}">
  <ds:schemaRefs>
    <ds:schemaRef ds:uri="http://schemas.microsoft.com/office/2006/metadata/properties"/>
  </ds:schemaRefs>
</ds:datastoreItem>
</file>

<file path=customXml/itemProps4.xml><?xml version="1.0" encoding="utf-8"?>
<ds:datastoreItem xmlns:ds="http://schemas.openxmlformats.org/officeDocument/2006/customXml" ds:itemID="{4F8707AF-CB0C-4CC9-9A3C-83F498231BB4}">
  <ds:schemaRefs>
    <ds:schemaRef ds:uri="http://schemas.microsoft.com/office/2006/metadata/longProperties"/>
  </ds:schemaRefs>
</ds:datastoreItem>
</file>

<file path=customXml/itemProps5.xml><?xml version="1.0" encoding="utf-8"?>
<ds:datastoreItem xmlns:ds="http://schemas.openxmlformats.org/officeDocument/2006/customXml" ds:itemID="{DD52FB30-2268-417E-8F61-D1A948731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4808</Words>
  <Characters>27408</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Type title of document here</vt:lpstr>
    </vt:vector>
  </TitlesOfParts>
  <Company>Learning and Skills Council</Company>
  <LinksUpToDate>false</LinksUpToDate>
  <CharactersWithSpaces>32152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title of document here</dc:title>
  <dc:creator>Sarah Stear</dc:creator>
  <cp:lastModifiedBy>Brian</cp:lastModifiedBy>
  <cp:revision>3</cp:revision>
  <cp:lastPrinted>2016-05-26T15:10:00Z</cp:lastPrinted>
  <dcterms:created xsi:type="dcterms:W3CDTF">2016-06-16T13:26:00Z</dcterms:created>
  <dcterms:modified xsi:type="dcterms:W3CDTF">2016-06-16T13:27:00Z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publisher">
    <vt:lpwstr>Learning and Skills Council, Cheylesmore House, Quinton Road, Coventry, CV1 2WT, www.lsc.gov.uk</vt:lpwstr>
  </property>
  <property fmtid="{D5CDD505-2E9C-101B-9397-08002B2CF9AE}" pid="3" name="DC.title" linkTarget="DocumentTitle">
    <vt:lpwstr> TENDER SPECIFICATIONS.Guidelines and Template..</vt:lpwstr>
  </property>
  <property fmtid="{D5CDD505-2E9C-101B-9397-08002B2CF9AE}" pid="4" name="LSC.templateVersion">
    <vt:lpwstr>0.4</vt:lpwstr>
  </property>
  <property fmtid="{D5CDD505-2E9C-101B-9397-08002B2CF9AE}" pid="5" name="ContentType">
    <vt:lpwstr>Document</vt:lpwstr>
  </property>
  <property fmtid="{D5CDD505-2E9C-101B-9397-08002B2CF9AE}" pid="6" name="ContentTypeId">
    <vt:lpwstr>0x010100AB5CB3F4636D4F4E81116011AB3CE51C</vt:lpwstr>
  </property>
</Properties>
</file>