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77636802" w:rsidR="00AA1382" w:rsidRDefault="00AA1382"/>
    <w:p w14:paraId="3B9A0F16" w14:textId="77777777" w:rsidR="00C574BD" w:rsidRPr="00EF57C6" w:rsidRDefault="00C574BD" w:rsidP="00C574BD">
      <w:pPr>
        <w:rPr>
          <w:rFonts w:cs="Arial"/>
          <w:sz w:val="36"/>
          <w:szCs w:val="36"/>
        </w:rPr>
      </w:pPr>
      <w:r w:rsidRPr="00EF57C6">
        <w:rPr>
          <w:rFonts w:cs="Arial"/>
          <w:b/>
          <w:sz w:val="36"/>
          <w:szCs w:val="36"/>
        </w:rPr>
        <w:t>Order Schedule 20 (Order Specification)</w:t>
      </w:r>
      <w:r w:rsidRPr="00EF57C6">
        <w:rPr>
          <w:rFonts w:cs="Arial"/>
          <w:sz w:val="36"/>
          <w:szCs w:val="36"/>
        </w:rPr>
        <w:t xml:space="preserve"> </w:t>
      </w:r>
    </w:p>
    <w:p w14:paraId="20418A4C" w14:textId="77777777" w:rsidR="00C574BD" w:rsidRDefault="00C574BD" w:rsidP="00C574BD">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EF57C6">
        <w:rPr>
          <w:rFonts w:ascii="Arial" w:hAnsi="Arial"/>
          <w:sz w:val="24"/>
        </w:rPr>
        <w:t>This Schedule sets out the characteristics of the Deliverables that the Supplier will be required to make to the Buyers under this Order Contract</w:t>
      </w:r>
    </w:p>
    <w:p w14:paraId="05825834" w14:textId="74C32974" w:rsidR="00AA1382" w:rsidRDefault="00AA1382">
      <w:pPr>
        <w:rPr>
          <w:b/>
          <w:szCs w:val="22"/>
          <w:lang w:eastAsia="en-GB"/>
        </w:rPr>
      </w:pP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73" w:name="_Toc297554772"/>
      <w:bookmarkStart w:id="74" w:name="_Toc368573027"/>
      <w:bookmarkStart w:id="75" w:name="_Toc522714834"/>
      <w:r w:rsidRPr="001A45DF">
        <w:rPr>
          <w:caps w:val="0"/>
          <w:sz w:val="32"/>
          <w:szCs w:val="32"/>
        </w:rPr>
        <w:t>PURPOSE</w:t>
      </w:r>
      <w:bookmarkEnd w:id="73"/>
      <w:bookmarkEnd w:id="74"/>
      <w:bookmarkEnd w:id="75"/>
    </w:p>
    <w:p w14:paraId="58F3D132" w14:textId="77777777" w:rsidR="0012006C" w:rsidRDefault="0012006C" w:rsidP="00A31E05">
      <w:pPr>
        <w:pStyle w:val="Heading2"/>
        <w:rPr>
          <w:sz w:val="24"/>
          <w:szCs w:val="24"/>
        </w:rPr>
      </w:pPr>
      <w:bookmarkStart w:id="76" w:name="_Toc296415791"/>
      <w:r>
        <w:rPr>
          <w:rFonts w:cs="Arial"/>
          <w:b/>
          <w:bCs/>
          <w:color w:val="FF0000"/>
          <w:szCs w:val="22"/>
        </w:rPr>
        <w:t>REDACTED TEXT under FOIA Section 43 Commercial Interests.</w:t>
      </w:r>
      <w:r>
        <w:rPr>
          <w:sz w:val="24"/>
          <w:szCs w:val="24"/>
        </w:rPr>
        <w:t xml:space="preserve"> </w:t>
      </w:r>
    </w:p>
    <w:p w14:paraId="4CA6968F" w14:textId="0F0EF72F" w:rsidR="00A31E05" w:rsidRPr="00A31E05" w:rsidRDefault="0012006C" w:rsidP="00A31E05">
      <w:pPr>
        <w:pStyle w:val="Heading2"/>
        <w:rPr>
          <w:sz w:val="24"/>
          <w:szCs w:val="24"/>
        </w:rPr>
      </w:pPr>
      <w:r>
        <w:rPr>
          <w:rFonts w:cs="Arial"/>
          <w:b/>
          <w:bCs/>
          <w:color w:val="FF0000"/>
          <w:szCs w:val="22"/>
        </w:rPr>
        <w:t>REDACTED TEXT under FOIA Section 40, Personal Information</w:t>
      </w:r>
      <w:r>
        <w:rPr>
          <w:rFonts w:cs="Arial"/>
          <w:color w:val="0B0C0C"/>
          <w:szCs w:val="22"/>
        </w:rPr>
        <w:t xml:space="preserve"> </w:t>
      </w:r>
      <w:r w:rsidR="00A31E05" w:rsidRPr="00A31E05">
        <w:rPr>
          <w:sz w:val="24"/>
          <w:szCs w:val="24"/>
        </w:rPr>
        <w:t xml:space="preserve">are looking for </w:t>
      </w:r>
      <w:r w:rsidR="00086CDA" w:rsidRPr="00A31E05">
        <w:rPr>
          <w:sz w:val="24"/>
          <w:szCs w:val="24"/>
        </w:rPr>
        <w:t>a</w:t>
      </w:r>
      <w:r w:rsidR="00A31E05" w:rsidRPr="00A31E05">
        <w:rPr>
          <w:sz w:val="24"/>
          <w:szCs w:val="24"/>
        </w:rPr>
        <w:t xml:space="preserve"> </w:t>
      </w:r>
      <w:r w:rsidR="00086CDA">
        <w:rPr>
          <w:sz w:val="24"/>
          <w:szCs w:val="24"/>
        </w:rPr>
        <w:t>Supplier</w:t>
      </w:r>
      <w:r w:rsidR="00A31E05" w:rsidRPr="00A31E05">
        <w:rPr>
          <w:sz w:val="24"/>
          <w:szCs w:val="24"/>
        </w:rPr>
        <w:t xml:space="preserve"> to perform research and insight projects. The successful </w:t>
      </w:r>
      <w:r w:rsidR="00086CDA">
        <w:rPr>
          <w:sz w:val="24"/>
          <w:szCs w:val="24"/>
        </w:rPr>
        <w:t>Supplier</w:t>
      </w:r>
      <w:r w:rsidR="00A31E05" w:rsidRPr="00A31E05">
        <w:rPr>
          <w:sz w:val="24"/>
          <w:szCs w:val="24"/>
        </w:rPr>
        <w:t xml:space="preserve"> will be contracted through a call-off contract to perform additional ad-hoc research projects as and when required.</w:t>
      </w:r>
    </w:p>
    <w:p w14:paraId="2DEABF59" w14:textId="7C93F35A"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will be required to undertake research of UK and international audiences.</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77" w:name="_Toc368573028"/>
      <w:bookmarkStart w:id="78" w:name="_Toc522714835"/>
      <w:bookmarkStart w:id="79" w:name="_Toc297554773"/>
      <w:bookmarkStart w:id="80" w:name="_Toc296415805"/>
      <w:bookmarkStart w:id="81" w:name="_Toc296415793"/>
      <w:bookmarkEnd w:id="76"/>
      <w:r w:rsidRPr="001A45DF">
        <w:rPr>
          <w:sz w:val="32"/>
          <w:szCs w:val="32"/>
        </w:rPr>
        <w:t>BACKGROUND TO THE CONTRACTING aUTHORITY</w:t>
      </w:r>
      <w:bookmarkEnd w:id="77"/>
      <w:bookmarkEnd w:id="78"/>
    </w:p>
    <w:p w14:paraId="160AECF8" w14:textId="77777777" w:rsidR="00A31E05" w:rsidRPr="00A31E05" w:rsidRDefault="00A31E05" w:rsidP="00A31E05">
      <w:pPr>
        <w:pStyle w:val="Heading2"/>
        <w:rPr>
          <w:sz w:val="24"/>
          <w:szCs w:val="24"/>
        </w:rPr>
      </w:pPr>
      <w:r w:rsidRPr="00A31E05">
        <w:rPr>
          <w:sz w:val="24"/>
          <w:szCs w:val="24"/>
        </w:rPr>
        <w:t xml:space="preserve">Cabinet Office (CO) is the Authority for this Statement of Requirements. CO supports the Prime Minister and ensures the effective running of the Government. </w:t>
      </w:r>
    </w:p>
    <w:p w14:paraId="3C3196DF" w14:textId="03CEAAA3" w:rsidR="00A31E05" w:rsidRDefault="00A31E05" w:rsidP="00A31E05">
      <w:pPr>
        <w:pStyle w:val="Heading2"/>
        <w:rPr>
          <w:sz w:val="24"/>
          <w:szCs w:val="24"/>
        </w:rPr>
      </w:pPr>
      <w:r w:rsidRPr="00A31E05">
        <w:rPr>
          <w:sz w:val="24"/>
          <w:szCs w:val="24"/>
        </w:rPr>
        <w:t xml:space="preserve">CO is also the corporate headquarters for the government, in partnership with HM Treasury and take the lead in certain critical policy areas. </w:t>
      </w:r>
    </w:p>
    <w:p w14:paraId="3CF4D801" w14:textId="77777777" w:rsidR="0012006C" w:rsidRPr="0012006C" w:rsidRDefault="0012006C" w:rsidP="00A31E05">
      <w:pPr>
        <w:pStyle w:val="Heading2"/>
        <w:rPr>
          <w:sz w:val="24"/>
          <w:szCs w:val="24"/>
        </w:rPr>
      </w:pPr>
      <w:r>
        <w:rPr>
          <w:rFonts w:cs="Arial"/>
          <w:b/>
          <w:bCs/>
          <w:color w:val="FF0000"/>
          <w:szCs w:val="22"/>
        </w:rPr>
        <w:t>REDACTED TEXT under FOIA Section 43 Commercial Interests.</w:t>
      </w:r>
    </w:p>
    <w:p w14:paraId="11B89E92" w14:textId="57A3AB70" w:rsidR="00A31E05" w:rsidRPr="00A31E05" w:rsidRDefault="00A31E05" w:rsidP="00A31E05">
      <w:pPr>
        <w:pStyle w:val="Heading2"/>
        <w:rPr>
          <w:sz w:val="24"/>
          <w:szCs w:val="24"/>
        </w:rPr>
      </w:pPr>
      <w:r w:rsidRPr="00A31E05">
        <w:rPr>
          <w:sz w:val="24"/>
          <w:szCs w:val="24"/>
        </w:rPr>
        <w:t>CO may be referred to as the Authority throughout this document.</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82" w:name="_Toc368573029"/>
      <w:bookmarkStart w:id="83" w:name="_Toc522714836"/>
      <w:r w:rsidRPr="001A45DF">
        <w:rPr>
          <w:sz w:val="32"/>
          <w:szCs w:val="32"/>
        </w:rPr>
        <w:t>Background to requirement/OVERVIEW</w:t>
      </w:r>
      <w:bookmarkEnd w:id="79"/>
      <w:r w:rsidRPr="001A45DF">
        <w:rPr>
          <w:sz w:val="32"/>
          <w:szCs w:val="32"/>
        </w:rPr>
        <w:t xml:space="preserve"> of requirement</w:t>
      </w:r>
      <w:bookmarkEnd w:id="82"/>
      <w:bookmarkEnd w:id="83"/>
    </w:p>
    <w:p w14:paraId="72B396AB" w14:textId="261E4212" w:rsidR="00A31E05" w:rsidRPr="00A31E05" w:rsidRDefault="00A31E05" w:rsidP="00A31E05">
      <w:pPr>
        <w:pStyle w:val="Heading2"/>
        <w:rPr>
          <w:sz w:val="24"/>
          <w:szCs w:val="24"/>
        </w:rPr>
      </w:pPr>
      <w:bookmarkStart w:id="84" w:name="_Toc297554774"/>
      <w:bookmarkEnd w:id="80"/>
      <w:r w:rsidRPr="00A31E05">
        <w:rPr>
          <w:sz w:val="24"/>
          <w:szCs w:val="24"/>
        </w:rPr>
        <w:t xml:space="preserve">The </w:t>
      </w:r>
      <w:r w:rsidR="0012006C">
        <w:rPr>
          <w:sz w:val="24"/>
          <w:szCs w:val="24"/>
        </w:rPr>
        <w:t>A</w:t>
      </w:r>
      <w:r w:rsidRPr="00A31E05">
        <w:rPr>
          <w:sz w:val="24"/>
          <w:szCs w:val="24"/>
        </w:rPr>
        <w:t xml:space="preserve">uthority requires </w:t>
      </w:r>
      <w:r w:rsidR="00086CDA" w:rsidRPr="00A31E05">
        <w:rPr>
          <w:sz w:val="24"/>
          <w:szCs w:val="24"/>
        </w:rPr>
        <w:t>a</w:t>
      </w:r>
      <w:r w:rsidRPr="00A31E05">
        <w:rPr>
          <w:sz w:val="24"/>
          <w:szCs w:val="24"/>
        </w:rPr>
        <w:t xml:space="preserve"> </w:t>
      </w:r>
      <w:r w:rsidR="00086CDA">
        <w:rPr>
          <w:sz w:val="24"/>
          <w:szCs w:val="24"/>
        </w:rPr>
        <w:t>Supplier</w:t>
      </w:r>
      <w:r w:rsidRPr="00A31E05">
        <w:rPr>
          <w:sz w:val="24"/>
          <w:szCs w:val="24"/>
        </w:rPr>
        <w:t xml:space="preserve"> with experience and expertise in delivering all tasks required to design, plan and deliver research requirements for the duration of the contract.</w:t>
      </w:r>
    </w:p>
    <w:p w14:paraId="6EA801D9" w14:textId="77777777" w:rsidR="00A31E05" w:rsidRPr="00A31E05" w:rsidRDefault="00A31E05" w:rsidP="00A31E05">
      <w:pPr>
        <w:pStyle w:val="Heading2"/>
        <w:rPr>
          <w:sz w:val="24"/>
          <w:szCs w:val="24"/>
        </w:rPr>
      </w:pPr>
      <w:r w:rsidRPr="00A31E05">
        <w:rPr>
          <w:sz w:val="24"/>
          <w:szCs w:val="24"/>
        </w:rPr>
        <w:t>Identify segments in the UK population, based on attitudes towards national security and how they might respond to messaging, to inform targeting of campaigns and communications activity.</w:t>
      </w:r>
    </w:p>
    <w:p w14:paraId="5F60453E" w14:textId="2B496D86"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will be expected to have the capability to undertake research of international audiences, as well as domestic audiences in the UK.</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85" w:name="_Toc522714837"/>
      <w:bookmarkStart w:id="86" w:name="_Toc368573030"/>
      <w:r w:rsidRPr="001A45DF">
        <w:rPr>
          <w:sz w:val="32"/>
          <w:szCs w:val="32"/>
        </w:rPr>
        <w:lastRenderedPageBreak/>
        <w:t>definitions</w:t>
      </w:r>
      <w:bookmarkEnd w:id="85"/>
      <w:r w:rsidRPr="001A45DF">
        <w:rPr>
          <w:sz w:val="32"/>
          <w:szCs w:val="32"/>
        </w:rPr>
        <w:t xml:space="preserve"> </w:t>
      </w:r>
    </w:p>
    <w:tbl>
      <w:tblPr>
        <w:tblStyle w:val="TableGrid"/>
        <w:tblW w:w="0" w:type="auto"/>
        <w:tblInd w:w="720" w:type="dxa"/>
        <w:tblLook w:val="04A0" w:firstRow="1" w:lastRow="0" w:firstColumn="1" w:lastColumn="0" w:noHBand="0" w:noVBand="1"/>
      </w:tblPr>
      <w:tblGrid>
        <w:gridCol w:w="2028"/>
        <w:gridCol w:w="6271"/>
      </w:tblGrid>
      <w:tr w:rsidR="00106F24" w14:paraId="553CCD95" w14:textId="77777777" w:rsidTr="00E574B9">
        <w:tc>
          <w:tcPr>
            <w:tcW w:w="2028"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71"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082732" w14:paraId="7C71AE7F" w14:textId="77777777" w:rsidTr="00E574B9">
        <w:tc>
          <w:tcPr>
            <w:tcW w:w="2028" w:type="dxa"/>
          </w:tcPr>
          <w:p w14:paraId="0904CB47" w14:textId="5C69E0A7" w:rsidR="00082732" w:rsidRPr="00A31E05" w:rsidRDefault="00A31E05" w:rsidP="00082732">
            <w:pPr>
              <w:pStyle w:val="Heading2"/>
              <w:numPr>
                <w:ilvl w:val="0"/>
                <w:numId w:val="0"/>
              </w:numPr>
              <w:spacing w:after="120"/>
              <w:ind w:left="720" w:hanging="720"/>
              <w:outlineLvl w:val="1"/>
              <w:rPr>
                <w:sz w:val="24"/>
                <w:szCs w:val="24"/>
              </w:rPr>
            </w:pPr>
            <w:r w:rsidRPr="00A31E05">
              <w:rPr>
                <w:sz w:val="24"/>
                <w:szCs w:val="24"/>
              </w:rPr>
              <w:t>CO</w:t>
            </w:r>
          </w:p>
        </w:tc>
        <w:tc>
          <w:tcPr>
            <w:tcW w:w="6271" w:type="dxa"/>
          </w:tcPr>
          <w:p w14:paraId="17F711C7" w14:textId="1CE52E5B" w:rsidR="00082732" w:rsidRPr="001A45DF" w:rsidRDefault="00082732" w:rsidP="00A31E05">
            <w:pPr>
              <w:pStyle w:val="Heading2"/>
              <w:numPr>
                <w:ilvl w:val="0"/>
                <w:numId w:val="0"/>
              </w:numPr>
              <w:spacing w:after="120"/>
              <w:ind w:left="720" w:hanging="720"/>
              <w:outlineLvl w:val="1"/>
              <w:rPr>
                <w:sz w:val="24"/>
                <w:szCs w:val="24"/>
              </w:rPr>
            </w:pPr>
            <w:r w:rsidRPr="001A45DF">
              <w:rPr>
                <w:sz w:val="24"/>
                <w:szCs w:val="24"/>
              </w:rPr>
              <w:t xml:space="preserve">means </w:t>
            </w:r>
            <w:r w:rsidR="00A31E05" w:rsidRPr="00A31E05">
              <w:rPr>
                <w:sz w:val="24"/>
                <w:szCs w:val="24"/>
              </w:rPr>
              <w:t>Cabinet Office</w:t>
            </w:r>
          </w:p>
        </w:tc>
      </w:tr>
      <w:tr w:rsidR="00106F24" w14:paraId="03344AB3" w14:textId="77777777" w:rsidTr="00E574B9">
        <w:tc>
          <w:tcPr>
            <w:tcW w:w="2028" w:type="dxa"/>
          </w:tcPr>
          <w:p w14:paraId="0F046C88" w14:textId="364FCC40" w:rsidR="00106F24" w:rsidRPr="00A31E05" w:rsidRDefault="00A31E05" w:rsidP="0081061A">
            <w:pPr>
              <w:pStyle w:val="Heading2"/>
              <w:numPr>
                <w:ilvl w:val="0"/>
                <w:numId w:val="0"/>
              </w:numPr>
              <w:spacing w:after="120"/>
              <w:ind w:left="720" w:hanging="720"/>
              <w:outlineLvl w:val="1"/>
              <w:rPr>
                <w:sz w:val="24"/>
                <w:szCs w:val="24"/>
              </w:rPr>
            </w:pPr>
            <w:r w:rsidRPr="00A31E05">
              <w:rPr>
                <w:sz w:val="24"/>
                <w:szCs w:val="24"/>
              </w:rPr>
              <w:t>HMG</w:t>
            </w:r>
          </w:p>
        </w:tc>
        <w:tc>
          <w:tcPr>
            <w:tcW w:w="6271" w:type="dxa"/>
          </w:tcPr>
          <w:p w14:paraId="37C45D19" w14:textId="74954A20" w:rsidR="00106F24" w:rsidRPr="001A45DF" w:rsidRDefault="00F242C1" w:rsidP="00E24EE7">
            <w:pPr>
              <w:pStyle w:val="Heading2"/>
              <w:numPr>
                <w:ilvl w:val="0"/>
                <w:numId w:val="0"/>
              </w:numPr>
              <w:spacing w:after="120"/>
              <w:outlineLvl w:val="1"/>
              <w:rPr>
                <w:sz w:val="24"/>
                <w:szCs w:val="24"/>
                <w:highlight w:val="yellow"/>
              </w:rPr>
            </w:pPr>
            <w:r w:rsidRPr="001A45DF">
              <w:rPr>
                <w:sz w:val="24"/>
                <w:szCs w:val="24"/>
              </w:rPr>
              <w:t>means</w:t>
            </w:r>
            <w:r w:rsidRPr="00B76BB3">
              <w:rPr>
                <w:sz w:val="24"/>
                <w:szCs w:val="24"/>
              </w:rPr>
              <w:t xml:space="preserve"> </w:t>
            </w:r>
            <w:r w:rsidR="00A31E05">
              <w:rPr>
                <w:sz w:val="24"/>
                <w:szCs w:val="24"/>
              </w:rPr>
              <w:t>Her Majesty’s Government</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87" w:name="_Toc522714838"/>
      <w:r w:rsidRPr="001A45DF">
        <w:rPr>
          <w:sz w:val="32"/>
          <w:szCs w:val="32"/>
        </w:rPr>
        <w:t>scope of requirement</w:t>
      </w:r>
      <w:bookmarkEnd w:id="84"/>
      <w:bookmarkEnd w:id="86"/>
      <w:bookmarkEnd w:id="87"/>
      <w:r w:rsidRPr="001A45DF">
        <w:rPr>
          <w:sz w:val="32"/>
          <w:szCs w:val="32"/>
        </w:rPr>
        <w:t xml:space="preserve"> </w:t>
      </w:r>
    </w:p>
    <w:bookmarkEnd w:id="81"/>
    <w:p w14:paraId="542E52EF" w14:textId="660AF4B9" w:rsidR="00A31E05" w:rsidRPr="00A31E05" w:rsidRDefault="00A31E05" w:rsidP="00A31E05">
      <w:pPr>
        <w:pStyle w:val="Heading2"/>
        <w:rPr>
          <w:sz w:val="24"/>
          <w:szCs w:val="24"/>
        </w:rPr>
      </w:pPr>
      <w:r w:rsidRPr="00A31E05">
        <w:rPr>
          <w:sz w:val="24"/>
          <w:szCs w:val="24"/>
        </w:rPr>
        <w:t xml:space="preserve">The Statement of Requirements outlines the activities required to be delivered by the </w:t>
      </w:r>
      <w:r w:rsidR="00086CDA">
        <w:rPr>
          <w:sz w:val="24"/>
          <w:szCs w:val="24"/>
        </w:rPr>
        <w:t>Supplier</w:t>
      </w:r>
      <w:r w:rsidRPr="00A31E05">
        <w:rPr>
          <w:sz w:val="24"/>
          <w:szCs w:val="24"/>
        </w:rPr>
        <w:t>, to underpin national security strategic communications activities for the duration of the contract:</w:t>
      </w:r>
    </w:p>
    <w:p w14:paraId="2A0B138D" w14:textId="77777777" w:rsidR="00A31E05" w:rsidRPr="00A31E05" w:rsidRDefault="00A31E05" w:rsidP="00A31E05">
      <w:pPr>
        <w:pStyle w:val="Heading3"/>
        <w:rPr>
          <w:sz w:val="24"/>
          <w:szCs w:val="24"/>
        </w:rPr>
      </w:pPr>
      <w:bookmarkStart w:id="88" w:name="_Toc368573031"/>
      <w:bookmarkStart w:id="89" w:name="_Toc522714839"/>
      <w:r w:rsidRPr="00A31E05">
        <w:rPr>
          <w:sz w:val="24"/>
          <w:szCs w:val="24"/>
        </w:rPr>
        <w:t>Quantitative research</w:t>
      </w:r>
    </w:p>
    <w:p w14:paraId="05F9CB70" w14:textId="77777777" w:rsidR="00A31E05" w:rsidRPr="00A31E05" w:rsidRDefault="00A31E05" w:rsidP="00A31E05">
      <w:pPr>
        <w:pStyle w:val="Heading3"/>
        <w:rPr>
          <w:sz w:val="24"/>
          <w:szCs w:val="24"/>
        </w:rPr>
      </w:pPr>
      <w:r w:rsidRPr="00A31E05">
        <w:rPr>
          <w:sz w:val="24"/>
          <w:szCs w:val="24"/>
        </w:rPr>
        <w:t xml:space="preserve">Qualitative research </w:t>
      </w:r>
    </w:p>
    <w:p w14:paraId="5AFE388A" w14:textId="77777777" w:rsidR="00A31E05" w:rsidRPr="00A31E05" w:rsidRDefault="00A31E05" w:rsidP="00A31E05">
      <w:pPr>
        <w:pStyle w:val="Heading3"/>
        <w:rPr>
          <w:sz w:val="24"/>
          <w:szCs w:val="24"/>
        </w:rPr>
      </w:pPr>
      <w:r w:rsidRPr="00A31E05">
        <w:rPr>
          <w:sz w:val="24"/>
          <w:szCs w:val="24"/>
        </w:rPr>
        <w:t xml:space="preserve">Audience segmentation </w:t>
      </w:r>
    </w:p>
    <w:p w14:paraId="65CBF074" w14:textId="77777777" w:rsidR="00A31E05" w:rsidRPr="00A31E05" w:rsidRDefault="00A31E05" w:rsidP="00A31E05">
      <w:pPr>
        <w:pStyle w:val="Heading3"/>
        <w:rPr>
          <w:sz w:val="24"/>
          <w:szCs w:val="24"/>
        </w:rPr>
      </w:pPr>
      <w:r w:rsidRPr="00A31E05">
        <w:rPr>
          <w:sz w:val="24"/>
          <w:szCs w:val="24"/>
        </w:rPr>
        <w:t xml:space="preserve">Statistical analysis </w:t>
      </w:r>
    </w:p>
    <w:p w14:paraId="5BD488AD" w14:textId="77777777" w:rsidR="00A31E05" w:rsidRPr="00A31E05" w:rsidRDefault="00A31E05" w:rsidP="00A31E05">
      <w:pPr>
        <w:pStyle w:val="Heading3"/>
        <w:rPr>
          <w:sz w:val="24"/>
          <w:szCs w:val="24"/>
        </w:rPr>
      </w:pPr>
      <w:r w:rsidRPr="00A31E05">
        <w:rPr>
          <w:sz w:val="24"/>
          <w:szCs w:val="24"/>
        </w:rPr>
        <w:t>Methodological expertise</w:t>
      </w:r>
    </w:p>
    <w:p w14:paraId="038C3C54" w14:textId="20CDDA20" w:rsidR="00A31E05" w:rsidRDefault="00A31E05" w:rsidP="00A31E05">
      <w:pPr>
        <w:pStyle w:val="Heading3"/>
        <w:rPr>
          <w:sz w:val="24"/>
          <w:szCs w:val="24"/>
        </w:rPr>
      </w:pPr>
      <w:r w:rsidRPr="00A31E05">
        <w:rPr>
          <w:sz w:val="24"/>
          <w:szCs w:val="24"/>
        </w:rPr>
        <w:t xml:space="preserve">Data visualisation </w:t>
      </w:r>
    </w:p>
    <w:p w14:paraId="2E5315BF" w14:textId="411924FC" w:rsidR="00A31E05" w:rsidRPr="00A31E05" w:rsidRDefault="00A31E05" w:rsidP="00A31E05">
      <w:pPr>
        <w:pStyle w:val="Heading2"/>
        <w:rPr>
          <w:sz w:val="24"/>
        </w:rPr>
      </w:pPr>
      <w:r w:rsidRPr="00A31E05">
        <w:rPr>
          <w:sz w:val="24"/>
        </w:rPr>
        <w:t xml:space="preserve">The </w:t>
      </w:r>
      <w:r w:rsidR="00086CDA">
        <w:rPr>
          <w:sz w:val="24"/>
        </w:rPr>
        <w:t>Supplier</w:t>
      </w:r>
      <w:r w:rsidRPr="00A31E05">
        <w:rPr>
          <w:sz w:val="24"/>
        </w:rPr>
        <w:t xml:space="preserve"> must have the </w:t>
      </w:r>
      <w:r w:rsidRPr="00C46A3A">
        <w:rPr>
          <w:sz w:val="24"/>
        </w:rPr>
        <w:t xml:space="preserve">essential expertise and </w:t>
      </w:r>
      <w:r w:rsidR="00A40C41" w:rsidRPr="00C46A3A">
        <w:rPr>
          <w:sz w:val="24"/>
        </w:rPr>
        <w:t>research</w:t>
      </w:r>
      <w:r w:rsidRPr="00C46A3A">
        <w:rPr>
          <w:sz w:val="24"/>
        </w:rPr>
        <w:t xml:space="preserve"> capability necessary to effectively deliver </w:t>
      </w:r>
      <w:r w:rsidR="00E574B9" w:rsidRPr="00C46A3A">
        <w:rPr>
          <w:sz w:val="24"/>
        </w:rPr>
        <w:t xml:space="preserve">research services. </w:t>
      </w:r>
      <w:r w:rsidRPr="00C46A3A">
        <w:rPr>
          <w:sz w:val="24"/>
        </w:rPr>
        <w:t>This</w:t>
      </w:r>
      <w:r w:rsidRPr="00A31E05">
        <w:rPr>
          <w:sz w:val="24"/>
        </w:rPr>
        <w:t xml:space="preserve"> includes the following key elements:</w:t>
      </w:r>
    </w:p>
    <w:p w14:paraId="2CE3B19D" w14:textId="03E95E03" w:rsidR="00A31E05" w:rsidRPr="00A31E05" w:rsidRDefault="00A31E05" w:rsidP="00A31E05">
      <w:pPr>
        <w:pStyle w:val="Heading3"/>
        <w:rPr>
          <w:sz w:val="24"/>
        </w:rPr>
      </w:pPr>
      <w:r w:rsidRPr="00A31E05">
        <w:rPr>
          <w:sz w:val="24"/>
        </w:rPr>
        <w:t xml:space="preserve">Identify key UK and international audiences and their attributes through quantitative and qualitative methods, including geographical location, media habits and key targeting channels to facilitate strategic communications mapping. </w:t>
      </w:r>
    </w:p>
    <w:p w14:paraId="4CED7EB7" w14:textId="77777777" w:rsidR="00A31E05" w:rsidRPr="00A31E05" w:rsidRDefault="00A31E05" w:rsidP="00A31E05">
      <w:pPr>
        <w:pStyle w:val="Heading3"/>
        <w:rPr>
          <w:sz w:val="24"/>
        </w:rPr>
      </w:pPr>
      <w:r w:rsidRPr="00A31E05">
        <w:rPr>
          <w:sz w:val="24"/>
        </w:rPr>
        <w:t>Provide situational understanding of the problem set, geography or policy area to inform strategic development.</w:t>
      </w:r>
    </w:p>
    <w:p w14:paraId="4E23032D" w14:textId="77777777" w:rsidR="00A31E05" w:rsidRPr="00A31E05" w:rsidRDefault="00A31E05" w:rsidP="00A31E05">
      <w:pPr>
        <w:pStyle w:val="Heading3"/>
        <w:rPr>
          <w:sz w:val="24"/>
        </w:rPr>
      </w:pPr>
      <w:r w:rsidRPr="00A31E05">
        <w:rPr>
          <w:sz w:val="24"/>
        </w:rPr>
        <w:t>Conduct pre-campaign testing on materials, strategic approaches and messengers to ensure strategic communications efficacy.</w:t>
      </w:r>
    </w:p>
    <w:p w14:paraId="303DC73D" w14:textId="77777777" w:rsidR="00A31E05" w:rsidRPr="00A31E05" w:rsidRDefault="00A31E05" w:rsidP="00A31E05">
      <w:pPr>
        <w:pStyle w:val="Heading3"/>
        <w:rPr>
          <w:sz w:val="24"/>
        </w:rPr>
      </w:pPr>
      <w:r w:rsidRPr="00A31E05">
        <w:rPr>
          <w:sz w:val="24"/>
        </w:rPr>
        <w:t xml:space="preserve">Provide post-campaign evaluation to evidence impact of communications </w:t>
      </w:r>
    </w:p>
    <w:p w14:paraId="71C9D38E" w14:textId="77777777" w:rsidR="00237E27" w:rsidRPr="00237E27" w:rsidRDefault="00237E27" w:rsidP="00237E27">
      <w:pPr>
        <w:pStyle w:val="Heading2"/>
        <w:rPr>
          <w:sz w:val="24"/>
        </w:rPr>
      </w:pPr>
      <w:r w:rsidRPr="00237E27">
        <w:rPr>
          <w:sz w:val="24"/>
        </w:rPr>
        <w:t>As part of your proposal to deliver this requirement you will need to identify if there are any elements of the planned work which you propose to subcontract. Your response must include the details of the subcontracting entities, cost transparency and how subcontractors will be managed to ensure that the delivery timetable is met.</w:t>
      </w:r>
    </w:p>
    <w:p w14:paraId="3491B80B" w14:textId="77777777" w:rsidR="00671798" w:rsidRPr="001A45DF" w:rsidRDefault="00FE18AC">
      <w:pPr>
        <w:pStyle w:val="Heading1"/>
        <w:spacing w:after="120"/>
        <w:rPr>
          <w:sz w:val="32"/>
          <w:szCs w:val="32"/>
        </w:rPr>
      </w:pPr>
      <w:r w:rsidRPr="001A45DF">
        <w:rPr>
          <w:sz w:val="32"/>
          <w:szCs w:val="32"/>
        </w:rPr>
        <w:lastRenderedPageBreak/>
        <w:t>The requirement</w:t>
      </w:r>
      <w:bookmarkEnd w:id="88"/>
      <w:bookmarkEnd w:id="89"/>
    </w:p>
    <w:p w14:paraId="561A186C" w14:textId="26CE9E17" w:rsidR="00086CDA" w:rsidRPr="00086CDA" w:rsidRDefault="00086CDA" w:rsidP="00086CDA">
      <w:pPr>
        <w:pStyle w:val="Heading2"/>
        <w:rPr>
          <w:sz w:val="24"/>
        </w:rPr>
      </w:pPr>
      <w:r w:rsidRPr="00086CDA">
        <w:rPr>
          <w:sz w:val="24"/>
        </w:rPr>
        <w:t>The call-off contract will be for sixteen (16) months with the option to extend for a further 12 months (6 + 6).  The maximum contract value is £600,000.00</w:t>
      </w:r>
      <w:r w:rsidR="002D3C12">
        <w:rPr>
          <w:sz w:val="24"/>
        </w:rPr>
        <w:t xml:space="preserve"> (ex VAT)</w:t>
      </w:r>
      <w:r w:rsidRPr="00086CDA">
        <w:rPr>
          <w:sz w:val="24"/>
        </w:rPr>
        <w:t>. The value is £400,000.00</w:t>
      </w:r>
      <w:r w:rsidR="002D3C12">
        <w:rPr>
          <w:sz w:val="24"/>
        </w:rPr>
        <w:t xml:space="preserve"> (ex VAT)</w:t>
      </w:r>
      <w:r w:rsidRPr="00086CDA">
        <w:rPr>
          <w:sz w:val="24"/>
        </w:rPr>
        <w:t xml:space="preserve"> for the initial term of the contract. A potential £200,000.00</w:t>
      </w:r>
      <w:r w:rsidR="002D3C12">
        <w:rPr>
          <w:sz w:val="24"/>
        </w:rPr>
        <w:t xml:space="preserve"> (ex VAT)</w:t>
      </w:r>
      <w:r w:rsidRPr="00086CDA">
        <w:rPr>
          <w:sz w:val="24"/>
        </w:rPr>
        <w:t xml:space="preserve"> may be available, subject to further budgetary approval. This is a Call Off Contract and as such the Contracting Authority reserve the right to spend all of the budget. </w:t>
      </w:r>
    </w:p>
    <w:p w14:paraId="2FE56168" w14:textId="403268AD" w:rsidR="00A31E05" w:rsidRDefault="00A31E05" w:rsidP="00A31E05">
      <w:pPr>
        <w:pStyle w:val="Heading2"/>
        <w:rPr>
          <w:sz w:val="24"/>
        </w:rPr>
      </w:pPr>
      <w:r w:rsidRPr="00A31E05">
        <w:rPr>
          <w:sz w:val="24"/>
        </w:rPr>
        <w:t xml:space="preserve">The Contract should also enable the Authority to quickly commission ad-hoc research which may need to delivered at pace. The </w:t>
      </w:r>
      <w:r w:rsidR="00086CDA">
        <w:rPr>
          <w:sz w:val="24"/>
        </w:rPr>
        <w:t>Supplier</w:t>
      </w:r>
      <w:r w:rsidRPr="00A31E05">
        <w:rPr>
          <w:sz w:val="24"/>
        </w:rPr>
        <w:t xml:space="preserve"> will be expected to respond to ad-hoc research requirements within 72 hours of commission with a quotation, feasibility assessment and suggested timeline of activity, with the commission to begin within a week of CO accepting the response. </w:t>
      </w:r>
    </w:p>
    <w:p w14:paraId="1F6AD3EE" w14:textId="6D566621" w:rsidR="00A31E05" w:rsidRPr="00A31E05" w:rsidRDefault="00A31E05" w:rsidP="00A31E05">
      <w:pPr>
        <w:pStyle w:val="Heading2"/>
        <w:rPr>
          <w:sz w:val="24"/>
        </w:rPr>
      </w:pPr>
      <w:r w:rsidRPr="00A31E05">
        <w:rPr>
          <w:sz w:val="24"/>
        </w:rPr>
        <w:t xml:space="preserve">The </w:t>
      </w:r>
      <w:r w:rsidR="00086CDA">
        <w:rPr>
          <w:sz w:val="24"/>
        </w:rPr>
        <w:t>Supplier</w:t>
      </w:r>
      <w:r w:rsidRPr="00A31E05">
        <w:rPr>
          <w:sz w:val="24"/>
        </w:rPr>
        <w:t xml:space="preserve"> will be expected to undertake research for UK and international audiences.</w:t>
      </w:r>
    </w:p>
    <w:p w14:paraId="35734D9E" w14:textId="766A4F2B" w:rsidR="00671798" w:rsidRPr="001A45DF" w:rsidRDefault="00FE18AC">
      <w:pPr>
        <w:pStyle w:val="Heading1"/>
        <w:spacing w:after="120"/>
        <w:rPr>
          <w:sz w:val="32"/>
          <w:szCs w:val="32"/>
        </w:rPr>
      </w:pPr>
      <w:bookmarkStart w:id="90" w:name="_Toc368573032"/>
      <w:bookmarkStart w:id="91" w:name="_Toc522714840"/>
      <w:r w:rsidRPr="001A45DF">
        <w:rPr>
          <w:sz w:val="32"/>
          <w:szCs w:val="32"/>
        </w:rPr>
        <w:t>key milestones</w:t>
      </w:r>
      <w:bookmarkEnd w:id="90"/>
      <w:r w:rsidR="00F0311A" w:rsidRPr="001A45DF">
        <w:rPr>
          <w:sz w:val="32"/>
          <w:szCs w:val="32"/>
        </w:rPr>
        <w:t xml:space="preserve"> and Deliverables</w:t>
      </w:r>
      <w:bookmarkEnd w:id="91"/>
    </w:p>
    <w:p w14:paraId="14A6C554" w14:textId="52DD9542" w:rsidR="00A31E05" w:rsidRPr="00A31E05" w:rsidRDefault="00A31E05" w:rsidP="00A31E05">
      <w:pPr>
        <w:pStyle w:val="Heading2"/>
        <w:rPr>
          <w:sz w:val="24"/>
          <w:szCs w:val="24"/>
        </w:rPr>
      </w:pPr>
      <w:r w:rsidRPr="00A31E05">
        <w:rPr>
          <w:sz w:val="24"/>
          <w:szCs w:val="24"/>
        </w:rPr>
        <w:t xml:space="preserve">Key milestones will be set for individual briefs. The successful </w:t>
      </w:r>
      <w:r w:rsidR="00086CDA">
        <w:rPr>
          <w:sz w:val="24"/>
          <w:szCs w:val="24"/>
        </w:rPr>
        <w:t>Supplier</w:t>
      </w:r>
      <w:r w:rsidRPr="00A31E05">
        <w:rPr>
          <w:sz w:val="24"/>
          <w:szCs w:val="24"/>
        </w:rPr>
        <w:t xml:space="preserve"> will be expected to be capable of providing substantive initial responses within tight turn-around periods where required.  </w:t>
      </w:r>
    </w:p>
    <w:p w14:paraId="4D0E0CBA" w14:textId="18CAC30E" w:rsidR="00FE18AC" w:rsidRPr="001A45DF" w:rsidRDefault="00F937C4" w:rsidP="00086CDA">
      <w:pPr>
        <w:pStyle w:val="Heading2"/>
      </w:pPr>
      <w:r w:rsidRPr="00086CDA">
        <w:rPr>
          <w:sz w:val="24"/>
        </w:rPr>
        <w:t>The following Contract</w:t>
      </w:r>
      <w:r w:rsidR="00A57B4E" w:rsidRPr="00086CDA">
        <w:rPr>
          <w:sz w:val="24"/>
        </w:rPr>
        <w:t xml:space="preserve"> milestones</w:t>
      </w:r>
      <w:r w:rsidR="00F0311A" w:rsidRPr="00086CDA">
        <w:rPr>
          <w:sz w:val="24"/>
        </w:rPr>
        <w:t>/deliverables</w:t>
      </w:r>
      <w:r w:rsidRPr="00086CDA">
        <w:rPr>
          <w:sz w:val="24"/>
        </w:rPr>
        <w:t xml:space="preserve"> shall apply</w:t>
      </w:r>
      <w:r w:rsidR="00D17764" w:rsidRPr="001A45DF">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2C0A45">
        <w:tc>
          <w:tcPr>
            <w:tcW w:w="898"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480"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622"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1A45DF" w14:paraId="2B6EAC37" w14:textId="77777777" w:rsidTr="00E245A6">
        <w:tc>
          <w:tcPr>
            <w:tcW w:w="898" w:type="pct"/>
            <w:vAlign w:val="center"/>
          </w:tcPr>
          <w:p w14:paraId="13176D62" w14:textId="5FDB8561" w:rsidR="00671798" w:rsidRPr="00A31E05" w:rsidRDefault="00E43E82">
            <w:pPr>
              <w:pStyle w:val="Heading3"/>
              <w:numPr>
                <w:ilvl w:val="0"/>
                <w:numId w:val="0"/>
              </w:numPr>
              <w:spacing w:after="120"/>
              <w:jc w:val="center"/>
              <w:outlineLvl w:val="2"/>
              <w:rPr>
                <w:sz w:val="24"/>
                <w:szCs w:val="24"/>
              </w:rPr>
            </w:pPr>
            <w:r w:rsidRPr="00A31E05">
              <w:rPr>
                <w:sz w:val="24"/>
                <w:szCs w:val="24"/>
              </w:rPr>
              <w:t>1</w:t>
            </w:r>
          </w:p>
        </w:tc>
        <w:tc>
          <w:tcPr>
            <w:tcW w:w="2480" w:type="pct"/>
            <w:vAlign w:val="center"/>
          </w:tcPr>
          <w:p w14:paraId="04CC1243" w14:textId="77E3401B" w:rsidR="00671798" w:rsidRPr="00A31E05" w:rsidRDefault="00A31E05" w:rsidP="00CD38F0">
            <w:pPr>
              <w:pStyle w:val="Heading3"/>
              <w:numPr>
                <w:ilvl w:val="0"/>
                <w:numId w:val="0"/>
              </w:numPr>
              <w:spacing w:after="120"/>
              <w:jc w:val="left"/>
              <w:outlineLvl w:val="2"/>
              <w:rPr>
                <w:sz w:val="24"/>
                <w:szCs w:val="24"/>
              </w:rPr>
            </w:pPr>
            <w:r w:rsidRPr="00A31E05">
              <w:rPr>
                <w:b/>
                <w:sz w:val="24"/>
                <w:szCs w:val="24"/>
              </w:rPr>
              <w:t>Contract inception meeting</w:t>
            </w:r>
            <w:r w:rsidRPr="00A31E05">
              <w:rPr>
                <w:sz w:val="24"/>
                <w:szCs w:val="24"/>
              </w:rPr>
              <w:t>: with the Contract Manager and wider communications campaigns teams</w:t>
            </w:r>
          </w:p>
        </w:tc>
        <w:tc>
          <w:tcPr>
            <w:tcW w:w="1622" w:type="pct"/>
            <w:vAlign w:val="center"/>
          </w:tcPr>
          <w:p w14:paraId="23E536A9" w14:textId="641F3DC6" w:rsidR="00671798" w:rsidRPr="00A31E05" w:rsidRDefault="00FE18AC" w:rsidP="00F0311A">
            <w:pPr>
              <w:pStyle w:val="Heading3"/>
              <w:numPr>
                <w:ilvl w:val="0"/>
                <w:numId w:val="0"/>
              </w:numPr>
              <w:spacing w:after="120"/>
              <w:jc w:val="center"/>
              <w:outlineLvl w:val="2"/>
              <w:rPr>
                <w:sz w:val="24"/>
                <w:szCs w:val="24"/>
              </w:rPr>
            </w:pPr>
            <w:r w:rsidRPr="00A31E05">
              <w:rPr>
                <w:sz w:val="24"/>
                <w:szCs w:val="24"/>
              </w:rPr>
              <w:t>Within week 1 of Contract Award</w:t>
            </w:r>
            <w:r w:rsidR="00F0311A" w:rsidRPr="00A31E05">
              <w:rPr>
                <w:sz w:val="24"/>
                <w:szCs w:val="24"/>
              </w:rPr>
              <w:t xml:space="preserve"> </w:t>
            </w:r>
          </w:p>
        </w:tc>
      </w:tr>
      <w:tr w:rsidR="00FE18AC" w:rsidRPr="001A45DF" w14:paraId="16F113EC" w14:textId="77777777" w:rsidTr="00E245A6">
        <w:tc>
          <w:tcPr>
            <w:tcW w:w="898" w:type="pct"/>
            <w:vAlign w:val="center"/>
          </w:tcPr>
          <w:p w14:paraId="4FD18402" w14:textId="658C269B" w:rsidR="00671798" w:rsidRPr="00A31E05" w:rsidRDefault="00E43E82">
            <w:pPr>
              <w:pStyle w:val="Heading3"/>
              <w:numPr>
                <w:ilvl w:val="0"/>
                <w:numId w:val="0"/>
              </w:numPr>
              <w:spacing w:after="120"/>
              <w:jc w:val="center"/>
              <w:outlineLvl w:val="2"/>
              <w:rPr>
                <w:sz w:val="24"/>
                <w:szCs w:val="24"/>
              </w:rPr>
            </w:pPr>
            <w:r w:rsidRPr="00A31E05">
              <w:rPr>
                <w:sz w:val="24"/>
                <w:szCs w:val="24"/>
              </w:rPr>
              <w:t>2</w:t>
            </w:r>
          </w:p>
        </w:tc>
        <w:tc>
          <w:tcPr>
            <w:tcW w:w="2480" w:type="pct"/>
            <w:vAlign w:val="center"/>
          </w:tcPr>
          <w:p w14:paraId="33C22C40" w14:textId="74659646" w:rsidR="00671798" w:rsidRPr="001A45DF" w:rsidRDefault="00A31E05" w:rsidP="00F0311A">
            <w:pPr>
              <w:pStyle w:val="Heading3"/>
              <w:numPr>
                <w:ilvl w:val="0"/>
                <w:numId w:val="0"/>
              </w:numPr>
              <w:spacing w:after="120"/>
              <w:jc w:val="left"/>
              <w:outlineLvl w:val="2"/>
              <w:rPr>
                <w:sz w:val="24"/>
                <w:szCs w:val="24"/>
                <w:highlight w:val="yellow"/>
              </w:rPr>
            </w:pPr>
            <w:r w:rsidRPr="00A31E05">
              <w:rPr>
                <w:b/>
                <w:sz w:val="24"/>
                <w:szCs w:val="24"/>
              </w:rPr>
              <w:t>Operational reporting</w:t>
            </w:r>
            <w:r w:rsidRPr="00A31E05">
              <w:rPr>
                <w:sz w:val="24"/>
                <w:szCs w:val="24"/>
              </w:rPr>
              <w:t xml:space="preserve"> on spend and delivery on each project (exact format to be established during the mobilisation period and may vary across different projects)</w:t>
            </w:r>
          </w:p>
        </w:tc>
        <w:tc>
          <w:tcPr>
            <w:tcW w:w="1622" w:type="pct"/>
            <w:vAlign w:val="center"/>
          </w:tcPr>
          <w:p w14:paraId="3B285FD4" w14:textId="48D5BF34" w:rsidR="00671798" w:rsidRPr="001A45DF" w:rsidRDefault="00A31E05">
            <w:pPr>
              <w:pStyle w:val="Heading3"/>
              <w:numPr>
                <w:ilvl w:val="0"/>
                <w:numId w:val="0"/>
              </w:numPr>
              <w:spacing w:after="120"/>
              <w:jc w:val="center"/>
              <w:outlineLvl w:val="2"/>
              <w:rPr>
                <w:sz w:val="24"/>
                <w:szCs w:val="24"/>
                <w:highlight w:val="yellow"/>
              </w:rPr>
            </w:pPr>
            <w:r w:rsidRPr="00A31E05">
              <w:rPr>
                <w:sz w:val="24"/>
                <w:szCs w:val="24"/>
              </w:rPr>
              <w:t>Monthly</w:t>
            </w:r>
          </w:p>
        </w:tc>
      </w:tr>
      <w:tr w:rsidR="00FE18AC" w:rsidRPr="001A45DF" w14:paraId="3FD394DC" w14:textId="77777777" w:rsidTr="00E245A6">
        <w:tc>
          <w:tcPr>
            <w:tcW w:w="898" w:type="pct"/>
            <w:vAlign w:val="center"/>
          </w:tcPr>
          <w:p w14:paraId="3995F849" w14:textId="66C20FD6" w:rsidR="00671798" w:rsidRPr="00A31E05" w:rsidRDefault="00E43E82">
            <w:pPr>
              <w:pStyle w:val="Heading3"/>
              <w:numPr>
                <w:ilvl w:val="0"/>
                <w:numId w:val="0"/>
              </w:numPr>
              <w:spacing w:after="120"/>
              <w:jc w:val="center"/>
              <w:outlineLvl w:val="2"/>
              <w:rPr>
                <w:sz w:val="24"/>
                <w:szCs w:val="24"/>
              </w:rPr>
            </w:pPr>
            <w:r w:rsidRPr="00A31E05">
              <w:rPr>
                <w:sz w:val="24"/>
                <w:szCs w:val="24"/>
              </w:rPr>
              <w:t>3</w:t>
            </w:r>
          </w:p>
        </w:tc>
        <w:tc>
          <w:tcPr>
            <w:tcW w:w="2480" w:type="pct"/>
            <w:vAlign w:val="center"/>
          </w:tcPr>
          <w:p w14:paraId="4962E129" w14:textId="273809EA" w:rsidR="00671798" w:rsidRPr="00A31E05" w:rsidRDefault="00A31E05">
            <w:pPr>
              <w:pStyle w:val="Heading3"/>
              <w:numPr>
                <w:ilvl w:val="0"/>
                <w:numId w:val="0"/>
              </w:numPr>
              <w:spacing w:after="120"/>
              <w:jc w:val="left"/>
              <w:outlineLvl w:val="2"/>
              <w:rPr>
                <w:sz w:val="24"/>
                <w:szCs w:val="24"/>
              </w:rPr>
            </w:pPr>
            <w:r w:rsidRPr="00A31E05">
              <w:rPr>
                <w:b/>
                <w:sz w:val="24"/>
                <w:szCs w:val="24"/>
              </w:rPr>
              <w:t>Contract review meetings</w:t>
            </w:r>
            <w:r w:rsidRPr="00A31E05">
              <w:rPr>
                <w:sz w:val="24"/>
                <w:szCs w:val="24"/>
              </w:rPr>
              <w:t xml:space="preserve"> to be attended by the </w:t>
            </w:r>
            <w:r w:rsidR="00086CDA">
              <w:rPr>
                <w:sz w:val="24"/>
                <w:szCs w:val="24"/>
              </w:rPr>
              <w:t>Supplier</w:t>
            </w:r>
            <w:r w:rsidRPr="00A31E05">
              <w:rPr>
                <w:sz w:val="24"/>
                <w:szCs w:val="24"/>
              </w:rPr>
              <w:t>’s key staff</w:t>
            </w:r>
          </w:p>
        </w:tc>
        <w:tc>
          <w:tcPr>
            <w:tcW w:w="1622" w:type="pct"/>
            <w:vAlign w:val="center"/>
          </w:tcPr>
          <w:p w14:paraId="7164B729" w14:textId="5BA4C678" w:rsidR="00671798" w:rsidRPr="00A31E05" w:rsidRDefault="00A31E05">
            <w:pPr>
              <w:pStyle w:val="Heading3"/>
              <w:numPr>
                <w:ilvl w:val="0"/>
                <w:numId w:val="0"/>
              </w:numPr>
              <w:spacing w:after="120"/>
              <w:jc w:val="center"/>
              <w:outlineLvl w:val="2"/>
              <w:rPr>
                <w:sz w:val="24"/>
                <w:szCs w:val="24"/>
              </w:rPr>
            </w:pPr>
            <w:r w:rsidRPr="00A31E05">
              <w:rPr>
                <w:sz w:val="24"/>
                <w:szCs w:val="24"/>
              </w:rPr>
              <w:t>Quarterly</w:t>
            </w:r>
          </w:p>
        </w:tc>
      </w:tr>
      <w:tr w:rsidR="00FE18AC" w:rsidRPr="001A45DF" w14:paraId="6A3230F6" w14:textId="77777777" w:rsidTr="00E245A6">
        <w:tc>
          <w:tcPr>
            <w:tcW w:w="898" w:type="pct"/>
            <w:vAlign w:val="center"/>
          </w:tcPr>
          <w:p w14:paraId="3302843B" w14:textId="46810D5D" w:rsidR="00671798" w:rsidRPr="00A31E05" w:rsidRDefault="00E43E82">
            <w:pPr>
              <w:pStyle w:val="Heading3"/>
              <w:numPr>
                <w:ilvl w:val="0"/>
                <w:numId w:val="0"/>
              </w:numPr>
              <w:spacing w:after="120"/>
              <w:jc w:val="center"/>
              <w:outlineLvl w:val="2"/>
              <w:rPr>
                <w:sz w:val="24"/>
                <w:szCs w:val="24"/>
              </w:rPr>
            </w:pPr>
            <w:r w:rsidRPr="00A31E05">
              <w:rPr>
                <w:sz w:val="24"/>
                <w:szCs w:val="24"/>
              </w:rPr>
              <w:t>4</w:t>
            </w:r>
          </w:p>
        </w:tc>
        <w:tc>
          <w:tcPr>
            <w:tcW w:w="2480" w:type="pct"/>
            <w:vAlign w:val="center"/>
          </w:tcPr>
          <w:p w14:paraId="029789C7" w14:textId="302EB5F2" w:rsidR="00671798" w:rsidRPr="00A31E05" w:rsidRDefault="00A31E05">
            <w:pPr>
              <w:pStyle w:val="Heading3"/>
              <w:numPr>
                <w:ilvl w:val="0"/>
                <w:numId w:val="0"/>
              </w:numPr>
              <w:spacing w:after="120"/>
              <w:jc w:val="left"/>
              <w:outlineLvl w:val="2"/>
              <w:rPr>
                <w:sz w:val="24"/>
                <w:szCs w:val="24"/>
              </w:rPr>
            </w:pPr>
            <w:r w:rsidRPr="00A31E05">
              <w:rPr>
                <w:b/>
                <w:sz w:val="24"/>
                <w:szCs w:val="24"/>
              </w:rPr>
              <w:t>Responding to requirements at pace</w:t>
            </w:r>
            <w:r w:rsidRPr="00A31E05">
              <w:rPr>
                <w:sz w:val="24"/>
                <w:szCs w:val="24"/>
              </w:rPr>
              <w:t>: delivery of research requests as agreed during the commissioning process.</w:t>
            </w:r>
          </w:p>
        </w:tc>
        <w:tc>
          <w:tcPr>
            <w:tcW w:w="1622" w:type="pct"/>
            <w:vAlign w:val="center"/>
          </w:tcPr>
          <w:p w14:paraId="0A8D4F91" w14:textId="7E3D5A2B" w:rsidR="00671798" w:rsidRPr="001A45DF" w:rsidRDefault="00A31E05">
            <w:pPr>
              <w:pStyle w:val="Heading3"/>
              <w:numPr>
                <w:ilvl w:val="0"/>
                <w:numId w:val="0"/>
              </w:numPr>
              <w:spacing w:after="120"/>
              <w:jc w:val="center"/>
              <w:outlineLvl w:val="2"/>
              <w:rPr>
                <w:sz w:val="24"/>
                <w:szCs w:val="24"/>
              </w:rPr>
            </w:pPr>
            <w:r w:rsidRPr="00A31E05">
              <w:rPr>
                <w:sz w:val="24"/>
                <w:szCs w:val="24"/>
              </w:rPr>
              <w:t>Response within 72 hours of commission, commencing delivery within 1 week</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92"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3" w:name="_Toc368573033"/>
      <w:bookmarkStart w:id="94" w:name="_Toc522714841"/>
      <w:r w:rsidRPr="001A45DF">
        <w:rPr>
          <w:rFonts w:cs="Arial"/>
          <w:sz w:val="32"/>
          <w:szCs w:val="32"/>
        </w:rPr>
        <w:t>MANAGEMENT INFORMATION/</w:t>
      </w:r>
      <w:r w:rsidR="00FE18AC" w:rsidRPr="001A45DF">
        <w:rPr>
          <w:rFonts w:cs="Arial"/>
          <w:sz w:val="32"/>
          <w:szCs w:val="32"/>
        </w:rPr>
        <w:t>reporting</w:t>
      </w:r>
      <w:bookmarkEnd w:id="93"/>
      <w:bookmarkEnd w:id="94"/>
    </w:p>
    <w:p w14:paraId="7E6B7FD2" w14:textId="77777777" w:rsidR="00A31E05" w:rsidRPr="00A31E05" w:rsidRDefault="00A31E05" w:rsidP="00A31E05">
      <w:pPr>
        <w:pStyle w:val="Heading2"/>
        <w:rPr>
          <w:sz w:val="24"/>
          <w:szCs w:val="24"/>
        </w:rPr>
      </w:pPr>
      <w:r w:rsidRPr="00A31E05">
        <w:rPr>
          <w:sz w:val="24"/>
          <w:szCs w:val="24"/>
        </w:rPr>
        <w:t>The Authority expects the following management information and reporting:</w:t>
      </w:r>
    </w:p>
    <w:p w14:paraId="1170731F" w14:textId="77777777" w:rsidR="00A31E05" w:rsidRPr="00A31E05" w:rsidRDefault="00A31E05" w:rsidP="00A31E05">
      <w:pPr>
        <w:pStyle w:val="Heading3"/>
        <w:rPr>
          <w:sz w:val="24"/>
        </w:rPr>
      </w:pPr>
      <w:r w:rsidRPr="00A31E05">
        <w:rPr>
          <w:sz w:val="24"/>
        </w:rPr>
        <w:t>Monthly spend and progress report and work package management meeting (exact format to be agreed through the mobilisation period)</w:t>
      </w:r>
    </w:p>
    <w:p w14:paraId="52C42F20" w14:textId="228747F6" w:rsidR="00A31E05" w:rsidRPr="00A31E05" w:rsidRDefault="00A31E05" w:rsidP="00A31E05">
      <w:pPr>
        <w:pStyle w:val="Heading3"/>
        <w:rPr>
          <w:sz w:val="24"/>
        </w:rPr>
      </w:pPr>
      <w:r w:rsidRPr="00A31E05">
        <w:rPr>
          <w:sz w:val="24"/>
        </w:rPr>
        <w:t xml:space="preserve">Quarterly contracts management meetings, including detailed progress report against milestones and forecast cost (exact format to be agreed through the mobilisation period)  </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5" w:name="_Toc368573034"/>
      <w:bookmarkStart w:id="96" w:name="_Toc522714842"/>
      <w:r w:rsidRPr="001A45DF">
        <w:rPr>
          <w:rFonts w:cs="Arial"/>
          <w:sz w:val="32"/>
          <w:szCs w:val="32"/>
        </w:rPr>
        <w:t>volumes</w:t>
      </w:r>
      <w:bookmarkEnd w:id="95"/>
      <w:bookmarkEnd w:id="96"/>
    </w:p>
    <w:p w14:paraId="2C73AC86" w14:textId="5F09CBFC" w:rsidR="00A31E05" w:rsidRPr="00086CDA" w:rsidRDefault="00A31E05" w:rsidP="00086CDA">
      <w:pPr>
        <w:pStyle w:val="Heading2"/>
        <w:rPr>
          <w:sz w:val="24"/>
        </w:rPr>
      </w:pPr>
      <w:r w:rsidRPr="00086CDA">
        <w:rPr>
          <w:sz w:val="24"/>
        </w:rPr>
        <w:t>The value of this Statement of Requirement has been calculated by applying the Authority’s experience of underta</w:t>
      </w:r>
      <w:r w:rsidR="00E574B9" w:rsidRPr="00086CDA">
        <w:rPr>
          <w:sz w:val="24"/>
        </w:rPr>
        <w:t>king research and insights work.</w:t>
      </w:r>
    </w:p>
    <w:p w14:paraId="00C636A3" w14:textId="0F429FE2" w:rsidR="00A31E05" w:rsidRPr="00086CDA" w:rsidRDefault="00A31E05" w:rsidP="00086CDA">
      <w:pPr>
        <w:pStyle w:val="Heading2"/>
        <w:rPr>
          <w:sz w:val="24"/>
        </w:rPr>
      </w:pPr>
      <w:r w:rsidRPr="00086CDA">
        <w:rPr>
          <w:sz w:val="24"/>
        </w:rPr>
        <w:t>We estimate the total budget for research and insights activity drawn down through this contract to be up to the value of £400,000</w:t>
      </w:r>
      <w:r w:rsidR="0012006C">
        <w:rPr>
          <w:sz w:val="24"/>
        </w:rPr>
        <w:t>.00 ex VAT</w:t>
      </w:r>
      <w:r w:rsidRPr="00086CDA">
        <w:rPr>
          <w:sz w:val="24"/>
        </w:rPr>
        <w:t xml:space="preserve"> for the 16-month </w:t>
      </w:r>
      <w:r w:rsidR="0012006C">
        <w:rPr>
          <w:sz w:val="24"/>
        </w:rPr>
        <w:t xml:space="preserve">initial </w:t>
      </w:r>
      <w:r w:rsidRPr="00086CDA">
        <w:rPr>
          <w:sz w:val="24"/>
        </w:rPr>
        <w:t xml:space="preserve">contract period. </w:t>
      </w:r>
    </w:p>
    <w:p w14:paraId="0FE6F365" w14:textId="770F9F5B" w:rsidR="00A31E05" w:rsidRPr="00086CDA" w:rsidRDefault="00A31E05" w:rsidP="00086CDA">
      <w:pPr>
        <w:pStyle w:val="Heading2"/>
        <w:rPr>
          <w:sz w:val="24"/>
        </w:rPr>
      </w:pPr>
      <w:r w:rsidRPr="00086CDA">
        <w:rPr>
          <w:sz w:val="24"/>
        </w:rPr>
        <w:t xml:space="preserve">As a Call-Off Contract levels of work cannot be guaranteed. The budget amount cited is indicative only and does not represent a guarantee of spend. Project volumes are not guaranteed and will reflect communications priorities, which can change at short notice. The successful </w:t>
      </w:r>
      <w:r w:rsidR="00086CDA" w:rsidRPr="00086CDA">
        <w:rPr>
          <w:sz w:val="24"/>
        </w:rPr>
        <w:t>Supplier</w:t>
      </w:r>
      <w:r w:rsidRPr="00086CDA">
        <w:rPr>
          <w:sz w:val="24"/>
        </w:rPr>
        <w:t xml:space="preserve"> must have capacity to scale project teams up and down to accommodate the Authorities workflows and changing priority issues. </w:t>
      </w:r>
    </w:p>
    <w:p w14:paraId="3E86A13B" w14:textId="234B408A" w:rsidR="00A31E05" w:rsidRPr="00086CDA" w:rsidRDefault="00A31E05" w:rsidP="00086CDA">
      <w:pPr>
        <w:pStyle w:val="Heading2"/>
        <w:rPr>
          <w:sz w:val="24"/>
        </w:rPr>
      </w:pPr>
      <w:r w:rsidRPr="00086CDA">
        <w:rPr>
          <w:sz w:val="24"/>
        </w:rPr>
        <w:t>Your proposal must provide a full cost breakdown.</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7" w:name="_Toc368573035"/>
      <w:bookmarkStart w:id="98" w:name="_Toc522714843"/>
      <w:r w:rsidRPr="001A45DF">
        <w:rPr>
          <w:rFonts w:cs="Arial"/>
          <w:sz w:val="32"/>
          <w:szCs w:val="32"/>
        </w:rPr>
        <w:t>continuous improvement</w:t>
      </w:r>
      <w:bookmarkEnd w:id="97"/>
      <w:bookmarkEnd w:id="98"/>
    </w:p>
    <w:p w14:paraId="1546B863" w14:textId="0D6EC093" w:rsidR="00A31E05" w:rsidRPr="00086CDA" w:rsidRDefault="00A31E05" w:rsidP="00086CDA">
      <w:pPr>
        <w:pStyle w:val="Heading2"/>
        <w:rPr>
          <w:sz w:val="24"/>
        </w:rPr>
      </w:pPr>
      <w:r w:rsidRPr="00086CDA">
        <w:rPr>
          <w:sz w:val="24"/>
        </w:rPr>
        <w:t xml:space="preserve">The </w:t>
      </w:r>
      <w:r w:rsidR="00086CDA" w:rsidRPr="00086CDA">
        <w:rPr>
          <w:sz w:val="24"/>
        </w:rPr>
        <w:t>Supplier</w:t>
      </w:r>
      <w:r w:rsidRPr="00086CDA">
        <w:rPr>
          <w:sz w:val="24"/>
        </w:rPr>
        <w:t xml:space="preserve"> will be expected to continually improve the way in which the required services are to be delivered throughout the work package duration.</w:t>
      </w:r>
    </w:p>
    <w:p w14:paraId="551C5F91" w14:textId="2EF471B6" w:rsidR="00A31E05" w:rsidRPr="00086CDA" w:rsidRDefault="00A31E05" w:rsidP="00086CDA">
      <w:pPr>
        <w:pStyle w:val="Heading2"/>
        <w:rPr>
          <w:sz w:val="24"/>
        </w:rPr>
      </w:pPr>
      <w:r w:rsidRPr="00086CDA">
        <w:rPr>
          <w:sz w:val="24"/>
        </w:rPr>
        <w:t xml:space="preserve">Where appropriate and beneficial, the </w:t>
      </w:r>
      <w:r w:rsidR="00086CDA" w:rsidRPr="00086CDA">
        <w:rPr>
          <w:sz w:val="24"/>
        </w:rPr>
        <w:t>Supplier</w:t>
      </w:r>
      <w:r w:rsidRPr="00086CDA">
        <w:rPr>
          <w:sz w:val="24"/>
        </w:rPr>
        <w:t xml:space="preserve"> should present new ways of working to the Authority during monthly review meetings.</w:t>
      </w:r>
    </w:p>
    <w:p w14:paraId="29E82CBD" w14:textId="1DD0A541" w:rsidR="00A31E05" w:rsidRPr="00A31E05" w:rsidRDefault="00A31E05" w:rsidP="00A31E05">
      <w:pPr>
        <w:pStyle w:val="Heading2"/>
        <w:rPr>
          <w:sz w:val="24"/>
          <w:szCs w:val="24"/>
        </w:rPr>
      </w:pPr>
      <w:r w:rsidRPr="00A31E05">
        <w:rPr>
          <w:sz w:val="24"/>
          <w:szCs w:val="24"/>
        </w:rPr>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99" w:name="_Toc522714844"/>
      <w:r w:rsidRPr="001A45DF">
        <w:rPr>
          <w:sz w:val="32"/>
          <w:szCs w:val="32"/>
        </w:rPr>
        <w:lastRenderedPageBreak/>
        <w:t>Sustainability</w:t>
      </w:r>
      <w:bookmarkEnd w:id="99"/>
    </w:p>
    <w:p w14:paraId="76F23022" w14:textId="68C0DD7D" w:rsidR="00A31E05" w:rsidRPr="00A31E05" w:rsidRDefault="00A31E05" w:rsidP="00A31E05">
      <w:pPr>
        <w:pStyle w:val="Heading2"/>
        <w:rPr>
          <w:sz w:val="24"/>
          <w:szCs w:val="24"/>
        </w:rPr>
      </w:pPr>
      <w:r w:rsidRPr="00A31E05">
        <w:rPr>
          <w:sz w:val="24"/>
          <w:szCs w:val="24"/>
        </w:rPr>
        <w:t xml:space="preserve">The Authority has a responsibility to act and to support nature, the environment and its vital contributions to biodiversity. The </w:t>
      </w:r>
      <w:r w:rsidR="00086CDA">
        <w:rPr>
          <w:sz w:val="24"/>
          <w:szCs w:val="24"/>
        </w:rPr>
        <w:t>Supplier</w:t>
      </w:r>
      <w:r w:rsidRPr="00A31E05">
        <w:rPr>
          <w:sz w:val="24"/>
          <w:szCs w:val="24"/>
        </w:rPr>
        <w:t xml:space="preserve"> is required to act in various sustainable manners in the delivery of the Contract, particularly in terms of eliminating waste, reducing travel and minimising energy consumption. The </w:t>
      </w:r>
      <w:r w:rsidR="00086CDA">
        <w:rPr>
          <w:sz w:val="24"/>
          <w:szCs w:val="24"/>
        </w:rPr>
        <w:t>Supplier</w:t>
      </w:r>
      <w:r w:rsidRPr="00A31E05">
        <w:rPr>
          <w:sz w:val="24"/>
          <w:szCs w:val="24"/>
        </w:rPr>
        <w:t xml:space="preserve"> must comply with all current legislation regarding sustainability and legislation introduced or amended during the period of the contract pertaining to this.  </w:t>
      </w:r>
    </w:p>
    <w:p w14:paraId="415AE2CC" w14:textId="77777777" w:rsidR="00A31E05" w:rsidRPr="00A31E05" w:rsidRDefault="00A31E05" w:rsidP="00A31E05">
      <w:pPr>
        <w:pStyle w:val="Heading2"/>
        <w:rPr>
          <w:sz w:val="24"/>
          <w:szCs w:val="24"/>
        </w:rPr>
      </w:pPr>
      <w:r w:rsidRPr="00A31E05">
        <w:rPr>
          <w:sz w:val="24"/>
          <w:szCs w:val="24"/>
        </w:rPr>
        <w:t xml:space="preserve">This must include compliance with the Modern Slavery Act 2015 and the Climate Change Act 2008. </w:t>
      </w:r>
    </w:p>
    <w:p w14:paraId="19CA3820" w14:textId="2F999D01"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must consider their “carbon footprint” in allocating and deploying resources to undertake this contractual requirement.</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00" w:name="_Toc368573036"/>
      <w:bookmarkStart w:id="101" w:name="_Toc522714845"/>
      <w:r w:rsidRPr="001A45DF">
        <w:rPr>
          <w:rFonts w:cs="Arial"/>
          <w:sz w:val="32"/>
          <w:szCs w:val="32"/>
        </w:rPr>
        <w:t>quality</w:t>
      </w:r>
      <w:bookmarkEnd w:id="100"/>
      <w:bookmarkEnd w:id="101"/>
    </w:p>
    <w:p w14:paraId="5FB7988A" w14:textId="4595811E"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will ensure that there is a technically qualified, dedicated delivery team. </w:t>
      </w:r>
    </w:p>
    <w:p w14:paraId="2E0F9677" w14:textId="464A9824" w:rsidR="00A31E05" w:rsidRPr="00A31E05" w:rsidRDefault="00A31E05" w:rsidP="00A31E05">
      <w:pPr>
        <w:pStyle w:val="Heading2"/>
        <w:rPr>
          <w:sz w:val="24"/>
          <w:szCs w:val="24"/>
        </w:rPr>
      </w:pPr>
      <w:r w:rsidRPr="00A31E05">
        <w:rPr>
          <w:sz w:val="24"/>
          <w:szCs w:val="24"/>
        </w:rPr>
        <w:t xml:space="preserve">All </w:t>
      </w:r>
      <w:r w:rsidR="00086CDA">
        <w:rPr>
          <w:sz w:val="24"/>
          <w:szCs w:val="24"/>
        </w:rPr>
        <w:t>Supplier</w:t>
      </w:r>
      <w:r w:rsidRPr="00A31E05">
        <w:rPr>
          <w:sz w:val="24"/>
          <w:szCs w:val="24"/>
        </w:rPr>
        <w:t xml:space="preserve"> delivery should be quality assured and signed off before presentation to the Authority. </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02" w:name="_Toc368573037"/>
      <w:bookmarkStart w:id="103" w:name="_Toc522714846"/>
      <w:r w:rsidRPr="001A45DF">
        <w:rPr>
          <w:rFonts w:cs="Arial"/>
          <w:sz w:val="32"/>
          <w:szCs w:val="32"/>
        </w:rPr>
        <w:t>PRICE</w:t>
      </w:r>
      <w:bookmarkEnd w:id="102"/>
      <w:bookmarkEnd w:id="103"/>
    </w:p>
    <w:p w14:paraId="3F296A21" w14:textId="77777777" w:rsidR="00A31E05" w:rsidRPr="00A31E05" w:rsidRDefault="00A31E05" w:rsidP="00A31E05">
      <w:pPr>
        <w:pStyle w:val="Heading2"/>
        <w:rPr>
          <w:sz w:val="24"/>
          <w:szCs w:val="24"/>
        </w:rPr>
      </w:pPr>
      <w:r w:rsidRPr="00A31E05">
        <w:rPr>
          <w:sz w:val="24"/>
          <w:szCs w:val="24"/>
        </w:rPr>
        <w:t>Agencies will need to adhere to best practice for utilising budget and optimising the use of public money to achieve results and/or deliver a quality service.</w:t>
      </w:r>
    </w:p>
    <w:p w14:paraId="32D95A1E" w14:textId="50FBE4F9"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should provide a fully costed proposal with a detailed breakdown for each element of the work package including a costed named resource profile.</w:t>
      </w:r>
    </w:p>
    <w:p w14:paraId="326D03B1" w14:textId="578849B0" w:rsidR="00A31E05" w:rsidRPr="00A31E05" w:rsidRDefault="00A31E05" w:rsidP="00A31E05">
      <w:pPr>
        <w:pStyle w:val="Heading2"/>
        <w:rPr>
          <w:sz w:val="24"/>
          <w:szCs w:val="24"/>
        </w:rPr>
      </w:pPr>
      <w:r w:rsidRPr="00A31E05">
        <w:rPr>
          <w:sz w:val="24"/>
          <w:szCs w:val="24"/>
        </w:rPr>
        <w:t>Prices are to be submitted via the e-Sourcing Suite Attachment 4 – Price Schedule excluding VAT and including all other expenses relating to Contract delivery.</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04" w:name="_Toc368573038"/>
      <w:bookmarkStart w:id="105" w:name="_Toc522714847"/>
      <w:r w:rsidRPr="001A45DF">
        <w:rPr>
          <w:rFonts w:cs="Arial"/>
          <w:sz w:val="32"/>
          <w:szCs w:val="32"/>
        </w:rPr>
        <w:t>STAFF AND CUSTOMER SERVICE</w:t>
      </w:r>
      <w:bookmarkEnd w:id="104"/>
      <w:bookmarkEnd w:id="105"/>
    </w:p>
    <w:p w14:paraId="79893555" w14:textId="71B718D0" w:rsidR="00C46A3A" w:rsidRPr="00237E27" w:rsidRDefault="00C46A3A" w:rsidP="00C46A3A">
      <w:pPr>
        <w:pStyle w:val="Heading2"/>
        <w:rPr>
          <w:sz w:val="24"/>
        </w:rPr>
      </w:pPr>
      <w:r w:rsidRPr="00C46A3A">
        <w:rPr>
          <w:sz w:val="24"/>
        </w:rPr>
        <w:t>As you will be working on sensitive topics, we require the project team to undergo security clearance (SC). There is a minimum requirement for at least one member of your team to be SC-cleared when undertaking research for sensitive work.  The cost of SC will be covered by the</w:t>
      </w:r>
      <w:r w:rsidRPr="00237E27">
        <w:rPr>
          <w:sz w:val="24"/>
        </w:rPr>
        <w:t xml:space="preserve"> Authority. </w:t>
      </w:r>
    </w:p>
    <w:p w14:paraId="4ACC9802" w14:textId="7D34D275" w:rsidR="00A31E05" w:rsidRPr="00A31E05" w:rsidRDefault="00A31E05" w:rsidP="00A31E05">
      <w:pPr>
        <w:pStyle w:val="Heading2"/>
        <w:rPr>
          <w:sz w:val="24"/>
          <w:szCs w:val="24"/>
        </w:rPr>
      </w:pPr>
      <w:r w:rsidRPr="00A31E05">
        <w:rPr>
          <w:sz w:val="24"/>
          <w:szCs w:val="24"/>
        </w:rPr>
        <w:t xml:space="preserve">The Authority must be notified in advance where staffing in the team will change, to ensure sufficient time to undertake and complete the required level of security vetting. </w:t>
      </w:r>
    </w:p>
    <w:p w14:paraId="25F05CFE" w14:textId="19342970" w:rsidR="00A31E05" w:rsidRPr="00A31E05" w:rsidRDefault="00A31E05" w:rsidP="00A31E05">
      <w:pPr>
        <w:pStyle w:val="Heading2"/>
        <w:rPr>
          <w:sz w:val="24"/>
          <w:szCs w:val="24"/>
        </w:rPr>
      </w:pPr>
      <w:r w:rsidRPr="00A31E05">
        <w:rPr>
          <w:sz w:val="24"/>
          <w:szCs w:val="24"/>
        </w:rPr>
        <w:lastRenderedPageBreak/>
        <w:t xml:space="preserve">The </w:t>
      </w:r>
      <w:r w:rsidR="00086CDA">
        <w:rPr>
          <w:sz w:val="24"/>
          <w:szCs w:val="24"/>
        </w:rPr>
        <w:t>Supplier</w:t>
      </w:r>
      <w:r w:rsidRPr="00A31E05">
        <w:rPr>
          <w:sz w:val="24"/>
          <w:szCs w:val="24"/>
        </w:rPr>
        <w:t xml:space="preserve"> shall provide a sufficient level of dedicated resources throughout the duration of the work package in order to consistently deliver a quality service. The proposed resources can only be replaced with the agreement of the Authority for a resource with the same level of experience and technical ability. </w:t>
      </w:r>
    </w:p>
    <w:p w14:paraId="112C5511" w14:textId="395BCF11"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’s resources assigned to the work package shall have the relevant qualifications and experience to deliver the work to the required standard. As part of your proposal, a pen portrait will be required for each member of the delivery team.</w:t>
      </w:r>
    </w:p>
    <w:p w14:paraId="6CC82A04" w14:textId="7B6DFE4C" w:rsidR="00A31E05" w:rsidRPr="00A31E05" w:rsidRDefault="00A31E05" w:rsidP="00A31E05">
      <w:pPr>
        <w:pStyle w:val="Heading2"/>
        <w:rPr>
          <w:sz w:val="24"/>
          <w:szCs w:val="24"/>
        </w:rPr>
      </w:pPr>
      <w:r w:rsidRPr="00A31E05">
        <w:rPr>
          <w:sz w:val="24"/>
          <w:szCs w:val="24"/>
        </w:rPr>
        <w:t xml:space="preserve">The </w:t>
      </w:r>
      <w:r w:rsidR="00086CDA">
        <w:rPr>
          <w:sz w:val="24"/>
          <w:szCs w:val="24"/>
        </w:rPr>
        <w:t>Supplier</w:t>
      </w:r>
      <w:r w:rsidRPr="00A31E05">
        <w:rPr>
          <w:sz w:val="24"/>
          <w:szCs w:val="24"/>
        </w:rPr>
        <w:t xml:space="preserve"> shall ensure that staff understand the Authority’s vision and objectives and will provide excellent customer service to the Authority throughout the duration of the work package. The Authority will ensure to brief the </w:t>
      </w:r>
      <w:r w:rsidR="00086CDA">
        <w:rPr>
          <w:sz w:val="24"/>
          <w:szCs w:val="24"/>
        </w:rPr>
        <w:t>Supplier</w:t>
      </w:r>
      <w:r w:rsidRPr="00A31E05">
        <w:rPr>
          <w:sz w:val="24"/>
          <w:szCs w:val="24"/>
        </w:rPr>
        <w:t xml:space="preserve"> appropriately following contract signing and be available for questions or comments. </w:t>
      </w:r>
    </w:p>
    <w:p w14:paraId="473FF9D3" w14:textId="319E8519"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06" w:name="_Toc368573039"/>
      <w:bookmarkStart w:id="107" w:name="_Toc522714848"/>
      <w:r w:rsidRPr="001A45DF">
        <w:rPr>
          <w:rFonts w:cs="Arial"/>
          <w:sz w:val="32"/>
          <w:szCs w:val="32"/>
        </w:rPr>
        <w:t>service levels and performance</w:t>
      </w:r>
      <w:bookmarkEnd w:id="106"/>
      <w:bookmarkEnd w:id="107"/>
    </w:p>
    <w:p w14:paraId="65E93A82" w14:textId="198AB1BE" w:rsidR="00671798" w:rsidRPr="00A31E05" w:rsidRDefault="00FE18AC" w:rsidP="00A31E05">
      <w:pPr>
        <w:pStyle w:val="Heading2"/>
        <w:tabs>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85"/>
        <w:gridCol w:w="2635"/>
        <w:gridCol w:w="965"/>
        <w:gridCol w:w="1751"/>
      </w:tblGrid>
      <w:tr w:rsidR="00A31E05" w14:paraId="1D82B23D" w14:textId="06D387DD" w:rsidTr="00237E27">
        <w:tc>
          <w:tcPr>
            <w:tcW w:w="976" w:type="dxa"/>
            <w:shd w:val="clear" w:color="auto" w:fill="B8CCE4" w:themeFill="accent1" w:themeFillTint="66"/>
          </w:tcPr>
          <w:p w14:paraId="4E16E6B9" w14:textId="29E5F590" w:rsidR="00A31E05" w:rsidRPr="002C0A45" w:rsidRDefault="00A31E05" w:rsidP="00B13763">
            <w:pPr>
              <w:pStyle w:val="Heading2"/>
              <w:numPr>
                <w:ilvl w:val="0"/>
                <w:numId w:val="0"/>
              </w:numPr>
              <w:jc w:val="center"/>
              <w:outlineLvl w:val="1"/>
              <w:rPr>
                <w:b/>
                <w:sz w:val="24"/>
                <w:szCs w:val="24"/>
              </w:rPr>
            </w:pPr>
            <w:r w:rsidRPr="002C0A45">
              <w:rPr>
                <w:b/>
                <w:sz w:val="24"/>
                <w:szCs w:val="24"/>
              </w:rPr>
              <w:t>KPI/SLA</w:t>
            </w:r>
          </w:p>
        </w:tc>
        <w:tc>
          <w:tcPr>
            <w:tcW w:w="1805" w:type="dxa"/>
            <w:shd w:val="clear" w:color="auto" w:fill="B8CCE4" w:themeFill="accent1" w:themeFillTint="66"/>
          </w:tcPr>
          <w:p w14:paraId="5F9E1BA6" w14:textId="07EC3F76" w:rsidR="00A31E05" w:rsidRPr="002C0A45" w:rsidRDefault="00A31E05" w:rsidP="00B13763">
            <w:pPr>
              <w:pStyle w:val="Heading2"/>
              <w:numPr>
                <w:ilvl w:val="0"/>
                <w:numId w:val="0"/>
              </w:numPr>
              <w:jc w:val="center"/>
              <w:outlineLvl w:val="1"/>
              <w:rPr>
                <w:b/>
                <w:sz w:val="24"/>
                <w:szCs w:val="24"/>
              </w:rPr>
            </w:pPr>
            <w:r w:rsidRPr="002C0A45">
              <w:rPr>
                <w:b/>
                <w:sz w:val="24"/>
                <w:szCs w:val="24"/>
              </w:rPr>
              <w:t>Service Area</w:t>
            </w:r>
          </w:p>
        </w:tc>
        <w:tc>
          <w:tcPr>
            <w:tcW w:w="2757" w:type="dxa"/>
            <w:shd w:val="clear" w:color="auto" w:fill="B8CCE4" w:themeFill="accent1" w:themeFillTint="66"/>
          </w:tcPr>
          <w:p w14:paraId="4F97A458" w14:textId="14CFE965" w:rsidR="00A31E05" w:rsidRPr="002C0A45" w:rsidRDefault="00A31E05" w:rsidP="00B13763">
            <w:pPr>
              <w:pStyle w:val="Heading2"/>
              <w:numPr>
                <w:ilvl w:val="0"/>
                <w:numId w:val="0"/>
              </w:numPr>
              <w:jc w:val="center"/>
              <w:outlineLvl w:val="1"/>
              <w:rPr>
                <w:b/>
                <w:sz w:val="24"/>
                <w:szCs w:val="24"/>
              </w:rPr>
            </w:pPr>
            <w:r w:rsidRPr="002C0A45">
              <w:rPr>
                <w:b/>
                <w:sz w:val="24"/>
                <w:szCs w:val="24"/>
              </w:rPr>
              <w:t>KPI/SLA description</w:t>
            </w:r>
          </w:p>
        </w:tc>
        <w:tc>
          <w:tcPr>
            <w:tcW w:w="967" w:type="dxa"/>
            <w:shd w:val="clear" w:color="auto" w:fill="B8CCE4" w:themeFill="accent1" w:themeFillTint="66"/>
          </w:tcPr>
          <w:p w14:paraId="0788932C" w14:textId="07398BA8" w:rsidR="00A31E05" w:rsidRPr="002C0A45" w:rsidRDefault="00A31E05" w:rsidP="00B13763">
            <w:pPr>
              <w:pStyle w:val="Heading2"/>
              <w:numPr>
                <w:ilvl w:val="0"/>
                <w:numId w:val="0"/>
              </w:numPr>
              <w:jc w:val="center"/>
              <w:outlineLvl w:val="1"/>
              <w:rPr>
                <w:b/>
                <w:sz w:val="24"/>
                <w:szCs w:val="24"/>
              </w:rPr>
            </w:pPr>
            <w:r w:rsidRPr="002C0A45">
              <w:rPr>
                <w:b/>
                <w:sz w:val="24"/>
                <w:szCs w:val="24"/>
              </w:rPr>
              <w:t>Target</w:t>
            </w:r>
          </w:p>
        </w:tc>
        <w:tc>
          <w:tcPr>
            <w:tcW w:w="1794" w:type="dxa"/>
            <w:shd w:val="clear" w:color="auto" w:fill="B8CCE4" w:themeFill="accent1" w:themeFillTint="66"/>
          </w:tcPr>
          <w:p w14:paraId="7C0FEDB1" w14:textId="4F54DF4E" w:rsidR="00A31E05" w:rsidRPr="002C0A45" w:rsidRDefault="00A31E05" w:rsidP="00B13763">
            <w:pPr>
              <w:pStyle w:val="Heading2"/>
              <w:numPr>
                <w:ilvl w:val="0"/>
                <w:numId w:val="0"/>
              </w:numPr>
              <w:jc w:val="center"/>
              <w:outlineLvl w:val="1"/>
              <w:rPr>
                <w:b/>
                <w:sz w:val="24"/>
                <w:szCs w:val="24"/>
              </w:rPr>
            </w:pPr>
            <w:r>
              <w:rPr>
                <w:b/>
                <w:sz w:val="24"/>
                <w:szCs w:val="24"/>
              </w:rPr>
              <w:t>How this will be Measured</w:t>
            </w:r>
          </w:p>
        </w:tc>
      </w:tr>
      <w:tr w:rsidR="00A31E05" w14:paraId="136B0B88" w14:textId="0A1E994A" w:rsidTr="00237E27">
        <w:tc>
          <w:tcPr>
            <w:tcW w:w="976" w:type="dxa"/>
          </w:tcPr>
          <w:p w14:paraId="39FC8AED" w14:textId="303CF9DF" w:rsidR="00A31E05" w:rsidRPr="001A45DF" w:rsidRDefault="00A31E05" w:rsidP="00B13763">
            <w:pPr>
              <w:pStyle w:val="Heading2"/>
              <w:numPr>
                <w:ilvl w:val="0"/>
                <w:numId w:val="0"/>
              </w:numPr>
              <w:jc w:val="center"/>
              <w:outlineLvl w:val="1"/>
              <w:rPr>
                <w:sz w:val="24"/>
                <w:szCs w:val="24"/>
              </w:rPr>
            </w:pPr>
            <w:r w:rsidRPr="001A45DF">
              <w:rPr>
                <w:sz w:val="24"/>
                <w:szCs w:val="24"/>
              </w:rPr>
              <w:t>1</w:t>
            </w:r>
          </w:p>
        </w:tc>
        <w:tc>
          <w:tcPr>
            <w:tcW w:w="1805" w:type="dxa"/>
          </w:tcPr>
          <w:p w14:paraId="286A8BDA" w14:textId="78D17B72" w:rsidR="00A31E05" w:rsidRPr="001A45DF" w:rsidRDefault="00A31E05" w:rsidP="00B13763">
            <w:pPr>
              <w:pStyle w:val="Heading2"/>
              <w:numPr>
                <w:ilvl w:val="0"/>
                <w:numId w:val="0"/>
              </w:numPr>
              <w:jc w:val="left"/>
              <w:outlineLvl w:val="1"/>
              <w:rPr>
                <w:sz w:val="24"/>
                <w:szCs w:val="24"/>
              </w:rPr>
            </w:pPr>
            <w:r w:rsidRPr="00A31E05">
              <w:rPr>
                <w:sz w:val="24"/>
                <w:szCs w:val="24"/>
              </w:rPr>
              <w:t>Delivery timescales</w:t>
            </w:r>
          </w:p>
        </w:tc>
        <w:tc>
          <w:tcPr>
            <w:tcW w:w="2757" w:type="dxa"/>
          </w:tcPr>
          <w:p w14:paraId="1A83F74D" w14:textId="23BDD2AE" w:rsidR="00A31E05" w:rsidRPr="001A45DF" w:rsidRDefault="00A31E05" w:rsidP="00B13763">
            <w:pPr>
              <w:pStyle w:val="Heading2"/>
              <w:numPr>
                <w:ilvl w:val="0"/>
                <w:numId w:val="0"/>
              </w:numPr>
              <w:jc w:val="left"/>
              <w:outlineLvl w:val="1"/>
              <w:rPr>
                <w:sz w:val="24"/>
                <w:szCs w:val="24"/>
              </w:rPr>
            </w:pPr>
            <w:r w:rsidRPr="00A31E05">
              <w:rPr>
                <w:sz w:val="24"/>
                <w:szCs w:val="24"/>
              </w:rPr>
              <w:t>Response to briefs to be submitted to Authority within 2 working days</w:t>
            </w:r>
          </w:p>
        </w:tc>
        <w:tc>
          <w:tcPr>
            <w:tcW w:w="967" w:type="dxa"/>
          </w:tcPr>
          <w:p w14:paraId="53B2F4ED" w14:textId="4B364FA8" w:rsidR="00A31E05" w:rsidRPr="001A45DF" w:rsidRDefault="00A31E05" w:rsidP="00B13763">
            <w:pPr>
              <w:pStyle w:val="Heading2"/>
              <w:numPr>
                <w:ilvl w:val="0"/>
                <w:numId w:val="0"/>
              </w:numPr>
              <w:outlineLvl w:val="1"/>
              <w:rPr>
                <w:sz w:val="24"/>
                <w:szCs w:val="24"/>
              </w:rPr>
            </w:pPr>
            <w:r w:rsidRPr="00A31E05">
              <w:rPr>
                <w:sz w:val="24"/>
                <w:szCs w:val="24"/>
              </w:rPr>
              <w:t>72 hours</w:t>
            </w:r>
          </w:p>
        </w:tc>
        <w:tc>
          <w:tcPr>
            <w:tcW w:w="1794" w:type="dxa"/>
          </w:tcPr>
          <w:p w14:paraId="52EB5445" w14:textId="6BF7CE61" w:rsidR="00A31E05" w:rsidRPr="00A31E05" w:rsidRDefault="00A31E05" w:rsidP="00B13763">
            <w:pPr>
              <w:pStyle w:val="Heading2"/>
              <w:numPr>
                <w:ilvl w:val="0"/>
                <w:numId w:val="0"/>
              </w:numPr>
              <w:outlineLvl w:val="1"/>
              <w:rPr>
                <w:sz w:val="24"/>
                <w:szCs w:val="24"/>
              </w:rPr>
            </w:pPr>
            <w:r w:rsidRPr="00A31E05">
              <w:rPr>
                <w:sz w:val="24"/>
                <w:szCs w:val="24"/>
              </w:rPr>
              <w:t>Measured by Authority delivery manager against SLA target</w:t>
            </w:r>
          </w:p>
        </w:tc>
      </w:tr>
      <w:tr w:rsidR="00A31E05" w14:paraId="611A7437" w14:textId="290CB13C" w:rsidTr="00237E27">
        <w:tc>
          <w:tcPr>
            <w:tcW w:w="976" w:type="dxa"/>
          </w:tcPr>
          <w:p w14:paraId="0CA6154F" w14:textId="2E4A9E81" w:rsidR="00A31E05" w:rsidRPr="001A45DF" w:rsidRDefault="00A31E05" w:rsidP="00B13763">
            <w:pPr>
              <w:pStyle w:val="Heading2"/>
              <w:numPr>
                <w:ilvl w:val="0"/>
                <w:numId w:val="0"/>
              </w:numPr>
              <w:jc w:val="center"/>
              <w:outlineLvl w:val="1"/>
              <w:rPr>
                <w:sz w:val="24"/>
                <w:szCs w:val="24"/>
              </w:rPr>
            </w:pPr>
            <w:r w:rsidRPr="001A45DF">
              <w:rPr>
                <w:sz w:val="24"/>
                <w:szCs w:val="24"/>
              </w:rPr>
              <w:t>2</w:t>
            </w:r>
          </w:p>
        </w:tc>
        <w:tc>
          <w:tcPr>
            <w:tcW w:w="1805" w:type="dxa"/>
          </w:tcPr>
          <w:p w14:paraId="5A8C3451" w14:textId="76F640B9" w:rsidR="00A31E05" w:rsidRPr="001A45DF" w:rsidRDefault="00A31E05" w:rsidP="00A31E05">
            <w:pPr>
              <w:pStyle w:val="Heading2"/>
              <w:numPr>
                <w:ilvl w:val="0"/>
                <w:numId w:val="0"/>
              </w:numPr>
              <w:jc w:val="left"/>
              <w:outlineLvl w:val="1"/>
              <w:rPr>
                <w:sz w:val="24"/>
                <w:szCs w:val="24"/>
              </w:rPr>
            </w:pPr>
            <w:r w:rsidRPr="00A31E05">
              <w:rPr>
                <w:sz w:val="24"/>
                <w:szCs w:val="24"/>
              </w:rPr>
              <w:t>Appropriate accreditation and credentials</w:t>
            </w:r>
          </w:p>
        </w:tc>
        <w:tc>
          <w:tcPr>
            <w:tcW w:w="2757" w:type="dxa"/>
          </w:tcPr>
          <w:p w14:paraId="4FBFDF3E" w14:textId="79E557FF" w:rsidR="00A31E05" w:rsidRPr="001A45DF" w:rsidRDefault="00A31E05" w:rsidP="00A31E05">
            <w:pPr>
              <w:pStyle w:val="Heading2"/>
              <w:numPr>
                <w:ilvl w:val="0"/>
                <w:numId w:val="0"/>
              </w:numPr>
              <w:jc w:val="left"/>
              <w:outlineLvl w:val="1"/>
              <w:rPr>
                <w:sz w:val="24"/>
                <w:szCs w:val="24"/>
              </w:rPr>
            </w:pPr>
            <w:r w:rsidRPr="00A31E05">
              <w:rPr>
                <w:sz w:val="24"/>
                <w:szCs w:val="24"/>
              </w:rPr>
              <w:t>Suppliers to supply staff with the appropriate accreditation and seniority for the Requirement to be completed.</w:t>
            </w:r>
          </w:p>
        </w:tc>
        <w:tc>
          <w:tcPr>
            <w:tcW w:w="967" w:type="dxa"/>
          </w:tcPr>
          <w:p w14:paraId="0EE422DF" w14:textId="562158EC" w:rsidR="00A31E05" w:rsidRPr="001A45DF" w:rsidRDefault="00A31E05" w:rsidP="00A31E05">
            <w:pPr>
              <w:pStyle w:val="Heading2"/>
              <w:numPr>
                <w:ilvl w:val="0"/>
                <w:numId w:val="0"/>
              </w:numPr>
              <w:jc w:val="left"/>
              <w:outlineLvl w:val="1"/>
              <w:rPr>
                <w:sz w:val="24"/>
                <w:szCs w:val="24"/>
              </w:rPr>
            </w:pPr>
            <w:r>
              <w:rPr>
                <w:sz w:val="24"/>
                <w:szCs w:val="24"/>
              </w:rPr>
              <w:t>100%</w:t>
            </w:r>
          </w:p>
        </w:tc>
        <w:tc>
          <w:tcPr>
            <w:tcW w:w="1794" w:type="dxa"/>
          </w:tcPr>
          <w:p w14:paraId="66F8204A" w14:textId="3348B75C" w:rsidR="00A31E05" w:rsidRPr="001A45DF" w:rsidRDefault="00A31E05" w:rsidP="00A31E05">
            <w:pPr>
              <w:pStyle w:val="Heading2"/>
              <w:numPr>
                <w:ilvl w:val="0"/>
                <w:numId w:val="0"/>
              </w:numPr>
              <w:jc w:val="left"/>
              <w:outlineLvl w:val="1"/>
              <w:rPr>
                <w:sz w:val="24"/>
                <w:szCs w:val="24"/>
              </w:rPr>
            </w:pPr>
            <w:r w:rsidRPr="00A31E05">
              <w:rPr>
                <w:sz w:val="24"/>
                <w:szCs w:val="24"/>
              </w:rPr>
              <w:t>Measured by Authority delivery manager against SLA target</w:t>
            </w:r>
          </w:p>
        </w:tc>
      </w:tr>
      <w:tr w:rsidR="00A31E05" w14:paraId="368A6710" w14:textId="57FB9A63" w:rsidTr="00237E27">
        <w:tc>
          <w:tcPr>
            <w:tcW w:w="976" w:type="dxa"/>
          </w:tcPr>
          <w:p w14:paraId="4EE94C74" w14:textId="7FAF8111" w:rsidR="00A31E05" w:rsidRPr="001A45DF" w:rsidRDefault="00A31E05" w:rsidP="00B13763">
            <w:pPr>
              <w:pStyle w:val="Heading2"/>
              <w:numPr>
                <w:ilvl w:val="0"/>
                <w:numId w:val="0"/>
              </w:numPr>
              <w:jc w:val="center"/>
              <w:outlineLvl w:val="1"/>
              <w:rPr>
                <w:sz w:val="24"/>
                <w:szCs w:val="24"/>
              </w:rPr>
            </w:pPr>
            <w:r w:rsidRPr="001A45DF">
              <w:rPr>
                <w:sz w:val="24"/>
                <w:szCs w:val="24"/>
              </w:rPr>
              <w:lastRenderedPageBreak/>
              <w:t>3</w:t>
            </w:r>
          </w:p>
        </w:tc>
        <w:tc>
          <w:tcPr>
            <w:tcW w:w="1805" w:type="dxa"/>
          </w:tcPr>
          <w:p w14:paraId="6726DC40" w14:textId="43A7D3FC" w:rsidR="00A31E05" w:rsidRPr="001A45DF" w:rsidRDefault="00A31E05" w:rsidP="00B13763">
            <w:pPr>
              <w:pStyle w:val="Heading2"/>
              <w:numPr>
                <w:ilvl w:val="0"/>
                <w:numId w:val="0"/>
              </w:numPr>
              <w:outlineLvl w:val="1"/>
              <w:rPr>
                <w:sz w:val="24"/>
                <w:szCs w:val="24"/>
              </w:rPr>
            </w:pPr>
            <w:r>
              <w:rPr>
                <w:sz w:val="24"/>
                <w:szCs w:val="24"/>
              </w:rPr>
              <w:t>Management Reporting</w:t>
            </w:r>
          </w:p>
        </w:tc>
        <w:tc>
          <w:tcPr>
            <w:tcW w:w="2757" w:type="dxa"/>
          </w:tcPr>
          <w:p w14:paraId="58DC627C" w14:textId="5DD1DD2C" w:rsidR="00A31E05" w:rsidRPr="001A45DF" w:rsidRDefault="00A31E05" w:rsidP="00A31E05">
            <w:pPr>
              <w:pStyle w:val="Heading2"/>
              <w:numPr>
                <w:ilvl w:val="0"/>
                <w:numId w:val="0"/>
              </w:numPr>
              <w:jc w:val="left"/>
              <w:outlineLvl w:val="1"/>
              <w:rPr>
                <w:sz w:val="24"/>
                <w:szCs w:val="24"/>
              </w:rPr>
            </w:pPr>
            <w:r w:rsidRPr="00A31E05">
              <w:rPr>
                <w:sz w:val="24"/>
                <w:szCs w:val="24"/>
              </w:rPr>
              <w:t>Management reporting to 100% accuracy submitted on time and accurate</w:t>
            </w:r>
          </w:p>
        </w:tc>
        <w:tc>
          <w:tcPr>
            <w:tcW w:w="967" w:type="dxa"/>
          </w:tcPr>
          <w:p w14:paraId="19BB03B8" w14:textId="70D1B1A5" w:rsidR="00A31E05" w:rsidRPr="001A45DF" w:rsidRDefault="00A31E05" w:rsidP="00A31E05">
            <w:pPr>
              <w:pStyle w:val="Heading2"/>
              <w:numPr>
                <w:ilvl w:val="0"/>
                <w:numId w:val="0"/>
              </w:numPr>
              <w:jc w:val="left"/>
              <w:outlineLvl w:val="1"/>
              <w:rPr>
                <w:sz w:val="24"/>
                <w:szCs w:val="24"/>
              </w:rPr>
            </w:pPr>
            <w:r>
              <w:rPr>
                <w:sz w:val="24"/>
                <w:szCs w:val="24"/>
              </w:rPr>
              <w:t>100%</w:t>
            </w:r>
          </w:p>
        </w:tc>
        <w:tc>
          <w:tcPr>
            <w:tcW w:w="1794" w:type="dxa"/>
          </w:tcPr>
          <w:p w14:paraId="6A5EAA32" w14:textId="228DADDD" w:rsidR="00A31E05" w:rsidRPr="001A45DF" w:rsidRDefault="00A31E05" w:rsidP="00A31E05">
            <w:pPr>
              <w:pStyle w:val="Heading2"/>
              <w:numPr>
                <w:ilvl w:val="0"/>
                <w:numId w:val="0"/>
              </w:numPr>
              <w:jc w:val="left"/>
              <w:outlineLvl w:val="1"/>
              <w:rPr>
                <w:sz w:val="24"/>
                <w:szCs w:val="24"/>
              </w:rPr>
            </w:pPr>
            <w:r w:rsidRPr="00A31E05">
              <w:rPr>
                <w:sz w:val="24"/>
                <w:szCs w:val="24"/>
              </w:rPr>
              <w:t>Measured by Authority delivery manager and receipt of documents against SLA target</w:t>
            </w:r>
          </w:p>
        </w:tc>
      </w:tr>
      <w:tr w:rsidR="00A31E05" w14:paraId="69ECF5CB" w14:textId="4CB41F06" w:rsidTr="00237E27">
        <w:tc>
          <w:tcPr>
            <w:tcW w:w="976" w:type="dxa"/>
          </w:tcPr>
          <w:p w14:paraId="76A093A5" w14:textId="0AF770F3" w:rsidR="00A31E05" w:rsidRPr="001A45DF" w:rsidRDefault="00A31E05" w:rsidP="00B13763">
            <w:pPr>
              <w:pStyle w:val="Heading2"/>
              <w:numPr>
                <w:ilvl w:val="0"/>
                <w:numId w:val="0"/>
              </w:numPr>
              <w:jc w:val="center"/>
              <w:outlineLvl w:val="1"/>
              <w:rPr>
                <w:sz w:val="24"/>
                <w:szCs w:val="24"/>
              </w:rPr>
            </w:pPr>
            <w:r w:rsidRPr="001A45DF">
              <w:rPr>
                <w:sz w:val="24"/>
                <w:szCs w:val="24"/>
              </w:rPr>
              <w:t>4</w:t>
            </w:r>
          </w:p>
        </w:tc>
        <w:tc>
          <w:tcPr>
            <w:tcW w:w="1805" w:type="dxa"/>
          </w:tcPr>
          <w:p w14:paraId="094D220C" w14:textId="04EB93DF" w:rsidR="00A31E05" w:rsidRPr="001A45DF" w:rsidRDefault="00A31E05" w:rsidP="00B13763">
            <w:pPr>
              <w:pStyle w:val="Heading2"/>
              <w:numPr>
                <w:ilvl w:val="0"/>
                <w:numId w:val="0"/>
              </w:numPr>
              <w:outlineLvl w:val="1"/>
              <w:rPr>
                <w:sz w:val="24"/>
                <w:szCs w:val="24"/>
              </w:rPr>
            </w:pPr>
            <w:r>
              <w:rPr>
                <w:sz w:val="24"/>
                <w:szCs w:val="24"/>
              </w:rPr>
              <w:t>Accounting</w:t>
            </w:r>
          </w:p>
        </w:tc>
        <w:tc>
          <w:tcPr>
            <w:tcW w:w="2757" w:type="dxa"/>
          </w:tcPr>
          <w:p w14:paraId="6F1FD8A2" w14:textId="30579100" w:rsidR="00A31E05" w:rsidRPr="001A45DF" w:rsidRDefault="00A31E05" w:rsidP="00B13763">
            <w:pPr>
              <w:pStyle w:val="Heading2"/>
              <w:numPr>
                <w:ilvl w:val="0"/>
                <w:numId w:val="0"/>
              </w:numPr>
              <w:outlineLvl w:val="1"/>
              <w:rPr>
                <w:sz w:val="24"/>
                <w:szCs w:val="24"/>
              </w:rPr>
            </w:pPr>
            <w:r>
              <w:rPr>
                <w:sz w:val="24"/>
                <w:szCs w:val="24"/>
              </w:rPr>
              <w:t xml:space="preserve">All undisputed invoices to be paid in 30 calendar days – flow down into </w:t>
            </w:r>
            <w:r w:rsidR="00086CDA">
              <w:rPr>
                <w:sz w:val="24"/>
                <w:szCs w:val="24"/>
              </w:rPr>
              <w:t>Supplier</w:t>
            </w:r>
            <w:r>
              <w:rPr>
                <w:sz w:val="24"/>
                <w:szCs w:val="24"/>
              </w:rPr>
              <w:t>’s supply chain (100%)</w:t>
            </w:r>
          </w:p>
        </w:tc>
        <w:tc>
          <w:tcPr>
            <w:tcW w:w="967" w:type="dxa"/>
          </w:tcPr>
          <w:p w14:paraId="33C6BA7C" w14:textId="033127BE" w:rsidR="00A31E05" w:rsidRPr="001A45DF" w:rsidRDefault="00A31E05" w:rsidP="00B13763">
            <w:pPr>
              <w:pStyle w:val="Heading2"/>
              <w:numPr>
                <w:ilvl w:val="0"/>
                <w:numId w:val="0"/>
              </w:numPr>
              <w:outlineLvl w:val="1"/>
              <w:rPr>
                <w:sz w:val="24"/>
                <w:szCs w:val="24"/>
              </w:rPr>
            </w:pPr>
            <w:r>
              <w:rPr>
                <w:sz w:val="24"/>
                <w:szCs w:val="24"/>
              </w:rPr>
              <w:t>100%</w:t>
            </w:r>
          </w:p>
        </w:tc>
        <w:tc>
          <w:tcPr>
            <w:tcW w:w="1794" w:type="dxa"/>
          </w:tcPr>
          <w:p w14:paraId="3517015F" w14:textId="1DED7989" w:rsidR="00A31E05" w:rsidRPr="001A45DF" w:rsidRDefault="00A31E05" w:rsidP="00B13763">
            <w:pPr>
              <w:pStyle w:val="Heading2"/>
              <w:numPr>
                <w:ilvl w:val="0"/>
                <w:numId w:val="0"/>
              </w:numPr>
              <w:outlineLvl w:val="1"/>
              <w:rPr>
                <w:sz w:val="24"/>
                <w:szCs w:val="24"/>
              </w:rPr>
            </w:pPr>
            <w:r>
              <w:rPr>
                <w:sz w:val="24"/>
                <w:szCs w:val="24"/>
              </w:rPr>
              <w:t xml:space="preserve">Measured by Authority and </w:t>
            </w:r>
            <w:r w:rsidR="00086CDA">
              <w:rPr>
                <w:sz w:val="24"/>
                <w:szCs w:val="24"/>
              </w:rPr>
              <w:t>Supplier</w:t>
            </w:r>
            <w:r>
              <w:rPr>
                <w:sz w:val="24"/>
                <w:szCs w:val="24"/>
              </w:rPr>
              <w:t xml:space="preserve"> finance teams against SLA target</w:t>
            </w:r>
          </w:p>
        </w:tc>
      </w:tr>
      <w:tr w:rsidR="00A31E05" w14:paraId="5C97CD01" w14:textId="4E9C6B55" w:rsidTr="00237E27">
        <w:tc>
          <w:tcPr>
            <w:tcW w:w="976" w:type="dxa"/>
          </w:tcPr>
          <w:p w14:paraId="429E6947" w14:textId="51B4D2D9" w:rsidR="00A31E05" w:rsidRPr="001A45DF" w:rsidRDefault="00A31E05" w:rsidP="00B13763">
            <w:pPr>
              <w:pStyle w:val="Heading2"/>
              <w:numPr>
                <w:ilvl w:val="0"/>
                <w:numId w:val="0"/>
              </w:numPr>
              <w:jc w:val="center"/>
              <w:outlineLvl w:val="1"/>
              <w:rPr>
                <w:sz w:val="24"/>
                <w:szCs w:val="24"/>
              </w:rPr>
            </w:pPr>
            <w:r w:rsidRPr="001A45DF">
              <w:rPr>
                <w:sz w:val="24"/>
                <w:szCs w:val="24"/>
              </w:rPr>
              <w:t>5</w:t>
            </w:r>
          </w:p>
        </w:tc>
        <w:tc>
          <w:tcPr>
            <w:tcW w:w="1805" w:type="dxa"/>
          </w:tcPr>
          <w:p w14:paraId="52399E49" w14:textId="03858EF4" w:rsidR="00A31E05" w:rsidRPr="001A45DF" w:rsidRDefault="00A31E05" w:rsidP="00B13763">
            <w:pPr>
              <w:pStyle w:val="Heading2"/>
              <w:numPr>
                <w:ilvl w:val="0"/>
                <w:numId w:val="0"/>
              </w:numPr>
              <w:outlineLvl w:val="1"/>
              <w:rPr>
                <w:sz w:val="24"/>
                <w:szCs w:val="24"/>
              </w:rPr>
            </w:pPr>
            <w:r>
              <w:rPr>
                <w:sz w:val="24"/>
                <w:szCs w:val="24"/>
              </w:rPr>
              <w:t>Supplier to respond to requests for ad-hoc research</w:t>
            </w:r>
          </w:p>
        </w:tc>
        <w:tc>
          <w:tcPr>
            <w:tcW w:w="2757" w:type="dxa"/>
          </w:tcPr>
          <w:p w14:paraId="077A3A07" w14:textId="636CCA59" w:rsidR="00A31E05" w:rsidRPr="001A45DF" w:rsidRDefault="00A31E05" w:rsidP="00B13763">
            <w:pPr>
              <w:pStyle w:val="Heading2"/>
              <w:numPr>
                <w:ilvl w:val="0"/>
                <w:numId w:val="0"/>
              </w:numPr>
              <w:outlineLvl w:val="1"/>
              <w:rPr>
                <w:sz w:val="24"/>
                <w:szCs w:val="24"/>
              </w:rPr>
            </w:pPr>
            <w:r>
              <w:rPr>
                <w:sz w:val="24"/>
                <w:szCs w:val="24"/>
              </w:rPr>
              <w:t xml:space="preserve">Within 72 </w:t>
            </w:r>
            <w:r w:rsidR="00237E27">
              <w:rPr>
                <w:sz w:val="24"/>
                <w:szCs w:val="24"/>
              </w:rPr>
              <w:t>h</w:t>
            </w:r>
            <w:r>
              <w:rPr>
                <w:sz w:val="24"/>
                <w:szCs w:val="24"/>
              </w:rPr>
              <w:t>ours</w:t>
            </w:r>
          </w:p>
        </w:tc>
        <w:tc>
          <w:tcPr>
            <w:tcW w:w="967" w:type="dxa"/>
          </w:tcPr>
          <w:p w14:paraId="7710DA68" w14:textId="5DB7C791" w:rsidR="00A31E05" w:rsidRPr="001A45DF" w:rsidRDefault="00237E27" w:rsidP="00B13763">
            <w:pPr>
              <w:pStyle w:val="Heading2"/>
              <w:numPr>
                <w:ilvl w:val="0"/>
                <w:numId w:val="0"/>
              </w:numPr>
              <w:outlineLvl w:val="1"/>
              <w:rPr>
                <w:sz w:val="24"/>
                <w:szCs w:val="24"/>
              </w:rPr>
            </w:pPr>
            <w:r>
              <w:rPr>
                <w:sz w:val="24"/>
                <w:szCs w:val="24"/>
              </w:rPr>
              <w:t>100%</w:t>
            </w:r>
          </w:p>
        </w:tc>
        <w:tc>
          <w:tcPr>
            <w:tcW w:w="1794" w:type="dxa"/>
          </w:tcPr>
          <w:p w14:paraId="61CE8334" w14:textId="7AFE241E" w:rsidR="00A31E05" w:rsidRPr="001A45DF" w:rsidRDefault="00237E27" w:rsidP="00B13763">
            <w:pPr>
              <w:pStyle w:val="Heading2"/>
              <w:numPr>
                <w:ilvl w:val="0"/>
                <w:numId w:val="0"/>
              </w:numPr>
              <w:outlineLvl w:val="1"/>
              <w:rPr>
                <w:sz w:val="24"/>
                <w:szCs w:val="24"/>
              </w:rPr>
            </w:pPr>
            <w:r>
              <w:rPr>
                <w:sz w:val="24"/>
                <w:szCs w:val="24"/>
              </w:rPr>
              <w:t>Measured by Authority delivery manager against SLA Target</w:t>
            </w:r>
          </w:p>
        </w:tc>
      </w:tr>
    </w:tbl>
    <w:p w14:paraId="2E373C90" w14:textId="77777777" w:rsidR="003F626A" w:rsidRDefault="003F626A" w:rsidP="003F626A">
      <w:pPr>
        <w:pStyle w:val="Heading2"/>
        <w:numPr>
          <w:ilvl w:val="0"/>
          <w:numId w:val="0"/>
        </w:numPr>
        <w:ind w:left="720"/>
      </w:pPr>
    </w:p>
    <w:p w14:paraId="30058E7F" w14:textId="77777777" w:rsidR="00237E27" w:rsidRPr="00237E27" w:rsidRDefault="00237E27" w:rsidP="00237E27">
      <w:pPr>
        <w:pStyle w:val="Heading2"/>
        <w:rPr>
          <w:sz w:val="24"/>
          <w:szCs w:val="24"/>
        </w:rPr>
      </w:pPr>
      <w:bookmarkStart w:id="108" w:name="_Toc368573040"/>
      <w:r w:rsidRPr="00237E27">
        <w:rPr>
          <w:sz w:val="24"/>
          <w:szCs w:val="24"/>
        </w:rPr>
        <w:t xml:space="preserve">The Authority will maintain a record of provider adherence to the agreed service level and performance timelines. </w:t>
      </w:r>
    </w:p>
    <w:p w14:paraId="60385D60" w14:textId="7DD910E0" w:rsidR="00237E27" w:rsidRPr="00237E27" w:rsidRDefault="00237E27" w:rsidP="00237E27">
      <w:pPr>
        <w:pStyle w:val="Heading2"/>
        <w:rPr>
          <w:sz w:val="24"/>
          <w:szCs w:val="24"/>
        </w:rPr>
      </w:pPr>
      <w:r w:rsidRPr="00237E27">
        <w:rPr>
          <w:sz w:val="24"/>
          <w:szCs w:val="24"/>
        </w:rPr>
        <w:t xml:space="preserve">Any non-adherence will result in performance review meetings between the Authority and the </w:t>
      </w:r>
      <w:r w:rsidR="00086CDA">
        <w:rPr>
          <w:sz w:val="24"/>
          <w:szCs w:val="24"/>
        </w:rPr>
        <w:t>Supplier</w:t>
      </w:r>
      <w:r w:rsidRPr="00237E27">
        <w:rPr>
          <w:sz w:val="24"/>
          <w:szCs w:val="24"/>
        </w:rPr>
        <w:t>, to provide a full debrief and explanation as to why the service level agreement was not met. An improvement plan will be established here.</w:t>
      </w:r>
    </w:p>
    <w:p w14:paraId="6D631166" w14:textId="77777777" w:rsidR="00237E27" w:rsidRPr="00237E27" w:rsidRDefault="00237E27" w:rsidP="00237E27">
      <w:pPr>
        <w:pStyle w:val="Heading2"/>
        <w:rPr>
          <w:sz w:val="24"/>
          <w:szCs w:val="24"/>
        </w:rPr>
      </w:pPr>
      <w:r w:rsidRPr="00237E27">
        <w:rPr>
          <w:sz w:val="24"/>
          <w:szCs w:val="24"/>
        </w:rPr>
        <w:t xml:space="preserve">Continued failure to meet the service level agreements, defined as twice within any rolling 3 month period, will trigger a performance review meeting and the drafting and implementation of the improvement plan. This improvement plan must be satisfactorily delivered within 30 days of the agreed plan. </w:t>
      </w:r>
    </w:p>
    <w:p w14:paraId="301C4151" w14:textId="49C876D8" w:rsidR="00237E27" w:rsidRPr="00237E27" w:rsidRDefault="00237E27" w:rsidP="00237E27">
      <w:pPr>
        <w:pStyle w:val="Heading2"/>
        <w:rPr>
          <w:sz w:val="24"/>
          <w:szCs w:val="24"/>
        </w:rPr>
      </w:pPr>
      <w:r w:rsidRPr="00237E27">
        <w:rPr>
          <w:sz w:val="24"/>
          <w:szCs w:val="24"/>
        </w:rPr>
        <w:t xml:space="preserve">Where the </w:t>
      </w:r>
      <w:r w:rsidR="00086CDA">
        <w:rPr>
          <w:sz w:val="24"/>
          <w:szCs w:val="24"/>
        </w:rPr>
        <w:t>Supplier</w:t>
      </w:r>
      <w:r w:rsidRPr="00237E27">
        <w:rPr>
          <w:sz w:val="24"/>
          <w:szCs w:val="24"/>
        </w:rPr>
        <w:t xml:space="preserve"> fails to deliver a plan to the required standard, the Authority reserves the right to terminate the services in line with Attachment 5 – Call-off Contract Terms and Conditions of RM</w:t>
      </w:r>
      <w:r w:rsidR="0012006C">
        <w:rPr>
          <w:sz w:val="24"/>
          <w:szCs w:val="24"/>
        </w:rPr>
        <w:t>6126</w:t>
      </w:r>
      <w:r w:rsidRPr="00237E27">
        <w:rPr>
          <w:sz w:val="24"/>
          <w:szCs w:val="24"/>
        </w:rPr>
        <w:t xml:space="preserve"> Research Marketplace.</w:t>
      </w:r>
    </w:p>
    <w:p w14:paraId="3F767EF8" w14:textId="19C77641" w:rsidR="00671798" w:rsidRPr="001A45DF" w:rsidRDefault="00FE18AC">
      <w:pPr>
        <w:pStyle w:val="Heading1"/>
        <w:spacing w:after="120"/>
        <w:rPr>
          <w:sz w:val="32"/>
          <w:szCs w:val="32"/>
        </w:rPr>
      </w:pPr>
      <w:bookmarkStart w:id="109"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108"/>
      <w:bookmarkEnd w:id="109"/>
    </w:p>
    <w:p w14:paraId="54E121B6" w14:textId="77777777" w:rsidR="00237E27" w:rsidRPr="00237E27" w:rsidRDefault="00237E27" w:rsidP="00237E27">
      <w:pPr>
        <w:pStyle w:val="Heading2"/>
        <w:rPr>
          <w:sz w:val="24"/>
          <w:szCs w:val="24"/>
        </w:rPr>
      </w:pPr>
      <w:r w:rsidRPr="00237E27">
        <w:rPr>
          <w:sz w:val="24"/>
          <w:szCs w:val="24"/>
        </w:rPr>
        <w:t>The Supplier will be required to sign a Non-Disclosure Agreement prior to supplying any services.</w:t>
      </w:r>
    </w:p>
    <w:p w14:paraId="2A75482E" w14:textId="5E1ECD94" w:rsidR="00C46A3A" w:rsidRPr="00237E27" w:rsidRDefault="00C46A3A" w:rsidP="00C46A3A">
      <w:pPr>
        <w:pStyle w:val="Heading2"/>
        <w:rPr>
          <w:sz w:val="24"/>
        </w:rPr>
      </w:pPr>
      <w:r w:rsidRPr="00C46A3A">
        <w:rPr>
          <w:sz w:val="24"/>
        </w:rPr>
        <w:lastRenderedPageBreak/>
        <w:t>As you will be working on sensitive topics, we require the project team to undergo security clearance (SC)</w:t>
      </w:r>
      <w:r>
        <w:rPr>
          <w:sz w:val="24"/>
        </w:rPr>
        <w:t xml:space="preserve"> vetting</w:t>
      </w:r>
      <w:r w:rsidRPr="00C46A3A">
        <w:rPr>
          <w:sz w:val="24"/>
        </w:rPr>
        <w:t>. There is a minimum requirement for at least one member of your team to be SC-cleared when undertaking research for sensitive work.  The cost of SC will be covered by the</w:t>
      </w:r>
      <w:r w:rsidRPr="00237E27">
        <w:rPr>
          <w:sz w:val="24"/>
        </w:rPr>
        <w:t xml:space="preserve"> Authority. </w:t>
      </w:r>
    </w:p>
    <w:p w14:paraId="5BD72712" w14:textId="77777777" w:rsidR="00237E27" w:rsidRPr="00237E27" w:rsidRDefault="00237E27" w:rsidP="00237E27">
      <w:pPr>
        <w:pStyle w:val="Heading2"/>
        <w:rPr>
          <w:sz w:val="24"/>
          <w:szCs w:val="24"/>
        </w:rPr>
      </w:pPr>
      <w:r w:rsidRPr="00237E27">
        <w:rPr>
          <w:sz w:val="24"/>
          <w:szCs w:val="24"/>
        </w:rPr>
        <w:t xml:space="preserve">The Authority must be notified in advance where staffing in the team will change, to ensure sufficient time to undertake and complete the required level of security vetting. </w:t>
      </w:r>
    </w:p>
    <w:p w14:paraId="7C9AE401" w14:textId="08372781" w:rsidR="00237E27" w:rsidRPr="00237E27" w:rsidRDefault="00237E27" w:rsidP="00237E27">
      <w:pPr>
        <w:pStyle w:val="Heading2"/>
        <w:rPr>
          <w:sz w:val="24"/>
          <w:szCs w:val="24"/>
        </w:rPr>
      </w:pPr>
      <w:r w:rsidRPr="00237E27">
        <w:rPr>
          <w:sz w:val="24"/>
          <w:szCs w:val="24"/>
        </w:rPr>
        <w:t>The Authority will require site/premises access on request.</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10" w:name="_Toc522714850"/>
      <w:bookmarkStart w:id="111" w:name="_Toc368573042"/>
      <w:r w:rsidRPr="001A45DF">
        <w:rPr>
          <w:rFonts w:cs="Arial"/>
          <w:sz w:val="32"/>
          <w:szCs w:val="32"/>
        </w:rPr>
        <w:t>payment</w:t>
      </w:r>
      <w:r w:rsidR="00ED2129" w:rsidRPr="001A45DF">
        <w:rPr>
          <w:rFonts w:cs="Arial"/>
          <w:sz w:val="32"/>
          <w:szCs w:val="32"/>
        </w:rPr>
        <w:t xml:space="preserve"> AND INVOICING</w:t>
      </w:r>
      <w:bookmarkEnd w:id="110"/>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E6E901A" w14:textId="77777777" w:rsidR="0012006C" w:rsidRDefault="00237E27" w:rsidP="0012006C">
      <w:pPr>
        <w:pStyle w:val="Heading2"/>
        <w:numPr>
          <w:ilvl w:val="0"/>
          <w:numId w:val="0"/>
        </w:numPr>
        <w:ind w:left="1288" w:hanging="720"/>
        <w:rPr>
          <w:rFonts w:cs="Arial"/>
          <w:color w:val="0B0C0C"/>
          <w:szCs w:val="22"/>
        </w:rPr>
      </w:pPr>
      <w:r w:rsidRPr="0012006C">
        <w:rPr>
          <w:rFonts w:cs="Arial"/>
          <w:color w:val="000000"/>
          <w:sz w:val="24"/>
          <w:szCs w:val="24"/>
          <w:shd w:val="clear" w:color="auto" w:fill="FFFFFF"/>
        </w:rPr>
        <w:t xml:space="preserve">Invoices should be emailed to </w:t>
      </w:r>
      <w:bookmarkStart w:id="112" w:name="_Toc522714851"/>
      <w:bookmarkEnd w:id="111"/>
      <w:r w:rsidR="0012006C">
        <w:rPr>
          <w:rFonts w:cs="Arial"/>
          <w:b/>
          <w:bCs/>
          <w:color w:val="FF0000"/>
          <w:szCs w:val="22"/>
        </w:rPr>
        <w:t>REDACTED TEXT under FOIA Section 40, Personal Information</w:t>
      </w:r>
      <w:r w:rsidR="0012006C">
        <w:rPr>
          <w:rFonts w:cs="Arial"/>
          <w:color w:val="0B0C0C"/>
          <w:szCs w:val="22"/>
        </w:rPr>
        <w:t>.</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CONTRACT MANAGEMENT</w:t>
      </w:r>
      <w:bookmarkEnd w:id="112"/>
      <w:r w:rsidR="00FE18AC" w:rsidRPr="001A45DF">
        <w:rPr>
          <w:rFonts w:cs="Arial"/>
          <w:sz w:val="32"/>
          <w:szCs w:val="32"/>
        </w:rPr>
        <w:t xml:space="preserve"> </w:t>
      </w:r>
    </w:p>
    <w:p w14:paraId="788E4129" w14:textId="3B84278C" w:rsidR="00BE5FEF"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57EDEEFD" w14:textId="7EBA8E60" w:rsidR="00237E27" w:rsidRPr="009106C8" w:rsidRDefault="00237E27" w:rsidP="00BE5FEF">
      <w:pPr>
        <w:pStyle w:val="Heading2"/>
        <w:spacing w:after="120"/>
        <w:ind w:left="709" w:hanging="709"/>
        <w:rPr>
          <w:sz w:val="24"/>
          <w:szCs w:val="24"/>
        </w:rPr>
      </w:pPr>
      <w:r w:rsidRPr="00237E27">
        <w:rPr>
          <w:sz w:val="24"/>
          <w:szCs w:val="24"/>
        </w:rPr>
        <w:t>These should occur on a quarterly basis. However, the supplier should be willing to hold these more frequently if necessary.</w:t>
      </w:r>
    </w:p>
    <w:p w14:paraId="04BBE808" w14:textId="77777777" w:rsidR="00671798" w:rsidRPr="009106C8" w:rsidRDefault="00FE18AC">
      <w:pPr>
        <w:pStyle w:val="Heading1"/>
        <w:spacing w:after="120"/>
        <w:rPr>
          <w:sz w:val="32"/>
          <w:szCs w:val="32"/>
        </w:rPr>
      </w:pPr>
      <w:bookmarkStart w:id="113" w:name="_Toc368573043"/>
      <w:bookmarkStart w:id="114" w:name="_Toc522714852"/>
      <w:bookmarkEnd w:id="92"/>
      <w:r w:rsidRPr="009106C8">
        <w:rPr>
          <w:sz w:val="32"/>
          <w:szCs w:val="32"/>
        </w:rPr>
        <w:t>Location</w:t>
      </w:r>
      <w:bookmarkEnd w:id="113"/>
      <w:bookmarkEnd w:id="114"/>
      <w:r w:rsidRPr="009106C8">
        <w:rPr>
          <w:sz w:val="32"/>
          <w:szCs w:val="32"/>
        </w:rPr>
        <w:t xml:space="preserve"> </w:t>
      </w:r>
    </w:p>
    <w:p w14:paraId="0E531ACC" w14:textId="26693BCA" w:rsidR="00926958" w:rsidRPr="00A74FE3" w:rsidRDefault="00237E27" w:rsidP="00C46A3A">
      <w:pPr>
        <w:pStyle w:val="Heading2"/>
        <w:numPr>
          <w:ilvl w:val="0"/>
          <w:numId w:val="0"/>
        </w:numPr>
        <w:spacing w:after="120"/>
        <w:ind w:left="720"/>
      </w:pPr>
      <w:r w:rsidRPr="00C46A3A">
        <w:rPr>
          <w:sz w:val="24"/>
          <w:szCs w:val="24"/>
        </w:rPr>
        <w:t xml:space="preserve">The location of the Services will be carried out at the </w:t>
      </w:r>
      <w:r w:rsidR="00086CDA">
        <w:rPr>
          <w:sz w:val="24"/>
          <w:szCs w:val="24"/>
        </w:rPr>
        <w:t>Supplier</w:t>
      </w:r>
      <w:r w:rsidRPr="00C46A3A">
        <w:rPr>
          <w:sz w:val="24"/>
          <w:szCs w:val="24"/>
        </w:rPr>
        <w:t xml:space="preserve">’s premises. Meetings will be held either at the </w:t>
      </w:r>
      <w:r w:rsidR="00086CDA">
        <w:rPr>
          <w:sz w:val="24"/>
          <w:szCs w:val="24"/>
        </w:rPr>
        <w:t>Supplier</w:t>
      </w:r>
      <w:r w:rsidRPr="00C46A3A">
        <w:rPr>
          <w:sz w:val="24"/>
          <w:szCs w:val="24"/>
        </w:rPr>
        <w:t xml:space="preserve">’s premises or </w:t>
      </w:r>
      <w:r w:rsidR="00592016">
        <w:rPr>
          <w:rFonts w:cs="Arial"/>
          <w:b/>
          <w:bCs/>
          <w:color w:val="FF0000"/>
          <w:szCs w:val="22"/>
        </w:rPr>
        <w:t>REDACTED TEXT under FOIA Section 40, Personal Information</w:t>
      </w:r>
      <w:r w:rsidR="00592016">
        <w:rPr>
          <w:rFonts w:cs="Arial"/>
          <w:color w:val="0B0C0C"/>
          <w:szCs w:val="22"/>
        </w:rPr>
        <w:t>.</w:t>
      </w:r>
      <w:bookmarkStart w:id="115" w:name="_GoBack"/>
      <w:bookmarkEnd w:id="115"/>
      <w:r w:rsidRPr="00C46A3A">
        <w:rPr>
          <w:sz w:val="24"/>
          <w:szCs w:val="24"/>
        </w:rPr>
        <w:t>, which shall be confirmed at the inception meeting. Where it is not possible to hold a meeting face-to-face, telephone calls and video conferencing will be used for communication.</w:t>
      </w:r>
    </w:p>
    <w:sectPr w:rsidR="00926958" w:rsidRPr="00A74FE3" w:rsidSect="00703BF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C47B7" w14:textId="77777777" w:rsidR="00C870C7" w:rsidRDefault="00C870C7">
      <w:pPr>
        <w:spacing w:line="20" w:lineRule="exact"/>
      </w:pPr>
    </w:p>
  </w:endnote>
  <w:endnote w:type="continuationSeparator" w:id="0">
    <w:p w14:paraId="47A7127E" w14:textId="77777777" w:rsidR="00C870C7" w:rsidRDefault="00C870C7">
      <w:pPr>
        <w:spacing w:line="20" w:lineRule="exact"/>
      </w:pPr>
      <w:r>
        <w:t xml:space="preserve"> </w:t>
      </w:r>
    </w:p>
  </w:endnote>
  <w:endnote w:type="continuationNotice" w:id="1">
    <w:p w14:paraId="3351D04E" w14:textId="77777777" w:rsidR="00C870C7" w:rsidRDefault="00C870C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6318F05F" w14:textId="7177A1BD" w:rsidR="00C52C2C" w:rsidRPr="00985B4D" w:rsidRDefault="00C52C2C" w:rsidP="00C574BD">
        <w:pPr>
          <w:pStyle w:val="Footer"/>
          <w:rPr>
            <w:sz w:val="20"/>
            <w:szCs w:val="20"/>
          </w:rP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3876BADC" w14:textId="77777777" w:rsidR="00C574BD" w:rsidRDefault="00C574BD" w:rsidP="00C574BD">
        <w:pPr>
          <w:tabs>
            <w:tab w:val="center" w:pos="4513"/>
            <w:tab w:val="right" w:pos="9026"/>
          </w:tabs>
          <w:rPr>
            <w:rFonts w:cs="Arial"/>
            <w:sz w:val="20"/>
          </w:rPr>
        </w:pPr>
      </w:p>
      <w:p w14:paraId="3DEB5EF7" w14:textId="77777777" w:rsidR="00C574BD" w:rsidRDefault="00C574BD" w:rsidP="00C574BD">
        <w:pPr>
          <w:tabs>
            <w:tab w:val="center" w:pos="4513"/>
            <w:tab w:val="right" w:pos="9026"/>
          </w:tabs>
          <w:rPr>
            <w:rFonts w:eastAsia="Arial"/>
            <w:sz w:val="20"/>
            <w:szCs w:val="20"/>
          </w:rPr>
        </w:pPr>
        <w:r>
          <w:rPr>
            <w:rFonts w:eastAsia="Arial"/>
            <w:sz w:val="20"/>
            <w:szCs w:val="20"/>
          </w:rPr>
          <w:t>RM6126 - Research &amp; Insights DPS</w:t>
        </w:r>
      </w:p>
      <w:p w14:paraId="09A709CB" w14:textId="77777777" w:rsidR="00C574BD" w:rsidRDefault="00C574BD" w:rsidP="00C574BD">
        <w:pPr>
          <w:tabs>
            <w:tab w:val="center" w:pos="4513"/>
            <w:tab w:val="right" w:pos="9026"/>
          </w:tabs>
          <w:rPr>
            <w:rFonts w:cs="Arial"/>
            <w:sz w:val="20"/>
          </w:rPr>
        </w:pPr>
        <w:r w:rsidRPr="007E12FE">
          <w:rPr>
            <w:rFonts w:cs="Arial"/>
            <w:sz w:val="20"/>
          </w:rPr>
          <w:t>Project Version: v1.0</w:t>
        </w:r>
      </w:p>
      <w:p w14:paraId="682F5EFA" w14:textId="77777777" w:rsidR="00C574BD" w:rsidRPr="007E12FE" w:rsidRDefault="00C574BD" w:rsidP="00C574BD">
        <w:pPr>
          <w:pStyle w:val="Footer"/>
          <w:rPr>
            <w:rFonts w:cs="Arial"/>
            <w:sz w:val="20"/>
          </w:rPr>
        </w:pPr>
        <w:r>
          <w:rPr>
            <w:rFonts w:cs="Arial"/>
            <w:sz w:val="20"/>
          </w:rPr>
          <w:t>Model Version: v1</w:t>
        </w:r>
        <w:r w:rsidRPr="007E12FE">
          <w:rPr>
            <w:rFonts w:cs="Arial"/>
            <w:sz w:val="20"/>
          </w:rPr>
          <w:t>.0</w:t>
        </w:r>
      </w:p>
      <w:p w14:paraId="5214230D" w14:textId="0A7ED596" w:rsidR="00C52C2C" w:rsidRDefault="00C870C7"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BE2F" w14:textId="77777777" w:rsidR="00C870C7" w:rsidRDefault="00C870C7">
      <w:r>
        <w:separator/>
      </w:r>
    </w:p>
  </w:footnote>
  <w:footnote w:type="continuationSeparator" w:id="0">
    <w:p w14:paraId="34F7E4AE" w14:textId="77777777" w:rsidR="00C870C7" w:rsidRDefault="00C870C7">
      <w:r>
        <w:continuationSeparator/>
      </w:r>
    </w:p>
  </w:footnote>
  <w:footnote w:type="continuationNotice" w:id="1">
    <w:p w14:paraId="7545A22B" w14:textId="77777777" w:rsidR="00C870C7" w:rsidRDefault="00C87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0C46" w14:textId="77777777" w:rsidR="00C574BD" w:rsidRPr="005C04C4" w:rsidRDefault="00C574BD" w:rsidP="00C574BD">
    <w:pPr>
      <w:pStyle w:val="Header"/>
      <w:rPr>
        <w:rFonts w:cs="Arial"/>
        <w:sz w:val="20"/>
        <w:szCs w:val="20"/>
      </w:rPr>
    </w:pPr>
    <w:r>
      <w:rPr>
        <w:rFonts w:cs="Arial"/>
        <w:sz w:val="20"/>
        <w:szCs w:val="20"/>
      </w:rPr>
      <w:t>Order</w:t>
    </w:r>
    <w:r w:rsidRPr="005C04C4">
      <w:rPr>
        <w:rFonts w:cs="Arial"/>
        <w:sz w:val="20"/>
        <w:szCs w:val="20"/>
      </w:rPr>
      <w:t xml:space="preserve"> Schedule 20 (</w:t>
    </w:r>
    <w:r>
      <w:rPr>
        <w:rFonts w:cs="Arial"/>
        <w:sz w:val="20"/>
        <w:szCs w:val="20"/>
      </w:rPr>
      <w:t>Order</w:t>
    </w:r>
    <w:r w:rsidRPr="005C04C4">
      <w:rPr>
        <w:rFonts w:cs="Arial"/>
        <w:sz w:val="20"/>
        <w:szCs w:val="20"/>
      </w:rPr>
      <w:t xml:space="preserve"> Specification)</w:t>
    </w:r>
  </w:p>
  <w:p w14:paraId="58E3B836" w14:textId="315D155D" w:rsidR="00C574BD" w:rsidRPr="005C04C4" w:rsidRDefault="00C574BD" w:rsidP="00C574BD">
    <w:pPr>
      <w:pStyle w:val="Header"/>
      <w:rPr>
        <w:rFonts w:cs="Arial"/>
        <w:sz w:val="20"/>
        <w:szCs w:val="20"/>
      </w:rPr>
    </w:pPr>
    <w:r>
      <w:rPr>
        <w:rFonts w:cs="Arial"/>
        <w:sz w:val="20"/>
        <w:szCs w:val="20"/>
      </w:rPr>
      <w:t>Order</w:t>
    </w:r>
    <w:r w:rsidRPr="005C04C4">
      <w:rPr>
        <w:rFonts w:cs="Arial"/>
        <w:sz w:val="20"/>
        <w:szCs w:val="20"/>
      </w:rPr>
      <w:t xml:space="preserve"> Ref:</w:t>
    </w:r>
    <w:r>
      <w:rPr>
        <w:rFonts w:cs="Arial"/>
        <w:sz w:val="20"/>
        <w:szCs w:val="20"/>
      </w:rPr>
      <w:t xml:space="preserve"> CCZZ22A14</w:t>
    </w:r>
  </w:p>
  <w:p w14:paraId="331EE747" w14:textId="77777777" w:rsidR="00C574BD" w:rsidRPr="005C04C4" w:rsidRDefault="00C574BD" w:rsidP="00C574BD">
    <w:pPr>
      <w:pStyle w:val="Header"/>
      <w:rPr>
        <w:rFonts w:cs="Arial"/>
        <w:sz w:val="20"/>
        <w:szCs w:val="20"/>
      </w:rPr>
    </w:pPr>
    <w:r>
      <w:rPr>
        <w:rFonts w:cs="Arial"/>
        <w:sz w:val="20"/>
        <w:szCs w:val="20"/>
      </w:rPr>
      <w:t>Crown Copyright 2021</w:t>
    </w:r>
  </w:p>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288"/>
        </w:tabs>
        <w:ind w:left="1288"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 w:numId="36">
    <w:abstractNumId w:val="25"/>
  </w:num>
  <w:num w:numId="37">
    <w:abstractNumId w:val="25"/>
  </w:num>
  <w:num w:numId="38">
    <w:abstractNumId w:val="25"/>
  </w:num>
  <w:num w:numId="3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33BC"/>
    <w:rsid w:val="00074357"/>
    <w:rsid w:val="00074D97"/>
    <w:rsid w:val="00074DC0"/>
    <w:rsid w:val="000763EA"/>
    <w:rsid w:val="00076448"/>
    <w:rsid w:val="000812AE"/>
    <w:rsid w:val="00082732"/>
    <w:rsid w:val="0008330B"/>
    <w:rsid w:val="00086CDA"/>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006C"/>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3F91"/>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37E27"/>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2101"/>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3C12"/>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1EF"/>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016"/>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075B"/>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27143"/>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1E05"/>
    <w:rsid w:val="00A326AA"/>
    <w:rsid w:val="00A32EAE"/>
    <w:rsid w:val="00A33F0B"/>
    <w:rsid w:val="00A3630D"/>
    <w:rsid w:val="00A363DA"/>
    <w:rsid w:val="00A37384"/>
    <w:rsid w:val="00A4055F"/>
    <w:rsid w:val="00A40C41"/>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09C0"/>
    <w:rsid w:val="00AB1D5F"/>
    <w:rsid w:val="00AB262A"/>
    <w:rsid w:val="00AB2C25"/>
    <w:rsid w:val="00AB4B48"/>
    <w:rsid w:val="00AB4FFF"/>
    <w:rsid w:val="00AB55DE"/>
    <w:rsid w:val="00AB656C"/>
    <w:rsid w:val="00AB65D2"/>
    <w:rsid w:val="00AB66B3"/>
    <w:rsid w:val="00AB6CFB"/>
    <w:rsid w:val="00AB7996"/>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2794"/>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76BB3"/>
    <w:rsid w:val="00B81025"/>
    <w:rsid w:val="00B81D11"/>
    <w:rsid w:val="00B82F46"/>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46A3A"/>
    <w:rsid w:val="00C50014"/>
    <w:rsid w:val="00C50E68"/>
    <w:rsid w:val="00C52C2C"/>
    <w:rsid w:val="00C5443A"/>
    <w:rsid w:val="00C569A3"/>
    <w:rsid w:val="00C574BD"/>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0C7"/>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3D32"/>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74B9"/>
    <w:rsid w:val="00E57A45"/>
    <w:rsid w:val="00E613F6"/>
    <w:rsid w:val="00E63261"/>
    <w:rsid w:val="00E63383"/>
    <w:rsid w:val="00E63412"/>
    <w:rsid w:val="00E6347A"/>
    <w:rsid w:val="00E63E21"/>
    <w:rsid w:val="00E66849"/>
    <w:rsid w:val="00E676F1"/>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GPSL2Numbered">
    <w:name w:val="GPS L2 Numbered"/>
    <w:basedOn w:val="Normal"/>
    <w:link w:val="GPSL2NumberedChar"/>
    <w:qFormat/>
    <w:rsid w:val="00C574BD"/>
    <w:pPr>
      <w:tabs>
        <w:tab w:val="left" w:pos="709"/>
        <w:tab w:val="left" w:pos="1134"/>
      </w:tabs>
      <w:adjustRightInd w:val="0"/>
      <w:spacing w:before="120" w:after="120"/>
      <w:ind w:left="644" w:hanging="360"/>
      <w:jc w:val="both"/>
    </w:pPr>
    <w:rPr>
      <w:rFonts w:ascii="Calibri" w:eastAsia="Times New Roman" w:hAnsi="Calibri" w:cs="Arial"/>
      <w:szCs w:val="22"/>
    </w:rPr>
  </w:style>
  <w:style w:type="character" w:customStyle="1" w:styleId="GPSL2NumberedChar">
    <w:name w:val="GPS L2 Numbered Char"/>
    <w:link w:val="GPSL2Numbered"/>
    <w:locked/>
    <w:rsid w:val="00C574BD"/>
    <w:rPr>
      <w:rFonts w:ascii="Calibri" w:hAnsi="Calibr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37889-0B46-4CD5-B743-39F20E2B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Lucy Ferriman</cp:lastModifiedBy>
  <cp:revision>4</cp:revision>
  <dcterms:created xsi:type="dcterms:W3CDTF">2022-09-29T16:20:00Z</dcterms:created>
  <dcterms:modified xsi:type="dcterms:W3CDTF">2022-09-29T16:34:00Z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