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11C44" w14:textId="77777777" w:rsidR="00FE18AC" w:rsidRDefault="00FE18AC" w:rsidP="00FE18AC">
      <w:pPr>
        <w:pStyle w:val="bodystrongcentred"/>
      </w:pPr>
      <w:bookmarkStart w:id="0" w:name="_GoBack"/>
      <w:bookmarkEnd w:id="0"/>
      <w:r>
        <w:t>CONTENTS</w:t>
      </w:r>
    </w:p>
    <w:p w14:paraId="757634AA" w14:textId="77777777" w:rsidR="00FE18AC" w:rsidRDefault="00FE18AC" w:rsidP="00FE18AC"/>
    <w:p w14:paraId="2BF91B1D" w14:textId="50603B2C" w:rsidR="00C63168" w:rsidRPr="00C63168" w:rsidRDefault="00E10E97">
      <w:pPr>
        <w:pStyle w:val="TOC1"/>
        <w:rPr>
          <w:rFonts w:asciiTheme="minorHAnsi" w:eastAsiaTheme="minorEastAsia" w:hAnsiTheme="minorHAnsi" w:cstheme="minorBidi"/>
          <w:caps w:val="0"/>
          <w:noProof/>
          <w:sz w:val="24"/>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7793189" w:history="1">
        <w:r w:rsidR="00C63168" w:rsidRPr="00C63168">
          <w:rPr>
            <w:rStyle w:val="Hyperlink"/>
            <w:noProof/>
            <w:sz w:val="24"/>
          </w:rPr>
          <w:t>1.</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ascii="Arial Bold" w:hAnsi="Arial Bold"/>
            <w:noProof/>
            <w:sz w:val="24"/>
          </w:rPr>
          <w:t>PURPOSE</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_Toc7793189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2</w:t>
        </w:r>
        <w:r w:rsidR="00C63168" w:rsidRPr="00C63168">
          <w:rPr>
            <w:noProof/>
            <w:webHidden/>
            <w:sz w:val="24"/>
          </w:rPr>
          <w:fldChar w:fldCharType="end"/>
        </w:r>
      </w:hyperlink>
    </w:p>
    <w:p w14:paraId="0E91E129" w14:textId="37C067B5"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0" w:history="1">
        <w:r w:rsidR="00C63168" w:rsidRPr="00C63168">
          <w:rPr>
            <w:rStyle w:val="Hyperlink"/>
            <w:noProof/>
            <w:sz w:val="24"/>
          </w:rPr>
          <w:t>2.</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noProof/>
            <w:sz w:val="24"/>
          </w:rPr>
          <w:t>BACKGROUND TO THE CONTRACTING aUTHORITY</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_Toc7793190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2</w:t>
        </w:r>
        <w:r w:rsidR="00C63168" w:rsidRPr="00C63168">
          <w:rPr>
            <w:noProof/>
            <w:webHidden/>
            <w:sz w:val="24"/>
          </w:rPr>
          <w:fldChar w:fldCharType="end"/>
        </w:r>
      </w:hyperlink>
    </w:p>
    <w:p w14:paraId="0D778929" w14:textId="5BF8086A"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1" w:history="1">
        <w:r w:rsidR="00C63168" w:rsidRPr="00C63168">
          <w:rPr>
            <w:rStyle w:val="Hyperlink"/>
            <w:noProof/>
            <w:sz w:val="24"/>
          </w:rPr>
          <w:t>3.</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noProof/>
            <w:sz w:val="24"/>
          </w:rPr>
          <w:t>Background to requirement/OVERVIEW of requirement</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_Toc7793191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2</w:t>
        </w:r>
        <w:r w:rsidR="00C63168" w:rsidRPr="00C63168">
          <w:rPr>
            <w:noProof/>
            <w:webHidden/>
            <w:sz w:val="24"/>
          </w:rPr>
          <w:fldChar w:fldCharType="end"/>
        </w:r>
      </w:hyperlink>
    </w:p>
    <w:p w14:paraId="3DD5A444" w14:textId="44058B2C"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2" w:history="1">
        <w:r w:rsidR="00C63168" w:rsidRPr="00C63168">
          <w:rPr>
            <w:rStyle w:val="Hyperlink"/>
            <w:noProof/>
            <w:sz w:val="24"/>
          </w:rPr>
          <w:t>4.</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noProof/>
            <w:sz w:val="24"/>
          </w:rPr>
          <w:t>definitions</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_Toc7793192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2</w:t>
        </w:r>
        <w:r w:rsidR="00C63168" w:rsidRPr="00C63168">
          <w:rPr>
            <w:noProof/>
            <w:webHidden/>
            <w:sz w:val="24"/>
          </w:rPr>
          <w:fldChar w:fldCharType="end"/>
        </w:r>
      </w:hyperlink>
    </w:p>
    <w:p w14:paraId="480B8B49" w14:textId="4CDCBAC8"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3" w:history="1">
        <w:r w:rsidR="00C63168" w:rsidRPr="00C63168">
          <w:rPr>
            <w:rStyle w:val="Hyperlink"/>
            <w:noProof/>
            <w:sz w:val="24"/>
          </w:rPr>
          <w:t>5.</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noProof/>
            <w:sz w:val="24"/>
          </w:rPr>
          <w:t>scope of requirement</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_Toc7793193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3</w:t>
        </w:r>
        <w:r w:rsidR="00C63168" w:rsidRPr="00C63168">
          <w:rPr>
            <w:noProof/>
            <w:webHidden/>
            <w:sz w:val="24"/>
          </w:rPr>
          <w:fldChar w:fldCharType="end"/>
        </w:r>
      </w:hyperlink>
    </w:p>
    <w:p w14:paraId="7DEB4D67" w14:textId="0FD67B1E"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4" w:history="1">
        <w:r w:rsidR="00C63168" w:rsidRPr="00C63168">
          <w:rPr>
            <w:rStyle w:val="Hyperlink"/>
            <w:noProof/>
            <w:sz w:val="24"/>
          </w:rPr>
          <w:t>6.</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noProof/>
            <w:sz w:val="24"/>
          </w:rPr>
          <w:t>The requirement</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_Toc7793194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4</w:t>
        </w:r>
        <w:r w:rsidR="00C63168" w:rsidRPr="00C63168">
          <w:rPr>
            <w:noProof/>
            <w:webHidden/>
            <w:sz w:val="24"/>
          </w:rPr>
          <w:fldChar w:fldCharType="end"/>
        </w:r>
      </w:hyperlink>
    </w:p>
    <w:p w14:paraId="4705591C" w14:textId="661622AC"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5" w:history="1">
        <w:r w:rsidR="00C63168" w:rsidRPr="00C63168">
          <w:rPr>
            <w:rStyle w:val="Hyperlink"/>
            <w:noProof/>
            <w:sz w:val="24"/>
          </w:rPr>
          <w:t>7.</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noProof/>
            <w:sz w:val="24"/>
          </w:rPr>
          <w:t>key milestones and Deliverables</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_Toc7793195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4</w:t>
        </w:r>
        <w:r w:rsidR="00C63168" w:rsidRPr="00C63168">
          <w:rPr>
            <w:noProof/>
            <w:webHidden/>
            <w:sz w:val="24"/>
          </w:rPr>
          <w:fldChar w:fldCharType="end"/>
        </w:r>
      </w:hyperlink>
    </w:p>
    <w:p w14:paraId="33386835" w14:textId="3AE9270A"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6" w:history="1">
        <w:r w:rsidR="00C63168" w:rsidRPr="00C63168">
          <w:rPr>
            <w:rStyle w:val="Hyperlink"/>
            <w:rFonts w:cs="Arial"/>
            <w:noProof/>
            <w:sz w:val="24"/>
          </w:rPr>
          <w:t>8.</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MANAGEMENT INFORMATION/reporting</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_Toc7793196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5</w:t>
        </w:r>
        <w:r w:rsidR="00C63168" w:rsidRPr="00C63168">
          <w:rPr>
            <w:noProof/>
            <w:webHidden/>
            <w:sz w:val="24"/>
          </w:rPr>
          <w:fldChar w:fldCharType="end"/>
        </w:r>
      </w:hyperlink>
    </w:p>
    <w:p w14:paraId="16027559" w14:textId="272DF022"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7" w:history="1">
        <w:r w:rsidR="00C63168" w:rsidRPr="00C63168">
          <w:rPr>
            <w:rStyle w:val="Hyperlink"/>
            <w:rFonts w:cs="Arial"/>
            <w:noProof/>
            <w:sz w:val="24"/>
          </w:rPr>
          <w:t>9.</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volumes</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_Toc7793197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5</w:t>
        </w:r>
        <w:r w:rsidR="00C63168" w:rsidRPr="00C63168">
          <w:rPr>
            <w:noProof/>
            <w:webHidden/>
            <w:sz w:val="24"/>
          </w:rPr>
          <w:fldChar w:fldCharType="end"/>
        </w:r>
      </w:hyperlink>
    </w:p>
    <w:p w14:paraId="775CA4BB" w14:textId="61BC8148"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8" w:history="1">
        <w:r w:rsidR="00C63168" w:rsidRPr="00C63168">
          <w:rPr>
            <w:rStyle w:val="Hyperlink"/>
            <w:rFonts w:cs="Arial"/>
            <w:noProof/>
            <w:sz w:val="24"/>
          </w:rPr>
          <w:t>10.</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continuous improvement</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_Toc7793198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5</w:t>
        </w:r>
        <w:r w:rsidR="00C63168" w:rsidRPr="00C63168">
          <w:rPr>
            <w:noProof/>
            <w:webHidden/>
            <w:sz w:val="24"/>
          </w:rPr>
          <w:fldChar w:fldCharType="end"/>
        </w:r>
      </w:hyperlink>
    </w:p>
    <w:p w14:paraId="38288C20" w14:textId="00463067"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199" w:history="1">
        <w:r w:rsidR="00C63168" w:rsidRPr="00C63168">
          <w:rPr>
            <w:rStyle w:val="Hyperlink"/>
            <w:rFonts w:cs="Arial"/>
            <w:noProof/>
            <w:sz w:val="24"/>
          </w:rPr>
          <w:t>11.</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quality</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_Toc7793199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6</w:t>
        </w:r>
        <w:r w:rsidR="00C63168" w:rsidRPr="00C63168">
          <w:rPr>
            <w:noProof/>
            <w:webHidden/>
            <w:sz w:val="24"/>
          </w:rPr>
          <w:fldChar w:fldCharType="end"/>
        </w:r>
      </w:hyperlink>
    </w:p>
    <w:p w14:paraId="06947A93" w14:textId="0EA0222A"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200" w:history="1">
        <w:r w:rsidR="00C63168" w:rsidRPr="00C63168">
          <w:rPr>
            <w:rStyle w:val="Hyperlink"/>
            <w:rFonts w:cs="Arial"/>
            <w:noProof/>
            <w:sz w:val="24"/>
          </w:rPr>
          <w:t>12.</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PRICE</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_Toc7793200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6</w:t>
        </w:r>
        <w:r w:rsidR="00C63168" w:rsidRPr="00C63168">
          <w:rPr>
            <w:noProof/>
            <w:webHidden/>
            <w:sz w:val="24"/>
          </w:rPr>
          <w:fldChar w:fldCharType="end"/>
        </w:r>
      </w:hyperlink>
    </w:p>
    <w:p w14:paraId="092F0FCE" w14:textId="3CA7CEDC"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201" w:history="1">
        <w:r w:rsidR="00C63168" w:rsidRPr="00C63168">
          <w:rPr>
            <w:rStyle w:val="Hyperlink"/>
            <w:rFonts w:cs="Arial"/>
            <w:noProof/>
            <w:sz w:val="24"/>
          </w:rPr>
          <w:t>13.</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STAFF AND CUSTOMER SERVICE</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_Toc7793201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6</w:t>
        </w:r>
        <w:r w:rsidR="00C63168" w:rsidRPr="00C63168">
          <w:rPr>
            <w:noProof/>
            <w:webHidden/>
            <w:sz w:val="24"/>
          </w:rPr>
          <w:fldChar w:fldCharType="end"/>
        </w:r>
      </w:hyperlink>
    </w:p>
    <w:p w14:paraId="6D7E005D" w14:textId="72434444"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202" w:history="1">
        <w:r w:rsidR="00C63168" w:rsidRPr="00C63168">
          <w:rPr>
            <w:rStyle w:val="Hyperlink"/>
            <w:rFonts w:cs="Arial"/>
            <w:noProof/>
            <w:sz w:val="24"/>
          </w:rPr>
          <w:t>14.</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service levels and performance</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_Toc7793202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6</w:t>
        </w:r>
        <w:r w:rsidR="00C63168" w:rsidRPr="00C63168">
          <w:rPr>
            <w:noProof/>
            <w:webHidden/>
            <w:sz w:val="24"/>
          </w:rPr>
          <w:fldChar w:fldCharType="end"/>
        </w:r>
      </w:hyperlink>
    </w:p>
    <w:p w14:paraId="15E0E846" w14:textId="0B9B4869"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203" w:history="1">
        <w:r w:rsidR="00C63168" w:rsidRPr="00C63168">
          <w:rPr>
            <w:rStyle w:val="Hyperlink"/>
            <w:noProof/>
            <w:sz w:val="24"/>
          </w:rPr>
          <w:t>15.</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noProof/>
            <w:sz w:val="24"/>
          </w:rPr>
          <w:t>TERMINATION</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_Toc7793203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7</w:t>
        </w:r>
        <w:r w:rsidR="00C63168" w:rsidRPr="00C63168">
          <w:rPr>
            <w:noProof/>
            <w:webHidden/>
            <w:sz w:val="24"/>
          </w:rPr>
          <w:fldChar w:fldCharType="end"/>
        </w:r>
      </w:hyperlink>
    </w:p>
    <w:p w14:paraId="703B7BE6" w14:textId="52DB449C"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204" w:history="1">
        <w:r w:rsidR="00C63168" w:rsidRPr="00C63168">
          <w:rPr>
            <w:rStyle w:val="Hyperlink"/>
            <w:noProof/>
            <w:sz w:val="24"/>
          </w:rPr>
          <w:t>16.</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noProof/>
            <w:sz w:val="24"/>
          </w:rPr>
          <w:t>Security and CONFIDENTIALITY requirements</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_Toc7793204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7</w:t>
        </w:r>
        <w:r w:rsidR="00C63168" w:rsidRPr="00C63168">
          <w:rPr>
            <w:noProof/>
            <w:webHidden/>
            <w:sz w:val="24"/>
          </w:rPr>
          <w:fldChar w:fldCharType="end"/>
        </w:r>
      </w:hyperlink>
    </w:p>
    <w:p w14:paraId="350D28C8" w14:textId="5969CDD6"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205" w:history="1">
        <w:r w:rsidR="00C63168" w:rsidRPr="00C63168">
          <w:rPr>
            <w:rStyle w:val="Hyperlink"/>
            <w:rFonts w:cs="Arial"/>
            <w:noProof/>
            <w:sz w:val="24"/>
          </w:rPr>
          <w:t>17.</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payment AND INVOICING</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_Toc7793205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7</w:t>
        </w:r>
        <w:r w:rsidR="00C63168" w:rsidRPr="00C63168">
          <w:rPr>
            <w:noProof/>
            <w:webHidden/>
            <w:sz w:val="24"/>
          </w:rPr>
          <w:fldChar w:fldCharType="end"/>
        </w:r>
      </w:hyperlink>
    </w:p>
    <w:p w14:paraId="54E24ECE" w14:textId="075E2701" w:rsidR="00C63168" w:rsidRPr="00C63168" w:rsidRDefault="00587981">
      <w:pPr>
        <w:pStyle w:val="TOC1"/>
        <w:rPr>
          <w:rFonts w:asciiTheme="minorHAnsi" w:eastAsiaTheme="minorEastAsia" w:hAnsiTheme="minorHAnsi" w:cstheme="minorBidi"/>
          <w:caps w:val="0"/>
          <w:noProof/>
          <w:sz w:val="24"/>
          <w:szCs w:val="22"/>
          <w:lang w:eastAsia="en-GB"/>
        </w:rPr>
      </w:pPr>
      <w:hyperlink w:anchor="_Toc7793206" w:history="1">
        <w:r w:rsidR="00C63168" w:rsidRPr="00C63168">
          <w:rPr>
            <w:rStyle w:val="Hyperlink"/>
            <w:rFonts w:cs="Arial"/>
            <w:noProof/>
            <w:sz w:val="24"/>
          </w:rPr>
          <w:t>18.</w:t>
        </w:r>
        <w:r w:rsidR="00C63168" w:rsidRPr="00C63168">
          <w:rPr>
            <w:rFonts w:asciiTheme="minorHAnsi" w:eastAsiaTheme="minorEastAsia" w:hAnsiTheme="minorHAnsi" w:cstheme="minorBidi"/>
            <w:caps w:val="0"/>
            <w:noProof/>
            <w:sz w:val="24"/>
            <w:szCs w:val="22"/>
            <w:lang w:eastAsia="en-GB"/>
          </w:rPr>
          <w:tab/>
        </w:r>
        <w:r w:rsidR="00C63168" w:rsidRPr="00C63168">
          <w:rPr>
            <w:rStyle w:val="Hyperlink"/>
            <w:rFonts w:cs="Arial"/>
            <w:noProof/>
            <w:sz w:val="24"/>
          </w:rPr>
          <w:t>CONTRACT MANAGEMENT</w:t>
        </w:r>
        <w:r w:rsidR="00C63168" w:rsidRPr="00C63168">
          <w:rPr>
            <w:noProof/>
            <w:webHidden/>
            <w:sz w:val="24"/>
          </w:rPr>
          <w:tab/>
        </w:r>
        <w:r w:rsidR="00C63168" w:rsidRPr="00C63168">
          <w:rPr>
            <w:noProof/>
            <w:webHidden/>
            <w:sz w:val="24"/>
          </w:rPr>
          <w:fldChar w:fldCharType="begin"/>
        </w:r>
        <w:r w:rsidR="00C63168" w:rsidRPr="00C63168">
          <w:rPr>
            <w:noProof/>
            <w:webHidden/>
            <w:sz w:val="24"/>
          </w:rPr>
          <w:instrText xml:space="preserve"> PAGEREF _Toc7793206 \h </w:instrText>
        </w:r>
        <w:r w:rsidR="00C63168" w:rsidRPr="00C63168">
          <w:rPr>
            <w:noProof/>
            <w:webHidden/>
            <w:sz w:val="24"/>
          </w:rPr>
        </w:r>
        <w:r w:rsidR="00C63168" w:rsidRPr="00C63168">
          <w:rPr>
            <w:noProof/>
            <w:webHidden/>
            <w:sz w:val="24"/>
          </w:rPr>
          <w:fldChar w:fldCharType="separate"/>
        </w:r>
        <w:r w:rsidR="00C63168" w:rsidRPr="00C63168">
          <w:rPr>
            <w:noProof/>
            <w:webHidden/>
            <w:sz w:val="24"/>
          </w:rPr>
          <w:t>7</w:t>
        </w:r>
        <w:r w:rsidR="00C63168" w:rsidRPr="00C63168">
          <w:rPr>
            <w:noProof/>
            <w:webHidden/>
            <w:sz w:val="24"/>
          </w:rPr>
          <w:fldChar w:fldCharType="end"/>
        </w:r>
      </w:hyperlink>
    </w:p>
    <w:p w14:paraId="374B790A" w14:textId="1F62CA56" w:rsidR="00FE18AC" w:rsidRPr="00D37BAC" w:rsidRDefault="00E10E97" w:rsidP="00FE18AC">
      <w:pPr>
        <w:spacing w:after="120"/>
        <w:jc w:val="center"/>
        <w:rPr>
          <w:b/>
        </w:rPr>
      </w:pPr>
      <w:r w:rsidRPr="00FA5229">
        <w:rPr>
          <w:rFonts w:cs="Arial"/>
          <w:caps/>
        </w:rPr>
        <w:fldChar w:fldCharType="end"/>
      </w:r>
    </w:p>
    <w:p w14:paraId="4DA4FDFA" w14:textId="73B9252B" w:rsidR="00F44D62" w:rsidRPr="00F44D62" w:rsidRDefault="00F44D62" w:rsidP="001A45DF">
      <w:pPr>
        <w:adjustRightInd w:val="0"/>
        <w:spacing w:before="60" w:after="60"/>
        <w:ind w:left="142"/>
        <w:jc w:val="center"/>
        <w:rPr>
          <w:rFonts w:eastAsia="STZhongsong" w:cs="Arial"/>
          <w:b/>
          <w:szCs w:val="22"/>
          <w:highlight w:val="yellow"/>
        </w:rPr>
      </w:pPr>
      <w:bookmarkStart w:id="1" w:name="_Toc297554772"/>
    </w:p>
    <w:p w14:paraId="207294C8" w14:textId="1B0B0BCB" w:rsidR="001A45DF" w:rsidRPr="001A45DF" w:rsidRDefault="001A45DF" w:rsidP="00BC41AC">
      <w:pPr>
        <w:pStyle w:val="Heading3"/>
        <w:numPr>
          <w:ilvl w:val="0"/>
          <w:numId w:val="0"/>
        </w:numPr>
        <w:ind w:left="426"/>
        <w:rPr>
          <w:sz w:val="24"/>
          <w:szCs w:val="24"/>
          <w:highlight w:val="green"/>
        </w:rPr>
      </w:pPr>
    </w:p>
    <w:p w14:paraId="656F4A80" w14:textId="51086C31"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2" w:name="_Toc368573027"/>
      <w:bookmarkStart w:id="3" w:name="_Toc7793189"/>
      <w:r w:rsidRPr="00B5620B">
        <w:rPr>
          <w:rFonts w:ascii="Arial Bold" w:hAnsi="Arial Bold"/>
          <w:caps w:val="0"/>
          <w:sz w:val="28"/>
          <w:szCs w:val="32"/>
        </w:rPr>
        <w:lastRenderedPageBreak/>
        <w:t>PURPOSE</w:t>
      </w:r>
      <w:bookmarkEnd w:id="1"/>
      <w:bookmarkEnd w:id="2"/>
      <w:bookmarkEnd w:id="3"/>
    </w:p>
    <w:p w14:paraId="3BDB92AC" w14:textId="6141AF7A" w:rsidR="00FE18AC" w:rsidRPr="002E3904" w:rsidRDefault="00A50AC2" w:rsidP="002E3904">
      <w:pPr>
        <w:pStyle w:val="Heading2"/>
        <w:numPr>
          <w:ilvl w:val="0"/>
          <w:numId w:val="0"/>
        </w:numPr>
        <w:overflowPunct w:val="0"/>
        <w:autoSpaceDE w:val="0"/>
        <w:autoSpaceDN w:val="0"/>
        <w:spacing w:after="120"/>
        <w:ind w:left="709"/>
        <w:textAlignment w:val="baseline"/>
        <w:rPr>
          <w:sz w:val="24"/>
          <w:szCs w:val="24"/>
        </w:rPr>
      </w:pPr>
      <w:bookmarkStart w:id="4" w:name="_Toc296415791"/>
      <w:r w:rsidRPr="002E3904">
        <w:rPr>
          <w:sz w:val="24"/>
          <w:szCs w:val="24"/>
        </w:rPr>
        <w:t xml:space="preserve">The Secretary of State for the Home Department acting through Border Force (referred to hereafter as the “Authority” requires the supply of </w:t>
      </w:r>
      <w:r w:rsidR="00BC41AC">
        <w:rPr>
          <w:sz w:val="24"/>
          <w:szCs w:val="24"/>
        </w:rPr>
        <w:t xml:space="preserve">heavy goods </w:t>
      </w:r>
      <w:r w:rsidRPr="002E3904">
        <w:rPr>
          <w:sz w:val="24"/>
          <w:szCs w:val="24"/>
        </w:rPr>
        <w:t>vehicle recovery and detention services</w:t>
      </w:r>
      <w:r w:rsidR="00E24EE7" w:rsidRPr="002E3904">
        <w:rPr>
          <w:sz w:val="24"/>
          <w:szCs w:val="24"/>
        </w:rPr>
        <w:t>.</w:t>
      </w:r>
    </w:p>
    <w:p w14:paraId="7196B137" w14:textId="77777777" w:rsidR="00671798" w:rsidRPr="00B5620B" w:rsidRDefault="00FE18AC">
      <w:pPr>
        <w:pStyle w:val="Heading1"/>
        <w:tabs>
          <w:tab w:val="clear" w:pos="720"/>
        </w:tabs>
        <w:overflowPunct w:val="0"/>
        <w:autoSpaceDE w:val="0"/>
        <w:autoSpaceDN w:val="0"/>
        <w:spacing w:after="120"/>
        <w:textAlignment w:val="baseline"/>
        <w:rPr>
          <w:sz w:val="28"/>
          <w:szCs w:val="28"/>
        </w:rPr>
      </w:pPr>
      <w:bookmarkStart w:id="5" w:name="_Toc368573028"/>
      <w:bookmarkStart w:id="6" w:name="_Toc7793190"/>
      <w:bookmarkStart w:id="7" w:name="_Toc297554773"/>
      <w:bookmarkStart w:id="8" w:name="_Toc296415805"/>
      <w:bookmarkStart w:id="9" w:name="_Toc296415793"/>
      <w:bookmarkEnd w:id="4"/>
      <w:r w:rsidRPr="00B5620B">
        <w:rPr>
          <w:sz w:val="28"/>
          <w:szCs w:val="28"/>
        </w:rPr>
        <w:t>BACKGROUND TO THE CONTRACTING aUTHORITY</w:t>
      </w:r>
      <w:bookmarkEnd w:id="5"/>
      <w:bookmarkEnd w:id="6"/>
    </w:p>
    <w:p w14:paraId="33F3A8A6" w14:textId="241E6299" w:rsidR="00156B87" w:rsidRPr="002E3904" w:rsidRDefault="00A50AC2" w:rsidP="007141C0">
      <w:pPr>
        <w:pStyle w:val="Heading2"/>
        <w:numPr>
          <w:ilvl w:val="0"/>
          <w:numId w:val="0"/>
        </w:numPr>
        <w:spacing w:after="120"/>
        <w:ind w:left="709"/>
        <w:rPr>
          <w:sz w:val="24"/>
          <w:szCs w:val="24"/>
        </w:rPr>
      </w:pPr>
      <w:r w:rsidRPr="002E3904">
        <w:rPr>
          <w:sz w:val="24"/>
          <w:szCs w:val="24"/>
        </w:rPr>
        <w:t>The Authority is the Home Office acting through Border Force. Border Force is a professional law enforcement command within the Home Office. It is responsible for securing the UK border and controlling immigration at ports and airports across the UK and Northern France</w:t>
      </w:r>
      <w:r w:rsidR="00156B87" w:rsidRPr="002E3904">
        <w:rPr>
          <w:sz w:val="24"/>
          <w:szCs w:val="24"/>
        </w:rPr>
        <w:t xml:space="preserve">. </w:t>
      </w:r>
    </w:p>
    <w:p w14:paraId="151A9D23" w14:textId="33D4A430" w:rsidR="00FE18AC" w:rsidRPr="00B5620B" w:rsidRDefault="00FE18AC" w:rsidP="00B5620B">
      <w:pPr>
        <w:pStyle w:val="Heading1"/>
        <w:jc w:val="left"/>
        <w:rPr>
          <w:sz w:val="28"/>
        </w:rPr>
      </w:pPr>
      <w:bookmarkStart w:id="10" w:name="_Toc368573029"/>
      <w:bookmarkStart w:id="11" w:name="_Toc7793191"/>
      <w:r w:rsidRPr="00B5620B">
        <w:rPr>
          <w:sz w:val="28"/>
        </w:rPr>
        <w:t>Background</w:t>
      </w:r>
      <w:r w:rsidR="00B5620B" w:rsidRPr="00B5620B">
        <w:rPr>
          <w:sz w:val="28"/>
        </w:rPr>
        <w:t xml:space="preserve"> </w:t>
      </w:r>
      <w:r w:rsidRPr="00B5620B">
        <w:rPr>
          <w:sz w:val="28"/>
        </w:rPr>
        <w:t>to requirement/OVERVIEW</w:t>
      </w:r>
      <w:bookmarkEnd w:id="7"/>
      <w:r w:rsidRPr="00B5620B">
        <w:rPr>
          <w:sz w:val="28"/>
        </w:rPr>
        <w:t xml:space="preserve"> of requirement</w:t>
      </w:r>
      <w:bookmarkEnd w:id="10"/>
      <w:bookmarkEnd w:id="11"/>
    </w:p>
    <w:p w14:paraId="15E5605B" w14:textId="6D6B841B" w:rsidR="00A50AC2" w:rsidRPr="002E3904" w:rsidRDefault="002F3DA1" w:rsidP="00A50AC2">
      <w:pPr>
        <w:pStyle w:val="Heading2"/>
        <w:spacing w:after="120"/>
        <w:ind w:left="709" w:hanging="709"/>
        <w:rPr>
          <w:sz w:val="24"/>
          <w:szCs w:val="24"/>
        </w:rPr>
      </w:pPr>
      <w:bookmarkStart w:id="12" w:name="_Toc297554774"/>
      <w:bookmarkEnd w:id="8"/>
      <w:r>
        <w:rPr>
          <w:sz w:val="24"/>
          <w:szCs w:val="24"/>
        </w:rPr>
        <w:t>The Authority has</w:t>
      </w:r>
      <w:r w:rsidR="00A50AC2" w:rsidRPr="002E3904">
        <w:rPr>
          <w:sz w:val="24"/>
          <w:szCs w:val="24"/>
        </w:rPr>
        <w:t xml:space="preserve"> the power to detain vehicles where it is identified that the owner/hirer have an outstanding debt to a penalty levied under the Civil Penalty Regime. Once a vehicle has been stopped, if payment is not received within a short time frame, legal pap</w:t>
      </w:r>
      <w:r w:rsidR="00DE7D1C">
        <w:rPr>
          <w:sz w:val="24"/>
          <w:szCs w:val="24"/>
        </w:rPr>
        <w:t>erwork is issued by the Authority</w:t>
      </w:r>
      <w:r w:rsidR="00A50AC2" w:rsidRPr="002E3904">
        <w:rPr>
          <w:sz w:val="24"/>
          <w:szCs w:val="24"/>
        </w:rPr>
        <w:t xml:space="preserve"> and the vehicle is taken into formal detention.</w:t>
      </w:r>
    </w:p>
    <w:p w14:paraId="1BAE41B4" w14:textId="6B622BC0" w:rsidR="00A50AC2" w:rsidRPr="002E3904" w:rsidRDefault="00A50AC2" w:rsidP="00A50AC2">
      <w:pPr>
        <w:pStyle w:val="Heading2"/>
        <w:numPr>
          <w:ilvl w:val="0"/>
          <w:numId w:val="0"/>
        </w:numPr>
        <w:spacing w:after="120"/>
        <w:ind w:left="709"/>
        <w:rPr>
          <w:sz w:val="24"/>
          <w:szCs w:val="24"/>
        </w:rPr>
      </w:pPr>
      <w:r w:rsidRPr="002E3904">
        <w:rPr>
          <w:sz w:val="24"/>
          <w:szCs w:val="24"/>
        </w:rPr>
        <w:t>Formal detention continues until the point at which pay</w:t>
      </w:r>
      <w:r w:rsidR="00DE7D1C">
        <w:rPr>
          <w:sz w:val="24"/>
          <w:szCs w:val="24"/>
        </w:rPr>
        <w:t>ment is received or The Authority</w:t>
      </w:r>
      <w:r w:rsidRPr="002E3904">
        <w:rPr>
          <w:sz w:val="24"/>
          <w:szCs w:val="24"/>
        </w:rPr>
        <w:t xml:space="preserve"> take</w:t>
      </w:r>
      <w:r w:rsidR="00DE7D1C">
        <w:rPr>
          <w:sz w:val="24"/>
          <w:szCs w:val="24"/>
        </w:rPr>
        <w:t>s</w:t>
      </w:r>
      <w:r w:rsidRPr="002E3904">
        <w:rPr>
          <w:sz w:val="24"/>
          <w:szCs w:val="24"/>
        </w:rPr>
        <w:t xml:space="preserve"> the decision to sell the vehicle to recoup costs.  </w:t>
      </w:r>
    </w:p>
    <w:p w14:paraId="1ABD4D87" w14:textId="77777777" w:rsidR="00A50AC2" w:rsidRPr="002E3904" w:rsidRDefault="00A50AC2" w:rsidP="00A50AC2">
      <w:pPr>
        <w:pStyle w:val="Heading2"/>
        <w:tabs>
          <w:tab w:val="clear" w:pos="720"/>
          <w:tab w:val="num" w:pos="709"/>
        </w:tabs>
        <w:spacing w:after="120"/>
        <w:ind w:left="709" w:hanging="709"/>
        <w:rPr>
          <w:sz w:val="24"/>
          <w:szCs w:val="24"/>
        </w:rPr>
      </w:pPr>
      <w:r w:rsidRPr="002E3904">
        <w:rPr>
          <w:sz w:val="24"/>
          <w:szCs w:val="24"/>
        </w:rPr>
        <w:t>The legislation which governs the Civil Penalty Regime is The Immigration and Asylum Act 1999, The Carriers’ Liability Regulations 2002, The Carriers’ Liability (Amendment) Regulations 2004, The Prevention of Clandestine Entrants: Code of Practice and The Level of Penalty: Code of Practice.</w:t>
      </w:r>
    </w:p>
    <w:p w14:paraId="390AF99E" w14:textId="3C312A87" w:rsidR="00671798" w:rsidRPr="002E3904" w:rsidRDefault="007141C0" w:rsidP="00A50AC2">
      <w:pPr>
        <w:pStyle w:val="Heading2"/>
        <w:tabs>
          <w:tab w:val="clear" w:pos="720"/>
          <w:tab w:val="num" w:pos="709"/>
        </w:tabs>
        <w:spacing w:after="120"/>
        <w:ind w:left="709" w:hanging="709"/>
        <w:rPr>
          <w:sz w:val="24"/>
          <w:szCs w:val="24"/>
        </w:rPr>
      </w:pPr>
      <w:r w:rsidRPr="002E3904">
        <w:rPr>
          <w:sz w:val="24"/>
          <w:szCs w:val="24"/>
        </w:rPr>
        <w:t xml:space="preserve">Once the decision has been made to formally detain a vehicle, </w:t>
      </w:r>
      <w:r w:rsidR="00DE7D1C">
        <w:rPr>
          <w:sz w:val="24"/>
          <w:szCs w:val="24"/>
        </w:rPr>
        <w:t>The Authority</w:t>
      </w:r>
      <w:r w:rsidRPr="002E3904">
        <w:rPr>
          <w:sz w:val="24"/>
          <w:szCs w:val="24"/>
        </w:rPr>
        <w:t xml:space="preserve"> require</w:t>
      </w:r>
      <w:r w:rsidR="00DE7D1C">
        <w:rPr>
          <w:sz w:val="24"/>
          <w:szCs w:val="24"/>
        </w:rPr>
        <w:t>s</w:t>
      </w:r>
      <w:r w:rsidRPr="002E3904">
        <w:rPr>
          <w:sz w:val="24"/>
          <w:szCs w:val="24"/>
        </w:rPr>
        <w:t xml:space="preserve"> a commercial partner who can facilitate recovery of the vehicle and storage of said vehicle until payment is received or the </w:t>
      </w:r>
      <w:r w:rsidR="004F7AB3" w:rsidRPr="002E3904">
        <w:rPr>
          <w:sz w:val="24"/>
          <w:szCs w:val="24"/>
        </w:rPr>
        <w:t>vehicle</w:t>
      </w:r>
      <w:r w:rsidRPr="002E3904">
        <w:rPr>
          <w:sz w:val="24"/>
          <w:szCs w:val="24"/>
        </w:rPr>
        <w:t xml:space="preserve"> is sold. </w:t>
      </w:r>
    </w:p>
    <w:p w14:paraId="7516FB30" w14:textId="5A79BAA8" w:rsidR="00671798" w:rsidRPr="002E3904" w:rsidRDefault="004F7AB3">
      <w:pPr>
        <w:pStyle w:val="Heading2"/>
        <w:tabs>
          <w:tab w:val="clear" w:pos="720"/>
          <w:tab w:val="num" w:pos="709"/>
        </w:tabs>
        <w:spacing w:after="120"/>
        <w:ind w:left="709" w:hanging="709"/>
        <w:rPr>
          <w:sz w:val="24"/>
          <w:szCs w:val="24"/>
        </w:rPr>
      </w:pPr>
      <w:r w:rsidRPr="002E3904">
        <w:rPr>
          <w:sz w:val="24"/>
          <w:szCs w:val="24"/>
        </w:rPr>
        <w:t xml:space="preserve">The ability to formally detain </w:t>
      </w:r>
      <w:r w:rsidR="00F015F1" w:rsidRPr="002E3904">
        <w:rPr>
          <w:sz w:val="24"/>
          <w:szCs w:val="24"/>
        </w:rPr>
        <w:t xml:space="preserve">and store </w:t>
      </w:r>
      <w:r w:rsidRPr="002E3904">
        <w:rPr>
          <w:sz w:val="24"/>
          <w:szCs w:val="24"/>
        </w:rPr>
        <w:t>vehicles is an integral part of the successful operation of the Civil Penalty regime</w:t>
      </w:r>
      <w:r w:rsidR="00CA3806" w:rsidRPr="002E3904">
        <w:rPr>
          <w:sz w:val="24"/>
          <w:szCs w:val="24"/>
        </w:rPr>
        <w:t>.</w:t>
      </w:r>
      <w:r w:rsidR="00F015F1" w:rsidRPr="002E3904">
        <w:rPr>
          <w:sz w:val="24"/>
          <w:szCs w:val="24"/>
        </w:rPr>
        <w:t xml:space="preserve"> Whilst most detentions result from vehicles stopped within the county of Kent, the Civil Penalty regime operates nationally and, as such, there is a requirement for recovery from all UK locations. </w:t>
      </w:r>
      <w:r w:rsidR="00BA2935" w:rsidRPr="002E3904">
        <w:rPr>
          <w:sz w:val="24"/>
          <w:szCs w:val="24"/>
        </w:rPr>
        <w:t>Most</w:t>
      </w:r>
      <w:r w:rsidR="00F015F1" w:rsidRPr="002E3904">
        <w:rPr>
          <w:sz w:val="24"/>
          <w:szCs w:val="24"/>
        </w:rPr>
        <w:t xml:space="preserve"> detentions involve Heavy Goods Vehicles (HGVs), including trailers, but the regime extends to all </w:t>
      </w:r>
      <w:r w:rsidR="00BA2935" w:rsidRPr="002E3904">
        <w:rPr>
          <w:sz w:val="24"/>
          <w:szCs w:val="24"/>
        </w:rPr>
        <w:t xml:space="preserve">types of vehicles. </w:t>
      </w:r>
      <w:r w:rsidR="00F015F1" w:rsidRPr="002E3904">
        <w:rPr>
          <w:sz w:val="24"/>
          <w:szCs w:val="24"/>
        </w:rPr>
        <w:t xml:space="preserve"> </w:t>
      </w:r>
      <w:r w:rsidRPr="002E3904">
        <w:rPr>
          <w:sz w:val="24"/>
          <w:szCs w:val="24"/>
        </w:rPr>
        <w:t xml:space="preserve"> </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3" w:name="_Toc7793192"/>
      <w:bookmarkStart w:id="14" w:name="_Toc368573030"/>
      <w:r w:rsidRPr="00B5620B">
        <w:rPr>
          <w:sz w:val="28"/>
          <w:szCs w:val="32"/>
        </w:rPr>
        <w:t>definitions</w:t>
      </w:r>
      <w:bookmarkEnd w:id="13"/>
      <w:r w:rsidRPr="001A45DF">
        <w:rPr>
          <w:sz w:val="32"/>
          <w:szCs w:val="32"/>
        </w:rPr>
        <w:t xml:space="preserve"> </w:t>
      </w:r>
    </w:p>
    <w:tbl>
      <w:tblPr>
        <w:tblStyle w:val="TableGrid"/>
        <w:tblW w:w="0" w:type="auto"/>
        <w:tblInd w:w="720" w:type="dxa"/>
        <w:tblLook w:val="04A0" w:firstRow="1" w:lastRow="0" w:firstColumn="1" w:lastColumn="0" w:noHBand="0" w:noVBand="1"/>
      </w:tblPr>
      <w:tblGrid>
        <w:gridCol w:w="2017"/>
        <w:gridCol w:w="6282"/>
      </w:tblGrid>
      <w:tr w:rsidR="00106F24" w14:paraId="553CCD95" w14:textId="77777777" w:rsidTr="00DB163B">
        <w:tc>
          <w:tcPr>
            <w:tcW w:w="2017" w:type="dxa"/>
            <w:shd w:val="clear" w:color="auto" w:fill="C6D9F1" w:themeFill="text2" w:themeFillTint="33"/>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282" w:type="dxa"/>
            <w:shd w:val="clear" w:color="auto" w:fill="C6D9F1" w:themeFill="text2" w:themeFillTint="33"/>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06F24" w14:paraId="722819D3" w14:textId="77777777" w:rsidTr="00DB163B">
        <w:tc>
          <w:tcPr>
            <w:tcW w:w="2017" w:type="dxa"/>
          </w:tcPr>
          <w:p w14:paraId="18A7B53F" w14:textId="70F62425" w:rsidR="00106F24" w:rsidRPr="001A45DF" w:rsidRDefault="001F5187" w:rsidP="0081061A">
            <w:pPr>
              <w:pStyle w:val="Heading2"/>
              <w:numPr>
                <w:ilvl w:val="0"/>
                <w:numId w:val="0"/>
              </w:numPr>
              <w:spacing w:after="120"/>
              <w:ind w:left="720" w:hanging="720"/>
              <w:outlineLvl w:val="1"/>
              <w:rPr>
                <w:sz w:val="24"/>
                <w:szCs w:val="24"/>
                <w:highlight w:val="yellow"/>
              </w:rPr>
            </w:pPr>
            <w:r w:rsidRPr="001F5187">
              <w:rPr>
                <w:sz w:val="24"/>
                <w:szCs w:val="24"/>
              </w:rPr>
              <w:t>Authority</w:t>
            </w:r>
          </w:p>
        </w:tc>
        <w:tc>
          <w:tcPr>
            <w:tcW w:w="6282" w:type="dxa"/>
          </w:tcPr>
          <w:p w14:paraId="74E0E117" w14:textId="720DCEE3" w:rsidR="00106F24" w:rsidRPr="001A45DF" w:rsidRDefault="001F5187" w:rsidP="00E24EE7">
            <w:pPr>
              <w:pStyle w:val="Heading2"/>
              <w:numPr>
                <w:ilvl w:val="0"/>
                <w:numId w:val="0"/>
              </w:numPr>
              <w:spacing w:after="120"/>
              <w:outlineLvl w:val="1"/>
              <w:rPr>
                <w:sz w:val="24"/>
                <w:szCs w:val="24"/>
                <w:highlight w:val="yellow"/>
              </w:rPr>
            </w:pPr>
            <w:r>
              <w:rPr>
                <w:sz w:val="24"/>
                <w:szCs w:val="24"/>
              </w:rPr>
              <w:t>Secretary of State for the Home Department.</w:t>
            </w:r>
          </w:p>
        </w:tc>
      </w:tr>
      <w:tr w:rsidR="00BC41AC" w14:paraId="04BE1D69" w14:textId="77777777" w:rsidTr="00DB163B">
        <w:tc>
          <w:tcPr>
            <w:tcW w:w="2017" w:type="dxa"/>
          </w:tcPr>
          <w:p w14:paraId="7B730D73" w14:textId="6DC26608" w:rsidR="00BC41AC" w:rsidRDefault="005B339C" w:rsidP="005B339C">
            <w:pPr>
              <w:pStyle w:val="Heading2"/>
              <w:numPr>
                <w:ilvl w:val="0"/>
                <w:numId w:val="0"/>
              </w:numPr>
              <w:spacing w:after="120"/>
              <w:outlineLvl w:val="1"/>
              <w:rPr>
                <w:sz w:val="24"/>
                <w:szCs w:val="24"/>
                <w:highlight w:val="yellow"/>
              </w:rPr>
            </w:pPr>
            <w:r>
              <w:rPr>
                <w:sz w:val="24"/>
                <w:szCs w:val="24"/>
              </w:rPr>
              <w:t>CECPT</w:t>
            </w:r>
          </w:p>
        </w:tc>
        <w:tc>
          <w:tcPr>
            <w:tcW w:w="6282" w:type="dxa"/>
          </w:tcPr>
          <w:p w14:paraId="07D8017F" w14:textId="205A080F" w:rsidR="00BC41AC" w:rsidRDefault="005B339C" w:rsidP="00E24EE7">
            <w:pPr>
              <w:pStyle w:val="Heading2"/>
              <w:numPr>
                <w:ilvl w:val="0"/>
                <w:numId w:val="0"/>
              </w:numPr>
              <w:spacing w:after="120"/>
              <w:ind w:left="720" w:hanging="720"/>
              <w:outlineLvl w:val="1"/>
              <w:rPr>
                <w:sz w:val="24"/>
                <w:szCs w:val="24"/>
                <w:highlight w:val="yellow"/>
              </w:rPr>
            </w:pPr>
            <w:r>
              <w:rPr>
                <w:sz w:val="24"/>
                <w:szCs w:val="24"/>
              </w:rPr>
              <w:t xml:space="preserve">Clandestine Entrants Civil Penalty team </w:t>
            </w:r>
          </w:p>
        </w:tc>
      </w:tr>
      <w:tr w:rsidR="00106F24" w14:paraId="0ED1505B" w14:textId="77777777" w:rsidTr="00DB163B">
        <w:tc>
          <w:tcPr>
            <w:tcW w:w="2017" w:type="dxa"/>
          </w:tcPr>
          <w:p w14:paraId="0773B834" w14:textId="6E07A291" w:rsidR="00106F24" w:rsidRPr="001A45DF" w:rsidRDefault="005B339C" w:rsidP="0081061A">
            <w:pPr>
              <w:pStyle w:val="Heading2"/>
              <w:numPr>
                <w:ilvl w:val="0"/>
                <w:numId w:val="0"/>
              </w:numPr>
              <w:spacing w:after="120"/>
              <w:ind w:left="720" w:hanging="720"/>
              <w:outlineLvl w:val="1"/>
              <w:rPr>
                <w:sz w:val="24"/>
                <w:szCs w:val="24"/>
                <w:highlight w:val="yellow"/>
              </w:rPr>
            </w:pPr>
            <w:r>
              <w:rPr>
                <w:sz w:val="24"/>
                <w:szCs w:val="24"/>
              </w:rPr>
              <w:lastRenderedPageBreak/>
              <w:t>Data Controller</w:t>
            </w:r>
          </w:p>
        </w:tc>
        <w:tc>
          <w:tcPr>
            <w:tcW w:w="6282" w:type="dxa"/>
          </w:tcPr>
          <w:p w14:paraId="7D6E62CD" w14:textId="75790944" w:rsidR="00106F24" w:rsidRPr="001A45DF" w:rsidRDefault="005B339C" w:rsidP="005B339C">
            <w:pPr>
              <w:pStyle w:val="Heading2"/>
              <w:numPr>
                <w:ilvl w:val="0"/>
                <w:numId w:val="0"/>
              </w:numPr>
              <w:spacing w:after="120"/>
              <w:ind w:left="-14"/>
              <w:outlineLvl w:val="1"/>
              <w:rPr>
                <w:sz w:val="24"/>
                <w:szCs w:val="24"/>
                <w:highlight w:val="yellow"/>
              </w:rPr>
            </w:pPr>
            <w:r w:rsidRPr="005B339C">
              <w:rPr>
                <w:sz w:val="24"/>
                <w:szCs w:val="24"/>
              </w:rPr>
              <w:t>A Controller is a natural or legal person</w:t>
            </w:r>
            <w:r>
              <w:rPr>
                <w:sz w:val="24"/>
                <w:szCs w:val="24"/>
              </w:rPr>
              <w:t xml:space="preserve"> or organisation </w:t>
            </w:r>
            <w:r w:rsidRPr="005B339C">
              <w:rPr>
                <w:sz w:val="24"/>
                <w:szCs w:val="24"/>
              </w:rPr>
              <w:t>which determines the purposes and means of processing personal data.</w:t>
            </w:r>
          </w:p>
        </w:tc>
      </w:tr>
      <w:tr w:rsidR="00106F24" w14:paraId="03344AB3" w14:textId="77777777" w:rsidTr="00DB163B">
        <w:tc>
          <w:tcPr>
            <w:tcW w:w="2017" w:type="dxa"/>
          </w:tcPr>
          <w:p w14:paraId="0F046C88" w14:textId="21634680" w:rsidR="00106F24" w:rsidRPr="001A45DF" w:rsidRDefault="005B339C" w:rsidP="0081061A">
            <w:pPr>
              <w:pStyle w:val="Heading2"/>
              <w:numPr>
                <w:ilvl w:val="0"/>
                <w:numId w:val="0"/>
              </w:numPr>
              <w:spacing w:after="120"/>
              <w:ind w:left="720" w:hanging="720"/>
              <w:outlineLvl w:val="1"/>
              <w:rPr>
                <w:sz w:val="24"/>
                <w:szCs w:val="24"/>
                <w:highlight w:val="yellow"/>
              </w:rPr>
            </w:pPr>
            <w:r>
              <w:rPr>
                <w:sz w:val="24"/>
                <w:szCs w:val="24"/>
              </w:rPr>
              <w:t>Data Processor</w:t>
            </w:r>
          </w:p>
        </w:tc>
        <w:tc>
          <w:tcPr>
            <w:tcW w:w="6282" w:type="dxa"/>
          </w:tcPr>
          <w:p w14:paraId="37C45D19" w14:textId="117B809D" w:rsidR="00106F24" w:rsidRPr="001A45DF" w:rsidRDefault="005B339C" w:rsidP="00E24EE7">
            <w:pPr>
              <w:pStyle w:val="Heading2"/>
              <w:numPr>
                <w:ilvl w:val="0"/>
                <w:numId w:val="0"/>
              </w:numPr>
              <w:spacing w:after="120"/>
              <w:outlineLvl w:val="1"/>
              <w:rPr>
                <w:sz w:val="24"/>
                <w:szCs w:val="24"/>
                <w:highlight w:val="yellow"/>
              </w:rPr>
            </w:pPr>
            <w:r>
              <w:rPr>
                <w:rFonts w:eastAsia="Arial" w:cs="Arial"/>
                <w:sz w:val="24"/>
                <w:szCs w:val="24"/>
                <w:highlight w:val="white"/>
              </w:rPr>
              <w:t>Is a natural or legal person or organisation which processes personal data on behalf of a Controller</w:t>
            </w:r>
            <w:r>
              <w:rPr>
                <w:rFonts w:eastAsia="Arial" w:cs="Arial"/>
                <w:sz w:val="24"/>
                <w:szCs w:val="24"/>
              </w:rPr>
              <w:t>.</w:t>
            </w:r>
          </w:p>
        </w:tc>
      </w:tr>
      <w:tr w:rsidR="00BC41AC" w14:paraId="113E6316" w14:textId="77777777" w:rsidTr="00DB163B">
        <w:tc>
          <w:tcPr>
            <w:tcW w:w="2017" w:type="dxa"/>
          </w:tcPr>
          <w:p w14:paraId="555FBE0B" w14:textId="147A89F3" w:rsidR="00BC41AC" w:rsidRPr="001F5187" w:rsidRDefault="005B339C" w:rsidP="0081061A">
            <w:pPr>
              <w:pStyle w:val="Heading2"/>
              <w:numPr>
                <w:ilvl w:val="0"/>
                <w:numId w:val="0"/>
              </w:numPr>
              <w:spacing w:after="120"/>
              <w:ind w:left="720" w:hanging="720"/>
              <w:outlineLvl w:val="1"/>
              <w:rPr>
                <w:sz w:val="24"/>
                <w:szCs w:val="24"/>
              </w:rPr>
            </w:pPr>
            <w:r w:rsidRPr="005B339C">
              <w:rPr>
                <w:sz w:val="24"/>
                <w:szCs w:val="24"/>
              </w:rPr>
              <w:t>Debtor</w:t>
            </w:r>
          </w:p>
        </w:tc>
        <w:tc>
          <w:tcPr>
            <w:tcW w:w="6282" w:type="dxa"/>
          </w:tcPr>
          <w:p w14:paraId="550A8FE0" w14:textId="145600EF" w:rsidR="00BC41AC" w:rsidRDefault="005B339C" w:rsidP="00E24EE7">
            <w:pPr>
              <w:pStyle w:val="Heading2"/>
              <w:numPr>
                <w:ilvl w:val="0"/>
                <w:numId w:val="0"/>
              </w:numPr>
              <w:spacing w:after="120"/>
              <w:outlineLvl w:val="1"/>
              <w:rPr>
                <w:sz w:val="24"/>
                <w:szCs w:val="24"/>
              </w:rPr>
            </w:pPr>
            <w:r>
              <w:rPr>
                <w:sz w:val="24"/>
                <w:szCs w:val="24"/>
              </w:rPr>
              <w:t>The legal person or organisation who is liable for an unpaid Civil Penalty</w:t>
            </w:r>
          </w:p>
        </w:tc>
      </w:tr>
      <w:tr w:rsidR="00BC41AC" w14:paraId="30EEE86F" w14:textId="77777777" w:rsidTr="00DB163B">
        <w:tc>
          <w:tcPr>
            <w:tcW w:w="2017" w:type="dxa"/>
          </w:tcPr>
          <w:p w14:paraId="7C9BC8EA" w14:textId="728F4019" w:rsidR="00BC41AC" w:rsidRDefault="005B339C" w:rsidP="0081061A">
            <w:pPr>
              <w:pStyle w:val="Heading2"/>
              <w:numPr>
                <w:ilvl w:val="0"/>
                <w:numId w:val="0"/>
              </w:numPr>
              <w:spacing w:after="120"/>
              <w:ind w:left="720" w:hanging="720"/>
              <w:outlineLvl w:val="1"/>
              <w:rPr>
                <w:sz w:val="24"/>
                <w:szCs w:val="24"/>
              </w:rPr>
            </w:pPr>
            <w:r>
              <w:rPr>
                <w:sz w:val="24"/>
                <w:szCs w:val="24"/>
              </w:rPr>
              <w:t>GDPR</w:t>
            </w:r>
          </w:p>
        </w:tc>
        <w:tc>
          <w:tcPr>
            <w:tcW w:w="6282" w:type="dxa"/>
          </w:tcPr>
          <w:p w14:paraId="7F77C5DF" w14:textId="60F5A53A" w:rsidR="00BC41AC" w:rsidRDefault="005B339C" w:rsidP="00E24EE7">
            <w:pPr>
              <w:pStyle w:val="Heading2"/>
              <w:numPr>
                <w:ilvl w:val="0"/>
                <w:numId w:val="0"/>
              </w:numPr>
              <w:spacing w:after="120"/>
              <w:outlineLvl w:val="1"/>
              <w:rPr>
                <w:sz w:val="24"/>
                <w:szCs w:val="24"/>
              </w:rPr>
            </w:pPr>
            <w:r>
              <w:rPr>
                <w:sz w:val="24"/>
                <w:szCs w:val="24"/>
              </w:rPr>
              <w:t>The General Data Protection Regulation (Regulation (EU) 2016/679).</w:t>
            </w:r>
          </w:p>
        </w:tc>
      </w:tr>
      <w:tr w:rsidR="00BC41AC" w14:paraId="7A005336" w14:textId="77777777" w:rsidTr="00DB163B">
        <w:tc>
          <w:tcPr>
            <w:tcW w:w="2017" w:type="dxa"/>
          </w:tcPr>
          <w:p w14:paraId="04DE114C" w14:textId="3580B656" w:rsidR="00BC41AC" w:rsidRDefault="00803E0C" w:rsidP="0081061A">
            <w:pPr>
              <w:pStyle w:val="Heading2"/>
              <w:numPr>
                <w:ilvl w:val="0"/>
                <w:numId w:val="0"/>
              </w:numPr>
              <w:spacing w:after="120"/>
              <w:ind w:left="720" w:hanging="720"/>
              <w:outlineLvl w:val="1"/>
              <w:rPr>
                <w:sz w:val="24"/>
                <w:szCs w:val="24"/>
              </w:rPr>
            </w:pPr>
            <w:r>
              <w:rPr>
                <w:sz w:val="24"/>
                <w:szCs w:val="24"/>
              </w:rPr>
              <w:t>HGV</w:t>
            </w:r>
          </w:p>
        </w:tc>
        <w:tc>
          <w:tcPr>
            <w:tcW w:w="6282" w:type="dxa"/>
          </w:tcPr>
          <w:p w14:paraId="564A432F" w14:textId="216B9F03" w:rsidR="00BC41AC" w:rsidRDefault="00803E0C" w:rsidP="00E24EE7">
            <w:pPr>
              <w:pStyle w:val="Heading2"/>
              <w:numPr>
                <w:ilvl w:val="0"/>
                <w:numId w:val="0"/>
              </w:numPr>
              <w:spacing w:after="120"/>
              <w:outlineLvl w:val="1"/>
              <w:rPr>
                <w:sz w:val="24"/>
                <w:szCs w:val="24"/>
              </w:rPr>
            </w:pPr>
            <w:r>
              <w:rPr>
                <w:rFonts w:eastAsia="Arial" w:cs="Arial"/>
                <w:sz w:val="24"/>
                <w:szCs w:val="24"/>
              </w:rPr>
              <w:t>Heavy Goods Vehicle, for any truck with a gross combination mass of over 3,500 kilograms.</w:t>
            </w:r>
          </w:p>
        </w:tc>
      </w:tr>
      <w:tr w:rsidR="00E1538A" w14:paraId="0B4A3E3A" w14:textId="77777777" w:rsidTr="00DB163B">
        <w:tc>
          <w:tcPr>
            <w:tcW w:w="2017" w:type="dxa"/>
          </w:tcPr>
          <w:p w14:paraId="5EEF8C7F" w14:textId="074A2CB1" w:rsidR="00E1538A" w:rsidRPr="00803E0C" w:rsidRDefault="00803E0C" w:rsidP="0081061A">
            <w:pPr>
              <w:pStyle w:val="Heading2"/>
              <w:numPr>
                <w:ilvl w:val="0"/>
                <w:numId w:val="0"/>
              </w:numPr>
              <w:spacing w:after="120"/>
              <w:ind w:left="720" w:hanging="720"/>
              <w:outlineLvl w:val="1"/>
              <w:rPr>
                <w:sz w:val="24"/>
                <w:szCs w:val="24"/>
              </w:rPr>
            </w:pPr>
            <w:r w:rsidRPr="00803E0C">
              <w:rPr>
                <w:sz w:val="24"/>
                <w:szCs w:val="24"/>
              </w:rPr>
              <w:t>Supplier</w:t>
            </w:r>
          </w:p>
        </w:tc>
        <w:tc>
          <w:tcPr>
            <w:tcW w:w="6282" w:type="dxa"/>
          </w:tcPr>
          <w:p w14:paraId="26EDC924" w14:textId="1FF445F8" w:rsidR="00E1538A" w:rsidRPr="00803E0C" w:rsidRDefault="00803E0C" w:rsidP="00E24EE7">
            <w:pPr>
              <w:pStyle w:val="Heading2"/>
              <w:numPr>
                <w:ilvl w:val="0"/>
                <w:numId w:val="0"/>
              </w:numPr>
              <w:spacing w:after="120"/>
              <w:outlineLvl w:val="1"/>
              <w:rPr>
                <w:sz w:val="24"/>
                <w:szCs w:val="24"/>
              </w:rPr>
            </w:pPr>
            <w:r w:rsidRPr="00803E0C">
              <w:rPr>
                <w:sz w:val="24"/>
                <w:szCs w:val="24"/>
              </w:rPr>
              <w:t>Refers to the chosen supplier of the Goods and Services.</w:t>
            </w:r>
          </w:p>
        </w:tc>
      </w:tr>
    </w:tbl>
    <w:p w14:paraId="0DAF43A5" w14:textId="77777777" w:rsidR="00671798" w:rsidRPr="00B5620B" w:rsidRDefault="00FE18AC" w:rsidP="00B5620B">
      <w:pPr>
        <w:pStyle w:val="Heading1"/>
        <w:tabs>
          <w:tab w:val="clear" w:pos="720"/>
        </w:tabs>
        <w:overflowPunct w:val="0"/>
        <w:autoSpaceDE w:val="0"/>
        <w:autoSpaceDN w:val="0"/>
        <w:spacing w:before="240" w:after="120"/>
        <w:jc w:val="left"/>
        <w:textAlignment w:val="baseline"/>
        <w:rPr>
          <w:sz w:val="28"/>
          <w:szCs w:val="32"/>
        </w:rPr>
      </w:pPr>
      <w:bookmarkStart w:id="15" w:name="_Toc7793193"/>
      <w:r w:rsidRPr="00B5620B">
        <w:rPr>
          <w:sz w:val="28"/>
          <w:szCs w:val="32"/>
        </w:rPr>
        <w:t>scope of requirement</w:t>
      </w:r>
      <w:bookmarkEnd w:id="12"/>
      <w:bookmarkEnd w:id="14"/>
      <w:bookmarkEnd w:id="15"/>
      <w:r w:rsidRPr="00B5620B">
        <w:rPr>
          <w:sz w:val="28"/>
          <w:szCs w:val="32"/>
        </w:rPr>
        <w:t xml:space="preserve"> </w:t>
      </w:r>
    </w:p>
    <w:bookmarkEnd w:id="9"/>
    <w:p w14:paraId="28CA6DF4" w14:textId="4088D130" w:rsidR="00671798" w:rsidRPr="000B0C36" w:rsidRDefault="00F015F1" w:rsidP="00782275">
      <w:pPr>
        <w:pStyle w:val="Heading2"/>
        <w:rPr>
          <w:sz w:val="24"/>
        </w:rPr>
      </w:pPr>
      <w:r w:rsidRPr="000B0C36">
        <w:rPr>
          <w:sz w:val="24"/>
        </w:rPr>
        <w:t>The Supplier must be able to recover vehicles nationally</w:t>
      </w:r>
      <w:r w:rsidR="00BA2935" w:rsidRPr="000B0C36">
        <w:rPr>
          <w:sz w:val="24"/>
        </w:rPr>
        <w:t xml:space="preserve"> and then store </w:t>
      </w:r>
      <w:r w:rsidR="00DE7D1C" w:rsidRPr="000B0C36">
        <w:rPr>
          <w:sz w:val="24"/>
        </w:rPr>
        <w:t>said vehicles until The Authority</w:t>
      </w:r>
      <w:r w:rsidR="00BA2935" w:rsidRPr="000B0C36">
        <w:rPr>
          <w:sz w:val="24"/>
        </w:rPr>
        <w:t xml:space="preserve"> mandates their release or sale</w:t>
      </w:r>
      <w:r w:rsidR="00ED61D0" w:rsidRPr="000B0C36">
        <w:rPr>
          <w:sz w:val="24"/>
        </w:rPr>
        <w:t xml:space="preserve"> (mandatory)</w:t>
      </w:r>
      <w:r w:rsidR="00BA2935" w:rsidRPr="000B0C36">
        <w:rPr>
          <w:sz w:val="24"/>
        </w:rPr>
        <w:t xml:space="preserve">. </w:t>
      </w:r>
    </w:p>
    <w:p w14:paraId="58ABB669" w14:textId="2878FB0F" w:rsidR="00BA2935" w:rsidRPr="000B0C36" w:rsidRDefault="00BA2935" w:rsidP="00782275">
      <w:pPr>
        <w:pStyle w:val="Heading2"/>
        <w:rPr>
          <w:sz w:val="24"/>
        </w:rPr>
      </w:pPr>
      <w:r w:rsidRPr="000B0C36">
        <w:rPr>
          <w:sz w:val="24"/>
        </w:rPr>
        <w:t xml:space="preserve">The Supplier must be able to work flexibly: detentions must be arranged expediently and at short notice, </w:t>
      </w:r>
      <w:r w:rsidR="00A85E48" w:rsidRPr="000B0C36">
        <w:rPr>
          <w:sz w:val="24"/>
        </w:rPr>
        <w:t>similarly,</w:t>
      </w:r>
      <w:r w:rsidRPr="000B0C36">
        <w:rPr>
          <w:sz w:val="24"/>
        </w:rPr>
        <w:t xml:space="preserve"> the release of vehicles after detention</w:t>
      </w:r>
      <w:r w:rsidR="00156B87" w:rsidRPr="000B0C36">
        <w:rPr>
          <w:sz w:val="24"/>
        </w:rPr>
        <w:t xml:space="preserve"> must be arranged at short notice. Most detentions are for short (less than 72 hours) periods of time</w:t>
      </w:r>
      <w:r w:rsidR="00ED61D0" w:rsidRPr="000B0C36">
        <w:rPr>
          <w:sz w:val="24"/>
        </w:rPr>
        <w:t>. Vehicle s</w:t>
      </w:r>
      <w:r w:rsidR="00DE7D1C" w:rsidRPr="000B0C36">
        <w:rPr>
          <w:sz w:val="24"/>
        </w:rPr>
        <w:t>tops can be made by The Authority</w:t>
      </w:r>
      <w:r w:rsidR="00ED61D0" w:rsidRPr="000B0C36">
        <w:rPr>
          <w:sz w:val="24"/>
        </w:rPr>
        <w:t xml:space="preserve"> or by other law enforcement agencies (such as </w:t>
      </w:r>
      <w:r w:rsidR="003123D3" w:rsidRPr="000B0C36">
        <w:rPr>
          <w:sz w:val="24"/>
        </w:rPr>
        <w:t>UK P</w:t>
      </w:r>
      <w:r w:rsidR="00DE7D1C" w:rsidRPr="000B0C36">
        <w:rPr>
          <w:sz w:val="24"/>
        </w:rPr>
        <w:t>olice) on behalf of The Authority</w:t>
      </w:r>
      <w:r w:rsidR="003123D3" w:rsidRPr="000B0C36">
        <w:rPr>
          <w:sz w:val="24"/>
        </w:rPr>
        <w:t>; as such the Supplier must be willing to liaise with various agencies</w:t>
      </w:r>
      <w:r w:rsidR="0075021D" w:rsidRPr="000B0C36">
        <w:rPr>
          <w:sz w:val="24"/>
        </w:rPr>
        <w:t>. The number of detentions which take</w:t>
      </w:r>
      <w:r w:rsidR="00A85E48" w:rsidRPr="000B0C36">
        <w:rPr>
          <w:sz w:val="24"/>
        </w:rPr>
        <w:t>s</w:t>
      </w:r>
      <w:r w:rsidR="0075021D" w:rsidRPr="000B0C36">
        <w:rPr>
          <w:sz w:val="24"/>
        </w:rPr>
        <w:t xml:space="preserve"> place each calendar year is hard to predict, so </w:t>
      </w:r>
      <w:r w:rsidR="0059059C" w:rsidRPr="000B0C36">
        <w:rPr>
          <w:sz w:val="24"/>
        </w:rPr>
        <w:t>the Supplier must be able to facilitate a fluctuating number of detentions</w:t>
      </w:r>
      <w:r w:rsidR="00ED61D0" w:rsidRPr="000B0C36">
        <w:rPr>
          <w:sz w:val="24"/>
        </w:rPr>
        <w:t xml:space="preserve"> (mandatory)</w:t>
      </w:r>
    </w:p>
    <w:p w14:paraId="78BF56BC" w14:textId="35210F13" w:rsidR="00BA2935" w:rsidRPr="000B0C36" w:rsidRDefault="00E65566" w:rsidP="00782275">
      <w:pPr>
        <w:pStyle w:val="Heading2"/>
        <w:rPr>
          <w:sz w:val="24"/>
        </w:rPr>
      </w:pPr>
      <w:r w:rsidRPr="000B0C36">
        <w:rPr>
          <w:sz w:val="24"/>
        </w:rPr>
        <w:t xml:space="preserve">The Supplier must be able to store the vehicle for up to </w:t>
      </w:r>
      <w:r w:rsidR="00A50AC2" w:rsidRPr="000B0C36">
        <w:rPr>
          <w:sz w:val="24"/>
        </w:rPr>
        <w:t>five</w:t>
      </w:r>
      <w:r w:rsidRPr="000B0C36">
        <w:rPr>
          <w:sz w:val="24"/>
        </w:rPr>
        <w:t xml:space="preserve"> months, pending sale</w:t>
      </w:r>
      <w:r w:rsidR="00ED61D0" w:rsidRPr="000B0C36">
        <w:rPr>
          <w:sz w:val="24"/>
        </w:rPr>
        <w:t xml:space="preserve"> (mandatory)</w:t>
      </w:r>
      <w:r w:rsidR="00803E0C">
        <w:rPr>
          <w:sz w:val="24"/>
        </w:rPr>
        <w:t>.</w:t>
      </w:r>
    </w:p>
    <w:p w14:paraId="5ECAB67F" w14:textId="504C181B" w:rsidR="00E65566" w:rsidRPr="000B0C36" w:rsidRDefault="00E65566" w:rsidP="00782275">
      <w:pPr>
        <w:pStyle w:val="Heading2"/>
        <w:rPr>
          <w:sz w:val="24"/>
        </w:rPr>
      </w:pPr>
      <w:r w:rsidRPr="000B0C36">
        <w:rPr>
          <w:sz w:val="24"/>
        </w:rPr>
        <w:t>The Supplier must be able to recover and accommodate all types of vehicle and vehicle trailer, including where possible facilities to maintain cold storage containers</w:t>
      </w:r>
      <w:r w:rsidR="00ED61D0" w:rsidRPr="000B0C36">
        <w:rPr>
          <w:sz w:val="24"/>
        </w:rPr>
        <w:t xml:space="preserve"> (mandatory)</w:t>
      </w:r>
      <w:r w:rsidR="00803E0C">
        <w:rPr>
          <w:sz w:val="24"/>
        </w:rPr>
        <w:t>.</w:t>
      </w:r>
    </w:p>
    <w:p w14:paraId="0FEE6298" w14:textId="1245933C" w:rsidR="00156B87" w:rsidRPr="000B0C36" w:rsidRDefault="00E65566" w:rsidP="00782275">
      <w:pPr>
        <w:pStyle w:val="Heading2"/>
        <w:rPr>
          <w:sz w:val="24"/>
        </w:rPr>
      </w:pPr>
      <w:r w:rsidRPr="000B0C36">
        <w:rPr>
          <w:sz w:val="24"/>
        </w:rPr>
        <w:t xml:space="preserve">The Supplier must have the capability to deal with </w:t>
      </w:r>
      <w:r w:rsidRPr="00803E0C">
        <w:rPr>
          <w:sz w:val="24"/>
        </w:rPr>
        <w:t>transhipment requests</w:t>
      </w:r>
      <w:r w:rsidR="00ED61D0" w:rsidRPr="00803E0C">
        <w:rPr>
          <w:sz w:val="24"/>
        </w:rPr>
        <w:t xml:space="preserve"> </w:t>
      </w:r>
      <w:r w:rsidR="00ED61D0" w:rsidRPr="000B0C36">
        <w:rPr>
          <w:sz w:val="24"/>
        </w:rPr>
        <w:t>for goods in detained vehicles</w:t>
      </w:r>
      <w:r w:rsidR="00803E0C">
        <w:rPr>
          <w:sz w:val="24"/>
        </w:rPr>
        <w:t>. Transhipment requests are requests to transfer the contents of a detained vehicle to another so that the goods can be released</w:t>
      </w:r>
      <w:r w:rsidR="00ED61D0" w:rsidRPr="000B0C36">
        <w:rPr>
          <w:sz w:val="24"/>
        </w:rPr>
        <w:t xml:space="preserve"> (mandatory)</w:t>
      </w:r>
      <w:r w:rsidR="00803E0C">
        <w:rPr>
          <w:sz w:val="24"/>
        </w:rPr>
        <w:t>.</w:t>
      </w:r>
    </w:p>
    <w:p w14:paraId="70CBDA38" w14:textId="4D40CFD0" w:rsidR="00E65566" w:rsidRPr="000B0C36" w:rsidRDefault="00156B87" w:rsidP="00782275">
      <w:pPr>
        <w:pStyle w:val="Heading2"/>
        <w:rPr>
          <w:sz w:val="24"/>
        </w:rPr>
      </w:pPr>
      <w:r w:rsidRPr="000B0C36">
        <w:rPr>
          <w:sz w:val="24"/>
        </w:rPr>
        <w:t xml:space="preserve">The Supplier must be able </w:t>
      </w:r>
      <w:r w:rsidRPr="00803E0C">
        <w:rPr>
          <w:sz w:val="24"/>
        </w:rPr>
        <w:t xml:space="preserve">to inspect vehicles </w:t>
      </w:r>
      <w:r w:rsidRPr="000B0C36">
        <w:rPr>
          <w:sz w:val="24"/>
        </w:rPr>
        <w:t xml:space="preserve">on detention and release and provide reports as necessary. </w:t>
      </w:r>
      <w:r w:rsidR="00803E0C">
        <w:rPr>
          <w:sz w:val="24"/>
        </w:rPr>
        <w:t xml:space="preserve">This could involve cursory inspections of vehicles to obtain physical descriptions and details such as mileage, but also roadworthiness inspections prior to release/transfer </w:t>
      </w:r>
      <w:r w:rsidRPr="000B0C36">
        <w:rPr>
          <w:sz w:val="24"/>
        </w:rPr>
        <w:t>(mandatory)</w:t>
      </w:r>
      <w:r w:rsidR="00803E0C">
        <w:rPr>
          <w:sz w:val="24"/>
        </w:rPr>
        <w:t>.</w:t>
      </w:r>
      <w:r w:rsidR="00E65566" w:rsidRPr="000B0C36">
        <w:rPr>
          <w:sz w:val="24"/>
        </w:rPr>
        <w:t xml:space="preserve"> </w:t>
      </w:r>
    </w:p>
    <w:p w14:paraId="679C91D0" w14:textId="6AE6F9DC" w:rsidR="00156B87" w:rsidRPr="000B0C36" w:rsidRDefault="00DE7D1C" w:rsidP="00782275">
      <w:pPr>
        <w:pStyle w:val="Heading2"/>
        <w:rPr>
          <w:sz w:val="24"/>
        </w:rPr>
      </w:pPr>
      <w:r w:rsidRPr="000B0C36">
        <w:rPr>
          <w:sz w:val="24"/>
        </w:rPr>
        <w:lastRenderedPageBreak/>
        <w:t>The Authority</w:t>
      </w:r>
      <w:r w:rsidR="00156B87" w:rsidRPr="000B0C36">
        <w:rPr>
          <w:sz w:val="24"/>
        </w:rPr>
        <w:t xml:space="preserve"> </w:t>
      </w:r>
      <w:r w:rsidRPr="000B0C36">
        <w:rPr>
          <w:sz w:val="24"/>
        </w:rPr>
        <w:t>is</w:t>
      </w:r>
      <w:r w:rsidR="00156B87" w:rsidRPr="000B0C36">
        <w:rPr>
          <w:sz w:val="24"/>
        </w:rPr>
        <w:t xml:space="preserve"> able to recoup costs from the </w:t>
      </w:r>
      <w:r w:rsidR="00C63168" w:rsidRPr="000B0C36">
        <w:rPr>
          <w:sz w:val="24"/>
        </w:rPr>
        <w:t>Debtor,</w:t>
      </w:r>
      <w:r w:rsidR="00156B87" w:rsidRPr="000B0C36">
        <w:rPr>
          <w:sz w:val="24"/>
        </w:rPr>
        <w:t xml:space="preserve"> but the supplier has an obligation to ensure that all costs are reasonable</w:t>
      </w:r>
      <w:r w:rsidRPr="000B0C36">
        <w:rPr>
          <w:sz w:val="24"/>
        </w:rPr>
        <w:t>.</w:t>
      </w:r>
      <w:r w:rsidR="00156B87" w:rsidRPr="000B0C36">
        <w:rPr>
          <w:sz w:val="24"/>
        </w:rPr>
        <w:t xml:space="preserve"> (mandatory)</w:t>
      </w:r>
    </w:p>
    <w:p w14:paraId="56A4BE45" w14:textId="5C61F143" w:rsidR="00E65566" w:rsidRPr="000B0C36" w:rsidRDefault="00E65566" w:rsidP="00782275">
      <w:pPr>
        <w:pStyle w:val="Heading2"/>
        <w:rPr>
          <w:sz w:val="24"/>
        </w:rPr>
      </w:pPr>
      <w:r w:rsidRPr="000B0C36">
        <w:rPr>
          <w:sz w:val="24"/>
        </w:rPr>
        <w:t xml:space="preserve">Due to the predominate location of stopped vehicles being the county of Kent, </w:t>
      </w:r>
      <w:r w:rsidR="00DE7D1C" w:rsidRPr="000B0C36">
        <w:rPr>
          <w:sz w:val="24"/>
        </w:rPr>
        <w:t>The Authority</w:t>
      </w:r>
      <w:r w:rsidRPr="000B0C36">
        <w:rPr>
          <w:sz w:val="24"/>
        </w:rPr>
        <w:t xml:space="preserve"> would ideally like the Supplier to </w:t>
      </w:r>
      <w:r w:rsidR="00ED61D0" w:rsidRPr="000B0C36">
        <w:rPr>
          <w:sz w:val="24"/>
        </w:rPr>
        <w:t>be based in</w:t>
      </w:r>
      <w:r w:rsidRPr="000B0C36">
        <w:rPr>
          <w:sz w:val="24"/>
        </w:rPr>
        <w:t xml:space="preserve"> Kent and if possible </w:t>
      </w:r>
      <w:r w:rsidR="00ED61D0" w:rsidRPr="000B0C36">
        <w:rPr>
          <w:sz w:val="24"/>
        </w:rPr>
        <w:t>near the Channel ports</w:t>
      </w:r>
      <w:r w:rsidR="00DE7D1C" w:rsidRPr="000B0C36">
        <w:rPr>
          <w:sz w:val="24"/>
        </w:rPr>
        <w:t>.</w:t>
      </w:r>
      <w:r w:rsidR="00ED61D0" w:rsidRPr="000B0C36">
        <w:rPr>
          <w:sz w:val="24"/>
        </w:rPr>
        <w:t xml:space="preserve"> (optional but highly desired, as will limit costs in line with best practice)</w:t>
      </w:r>
    </w:p>
    <w:p w14:paraId="461ECD2E" w14:textId="138DC33B" w:rsidR="00BA2935" w:rsidRPr="000B0C36" w:rsidRDefault="00ED61D0" w:rsidP="00782275">
      <w:pPr>
        <w:pStyle w:val="Heading2"/>
        <w:rPr>
          <w:sz w:val="24"/>
        </w:rPr>
      </w:pPr>
      <w:r w:rsidRPr="000B0C36">
        <w:rPr>
          <w:sz w:val="24"/>
        </w:rPr>
        <w:t xml:space="preserve">The Supplier would ideally have a good working knowledge of </w:t>
      </w:r>
      <w:r w:rsidR="00DE7D1C" w:rsidRPr="000B0C36">
        <w:rPr>
          <w:sz w:val="24"/>
        </w:rPr>
        <w:t xml:space="preserve">The Authority’s </w:t>
      </w:r>
      <w:r w:rsidRPr="000B0C36">
        <w:rPr>
          <w:sz w:val="24"/>
        </w:rPr>
        <w:t>procedures and locations</w:t>
      </w:r>
      <w:r w:rsidR="00DE7D1C" w:rsidRPr="000B0C36">
        <w:rPr>
          <w:sz w:val="24"/>
        </w:rPr>
        <w:t>.</w:t>
      </w:r>
      <w:r w:rsidRPr="000B0C36">
        <w:rPr>
          <w:sz w:val="24"/>
        </w:rPr>
        <w:t xml:space="preserve"> (optional)</w:t>
      </w:r>
    </w:p>
    <w:p w14:paraId="78E90054" w14:textId="4F2CB041" w:rsidR="00671798" w:rsidRPr="000B0C36" w:rsidRDefault="00ED61D0" w:rsidP="00782275">
      <w:pPr>
        <w:pStyle w:val="Heading2"/>
        <w:rPr>
          <w:sz w:val="24"/>
        </w:rPr>
      </w:pPr>
      <w:r w:rsidRPr="000B0C36">
        <w:rPr>
          <w:sz w:val="24"/>
        </w:rPr>
        <w:t>The supplier will not be involved in the initial</w:t>
      </w:r>
      <w:r w:rsidR="003123D3" w:rsidRPr="000B0C36">
        <w:rPr>
          <w:sz w:val="24"/>
        </w:rPr>
        <w:t xml:space="preserve"> stopping of vehicles; this will contin</w:t>
      </w:r>
      <w:r w:rsidR="00DE7D1C" w:rsidRPr="000B0C36">
        <w:rPr>
          <w:sz w:val="24"/>
        </w:rPr>
        <w:t>ue to be managed by The Authority</w:t>
      </w:r>
      <w:r w:rsidR="003123D3" w:rsidRPr="000B0C36">
        <w:rPr>
          <w:sz w:val="24"/>
        </w:rPr>
        <w:t xml:space="preserve"> and our partner law enforcement agencies. </w:t>
      </w:r>
    </w:p>
    <w:p w14:paraId="52511112" w14:textId="121B70FA" w:rsidR="0059059C" w:rsidRPr="000B0C36" w:rsidRDefault="00DE7D1C" w:rsidP="00782275">
      <w:pPr>
        <w:pStyle w:val="Heading2"/>
        <w:rPr>
          <w:sz w:val="24"/>
        </w:rPr>
      </w:pPr>
      <w:r w:rsidRPr="000B0C36">
        <w:rPr>
          <w:sz w:val="24"/>
        </w:rPr>
        <w:t>The Authority</w:t>
      </w:r>
      <w:r w:rsidR="003123D3" w:rsidRPr="000B0C36">
        <w:rPr>
          <w:sz w:val="24"/>
        </w:rPr>
        <w:t xml:space="preserve"> remain</w:t>
      </w:r>
      <w:r w:rsidRPr="000B0C36">
        <w:rPr>
          <w:sz w:val="24"/>
        </w:rPr>
        <w:t>s the detaining authority</w:t>
      </w:r>
      <w:r w:rsidR="003123D3" w:rsidRPr="000B0C36">
        <w:rPr>
          <w:sz w:val="24"/>
        </w:rPr>
        <w:t xml:space="preserve"> at all time: the Supplier will not be expected to engage with the vehicle owners/operators and must pas</w:t>
      </w:r>
      <w:r w:rsidRPr="000B0C36">
        <w:rPr>
          <w:sz w:val="24"/>
        </w:rPr>
        <w:t>s all queries on to The Authority</w:t>
      </w:r>
      <w:r w:rsidR="003123D3" w:rsidRPr="000B0C36">
        <w:rPr>
          <w:sz w:val="24"/>
        </w:rPr>
        <w:t>.</w:t>
      </w:r>
    </w:p>
    <w:p w14:paraId="0CB62907" w14:textId="0965CEED" w:rsidR="003123D3" w:rsidRPr="00782275" w:rsidRDefault="0059059C" w:rsidP="00782275">
      <w:pPr>
        <w:pStyle w:val="Heading2"/>
      </w:pPr>
      <w:r w:rsidRPr="000B0C36">
        <w:rPr>
          <w:sz w:val="24"/>
        </w:rPr>
        <w:t xml:space="preserve">Vehicle detention and release will only be arranged inside of office hours (08:30-17:30), Monday to Friday. The Supplier will not be expected to </w:t>
      </w:r>
      <w:r w:rsidR="004B2DF3" w:rsidRPr="000B0C36">
        <w:rPr>
          <w:sz w:val="24"/>
        </w:rPr>
        <w:t>start or end detentions outside of these hours.</w:t>
      </w:r>
      <w:r w:rsidR="003123D3" w:rsidRPr="00782275">
        <w:t xml:space="preserve"> </w:t>
      </w:r>
    </w:p>
    <w:p w14:paraId="3491B80B" w14:textId="77777777" w:rsidR="00671798" w:rsidRPr="00B5620B" w:rsidRDefault="00FE18AC">
      <w:pPr>
        <w:pStyle w:val="Heading1"/>
        <w:spacing w:after="120"/>
        <w:rPr>
          <w:sz w:val="28"/>
          <w:szCs w:val="28"/>
        </w:rPr>
      </w:pPr>
      <w:bookmarkStart w:id="16" w:name="_Toc368573031"/>
      <w:bookmarkStart w:id="17" w:name="_Toc7793194"/>
      <w:r w:rsidRPr="00B5620B">
        <w:rPr>
          <w:sz w:val="28"/>
          <w:szCs w:val="28"/>
        </w:rPr>
        <w:t>The requirement</w:t>
      </w:r>
      <w:bookmarkEnd w:id="16"/>
      <w:bookmarkEnd w:id="17"/>
    </w:p>
    <w:p w14:paraId="554E3C7C" w14:textId="72BCA84A" w:rsidR="00671798" w:rsidRPr="00782275" w:rsidRDefault="003123D3">
      <w:pPr>
        <w:pStyle w:val="Heading2"/>
        <w:tabs>
          <w:tab w:val="clear" w:pos="720"/>
          <w:tab w:val="num" w:pos="709"/>
        </w:tabs>
        <w:spacing w:after="120"/>
        <w:ind w:left="709" w:hanging="709"/>
        <w:rPr>
          <w:sz w:val="24"/>
          <w:szCs w:val="24"/>
        </w:rPr>
      </w:pPr>
      <w:r w:rsidRPr="00782275">
        <w:rPr>
          <w:sz w:val="24"/>
          <w:szCs w:val="24"/>
        </w:rPr>
        <w:t>The Supplier must be able to facilitate short notice vehicle detention and release for all types</w:t>
      </w:r>
      <w:r w:rsidR="00174192" w:rsidRPr="00782275">
        <w:rPr>
          <w:sz w:val="24"/>
          <w:szCs w:val="24"/>
        </w:rPr>
        <w:t xml:space="preserve"> of vehicle and vehicle trailers, liaising successfully with </w:t>
      </w:r>
      <w:r w:rsidR="00DE7D1C">
        <w:rPr>
          <w:sz w:val="24"/>
          <w:szCs w:val="24"/>
        </w:rPr>
        <w:t>The Authority</w:t>
      </w:r>
      <w:r w:rsidR="00174192" w:rsidRPr="00782275">
        <w:rPr>
          <w:sz w:val="24"/>
          <w:szCs w:val="24"/>
        </w:rPr>
        <w:t xml:space="preserve"> and our partner agencies in the process. The Supplier must be able to handle vehicle recovery from any UK location, as well as facilitating short term specialist trailer handling (such as cold storage trailers) and transhipment requests. The Supplier must be able to</w:t>
      </w:r>
      <w:r w:rsidR="00782275" w:rsidRPr="00782275">
        <w:rPr>
          <w:sz w:val="24"/>
          <w:szCs w:val="24"/>
        </w:rPr>
        <w:t xml:space="preserve"> detain vehicles for up to five</w:t>
      </w:r>
      <w:r w:rsidR="00174192" w:rsidRPr="00782275">
        <w:rPr>
          <w:sz w:val="24"/>
          <w:szCs w:val="24"/>
        </w:rPr>
        <w:t xml:space="preserve"> months.</w:t>
      </w:r>
      <w:r w:rsidR="00156B87" w:rsidRPr="00782275">
        <w:rPr>
          <w:sz w:val="24"/>
          <w:szCs w:val="24"/>
        </w:rPr>
        <w:t xml:space="preserve"> The Supplier must also be able to facilitate transfer to auction sites should the vehicle be sold. </w:t>
      </w:r>
      <w:r w:rsidR="00174192" w:rsidRPr="00782275">
        <w:rPr>
          <w:sz w:val="24"/>
          <w:szCs w:val="24"/>
        </w:rPr>
        <w:t xml:space="preserve"> </w:t>
      </w:r>
    </w:p>
    <w:p w14:paraId="3A0F18C0" w14:textId="098D1A1A" w:rsidR="00174192" w:rsidRPr="00782275" w:rsidRDefault="0075021D" w:rsidP="00174192">
      <w:pPr>
        <w:pStyle w:val="Heading2"/>
        <w:numPr>
          <w:ilvl w:val="0"/>
          <w:numId w:val="0"/>
        </w:numPr>
        <w:spacing w:after="120"/>
        <w:ind w:left="709"/>
        <w:rPr>
          <w:sz w:val="24"/>
          <w:szCs w:val="24"/>
        </w:rPr>
      </w:pPr>
      <w:r w:rsidRPr="00782275">
        <w:rPr>
          <w:sz w:val="24"/>
          <w:szCs w:val="24"/>
        </w:rPr>
        <w:t>Most of</w:t>
      </w:r>
      <w:r w:rsidR="00DE7D1C">
        <w:rPr>
          <w:sz w:val="24"/>
          <w:szCs w:val="24"/>
        </w:rPr>
        <w:t xml:space="preserve"> The Authority </w:t>
      </w:r>
      <w:r w:rsidR="00174192" w:rsidRPr="00782275">
        <w:rPr>
          <w:sz w:val="24"/>
          <w:szCs w:val="24"/>
        </w:rPr>
        <w:t>detentions result from vehicles stopped in Kent, mostly at or in close proximity to Channel ports. As such</w:t>
      </w:r>
      <w:r w:rsidRPr="00782275">
        <w:rPr>
          <w:sz w:val="24"/>
          <w:szCs w:val="24"/>
        </w:rPr>
        <w:t xml:space="preserve">, </w:t>
      </w:r>
      <w:r w:rsidR="00DE7D1C">
        <w:rPr>
          <w:sz w:val="24"/>
          <w:szCs w:val="24"/>
        </w:rPr>
        <w:t>The Authority</w:t>
      </w:r>
      <w:r w:rsidRPr="00782275">
        <w:rPr>
          <w:sz w:val="24"/>
          <w:szCs w:val="24"/>
        </w:rPr>
        <w:t xml:space="preserve"> would ideally like the Supplier to be located as close to the Channel ports as possible. This will assist in keeping costs as reasonable as is practicable. </w:t>
      </w:r>
    </w:p>
    <w:p w14:paraId="0C9D8431" w14:textId="24959469" w:rsidR="007902CE" w:rsidRPr="00782275" w:rsidRDefault="00A50AC2" w:rsidP="007902CE">
      <w:pPr>
        <w:pStyle w:val="Heading2"/>
        <w:spacing w:after="120"/>
        <w:ind w:left="709" w:hanging="709"/>
        <w:rPr>
          <w:sz w:val="24"/>
          <w:szCs w:val="24"/>
        </w:rPr>
      </w:pPr>
      <w:r w:rsidRPr="00782275">
        <w:rPr>
          <w:sz w:val="24"/>
          <w:szCs w:val="24"/>
        </w:rPr>
        <w:t xml:space="preserve">The Authority will require a site visit </w:t>
      </w:r>
      <w:r w:rsidR="00DE7D1C">
        <w:rPr>
          <w:sz w:val="24"/>
          <w:szCs w:val="24"/>
        </w:rPr>
        <w:t xml:space="preserve">two weeks </w:t>
      </w:r>
      <w:r w:rsidRPr="00782275">
        <w:rPr>
          <w:sz w:val="24"/>
          <w:szCs w:val="24"/>
        </w:rPr>
        <w:t>pr</w:t>
      </w:r>
      <w:r w:rsidR="00DE7D1C">
        <w:rPr>
          <w:sz w:val="24"/>
          <w:szCs w:val="24"/>
        </w:rPr>
        <w:t>ior to contract award to verify the secure detention facilities</w:t>
      </w:r>
      <w:r w:rsidR="00B61FEB">
        <w:rPr>
          <w:sz w:val="24"/>
          <w:szCs w:val="24"/>
        </w:rPr>
        <w:t xml:space="preserve"> for</w:t>
      </w:r>
      <w:r w:rsidR="00782275" w:rsidRPr="00782275">
        <w:rPr>
          <w:sz w:val="24"/>
          <w:szCs w:val="24"/>
        </w:rPr>
        <w:t xml:space="preserve"> assurance purposes.</w:t>
      </w:r>
    </w:p>
    <w:p w14:paraId="35734D9E" w14:textId="54CCFB79" w:rsidR="00671798" w:rsidRPr="00B5620B" w:rsidRDefault="00FE18AC">
      <w:pPr>
        <w:pStyle w:val="Heading1"/>
        <w:spacing w:after="120"/>
        <w:rPr>
          <w:sz w:val="28"/>
          <w:szCs w:val="28"/>
        </w:rPr>
      </w:pPr>
      <w:bookmarkStart w:id="18" w:name="_Toc368573032"/>
      <w:bookmarkStart w:id="19" w:name="_Toc7793195"/>
      <w:r w:rsidRPr="00B5620B">
        <w:rPr>
          <w:sz w:val="28"/>
          <w:szCs w:val="28"/>
        </w:rPr>
        <w:t>key milestones</w:t>
      </w:r>
      <w:bookmarkEnd w:id="18"/>
      <w:r w:rsidR="00F0311A" w:rsidRPr="00B5620B">
        <w:rPr>
          <w:sz w:val="28"/>
          <w:szCs w:val="28"/>
        </w:rPr>
        <w:t xml:space="preserve"> and Deliverables</w:t>
      </w:r>
      <w:bookmarkEnd w:id="19"/>
    </w:p>
    <w:p w14:paraId="4D0E0CBA" w14:textId="18CAC30E"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782275">
        <w:tc>
          <w:tcPr>
            <w:tcW w:w="1481" w:type="pct"/>
            <w:shd w:val="clear" w:color="auto" w:fill="C6D9F1" w:themeFill="text2" w:themeFillTint="33"/>
            <w:vAlign w:val="center"/>
          </w:tcPr>
          <w:p w14:paraId="2F0B096C" w14:textId="2748D807" w:rsidR="00671798" w:rsidRPr="00B61FEB" w:rsidRDefault="00FE18AC">
            <w:pPr>
              <w:pStyle w:val="Heading3"/>
              <w:numPr>
                <w:ilvl w:val="0"/>
                <w:numId w:val="0"/>
              </w:numPr>
              <w:spacing w:after="120"/>
              <w:jc w:val="center"/>
              <w:outlineLvl w:val="2"/>
              <w:rPr>
                <w:b/>
                <w:sz w:val="24"/>
                <w:szCs w:val="24"/>
              </w:rPr>
            </w:pPr>
            <w:r w:rsidRPr="00B61FEB">
              <w:rPr>
                <w:b/>
                <w:sz w:val="24"/>
                <w:szCs w:val="24"/>
              </w:rPr>
              <w:t>Milestone</w:t>
            </w:r>
            <w:r w:rsidR="00F0311A" w:rsidRPr="00B61FEB">
              <w:rPr>
                <w:b/>
                <w:sz w:val="24"/>
                <w:szCs w:val="24"/>
              </w:rPr>
              <w:t>/Deliverable</w:t>
            </w:r>
          </w:p>
        </w:tc>
        <w:tc>
          <w:tcPr>
            <w:tcW w:w="2188" w:type="pct"/>
            <w:shd w:val="clear" w:color="auto" w:fill="C6D9F1" w:themeFill="text2" w:themeFillTint="33"/>
            <w:vAlign w:val="center"/>
          </w:tcPr>
          <w:p w14:paraId="55754382" w14:textId="77777777" w:rsidR="00671798" w:rsidRPr="00B61FEB" w:rsidRDefault="00FE18AC">
            <w:pPr>
              <w:pStyle w:val="Heading3"/>
              <w:numPr>
                <w:ilvl w:val="0"/>
                <w:numId w:val="0"/>
              </w:numPr>
              <w:spacing w:after="120"/>
              <w:jc w:val="center"/>
              <w:outlineLvl w:val="2"/>
              <w:rPr>
                <w:b/>
                <w:sz w:val="24"/>
                <w:szCs w:val="24"/>
              </w:rPr>
            </w:pPr>
            <w:r w:rsidRPr="00B61FEB">
              <w:rPr>
                <w:b/>
                <w:sz w:val="24"/>
                <w:szCs w:val="24"/>
              </w:rPr>
              <w:t>Description</w:t>
            </w:r>
          </w:p>
        </w:tc>
        <w:tc>
          <w:tcPr>
            <w:tcW w:w="1331" w:type="pct"/>
            <w:shd w:val="clear" w:color="auto" w:fill="C6D9F1" w:themeFill="text2" w:themeFillTint="33"/>
            <w:vAlign w:val="center"/>
          </w:tcPr>
          <w:p w14:paraId="0EABB2D0" w14:textId="4CE65645" w:rsidR="00671798" w:rsidRPr="00B61FEB" w:rsidRDefault="00FE18AC">
            <w:pPr>
              <w:pStyle w:val="Heading3"/>
              <w:numPr>
                <w:ilvl w:val="0"/>
                <w:numId w:val="0"/>
              </w:numPr>
              <w:spacing w:after="120"/>
              <w:jc w:val="center"/>
              <w:outlineLvl w:val="2"/>
              <w:rPr>
                <w:b/>
                <w:sz w:val="24"/>
                <w:szCs w:val="24"/>
              </w:rPr>
            </w:pPr>
            <w:r w:rsidRPr="00B61FEB">
              <w:rPr>
                <w:b/>
                <w:sz w:val="24"/>
                <w:szCs w:val="24"/>
              </w:rPr>
              <w:t>Timeframe</w:t>
            </w:r>
            <w:r w:rsidR="00F0311A" w:rsidRPr="00B61FEB">
              <w:rPr>
                <w:b/>
                <w:sz w:val="24"/>
                <w:szCs w:val="24"/>
              </w:rPr>
              <w:t xml:space="preserve"> or  Delivery Date</w:t>
            </w:r>
          </w:p>
        </w:tc>
      </w:tr>
      <w:tr w:rsidR="00B61FEB" w:rsidRPr="001A45DF" w14:paraId="0C90E0BE" w14:textId="77777777" w:rsidTr="00782275">
        <w:tc>
          <w:tcPr>
            <w:tcW w:w="1481" w:type="pct"/>
            <w:vAlign w:val="center"/>
          </w:tcPr>
          <w:p w14:paraId="157B3D0C" w14:textId="2D0A859B" w:rsidR="00B61FEB" w:rsidRPr="00B61FEB" w:rsidRDefault="00B61FEB">
            <w:pPr>
              <w:pStyle w:val="Heading3"/>
              <w:numPr>
                <w:ilvl w:val="0"/>
                <w:numId w:val="0"/>
              </w:numPr>
              <w:spacing w:after="120"/>
              <w:jc w:val="center"/>
              <w:outlineLvl w:val="2"/>
              <w:rPr>
                <w:sz w:val="24"/>
                <w:szCs w:val="24"/>
              </w:rPr>
            </w:pPr>
            <w:r w:rsidRPr="00B61FEB">
              <w:rPr>
                <w:sz w:val="24"/>
                <w:szCs w:val="24"/>
              </w:rPr>
              <w:lastRenderedPageBreak/>
              <w:t>1</w:t>
            </w:r>
          </w:p>
        </w:tc>
        <w:tc>
          <w:tcPr>
            <w:tcW w:w="2188" w:type="pct"/>
            <w:vAlign w:val="center"/>
          </w:tcPr>
          <w:p w14:paraId="33E1A218" w14:textId="541A4B8D" w:rsidR="00B61FEB" w:rsidRPr="00B61FEB" w:rsidRDefault="00B61FEB" w:rsidP="00CD38F0">
            <w:pPr>
              <w:pStyle w:val="Heading3"/>
              <w:numPr>
                <w:ilvl w:val="0"/>
                <w:numId w:val="0"/>
              </w:numPr>
              <w:spacing w:after="120"/>
              <w:jc w:val="left"/>
              <w:outlineLvl w:val="2"/>
              <w:rPr>
                <w:sz w:val="24"/>
                <w:szCs w:val="24"/>
              </w:rPr>
            </w:pPr>
            <w:r w:rsidRPr="00B61FEB">
              <w:rPr>
                <w:sz w:val="24"/>
                <w:szCs w:val="24"/>
              </w:rPr>
              <w:t>Site visit to verify secure facilities.</w:t>
            </w:r>
          </w:p>
        </w:tc>
        <w:tc>
          <w:tcPr>
            <w:tcW w:w="1331" w:type="pct"/>
            <w:vAlign w:val="center"/>
          </w:tcPr>
          <w:p w14:paraId="7214370D" w14:textId="7F499B77" w:rsidR="00B61FEB" w:rsidRPr="00B61FEB" w:rsidRDefault="00B61FEB" w:rsidP="00F0311A">
            <w:pPr>
              <w:pStyle w:val="Heading3"/>
              <w:numPr>
                <w:ilvl w:val="0"/>
                <w:numId w:val="0"/>
              </w:numPr>
              <w:spacing w:after="120"/>
              <w:jc w:val="center"/>
              <w:outlineLvl w:val="2"/>
              <w:rPr>
                <w:sz w:val="24"/>
                <w:szCs w:val="24"/>
              </w:rPr>
            </w:pPr>
            <w:r w:rsidRPr="00B61FEB">
              <w:rPr>
                <w:sz w:val="24"/>
                <w:szCs w:val="24"/>
              </w:rPr>
              <w:t>2 weeks prior to contract award.</w:t>
            </w:r>
          </w:p>
        </w:tc>
      </w:tr>
      <w:tr w:rsidR="00FE18AC" w:rsidRPr="001A45DF" w14:paraId="2B6EAC37" w14:textId="77777777" w:rsidTr="00782275">
        <w:tc>
          <w:tcPr>
            <w:tcW w:w="1481" w:type="pct"/>
            <w:vAlign w:val="center"/>
          </w:tcPr>
          <w:p w14:paraId="13176D62" w14:textId="77777777" w:rsidR="00671798" w:rsidRPr="00B61FEB" w:rsidRDefault="00FE18AC">
            <w:pPr>
              <w:pStyle w:val="Heading3"/>
              <w:numPr>
                <w:ilvl w:val="0"/>
                <w:numId w:val="0"/>
              </w:numPr>
              <w:spacing w:after="120"/>
              <w:jc w:val="center"/>
              <w:outlineLvl w:val="2"/>
              <w:rPr>
                <w:sz w:val="24"/>
                <w:szCs w:val="24"/>
              </w:rPr>
            </w:pPr>
            <w:r w:rsidRPr="00B61FEB">
              <w:rPr>
                <w:sz w:val="24"/>
                <w:szCs w:val="24"/>
              </w:rPr>
              <w:t>1</w:t>
            </w:r>
          </w:p>
        </w:tc>
        <w:tc>
          <w:tcPr>
            <w:tcW w:w="2188" w:type="pct"/>
            <w:vAlign w:val="center"/>
          </w:tcPr>
          <w:p w14:paraId="04CC1243" w14:textId="5FF52857" w:rsidR="00671798" w:rsidRPr="00B61FEB" w:rsidRDefault="0075021D" w:rsidP="00CD38F0">
            <w:pPr>
              <w:pStyle w:val="Heading3"/>
              <w:numPr>
                <w:ilvl w:val="0"/>
                <w:numId w:val="0"/>
              </w:numPr>
              <w:spacing w:after="120"/>
              <w:jc w:val="left"/>
              <w:outlineLvl w:val="2"/>
              <w:rPr>
                <w:sz w:val="24"/>
                <w:szCs w:val="24"/>
              </w:rPr>
            </w:pPr>
            <w:r w:rsidRPr="00B61FEB">
              <w:rPr>
                <w:sz w:val="24"/>
                <w:szCs w:val="24"/>
              </w:rPr>
              <w:t>To attend a briefing from Border Force which outlines the processes of a detention and responsibilities of the Supplier</w:t>
            </w:r>
          </w:p>
        </w:tc>
        <w:tc>
          <w:tcPr>
            <w:tcW w:w="1331" w:type="pct"/>
            <w:vAlign w:val="center"/>
          </w:tcPr>
          <w:p w14:paraId="23E536A9" w14:textId="1FA1427F" w:rsidR="00671798" w:rsidRPr="00B61FEB" w:rsidRDefault="00FE18AC" w:rsidP="00F0311A">
            <w:pPr>
              <w:pStyle w:val="Heading3"/>
              <w:numPr>
                <w:ilvl w:val="0"/>
                <w:numId w:val="0"/>
              </w:numPr>
              <w:spacing w:after="120"/>
              <w:jc w:val="center"/>
              <w:outlineLvl w:val="2"/>
              <w:rPr>
                <w:sz w:val="24"/>
                <w:szCs w:val="24"/>
              </w:rPr>
            </w:pPr>
            <w:r w:rsidRPr="00B61FEB">
              <w:rPr>
                <w:sz w:val="24"/>
                <w:szCs w:val="24"/>
              </w:rPr>
              <w:t>Within week 1 of Contract Award</w:t>
            </w:r>
            <w:r w:rsidR="00F0311A" w:rsidRPr="00B61FEB">
              <w:rPr>
                <w:sz w:val="24"/>
                <w:szCs w:val="24"/>
              </w:rPr>
              <w:t xml:space="preserve"> </w:t>
            </w:r>
          </w:p>
        </w:tc>
      </w:tr>
      <w:tr w:rsidR="00FE18AC" w:rsidRPr="001A45DF" w14:paraId="16F113EC" w14:textId="77777777" w:rsidTr="00782275">
        <w:tc>
          <w:tcPr>
            <w:tcW w:w="1481" w:type="pct"/>
            <w:vAlign w:val="center"/>
          </w:tcPr>
          <w:p w14:paraId="4FD18402" w14:textId="77777777" w:rsidR="00671798" w:rsidRPr="00B61FEB" w:rsidRDefault="00FE18AC">
            <w:pPr>
              <w:pStyle w:val="Heading3"/>
              <w:numPr>
                <w:ilvl w:val="0"/>
                <w:numId w:val="0"/>
              </w:numPr>
              <w:spacing w:after="120"/>
              <w:jc w:val="center"/>
              <w:outlineLvl w:val="2"/>
              <w:rPr>
                <w:sz w:val="24"/>
                <w:szCs w:val="24"/>
              </w:rPr>
            </w:pPr>
            <w:r w:rsidRPr="00B61FEB">
              <w:rPr>
                <w:sz w:val="24"/>
                <w:szCs w:val="24"/>
              </w:rPr>
              <w:t>2</w:t>
            </w:r>
          </w:p>
        </w:tc>
        <w:tc>
          <w:tcPr>
            <w:tcW w:w="2188" w:type="pct"/>
            <w:vAlign w:val="center"/>
          </w:tcPr>
          <w:p w14:paraId="33C22C40" w14:textId="356B9486" w:rsidR="00671798" w:rsidRPr="00B61FEB" w:rsidRDefault="0075021D" w:rsidP="00F0311A">
            <w:pPr>
              <w:pStyle w:val="Heading3"/>
              <w:numPr>
                <w:ilvl w:val="0"/>
                <w:numId w:val="0"/>
              </w:numPr>
              <w:spacing w:after="120"/>
              <w:jc w:val="left"/>
              <w:outlineLvl w:val="2"/>
              <w:rPr>
                <w:sz w:val="24"/>
                <w:szCs w:val="24"/>
              </w:rPr>
            </w:pPr>
            <w:r w:rsidRPr="00B61FEB">
              <w:rPr>
                <w:sz w:val="24"/>
                <w:szCs w:val="24"/>
              </w:rPr>
              <w:t>To be able to deliver detention services as necessary</w:t>
            </w:r>
          </w:p>
        </w:tc>
        <w:tc>
          <w:tcPr>
            <w:tcW w:w="1331" w:type="pct"/>
            <w:vAlign w:val="center"/>
          </w:tcPr>
          <w:p w14:paraId="3B285FD4" w14:textId="0880CBCC" w:rsidR="00671798" w:rsidRPr="00B61FEB" w:rsidRDefault="00F0311A">
            <w:pPr>
              <w:pStyle w:val="Heading3"/>
              <w:numPr>
                <w:ilvl w:val="0"/>
                <w:numId w:val="0"/>
              </w:numPr>
              <w:spacing w:after="120"/>
              <w:jc w:val="center"/>
              <w:outlineLvl w:val="2"/>
              <w:rPr>
                <w:sz w:val="24"/>
                <w:szCs w:val="24"/>
              </w:rPr>
            </w:pPr>
            <w:r w:rsidRPr="00B61FEB">
              <w:rPr>
                <w:sz w:val="24"/>
                <w:szCs w:val="24"/>
              </w:rPr>
              <w:t xml:space="preserve">Within week 1 of Contract Award </w:t>
            </w:r>
          </w:p>
        </w:tc>
      </w:tr>
      <w:tr w:rsidR="00FE18AC" w:rsidRPr="001A45DF" w14:paraId="3FD394DC" w14:textId="77777777" w:rsidTr="00782275">
        <w:tc>
          <w:tcPr>
            <w:tcW w:w="1481" w:type="pct"/>
            <w:vAlign w:val="center"/>
          </w:tcPr>
          <w:p w14:paraId="3995F849" w14:textId="77777777" w:rsidR="00671798" w:rsidRPr="00B61FEB" w:rsidRDefault="00FE18AC">
            <w:pPr>
              <w:pStyle w:val="Heading3"/>
              <w:numPr>
                <w:ilvl w:val="0"/>
                <w:numId w:val="0"/>
              </w:numPr>
              <w:spacing w:after="120"/>
              <w:jc w:val="center"/>
              <w:outlineLvl w:val="2"/>
              <w:rPr>
                <w:sz w:val="24"/>
                <w:szCs w:val="24"/>
              </w:rPr>
            </w:pPr>
            <w:r w:rsidRPr="00B61FEB">
              <w:rPr>
                <w:sz w:val="24"/>
                <w:szCs w:val="24"/>
              </w:rPr>
              <w:t>3</w:t>
            </w:r>
          </w:p>
        </w:tc>
        <w:tc>
          <w:tcPr>
            <w:tcW w:w="2188" w:type="pct"/>
            <w:vAlign w:val="center"/>
          </w:tcPr>
          <w:p w14:paraId="4962E129" w14:textId="0E4D585A" w:rsidR="00671798" w:rsidRPr="00B61FEB" w:rsidRDefault="0075021D">
            <w:pPr>
              <w:pStyle w:val="Heading3"/>
              <w:numPr>
                <w:ilvl w:val="0"/>
                <w:numId w:val="0"/>
              </w:numPr>
              <w:spacing w:after="120"/>
              <w:jc w:val="left"/>
              <w:outlineLvl w:val="2"/>
              <w:rPr>
                <w:sz w:val="24"/>
                <w:szCs w:val="24"/>
              </w:rPr>
            </w:pPr>
            <w:r w:rsidRPr="00B61FEB">
              <w:rPr>
                <w:sz w:val="24"/>
                <w:szCs w:val="24"/>
              </w:rPr>
              <w:t xml:space="preserve">To attend quarterly </w:t>
            </w:r>
            <w:r w:rsidR="0059059C" w:rsidRPr="00B61FEB">
              <w:rPr>
                <w:sz w:val="24"/>
                <w:szCs w:val="24"/>
              </w:rPr>
              <w:t xml:space="preserve">contract review </w:t>
            </w:r>
            <w:r w:rsidRPr="00B61FEB">
              <w:rPr>
                <w:sz w:val="24"/>
                <w:szCs w:val="24"/>
              </w:rPr>
              <w:t>meetings with Border Force</w:t>
            </w:r>
          </w:p>
        </w:tc>
        <w:tc>
          <w:tcPr>
            <w:tcW w:w="1331" w:type="pct"/>
            <w:vAlign w:val="center"/>
          </w:tcPr>
          <w:p w14:paraId="7164B729" w14:textId="0774EBCF" w:rsidR="00671798" w:rsidRPr="00B61FEB" w:rsidRDefault="0059059C">
            <w:pPr>
              <w:pStyle w:val="Heading3"/>
              <w:numPr>
                <w:ilvl w:val="0"/>
                <w:numId w:val="0"/>
              </w:numPr>
              <w:spacing w:after="120"/>
              <w:jc w:val="center"/>
              <w:outlineLvl w:val="2"/>
              <w:rPr>
                <w:sz w:val="24"/>
                <w:szCs w:val="24"/>
              </w:rPr>
            </w:pPr>
            <w:r w:rsidRPr="00B61FEB">
              <w:rPr>
                <w:sz w:val="24"/>
                <w:szCs w:val="24"/>
              </w:rPr>
              <w:t>Quarterly</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203EC2B6" w14:textId="6BC3F211" w:rsidR="00671798" w:rsidRPr="00B5620B" w:rsidRDefault="009E3739">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21" w:name="_Toc368573033"/>
      <w:bookmarkStart w:id="22" w:name="_Toc7793196"/>
      <w:r w:rsidRPr="00B5620B">
        <w:rPr>
          <w:rFonts w:cs="Arial"/>
          <w:sz w:val="28"/>
          <w:szCs w:val="32"/>
        </w:rPr>
        <w:t>MANAGEMENT INFORMATION/</w:t>
      </w:r>
      <w:r w:rsidR="00FE18AC" w:rsidRPr="00B5620B">
        <w:rPr>
          <w:rFonts w:cs="Arial"/>
          <w:sz w:val="28"/>
          <w:szCs w:val="32"/>
        </w:rPr>
        <w:t>reporting</w:t>
      </w:r>
      <w:bookmarkEnd w:id="21"/>
      <w:bookmarkEnd w:id="22"/>
    </w:p>
    <w:p w14:paraId="22C08F65" w14:textId="73666116" w:rsidR="00671798" w:rsidRPr="00782275" w:rsidRDefault="0075021D">
      <w:pPr>
        <w:pStyle w:val="Heading2"/>
        <w:tabs>
          <w:tab w:val="clear" w:pos="720"/>
          <w:tab w:val="num" w:pos="709"/>
        </w:tabs>
        <w:spacing w:after="120"/>
        <w:ind w:left="709" w:hanging="709"/>
        <w:rPr>
          <w:sz w:val="24"/>
          <w:szCs w:val="24"/>
        </w:rPr>
      </w:pPr>
      <w:r w:rsidRPr="00782275">
        <w:rPr>
          <w:sz w:val="24"/>
          <w:szCs w:val="24"/>
        </w:rPr>
        <w:t xml:space="preserve">The Supplier will be required to seek out and pass on all information pertaining to a detained vehicle, including scanning copies of documents. This will be on an ad hoc basis as each detention takes place. </w:t>
      </w:r>
    </w:p>
    <w:p w14:paraId="39A7702B" w14:textId="1282AF40" w:rsidR="00156B87" w:rsidRPr="0069171A" w:rsidRDefault="00156B87">
      <w:pPr>
        <w:pStyle w:val="Heading2"/>
        <w:tabs>
          <w:tab w:val="clear" w:pos="720"/>
          <w:tab w:val="num" w:pos="709"/>
        </w:tabs>
        <w:spacing w:after="120"/>
        <w:ind w:left="709" w:hanging="709"/>
        <w:rPr>
          <w:sz w:val="24"/>
          <w:szCs w:val="24"/>
        </w:rPr>
      </w:pPr>
      <w:r w:rsidRPr="0069171A">
        <w:rPr>
          <w:sz w:val="24"/>
          <w:szCs w:val="24"/>
        </w:rPr>
        <w:t>The Supplier will be bound by all application data protection laws and procedures.</w:t>
      </w:r>
      <w:r w:rsidR="00A50AC2" w:rsidRPr="0069171A">
        <w:rPr>
          <w:sz w:val="24"/>
          <w:szCs w:val="24"/>
        </w:rPr>
        <w:t xml:space="preserve"> The GDPR places new legal obligations on data processors who process data on behalf of the Home Office, including a requirement to maintain records of personal data and processing activities. Data processors have significantly more liability in the event of a data breach. Liability cannot fall to either the Data Controller or the Data Processor, unless one can prove that it is not in any way responsible. A controller may seek redress from a processor. As a data controller, the Home Office must ensure all contracts with third parties comply with the GDPR. </w:t>
      </w:r>
      <w:r w:rsidRPr="0069171A">
        <w:rPr>
          <w:sz w:val="24"/>
          <w:szCs w:val="24"/>
        </w:rPr>
        <w:t xml:space="preserve"> </w:t>
      </w:r>
    </w:p>
    <w:p w14:paraId="40219839" w14:textId="77777777" w:rsidR="00E24EE7" w:rsidRPr="00B5620B"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23" w:name="_Toc368573034"/>
      <w:bookmarkStart w:id="24" w:name="_Toc7793197"/>
      <w:r w:rsidRPr="00B5620B">
        <w:rPr>
          <w:rFonts w:cs="Arial"/>
          <w:sz w:val="28"/>
          <w:szCs w:val="32"/>
        </w:rPr>
        <w:t>volumes</w:t>
      </w:r>
      <w:bookmarkEnd w:id="23"/>
      <w:bookmarkEnd w:id="24"/>
    </w:p>
    <w:p w14:paraId="3AB9FCA7" w14:textId="0E5FB79E" w:rsidR="00671798" w:rsidRPr="001A45DF" w:rsidRDefault="0075021D" w:rsidP="00E24EE7">
      <w:pPr>
        <w:pStyle w:val="Heading2"/>
        <w:rPr>
          <w:rFonts w:cs="Arial"/>
          <w:sz w:val="24"/>
          <w:szCs w:val="24"/>
        </w:rPr>
      </w:pPr>
      <w:r>
        <w:rPr>
          <w:sz w:val="24"/>
          <w:szCs w:val="24"/>
        </w:rPr>
        <w:t>The number of vehicles detained under the Civil Penalty regime varies, which is why flexibility is such as important requirement. Based of historic figures, a Supplier could expect to deal with around 15 detention</w:t>
      </w:r>
      <w:r w:rsidR="0059059C">
        <w:rPr>
          <w:sz w:val="24"/>
          <w:szCs w:val="24"/>
        </w:rPr>
        <w:t>s</w:t>
      </w:r>
      <w:r>
        <w:rPr>
          <w:sz w:val="24"/>
          <w:szCs w:val="24"/>
        </w:rPr>
        <w:t xml:space="preserve"> per calendar year; it is important that the Supplier is aware that this figure could go up as well as down. </w:t>
      </w:r>
      <w:r w:rsidR="00156B87">
        <w:rPr>
          <w:sz w:val="24"/>
          <w:szCs w:val="24"/>
        </w:rPr>
        <w:t>The vast majority of det</w:t>
      </w:r>
      <w:r w:rsidR="003743A7">
        <w:rPr>
          <w:sz w:val="24"/>
          <w:szCs w:val="24"/>
        </w:rPr>
        <w:t>entions would be short term</w:t>
      </w:r>
      <w:r w:rsidR="00156B87">
        <w:rPr>
          <w:sz w:val="24"/>
          <w:szCs w:val="24"/>
        </w:rPr>
        <w:t xml:space="preserve">. </w:t>
      </w:r>
    </w:p>
    <w:p w14:paraId="0C1E78CC" w14:textId="77777777" w:rsidR="00FE18AC" w:rsidRPr="00B5620B"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25" w:name="_Toc368573035"/>
      <w:bookmarkStart w:id="26" w:name="_Toc7793198"/>
      <w:r w:rsidRPr="00B5620B">
        <w:rPr>
          <w:rFonts w:cs="Arial"/>
          <w:sz w:val="28"/>
          <w:szCs w:val="32"/>
        </w:rPr>
        <w:t>continuous improvement</w:t>
      </w:r>
      <w:bookmarkEnd w:id="25"/>
      <w:bookmarkEnd w:id="26"/>
    </w:p>
    <w:p w14:paraId="73ED8F03" w14:textId="542D9E34"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w:t>
      </w:r>
      <w:r w:rsidR="00156B87">
        <w:rPr>
          <w:sz w:val="24"/>
          <w:szCs w:val="24"/>
        </w:rPr>
        <w:t>seek to</w:t>
      </w:r>
      <w:r w:rsidR="00CE2912">
        <w:rPr>
          <w:sz w:val="24"/>
          <w:szCs w:val="24"/>
        </w:rPr>
        <w:t xml:space="preserve"> </w:t>
      </w:r>
      <w:r w:rsidRPr="001A45DF">
        <w:rPr>
          <w:sz w:val="24"/>
          <w:szCs w:val="24"/>
        </w:rPr>
        <w:t xml:space="preserve">improve the way in which the required Services are to be delivered throughout the </w:t>
      </w:r>
      <w:r w:rsidR="0052086C" w:rsidRPr="001A45DF">
        <w:rPr>
          <w:sz w:val="24"/>
          <w:szCs w:val="24"/>
        </w:rPr>
        <w:t xml:space="preserve">Contract </w:t>
      </w:r>
      <w:r w:rsidRPr="001A45DF">
        <w:rPr>
          <w:sz w:val="24"/>
          <w:szCs w:val="24"/>
        </w:rPr>
        <w:t>duration.</w:t>
      </w:r>
    </w:p>
    <w:p w14:paraId="7B944B64" w14:textId="26CA253A"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should present </w:t>
      </w:r>
      <w:r w:rsidR="00CE2912">
        <w:rPr>
          <w:sz w:val="24"/>
          <w:szCs w:val="24"/>
        </w:rPr>
        <w:t xml:space="preserve">any identified </w:t>
      </w:r>
      <w:r w:rsidRPr="001A45DF">
        <w:rPr>
          <w:sz w:val="24"/>
          <w:szCs w:val="24"/>
        </w:rPr>
        <w:t xml:space="preserve">new ways of working to the Authority during </w:t>
      </w:r>
      <w:r w:rsidRPr="003807A7">
        <w:rPr>
          <w:sz w:val="24"/>
          <w:szCs w:val="24"/>
        </w:rPr>
        <w:t>quarterly</w:t>
      </w:r>
      <w:r w:rsidRPr="001A45DF">
        <w:rPr>
          <w:sz w:val="24"/>
          <w:szCs w:val="24"/>
        </w:rPr>
        <w:t xml:space="preserve"> Contract review meetings.</w:t>
      </w:r>
      <w:r w:rsidR="004D22DF" w:rsidRPr="001A45DF">
        <w:rPr>
          <w:sz w:val="24"/>
          <w:szCs w:val="24"/>
        </w:rPr>
        <w:t xml:space="preserve"> </w:t>
      </w:r>
    </w:p>
    <w:p w14:paraId="031D2B5A" w14:textId="6E1F43DF" w:rsidR="00671798" w:rsidRPr="001A45DF" w:rsidRDefault="00FE18AC">
      <w:pPr>
        <w:pStyle w:val="Heading2"/>
        <w:tabs>
          <w:tab w:val="clear" w:pos="720"/>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1114BE17" w14:textId="77777777" w:rsidR="00FE18AC" w:rsidRPr="00B5620B"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27" w:name="_Toc368573036"/>
      <w:bookmarkStart w:id="28" w:name="_Toc7793199"/>
      <w:r w:rsidRPr="00B5620B">
        <w:rPr>
          <w:rFonts w:cs="Arial"/>
          <w:sz w:val="28"/>
          <w:szCs w:val="32"/>
        </w:rPr>
        <w:lastRenderedPageBreak/>
        <w:t>quality</w:t>
      </w:r>
      <w:bookmarkEnd w:id="27"/>
      <w:bookmarkEnd w:id="28"/>
    </w:p>
    <w:p w14:paraId="68904BBC" w14:textId="33CF5F7B" w:rsidR="00156B87" w:rsidRPr="003807A7" w:rsidRDefault="00156B87" w:rsidP="00156B87">
      <w:pPr>
        <w:pStyle w:val="Heading2"/>
        <w:spacing w:after="120"/>
        <w:ind w:left="709" w:hanging="709"/>
        <w:rPr>
          <w:sz w:val="24"/>
          <w:szCs w:val="24"/>
        </w:rPr>
      </w:pPr>
      <w:r w:rsidRPr="003807A7">
        <w:rPr>
          <w:sz w:val="24"/>
          <w:szCs w:val="24"/>
        </w:rPr>
        <w:t xml:space="preserve">The Supplier must be able to meet all necessary insurance </w:t>
      </w:r>
      <w:r w:rsidR="003807A7" w:rsidRPr="003807A7">
        <w:rPr>
          <w:sz w:val="24"/>
          <w:szCs w:val="24"/>
        </w:rPr>
        <w:t xml:space="preserve">requirements and demonstrate storage site security </w:t>
      </w:r>
      <w:r w:rsidRPr="003807A7">
        <w:rPr>
          <w:sz w:val="24"/>
          <w:szCs w:val="24"/>
        </w:rPr>
        <w:t>standards</w:t>
      </w:r>
      <w:r w:rsidR="003807A7" w:rsidRPr="003807A7">
        <w:rPr>
          <w:sz w:val="24"/>
          <w:szCs w:val="24"/>
        </w:rPr>
        <w:t>.</w:t>
      </w:r>
    </w:p>
    <w:p w14:paraId="3E8C5B44" w14:textId="74B1D98C" w:rsidR="005C2A84" w:rsidRPr="003807A7" w:rsidRDefault="00FE18AC" w:rsidP="00156B87">
      <w:pPr>
        <w:pStyle w:val="Heading2"/>
        <w:numPr>
          <w:ilvl w:val="0"/>
          <w:numId w:val="0"/>
        </w:numPr>
        <w:spacing w:after="120"/>
        <w:ind w:left="709"/>
        <w:rPr>
          <w:sz w:val="24"/>
          <w:szCs w:val="24"/>
        </w:rPr>
      </w:pPr>
      <w:r w:rsidRPr="003807A7">
        <w:rPr>
          <w:sz w:val="24"/>
          <w:szCs w:val="24"/>
        </w:rPr>
        <w:t xml:space="preserve"> </w:t>
      </w:r>
    </w:p>
    <w:p w14:paraId="533C7A5A" w14:textId="77777777" w:rsidR="00FE18AC" w:rsidRPr="00B5620B"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29" w:name="_Toc368573037"/>
      <w:bookmarkStart w:id="30" w:name="_Toc7793200"/>
      <w:r w:rsidRPr="00B5620B">
        <w:rPr>
          <w:rFonts w:cs="Arial"/>
          <w:sz w:val="28"/>
          <w:szCs w:val="32"/>
        </w:rPr>
        <w:t>PRICE</w:t>
      </w:r>
      <w:bookmarkEnd w:id="29"/>
      <w:bookmarkEnd w:id="30"/>
    </w:p>
    <w:p w14:paraId="00D22397" w14:textId="54132679" w:rsidR="006A40DE" w:rsidRDefault="006A40DE" w:rsidP="006A40DE">
      <w:pPr>
        <w:pStyle w:val="Heading2"/>
        <w:rPr>
          <w:sz w:val="24"/>
          <w:szCs w:val="24"/>
        </w:rPr>
      </w:pPr>
      <w:r w:rsidRPr="006A40DE">
        <w:rPr>
          <w:sz w:val="24"/>
          <w:szCs w:val="24"/>
        </w:rPr>
        <w:t>The Authority requires a fixed price on a flat rate basis for vehicle recovery from Dover Eastern Docks, Eurotunnel (Cheriton Terminal), M25 &amp; Nationwide outside of Kent and the M25 motorway.</w:t>
      </w:r>
    </w:p>
    <w:p w14:paraId="645D51EC" w14:textId="18F4C264" w:rsidR="00671798" w:rsidRDefault="0008121C">
      <w:pPr>
        <w:pStyle w:val="Heading2"/>
        <w:tabs>
          <w:tab w:val="clear" w:pos="720"/>
          <w:tab w:val="num" w:pos="709"/>
        </w:tabs>
        <w:spacing w:after="120"/>
        <w:ind w:left="709" w:hanging="709"/>
        <w:rPr>
          <w:sz w:val="24"/>
          <w:szCs w:val="24"/>
        </w:rPr>
      </w:pPr>
      <w:r w:rsidRPr="0008121C">
        <w:rPr>
          <w:sz w:val="24"/>
          <w:szCs w:val="24"/>
        </w:rPr>
        <w:t>The Authority requires the price structure to be fixed for the duration of the contract.</w:t>
      </w:r>
    </w:p>
    <w:p w14:paraId="4F95C6E2" w14:textId="03A58194" w:rsidR="00727C33" w:rsidRPr="0008121C" w:rsidRDefault="00727C33">
      <w:pPr>
        <w:pStyle w:val="Heading2"/>
        <w:tabs>
          <w:tab w:val="clear" w:pos="720"/>
          <w:tab w:val="num" w:pos="709"/>
        </w:tabs>
        <w:spacing w:after="120"/>
        <w:ind w:left="709" w:hanging="709"/>
        <w:rPr>
          <w:sz w:val="24"/>
          <w:szCs w:val="24"/>
        </w:rPr>
      </w:pPr>
      <w:r>
        <w:rPr>
          <w:sz w:val="24"/>
          <w:szCs w:val="24"/>
        </w:rPr>
        <w:t>The Authority requires the Supplier to complete and submit the attached price schedule.</w:t>
      </w:r>
    </w:p>
    <w:p w14:paraId="6B1CA851" w14:textId="77777777" w:rsidR="00FE18AC" w:rsidRPr="00B5620B"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31" w:name="_Toc368573038"/>
      <w:bookmarkStart w:id="32" w:name="_Toc7793201"/>
      <w:r w:rsidRPr="00B5620B">
        <w:rPr>
          <w:rFonts w:cs="Arial"/>
          <w:sz w:val="28"/>
          <w:szCs w:val="32"/>
        </w:rPr>
        <w:t>STAFF AND CUSTOMER SERVICE</w:t>
      </w:r>
      <w:bookmarkEnd w:id="31"/>
      <w:bookmarkEnd w:id="32"/>
    </w:p>
    <w:p w14:paraId="473FF9D3" w14:textId="29AD8ABD"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000C0DE3">
        <w:rPr>
          <w:sz w:val="24"/>
          <w:szCs w:val="24"/>
        </w:rPr>
        <w:t xml:space="preserve"> Agreement</w:t>
      </w:r>
      <w:r w:rsidRPr="001A45DF">
        <w:rPr>
          <w:sz w:val="24"/>
          <w:szCs w:val="24"/>
        </w:rPr>
        <w:t xml:space="preserve"> in order to consiste</w:t>
      </w:r>
      <w:r w:rsidR="00A27147" w:rsidRPr="001A45DF">
        <w:rPr>
          <w:sz w:val="24"/>
          <w:szCs w:val="24"/>
        </w:rPr>
        <w:t>ntly deliver a quality service</w:t>
      </w:r>
      <w:r w:rsidR="00F54B36">
        <w:rPr>
          <w:sz w:val="24"/>
          <w:szCs w:val="24"/>
        </w:rPr>
        <w:t>, ideally with a specified p</w:t>
      </w:r>
      <w:r w:rsidR="003807A7">
        <w:rPr>
          <w:sz w:val="24"/>
          <w:szCs w:val="24"/>
        </w:rPr>
        <w:t>o</w:t>
      </w:r>
      <w:r w:rsidR="00B61FEB">
        <w:rPr>
          <w:sz w:val="24"/>
          <w:szCs w:val="24"/>
        </w:rPr>
        <w:t>int or points of contact for T</w:t>
      </w:r>
      <w:r w:rsidR="00F54B36">
        <w:rPr>
          <w:sz w:val="24"/>
          <w:szCs w:val="24"/>
        </w:rPr>
        <w:t>he Authority to liaise with</w:t>
      </w:r>
      <w:r w:rsidRPr="001A45DF">
        <w:rPr>
          <w:sz w:val="24"/>
          <w:szCs w:val="24"/>
        </w:rPr>
        <w:t>.</w:t>
      </w:r>
    </w:p>
    <w:p w14:paraId="7C5FF49B" w14:textId="19A4BF7B"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0C0DE3">
        <w:rPr>
          <w:sz w:val="24"/>
          <w:szCs w:val="24"/>
        </w:rPr>
        <w:t>Agreement</w:t>
      </w:r>
      <w:r w:rsidR="00FE18AC" w:rsidRPr="001A45DF">
        <w:rPr>
          <w:sz w:val="24"/>
          <w:szCs w:val="24"/>
        </w:rPr>
        <w:t xml:space="preserve"> shall have </w:t>
      </w:r>
      <w:r w:rsidR="00E63412" w:rsidRPr="001A45DF">
        <w:rPr>
          <w:sz w:val="24"/>
          <w:szCs w:val="24"/>
        </w:rPr>
        <w:t xml:space="preserve">the </w:t>
      </w:r>
      <w:r w:rsidR="00FE18AC" w:rsidRPr="001A45DF">
        <w:rPr>
          <w:sz w:val="24"/>
          <w:szCs w:val="24"/>
        </w:rPr>
        <w:t>relevant qualifications and</w:t>
      </w:r>
      <w:r w:rsidR="003807A7">
        <w:rPr>
          <w:sz w:val="24"/>
          <w:szCs w:val="24"/>
        </w:rPr>
        <w:t>/or</w:t>
      </w:r>
      <w:r w:rsidR="00FE18AC" w:rsidRPr="001A45DF">
        <w:rPr>
          <w:sz w:val="24"/>
          <w:szCs w:val="24"/>
        </w:rPr>
        <w:t xml:space="preserve"> experience to deliver</w:t>
      </w:r>
      <w:r w:rsidR="00E63412" w:rsidRPr="001A45DF">
        <w:rPr>
          <w:sz w:val="24"/>
          <w:szCs w:val="24"/>
        </w:rPr>
        <w:t xml:space="preserve"> the</w:t>
      </w:r>
      <w:r w:rsidR="000C0DE3">
        <w:rPr>
          <w:sz w:val="24"/>
          <w:szCs w:val="24"/>
        </w:rPr>
        <w:t xml:space="preserve"> Agreement</w:t>
      </w:r>
      <w:r w:rsidR="00C52C2C" w:rsidRPr="001A45DF">
        <w:rPr>
          <w:sz w:val="24"/>
          <w:szCs w:val="24"/>
        </w:rPr>
        <w:t xml:space="preserve"> to the required standard</w:t>
      </w:r>
      <w:r w:rsidR="00FE18AC" w:rsidRPr="001A45DF">
        <w:rPr>
          <w:sz w:val="24"/>
          <w:szCs w:val="24"/>
        </w:rPr>
        <w:t xml:space="preserve">. </w:t>
      </w:r>
    </w:p>
    <w:p w14:paraId="0837E02A" w14:textId="603BA824"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w:t>
      </w:r>
      <w:r w:rsidR="00B61FEB">
        <w:rPr>
          <w:sz w:val="24"/>
          <w:szCs w:val="24"/>
        </w:rPr>
        <w:t>l ensure that staff understand T</w:t>
      </w:r>
      <w:r w:rsidR="00FE18AC" w:rsidRPr="001A45DF">
        <w:rPr>
          <w:sz w:val="24"/>
          <w:szCs w:val="24"/>
        </w:rPr>
        <w:t xml:space="preserve">he Authority’s vision and objectives and </w:t>
      </w:r>
      <w:r w:rsidR="00E63412" w:rsidRPr="001A45DF">
        <w:rPr>
          <w:sz w:val="24"/>
          <w:szCs w:val="24"/>
        </w:rPr>
        <w:t xml:space="preserve">will </w:t>
      </w:r>
      <w:r w:rsidR="00FE18AC" w:rsidRPr="001A45DF">
        <w:rPr>
          <w:sz w:val="24"/>
          <w:szCs w:val="24"/>
        </w:rPr>
        <w:t xml:space="preserve">provide excellent customer service to </w:t>
      </w:r>
      <w:r w:rsidR="00B61FEB">
        <w:rPr>
          <w:sz w:val="24"/>
          <w:szCs w:val="24"/>
        </w:rPr>
        <w:t>T</w:t>
      </w:r>
      <w:r w:rsidR="00FE18AC" w:rsidRPr="001A45DF">
        <w:rPr>
          <w:sz w:val="24"/>
          <w:szCs w:val="24"/>
        </w:rPr>
        <w:t>he Authority throughout t</w:t>
      </w:r>
      <w:r w:rsidR="000C0DE3">
        <w:rPr>
          <w:sz w:val="24"/>
          <w:szCs w:val="24"/>
        </w:rPr>
        <w:t>he duration of the Agreement</w:t>
      </w:r>
      <w:r w:rsidR="00FE18AC" w:rsidRPr="001A45DF">
        <w:rPr>
          <w:sz w:val="24"/>
          <w:szCs w:val="24"/>
        </w:rPr>
        <w:t xml:space="preserve">.  </w:t>
      </w:r>
    </w:p>
    <w:p w14:paraId="629F567D" w14:textId="77777777" w:rsidR="00FE18AC" w:rsidRPr="00B5620B"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33" w:name="_Toc368573039"/>
      <w:bookmarkStart w:id="34" w:name="_Toc7793202"/>
      <w:r w:rsidRPr="00B5620B">
        <w:rPr>
          <w:rFonts w:cs="Arial"/>
          <w:sz w:val="28"/>
          <w:szCs w:val="32"/>
        </w:rPr>
        <w:t>service levels and performance</w:t>
      </w:r>
      <w:bookmarkEnd w:id="33"/>
      <w:bookmarkEnd w:id="34"/>
    </w:p>
    <w:p w14:paraId="15C5F233" w14:textId="294069E1" w:rsidR="00671798" w:rsidRPr="001A45DF" w:rsidRDefault="00FE18A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65E93A82" w14:textId="159EE848" w:rsidR="00671798" w:rsidRPr="001A45DF" w:rsidRDefault="004B2DF3">
      <w:pPr>
        <w:pStyle w:val="Heading3"/>
        <w:tabs>
          <w:tab w:val="clear" w:pos="1800"/>
          <w:tab w:val="num" w:pos="1418"/>
        </w:tabs>
        <w:spacing w:after="120"/>
        <w:ind w:left="1418" w:hanging="698"/>
        <w:rPr>
          <w:sz w:val="24"/>
          <w:szCs w:val="24"/>
        </w:rPr>
      </w:pPr>
      <w:r>
        <w:rPr>
          <w:sz w:val="24"/>
          <w:szCs w:val="24"/>
        </w:rPr>
        <w:t>The Supplier will be expected to facilitate any de</w:t>
      </w:r>
      <w:r w:rsidR="00B61FEB">
        <w:rPr>
          <w:sz w:val="24"/>
          <w:szCs w:val="24"/>
        </w:rPr>
        <w:t>tention required by The Authority</w:t>
      </w:r>
      <w:r>
        <w:rPr>
          <w:sz w:val="24"/>
          <w:szCs w:val="24"/>
        </w:rPr>
        <w:t xml:space="preserve"> in line with the scope of the requirement laid out at section 5.</w:t>
      </w:r>
    </w:p>
    <w:tbl>
      <w:tblPr>
        <w:tblStyle w:val="TableGrid"/>
        <w:tblW w:w="0" w:type="auto"/>
        <w:tblInd w:w="720" w:type="dxa"/>
        <w:tblLook w:val="04A0" w:firstRow="1" w:lastRow="0" w:firstColumn="1" w:lastColumn="0" w:noHBand="0" w:noVBand="1"/>
      </w:tblPr>
      <w:tblGrid>
        <w:gridCol w:w="1124"/>
        <w:gridCol w:w="2177"/>
        <w:gridCol w:w="3512"/>
        <w:gridCol w:w="1486"/>
      </w:tblGrid>
      <w:tr w:rsidR="00B13763" w14:paraId="1D82B23D" w14:textId="77777777" w:rsidTr="003807A7">
        <w:tc>
          <w:tcPr>
            <w:tcW w:w="1124" w:type="dxa"/>
            <w:shd w:val="clear" w:color="auto" w:fill="DBE5F1" w:themeFill="accent1" w:themeFillTint="33"/>
          </w:tcPr>
          <w:p w14:paraId="4E16E6B9" w14:textId="29E5F590" w:rsidR="00B13763" w:rsidRPr="001A45DF" w:rsidRDefault="00B13763" w:rsidP="00B13763">
            <w:pPr>
              <w:pStyle w:val="Heading2"/>
              <w:numPr>
                <w:ilvl w:val="0"/>
                <w:numId w:val="0"/>
              </w:numPr>
              <w:jc w:val="center"/>
              <w:outlineLvl w:val="1"/>
              <w:rPr>
                <w:sz w:val="24"/>
                <w:szCs w:val="24"/>
              </w:rPr>
            </w:pPr>
            <w:r w:rsidRPr="001A45DF">
              <w:rPr>
                <w:sz w:val="24"/>
                <w:szCs w:val="24"/>
              </w:rPr>
              <w:t>KPI/SLA</w:t>
            </w:r>
          </w:p>
        </w:tc>
        <w:tc>
          <w:tcPr>
            <w:tcW w:w="2177" w:type="dxa"/>
            <w:shd w:val="clear" w:color="auto" w:fill="DBE5F1" w:themeFill="accent1" w:themeFillTint="33"/>
          </w:tcPr>
          <w:p w14:paraId="5F9E1BA6" w14:textId="07EC3F76" w:rsidR="00B13763" w:rsidRPr="001A45DF" w:rsidRDefault="00B13763" w:rsidP="00B13763">
            <w:pPr>
              <w:pStyle w:val="Heading2"/>
              <w:numPr>
                <w:ilvl w:val="0"/>
                <w:numId w:val="0"/>
              </w:numPr>
              <w:jc w:val="center"/>
              <w:outlineLvl w:val="1"/>
              <w:rPr>
                <w:sz w:val="24"/>
                <w:szCs w:val="24"/>
              </w:rPr>
            </w:pPr>
            <w:r w:rsidRPr="001A45DF">
              <w:rPr>
                <w:sz w:val="24"/>
                <w:szCs w:val="24"/>
              </w:rPr>
              <w:t>Service Area</w:t>
            </w:r>
          </w:p>
        </w:tc>
        <w:tc>
          <w:tcPr>
            <w:tcW w:w="3512" w:type="dxa"/>
            <w:shd w:val="clear" w:color="auto" w:fill="DBE5F1" w:themeFill="accent1" w:themeFillTint="33"/>
          </w:tcPr>
          <w:p w14:paraId="4F97A458" w14:textId="14CFE965" w:rsidR="00B13763" w:rsidRPr="001A45DF" w:rsidRDefault="00B13763" w:rsidP="00B13763">
            <w:pPr>
              <w:pStyle w:val="Heading2"/>
              <w:numPr>
                <w:ilvl w:val="0"/>
                <w:numId w:val="0"/>
              </w:numPr>
              <w:jc w:val="center"/>
              <w:outlineLvl w:val="1"/>
              <w:rPr>
                <w:sz w:val="24"/>
                <w:szCs w:val="24"/>
              </w:rPr>
            </w:pPr>
            <w:r w:rsidRPr="001A45DF">
              <w:rPr>
                <w:sz w:val="24"/>
                <w:szCs w:val="24"/>
              </w:rPr>
              <w:t>KPI/SLA description</w:t>
            </w:r>
          </w:p>
        </w:tc>
        <w:tc>
          <w:tcPr>
            <w:tcW w:w="1486" w:type="dxa"/>
            <w:shd w:val="clear" w:color="auto" w:fill="DBE5F1" w:themeFill="accent1" w:themeFillTint="33"/>
          </w:tcPr>
          <w:p w14:paraId="0788932C" w14:textId="07398BA8" w:rsidR="00B13763" w:rsidRPr="001A45DF" w:rsidRDefault="00B13763" w:rsidP="00B13763">
            <w:pPr>
              <w:pStyle w:val="Heading2"/>
              <w:numPr>
                <w:ilvl w:val="0"/>
                <w:numId w:val="0"/>
              </w:numPr>
              <w:jc w:val="center"/>
              <w:outlineLvl w:val="1"/>
              <w:rPr>
                <w:sz w:val="24"/>
                <w:szCs w:val="24"/>
              </w:rPr>
            </w:pPr>
            <w:r w:rsidRPr="001A45DF">
              <w:rPr>
                <w:sz w:val="24"/>
                <w:szCs w:val="24"/>
              </w:rPr>
              <w:t>Target</w:t>
            </w:r>
          </w:p>
        </w:tc>
      </w:tr>
      <w:tr w:rsidR="00B13763" w14:paraId="136B0B88" w14:textId="77777777" w:rsidTr="003807A7">
        <w:tc>
          <w:tcPr>
            <w:tcW w:w="1124" w:type="dxa"/>
          </w:tcPr>
          <w:p w14:paraId="39FC8AED" w14:textId="303CF9DF" w:rsidR="00B13763" w:rsidRPr="001A45DF" w:rsidRDefault="00B13763" w:rsidP="00B13763">
            <w:pPr>
              <w:pStyle w:val="Heading2"/>
              <w:numPr>
                <w:ilvl w:val="0"/>
                <w:numId w:val="0"/>
              </w:numPr>
              <w:jc w:val="center"/>
              <w:outlineLvl w:val="1"/>
              <w:rPr>
                <w:sz w:val="24"/>
                <w:szCs w:val="24"/>
              </w:rPr>
            </w:pPr>
            <w:r w:rsidRPr="001A45DF">
              <w:rPr>
                <w:sz w:val="24"/>
                <w:szCs w:val="24"/>
              </w:rPr>
              <w:t>1</w:t>
            </w:r>
          </w:p>
        </w:tc>
        <w:tc>
          <w:tcPr>
            <w:tcW w:w="2177" w:type="dxa"/>
          </w:tcPr>
          <w:p w14:paraId="286A8BDA" w14:textId="3D76D29A" w:rsidR="00B13763" w:rsidRPr="001A45DF" w:rsidRDefault="004B2DF3" w:rsidP="00B13763">
            <w:pPr>
              <w:pStyle w:val="Heading2"/>
              <w:numPr>
                <w:ilvl w:val="0"/>
                <w:numId w:val="0"/>
              </w:numPr>
              <w:jc w:val="left"/>
              <w:outlineLvl w:val="1"/>
              <w:rPr>
                <w:sz w:val="24"/>
                <w:szCs w:val="24"/>
              </w:rPr>
            </w:pPr>
            <w:r>
              <w:rPr>
                <w:sz w:val="24"/>
                <w:szCs w:val="24"/>
              </w:rPr>
              <w:t>Start of detention</w:t>
            </w:r>
          </w:p>
        </w:tc>
        <w:tc>
          <w:tcPr>
            <w:tcW w:w="3512" w:type="dxa"/>
          </w:tcPr>
          <w:p w14:paraId="1A83F74D" w14:textId="638C5DF4" w:rsidR="00B13763" w:rsidRPr="001A45DF" w:rsidRDefault="004B2DF3" w:rsidP="00B13763">
            <w:pPr>
              <w:pStyle w:val="Heading2"/>
              <w:numPr>
                <w:ilvl w:val="0"/>
                <w:numId w:val="0"/>
              </w:numPr>
              <w:jc w:val="left"/>
              <w:outlineLvl w:val="1"/>
              <w:rPr>
                <w:sz w:val="24"/>
                <w:szCs w:val="24"/>
              </w:rPr>
            </w:pPr>
            <w:r>
              <w:rPr>
                <w:sz w:val="24"/>
                <w:szCs w:val="24"/>
              </w:rPr>
              <w:t>The Supplier responds to and makes arrangements for any request for vehicle detention within 30 mins – 1 hour of notification</w:t>
            </w:r>
          </w:p>
        </w:tc>
        <w:tc>
          <w:tcPr>
            <w:tcW w:w="1486" w:type="dxa"/>
          </w:tcPr>
          <w:p w14:paraId="53B2F4ED" w14:textId="712DF963" w:rsidR="00B13763" w:rsidRPr="001A45DF" w:rsidRDefault="0069171A" w:rsidP="00B13763">
            <w:pPr>
              <w:pStyle w:val="Heading2"/>
              <w:numPr>
                <w:ilvl w:val="0"/>
                <w:numId w:val="0"/>
              </w:numPr>
              <w:outlineLvl w:val="1"/>
              <w:rPr>
                <w:sz w:val="24"/>
                <w:szCs w:val="24"/>
              </w:rPr>
            </w:pPr>
            <w:r>
              <w:rPr>
                <w:sz w:val="24"/>
                <w:szCs w:val="24"/>
              </w:rPr>
              <w:t>30-60 minutes</w:t>
            </w:r>
          </w:p>
        </w:tc>
      </w:tr>
      <w:tr w:rsidR="00B13763" w14:paraId="611A7437" w14:textId="77777777" w:rsidTr="003807A7">
        <w:tc>
          <w:tcPr>
            <w:tcW w:w="1124" w:type="dxa"/>
          </w:tcPr>
          <w:p w14:paraId="0CA6154F" w14:textId="2E4A9E81" w:rsidR="00B13763" w:rsidRPr="001A45DF" w:rsidRDefault="00B13763" w:rsidP="00B13763">
            <w:pPr>
              <w:pStyle w:val="Heading2"/>
              <w:numPr>
                <w:ilvl w:val="0"/>
                <w:numId w:val="0"/>
              </w:numPr>
              <w:jc w:val="center"/>
              <w:outlineLvl w:val="1"/>
              <w:rPr>
                <w:sz w:val="24"/>
                <w:szCs w:val="24"/>
              </w:rPr>
            </w:pPr>
            <w:r w:rsidRPr="001A45DF">
              <w:rPr>
                <w:sz w:val="24"/>
                <w:szCs w:val="24"/>
              </w:rPr>
              <w:t>2</w:t>
            </w:r>
          </w:p>
        </w:tc>
        <w:tc>
          <w:tcPr>
            <w:tcW w:w="2177" w:type="dxa"/>
          </w:tcPr>
          <w:p w14:paraId="5A8C3451" w14:textId="1353CDA0" w:rsidR="00B13763" w:rsidRPr="001A45DF" w:rsidRDefault="004B2DF3" w:rsidP="00B13763">
            <w:pPr>
              <w:pStyle w:val="Heading2"/>
              <w:numPr>
                <w:ilvl w:val="0"/>
                <w:numId w:val="0"/>
              </w:numPr>
              <w:outlineLvl w:val="1"/>
              <w:rPr>
                <w:sz w:val="24"/>
                <w:szCs w:val="24"/>
              </w:rPr>
            </w:pPr>
            <w:r>
              <w:rPr>
                <w:sz w:val="24"/>
                <w:szCs w:val="24"/>
              </w:rPr>
              <w:t>End of detention</w:t>
            </w:r>
          </w:p>
        </w:tc>
        <w:tc>
          <w:tcPr>
            <w:tcW w:w="3512" w:type="dxa"/>
          </w:tcPr>
          <w:p w14:paraId="4FBFDF3E" w14:textId="1F411966" w:rsidR="00B13763" w:rsidRPr="001A45DF" w:rsidRDefault="004B2DF3" w:rsidP="00B13763">
            <w:pPr>
              <w:pStyle w:val="Heading2"/>
              <w:numPr>
                <w:ilvl w:val="0"/>
                <w:numId w:val="0"/>
              </w:numPr>
              <w:outlineLvl w:val="1"/>
              <w:rPr>
                <w:sz w:val="24"/>
                <w:szCs w:val="24"/>
              </w:rPr>
            </w:pPr>
            <w:r>
              <w:rPr>
                <w:sz w:val="24"/>
                <w:szCs w:val="24"/>
              </w:rPr>
              <w:t xml:space="preserve">The Supplier responds to and makes arrangements for any request for vehicle release </w:t>
            </w:r>
            <w:r>
              <w:rPr>
                <w:sz w:val="24"/>
                <w:szCs w:val="24"/>
              </w:rPr>
              <w:lastRenderedPageBreak/>
              <w:t>within 30 mins to 1 hour of notification</w:t>
            </w:r>
          </w:p>
        </w:tc>
        <w:tc>
          <w:tcPr>
            <w:tcW w:w="1486" w:type="dxa"/>
          </w:tcPr>
          <w:p w14:paraId="0EE422DF" w14:textId="16A310C5" w:rsidR="00B13763" w:rsidRPr="001A45DF" w:rsidRDefault="0069171A" w:rsidP="00B13763">
            <w:pPr>
              <w:pStyle w:val="Heading2"/>
              <w:numPr>
                <w:ilvl w:val="0"/>
                <w:numId w:val="0"/>
              </w:numPr>
              <w:outlineLvl w:val="1"/>
              <w:rPr>
                <w:sz w:val="24"/>
                <w:szCs w:val="24"/>
              </w:rPr>
            </w:pPr>
            <w:r>
              <w:rPr>
                <w:sz w:val="24"/>
                <w:szCs w:val="24"/>
              </w:rPr>
              <w:lastRenderedPageBreak/>
              <w:t>30-60 minutes</w:t>
            </w:r>
          </w:p>
        </w:tc>
      </w:tr>
      <w:tr w:rsidR="00B13763" w14:paraId="368A6710" w14:textId="77777777" w:rsidTr="003807A7">
        <w:tc>
          <w:tcPr>
            <w:tcW w:w="1124" w:type="dxa"/>
          </w:tcPr>
          <w:p w14:paraId="4EE94C74" w14:textId="7FAF8111" w:rsidR="00B13763" w:rsidRPr="001A45DF" w:rsidRDefault="00B13763" w:rsidP="00B13763">
            <w:pPr>
              <w:pStyle w:val="Heading2"/>
              <w:numPr>
                <w:ilvl w:val="0"/>
                <w:numId w:val="0"/>
              </w:numPr>
              <w:jc w:val="center"/>
              <w:outlineLvl w:val="1"/>
              <w:rPr>
                <w:sz w:val="24"/>
                <w:szCs w:val="24"/>
              </w:rPr>
            </w:pPr>
            <w:r w:rsidRPr="001A45DF">
              <w:rPr>
                <w:sz w:val="24"/>
                <w:szCs w:val="24"/>
              </w:rPr>
              <w:t>3</w:t>
            </w:r>
          </w:p>
        </w:tc>
        <w:tc>
          <w:tcPr>
            <w:tcW w:w="2177" w:type="dxa"/>
          </w:tcPr>
          <w:p w14:paraId="6726DC40" w14:textId="0E165A11" w:rsidR="00B13763" w:rsidRPr="001A45DF" w:rsidRDefault="004B2DF3" w:rsidP="00B13763">
            <w:pPr>
              <w:pStyle w:val="Heading2"/>
              <w:numPr>
                <w:ilvl w:val="0"/>
                <w:numId w:val="0"/>
              </w:numPr>
              <w:outlineLvl w:val="1"/>
              <w:rPr>
                <w:sz w:val="24"/>
                <w:szCs w:val="24"/>
              </w:rPr>
            </w:pPr>
            <w:r>
              <w:rPr>
                <w:sz w:val="24"/>
                <w:szCs w:val="24"/>
              </w:rPr>
              <w:t>Paperwork/vehicle details request</w:t>
            </w:r>
          </w:p>
        </w:tc>
        <w:tc>
          <w:tcPr>
            <w:tcW w:w="3512" w:type="dxa"/>
          </w:tcPr>
          <w:p w14:paraId="58DC627C" w14:textId="17DFF870" w:rsidR="00B13763" w:rsidRPr="001A45DF" w:rsidRDefault="004B2DF3" w:rsidP="00B13763">
            <w:pPr>
              <w:pStyle w:val="Heading2"/>
              <w:numPr>
                <w:ilvl w:val="0"/>
                <w:numId w:val="0"/>
              </w:numPr>
              <w:outlineLvl w:val="1"/>
              <w:rPr>
                <w:sz w:val="24"/>
                <w:szCs w:val="24"/>
              </w:rPr>
            </w:pPr>
            <w:r>
              <w:rPr>
                <w:sz w:val="24"/>
                <w:szCs w:val="24"/>
              </w:rPr>
              <w:t>The S</w:t>
            </w:r>
            <w:r w:rsidR="008C221C">
              <w:rPr>
                <w:sz w:val="24"/>
                <w:szCs w:val="24"/>
              </w:rPr>
              <w:t xml:space="preserve">upplier responds to any request </w:t>
            </w:r>
            <w:r>
              <w:rPr>
                <w:sz w:val="24"/>
                <w:szCs w:val="24"/>
              </w:rPr>
              <w:t>f</w:t>
            </w:r>
            <w:r w:rsidR="008C221C">
              <w:rPr>
                <w:sz w:val="24"/>
                <w:szCs w:val="24"/>
              </w:rPr>
              <w:t>o</w:t>
            </w:r>
            <w:r>
              <w:rPr>
                <w:sz w:val="24"/>
                <w:szCs w:val="24"/>
              </w:rPr>
              <w:t>r document scanning/information provision relating to a detained vehicle within 24 hours of request (omitting weekends and public holiday)</w:t>
            </w:r>
          </w:p>
        </w:tc>
        <w:tc>
          <w:tcPr>
            <w:tcW w:w="1486" w:type="dxa"/>
          </w:tcPr>
          <w:p w14:paraId="19BB03B8" w14:textId="26F18BFF" w:rsidR="00B13763" w:rsidRPr="001A45DF" w:rsidRDefault="0069171A" w:rsidP="00B13763">
            <w:pPr>
              <w:pStyle w:val="Heading2"/>
              <w:numPr>
                <w:ilvl w:val="0"/>
                <w:numId w:val="0"/>
              </w:numPr>
              <w:outlineLvl w:val="1"/>
              <w:rPr>
                <w:sz w:val="24"/>
                <w:szCs w:val="24"/>
              </w:rPr>
            </w:pPr>
            <w:r>
              <w:rPr>
                <w:sz w:val="24"/>
                <w:szCs w:val="24"/>
              </w:rPr>
              <w:t>24 hours (omitting weekends &amp; public holidays)</w:t>
            </w:r>
          </w:p>
        </w:tc>
      </w:tr>
    </w:tbl>
    <w:p w14:paraId="2E373C90" w14:textId="77777777" w:rsidR="003F626A" w:rsidRDefault="003F626A" w:rsidP="003F626A">
      <w:pPr>
        <w:pStyle w:val="Heading2"/>
        <w:numPr>
          <w:ilvl w:val="0"/>
          <w:numId w:val="0"/>
        </w:numPr>
        <w:ind w:left="720"/>
      </w:pPr>
    </w:p>
    <w:p w14:paraId="3DA30098" w14:textId="66288A9E" w:rsidR="000C1B57" w:rsidRPr="000C1B57" w:rsidRDefault="00951618" w:rsidP="000C1B57">
      <w:pPr>
        <w:pStyle w:val="Heading1"/>
        <w:rPr>
          <w:b w:val="0"/>
          <w:caps w:val="0"/>
          <w:sz w:val="24"/>
          <w:szCs w:val="24"/>
        </w:rPr>
      </w:pPr>
      <w:bookmarkStart w:id="35" w:name="_Toc7793203"/>
      <w:bookmarkStart w:id="36" w:name="_Toc368573040"/>
      <w:r>
        <w:rPr>
          <w:caps w:val="0"/>
          <w:sz w:val="28"/>
          <w:szCs w:val="24"/>
        </w:rPr>
        <w:t>TERMINATION</w:t>
      </w:r>
      <w:bookmarkEnd w:id="35"/>
    </w:p>
    <w:p w14:paraId="3C5AC99B" w14:textId="57D6315E" w:rsidR="000C1B57" w:rsidRPr="006967ED" w:rsidRDefault="000C1B57" w:rsidP="000C1B57">
      <w:pPr>
        <w:pStyle w:val="Heading2"/>
        <w:rPr>
          <w:sz w:val="24"/>
        </w:rPr>
      </w:pPr>
      <w:r w:rsidRPr="006967ED">
        <w:rPr>
          <w:sz w:val="24"/>
        </w:rPr>
        <w:t>The Authority may terminate the Agreement at any time by notice in writing to the Supplier to take effect on any date falling at least 1 month later than the date of service of the relevant notice.</w:t>
      </w:r>
    </w:p>
    <w:p w14:paraId="3F767EF8" w14:textId="19C77641" w:rsidR="00671798" w:rsidRPr="00B5620B" w:rsidRDefault="00FE18AC">
      <w:pPr>
        <w:pStyle w:val="Heading1"/>
        <w:spacing w:after="120"/>
        <w:rPr>
          <w:sz w:val="28"/>
          <w:szCs w:val="32"/>
        </w:rPr>
      </w:pPr>
      <w:bookmarkStart w:id="37" w:name="_Toc7793204"/>
      <w:r w:rsidRPr="00B5620B">
        <w:rPr>
          <w:sz w:val="28"/>
          <w:szCs w:val="32"/>
        </w:rPr>
        <w:t xml:space="preserve">Security </w:t>
      </w:r>
      <w:r w:rsidR="00252FFC" w:rsidRPr="00B5620B">
        <w:rPr>
          <w:sz w:val="28"/>
          <w:szCs w:val="32"/>
        </w:rPr>
        <w:t>and CONFIDENTIA</w:t>
      </w:r>
      <w:r w:rsidR="00C52C2C" w:rsidRPr="00B5620B">
        <w:rPr>
          <w:sz w:val="28"/>
          <w:szCs w:val="32"/>
        </w:rPr>
        <w:t xml:space="preserve">LITY </w:t>
      </w:r>
      <w:r w:rsidRPr="00B5620B">
        <w:rPr>
          <w:sz w:val="28"/>
          <w:szCs w:val="32"/>
        </w:rPr>
        <w:t>requirements</w:t>
      </w:r>
      <w:bookmarkEnd w:id="36"/>
      <w:bookmarkEnd w:id="37"/>
    </w:p>
    <w:p w14:paraId="3FF1BF98" w14:textId="604FFB4C" w:rsidR="00671798" w:rsidRPr="00F808FC" w:rsidRDefault="004B2DF3">
      <w:pPr>
        <w:pStyle w:val="Heading2"/>
        <w:tabs>
          <w:tab w:val="clear" w:pos="720"/>
          <w:tab w:val="num" w:pos="709"/>
        </w:tabs>
        <w:spacing w:after="120"/>
        <w:ind w:left="709" w:hanging="709"/>
        <w:rPr>
          <w:sz w:val="24"/>
          <w:szCs w:val="24"/>
        </w:rPr>
      </w:pPr>
      <w:r w:rsidRPr="00F808FC">
        <w:rPr>
          <w:sz w:val="24"/>
          <w:szCs w:val="24"/>
        </w:rPr>
        <w:t>The Supplier must be able to provide a secure detention facility, covered by all relevant insurances and procedures.</w:t>
      </w:r>
      <w:r w:rsidR="00D17764" w:rsidRPr="00F808FC">
        <w:rPr>
          <w:sz w:val="24"/>
          <w:szCs w:val="24"/>
        </w:rPr>
        <w:t xml:space="preserve"> </w:t>
      </w:r>
    </w:p>
    <w:p w14:paraId="0843093D" w14:textId="0C98BB63" w:rsidR="00C52C2C" w:rsidRPr="00F808FC" w:rsidRDefault="004B2DF3">
      <w:pPr>
        <w:pStyle w:val="Heading2"/>
        <w:tabs>
          <w:tab w:val="clear" w:pos="720"/>
          <w:tab w:val="num" w:pos="709"/>
        </w:tabs>
        <w:spacing w:after="120"/>
        <w:ind w:left="709" w:hanging="709"/>
        <w:rPr>
          <w:sz w:val="24"/>
          <w:szCs w:val="24"/>
        </w:rPr>
      </w:pPr>
      <w:r w:rsidRPr="00F808FC">
        <w:rPr>
          <w:sz w:val="24"/>
          <w:szCs w:val="24"/>
        </w:rPr>
        <w:t xml:space="preserve">The Supplier must not discuss detentions made on behalf of </w:t>
      </w:r>
      <w:r w:rsidR="00B61FEB">
        <w:rPr>
          <w:sz w:val="24"/>
          <w:szCs w:val="24"/>
        </w:rPr>
        <w:t>The Authority</w:t>
      </w:r>
      <w:r w:rsidRPr="00F808FC">
        <w:rPr>
          <w:sz w:val="24"/>
          <w:szCs w:val="24"/>
        </w:rPr>
        <w:t xml:space="preserve"> with any other party, unless </w:t>
      </w:r>
      <w:r w:rsidR="00CE2912" w:rsidRPr="00F808FC">
        <w:rPr>
          <w:sz w:val="24"/>
          <w:szCs w:val="24"/>
        </w:rPr>
        <w:t xml:space="preserve">directed </w:t>
      </w:r>
      <w:r w:rsidRPr="00F808FC">
        <w:rPr>
          <w:sz w:val="24"/>
          <w:szCs w:val="24"/>
        </w:rPr>
        <w:t xml:space="preserve">to do so by </w:t>
      </w:r>
      <w:r w:rsidR="00B61FEB">
        <w:rPr>
          <w:sz w:val="24"/>
          <w:szCs w:val="24"/>
        </w:rPr>
        <w:t>The Authority</w:t>
      </w:r>
      <w:r w:rsidR="00C52C2C" w:rsidRPr="00F808FC">
        <w:rPr>
          <w:sz w:val="24"/>
          <w:szCs w:val="24"/>
        </w:rPr>
        <w:t>.</w:t>
      </w:r>
    </w:p>
    <w:p w14:paraId="65283656" w14:textId="368C7020" w:rsidR="0081061A" w:rsidRPr="00B5620B"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38" w:name="_Toc7793205"/>
      <w:bookmarkStart w:id="39" w:name="_Toc368573042"/>
      <w:r w:rsidRPr="00B5620B">
        <w:rPr>
          <w:rFonts w:cs="Arial"/>
          <w:sz w:val="28"/>
          <w:szCs w:val="32"/>
        </w:rPr>
        <w:t>payment</w:t>
      </w:r>
      <w:r w:rsidR="00ED2129" w:rsidRPr="00B5620B">
        <w:rPr>
          <w:rFonts w:cs="Arial"/>
          <w:sz w:val="28"/>
          <w:szCs w:val="32"/>
        </w:rPr>
        <w:t xml:space="preserve"> AND INVOICING</w:t>
      </w:r>
      <w:bookmarkEnd w:id="38"/>
      <w:r w:rsidR="00ED2129" w:rsidRPr="00B5620B">
        <w:rPr>
          <w:rFonts w:cs="Arial"/>
          <w:sz w:val="28"/>
          <w:szCs w:val="32"/>
        </w:rPr>
        <w:t xml:space="preserve"> </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52B43615" w14:textId="77777777" w:rsidR="00B61FEB" w:rsidRDefault="00917F0F" w:rsidP="00722BC7">
      <w:pPr>
        <w:pStyle w:val="Heading2"/>
        <w:numPr>
          <w:ilvl w:val="0"/>
          <w:numId w:val="0"/>
        </w:numPr>
        <w:ind w:left="720"/>
        <w:rPr>
          <w:rFonts w:cs="Arial"/>
          <w:sz w:val="24"/>
          <w:szCs w:val="22"/>
        </w:rPr>
      </w:pPr>
      <w:r w:rsidRPr="00B61FEB">
        <w:rPr>
          <w:rFonts w:cs="Arial"/>
          <w:sz w:val="24"/>
          <w:szCs w:val="22"/>
        </w:rPr>
        <w:t>All invoices must be sent, quoting a valid purchase order number (PO Number), to:</w:t>
      </w:r>
    </w:p>
    <w:p w14:paraId="068BEE2C" w14:textId="5F3FB930" w:rsidR="00B61FEB" w:rsidRDefault="00B61FEB" w:rsidP="00722BC7">
      <w:pPr>
        <w:pStyle w:val="Heading2"/>
        <w:numPr>
          <w:ilvl w:val="0"/>
          <w:numId w:val="0"/>
        </w:numPr>
        <w:ind w:left="720"/>
        <w:rPr>
          <w:rFonts w:cs="Arial"/>
          <w:color w:val="000000"/>
          <w:sz w:val="24"/>
          <w:szCs w:val="24"/>
          <w:shd w:val="clear" w:color="auto" w:fill="FFFFFF"/>
        </w:rPr>
      </w:pPr>
      <w:r w:rsidRPr="00B61FEB">
        <w:rPr>
          <w:rFonts w:cs="Arial"/>
          <w:color w:val="000000"/>
          <w:sz w:val="24"/>
          <w:szCs w:val="24"/>
          <w:shd w:val="clear" w:color="auto" w:fill="FFFFFF"/>
        </w:rPr>
        <w:t xml:space="preserve">HO Shared Service Centre, </w:t>
      </w:r>
      <w:r w:rsidRPr="00B61FEB">
        <w:rPr>
          <w:rFonts w:cs="Arial"/>
          <w:color w:val="000000"/>
          <w:sz w:val="24"/>
          <w:szCs w:val="24"/>
          <w:shd w:val="clear" w:color="auto" w:fill="FFFFFF"/>
          <w:lang w:val="en"/>
        </w:rPr>
        <w:t>HO Box 5015, Newport, NP20 9BB</w:t>
      </w:r>
      <w:r>
        <w:rPr>
          <w:rFonts w:cs="Arial"/>
          <w:color w:val="000000"/>
          <w:sz w:val="24"/>
          <w:szCs w:val="24"/>
          <w:shd w:val="clear" w:color="auto" w:fill="FFFFFF"/>
        </w:rPr>
        <w:t xml:space="preserve"> and copied to,</w:t>
      </w:r>
    </w:p>
    <w:p w14:paraId="73DDA45F" w14:textId="01E342F2" w:rsidR="00ED2129" w:rsidRPr="00B61FEB" w:rsidRDefault="004B2DF3" w:rsidP="00722BC7">
      <w:pPr>
        <w:pStyle w:val="Heading2"/>
        <w:numPr>
          <w:ilvl w:val="0"/>
          <w:numId w:val="0"/>
        </w:numPr>
        <w:ind w:left="720"/>
        <w:rPr>
          <w:sz w:val="24"/>
          <w:szCs w:val="24"/>
        </w:rPr>
      </w:pPr>
      <w:r w:rsidRPr="00B61FEB">
        <w:rPr>
          <w:rFonts w:cs="Arial"/>
          <w:color w:val="000000"/>
          <w:sz w:val="24"/>
          <w:szCs w:val="24"/>
          <w:shd w:val="clear" w:color="auto" w:fill="FFFFFF"/>
        </w:rPr>
        <w:t>CECPT</w:t>
      </w:r>
      <w:r w:rsidRPr="00B61FEB">
        <w:rPr>
          <w:sz w:val="24"/>
          <w:szCs w:val="24"/>
        </w:rPr>
        <w:t>, 2</w:t>
      </w:r>
      <w:r w:rsidRPr="00B61FEB">
        <w:rPr>
          <w:sz w:val="24"/>
          <w:szCs w:val="24"/>
          <w:vertAlign w:val="superscript"/>
        </w:rPr>
        <w:t>nd</w:t>
      </w:r>
      <w:r w:rsidRPr="00B61FEB">
        <w:rPr>
          <w:sz w:val="24"/>
          <w:szCs w:val="24"/>
        </w:rPr>
        <w:t xml:space="preserve"> Floor Martello House, Shearway Business Park, Folkestone, Kent, CT19 4RH</w:t>
      </w:r>
      <w:r w:rsidR="00ED2129" w:rsidRPr="00B61FEB">
        <w:rPr>
          <w:rFonts w:cs="Arial"/>
          <w:color w:val="000000"/>
          <w:sz w:val="24"/>
          <w:szCs w:val="24"/>
          <w:shd w:val="clear" w:color="auto" w:fill="FFFFFF"/>
        </w:rPr>
        <w:t xml:space="preserve"> </w:t>
      </w:r>
    </w:p>
    <w:p w14:paraId="4A06E1B4" w14:textId="5ABB61D5" w:rsidR="00ED2129" w:rsidRPr="00917F0F" w:rsidRDefault="00B61FEB" w:rsidP="0081061A">
      <w:pPr>
        <w:pStyle w:val="Heading2"/>
        <w:rPr>
          <w:sz w:val="24"/>
          <w:szCs w:val="24"/>
        </w:rPr>
      </w:pPr>
      <w:r>
        <w:rPr>
          <w:rFonts w:cs="Arial"/>
          <w:color w:val="000000"/>
          <w:sz w:val="24"/>
          <w:szCs w:val="24"/>
          <w:shd w:val="clear" w:color="auto" w:fill="FFFFFF"/>
        </w:rPr>
        <w:t>The A</w:t>
      </w:r>
      <w:r w:rsidR="00917F0F" w:rsidRPr="00917F0F">
        <w:rPr>
          <w:rFonts w:cs="Arial"/>
          <w:color w:val="000000"/>
          <w:sz w:val="24"/>
          <w:szCs w:val="24"/>
          <w:shd w:val="clear" w:color="auto" w:fill="FFFFFF"/>
        </w:rPr>
        <w:t xml:space="preserve">uthority will also </w:t>
      </w:r>
      <w:r w:rsidR="006967ED">
        <w:rPr>
          <w:rFonts w:cs="Arial"/>
          <w:color w:val="000000"/>
          <w:sz w:val="24"/>
          <w:szCs w:val="24"/>
          <w:shd w:val="clear" w:color="auto" w:fill="FFFFFF"/>
        </w:rPr>
        <w:t>require nil r</w:t>
      </w:r>
      <w:r w:rsidR="00917F0F" w:rsidRPr="00917F0F">
        <w:rPr>
          <w:rFonts w:cs="Arial"/>
          <w:color w:val="000000"/>
          <w:sz w:val="24"/>
          <w:szCs w:val="24"/>
          <w:shd w:val="clear" w:color="auto" w:fill="FFFFFF"/>
        </w:rPr>
        <w:t>eturns.</w:t>
      </w:r>
    </w:p>
    <w:p w14:paraId="6828E644" w14:textId="77777777" w:rsidR="00E24EE7" w:rsidRPr="00B5620B"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28"/>
          <w:szCs w:val="32"/>
        </w:rPr>
      </w:pPr>
      <w:bookmarkStart w:id="40" w:name="_Toc7793206"/>
      <w:bookmarkEnd w:id="39"/>
      <w:r w:rsidRPr="00B5620B">
        <w:rPr>
          <w:rFonts w:cs="Arial"/>
          <w:sz w:val="28"/>
          <w:szCs w:val="32"/>
        </w:rPr>
        <w:t>CONTRACT MANAGEMENT</w:t>
      </w:r>
      <w:bookmarkEnd w:id="40"/>
      <w:r w:rsidR="00FE18AC" w:rsidRPr="00B5620B">
        <w:rPr>
          <w:rFonts w:cs="Arial"/>
          <w:sz w:val="28"/>
          <w:szCs w:val="32"/>
        </w:rPr>
        <w:t xml:space="preserve"> </w:t>
      </w:r>
    </w:p>
    <w:p w14:paraId="788E4129" w14:textId="36B2879D" w:rsidR="00BE5FEF" w:rsidRPr="009106C8" w:rsidRDefault="00E7654D" w:rsidP="00BC41AC">
      <w:pPr>
        <w:pStyle w:val="Heading2"/>
        <w:numPr>
          <w:ilvl w:val="0"/>
          <w:numId w:val="0"/>
        </w:numPr>
        <w:spacing w:after="120"/>
        <w:ind w:left="709"/>
        <w:rPr>
          <w:sz w:val="24"/>
          <w:szCs w:val="24"/>
        </w:rPr>
      </w:pPr>
      <w:r>
        <w:rPr>
          <w:sz w:val="24"/>
          <w:szCs w:val="24"/>
        </w:rPr>
        <w:t>Attendance at contract r</w:t>
      </w:r>
      <w:r w:rsidR="00BE5FEF" w:rsidRPr="009106C8">
        <w:rPr>
          <w:sz w:val="24"/>
          <w:szCs w:val="24"/>
        </w:rPr>
        <w:t>eview meetings shall be at the Supplier’s own expense.</w:t>
      </w:r>
    </w:p>
    <w:bookmarkEnd w:id="20"/>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BC41AC">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594B4" w14:textId="77777777" w:rsidR="00053642" w:rsidRDefault="00053642">
      <w:pPr>
        <w:spacing w:line="20" w:lineRule="exact"/>
      </w:pPr>
    </w:p>
  </w:endnote>
  <w:endnote w:type="continuationSeparator" w:id="0">
    <w:p w14:paraId="5C07DC1A" w14:textId="77777777" w:rsidR="00053642" w:rsidRDefault="00053642">
      <w:pPr>
        <w:spacing w:line="20" w:lineRule="exact"/>
      </w:pPr>
      <w:r>
        <w:t xml:space="preserve"> </w:t>
      </w:r>
    </w:p>
  </w:endnote>
  <w:endnote w:type="continuationNotice" w:id="1">
    <w:p w14:paraId="23019FF5" w14:textId="77777777" w:rsidR="00053642" w:rsidRDefault="0005364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7F67DA18" w14:textId="16335396" w:rsidR="00C52C2C" w:rsidRPr="00985B4D" w:rsidRDefault="00AF205C">
        <w:pPr>
          <w:pStyle w:val="Footer"/>
          <w:rPr>
            <w:sz w:val="20"/>
            <w:szCs w:val="20"/>
          </w:rPr>
        </w:pPr>
        <w:r>
          <w:rPr>
            <w:sz w:val="20"/>
            <w:szCs w:val="20"/>
          </w:rPr>
          <w:t>Attachment</w:t>
        </w:r>
        <w:r w:rsidR="00E443BB">
          <w:rPr>
            <w:sz w:val="20"/>
            <w:szCs w:val="20"/>
          </w:rPr>
          <w:t xml:space="preserve"> 3 </w:t>
        </w:r>
        <w:r w:rsidR="00C52C2C" w:rsidRPr="00985B4D">
          <w:rPr>
            <w:sz w:val="20"/>
            <w:szCs w:val="20"/>
          </w:rPr>
          <w:t>– Statement of Requirements</w:t>
        </w:r>
      </w:p>
      <w:p w14:paraId="5D89FCCB" w14:textId="51C188D5" w:rsidR="00C52C2C" w:rsidRDefault="00AF205C">
        <w:pPr>
          <w:pStyle w:val="Footer"/>
          <w:rPr>
            <w:sz w:val="20"/>
            <w:szCs w:val="20"/>
          </w:rPr>
        </w:pPr>
        <w:r w:rsidRPr="00BC41AC">
          <w:rPr>
            <w:sz w:val="20"/>
            <w:szCs w:val="20"/>
          </w:rPr>
          <w:t>Neil Humphries</w:t>
        </w:r>
        <w:r w:rsidR="00BC41AC">
          <w:rPr>
            <w:sz w:val="20"/>
            <w:szCs w:val="20"/>
          </w:rPr>
          <w:t xml:space="preserve"> Home Office Assistant Commercial Manager</w:t>
        </w:r>
      </w:p>
      <w:p w14:paraId="1CB7D5DC" w14:textId="19129C8E" w:rsidR="00C52C2C" w:rsidRPr="001A45DF" w:rsidRDefault="001A45DF">
        <w:pPr>
          <w:pStyle w:val="Footer"/>
          <w:rPr>
            <w:sz w:val="20"/>
            <w:szCs w:val="20"/>
          </w:rPr>
        </w:pPr>
        <w:r w:rsidRPr="001A45DF">
          <w:rPr>
            <w:rFonts w:cs="Arial"/>
            <w:color w:val="222222"/>
            <w:sz w:val="20"/>
            <w:szCs w:val="20"/>
            <w:shd w:val="clear" w:color="auto" w:fill="FFFFFF"/>
          </w:rPr>
          <w:t>© Crown copyright 2018</w:t>
        </w:r>
      </w:p>
      <w:p w14:paraId="42D6E6E6" w14:textId="26BF3727" w:rsidR="00C52C2C" w:rsidRPr="00985B4D" w:rsidRDefault="00AF205C" w:rsidP="00985B4D">
        <w:pPr>
          <w:pStyle w:val="Footer"/>
          <w:jc w:val="right"/>
          <w:rPr>
            <w:sz w:val="20"/>
            <w:szCs w:val="20"/>
          </w:rPr>
        </w:pPr>
        <w:r>
          <w:rPr>
            <w:sz w:val="20"/>
            <w:szCs w:val="20"/>
          </w:rPr>
          <w:t>V1.</w:t>
        </w:r>
        <w:r w:rsidR="00720A14">
          <w:rPr>
            <w:sz w:val="20"/>
            <w:szCs w:val="20"/>
          </w:rPr>
          <w:t>2</w:t>
        </w:r>
        <w:r w:rsidR="00E24EE7">
          <w:rPr>
            <w:sz w:val="20"/>
            <w:szCs w:val="20"/>
          </w:rPr>
          <w:t xml:space="preserve"> </w:t>
        </w:r>
        <w:r>
          <w:rPr>
            <w:sz w:val="20"/>
            <w:szCs w:val="20"/>
          </w:rPr>
          <w:t>17</w:t>
        </w:r>
        <w:r w:rsidRPr="00AF205C">
          <w:rPr>
            <w:sz w:val="20"/>
            <w:szCs w:val="20"/>
            <w:vertAlign w:val="superscript"/>
          </w:rPr>
          <w:t>th</w:t>
        </w:r>
        <w:r>
          <w:rPr>
            <w:sz w:val="20"/>
            <w:szCs w:val="20"/>
          </w:rPr>
          <w:t xml:space="preserve"> April 2019</w:t>
        </w:r>
      </w:p>
      <w:p w14:paraId="5214230D" w14:textId="034DDD4E"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1530A6">
          <w:rPr>
            <w:noProof/>
            <w:sz w:val="20"/>
            <w:szCs w:val="20"/>
          </w:rPr>
          <w:t>1</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42C1" w14:textId="77777777" w:rsidR="00053642" w:rsidRDefault="00053642">
      <w:r>
        <w:separator/>
      </w:r>
    </w:p>
  </w:footnote>
  <w:footnote w:type="continuationSeparator" w:id="0">
    <w:p w14:paraId="7AD02AED" w14:textId="77777777" w:rsidR="00053642" w:rsidRDefault="00053642">
      <w:r>
        <w:continuationSeparator/>
      </w:r>
    </w:p>
  </w:footnote>
  <w:footnote w:type="continuationNotice" w:id="1">
    <w:p w14:paraId="223084CF" w14:textId="77777777" w:rsidR="00053642" w:rsidRDefault="00053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588B" w14:textId="77777777" w:rsidR="00C52C2C" w:rsidRPr="00F44D62" w:rsidRDefault="00C52C2C"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7E8CAB6D" w:rsidR="00C52C2C" w:rsidRDefault="00D16B91" w:rsidP="00985B4D">
    <w:pPr>
      <w:tabs>
        <w:tab w:val="center" w:pos="4153"/>
        <w:tab w:val="right" w:pos="8306"/>
      </w:tabs>
      <w:ind w:left="720"/>
      <w:jc w:val="center"/>
      <w:rPr>
        <w:sz w:val="20"/>
        <w:szCs w:val="20"/>
      </w:rPr>
    </w:pPr>
    <w:r>
      <w:rPr>
        <w:sz w:val="20"/>
        <w:szCs w:val="20"/>
      </w:rPr>
      <w:t>Attachment 3</w:t>
    </w:r>
    <w:r w:rsidR="00C52C2C">
      <w:rPr>
        <w:sz w:val="20"/>
        <w:szCs w:val="20"/>
      </w:rPr>
      <w:t xml:space="preserve"> – Statement of Requirements</w:t>
    </w:r>
  </w:p>
  <w:p w14:paraId="2FFA1B3E" w14:textId="01F214BC" w:rsidR="00C52C2C" w:rsidRPr="00BC41AC" w:rsidRDefault="00AF205C" w:rsidP="005334EA">
    <w:pPr>
      <w:tabs>
        <w:tab w:val="center" w:pos="4153"/>
        <w:tab w:val="right" w:pos="8306"/>
      </w:tabs>
      <w:ind w:left="720"/>
      <w:jc w:val="center"/>
      <w:rPr>
        <w:rFonts w:cs="Arial"/>
        <w:sz w:val="20"/>
        <w:szCs w:val="20"/>
      </w:rPr>
    </w:pPr>
    <w:r w:rsidRPr="00BC41AC">
      <w:rPr>
        <w:rFonts w:cs="Arial"/>
        <w:sz w:val="20"/>
        <w:szCs w:val="20"/>
      </w:rPr>
      <w:t>Vehicle Recovery &amp; Detention Services</w:t>
    </w:r>
  </w:p>
  <w:p w14:paraId="3CFCFA88" w14:textId="01389392" w:rsidR="00C52C2C" w:rsidRPr="001A45DF" w:rsidRDefault="00E24EE7" w:rsidP="005334EA">
    <w:pPr>
      <w:tabs>
        <w:tab w:val="center" w:pos="4153"/>
        <w:tab w:val="right" w:pos="8306"/>
      </w:tabs>
      <w:ind w:left="720"/>
      <w:jc w:val="center"/>
      <w:rPr>
        <w:sz w:val="20"/>
        <w:szCs w:val="20"/>
      </w:rPr>
    </w:pPr>
    <w:r w:rsidRPr="001A45DF">
      <w:rPr>
        <w:rFonts w:cs="Arial"/>
        <w:sz w:val="20"/>
        <w:szCs w:val="20"/>
      </w:rPr>
      <w:t>Contract Reference:</w:t>
    </w:r>
    <w:r w:rsidR="005B339C">
      <w:rPr>
        <w:rFonts w:cs="Arial"/>
        <w:sz w:val="20"/>
        <w:szCs w:val="20"/>
      </w:rPr>
      <w:t xml:space="preserve"> </w:t>
    </w:r>
    <w:r w:rsidR="005B339C" w:rsidRPr="005B339C">
      <w:rPr>
        <w:rFonts w:cs="Arial"/>
        <w:sz w:val="20"/>
        <w:szCs w:val="20"/>
        <w:shd w:val="clear" w:color="auto" w:fill="FFFF00"/>
      </w:rPr>
      <w:t>C15798</w:t>
    </w:r>
  </w:p>
  <w:p w14:paraId="605B3446" w14:textId="1C5596A0" w:rsidR="00C52C2C" w:rsidRPr="009D0EAE" w:rsidRDefault="00C52C2C" w:rsidP="00F946AC">
    <w:pPr>
      <w:pStyle w:val="Header"/>
      <w:jc w:val="center"/>
      <w:rPr>
        <w:rFonts w:cs="Arial"/>
        <w:sz w:val="20"/>
        <w:szCs w:val="20"/>
        <w:highlight w:val="yellow"/>
      </w:rPr>
    </w:pPr>
  </w:p>
  <w:p w14:paraId="6F1572B1" w14:textId="45CD0517" w:rsidR="00C52C2C" w:rsidRPr="00074357" w:rsidRDefault="00C52C2C"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3DD82"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04FCAD38"/>
    <w:lvl w:ilvl="0">
      <w:start w:val="1"/>
      <w:numFmt w:val="decimal"/>
      <w:lvlRestart w:val="0"/>
      <w:pStyle w:val="Heading1"/>
      <w:lvlText w:val="%1."/>
      <w:lvlJc w:val="left"/>
      <w:pPr>
        <w:tabs>
          <w:tab w:val="num" w:pos="720"/>
        </w:tabs>
        <w:ind w:left="720" w:hanging="720"/>
      </w:pPr>
      <w:rPr>
        <w:rFonts w:hint="default"/>
        <w:b/>
        <w:caps w:val="0"/>
        <w:sz w:val="28"/>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num>
  <w:num w:numId="3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642"/>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1C"/>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0C36"/>
    <w:rsid w:val="000B12A9"/>
    <w:rsid w:val="000B1C66"/>
    <w:rsid w:val="000B29B2"/>
    <w:rsid w:val="000B4297"/>
    <w:rsid w:val="000B4955"/>
    <w:rsid w:val="000B5A10"/>
    <w:rsid w:val="000B5C9F"/>
    <w:rsid w:val="000B7E75"/>
    <w:rsid w:val="000C0DE3"/>
    <w:rsid w:val="000C1B57"/>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1E58"/>
    <w:rsid w:val="001530A6"/>
    <w:rsid w:val="001548AC"/>
    <w:rsid w:val="00156231"/>
    <w:rsid w:val="0015696A"/>
    <w:rsid w:val="00156B87"/>
    <w:rsid w:val="00156E2F"/>
    <w:rsid w:val="00157D99"/>
    <w:rsid w:val="00161A2F"/>
    <w:rsid w:val="0016322B"/>
    <w:rsid w:val="0016383C"/>
    <w:rsid w:val="00164F66"/>
    <w:rsid w:val="00166299"/>
    <w:rsid w:val="0017017C"/>
    <w:rsid w:val="0017225B"/>
    <w:rsid w:val="00173352"/>
    <w:rsid w:val="0017368C"/>
    <w:rsid w:val="00174192"/>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1F5187"/>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24"/>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3904"/>
    <w:rsid w:val="002E5436"/>
    <w:rsid w:val="002E6400"/>
    <w:rsid w:val="002F13FD"/>
    <w:rsid w:val="002F1F7F"/>
    <w:rsid w:val="002F3129"/>
    <w:rsid w:val="002F3DA1"/>
    <w:rsid w:val="002F42F4"/>
    <w:rsid w:val="002F7AA1"/>
    <w:rsid w:val="0030038A"/>
    <w:rsid w:val="0030185A"/>
    <w:rsid w:val="0030285B"/>
    <w:rsid w:val="0030439A"/>
    <w:rsid w:val="003047E0"/>
    <w:rsid w:val="0030606A"/>
    <w:rsid w:val="003123D3"/>
    <w:rsid w:val="00315091"/>
    <w:rsid w:val="00315C76"/>
    <w:rsid w:val="0032065B"/>
    <w:rsid w:val="00323541"/>
    <w:rsid w:val="00323EAA"/>
    <w:rsid w:val="00330C5C"/>
    <w:rsid w:val="00331523"/>
    <w:rsid w:val="003316AA"/>
    <w:rsid w:val="00331E62"/>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3A7"/>
    <w:rsid w:val="0037496E"/>
    <w:rsid w:val="0037526E"/>
    <w:rsid w:val="00375AE9"/>
    <w:rsid w:val="00376922"/>
    <w:rsid w:val="00376FF7"/>
    <w:rsid w:val="003770F8"/>
    <w:rsid w:val="0038049D"/>
    <w:rsid w:val="003807A7"/>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57EC9"/>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2DF3"/>
    <w:rsid w:val="004B4E34"/>
    <w:rsid w:val="004B6951"/>
    <w:rsid w:val="004B7B71"/>
    <w:rsid w:val="004C0636"/>
    <w:rsid w:val="004C1460"/>
    <w:rsid w:val="004C50CD"/>
    <w:rsid w:val="004C5A51"/>
    <w:rsid w:val="004C5C6B"/>
    <w:rsid w:val="004C62BB"/>
    <w:rsid w:val="004D0392"/>
    <w:rsid w:val="004D0A59"/>
    <w:rsid w:val="004D0C4C"/>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4F7AB3"/>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2048"/>
    <w:rsid w:val="005750D7"/>
    <w:rsid w:val="005750F5"/>
    <w:rsid w:val="005759DD"/>
    <w:rsid w:val="00576C34"/>
    <w:rsid w:val="00581887"/>
    <w:rsid w:val="005821EF"/>
    <w:rsid w:val="0058297A"/>
    <w:rsid w:val="0058409F"/>
    <w:rsid w:val="00586640"/>
    <w:rsid w:val="00586CC2"/>
    <w:rsid w:val="00587981"/>
    <w:rsid w:val="0059059C"/>
    <w:rsid w:val="00590FFC"/>
    <w:rsid w:val="005924FF"/>
    <w:rsid w:val="00593CFF"/>
    <w:rsid w:val="00597B02"/>
    <w:rsid w:val="005A137B"/>
    <w:rsid w:val="005A1F60"/>
    <w:rsid w:val="005A49EA"/>
    <w:rsid w:val="005B228D"/>
    <w:rsid w:val="005B28B1"/>
    <w:rsid w:val="005B2BA5"/>
    <w:rsid w:val="005B339C"/>
    <w:rsid w:val="005B466A"/>
    <w:rsid w:val="005B4A89"/>
    <w:rsid w:val="005C0826"/>
    <w:rsid w:val="005C2951"/>
    <w:rsid w:val="005C2A84"/>
    <w:rsid w:val="005C3B95"/>
    <w:rsid w:val="005C6291"/>
    <w:rsid w:val="005C6503"/>
    <w:rsid w:val="005D1196"/>
    <w:rsid w:val="005D2362"/>
    <w:rsid w:val="005D4167"/>
    <w:rsid w:val="005E00DA"/>
    <w:rsid w:val="005E1BE3"/>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3416"/>
    <w:rsid w:val="006754B9"/>
    <w:rsid w:val="006772C0"/>
    <w:rsid w:val="00680C72"/>
    <w:rsid w:val="00682677"/>
    <w:rsid w:val="00683380"/>
    <w:rsid w:val="006849F7"/>
    <w:rsid w:val="00684CF6"/>
    <w:rsid w:val="00684FF6"/>
    <w:rsid w:val="0068585D"/>
    <w:rsid w:val="00685E8D"/>
    <w:rsid w:val="0068678A"/>
    <w:rsid w:val="0069053C"/>
    <w:rsid w:val="0069171A"/>
    <w:rsid w:val="0069239F"/>
    <w:rsid w:val="00693308"/>
    <w:rsid w:val="006940AD"/>
    <w:rsid w:val="0069520A"/>
    <w:rsid w:val="006967ED"/>
    <w:rsid w:val="006968E6"/>
    <w:rsid w:val="006A0E9A"/>
    <w:rsid w:val="006A385C"/>
    <w:rsid w:val="006A3DBC"/>
    <w:rsid w:val="006A3F51"/>
    <w:rsid w:val="006A40DE"/>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0984"/>
    <w:rsid w:val="00702C1F"/>
    <w:rsid w:val="00703093"/>
    <w:rsid w:val="00704A4D"/>
    <w:rsid w:val="00706FCC"/>
    <w:rsid w:val="007110A9"/>
    <w:rsid w:val="007116AE"/>
    <w:rsid w:val="007141C0"/>
    <w:rsid w:val="007145F1"/>
    <w:rsid w:val="0072081F"/>
    <w:rsid w:val="00720A14"/>
    <w:rsid w:val="00721391"/>
    <w:rsid w:val="007217F8"/>
    <w:rsid w:val="00724885"/>
    <w:rsid w:val="00727C33"/>
    <w:rsid w:val="00733ACF"/>
    <w:rsid w:val="0073540C"/>
    <w:rsid w:val="00735596"/>
    <w:rsid w:val="00735D7F"/>
    <w:rsid w:val="00740B2E"/>
    <w:rsid w:val="007411D4"/>
    <w:rsid w:val="007435B9"/>
    <w:rsid w:val="00743726"/>
    <w:rsid w:val="00745FE8"/>
    <w:rsid w:val="0075008F"/>
    <w:rsid w:val="0075021D"/>
    <w:rsid w:val="00753744"/>
    <w:rsid w:val="00753ABE"/>
    <w:rsid w:val="0075444C"/>
    <w:rsid w:val="00755A73"/>
    <w:rsid w:val="00756064"/>
    <w:rsid w:val="007569B8"/>
    <w:rsid w:val="007603EE"/>
    <w:rsid w:val="00760E17"/>
    <w:rsid w:val="0076417D"/>
    <w:rsid w:val="007667BD"/>
    <w:rsid w:val="0077082E"/>
    <w:rsid w:val="00770F75"/>
    <w:rsid w:val="00771276"/>
    <w:rsid w:val="0077138F"/>
    <w:rsid w:val="00772062"/>
    <w:rsid w:val="007723BF"/>
    <w:rsid w:val="007734F9"/>
    <w:rsid w:val="00773C5A"/>
    <w:rsid w:val="007742BD"/>
    <w:rsid w:val="0078132F"/>
    <w:rsid w:val="00781B53"/>
    <w:rsid w:val="00781F72"/>
    <w:rsid w:val="00782275"/>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1AE9"/>
    <w:rsid w:val="007F255C"/>
    <w:rsid w:val="007F48F8"/>
    <w:rsid w:val="007F521C"/>
    <w:rsid w:val="007F78F3"/>
    <w:rsid w:val="007F7976"/>
    <w:rsid w:val="00800097"/>
    <w:rsid w:val="0080204D"/>
    <w:rsid w:val="00802735"/>
    <w:rsid w:val="00803909"/>
    <w:rsid w:val="00803E0C"/>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67D7"/>
    <w:rsid w:val="00877AA1"/>
    <w:rsid w:val="00880C0D"/>
    <w:rsid w:val="00881157"/>
    <w:rsid w:val="0088161D"/>
    <w:rsid w:val="00882465"/>
    <w:rsid w:val="00890886"/>
    <w:rsid w:val="008916A4"/>
    <w:rsid w:val="00897DB5"/>
    <w:rsid w:val="008A004A"/>
    <w:rsid w:val="008A17B5"/>
    <w:rsid w:val="008A20B1"/>
    <w:rsid w:val="008A2331"/>
    <w:rsid w:val="008A3F1A"/>
    <w:rsid w:val="008A3FCF"/>
    <w:rsid w:val="008A41ED"/>
    <w:rsid w:val="008A5EAC"/>
    <w:rsid w:val="008A74AE"/>
    <w:rsid w:val="008A7C5C"/>
    <w:rsid w:val="008B2760"/>
    <w:rsid w:val="008B3DC8"/>
    <w:rsid w:val="008B4EC5"/>
    <w:rsid w:val="008B5210"/>
    <w:rsid w:val="008B7859"/>
    <w:rsid w:val="008C05F1"/>
    <w:rsid w:val="008C218B"/>
    <w:rsid w:val="008C221C"/>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17F0F"/>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5699"/>
    <w:rsid w:val="009509D8"/>
    <w:rsid w:val="00951437"/>
    <w:rsid w:val="00951618"/>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0AC2"/>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85E48"/>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B69"/>
    <w:rsid w:val="00AE1C64"/>
    <w:rsid w:val="00AE2742"/>
    <w:rsid w:val="00AE2E10"/>
    <w:rsid w:val="00AE3547"/>
    <w:rsid w:val="00AE36E5"/>
    <w:rsid w:val="00AE3C65"/>
    <w:rsid w:val="00AF0BC0"/>
    <w:rsid w:val="00AF205C"/>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620B"/>
    <w:rsid w:val="00B57549"/>
    <w:rsid w:val="00B60A7D"/>
    <w:rsid w:val="00B61FEB"/>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2935"/>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1AC"/>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2C2C"/>
    <w:rsid w:val="00C5443A"/>
    <w:rsid w:val="00C569A3"/>
    <w:rsid w:val="00C60FF1"/>
    <w:rsid w:val="00C613B7"/>
    <w:rsid w:val="00C61512"/>
    <w:rsid w:val="00C61ED0"/>
    <w:rsid w:val="00C63168"/>
    <w:rsid w:val="00C644A6"/>
    <w:rsid w:val="00C64CE8"/>
    <w:rsid w:val="00C65E9D"/>
    <w:rsid w:val="00C67D1A"/>
    <w:rsid w:val="00C704B7"/>
    <w:rsid w:val="00C71D94"/>
    <w:rsid w:val="00C73155"/>
    <w:rsid w:val="00C7447E"/>
    <w:rsid w:val="00C74C5F"/>
    <w:rsid w:val="00C75B3B"/>
    <w:rsid w:val="00C76852"/>
    <w:rsid w:val="00C7767B"/>
    <w:rsid w:val="00C77D9C"/>
    <w:rsid w:val="00C813AC"/>
    <w:rsid w:val="00C81EC7"/>
    <w:rsid w:val="00C847AF"/>
    <w:rsid w:val="00C860DD"/>
    <w:rsid w:val="00C8752E"/>
    <w:rsid w:val="00C901B4"/>
    <w:rsid w:val="00C92F49"/>
    <w:rsid w:val="00C944BE"/>
    <w:rsid w:val="00C959C7"/>
    <w:rsid w:val="00C97E19"/>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6BBE"/>
    <w:rsid w:val="00CD7168"/>
    <w:rsid w:val="00CE0116"/>
    <w:rsid w:val="00CE0AE1"/>
    <w:rsid w:val="00CE0E02"/>
    <w:rsid w:val="00CE267D"/>
    <w:rsid w:val="00CE285C"/>
    <w:rsid w:val="00CE2912"/>
    <w:rsid w:val="00CE2942"/>
    <w:rsid w:val="00CE43E0"/>
    <w:rsid w:val="00CE44DA"/>
    <w:rsid w:val="00CE4E8F"/>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6B91"/>
    <w:rsid w:val="00D17764"/>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163B"/>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E7D1C"/>
    <w:rsid w:val="00DF55DF"/>
    <w:rsid w:val="00DF5A32"/>
    <w:rsid w:val="00DF61D8"/>
    <w:rsid w:val="00DF6662"/>
    <w:rsid w:val="00E0083E"/>
    <w:rsid w:val="00E024D2"/>
    <w:rsid w:val="00E030C9"/>
    <w:rsid w:val="00E05439"/>
    <w:rsid w:val="00E05F1D"/>
    <w:rsid w:val="00E10534"/>
    <w:rsid w:val="00E10E97"/>
    <w:rsid w:val="00E13CFC"/>
    <w:rsid w:val="00E14310"/>
    <w:rsid w:val="00E1538A"/>
    <w:rsid w:val="00E20D35"/>
    <w:rsid w:val="00E22084"/>
    <w:rsid w:val="00E22767"/>
    <w:rsid w:val="00E245A6"/>
    <w:rsid w:val="00E24EE7"/>
    <w:rsid w:val="00E25C2D"/>
    <w:rsid w:val="00E2791D"/>
    <w:rsid w:val="00E32A1D"/>
    <w:rsid w:val="00E33788"/>
    <w:rsid w:val="00E3410E"/>
    <w:rsid w:val="00E4045B"/>
    <w:rsid w:val="00E41D60"/>
    <w:rsid w:val="00E420B0"/>
    <w:rsid w:val="00E42A3E"/>
    <w:rsid w:val="00E443BB"/>
    <w:rsid w:val="00E450B0"/>
    <w:rsid w:val="00E50B0C"/>
    <w:rsid w:val="00E53E5F"/>
    <w:rsid w:val="00E57A45"/>
    <w:rsid w:val="00E613F6"/>
    <w:rsid w:val="00E63261"/>
    <w:rsid w:val="00E63383"/>
    <w:rsid w:val="00E63412"/>
    <w:rsid w:val="00E6347A"/>
    <w:rsid w:val="00E63E21"/>
    <w:rsid w:val="00E65566"/>
    <w:rsid w:val="00E66849"/>
    <w:rsid w:val="00E7010B"/>
    <w:rsid w:val="00E70BA3"/>
    <w:rsid w:val="00E7139A"/>
    <w:rsid w:val="00E7148B"/>
    <w:rsid w:val="00E71513"/>
    <w:rsid w:val="00E7654D"/>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61D0"/>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15F1"/>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510"/>
    <w:rsid w:val="00F476A1"/>
    <w:rsid w:val="00F533A3"/>
    <w:rsid w:val="00F54B36"/>
    <w:rsid w:val="00F576F1"/>
    <w:rsid w:val="00F62DC9"/>
    <w:rsid w:val="00F6463B"/>
    <w:rsid w:val="00F656D5"/>
    <w:rsid w:val="00F65C1B"/>
    <w:rsid w:val="00F718BA"/>
    <w:rsid w:val="00F71D56"/>
    <w:rsid w:val="00F722CD"/>
    <w:rsid w:val="00F7526B"/>
    <w:rsid w:val="00F80355"/>
    <w:rsid w:val="00F808FC"/>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B45DD"/>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3F10C-4796-408E-8E7E-4E5B9440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40ABB06C</Template>
  <TotalTime>2</TotalTime>
  <Pages>8</Pages>
  <Words>2010</Words>
  <Characters>11516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Humphries Neil (Commercial)</cp:lastModifiedBy>
  <cp:revision>3</cp:revision>
  <cp:lastPrinted>2019-05-03T10:56:00Z</cp:lastPrinted>
  <dcterms:created xsi:type="dcterms:W3CDTF">2019-05-03T15:28:00Z</dcterms:created>
  <dcterms:modified xsi:type="dcterms:W3CDTF">2019-05-08T13:25:00Z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