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1CD51" w14:textId="77777777" w:rsidR="00BC723D" w:rsidRPr="00AA4B04" w:rsidRDefault="00BC723D" w:rsidP="00BC723D">
      <w:pPr>
        <w:pStyle w:val="GPSSchTitleandNumber"/>
        <w:rPr>
          <w:rFonts w:ascii="Arial" w:hAnsi="Arial" w:cs="Arial"/>
        </w:rPr>
      </w:pPr>
      <w:bookmarkStart w:id="0" w:name="_Toc468969844"/>
      <w:r w:rsidRPr="00AA4B04">
        <w:rPr>
          <w:rFonts w:ascii="Arial" w:hAnsi="Arial" w:cs="Arial"/>
        </w:rPr>
        <w:t>CALL OFF SCHEDULE 12: VARIATION FORM</w:t>
      </w:r>
      <w:bookmarkEnd w:id="0"/>
    </w:p>
    <w:p w14:paraId="5ACEA77E" w14:textId="77777777" w:rsidR="00BC723D" w:rsidRPr="00AA4B04" w:rsidRDefault="00BC723D" w:rsidP="00BC723D">
      <w:pPr>
        <w:ind w:left="0"/>
      </w:pPr>
      <w:r w:rsidRPr="00AA4B04">
        <w:t>No</w:t>
      </w:r>
      <w:r w:rsidR="001A6006">
        <w:t>.</w:t>
      </w:r>
      <w:r w:rsidRPr="00AA4B04">
        <w:t xml:space="preserve"> of Call Off Order Form being varied:</w:t>
      </w:r>
    </w:p>
    <w:p w14:paraId="44FC6B68" w14:textId="77777777" w:rsidR="00BC723D" w:rsidRPr="00AA4B04" w:rsidRDefault="00E2439D" w:rsidP="00BC723D">
      <w:pPr>
        <w:ind w:left="0"/>
      </w:pPr>
      <w:r>
        <w:t>Contract Reference: CCCC18B09</w:t>
      </w:r>
    </w:p>
    <w:p w14:paraId="22B15E6F" w14:textId="77777777" w:rsidR="00BC723D" w:rsidRDefault="00BC723D" w:rsidP="00BC723D">
      <w:pPr>
        <w:ind w:left="0"/>
      </w:pPr>
      <w:r w:rsidRPr="00AA4B04">
        <w:t>Variation Form No:</w:t>
      </w:r>
    </w:p>
    <w:p w14:paraId="09808026" w14:textId="77777777" w:rsidR="00BC723D" w:rsidRPr="00AA4B04" w:rsidRDefault="00E2439D" w:rsidP="00BC723D">
      <w:pPr>
        <w:ind w:left="0"/>
      </w:pPr>
      <w:r>
        <w:t>CCCC18B09</w:t>
      </w:r>
      <w:r w:rsidR="001A6006">
        <w:t>-1</w:t>
      </w:r>
    </w:p>
    <w:p w14:paraId="21C0F1A5" w14:textId="77777777" w:rsidR="00BC723D" w:rsidRPr="00AA4B04" w:rsidRDefault="00BC723D" w:rsidP="00BC723D">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BC723D" w:rsidRPr="00AA4B04" w14:paraId="1DBA5D5E" w14:textId="77777777" w:rsidTr="00F70E13">
        <w:trPr>
          <w:cantSplit/>
        </w:trPr>
        <w:tc>
          <w:tcPr>
            <w:tcW w:w="9531" w:type="dxa"/>
            <w:tcBorders>
              <w:top w:val="nil"/>
              <w:left w:val="nil"/>
              <w:bottom w:val="nil"/>
              <w:right w:val="nil"/>
            </w:tcBorders>
          </w:tcPr>
          <w:p w14:paraId="0203177E" w14:textId="77777777" w:rsidR="00BC723D" w:rsidRPr="00AA4B04" w:rsidRDefault="00E2439D" w:rsidP="00F70E13">
            <w:pPr>
              <w:ind w:left="-108"/>
            </w:pPr>
            <w:r>
              <w:rPr>
                <w:b/>
              </w:rPr>
              <w:t>Ministry of Defence</w:t>
            </w:r>
            <w:r w:rsidR="00BC723D" w:rsidRPr="00AA4B04">
              <w:t xml:space="preserve"> ("</w:t>
            </w:r>
            <w:r w:rsidR="00BC723D" w:rsidRPr="00AA4B04">
              <w:rPr>
                <w:b/>
                <w:bCs/>
              </w:rPr>
              <w:t>the Customer"</w:t>
            </w:r>
            <w:r w:rsidR="00BC723D" w:rsidRPr="00AA4B04">
              <w:t>)</w:t>
            </w:r>
          </w:p>
          <w:p w14:paraId="4BA8FA5D" w14:textId="77777777" w:rsidR="00BC723D" w:rsidRPr="00AA4B04" w:rsidRDefault="00BC723D" w:rsidP="00F70E13">
            <w:pPr>
              <w:ind w:left="-108"/>
            </w:pPr>
            <w:r w:rsidRPr="00AA4B04">
              <w:t>and</w:t>
            </w:r>
          </w:p>
          <w:p w14:paraId="2C99A777" w14:textId="77777777" w:rsidR="00BC723D" w:rsidRPr="00AA4B04" w:rsidRDefault="00E2439D" w:rsidP="00F70E13">
            <w:pPr>
              <w:ind w:left="-108"/>
            </w:pPr>
            <w:r>
              <w:rPr>
                <w:b/>
              </w:rPr>
              <w:t>KPMG LLP</w:t>
            </w:r>
            <w:r w:rsidR="00BC723D" w:rsidRPr="00AA4B04">
              <w:t xml:space="preserve"> (</w:t>
            </w:r>
            <w:r w:rsidR="00BC723D" w:rsidRPr="00AA4B04">
              <w:rPr>
                <w:b/>
              </w:rPr>
              <w:t>"the Supplier"</w:t>
            </w:r>
            <w:r w:rsidR="00BC723D" w:rsidRPr="00AA4B04">
              <w:t>)</w:t>
            </w:r>
          </w:p>
        </w:tc>
      </w:tr>
    </w:tbl>
    <w:p w14:paraId="119CB086" w14:textId="77777777" w:rsidR="00BC723D" w:rsidRDefault="00BC723D" w:rsidP="00BC723D">
      <w:pPr>
        <w:pStyle w:val="MarginText"/>
        <w:numPr>
          <w:ilvl w:val="0"/>
          <w:numId w:val="1"/>
        </w:numPr>
        <w:ind w:left="567" w:hanging="425"/>
        <w:rPr>
          <w:rFonts w:cs="Arial"/>
          <w:sz w:val="22"/>
          <w:szCs w:val="22"/>
        </w:rPr>
      </w:pPr>
      <w:r w:rsidRPr="00AA4B04">
        <w:rPr>
          <w:rFonts w:cs="Arial"/>
          <w:sz w:val="22"/>
          <w:szCs w:val="22"/>
        </w:rPr>
        <w:t xml:space="preserve">This Call Off Contract is varied as follows: </w:t>
      </w:r>
    </w:p>
    <w:p w14:paraId="432CC232" w14:textId="77777777" w:rsidR="001A6006" w:rsidRPr="001A6006" w:rsidRDefault="001A6006" w:rsidP="00285BC9">
      <w:pPr>
        <w:pStyle w:val="ListParagraph"/>
        <w:numPr>
          <w:ilvl w:val="1"/>
          <w:numId w:val="1"/>
        </w:numPr>
        <w:spacing w:after="120"/>
        <w:rPr>
          <w:rFonts w:eastAsia="STZhongsong"/>
          <w:lang w:eastAsia="zh-CN"/>
        </w:rPr>
      </w:pPr>
      <w:r w:rsidRPr="001A6006">
        <w:rPr>
          <w:rFonts w:eastAsia="STZhongsong"/>
          <w:lang w:eastAsia="zh-CN"/>
        </w:rPr>
        <w:t>An uplift in value of an additional £</w:t>
      </w:r>
      <w:r w:rsidR="00BA0FC3">
        <w:rPr>
          <w:rFonts w:eastAsia="STZhongsong"/>
          <w:lang w:eastAsia="zh-CN"/>
        </w:rPr>
        <w:t>180,0</w:t>
      </w:r>
      <w:r w:rsidR="008A0F71">
        <w:rPr>
          <w:rFonts w:eastAsia="STZhongsong"/>
          <w:lang w:eastAsia="zh-CN"/>
        </w:rPr>
        <w:t>00</w:t>
      </w:r>
      <w:r>
        <w:rPr>
          <w:rFonts w:eastAsia="STZhongsong"/>
          <w:lang w:eastAsia="zh-CN"/>
        </w:rPr>
        <w:t>.00</w:t>
      </w:r>
      <w:r w:rsidRPr="001A6006">
        <w:rPr>
          <w:rFonts w:eastAsia="STZhongsong"/>
          <w:lang w:eastAsia="zh-CN"/>
        </w:rPr>
        <w:t xml:space="preserve"> (excluding VAT) on top of t</w:t>
      </w:r>
      <w:r>
        <w:rPr>
          <w:rFonts w:eastAsia="STZhongsong"/>
          <w:lang w:eastAsia="zh-CN"/>
        </w:rPr>
        <w:t>he original £3</w:t>
      </w:r>
      <w:r w:rsidR="008A0F71">
        <w:rPr>
          <w:rFonts w:eastAsia="STZhongsong"/>
          <w:lang w:eastAsia="zh-CN"/>
        </w:rPr>
        <w:t>64,918</w:t>
      </w:r>
      <w:r w:rsidRPr="001A6006">
        <w:rPr>
          <w:rFonts w:eastAsia="STZhongsong"/>
          <w:lang w:eastAsia="zh-CN"/>
        </w:rPr>
        <w:t>.00 (excluding VAT) bringing the total Contract value to £</w:t>
      </w:r>
      <w:r w:rsidR="00BA0FC3">
        <w:rPr>
          <w:rFonts w:eastAsia="STZhongsong"/>
          <w:lang w:eastAsia="zh-CN"/>
        </w:rPr>
        <w:t>544</w:t>
      </w:r>
      <w:r w:rsidR="008A0F71">
        <w:rPr>
          <w:rFonts w:eastAsia="STZhongsong"/>
          <w:lang w:eastAsia="zh-CN"/>
        </w:rPr>
        <w:t>,</w:t>
      </w:r>
      <w:r w:rsidR="00BA0FC3">
        <w:rPr>
          <w:rFonts w:eastAsia="STZhongsong"/>
          <w:lang w:eastAsia="zh-CN"/>
        </w:rPr>
        <w:t>9</w:t>
      </w:r>
      <w:r w:rsidR="008A0F71">
        <w:rPr>
          <w:rFonts w:eastAsia="STZhongsong"/>
          <w:lang w:eastAsia="zh-CN"/>
        </w:rPr>
        <w:t>18</w:t>
      </w:r>
      <w:r>
        <w:rPr>
          <w:rFonts w:eastAsia="STZhongsong"/>
          <w:lang w:eastAsia="zh-CN"/>
        </w:rPr>
        <w:t>.00</w:t>
      </w:r>
      <w:r w:rsidRPr="001A6006">
        <w:rPr>
          <w:rFonts w:eastAsia="STZhongsong"/>
          <w:lang w:eastAsia="zh-CN"/>
        </w:rPr>
        <w:t xml:space="preserve"> (excluding VAT).</w:t>
      </w:r>
    </w:p>
    <w:p w14:paraId="2722D6E0" w14:textId="7748C1BD" w:rsidR="001A6006" w:rsidRDefault="001A6006" w:rsidP="00285BC9">
      <w:pPr>
        <w:pStyle w:val="MarginText"/>
        <w:numPr>
          <w:ilvl w:val="1"/>
          <w:numId w:val="1"/>
        </w:numPr>
        <w:spacing w:before="120"/>
        <w:rPr>
          <w:rFonts w:cs="Arial"/>
          <w:sz w:val="22"/>
          <w:szCs w:val="22"/>
        </w:rPr>
      </w:pPr>
      <w:r>
        <w:rPr>
          <w:rFonts w:cs="Arial"/>
          <w:sz w:val="22"/>
          <w:szCs w:val="22"/>
        </w:rPr>
        <w:t xml:space="preserve">A </w:t>
      </w:r>
      <w:r w:rsidR="007E73FF">
        <w:rPr>
          <w:rFonts w:cs="Arial"/>
          <w:sz w:val="22"/>
          <w:szCs w:val="22"/>
        </w:rPr>
        <w:t>variation to the contract expiry date</w:t>
      </w:r>
      <w:r w:rsidR="00E56BD7">
        <w:rPr>
          <w:rFonts w:cs="Arial"/>
          <w:sz w:val="22"/>
          <w:szCs w:val="22"/>
        </w:rPr>
        <w:t>.</w:t>
      </w:r>
      <w:r w:rsidR="00E56BD7" w:rsidRPr="00285BC9">
        <w:rPr>
          <w:rFonts w:cs="Arial"/>
          <w:sz w:val="28"/>
          <w:szCs w:val="22"/>
        </w:rPr>
        <w:t xml:space="preserve"> </w:t>
      </w:r>
      <w:r w:rsidR="00285BC9" w:rsidRPr="00285BC9">
        <w:rPr>
          <w:rFonts w:cs="Arial"/>
          <w:sz w:val="22"/>
        </w:rPr>
        <w:t xml:space="preserve">The contract is due to expire on Friday 29th March 2019, however, the contract </w:t>
      </w:r>
      <w:r w:rsidR="007E73FF">
        <w:rPr>
          <w:rFonts w:cs="Arial"/>
          <w:sz w:val="22"/>
        </w:rPr>
        <w:t xml:space="preserve">end date </w:t>
      </w:r>
      <w:r w:rsidR="00285BC9" w:rsidRPr="00285BC9">
        <w:rPr>
          <w:rFonts w:cs="Arial"/>
          <w:sz w:val="22"/>
        </w:rPr>
        <w:t>is to be extended for a further three (3) months until Friday 28</w:t>
      </w:r>
      <w:r w:rsidR="00285BC9" w:rsidRPr="00285BC9">
        <w:rPr>
          <w:rFonts w:cs="Arial"/>
          <w:sz w:val="22"/>
          <w:vertAlign w:val="superscript"/>
        </w:rPr>
        <w:t>th</w:t>
      </w:r>
      <w:r w:rsidR="007E73FF">
        <w:rPr>
          <w:rFonts w:cs="Arial"/>
          <w:sz w:val="22"/>
        </w:rPr>
        <w:t xml:space="preserve"> June 2019.</w:t>
      </w:r>
    </w:p>
    <w:p w14:paraId="7E9A19A0" w14:textId="77777777" w:rsidR="00E30A8A" w:rsidRDefault="00E30A8A" w:rsidP="00285BC9">
      <w:pPr>
        <w:pStyle w:val="ListParagraph"/>
        <w:numPr>
          <w:ilvl w:val="1"/>
          <w:numId w:val="1"/>
        </w:numPr>
        <w:overflowPunct/>
        <w:autoSpaceDE/>
        <w:autoSpaceDN/>
        <w:adjustRightInd/>
        <w:spacing w:after="120"/>
        <w:contextualSpacing w:val="0"/>
        <w:jc w:val="left"/>
        <w:textAlignment w:val="auto"/>
      </w:pPr>
      <w:r>
        <w:t>The following deliverables will form part of this contract and are intrinsically linked to the scope of the original services;</w:t>
      </w:r>
    </w:p>
    <w:tbl>
      <w:tblPr>
        <w:tblStyle w:val="TableGrid"/>
        <w:tblW w:w="7512" w:type="dxa"/>
        <w:tblInd w:w="1555" w:type="dxa"/>
        <w:tblLook w:val="04A0" w:firstRow="1" w:lastRow="0" w:firstColumn="1" w:lastColumn="0" w:noHBand="0" w:noVBand="1"/>
      </w:tblPr>
      <w:tblGrid>
        <w:gridCol w:w="567"/>
        <w:gridCol w:w="5670"/>
        <w:gridCol w:w="1275"/>
      </w:tblGrid>
      <w:tr w:rsidR="00285BC9" w:rsidRPr="00285BC9" w14:paraId="6705CC80" w14:textId="77777777" w:rsidTr="00285BC9">
        <w:trPr>
          <w:trHeight w:val="255"/>
        </w:trPr>
        <w:tc>
          <w:tcPr>
            <w:tcW w:w="567" w:type="dxa"/>
            <w:vAlign w:val="center"/>
          </w:tcPr>
          <w:p w14:paraId="78D60F8D" w14:textId="77777777" w:rsidR="00285BC9" w:rsidRPr="00285BC9" w:rsidRDefault="00285BC9" w:rsidP="00285BC9">
            <w:pPr>
              <w:spacing w:before="40" w:after="0"/>
              <w:ind w:left="0"/>
              <w:jc w:val="center"/>
              <w:rPr>
                <w:b/>
                <w:kern w:val="22"/>
                <w:szCs w:val="24"/>
              </w:rPr>
            </w:pPr>
            <w:r w:rsidRPr="00285BC9">
              <w:rPr>
                <w:b/>
                <w:kern w:val="22"/>
                <w:szCs w:val="24"/>
              </w:rPr>
              <w:t>Ref</w:t>
            </w:r>
          </w:p>
        </w:tc>
        <w:tc>
          <w:tcPr>
            <w:tcW w:w="5670" w:type="dxa"/>
            <w:vAlign w:val="center"/>
          </w:tcPr>
          <w:p w14:paraId="471F7AF3" w14:textId="77777777" w:rsidR="00285BC9" w:rsidRPr="00285BC9" w:rsidRDefault="00285BC9" w:rsidP="00285BC9">
            <w:pPr>
              <w:spacing w:before="40" w:after="0"/>
              <w:ind w:left="0"/>
              <w:jc w:val="center"/>
              <w:rPr>
                <w:b/>
                <w:kern w:val="22"/>
                <w:szCs w:val="24"/>
              </w:rPr>
            </w:pPr>
            <w:r w:rsidRPr="00285BC9">
              <w:rPr>
                <w:b/>
                <w:kern w:val="22"/>
                <w:szCs w:val="24"/>
              </w:rPr>
              <w:t>Description</w:t>
            </w:r>
          </w:p>
        </w:tc>
        <w:tc>
          <w:tcPr>
            <w:tcW w:w="1275" w:type="dxa"/>
            <w:vAlign w:val="center"/>
          </w:tcPr>
          <w:p w14:paraId="1DBC9751" w14:textId="77777777" w:rsidR="00285BC9" w:rsidRPr="00285BC9" w:rsidRDefault="00285BC9" w:rsidP="00285BC9">
            <w:pPr>
              <w:spacing w:before="40" w:after="0"/>
              <w:ind w:left="0"/>
              <w:jc w:val="center"/>
              <w:rPr>
                <w:b/>
                <w:kern w:val="22"/>
                <w:szCs w:val="24"/>
              </w:rPr>
            </w:pPr>
            <w:r w:rsidRPr="00285BC9">
              <w:rPr>
                <w:b/>
                <w:kern w:val="22"/>
                <w:szCs w:val="24"/>
              </w:rPr>
              <w:t>Timeframe</w:t>
            </w:r>
          </w:p>
        </w:tc>
      </w:tr>
      <w:tr w:rsidR="00285BC9" w:rsidRPr="00285BC9" w14:paraId="0FF92549" w14:textId="77777777" w:rsidTr="00285BC9">
        <w:trPr>
          <w:trHeight w:val="1288"/>
        </w:trPr>
        <w:tc>
          <w:tcPr>
            <w:tcW w:w="567" w:type="dxa"/>
            <w:vAlign w:val="center"/>
          </w:tcPr>
          <w:p w14:paraId="64832EAD" w14:textId="77777777" w:rsidR="00285BC9" w:rsidRPr="00285BC9" w:rsidRDefault="00285BC9" w:rsidP="00285BC9">
            <w:pPr>
              <w:spacing w:before="40" w:after="0"/>
              <w:ind w:left="0"/>
              <w:jc w:val="center"/>
              <w:rPr>
                <w:kern w:val="22"/>
                <w:szCs w:val="24"/>
              </w:rPr>
            </w:pPr>
            <w:r w:rsidRPr="00285BC9">
              <w:rPr>
                <w:kern w:val="22"/>
                <w:szCs w:val="24"/>
              </w:rPr>
              <w:t>1</w:t>
            </w:r>
          </w:p>
        </w:tc>
        <w:tc>
          <w:tcPr>
            <w:tcW w:w="5670" w:type="dxa"/>
            <w:vAlign w:val="center"/>
          </w:tcPr>
          <w:p w14:paraId="17A29D6F" w14:textId="77777777" w:rsidR="00285BC9" w:rsidRPr="00285BC9" w:rsidRDefault="00285BC9" w:rsidP="00285BC9">
            <w:pPr>
              <w:spacing w:before="40" w:after="0"/>
              <w:ind w:left="0"/>
              <w:contextualSpacing/>
              <w:jc w:val="left"/>
              <w:textAlignment w:val="center"/>
              <w:rPr>
                <w:b/>
                <w:kern w:val="22"/>
                <w:szCs w:val="24"/>
                <w:lang w:val="en-US"/>
              </w:rPr>
            </w:pPr>
            <w:r w:rsidRPr="00285BC9">
              <w:rPr>
                <w:kern w:val="22"/>
                <w:szCs w:val="24"/>
              </w:rPr>
              <w:t>A granular Target Operating Model and Work Breakdown Structure for CSM(L) core and ancillary activities over the upcoming 24 months. This should include, but not be limited to processes, performance metrics, people capability, technology and digitisation of information.</w:t>
            </w:r>
          </w:p>
        </w:tc>
        <w:tc>
          <w:tcPr>
            <w:tcW w:w="1275" w:type="dxa"/>
            <w:vAlign w:val="center"/>
          </w:tcPr>
          <w:p w14:paraId="547E6518" w14:textId="77777777" w:rsidR="00285BC9" w:rsidRPr="00285BC9" w:rsidRDefault="00285BC9" w:rsidP="00285BC9">
            <w:pPr>
              <w:spacing w:before="40" w:after="0"/>
              <w:ind w:left="0"/>
              <w:jc w:val="left"/>
              <w:rPr>
                <w:kern w:val="22"/>
                <w:szCs w:val="24"/>
              </w:rPr>
            </w:pPr>
            <w:r w:rsidRPr="00285BC9">
              <w:rPr>
                <w:kern w:val="22"/>
                <w:szCs w:val="24"/>
              </w:rPr>
              <w:t>Delivery by 30 Jun 19</w:t>
            </w:r>
          </w:p>
        </w:tc>
      </w:tr>
      <w:tr w:rsidR="00285BC9" w:rsidRPr="00285BC9" w14:paraId="21DC38EF" w14:textId="77777777" w:rsidTr="00285BC9">
        <w:trPr>
          <w:trHeight w:val="1020"/>
        </w:trPr>
        <w:tc>
          <w:tcPr>
            <w:tcW w:w="567" w:type="dxa"/>
            <w:vAlign w:val="center"/>
          </w:tcPr>
          <w:p w14:paraId="641813A5" w14:textId="77777777" w:rsidR="00285BC9" w:rsidRPr="00285BC9" w:rsidRDefault="00285BC9" w:rsidP="00285BC9">
            <w:pPr>
              <w:spacing w:before="40" w:after="0"/>
              <w:ind w:left="0"/>
              <w:jc w:val="center"/>
              <w:rPr>
                <w:kern w:val="22"/>
                <w:szCs w:val="24"/>
              </w:rPr>
            </w:pPr>
            <w:r w:rsidRPr="00285BC9">
              <w:rPr>
                <w:kern w:val="22"/>
                <w:szCs w:val="24"/>
              </w:rPr>
              <w:t>2</w:t>
            </w:r>
          </w:p>
        </w:tc>
        <w:tc>
          <w:tcPr>
            <w:tcW w:w="5670" w:type="dxa"/>
            <w:vAlign w:val="center"/>
          </w:tcPr>
          <w:p w14:paraId="0AB68EA4" w14:textId="77777777" w:rsidR="00285BC9" w:rsidRPr="00285BC9" w:rsidRDefault="00285BC9" w:rsidP="00285BC9">
            <w:pPr>
              <w:spacing w:before="40" w:after="0"/>
              <w:ind w:left="0"/>
              <w:contextualSpacing/>
              <w:jc w:val="left"/>
              <w:textAlignment w:val="center"/>
              <w:rPr>
                <w:b/>
                <w:kern w:val="22"/>
                <w:szCs w:val="24"/>
                <w:lang w:val="en-US"/>
              </w:rPr>
            </w:pPr>
            <w:r w:rsidRPr="00285BC9">
              <w:rPr>
                <w:rFonts w:eastAsia="Arial"/>
                <w:kern w:val="22"/>
                <w:szCs w:val="24"/>
              </w:rPr>
              <w:t>A pan-DLOD matrix which maps the interfaces and decision making of Support in the Land Environment including a plan for building internal capability at the critical business decision interfaces.</w:t>
            </w:r>
          </w:p>
        </w:tc>
        <w:tc>
          <w:tcPr>
            <w:tcW w:w="1275" w:type="dxa"/>
            <w:vAlign w:val="center"/>
          </w:tcPr>
          <w:p w14:paraId="188ADA0F" w14:textId="77777777" w:rsidR="00285BC9" w:rsidRPr="00285BC9" w:rsidRDefault="00285BC9" w:rsidP="00285BC9">
            <w:pPr>
              <w:spacing w:before="40" w:after="0"/>
              <w:ind w:left="0"/>
              <w:jc w:val="left"/>
              <w:rPr>
                <w:kern w:val="22"/>
                <w:szCs w:val="24"/>
              </w:rPr>
            </w:pPr>
            <w:r w:rsidRPr="00285BC9">
              <w:rPr>
                <w:kern w:val="22"/>
                <w:szCs w:val="24"/>
              </w:rPr>
              <w:t>Delivery by 30 Jun 19</w:t>
            </w:r>
          </w:p>
        </w:tc>
      </w:tr>
    </w:tbl>
    <w:p w14:paraId="1880E73E" w14:textId="77777777" w:rsidR="00BC723D" w:rsidRPr="00AA4B04" w:rsidRDefault="00BC723D" w:rsidP="00BC723D">
      <w:pPr>
        <w:pStyle w:val="MarginText"/>
        <w:numPr>
          <w:ilvl w:val="0"/>
          <w:numId w:val="1"/>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2433F4C4" w14:textId="77777777" w:rsidR="00BC723D" w:rsidRPr="00AA4B04" w:rsidRDefault="00BC723D" w:rsidP="00BC723D">
      <w:pPr>
        <w:pStyle w:val="MarginText"/>
        <w:numPr>
          <w:ilvl w:val="0"/>
          <w:numId w:val="1"/>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7841C25D" w14:textId="77777777" w:rsidR="00BC723D" w:rsidRPr="00AA4B04" w:rsidRDefault="00BC723D" w:rsidP="00BC723D">
      <w:pPr>
        <w:pStyle w:val="GPSmacrorestart"/>
        <w:numPr>
          <w:ilvl w:val="0"/>
          <w:numId w:val="1"/>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0DCA6EB6" w14:textId="77777777" w:rsidR="00BC723D" w:rsidRPr="00AA4B04" w:rsidRDefault="00BC723D" w:rsidP="00BC723D">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BC723D" w:rsidRPr="00AA4B04" w14:paraId="21CA8619" w14:textId="77777777" w:rsidTr="00F70E13">
        <w:tc>
          <w:tcPr>
            <w:tcW w:w="2576" w:type="dxa"/>
            <w:tcBorders>
              <w:bottom w:val="nil"/>
            </w:tcBorders>
          </w:tcPr>
          <w:p w14:paraId="2A05F896" w14:textId="77777777" w:rsidR="00BC723D" w:rsidRPr="00AA4B04" w:rsidRDefault="00BC723D" w:rsidP="00F70E13">
            <w:r w:rsidRPr="00AA4B04">
              <w:t>Signature</w:t>
            </w:r>
          </w:p>
        </w:tc>
        <w:tc>
          <w:tcPr>
            <w:tcW w:w="5940" w:type="dxa"/>
          </w:tcPr>
          <w:p w14:paraId="421E5C5F" w14:textId="6653EA79" w:rsidR="00BC723D" w:rsidRPr="003F6226" w:rsidRDefault="003F6226" w:rsidP="00F70E13">
            <w:pPr>
              <w:pStyle w:val="TSOLScheduleNormalLeft"/>
              <w:rPr>
                <w:b/>
              </w:rPr>
            </w:pPr>
            <w:r w:rsidRPr="003F6226">
              <w:rPr>
                <w:b/>
              </w:rPr>
              <w:t>REDACTED</w:t>
            </w:r>
          </w:p>
        </w:tc>
      </w:tr>
      <w:tr w:rsidR="00BC723D" w:rsidRPr="00AA4B04" w14:paraId="020DC193" w14:textId="77777777" w:rsidTr="00F70E13">
        <w:tc>
          <w:tcPr>
            <w:tcW w:w="2576" w:type="dxa"/>
            <w:tcBorders>
              <w:top w:val="nil"/>
              <w:bottom w:val="nil"/>
            </w:tcBorders>
          </w:tcPr>
          <w:p w14:paraId="718741E6" w14:textId="77777777" w:rsidR="00BC723D" w:rsidRPr="00AA4B04" w:rsidRDefault="00BC723D" w:rsidP="00F70E13">
            <w:r w:rsidRPr="00AA4B04">
              <w:t>Date</w:t>
            </w:r>
          </w:p>
        </w:tc>
        <w:tc>
          <w:tcPr>
            <w:tcW w:w="5940" w:type="dxa"/>
          </w:tcPr>
          <w:p w14:paraId="6CF80612" w14:textId="40ACCCA0" w:rsidR="00BC723D" w:rsidRPr="00AA4B04" w:rsidRDefault="00DB6466" w:rsidP="00F70E13">
            <w:pPr>
              <w:pStyle w:val="TSOLScheduleNormalLeft"/>
            </w:pPr>
            <w:r>
              <w:t>28/03/19</w:t>
            </w:r>
          </w:p>
        </w:tc>
      </w:tr>
      <w:tr w:rsidR="00BC723D" w:rsidRPr="00AA4B04" w14:paraId="6EE53BDA" w14:textId="77777777" w:rsidTr="00D9681B">
        <w:trPr>
          <w:trHeight w:val="557"/>
        </w:trPr>
        <w:tc>
          <w:tcPr>
            <w:tcW w:w="2576" w:type="dxa"/>
            <w:tcBorders>
              <w:top w:val="nil"/>
              <w:bottom w:val="nil"/>
            </w:tcBorders>
          </w:tcPr>
          <w:p w14:paraId="64C7E091" w14:textId="77777777" w:rsidR="00BC723D" w:rsidRPr="00AA4B04" w:rsidRDefault="00BC723D" w:rsidP="00F70E13">
            <w:pPr>
              <w:jc w:val="left"/>
            </w:pPr>
            <w:r w:rsidRPr="00AA4B04">
              <w:lastRenderedPageBreak/>
              <w:t>Name (in Capitals)</w:t>
            </w:r>
          </w:p>
        </w:tc>
        <w:tc>
          <w:tcPr>
            <w:tcW w:w="5940" w:type="dxa"/>
          </w:tcPr>
          <w:p w14:paraId="62FF1569" w14:textId="5830C9F1" w:rsidR="00BC723D" w:rsidRPr="00AA4B04" w:rsidRDefault="003F6226" w:rsidP="00F70E13">
            <w:pPr>
              <w:pStyle w:val="TSOLScheduleNormalLeft"/>
            </w:pPr>
            <w:r w:rsidRPr="003F6226">
              <w:rPr>
                <w:b/>
              </w:rPr>
              <w:t>REDACTED</w:t>
            </w:r>
          </w:p>
        </w:tc>
      </w:tr>
      <w:tr w:rsidR="00BC723D" w:rsidRPr="00AA4B04" w14:paraId="0BB36BA7" w14:textId="77777777" w:rsidTr="00F70E13">
        <w:tc>
          <w:tcPr>
            <w:tcW w:w="2576" w:type="dxa"/>
            <w:tcBorders>
              <w:top w:val="nil"/>
              <w:bottom w:val="nil"/>
            </w:tcBorders>
          </w:tcPr>
          <w:p w14:paraId="6B360ACF" w14:textId="77777777" w:rsidR="00BC723D" w:rsidRPr="00AA4B04" w:rsidRDefault="00BC723D" w:rsidP="00F70E13">
            <w:r w:rsidRPr="00AA4B04">
              <w:t>Address</w:t>
            </w:r>
          </w:p>
        </w:tc>
        <w:tc>
          <w:tcPr>
            <w:tcW w:w="5940" w:type="dxa"/>
          </w:tcPr>
          <w:p w14:paraId="1349A7B4" w14:textId="7A08DC95" w:rsidR="00BC723D" w:rsidRPr="00AA4B04" w:rsidRDefault="003F6226" w:rsidP="00F70E13">
            <w:pPr>
              <w:pStyle w:val="TSOLScheduleNormalLeft"/>
            </w:pPr>
            <w:r w:rsidRPr="003F6226">
              <w:rPr>
                <w:b/>
              </w:rPr>
              <w:t>REDACTED</w:t>
            </w:r>
          </w:p>
        </w:tc>
      </w:tr>
    </w:tbl>
    <w:p w14:paraId="7D358F2D" w14:textId="77777777" w:rsidR="00BC723D" w:rsidRPr="00AA4B04" w:rsidRDefault="00BC723D" w:rsidP="00BC723D"/>
    <w:p w14:paraId="0AC2A351" w14:textId="77777777" w:rsidR="00BC723D" w:rsidRPr="00AA4B04" w:rsidRDefault="00BC723D" w:rsidP="00BC723D">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BC723D" w:rsidRPr="00AA4B04" w14:paraId="158ABEB9" w14:textId="77777777" w:rsidTr="00F70E13">
        <w:tc>
          <w:tcPr>
            <w:tcW w:w="2576" w:type="dxa"/>
            <w:tcBorders>
              <w:bottom w:val="nil"/>
            </w:tcBorders>
          </w:tcPr>
          <w:p w14:paraId="6800188A" w14:textId="77777777" w:rsidR="00BC723D" w:rsidRPr="00AA4B04" w:rsidRDefault="00BC723D" w:rsidP="00F70E13">
            <w:r w:rsidRPr="00AA4B04">
              <w:t>Signature</w:t>
            </w:r>
          </w:p>
        </w:tc>
        <w:tc>
          <w:tcPr>
            <w:tcW w:w="5980" w:type="dxa"/>
          </w:tcPr>
          <w:p w14:paraId="66BA5639" w14:textId="35910593" w:rsidR="00BC723D" w:rsidRPr="009E058F" w:rsidRDefault="003F6226" w:rsidP="00F70E13">
            <w:pPr>
              <w:pStyle w:val="TSOLScheduleNormalLeft"/>
              <w:rPr>
                <w:i/>
              </w:rPr>
            </w:pPr>
            <w:r w:rsidRPr="003F6226">
              <w:rPr>
                <w:b/>
              </w:rPr>
              <w:t>REDACTED</w:t>
            </w:r>
          </w:p>
        </w:tc>
      </w:tr>
      <w:tr w:rsidR="00BC723D" w:rsidRPr="00AA4B04" w14:paraId="72599492" w14:textId="77777777" w:rsidTr="00F70E13">
        <w:tc>
          <w:tcPr>
            <w:tcW w:w="2576" w:type="dxa"/>
            <w:tcBorders>
              <w:top w:val="nil"/>
              <w:bottom w:val="nil"/>
            </w:tcBorders>
          </w:tcPr>
          <w:p w14:paraId="06C375E9" w14:textId="77777777" w:rsidR="00BC723D" w:rsidRPr="00AA4B04" w:rsidRDefault="00BC723D" w:rsidP="00F70E13">
            <w:r w:rsidRPr="00AA4B04">
              <w:t>Date</w:t>
            </w:r>
          </w:p>
        </w:tc>
        <w:tc>
          <w:tcPr>
            <w:tcW w:w="5980" w:type="dxa"/>
          </w:tcPr>
          <w:p w14:paraId="138F0FB0" w14:textId="6031CEEB" w:rsidR="00BC723D" w:rsidRPr="00AA4B04" w:rsidRDefault="009E058F" w:rsidP="00F70E13">
            <w:pPr>
              <w:pStyle w:val="TSOLScheduleNormalLeft"/>
            </w:pPr>
            <w:r>
              <w:t>29/3/19</w:t>
            </w:r>
          </w:p>
        </w:tc>
      </w:tr>
      <w:tr w:rsidR="00BC723D" w:rsidRPr="00AA4B04" w14:paraId="33A7C1F1" w14:textId="77777777" w:rsidTr="00F70E13">
        <w:tc>
          <w:tcPr>
            <w:tcW w:w="2576" w:type="dxa"/>
            <w:tcBorders>
              <w:top w:val="nil"/>
              <w:bottom w:val="nil"/>
            </w:tcBorders>
          </w:tcPr>
          <w:p w14:paraId="71A5A9BC" w14:textId="77777777" w:rsidR="00BC723D" w:rsidRPr="00AA4B04" w:rsidRDefault="00BC723D" w:rsidP="00F70E13">
            <w:pPr>
              <w:jc w:val="left"/>
            </w:pPr>
            <w:r w:rsidRPr="00AA4B04">
              <w:t>Name (in Capitals)</w:t>
            </w:r>
          </w:p>
        </w:tc>
        <w:tc>
          <w:tcPr>
            <w:tcW w:w="5980" w:type="dxa"/>
          </w:tcPr>
          <w:p w14:paraId="7B6D8582" w14:textId="7CB33D57" w:rsidR="00BC723D" w:rsidRPr="00AA4B04" w:rsidRDefault="003F6226" w:rsidP="00F70E13">
            <w:pPr>
              <w:pStyle w:val="TSOLScheduleNormalLeft"/>
            </w:pPr>
            <w:r w:rsidRPr="003F6226">
              <w:rPr>
                <w:b/>
              </w:rPr>
              <w:t>REDACTED</w:t>
            </w:r>
          </w:p>
        </w:tc>
      </w:tr>
      <w:tr w:rsidR="00BC723D" w:rsidRPr="00AA4B04" w14:paraId="375EB741" w14:textId="77777777" w:rsidTr="00F70E13">
        <w:tc>
          <w:tcPr>
            <w:tcW w:w="2576" w:type="dxa"/>
            <w:tcBorders>
              <w:top w:val="nil"/>
              <w:bottom w:val="nil"/>
            </w:tcBorders>
          </w:tcPr>
          <w:p w14:paraId="45C7FBD0" w14:textId="77777777" w:rsidR="00BC723D" w:rsidRPr="00AA4B04" w:rsidRDefault="00BC723D" w:rsidP="00F70E13">
            <w:r w:rsidRPr="00AA4B04">
              <w:t>Address</w:t>
            </w:r>
          </w:p>
        </w:tc>
        <w:tc>
          <w:tcPr>
            <w:tcW w:w="5980" w:type="dxa"/>
          </w:tcPr>
          <w:p w14:paraId="24143C6C" w14:textId="11FA12AB" w:rsidR="00BC723D" w:rsidRPr="00AA4B04" w:rsidRDefault="003F6226" w:rsidP="00F70E13">
            <w:pPr>
              <w:pStyle w:val="TSOLScheduleNormalLeft"/>
            </w:pPr>
            <w:r w:rsidRPr="003F6226">
              <w:rPr>
                <w:b/>
              </w:rPr>
              <w:t>REDACTED</w:t>
            </w:r>
            <w:bookmarkStart w:id="1" w:name="_GoBack"/>
            <w:bookmarkEnd w:id="1"/>
          </w:p>
        </w:tc>
      </w:tr>
    </w:tbl>
    <w:p w14:paraId="47A8FF0C" w14:textId="77777777" w:rsidR="007E34AD" w:rsidRDefault="003F6226" w:rsidP="00BC723D">
      <w:pPr>
        <w:ind w:left="0"/>
      </w:pPr>
    </w:p>
    <w:sectPr w:rsidR="007E3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792"/>
    <w:multiLevelType w:val="multilevel"/>
    <w:tmpl w:val="7AE89A2A"/>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706"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12BD7"/>
    <w:multiLevelType w:val="hybridMultilevel"/>
    <w:tmpl w:val="52FE3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start w:val="1"/>
      <w:numFmt w:val="lowerRoman"/>
      <w:lvlText w:val="%3."/>
      <w:lvlJc w:val="right"/>
      <w:pPr>
        <w:ind w:left="2302" w:hanging="180"/>
      </w:pPr>
    </w:lvl>
    <w:lvl w:ilvl="3" w:tplc="88FE1EE4">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3D"/>
    <w:rsid w:val="001A6006"/>
    <w:rsid w:val="00285BC9"/>
    <w:rsid w:val="003F6226"/>
    <w:rsid w:val="0048725D"/>
    <w:rsid w:val="007717BF"/>
    <w:rsid w:val="007C161F"/>
    <w:rsid w:val="007E73FF"/>
    <w:rsid w:val="00801879"/>
    <w:rsid w:val="008A0F71"/>
    <w:rsid w:val="00930689"/>
    <w:rsid w:val="009944A4"/>
    <w:rsid w:val="009E058F"/>
    <w:rsid w:val="00A4656D"/>
    <w:rsid w:val="00BA0FC3"/>
    <w:rsid w:val="00BC723D"/>
    <w:rsid w:val="00BD62DE"/>
    <w:rsid w:val="00D9681B"/>
    <w:rsid w:val="00DB6466"/>
    <w:rsid w:val="00E2439D"/>
    <w:rsid w:val="00E25A09"/>
    <w:rsid w:val="00E30A8A"/>
    <w:rsid w:val="00E56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135A"/>
  <w15:chartTrackingRefBased/>
  <w15:docId w15:val="{AEACE5EA-8B6E-4D24-91DA-2DE17EDD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BC723D"/>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BC723D"/>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BC723D"/>
    <w:rPr>
      <w:rFonts w:ascii="Arial" w:eastAsia="STZhongsong" w:hAnsi="Arial" w:cs="Times New Roman"/>
      <w:sz w:val="18"/>
      <w:szCs w:val="18"/>
      <w:lang w:eastAsia="zh-CN"/>
    </w:rPr>
  </w:style>
  <w:style w:type="paragraph" w:customStyle="1" w:styleId="TSOLScheduleNormalLeft">
    <w:name w:val="TSOL Schedule Normal Left"/>
    <w:basedOn w:val="Normal"/>
    <w:qFormat/>
    <w:rsid w:val="00BC723D"/>
    <w:pPr>
      <w:ind w:left="142"/>
    </w:pPr>
  </w:style>
  <w:style w:type="paragraph" w:customStyle="1" w:styleId="GPSmacrorestart">
    <w:name w:val="GPS macro restart"/>
    <w:basedOn w:val="Normal"/>
    <w:qFormat/>
    <w:rsid w:val="00BC723D"/>
    <w:pPr>
      <w:spacing w:after="0"/>
      <w:ind w:left="0"/>
    </w:pPr>
    <w:rPr>
      <w:color w:val="FFFFFF"/>
      <w:sz w:val="16"/>
      <w:szCs w:val="16"/>
    </w:rPr>
  </w:style>
  <w:style w:type="paragraph" w:customStyle="1" w:styleId="GPSL1Guidance">
    <w:name w:val="GPS L1 Guidance"/>
    <w:basedOn w:val="Normal"/>
    <w:link w:val="GPSL1GuidanceChar"/>
    <w:qFormat/>
    <w:rsid w:val="00BC723D"/>
    <w:pPr>
      <w:spacing w:before="240" w:after="120"/>
      <w:ind w:left="567"/>
    </w:pPr>
    <w:rPr>
      <w:b/>
      <w:i/>
    </w:rPr>
  </w:style>
  <w:style w:type="character" w:customStyle="1" w:styleId="GPSL1GuidanceChar">
    <w:name w:val="GPS L1 Guidance Char"/>
    <w:link w:val="GPSL1Guidance"/>
    <w:rsid w:val="00BC723D"/>
    <w:rPr>
      <w:rFonts w:ascii="Arial" w:eastAsia="Times New Roman" w:hAnsi="Arial" w:cs="Arial"/>
      <w:b/>
      <w:i/>
    </w:rPr>
  </w:style>
  <w:style w:type="paragraph" w:customStyle="1" w:styleId="GPSSchTitleandNumber">
    <w:name w:val="GPS Sch Title and Number"/>
    <w:basedOn w:val="Normal"/>
    <w:link w:val="GPSSchTitleandNumberChar"/>
    <w:qFormat/>
    <w:rsid w:val="00BC723D"/>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BC723D"/>
    <w:rPr>
      <w:rFonts w:ascii="Arial Bold" w:eastAsia="STZhongsong" w:hAnsi="Arial Bold" w:cs="Times New Roman"/>
      <w:b/>
      <w:caps/>
      <w:lang w:eastAsia="zh-CN"/>
    </w:rPr>
  </w:style>
  <w:style w:type="paragraph" w:styleId="ListParagraph">
    <w:name w:val="List Paragraph"/>
    <w:basedOn w:val="Normal"/>
    <w:link w:val="ListParagraphChar"/>
    <w:uiPriority w:val="34"/>
    <w:qFormat/>
    <w:rsid w:val="001A6006"/>
    <w:pPr>
      <w:ind w:left="720"/>
      <w:contextualSpacing/>
    </w:pPr>
  </w:style>
  <w:style w:type="character" w:customStyle="1" w:styleId="ListParagraphChar">
    <w:name w:val="List Paragraph Char"/>
    <w:link w:val="ListParagraph"/>
    <w:uiPriority w:val="34"/>
    <w:locked/>
    <w:rsid w:val="00E30A8A"/>
    <w:rPr>
      <w:rFonts w:ascii="Arial" w:eastAsia="Times New Roman" w:hAnsi="Arial" w:cs="Arial"/>
    </w:rPr>
  </w:style>
  <w:style w:type="table" w:styleId="TableGrid">
    <w:name w:val="Table Grid"/>
    <w:basedOn w:val="TableNormal"/>
    <w:rsid w:val="00285B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Gajic</dc:creator>
  <cp:keywords/>
  <dc:description/>
  <cp:lastModifiedBy>Phoebe Gajic</cp:lastModifiedBy>
  <cp:revision>2</cp:revision>
  <dcterms:created xsi:type="dcterms:W3CDTF">2019-04-05T10:58:00Z</dcterms:created>
  <dcterms:modified xsi:type="dcterms:W3CDTF">2019-04-05T10:58:00Z</dcterms:modified>
</cp:coreProperties>
</file>