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country-region">
        <w:smartTag w:uri="urn:schemas-microsoft-com:office:smarttags" w:element="place">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1089701D"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sidR="00C74E1E" w:rsidRPr="00C74E1E">
        <w:rPr>
          <w:rFonts w:ascii="Arial" w:hAnsi="Arial" w:cs="Arial"/>
          <w:b/>
          <w:bCs/>
          <w:sz w:val="20"/>
        </w:rPr>
        <w:t>Benchmarking of Network Rail support functions</w:t>
      </w:r>
      <w:r w:rsidR="006B6BB7" w:rsidRPr="006B6BB7">
        <w:rPr>
          <w:rFonts w:ascii="Arial" w:hAnsi="Arial" w:cs="Arial"/>
          <w:b/>
          <w:bCs/>
          <w:sz w:val="20"/>
          <w:highlight w:val="yellow"/>
        </w:rPr>
        <w:t xml:space="preserve"> </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60DEC530"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6B6BB7" w:rsidRPr="006B6BB7">
        <w:rPr>
          <w:rFonts w:ascii="Arial" w:hAnsi="Arial" w:cs="Arial"/>
          <w:b/>
          <w:bCs/>
          <w:sz w:val="20"/>
        </w:rPr>
        <w:t>ORR/CT/21-6</w:t>
      </w:r>
      <w:r w:rsidR="00C74E1E">
        <w:rPr>
          <w:rFonts w:ascii="Arial" w:hAnsi="Arial" w:cs="Arial"/>
          <w:b/>
          <w:bCs/>
          <w:sz w:val="20"/>
        </w:rPr>
        <w:t>5</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77777777"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Pr>
                <w:rFonts w:ascii="Arial" w:hAnsi="Arial" w:cs="Arial"/>
                <w:sz w:val="20"/>
              </w:rPr>
              <w:t>[</w:t>
            </w:r>
            <w:r w:rsidRPr="00AC088A">
              <w:rPr>
                <w:rFonts w:ascii="Arial" w:hAnsi="Arial" w:cs="Arial"/>
                <w:sz w:val="20"/>
              </w:rPr>
              <w:t>6 months</w:t>
            </w:r>
            <w:r w:rsidR="00065778">
              <w:rPr>
                <w:rFonts w:ascii="Arial" w:hAnsi="Arial" w:cs="Arial"/>
                <w:sz w:val="20"/>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lastRenderedPageBreak/>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C74E1E"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6B6BB7" w:rsidRDefault="001A2092" w:rsidP="006568B3">
            <w:pPr>
              <w:tabs>
                <w:tab w:val="left" w:pos="0"/>
              </w:tabs>
              <w:suppressAutoHyphens/>
              <w:jc w:val="both"/>
              <w:rPr>
                <w:rFonts w:ascii="Arial" w:hAnsi="Arial" w:cs="Arial"/>
                <w:szCs w:val="22"/>
                <w:highlight w:val="yellow"/>
                <w:lang w:val="it-IT"/>
              </w:rPr>
            </w:pPr>
            <w:r w:rsidRPr="006B6BB7">
              <w:rPr>
                <w:rFonts w:ascii="Arial" w:hAnsi="Arial" w:cs="Arial"/>
                <w:szCs w:val="22"/>
                <w:highlight w:val="yellow"/>
                <w:lang w:val="it-IT"/>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5C44D5CA"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927C05">
        <w:rPr>
          <w:rFonts w:ascii="Arial" w:hAnsi="Arial" w:cs="Arial"/>
          <w:szCs w:val="22"/>
          <w:shd w:val="clear" w:color="auto" w:fill="FFFFFF" w:themeFill="background1"/>
        </w:rPr>
        <w:t xml:space="preserve">The </w:t>
      </w:r>
      <w:r w:rsidR="00292DF5" w:rsidRPr="00927C05">
        <w:rPr>
          <w:rFonts w:ascii="Arial" w:hAnsi="Arial" w:cs="Arial"/>
          <w:szCs w:val="22"/>
          <w:shd w:val="clear" w:color="auto" w:fill="FFFFFF" w:themeFill="background1"/>
        </w:rPr>
        <w:t>Supplier</w:t>
      </w:r>
      <w:r w:rsidRPr="00927C05">
        <w:rPr>
          <w:rFonts w:ascii="Arial" w:hAnsi="Arial" w:cs="Arial"/>
          <w:szCs w:val="22"/>
          <w:shd w:val="clear" w:color="auto" w:fill="FFFFFF" w:themeFill="background1"/>
        </w:rPr>
        <w:t xml:space="preserve"> shall use reasonable </w:t>
      </w:r>
      <w:r w:rsidRPr="00927C05">
        <w:rPr>
          <w:rFonts w:ascii="Arial" w:hAnsi="Arial" w:cs="Arial"/>
          <w:shd w:val="clear" w:color="auto" w:fill="FFFFFF" w:themeFill="background1"/>
        </w:rPr>
        <w:t>endeavours</w:t>
      </w:r>
      <w:r w:rsidRPr="00927C05">
        <w:rPr>
          <w:rFonts w:ascii="Arial" w:hAnsi="Arial" w:cs="Arial"/>
          <w:szCs w:val="22"/>
          <w:shd w:val="clear" w:color="auto" w:fill="FFFFFF" w:themeFill="background1"/>
        </w:rPr>
        <w:t xml:space="preserve"> to ensure the accuracy and completeness of information provided to it by third parties in relation to the subject matter of the Contract.  In addition,</w:t>
      </w:r>
      <w:r w:rsidRPr="00927C05">
        <w:rPr>
          <w:rFonts w:ascii="Arial" w:hAnsi="Arial" w:cs="Arial"/>
          <w:color w:val="FF0000"/>
          <w:szCs w:val="22"/>
          <w:shd w:val="clear" w:color="auto" w:fill="FFFFFF" w:themeFill="background1"/>
        </w:rPr>
        <w:t xml:space="preserve"> </w:t>
      </w:r>
      <w:r w:rsidRPr="00927C05">
        <w:rPr>
          <w:rFonts w:ascii="Arial" w:hAnsi="Arial" w:cs="Arial"/>
          <w:szCs w:val="22"/>
          <w:shd w:val="clear" w:color="auto" w:fill="FFFFFF" w:themeFill="background1"/>
        </w:rPr>
        <w:t xml:space="preserve">the </w:t>
      </w:r>
      <w:r w:rsidR="00292DF5" w:rsidRPr="00927C05">
        <w:rPr>
          <w:rFonts w:ascii="Arial" w:hAnsi="Arial" w:cs="Arial"/>
          <w:szCs w:val="22"/>
          <w:shd w:val="clear" w:color="auto" w:fill="FFFFFF" w:themeFill="background1"/>
        </w:rPr>
        <w:t>Supplier</w:t>
      </w:r>
      <w:r w:rsidRPr="00927C05">
        <w:rPr>
          <w:rFonts w:ascii="Arial" w:hAnsi="Arial" w:cs="Arial"/>
          <w:szCs w:val="22"/>
          <w:shd w:val="clear" w:color="auto" w:fill="FFFFFF" w:themeFill="background1"/>
        </w:rPr>
        <w:t xml:space="preserve"> shall be responsible for the accuracy and completeness of all drawings, </w:t>
      </w:r>
      <w:r>
        <w:rPr>
          <w:rFonts w:ascii="Arial" w:hAnsi="Arial" w:cs="Arial"/>
          <w:szCs w:val="22"/>
        </w:rPr>
        <w:t xml:space="preserve">documentation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xml:space="preserve">.  In such </w:t>
      </w:r>
      <w:r>
        <w:rPr>
          <w:rFonts w:ascii="Arial" w:hAnsi="Arial" w:cs="Arial"/>
          <w:szCs w:val="22"/>
        </w:rPr>
        <w:lastRenderedPageBreak/>
        <w:t>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5B3A7A02"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00927C05" w:rsidRPr="00927C05">
        <w:rPr>
          <w:rFonts w:ascii="Arial" w:hAnsi="Arial" w:cs="Arial"/>
          <w:szCs w:val="22"/>
        </w:rPr>
        <w:t>125</w:t>
      </w:r>
      <w:r w:rsidRPr="00927C05">
        <w:rPr>
          <w:rFonts w:ascii="Arial" w:hAnsi="Arial" w:cs="Arial"/>
          <w:szCs w:val="22"/>
        </w:rPr>
        <w:t>%</w:t>
      </w:r>
      <w:r>
        <w:rPr>
          <w:rFonts w:ascii="Arial" w:hAnsi="Arial" w:cs="Arial"/>
          <w:szCs w:val="22"/>
        </w:rPr>
        <w:t xml:space="preserve">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15758071"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exceed the greater of </w:t>
      </w:r>
      <w:r w:rsidR="00927C05">
        <w:rPr>
          <w:rFonts w:ascii="Arial" w:hAnsi="Arial" w:cs="Arial"/>
          <w:szCs w:val="22"/>
        </w:rPr>
        <w:t>one hundred and twenty-five</w:t>
      </w:r>
      <w:r w:rsidRPr="00927C05">
        <w:rPr>
          <w:rFonts w:ascii="Arial" w:hAnsi="Arial" w:cs="Arial"/>
          <w:szCs w:val="22"/>
          <w:shd w:val="clear" w:color="auto" w:fill="FFFFFF" w:themeFill="background1"/>
        </w:rPr>
        <w:t xml:space="preserve"> per cent (</w:t>
      </w:r>
      <w:r w:rsidR="00927C05" w:rsidRPr="00927C05">
        <w:rPr>
          <w:rFonts w:ascii="Arial" w:hAnsi="Arial" w:cs="Arial"/>
          <w:szCs w:val="22"/>
          <w:shd w:val="clear" w:color="auto" w:fill="FFFFFF" w:themeFill="background1"/>
        </w:rPr>
        <w:t>125</w:t>
      </w:r>
      <w:r w:rsidRPr="00927C05">
        <w:rPr>
          <w:rFonts w:ascii="Arial" w:hAnsi="Arial" w:cs="Arial"/>
          <w:szCs w:val="22"/>
          <w:shd w:val="clear" w:color="auto" w:fill="FFFFFF" w:themeFill="background1"/>
        </w:rPr>
        <w:t xml:space="preserve">%) </w:t>
      </w:r>
      <w:r>
        <w:rPr>
          <w:rFonts w:ascii="Arial" w:hAnsi="Arial" w:cs="Arial"/>
          <w:szCs w:val="22"/>
        </w:rPr>
        <w:t>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H2.3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022930BC" w14:textId="77777777" w:rsidR="008514B3" w:rsidRDefault="008514B3">
      <w:pPr>
        <w:jc w:val="both"/>
        <w:rPr>
          <w:rFonts w:ascii="Arial" w:hAnsi="Arial" w:cs="Arial"/>
          <w:highlight w:val="yellow"/>
        </w:rPr>
      </w:pPr>
    </w:p>
    <w:p w14:paraId="766D0F16" w14:textId="77777777" w:rsidR="00963AFD" w:rsidRPr="00963AFD" w:rsidRDefault="00963AFD" w:rsidP="00963AFD">
      <w:pPr>
        <w:tabs>
          <w:tab w:val="left" w:pos="1427"/>
        </w:tabs>
        <w:spacing w:after="240"/>
        <w:rPr>
          <w:rFonts w:ascii="Arial" w:hAnsi="Arial"/>
          <w:noProof w:val="0"/>
          <w:sz w:val="24"/>
          <w:lang w:eastAsia="en-US"/>
        </w:rPr>
      </w:pPr>
      <w:r w:rsidRPr="00963AFD">
        <w:rPr>
          <w:rFonts w:ascii="Arial" w:hAnsi="Arial"/>
          <w:noProof w:val="0"/>
          <w:sz w:val="24"/>
          <w:lang w:eastAsia="en-US"/>
        </w:rPr>
        <w:t xml:space="preserve">The ORR seeks to commission a consultancy project to benchmark Network Rail’s expenditure on support functions. This evidence base will inform our PR23 initial advice to funders, as well as the broader PR23 cost and efficiency assessment. </w:t>
      </w:r>
    </w:p>
    <w:p w14:paraId="50E8B228" w14:textId="77777777" w:rsidR="00963AFD" w:rsidRPr="00963AFD" w:rsidRDefault="00963AFD" w:rsidP="00963AFD">
      <w:pPr>
        <w:tabs>
          <w:tab w:val="left" w:pos="1427"/>
        </w:tabs>
        <w:spacing w:after="240"/>
        <w:rPr>
          <w:rFonts w:ascii="Arial" w:hAnsi="Arial"/>
          <w:noProof w:val="0"/>
          <w:sz w:val="24"/>
          <w:lang w:eastAsia="en-US"/>
        </w:rPr>
      </w:pPr>
      <w:r w:rsidRPr="00963AFD">
        <w:rPr>
          <w:rFonts w:ascii="Arial" w:hAnsi="Arial"/>
          <w:noProof w:val="0"/>
          <w:sz w:val="24"/>
          <w:lang w:eastAsia="en-US"/>
        </w:rPr>
        <w:t>We anticipate that consultants will compare Network Rail against: domestic companies of comparable scale and/or scope (for example, utility companies or train operating companies); and rail infrastructure managers abroad.</w:t>
      </w:r>
    </w:p>
    <w:p w14:paraId="0A07896B" w14:textId="77777777" w:rsidR="00963AFD" w:rsidRPr="00963AFD" w:rsidRDefault="00963AFD" w:rsidP="00963AFD">
      <w:pPr>
        <w:tabs>
          <w:tab w:val="left" w:pos="1427"/>
        </w:tabs>
        <w:spacing w:after="240"/>
        <w:rPr>
          <w:rFonts w:ascii="Arial" w:hAnsi="Arial"/>
          <w:noProof w:val="0"/>
          <w:sz w:val="24"/>
          <w:lang w:eastAsia="en-US"/>
        </w:rPr>
      </w:pPr>
      <w:r w:rsidRPr="00963AFD">
        <w:rPr>
          <w:rFonts w:ascii="Arial" w:hAnsi="Arial"/>
          <w:noProof w:val="0"/>
          <w:sz w:val="24"/>
          <w:lang w:eastAsia="en-US"/>
        </w:rPr>
        <w:t>The work should also take account of existing evidence, including work previously commissioned by Network Rail and ORR, any on-going work by Network Rail and any benchmarking work in other industries from which lessons could be drawn.</w:t>
      </w:r>
    </w:p>
    <w:p w14:paraId="5E2F7C07" w14:textId="77777777" w:rsidR="00963AFD" w:rsidRPr="00963AFD" w:rsidRDefault="00963AFD" w:rsidP="00963AFD">
      <w:pPr>
        <w:tabs>
          <w:tab w:val="left" w:pos="1427"/>
        </w:tabs>
        <w:spacing w:after="240"/>
        <w:rPr>
          <w:rFonts w:ascii="Arial" w:hAnsi="Arial"/>
          <w:noProof w:val="0"/>
          <w:sz w:val="24"/>
          <w:lang w:eastAsia="en-US"/>
        </w:rPr>
      </w:pPr>
      <w:r w:rsidRPr="00963AFD">
        <w:rPr>
          <w:rFonts w:ascii="Arial" w:hAnsi="Arial"/>
          <w:noProof w:val="0"/>
          <w:sz w:val="24"/>
          <w:lang w:eastAsia="en-US"/>
        </w:rPr>
        <w:t>The project should aim to cover all of Network Rail’s support functions, including:</w:t>
      </w:r>
    </w:p>
    <w:p w14:paraId="5EB5EE2F" w14:textId="77777777" w:rsidR="00963AFD" w:rsidRPr="00963AFD" w:rsidRDefault="00963AFD" w:rsidP="00963AFD">
      <w:pPr>
        <w:numPr>
          <w:ilvl w:val="0"/>
          <w:numId w:val="21"/>
        </w:numPr>
        <w:tabs>
          <w:tab w:val="left" w:pos="1427"/>
        </w:tabs>
        <w:spacing w:after="160" w:line="259" w:lineRule="auto"/>
        <w:contextualSpacing/>
        <w:rPr>
          <w:rFonts w:ascii="Arial" w:hAnsi="Arial"/>
          <w:noProof w:val="0"/>
          <w:sz w:val="24"/>
          <w:lang w:eastAsia="en-US"/>
        </w:rPr>
      </w:pPr>
      <w:r w:rsidRPr="00963AFD">
        <w:rPr>
          <w:rFonts w:ascii="Arial" w:hAnsi="Arial"/>
          <w:noProof w:val="0"/>
          <w:sz w:val="24"/>
          <w:lang w:eastAsia="en-US"/>
        </w:rPr>
        <w:t xml:space="preserve">workplace management (comprising facility management, accommodation and utilities); </w:t>
      </w:r>
    </w:p>
    <w:p w14:paraId="047F7285" w14:textId="77777777" w:rsidR="00963AFD" w:rsidRPr="00963AFD" w:rsidRDefault="00963AFD" w:rsidP="00963AFD">
      <w:pPr>
        <w:numPr>
          <w:ilvl w:val="0"/>
          <w:numId w:val="21"/>
        </w:numPr>
        <w:tabs>
          <w:tab w:val="left" w:pos="1427"/>
        </w:tabs>
        <w:spacing w:after="160" w:line="259" w:lineRule="auto"/>
        <w:contextualSpacing/>
        <w:rPr>
          <w:rFonts w:ascii="Arial" w:hAnsi="Arial"/>
          <w:noProof w:val="0"/>
          <w:sz w:val="24"/>
          <w:lang w:eastAsia="en-US"/>
        </w:rPr>
      </w:pPr>
      <w:r w:rsidRPr="00963AFD">
        <w:rPr>
          <w:rFonts w:ascii="Arial" w:hAnsi="Arial"/>
          <w:noProof w:val="0"/>
          <w:sz w:val="24"/>
          <w:lang w:eastAsia="en-US"/>
        </w:rPr>
        <w:t xml:space="preserve">asset management (comprising design, standards &amp; policies, modelling &amp; decision support tools, innovation &amp; R&amp;D); </w:t>
      </w:r>
    </w:p>
    <w:p w14:paraId="28590BF2" w14:textId="77777777" w:rsidR="00963AFD" w:rsidRPr="00963AFD" w:rsidRDefault="00963AFD" w:rsidP="00963AFD">
      <w:pPr>
        <w:numPr>
          <w:ilvl w:val="0"/>
          <w:numId w:val="21"/>
        </w:numPr>
        <w:tabs>
          <w:tab w:val="left" w:pos="1427"/>
        </w:tabs>
        <w:spacing w:after="160" w:line="259" w:lineRule="auto"/>
        <w:contextualSpacing/>
        <w:rPr>
          <w:rFonts w:ascii="Arial" w:hAnsi="Arial"/>
          <w:noProof w:val="0"/>
          <w:sz w:val="24"/>
          <w:lang w:eastAsia="en-US"/>
        </w:rPr>
      </w:pPr>
      <w:r w:rsidRPr="00963AFD">
        <w:rPr>
          <w:rFonts w:ascii="Arial" w:hAnsi="Arial"/>
          <w:noProof w:val="0"/>
          <w:sz w:val="24"/>
          <w:lang w:eastAsia="en-US"/>
        </w:rPr>
        <w:t xml:space="preserve">information technology / management; </w:t>
      </w:r>
    </w:p>
    <w:p w14:paraId="7B2BFC28" w14:textId="77777777" w:rsidR="00963AFD" w:rsidRPr="00963AFD" w:rsidRDefault="00963AFD" w:rsidP="00963AFD">
      <w:pPr>
        <w:numPr>
          <w:ilvl w:val="0"/>
          <w:numId w:val="21"/>
        </w:numPr>
        <w:tabs>
          <w:tab w:val="left" w:pos="1427"/>
        </w:tabs>
        <w:spacing w:after="160" w:line="259" w:lineRule="auto"/>
        <w:contextualSpacing/>
        <w:rPr>
          <w:rFonts w:ascii="Arial" w:hAnsi="Arial"/>
          <w:noProof w:val="0"/>
          <w:sz w:val="24"/>
          <w:lang w:eastAsia="en-US"/>
        </w:rPr>
      </w:pPr>
      <w:r w:rsidRPr="00963AFD">
        <w:rPr>
          <w:rFonts w:ascii="Arial" w:hAnsi="Arial"/>
          <w:noProof w:val="0"/>
          <w:sz w:val="24"/>
          <w:lang w:eastAsia="en-US"/>
        </w:rPr>
        <w:t xml:space="preserve">human resources (including organisational development); </w:t>
      </w:r>
    </w:p>
    <w:p w14:paraId="6175820A" w14:textId="77777777" w:rsidR="00963AFD" w:rsidRPr="00963AFD" w:rsidRDefault="00963AFD" w:rsidP="00963AFD">
      <w:pPr>
        <w:numPr>
          <w:ilvl w:val="0"/>
          <w:numId w:val="21"/>
        </w:numPr>
        <w:tabs>
          <w:tab w:val="left" w:pos="1427"/>
        </w:tabs>
        <w:spacing w:after="160" w:line="259" w:lineRule="auto"/>
        <w:contextualSpacing/>
        <w:rPr>
          <w:rFonts w:ascii="Arial" w:hAnsi="Arial"/>
          <w:noProof w:val="0"/>
          <w:sz w:val="24"/>
          <w:lang w:eastAsia="en-US"/>
        </w:rPr>
      </w:pPr>
      <w:r w:rsidRPr="00963AFD">
        <w:rPr>
          <w:rFonts w:ascii="Arial" w:hAnsi="Arial"/>
          <w:noProof w:val="0"/>
          <w:sz w:val="24"/>
          <w:lang w:eastAsia="en-US"/>
        </w:rPr>
        <w:t xml:space="preserve">procurement; </w:t>
      </w:r>
    </w:p>
    <w:p w14:paraId="740AAF0B" w14:textId="77777777" w:rsidR="00963AFD" w:rsidRPr="00963AFD" w:rsidRDefault="00963AFD" w:rsidP="00963AFD">
      <w:pPr>
        <w:numPr>
          <w:ilvl w:val="0"/>
          <w:numId w:val="21"/>
        </w:numPr>
        <w:tabs>
          <w:tab w:val="left" w:pos="1427"/>
        </w:tabs>
        <w:spacing w:after="160" w:line="259" w:lineRule="auto"/>
        <w:contextualSpacing/>
        <w:rPr>
          <w:rFonts w:ascii="Arial" w:hAnsi="Arial"/>
          <w:noProof w:val="0"/>
          <w:sz w:val="24"/>
          <w:lang w:eastAsia="en-US"/>
        </w:rPr>
      </w:pPr>
      <w:r w:rsidRPr="00963AFD">
        <w:rPr>
          <w:rFonts w:ascii="Arial" w:hAnsi="Arial"/>
          <w:noProof w:val="0"/>
          <w:sz w:val="24"/>
          <w:lang w:eastAsia="en-US"/>
        </w:rPr>
        <w:t xml:space="preserve">finance; </w:t>
      </w:r>
    </w:p>
    <w:p w14:paraId="58EA2B09" w14:textId="77777777" w:rsidR="00963AFD" w:rsidRPr="00963AFD" w:rsidRDefault="00963AFD" w:rsidP="00963AFD">
      <w:pPr>
        <w:numPr>
          <w:ilvl w:val="0"/>
          <w:numId w:val="21"/>
        </w:numPr>
        <w:tabs>
          <w:tab w:val="left" w:pos="1427"/>
        </w:tabs>
        <w:spacing w:after="160" w:line="259" w:lineRule="auto"/>
        <w:contextualSpacing/>
        <w:rPr>
          <w:rFonts w:ascii="Arial" w:hAnsi="Arial"/>
          <w:noProof w:val="0"/>
          <w:sz w:val="24"/>
          <w:lang w:eastAsia="en-US"/>
        </w:rPr>
      </w:pPr>
      <w:r w:rsidRPr="00963AFD">
        <w:rPr>
          <w:rFonts w:ascii="Arial" w:hAnsi="Arial"/>
          <w:noProof w:val="0"/>
          <w:sz w:val="24"/>
          <w:lang w:eastAsia="en-US"/>
        </w:rPr>
        <w:t>legal services;</w:t>
      </w:r>
    </w:p>
    <w:p w14:paraId="2A81E3CB" w14:textId="77777777" w:rsidR="00963AFD" w:rsidRPr="00963AFD" w:rsidRDefault="00963AFD" w:rsidP="00963AFD">
      <w:pPr>
        <w:numPr>
          <w:ilvl w:val="0"/>
          <w:numId w:val="21"/>
        </w:numPr>
        <w:tabs>
          <w:tab w:val="left" w:pos="1427"/>
        </w:tabs>
        <w:spacing w:after="160" w:line="259" w:lineRule="auto"/>
        <w:contextualSpacing/>
        <w:rPr>
          <w:rFonts w:ascii="Arial" w:hAnsi="Arial"/>
          <w:noProof w:val="0"/>
          <w:sz w:val="24"/>
          <w:lang w:eastAsia="en-US"/>
        </w:rPr>
      </w:pPr>
      <w:r w:rsidRPr="00963AFD">
        <w:rPr>
          <w:rFonts w:ascii="Arial" w:hAnsi="Arial"/>
          <w:noProof w:val="0"/>
          <w:sz w:val="24"/>
          <w:lang w:eastAsia="en-US"/>
        </w:rPr>
        <w:t>communications (including public relations);</w:t>
      </w:r>
    </w:p>
    <w:p w14:paraId="540CAF52" w14:textId="77777777" w:rsidR="00963AFD" w:rsidRPr="00963AFD" w:rsidRDefault="00963AFD" w:rsidP="00963AFD">
      <w:pPr>
        <w:numPr>
          <w:ilvl w:val="0"/>
          <w:numId w:val="21"/>
        </w:numPr>
        <w:tabs>
          <w:tab w:val="left" w:pos="1427"/>
        </w:tabs>
        <w:spacing w:after="160" w:line="259" w:lineRule="auto"/>
        <w:contextualSpacing/>
        <w:rPr>
          <w:rFonts w:ascii="Arial" w:hAnsi="Arial"/>
          <w:noProof w:val="0"/>
          <w:sz w:val="24"/>
          <w:lang w:eastAsia="en-US"/>
        </w:rPr>
      </w:pPr>
      <w:r w:rsidRPr="00963AFD">
        <w:rPr>
          <w:rFonts w:ascii="Arial" w:hAnsi="Arial"/>
          <w:noProof w:val="0"/>
          <w:sz w:val="24"/>
          <w:lang w:eastAsia="en-US"/>
        </w:rPr>
        <w:t>regulatory affairs, strategy &amp; planning;</w:t>
      </w:r>
    </w:p>
    <w:p w14:paraId="05AECF0F" w14:textId="77777777" w:rsidR="00963AFD" w:rsidRPr="00963AFD" w:rsidRDefault="00963AFD" w:rsidP="00963AFD">
      <w:pPr>
        <w:numPr>
          <w:ilvl w:val="0"/>
          <w:numId w:val="21"/>
        </w:numPr>
        <w:tabs>
          <w:tab w:val="left" w:pos="1427"/>
        </w:tabs>
        <w:spacing w:after="160" w:line="259" w:lineRule="auto"/>
        <w:contextualSpacing/>
        <w:rPr>
          <w:rFonts w:ascii="Arial" w:hAnsi="Arial"/>
          <w:noProof w:val="0"/>
          <w:sz w:val="24"/>
          <w:lang w:eastAsia="en-US"/>
        </w:rPr>
      </w:pPr>
      <w:r w:rsidRPr="00963AFD">
        <w:rPr>
          <w:rFonts w:ascii="Arial" w:hAnsi="Arial"/>
          <w:noProof w:val="0"/>
          <w:sz w:val="24"/>
          <w:lang w:eastAsia="en-US"/>
        </w:rPr>
        <w:t>land and property development; and</w:t>
      </w:r>
    </w:p>
    <w:p w14:paraId="1E4A2601" w14:textId="77777777" w:rsidR="00963AFD" w:rsidRPr="00963AFD" w:rsidRDefault="00963AFD" w:rsidP="00963AFD">
      <w:pPr>
        <w:numPr>
          <w:ilvl w:val="0"/>
          <w:numId w:val="21"/>
        </w:numPr>
        <w:tabs>
          <w:tab w:val="left" w:pos="1427"/>
        </w:tabs>
        <w:spacing w:after="160" w:line="259" w:lineRule="auto"/>
        <w:contextualSpacing/>
        <w:rPr>
          <w:rFonts w:ascii="Arial" w:hAnsi="Arial"/>
          <w:noProof w:val="0"/>
          <w:sz w:val="24"/>
          <w:lang w:eastAsia="en-US"/>
        </w:rPr>
      </w:pPr>
      <w:r w:rsidRPr="00963AFD">
        <w:rPr>
          <w:rFonts w:ascii="Arial" w:hAnsi="Arial"/>
          <w:noProof w:val="0"/>
          <w:sz w:val="24"/>
          <w:lang w:eastAsia="en-US"/>
        </w:rPr>
        <w:t>safety &amp; security (including British Transport Police).</w:t>
      </w:r>
    </w:p>
    <w:p w14:paraId="1DA0A6A5" w14:textId="77777777" w:rsidR="00963AFD" w:rsidRPr="00963AFD" w:rsidRDefault="00963AFD" w:rsidP="00963AFD">
      <w:pPr>
        <w:tabs>
          <w:tab w:val="left" w:pos="1427"/>
        </w:tabs>
        <w:spacing w:after="240"/>
        <w:rPr>
          <w:rFonts w:ascii="Arial" w:hAnsi="Arial"/>
          <w:noProof w:val="0"/>
          <w:sz w:val="24"/>
          <w:lang w:eastAsia="en-US"/>
        </w:rPr>
      </w:pPr>
      <w:r w:rsidRPr="00963AFD">
        <w:rPr>
          <w:rFonts w:ascii="Arial" w:hAnsi="Arial"/>
          <w:noProof w:val="0"/>
          <w:sz w:val="24"/>
          <w:lang w:eastAsia="en-US"/>
        </w:rPr>
        <w:t>However, we recognise that some of these functions attract a relatively small proportion of overall expenditure or may not have an equivalent function in comparable organisations. We therefore envisage agreeing with consultants a narrower set of key areas that the project will focus on or some costs being grouped together and would welcome views at the proposal stage on what these should be.</w:t>
      </w:r>
    </w:p>
    <w:p w14:paraId="3725B6D9" w14:textId="77777777" w:rsidR="00963AFD" w:rsidRPr="00963AFD" w:rsidRDefault="00963AFD" w:rsidP="00963AFD">
      <w:pPr>
        <w:tabs>
          <w:tab w:val="left" w:pos="1427"/>
        </w:tabs>
        <w:spacing w:after="240"/>
        <w:rPr>
          <w:rFonts w:ascii="Arial" w:hAnsi="Arial"/>
          <w:noProof w:val="0"/>
          <w:sz w:val="24"/>
          <w:lang w:eastAsia="en-US"/>
        </w:rPr>
      </w:pPr>
      <w:r w:rsidRPr="00963AFD">
        <w:rPr>
          <w:rFonts w:ascii="Arial" w:hAnsi="Arial"/>
          <w:noProof w:val="0"/>
          <w:sz w:val="24"/>
          <w:lang w:eastAsia="en-US"/>
        </w:rPr>
        <w:t xml:space="preserve">Conversely, some areas of activity may require a more thorough examination than is possible through a broad-based project using a benchmarking approach. We would therefore expect one output of this work to be an evidence-based recommendation </w:t>
      </w:r>
      <w:r w:rsidRPr="00963AFD">
        <w:rPr>
          <w:rFonts w:ascii="Arial" w:hAnsi="Arial"/>
          <w:i/>
          <w:iCs/>
          <w:noProof w:val="0"/>
          <w:sz w:val="24"/>
          <w:lang w:eastAsia="en-US"/>
        </w:rPr>
        <w:t>for</w:t>
      </w:r>
      <w:r w:rsidRPr="00963AFD">
        <w:rPr>
          <w:rFonts w:ascii="Arial" w:hAnsi="Arial"/>
          <w:noProof w:val="0"/>
          <w:sz w:val="24"/>
          <w:lang w:eastAsia="en-US"/>
        </w:rPr>
        <w:t xml:space="preserve"> areas that would merit a deeper dive using a bottom-up approach.</w:t>
      </w:r>
    </w:p>
    <w:p w14:paraId="3CE4716F" w14:textId="77777777" w:rsidR="00963AFD" w:rsidRPr="00963AFD" w:rsidRDefault="00963AFD" w:rsidP="00963AFD">
      <w:pPr>
        <w:tabs>
          <w:tab w:val="left" w:pos="1427"/>
        </w:tabs>
        <w:spacing w:after="240"/>
        <w:rPr>
          <w:rFonts w:ascii="Arial" w:hAnsi="Arial"/>
          <w:noProof w:val="0"/>
          <w:sz w:val="24"/>
          <w:lang w:eastAsia="en-US"/>
        </w:rPr>
      </w:pPr>
      <w:r w:rsidRPr="00963AFD">
        <w:rPr>
          <w:rFonts w:ascii="Arial" w:hAnsi="Arial"/>
          <w:noProof w:val="0"/>
          <w:sz w:val="24"/>
          <w:lang w:eastAsia="en-US"/>
        </w:rPr>
        <w:t>We anticipate that the following areas of activity would be excluded from the scope of this project unless where they overlap with the support functions highlighted above:</w:t>
      </w:r>
    </w:p>
    <w:p w14:paraId="22E0778F" w14:textId="77777777" w:rsidR="00963AFD" w:rsidRPr="00963AFD" w:rsidRDefault="00963AFD" w:rsidP="00963AFD">
      <w:pPr>
        <w:numPr>
          <w:ilvl w:val="0"/>
          <w:numId w:val="22"/>
        </w:numPr>
        <w:tabs>
          <w:tab w:val="left" w:pos="1427"/>
        </w:tabs>
        <w:spacing w:after="160" w:line="259" w:lineRule="auto"/>
        <w:contextualSpacing/>
        <w:rPr>
          <w:rFonts w:ascii="Arial" w:hAnsi="Arial"/>
          <w:noProof w:val="0"/>
          <w:sz w:val="24"/>
          <w:lang w:eastAsia="en-US"/>
        </w:rPr>
      </w:pPr>
      <w:r w:rsidRPr="00963AFD">
        <w:rPr>
          <w:rFonts w:ascii="Arial" w:hAnsi="Arial"/>
          <w:noProof w:val="0"/>
          <w:sz w:val="24"/>
          <w:lang w:eastAsia="en-US"/>
        </w:rPr>
        <w:t>Large scale, standalone, IT projects, linked to the operation of the rail network;</w:t>
      </w:r>
    </w:p>
    <w:p w14:paraId="18576053" w14:textId="77777777" w:rsidR="00963AFD" w:rsidRPr="00963AFD" w:rsidRDefault="00963AFD" w:rsidP="00963AFD">
      <w:pPr>
        <w:numPr>
          <w:ilvl w:val="0"/>
          <w:numId w:val="22"/>
        </w:numPr>
        <w:tabs>
          <w:tab w:val="left" w:pos="1427"/>
        </w:tabs>
        <w:spacing w:after="160" w:line="259" w:lineRule="auto"/>
        <w:contextualSpacing/>
        <w:rPr>
          <w:rFonts w:ascii="Arial" w:hAnsi="Arial"/>
          <w:noProof w:val="0"/>
          <w:sz w:val="24"/>
          <w:lang w:eastAsia="en-US"/>
        </w:rPr>
      </w:pPr>
      <w:r w:rsidRPr="00963AFD">
        <w:rPr>
          <w:rFonts w:ascii="Arial" w:hAnsi="Arial"/>
          <w:noProof w:val="0"/>
          <w:sz w:val="24"/>
          <w:lang w:eastAsia="en-US"/>
        </w:rPr>
        <w:lastRenderedPageBreak/>
        <w:t>Operation of the rail network more generally, including the System Operator function; and</w:t>
      </w:r>
    </w:p>
    <w:p w14:paraId="6B170C8B" w14:textId="77777777" w:rsidR="00963AFD" w:rsidRPr="00963AFD" w:rsidRDefault="00963AFD" w:rsidP="00963AFD">
      <w:pPr>
        <w:numPr>
          <w:ilvl w:val="0"/>
          <w:numId w:val="22"/>
        </w:numPr>
        <w:tabs>
          <w:tab w:val="left" w:pos="1427"/>
        </w:tabs>
        <w:spacing w:after="160" w:line="259" w:lineRule="auto"/>
        <w:contextualSpacing/>
        <w:rPr>
          <w:rFonts w:ascii="Arial" w:hAnsi="Arial"/>
          <w:noProof w:val="0"/>
          <w:sz w:val="24"/>
          <w:lang w:eastAsia="en-US"/>
        </w:rPr>
      </w:pPr>
      <w:r w:rsidRPr="00963AFD">
        <w:rPr>
          <w:rFonts w:ascii="Arial" w:hAnsi="Arial"/>
          <w:noProof w:val="0"/>
          <w:sz w:val="24"/>
          <w:lang w:eastAsia="en-US"/>
        </w:rPr>
        <w:t>Maintenance and renewals expenditure delivered centrally rather than through devolved business units.</w:t>
      </w:r>
    </w:p>
    <w:p w14:paraId="6E4919C5" w14:textId="77777777" w:rsidR="00963AFD" w:rsidRPr="00963AFD" w:rsidRDefault="00963AFD" w:rsidP="00963AFD">
      <w:pPr>
        <w:spacing w:after="240"/>
        <w:rPr>
          <w:rFonts w:ascii="Arial" w:hAnsi="Arial"/>
          <w:b/>
          <w:bCs/>
          <w:noProof w:val="0"/>
          <w:sz w:val="24"/>
          <w:lang w:eastAsia="en-US"/>
        </w:rPr>
      </w:pPr>
      <w:r w:rsidRPr="00963AFD">
        <w:rPr>
          <w:rFonts w:ascii="Arial" w:hAnsi="Arial"/>
          <w:b/>
          <w:bCs/>
          <w:noProof w:val="0"/>
          <w:sz w:val="24"/>
          <w:lang w:eastAsia="en-US"/>
        </w:rPr>
        <w:t>Methodology</w:t>
      </w:r>
    </w:p>
    <w:p w14:paraId="056E7C5A" w14:textId="77777777" w:rsidR="00963AFD" w:rsidRPr="00963AFD" w:rsidRDefault="00963AFD" w:rsidP="00963AFD">
      <w:pPr>
        <w:spacing w:after="240"/>
        <w:rPr>
          <w:rFonts w:ascii="Arial" w:hAnsi="Arial"/>
          <w:noProof w:val="0"/>
          <w:sz w:val="24"/>
          <w:lang w:eastAsia="en-US"/>
        </w:rPr>
      </w:pPr>
      <w:r w:rsidRPr="00963AFD">
        <w:rPr>
          <w:rFonts w:ascii="Arial" w:hAnsi="Arial"/>
          <w:noProof w:val="0"/>
          <w:sz w:val="24"/>
          <w:lang w:eastAsia="en-US"/>
        </w:rPr>
        <w:t>We strongly welcome views from consultants on the most appropriate approach to this work, including on the most relevant comparator companies, the types of metric we should use and the sub-set of support functions to focus on.</w:t>
      </w:r>
    </w:p>
    <w:p w14:paraId="7AA53DD1" w14:textId="77777777" w:rsidR="00963AFD" w:rsidRPr="00963AFD" w:rsidRDefault="00963AFD" w:rsidP="00963AFD">
      <w:pPr>
        <w:spacing w:after="240"/>
        <w:rPr>
          <w:rFonts w:ascii="Arial" w:hAnsi="Arial"/>
          <w:noProof w:val="0"/>
          <w:sz w:val="24"/>
          <w:lang w:eastAsia="en-US"/>
        </w:rPr>
      </w:pPr>
      <w:r w:rsidRPr="00963AFD">
        <w:rPr>
          <w:rFonts w:ascii="Arial" w:hAnsi="Arial"/>
          <w:noProof w:val="0"/>
          <w:sz w:val="24"/>
          <w:lang w:eastAsia="en-US"/>
        </w:rPr>
        <w:t>We consider that the project should include:</w:t>
      </w:r>
    </w:p>
    <w:p w14:paraId="304172D0" w14:textId="77777777" w:rsidR="00963AFD" w:rsidRPr="00963AFD" w:rsidRDefault="00963AFD" w:rsidP="00963AFD">
      <w:pPr>
        <w:numPr>
          <w:ilvl w:val="0"/>
          <w:numId w:val="23"/>
        </w:numPr>
        <w:spacing w:after="160" w:line="259" w:lineRule="auto"/>
        <w:contextualSpacing/>
        <w:rPr>
          <w:rFonts w:ascii="Arial" w:hAnsi="Arial"/>
          <w:noProof w:val="0"/>
          <w:sz w:val="24"/>
          <w:lang w:eastAsia="en-US"/>
        </w:rPr>
      </w:pPr>
      <w:r w:rsidRPr="00963AFD">
        <w:rPr>
          <w:rFonts w:ascii="Arial" w:hAnsi="Arial"/>
          <w:noProof w:val="0"/>
          <w:sz w:val="24"/>
          <w:lang w:eastAsia="en-US"/>
        </w:rPr>
        <w:t>a review of evidence from previous work</w:t>
      </w:r>
    </w:p>
    <w:p w14:paraId="59DE6104" w14:textId="77777777" w:rsidR="00963AFD" w:rsidRPr="00963AFD" w:rsidRDefault="00963AFD" w:rsidP="00963AFD">
      <w:pPr>
        <w:numPr>
          <w:ilvl w:val="0"/>
          <w:numId w:val="23"/>
        </w:numPr>
        <w:spacing w:after="160" w:line="259" w:lineRule="auto"/>
        <w:contextualSpacing/>
        <w:rPr>
          <w:rFonts w:ascii="Arial" w:hAnsi="Arial"/>
          <w:noProof w:val="0"/>
          <w:sz w:val="24"/>
          <w:lang w:eastAsia="en-US"/>
        </w:rPr>
      </w:pPr>
      <w:r w:rsidRPr="00963AFD">
        <w:rPr>
          <w:rFonts w:ascii="Arial" w:hAnsi="Arial"/>
          <w:noProof w:val="0"/>
          <w:sz w:val="24"/>
          <w:lang w:eastAsia="en-US"/>
        </w:rPr>
        <w:t>comparisons of both staff numbers and overall expenditure, normalised using suitable metrics (such as total FTE staff, total expenditure, network size, total office area);</w:t>
      </w:r>
    </w:p>
    <w:p w14:paraId="433CACEC" w14:textId="77777777" w:rsidR="00963AFD" w:rsidRPr="00963AFD" w:rsidRDefault="00963AFD" w:rsidP="00963AFD">
      <w:pPr>
        <w:numPr>
          <w:ilvl w:val="0"/>
          <w:numId w:val="23"/>
        </w:numPr>
        <w:spacing w:after="160" w:line="259" w:lineRule="auto"/>
        <w:contextualSpacing/>
        <w:rPr>
          <w:rFonts w:ascii="Arial" w:hAnsi="Arial"/>
          <w:noProof w:val="0"/>
          <w:sz w:val="24"/>
          <w:lang w:eastAsia="en-US"/>
        </w:rPr>
      </w:pPr>
      <w:r w:rsidRPr="00963AFD">
        <w:rPr>
          <w:rFonts w:ascii="Arial" w:hAnsi="Arial"/>
          <w:noProof w:val="0"/>
          <w:sz w:val="24"/>
          <w:lang w:eastAsia="en-US"/>
        </w:rPr>
        <w:t>a consideration of the extent to which outsourcing and the devolution of some activities to geographical business units, and how this can be addressed to improve comparability and efficiency;</w:t>
      </w:r>
    </w:p>
    <w:p w14:paraId="09C2A4BE" w14:textId="77777777" w:rsidR="00963AFD" w:rsidRPr="00963AFD" w:rsidRDefault="00963AFD" w:rsidP="00963AFD">
      <w:pPr>
        <w:numPr>
          <w:ilvl w:val="0"/>
          <w:numId w:val="23"/>
        </w:numPr>
        <w:spacing w:after="160" w:line="259" w:lineRule="auto"/>
        <w:contextualSpacing/>
        <w:rPr>
          <w:rFonts w:ascii="Arial" w:hAnsi="Arial"/>
          <w:noProof w:val="0"/>
          <w:sz w:val="24"/>
          <w:lang w:eastAsia="en-US"/>
        </w:rPr>
      </w:pPr>
      <w:r w:rsidRPr="00963AFD">
        <w:rPr>
          <w:rFonts w:ascii="Arial" w:hAnsi="Arial"/>
          <w:noProof w:val="0"/>
          <w:sz w:val="24"/>
          <w:lang w:eastAsia="en-US"/>
        </w:rPr>
        <w:t>a consideration of how expenditure has changed over time;</w:t>
      </w:r>
    </w:p>
    <w:p w14:paraId="0B36B9AF" w14:textId="77777777" w:rsidR="00963AFD" w:rsidRPr="00963AFD" w:rsidRDefault="00963AFD" w:rsidP="00963AFD">
      <w:pPr>
        <w:numPr>
          <w:ilvl w:val="0"/>
          <w:numId w:val="23"/>
        </w:numPr>
        <w:spacing w:after="160" w:line="259" w:lineRule="auto"/>
        <w:contextualSpacing/>
        <w:rPr>
          <w:rFonts w:ascii="Arial" w:hAnsi="Arial"/>
          <w:noProof w:val="0"/>
          <w:sz w:val="24"/>
          <w:lang w:eastAsia="en-US"/>
        </w:rPr>
      </w:pPr>
      <w:r w:rsidRPr="00963AFD">
        <w:rPr>
          <w:rFonts w:ascii="Arial" w:hAnsi="Arial"/>
          <w:noProof w:val="0"/>
          <w:sz w:val="24"/>
          <w:lang w:eastAsia="en-US"/>
        </w:rPr>
        <w:t>a view on the extent to which the evidence suggests there is scope to improve efficiency and/or effectiveness; and</w:t>
      </w:r>
    </w:p>
    <w:p w14:paraId="4D7E2BF1" w14:textId="77777777" w:rsidR="00963AFD" w:rsidRPr="00963AFD" w:rsidRDefault="00963AFD" w:rsidP="00963AFD">
      <w:pPr>
        <w:numPr>
          <w:ilvl w:val="0"/>
          <w:numId w:val="23"/>
        </w:numPr>
        <w:spacing w:after="160" w:line="259" w:lineRule="auto"/>
        <w:contextualSpacing/>
        <w:rPr>
          <w:rFonts w:ascii="Arial" w:hAnsi="Arial"/>
          <w:noProof w:val="0"/>
          <w:sz w:val="24"/>
          <w:lang w:eastAsia="en-US"/>
        </w:rPr>
      </w:pPr>
      <w:r w:rsidRPr="00963AFD">
        <w:rPr>
          <w:rFonts w:ascii="Arial" w:hAnsi="Arial"/>
          <w:noProof w:val="0"/>
          <w:sz w:val="24"/>
          <w:lang w:eastAsia="en-US"/>
        </w:rPr>
        <w:t>recommendation on areas that merit a deeper dive.</w:t>
      </w:r>
    </w:p>
    <w:p w14:paraId="7C688D52" w14:textId="77777777" w:rsidR="00963AFD" w:rsidRPr="00963AFD" w:rsidRDefault="00963AFD" w:rsidP="00963AFD">
      <w:pPr>
        <w:tabs>
          <w:tab w:val="left" w:pos="1427"/>
        </w:tabs>
        <w:spacing w:after="160" w:line="259" w:lineRule="auto"/>
        <w:rPr>
          <w:rFonts w:ascii="Arial" w:hAnsi="Arial"/>
          <w:b/>
          <w:bCs/>
          <w:noProof w:val="0"/>
          <w:sz w:val="26"/>
          <w:szCs w:val="26"/>
          <w:lang w:eastAsia="en-US"/>
        </w:rPr>
      </w:pPr>
      <w:r w:rsidRPr="00963AFD">
        <w:rPr>
          <w:rFonts w:ascii="Arial" w:hAnsi="Arial"/>
          <w:b/>
          <w:bCs/>
          <w:noProof w:val="0"/>
          <w:sz w:val="26"/>
          <w:szCs w:val="26"/>
          <w:lang w:eastAsia="en-US"/>
        </w:rPr>
        <w:t>Data</w:t>
      </w:r>
    </w:p>
    <w:p w14:paraId="52027BA6" w14:textId="77777777" w:rsidR="00963AFD" w:rsidRPr="00963AFD" w:rsidRDefault="00963AFD" w:rsidP="00963AFD">
      <w:pPr>
        <w:tabs>
          <w:tab w:val="left" w:pos="1427"/>
        </w:tabs>
        <w:spacing w:after="160" w:line="259" w:lineRule="auto"/>
        <w:rPr>
          <w:rFonts w:ascii="Arial" w:hAnsi="Arial"/>
          <w:noProof w:val="0"/>
          <w:sz w:val="24"/>
          <w:lang w:eastAsia="en-US"/>
        </w:rPr>
      </w:pPr>
      <w:r w:rsidRPr="00963AFD">
        <w:rPr>
          <w:rFonts w:ascii="Arial" w:hAnsi="Arial"/>
          <w:noProof w:val="0"/>
          <w:sz w:val="24"/>
          <w:lang w:eastAsia="en-US"/>
        </w:rPr>
        <w:t>ORR will provide access to relevant data for Network Rail where available and will also facilitate any discussions that may be required between the consultant and Network Rail itself. ORR may also be able to facilitate discussions between the consultant and other relevant organisations.</w:t>
      </w:r>
    </w:p>
    <w:p w14:paraId="7A4BF2B6" w14:textId="107B4F3F" w:rsidR="0090517F" w:rsidRDefault="00963AFD" w:rsidP="00963AFD">
      <w:pPr>
        <w:rPr>
          <w:rFonts w:ascii="Arial" w:hAnsi="Arial"/>
          <w:noProof w:val="0"/>
          <w:sz w:val="24"/>
          <w:lang w:eastAsia="en-US"/>
        </w:rPr>
      </w:pPr>
      <w:r w:rsidRPr="00963AFD">
        <w:rPr>
          <w:rFonts w:ascii="Arial" w:hAnsi="Arial"/>
          <w:noProof w:val="0"/>
          <w:sz w:val="24"/>
          <w:lang w:eastAsia="en-US"/>
        </w:rPr>
        <w:t>It will be the consultant’s responsibility to source information for comparator companies. ORR would expect data collection plans to be a significant element of the methodology with example data sources identified.</w:t>
      </w:r>
    </w:p>
    <w:p w14:paraId="659BEC7E" w14:textId="428FC2E1" w:rsidR="007C07A6" w:rsidRDefault="007C07A6" w:rsidP="00963AFD">
      <w:pPr>
        <w:rPr>
          <w:rFonts w:ascii="Arial" w:hAnsi="Arial"/>
          <w:noProof w:val="0"/>
          <w:sz w:val="24"/>
          <w:lang w:eastAsia="en-US"/>
        </w:rPr>
      </w:pPr>
    </w:p>
    <w:p w14:paraId="2034146C" w14:textId="6BC20C6A" w:rsidR="007C07A6" w:rsidRDefault="007C07A6" w:rsidP="00963AFD">
      <w:pPr>
        <w:rPr>
          <w:rFonts w:ascii="Arial" w:hAnsi="Arial"/>
          <w:noProof w:val="0"/>
          <w:sz w:val="24"/>
          <w:lang w:eastAsia="en-US"/>
        </w:rPr>
      </w:pPr>
    </w:p>
    <w:p w14:paraId="019B2837" w14:textId="77777777" w:rsidR="00593F45" w:rsidRPr="00BF2863" w:rsidRDefault="00593F45" w:rsidP="00593F45">
      <w:pPr>
        <w:rPr>
          <w:rFonts w:ascii="Arial" w:hAnsi="Arial"/>
          <w:b/>
          <w:bCs/>
          <w:noProof w:val="0"/>
          <w:sz w:val="24"/>
          <w:lang w:eastAsia="en-US"/>
        </w:rPr>
      </w:pPr>
      <w:r w:rsidRPr="00BF2863">
        <w:rPr>
          <w:rFonts w:ascii="Arial" w:hAnsi="Arial"/>
          <w:b/>
          <w:bCs/>
          <w:noProof w:val="0"/>
          <w:sz w:val="24"/>
          <w:lang w:eastAsia="en-US"/>
        </w:rPr>
        <w:t>Outputs/deliverables</w:t>
      </w:r>
    </w:p>
    <w:p w14:paraId="3862793B" w14:textId="77777777" w:rsidR="00593F45" w:rsidRPr="00593F45" w:rsidRDefault="00593F45" w:rsidP="00593F45">
      <w:pPr>
        <w:rPr>
          <w:rFonts w:ascii="Arial" w:hAnsi="Arial"/>
          <w:noProof w:val="0"/>
          <w:sz w:val="24"/>
          <w:lang w:eastAsia="en-US"/>
        </w:rPr>
      </w:pPr>
    </w:p>
    <w:p w14:paraId="34D1AF91" w14:textId="37C940B5" w:rsidR="00593F45" w:rsidRPr="00593F45" w:rsidRDefault="00593F45" w:rsidP="00593F45">
      <w:pPr>
        <w:rPr>
          <w:rFonts w:ascii="Arial" w:hAnsi="Arial"/>
          <w:noProof w:val="0"/>
          <w:sz w:val="24"/>
          <w:lang w:eastAsia="en-US"/>
        </w:rPr>
      </w:pPr>
      <w:r w:rsidRPr="00593F45">
        <w:rPr>
          <w:rFonts w:ascii="Arial" w:hAnsi="Arial"/>
          <w:noProof w:val="0"/>
          <w:sz w:val="24"/>
          <w:lang w:eastAsia="en-US"/>
        </w:rPr>
        <w:t xml:space="preserve">The main output of this work will be a report setting out the analysis and conclusions of the work set out in </w:t>
      </w:r>
      <w:r w:rsidR="00BF2863">
        <w:rPr>
          <w:rFonts w:ascii="Arial" w:hAnsi="Arial"/>
          <w:noProof w:val="0"/>
          <w:sz w:val="24"/>
          <w:lang w:eastAsia="en-US"/>
        </w:rPr>
        <w:t xml:space="preserve">the </w:t>
      </w:r>
      <w:r w:rsidRPr="00593F45">
        <w:rPr>
          <w:rFonts w:ascii="Arial" w:hAnsi="Arial"/>
          <w:noProof w:val="0"/>
          <w:sz w:val="24"/>
          <w:lang w:eastAsia="en-US"/>
        </w:rPr>
        <w:t>section above.</w:t>
      </w:r>
    </w:p>
    <w:p w14:paraId="6B491887" w14:textId="77777777" w:rsidR="00593F45" w:rsidRPr="00593F45" w:rsidRDefault="00593F45" w:rsidP="00593F45">
      <w:pPr>
        <w:rPr>
          <w:rFonts w:ascii="Arial" w:hAnsi="Arial"/>
          <w:noProof w:val="0"/>
          <w:sz w:val="24"/>
          <w:lang w:eastAsia="en-US"/>
        </w:rPr>
      </w:pPr>
    </w:p>
    <w:p w14:paraId="6E3EDE7D" w14:textId="2D2C4A7F" w:rsidR="00593F45" w:rsidRDefault="00593F45" w:rsidP="00593F45">
      <w:pPr>
        <w:rPr>
          <w:rFonts w:ascii="Arial" w:hAnsi="Arial"/>
          <w:noProof w:val="0"/>
          <w:sz w:val="24"/>
          <w:lang w:eastAsia="en-US"/>
        </w:rPr>
      </w:pPr>
      <w:r w:rsidRPr="00593F45">
        <w:rPr>
          <w:rFonts w:ascii="Arial" w:hAnsi="Arial"/>
          <w:noProof w:val="0"/>
          <w:sz w:val="24"/>
          <w:lang w:eastAsia="en-US"/>
        </w:rPr>
        <w:t xml:space="preserve">The report will need to be produced to a publishable standard, as we would expect to publish it alongside ORR’s PR23 consultations or other documents. </w:t>
      </w:r>
    </w:p>
    <w:p w14:paraId="1732B751" w14:textId="77777777" w:rsidR="00BF2863" w:rsidRPr="00593F45" w:rsidRDefault="00BF2863" w:rsidP="00593F45">
      <w:pPr>
        <w:rPr>
          <w:rFonts w:ascii="Arial" w:hAnsi="Arial"/>
          <w:noProof w:val="0"/>
          <w:sz w:val="24"/>
          <w:lang w:eastAsia="en-US"/>
        </w:rPr>
      </w:pPr>
    </w:p>
    <w:p w14:paraId="7CEA4D87" w14:textId="77777777" w:rsidR="00593F45" w:rsidRPr="00593F45" w:rsidRDefault="00593F45" w:rsidP="00593F45">
      <w:pPr>
        <w:rPr>
          <w:rFonts w:ascii="Arial" w:hAnsi="Arial"/>
          <w:noProof w:val="0"/>
          <w:sz w:val="24"/>
          <w:lang w:eastAsia="en-US"/>
        </w:rPr>
      </w:pPr>
    </w:p>
    <w:p w14:paraId="6EA17F6B" w14:textId="77777777" w:rsidR="00BF2863" w:rsidRDefault="00BF2863" w:rsidP="00593F45">
      <w:pPr>
        <w:rPr>
          <w:rFonts w:ascii="Arial" w:hAnsi="Arial"/>
          <w:noProof w:val="0"/>
          <w:sz w:val="24"/>
          <w:lang w:eastAsia="en-US"/>
        </w:rPr>
      </w:pPr>
    </w:p>
    <w:p w14:paraId="6DE1C7AE" w14:textId="77777777" w:rsidR="00BF2863" w:rsidRDefault="00BF2863" w:rsidP="00593F45">
      <w:pPr>
        <w:rPr>
          <w:rFonts w:ascii="Arial" w:hAnsi="Arial"/>
          <w:noProof w:val="0"/>
          <w:sz w:val="24"/>
          <w:lang w:eastAsia="en-US"/>
        </w:rPr>
      </w:pPr>
    </w:p>
    <w:p w14:paraId="43AD3871" w14:textId="4A4FAE62" w:rsidR="00593F45" w:rsidRPr="00593F45" w:rsidRDefault="00593F45" w:rsidP="00593F45">
      <w:pPr>
        <w:rPr>
          <w:rFonts w:ascii="Arial" w:hAnsi="Arial"/>
          <w:noProof w:val="0"/>
          <w:sz w:val="24"/>
          <w:lang w:eastAsia="en-US"/>
        </w:rPr>
      </w:pPr>
      <w:r w:rsidRPr="00593F45">
        <w:rPr>
          <w:rFonts w:ascii="Arial" w:hAnsi="Arial"/>
          <w:noProof w:val="0"/>
          <w:sz w:val="24"/>
          <w:lang w:eastAsia="en-US"/>
        </w:rPr>
        <w:t>We also require the consultant to deliver a draft report for comment, which details their provisional findings and recommendations, in advance of the end date for this project. The final report would then incorporate comments and suggested amendments from ORR.</w:t>
      </w:r>
    </w:p>
    <w:p w14:paraId="0E632217" w14:textId="21D7CD4D" w:rsidR="00593F45" w:rsidRDefault="00593F45" w:rsidP="00963AFD">
      <w:pPr>
        <w:rPr>
          <w:rFonts w:ascii="Arial" w:hAnsi="Arial"/>
          <w:noProof w:val="0"/>
          <w:sz w:val="24"/>
          <w:lang w:eastAsia="en-US"/>
        </w:rPr>
      </w:pPr>
    </w:p>
    <w:p w14:paraId="2D727CD2" w14:textId="77777777" w:rsidR="00FE56C7" w:rsidRDefault="00FE56C7" w:rsidP="00963AFD">
      <w:pPr>
        <w:rPr>
          <w:rFonts w:ascii="Arial" w:hAnsi="Arial"/>
          <w:b/>
          <w:bCs/>
          <w:noProof w:val="0"/>
          <w:sz w:val="24"/>
          <w:lang w:eastAsia="en-US"/>
        </w:rPr>
      </w:pPr>
    </w:p>
    <w:p w14:paraId="6EEBCA74" w14:textId="5D16AE4F" w:rsidR="00BF2863" w:rsidRDefault="00FE56C7" w:rsidP="00963AFD">
      <w:pPr>
        <w:rPr>
          <w:rFonts w:ascii="Arial" w:hAnsi="Arial"/>
          <w:b/>
          <w:bCs/>
          <w:noProof w:val="0"/>
          <w:sz w:val="24"/>
          <w:lang w:eastAsia="en-US"/>
        </w:rPr>
      </w:pPr>
      <w:r>
        <w:rPr>
          <w:rFonts w:ascii="Arial" w:hAnsi="Arial"/>
          <w:b/>
          <w:bCs/>
          <w:noProof w:val="0"/>
          <w:sz w:val="24"/>
          <w:lang w:eastAsia="en-US"/>
        </w:rPr>
        <w:t>Project Timescales</w:t>
      </w:r>
    </w:p>
    <w:p w14:paraId="4A29E94F" w14:textId="3A635356" w:rsidR="00FE56C7" w:rsidRDefault="00FE56C7" w:rsidP="00963AFD">
      <w:pPr>
        <w:rPr>
          <w:rFonts w:ascii="Arial" w:hAnsi="Arial"/>
          <w:b/>
          <w:bCs/>
          <w:noProof w:val="0"/>
          <w:sz w:val="24"/>
          <w:lang w:eastAsia="en-US"/>
        </w:rPr>
      </w:pPr>
    </w:p>
    <w:p w14:paraId="6DD0252D" w14:textId="59DF9422" w:rsidR="003516FC" w:rsidRPr="003516FC" w:rsidRDefault="003516FC" w:rsidP="003516FC">
      <w:pPr>
        <w:pStyle w:val="ListParagraph"/>
        <w:numPr>
          <w:ilvl w:val="0"/>
          <w:numId w:val="24"/>
        </w:numPr>
        <w:rPr>
          <w:rFonts w:ascii="Arial" w:hAnsi="Arial"/>
          <w:sz w:val="24"/>
        </w:rPr>
      </w:pPr>
      <w:r w:rsidRPr="003516FC">
        <w:rPr>
          <w:rFonts w:ascii="Arial" w:hAnsi="Arial"/>
          <w:sz w:val="24"/>
        </w:rPr>
        <w:t xml:space="preserve">Start-up meeting and commencement w/c </w:t>
      </w:r>
      <w:r w:rsidR="0011582A">
        <w:rPr>
          <w:rFonts w:ascii="Arial" w:hAnsi="Arial"/>
          <w:sz w:val="24"/>
        </w:rPr>
        <w:t>24</w:t>
      </w:r>
      <w:r w:rsidR="0011582A" w:rsidRPr="0011582A">
        <w:rPr>
          <w:rFonts w:ascii="Arial" w:hAnsi="Arial"/>
          <w:sz w:val="24"/>
          <w:vertAlign w:val="superscript"/>
        </w:rPr>
        <w:t>th</w:t>
      </w:r>
      <w:r w:rsidR="0011582A">
        <w:rPr>
          <w:rFonts w:ascii="Arial" w:hAnsi="Arial"/>
          <w:sz w:val="24"/>
        </w:rPr>
        <w:t xml:space="preserve"> </w:t>
      </w:r>
      <w:r w:rsidRPr="003516FC">
        <w:rPr>
          <w:rFonts w:ascii="Arial" w:hAnsi="Arial"/>
          <w:sz w:val="24"/>
        </w:rPr>
        <w:t>January 2022</w:t>
      </w:r>
    </w:p>
    <w:p w14:paraId="403C1844" w14:textId="2B5E5FC9" w:rsidR="00E24608" w:rsidRPr="00397A94" w:rsidRDefault="00FE56C7" w:rsidP="00397A94">
      <w:pPr>
        <w:pStyle w:val="ListParagraph"/>
        <w:numPr>
          <w:ilvl w:val="0"/>
          <w:numId w:val="24"/>
        </w:numPr>
        <w:rPr>
          <w:rFonts w:ascii="Arial" w:hAnsi="Arial"/>
          <w:sz w:val="24"/>
        </w:rPr>
      </w:pPr>
      <w:r w:rsidRPr="00397A94">
        <w:rPr>
          <w:rFonts w:ascii="Arial" w:hAnsi="Arial"/>
          <w:sz w:val="24"/>
        </w:rPr>
        <w:t xml:space="preserve">Weekly </w:t>
      </w:r>
      <w:r w:rsidR="00E24608" w:rsidRPr="00397A94">
        <w:rPr>
          <w:rFonts w:ascii="Arial" w:hAnsi="Arial"/>
          <w:sz w:val="24"/>
        </w:rPr>
        <w:t xml:space="preserve">progress update by email, </w:t>
      </w:r>
    </w:p>
    <w:p w14:paraId="0F80D014" w14:textId="11F3B4FA" w:rsidR="00FE56C7" w:rsidRDefault="00E24608" w:rsidP="00397A94">
      <w:pPr>
        <w:pStyle w:val="ListParagraph"/>
        <w:numPr>
          <w:ilvl w:val="0"/>
          <w:numId w:val="24"/>
        </w:numPr>
        <w:rPr>
          <w:rFonts w:ascii="Arial" w:hAnsi="Arial"/>
          <w:sz w:val="24"/>
        </w:rPr>
      </w:pPr>
      <w:r w:rsidRPr="00397A94">
        <w:rPr>
          <w:rFonts w:ascii="Arial" w:hAnsi="Arial"/>
          <w:sz w:val="24"/>
        </w:rPr>
        <w:t>F</w:t>
      </w:r>
      <w:r w:rsidRPr="00397A94">
        <w:rPr>
          <w:rFonts w:ascii="Arial" w:hAnsi="Arial"/>
          <w:sz w:val="24"/>
        </w:rPr>
        <w:t>ortnightly update meetings to discuss any emerging issues in more detail.</w:t>
      </w:r>
    </w:p>
    <w:p w14:paraId="4D728AB3" w14:textId="5F8EAD0E" w:rsidR="00A70A26" w:rsidRDefault="00A70A26" w:rsidP="00397A94">
      <w:pPr>
        <w:pStyle w:val="ListParagraph"/>
        <w:numPr>
          <w:ilvl w:val="0"/>
          <w:numId w:val="24"/>
        </w:numPr>
        <w:rPr>
          <w:rFonts w:ascii="Arial" w:hAnsi="Arial"/>
          <w:sz w:val="24"/>
        </w:rPr>
      </w:pPr>
      <w:r>
        <w:rPr>
          <w:rFonts w:ascii="Arial" w:hAnsi="Arial"/>
          <w:sz w:val="24"/>
        </w:rPr>
        <w:t>Draft report – date TBC</w:t>
      </w:r>
    </w:p>
    <w:p w14:paraId="5A465EA5" w14:textId="42433ED5" w:rsidR="00A70A26" w:rsidRPr="00397A94" w:rsidRDefault="00A70A26" w:rsidP="00397A94">
      <w:pPr>
        <w:pStyle w:val="ListParagraph"/>
        <w:numPr>
          <w:ilvl w:val="0"/>
          <w:numId w:val="24"/>
        </w:numPr>
        <w:rPr>
          <w:rFonts w:ascii="Arial" w:hAnsi="Arial"/>
          <w:sz w:val="24"/>
        </w:rPr>
      </w:pPr>
      <w:r>
        <w:rPr>
          <w:rFonts w:ascii="Arial" w:hAnsi="Arial"/>
          <w:sz w:val="24"/>
        </w:rPr>
        <w:t>Final report – date TBC</w:t>
      </w:r>
    </w:p>
    <w:p w14:paraId="103E49B1" w14:textId="0C284B99" w:rsidR="00FE56C7" w:rsidRPr="00397A94" w:rsidRDefault="00FE56C7" w:rsidP="00397A94">
      <w:pPr>
        <w:pStyle w:val="ListParagraph"/>
        <w:numPr>
          <w:ilvl w:val="0"/>
          <w:numId w:val="24"/>
        </w:numPr>
        <w:rPr>
          <w:rFonts w:ascii="Arial" w:hAnsi="Arial"/>
          <w:sz w:val="24"/>
        </w:rPr>
      </w:pPr>
      <w:r w:rsidRPr="00397A94">
        <w:rPr>
          <w:rFonts w:ascii="Arial" w:hAnsi="Arial"/>
          <w:sz w:val="24"/>
        </w:rPr>
        <w:t>P</w:t>
      </w:r>
      <w:r w:rsidRPr="00397A94">
        <w:rPr>
          <w:rFonts w:ascii="Arial" w:hAnsi="Arial"/>
          <w:sz w:val="24"/>
        </w:rPr>
        <w:t>roject</w:t>
      </w:r>
      <w:r w:rsidR="00CA5773" w:rsidRPr="00397A94">
        <w:rPr>
          <w:rFonts w:ascii="Arial" w:hAnsi="Arial"/>
          <w:sz w:val="24"/>
        </w:rPr>
        <w:t xml:space="preserve"> duration -</w:t>
      </w:r>
      <w:r w:rsidR="00A70A26">
        <w:rPr>
          <w:rFonts w:ascii="Arial" w:hAnsi="Arial"/>
          <w:sz w:val="24"/>
        </w:rPr>
        <w:t xml:space="preserve"> </w:t>
      </w:r>
      <w:r w:rsidR="00CA5773" w:rsidRPr="00397A94">
        <w:rPr>
          <w:rFonts w:ascii="Arial" w:hAnsi="Arial"/>
          <w:sz w:val="24"/>
        </w:rPr>
        <w:t>circa</w:t>
      </w:r>
      <w:r w:rsidRPr="00397A94">
        <w:rPr>
          <w:rFonts w:ascii="Arial" w:hAnsi="Arial"/>
          <w:sz w:val="24"/>
        </w:rPr>
        <w:t xml:space="preserve"> 3 months, from mid-January 202</w:t>
      </w:r>
      <w:r w:rsidR="00CA5773" w:rsidRPr="00397A94">
        <w:rPr>
          <w:rFonts w:ascii="Arial" w:hAnsi="Arial"/>
          <w:sz w:val="24"/>
        </w:rPr>
        <w:t>2</w:t>
      </w:r>
      <w:r w:rsidRPr="00397A94">
        <w:rPr>
          <w:rFonts w:ascii="Arial" w:hAnsi="Arial"/>
          <w:sz w:val="24"/>
        </w:rPr>
        <w:t xml:space="preserve"> to mid-April 2022.</w:t>
      </w:r>
    </w:p>
    <w:p w14:paraId="501F3F40" w14:textId="6900F67A" w:rsidR="00FE56C7" w:rsidRDefault="00FE56C7" w:rsidP="00963AFD">
      <w:pPr>
        <w:rPr>
          <w:rFonts w:ascii="Arial" w:hAnsi="Arial"/>
          <w:b/>
          <w:bCs/>
          <w:noProof w:val="0"/>
          <w:sz w:val="24"/>
          <w:lang w:eastAsia="en-US"/>
        </w:rPr>
      </w:pPr>
    </w:p>
    <w:p w14:paraId="64FCA76B" w14:textId="77777777" w:rsidR="00FE56C7" w:rsidRPr="00FE56C7" w:rsidRDefault="00FE56C7" w:rsidP="00963AFD">
      <w:pPr>
        <w:rPr>
          <w:rFonts w:ascii="Arial" w:hAnsi="Arial"/>
          <w:b/>
          <w:bCs/>
          <w:noProof w:val="0"/>
          <w:sz w:val="24"/>
          <w:lang w:eastAsia="en-US"/>
        </w:rPr>
      </w:pPr>
    </w:p>
    <w:p w14:paraId="76DD9FE0" w14:textId="77777777" w:rsidR="007C07A6" w:rsidRPr="0090517F" w:rsidRDefault="007C07A6" w:rsidP="00963AFD">
      <w:pPr>
        <w:rPr>
          <w:rFonts w:asciiTheme="minorBidi" w:hAnsiTheme="minorBidi" w:cstheme="minorBidi"/>
          <w:b/>
          <w:sz w:val="22"/>
          <w:szCs w:val="22"/>
          <w:u w:val="single"/>
        </w:rPr>
      </w:pPr>
    </w:p>
    <w:p w14:paraId="033AABC2" w14:textId="77777777" w:rsidR="0090517F" w:rsidRPr="0090517F" w:rsidRDefault="0090517F">
      <w:pPr>
        <w:jc w:val="both"/>
        <w:rPr>
          <w:rFonts w:asciiTheme="minorBidi" w:hAnsiTheme="minorBidi" w:cstheme="minorBidi"/>
          <w:highlight w:val="yellow"/>
        </w:rPr>
      </w:pPr>
    </w:p>
    <w:p w14:paraId="6D3E69A2" w14:textId="77777777" w:rsidR="008514B3" w:rsidRDefault="008514B3">
      <w:pPr>
        <w:jc w:val="both"/>
        <w:rPr>
          <w:rFonts w:ascii="Arial" w:hAnsi="Arial" w:cs="Arial"/>
          <w:highlight w:val="yellow"/>
        </w:rPr>
      </w:pPr>
    </w:p>
    <w:p w14:paraId="7D862F58" w14:textId="77777777" w:rsidR="008514B3" w:rsidRDefault="008514B3">
      <w:pPr>
        <w:jc w:val="both"/>
        <w:rPr>
          <w:rFonts w:ascii="Arial" w:hAnsi="Arial" w:cs="Arial"/>
          <w:highlight w:val="yellow"/>
        </w:rPr>
      </w:pPr>
    </w:p>
    <w:p w14:paraId="7FFCB2BF" w14:textId="77777777" w:rsidR="008514B3" w:rsidRDefault="008514B3">
      <w:pPr>
        <w:jc w:val="both"/>
        <w:rPr>
          <w:rFonts w:ascii="Arial" w:hAnsi="Arial" w:cs="Arial"/>
          <w:highlight w:val="yellow"/>
        </w:rPr>
      </w:pPr>
    </w:p>
    <w:p w14:paraId="7F861C35" w14:textId="77777777" w:rsidR="006568B3" w:rsidRDefault="006568B3">
      <w:pPr>
        <w:jc w:val="both"/>
        <w:rPr>
          <w:rFonts w:ascii="Arial" w:hAnsi="Arial" w:cs="Arial"/>
          <w:b/>
          <w:bCs/>
          <w:i/>
          <w:iCs/>
          <w:highlight w:val="yellow"/>
        </w:rPr>
      </w:pP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54D749A9" w:rsidR="006568B3" w:rsidRDefault="0090517F">
      <w:pPr>
        <w:jc w:val="center"/>
        <w:rPr>
          <w:rFonts w:ascii="Arial" w:hAnsi="Arial" w:cs="Arial"/>
          <w:szCs w:val="22"/>
        </w:rPr>
      </w:pPr>
      <w:r>
        <w:rPr>
          <w:rFonts w:ascii="Arial" w:hAnsi="Arial" w:cs="Arial"/>
          <w:i/>
          <w:iCs/>
          <w:szCs w:val="22"/>
        </w:rPr>
        <w:t>Not Applicable</w:t>
      </w:r>
      <w:r w:rsidR="006568B3">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9C05A" w14:textId="77777777" w:rsidR="007154B9" w:rsidRDefault="007154B9">
      <w:r>
        <w:separator/>
      </w:r>
    </w:p>
  </w:endnote>
  <w:endnote w:type="continuationSeparator" w:id="0">
    <w:p w14:paraId="1A51E388" w14:textId="77777777" w:rsidR="007154B9" w:rsidRDefault="00715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EFE" w14:textId="4D302ECA"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A70A26">
      <w:rPr>
        <w:rStyle w:val="PageNumber"/>
        <w:rFonts w:ascii="Arial" w:hAnsi="Arial" w:cs="Arial"/>
        <w:sz w:val="16"/>
        <w:szCs w:val="16"/>
      </w:rPr>
      <w:instrText>45</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A70A26">
      <w:rPr>
        <w:rStyle w:val="PageNumber"/>
        <w:rFonts w:ascii="Arial" w:hAnsi="Arial" w:cs="Arial"/>
        <w:sz w:val="16"/>
        <w:szCs w:val="16"/>
      </w:rPr>
      <w:t>43</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77637" w14:textId="77777777" w:rsidR="007154B9" w:rsidRDefault="007154B9">
      <w:r>
        <w:separator/>
      </w:r>
    </w:p>
  </w:footnote>
  <w:footnote w:type="continuationSeparator" w:id="0">
    <w:p w14:paraId="1B8896EC" w14:textId="77777777" w:rsidR="007154B9" w:rsidRDefault="00715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9"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1457AAD"/>
    <w:multiLevelType w:val="hybridMultilevel"/>
    <w:tmpl w:val="4648B4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552E1917"/>
    <w:multiLevelType w:val="hybridMultilevel"/>
    <w:tmpl w:val="0C3C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5" w15:restartNumberingAfterBreak="0">
    <w:nsid w:val="5AA36F1D"/>
    <w:multiLevelType w:val="hybridMultilevel"/>
    <w:tmpl w:val="D77C4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C83828"/>
    <w:multiLevelType w:val="hybridMultilevel"/>
    <w:tmpl w:val="1E96DE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9"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6DF644EE"/>
    <w:multiLevelType w:val="hybridMultilevel"/>
    <w:tmpl w:val="17242C0E"/>
    <w:lvl w:ilvl="0" w:tplc="6CDCA78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23"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23"/>
  </w:num>
  <w:num w:numId="2">
    <w:abstractNumId w:val="4"/>
  </w:num>
  <w:num w:numId="3">
    <w:abstractNumId w:val="18"/>
  </w:num>
  <w:num w:numId="4">
    <w:abstractNumId w:val="21"/>
  </w:num>
  <w:num w:numId="5">
    <w:abstractNumId w:val="19"/>
  </w:num>
  <w:num w:numId="6">
    <w:abstractNumId w:val="22"/>
  </w:num>
  <w:num w:numId="7">
    <w:abstractNumId w:val="1"/>
  </w:num>
  <w:num w:numId="8">
    <w:abstractNumId w:val="8"/>
  </w:num>
  <w:num w:numId="9">
    <w:abstractNumId w:val="14"/>
  </w:num>
  <w:num w:numId="10">
    <w:abstractNumId w:val="0"/>
  </w:num>
  <w:num w:numId="11">
    <w:abstractNumId w:val="5"/>
  </w:num>
  <w:num w:numId="12">
    <w:abstractNumId w:val="10"/>
  </w:num>
  <w:num w:numId="13">
    <w:abstractNumId w:val="9"/>
  </w:num>
  <w:num w:numId="14">
    <w:abstractNumId w:val="2"/>
  </w:num>
  <w:num w:numId="15">
    <w:abstractNumId w:val="3"/>
  </w:num>
  <w:num w:numId="16">
    <w:abstractNumId w:val="12"/>
  </w:num>
  <w:num w:numId="17">
    <w:abstractNumId w:val="6"/>
  </w:num>
  <w:num w:numId="18">
    <w:abstractNumId w:val="20"/>
  </w:num>
  <w:num w:numId="19">
    <w:abstractNumId w:val="16"/>
  </w:num>
  <w:num w:numId="20">
    <w:abstractNumId w:val="7"/>
  </w:num>
  <w:num w:numId="21">
    <w:abstractNumId w:val="11"/>
  </w:num>
  <w:num w:numId="22">
    <w:abstractNumId w:val="17"/>
  </w:num>
  <w:num w:numId="23">
    <w:abstractNumId w:val="1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F6129"/>
    <w:rsid w:val="0011582A"/>
    <w:rsid w:val="0013276B"/>
    <w:rsid w:val="001A2092"/>
    <w:rsid w:val="001D2989"/>
    <w:rsid w:val="00292DF5"/>
    <w:rsid w:val="002C20F5"/>
    <w:rsid w:val="0033168E"/>
    <w:rsid w:val="00331CC2"/>
    <w:rsid w:val="00341027"/>
    <w:rsid w:val="003516FC"/>
    <w:rsid w:val="00397A94"/>
    <w:rsid w:val="003B1433"/>
    <w:rsid w:val="003E75C9"/>
    <w:rsid w:val="00461929"/>
    <w:rsid w:val="004622B7"/>
    <w:rsid w:val="00487EE5"/>
    <w:rsid w:val="004E52A2"/>
    <w:rsid w:val="00504D8A"/>
    <w:rsid w:val="00593E94"/>
    <w:rsid w:val="00593F45"/>
    <w:rsid w:val="00622E57"/>
    <w:rsid w:val="0064781E"/>
    <w:rsid w:val="006568B3"/>
    <w:rsid w:val="00662175"/>
    <w:rsid w:val="006B6540"/>
    <w:rsid w:val="006B6BB7"/>
    <w:rsid w:val="00707217"/>
    <w:rsid w:val="007154B9"/>
    <w:rsid w:val="007C07A6"/>
    <w:rsid w:val="007D7C2C"/>
    <w:rsid w:val="008306C8"/>
    <w:rsid w:val="008514B3"/>
    <w:rsid w:val="00887201"/>
    <w:rsid w:val="008957F8"/>
    <w:rsid w:val="008D0B16"/>
    <w:rsid w:val="008E4DBA"/>
    <w:rsid w:val="0090517F"/>
    <w:rsid w:val="00927C05"/>
    <w:rsid w:val="00963AFD"/>
    <w:rsid w:val="00A02AFA"/>
    <w:rsid w:val="00A153E2"/>
    <w:rsid w:val="00A17A55"/>
    <w:rsid w:val="00A32CCD"/>
    <w:rsid w:val="00A53407"/>
    <w:rsid w:val="00A70A26"/>
    <w:rsid w:val="00AD0A8F"/>
    <w:rsid w:val="00B6334D"/>
    <w:rsid w:val="00BF2863"/>
    <w:rsid w:val="00C74E1E"/>
    <w:rsid w:val="00CA5773"/>
    <w:rsid w:val="00D332B8"/>
    <w:rsid w:val="00D9005F"/>
    <w:rsid w:val="00DB5E2B"/>
    <w:rsid w:val="00DC2C9D"/>
    <w:rsid w:val="00E070BE"/>
    <w:rsid w:val="00E24608"/>
    <w:rsid w:val="00E41047"/>
    <w:rsid w:val="00E701A2"/>
    <w:rsid w:val="00EB1A53"/>
    <w:rsid w:val="00F2152B"/>
    <w:rsid w:val="00F217B1"/>
    <w:rsid w:val="00F53D74"/>
    <w:rsid w:val="00FE56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78061B"/>
    <w:rsid w:val="0082595B"/>
    <w:rsid w:val="00903ECF"/>
    <w:rsid w:val="00915AFB"/>
    <w:rsid w:val="00922E6B"/>
    <w:rsid w:val="00937086"/>
    <w:rsid w:val="009B3C84"/>
    <w:rsid w:val="00B83F65"/>
    <w:rsid w:val="00F51C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14548</Words>
  <Characters>82927</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Ndlovu, Nobu</cp:lastModifiedBy>
  <cp:revision>16</cp:revision>
  <cp:lastPrinted>2019-02-06T14:49:00Z</cp:lastPrinted>
  <dcterms:created xsi:type="dcterms:W3CDTF">2021-12-01T13:48:00Z</dcterms:created>
  <dcterms:modified xsi:type="dcterms:W3CDTF">2021-12-01T14:19:00Z</dcterms:modified>
  <cp:category/>
</cp:coreProperties>
</file>