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8085A" w14:textId="0B2B6EA2" w:rsidR="004A3BA6" w:rsidRPr="004A3BA6" w:rsidRDefault="00BB4DB7" w:rsidP="00AD71ED">
      <w:pPr>
        <w:jc w:val="center"/>
        <w:rPr>
          <w:rFonts w:ascii="Calibri" w:hAnsi="Calibri" w:cs="Calibri"/>
          <w:b/>
          <w:sz w:val="40"/>
          <w:szCs w:val="40"/>
        </w:rPr>
      </w:pPr>
      <w:r w:rsidRPr="004A3BA6">
        <w:rPr>
          <w:rFonts w:ascii="Calibri" w:hAnsi="Calibri" w:cs="Calibri"/>
          <w:b/>
          <w:sz w:val="40"/>
          <w:szCs w:val="40"/>
        </w:rPr>
        <w:t xml:space="preserve"> </w:t>
      </w:r>
      <w:r w:rsidR="004A3BA6" w:rsidRPr="004A3BA6">
        <w:rPr>
          <w:rFonts w:ascii="Calibri" w:hAnsi="Calibri" w:cs="Calibri"/>
          <w:b/>
          <w:sz w:val="40"/>
          <w:szCs w:val="40"/>
        </w:rPr>
        <w:t xml:space="preserve">Procurement of </w:t>
      </w:r>
    </w:p>
    <w:p w14:paraId="199BD8EF" w14:textId="22755ADC" w:rsidR="006628AC" w:rsidRPr="004A3BA6" w:rsidRDefault="00DA5C1E" w:rsidP="00AD71ED">
      <w:pPr>
        <w:jc w:val="center"/>
        <w:rPr>
          <w:rFonts w:ascii="Arial" w:hAnsi="Arial" w:cs="Arial"/>
          <w:b/>
          <w:sz w:val="40"/>
          <w:szCs w:val="40"/>
        </w:rPr>
      </w:pPr>
      <w:r w:rsidRPr="004A3BA6">
        <w:rPr>
          <w:rFonts w:ascii="Calibri" w:hAnsi="Calibri" w:cs="Calibri"/>
          <w:b/>
          <w:sz w:val="40"/>
          <w:szCs w:val="40"/>
        </w:rPr>
        <w:t xml:space="preserve"> </w:t>
      </w:r>
      <w:r w:rsidRPr="004A3BA6">
        <w:rPr>
          <w:rFonts w:ascii="Arial" w:hAnsi="Arial" w:cs="Arial"/>
          <w:b/>
          <w:sz w:val="40"/>
          <w:szCs w:val="40"/>
        </w:rPr>
        <w:t>Croydon Intermediate Care Beds</w:t>
      </w:r>
    </w:p>
    <w:p w14:paraId="1C4005FC" w14:textId="77777777" w:rsidR="004A3BA6" w:rsidRPr="004A3BA6" w:rsidRDefault="004A3BA6" w:rsidP="00AD71ED">
      <w:pPr>
        <w:jc w:val="center"/>
        <w:rPr>
          <w:rFonts w:ascii="Arial" w:hAnsi="Arial" w:cs="Arial"/>
          <w:b/>
          <w:sz w:val="40"/>
          <w:szCs w:val="40"/>
        </w:rPr>
      </w:pPr>
    </w:p>
    <w:p w14:paraId="5F3252D0" w14:textId="77777777" w:rsidR="004A3BA6" w:rsidRPr="004A3BA6" w:rsidRDefault="004A3BA6" w:rsidP="00AD71ED">
      <w:pPr>
        <w:jc w:val="center"/>
        <w:rPr>
          <w:rFonts w:ascii="Arial" w:hAnsi="Arial" w:cs="Arial"/>
          <w:b/>
          <w:sz w:val="40"/>
          <w:szCs w:val="40"/>
        </w:rPr>
      </w:pPr>
    </w:p>
    <w:p w14:paraId="40758EEF" w14:textId="77777777" w:rsidR="004A3BA6" w:rsidRPr="004A3BA6" w:rsidRDefault="004A3BA6" w:rsidP="00AD71ED">
      <w:pPr>
        <w:jc w:val="center"/>
        <w:rPr>
          <w:rFonts w:ascii="Arial" w:hAnsi="Arial" w:cs="Arial"/>
          <w:b/>
          <w:sz w:val="40"/>
          <w:szCs w:val="40"/>
        </w:rPr>
      </w:pPr>
    </w:p>
    <w:p w14:paraId="78F944B5" w14:textId="77777777" w:rsidR="004A3BA6" w:rsidRPr="004A3BA6" w:rsidRDefault="004A3BA6" w:rsidP="00AD71ED">
      <w:pPr>
        <w:jc w:val="center"/>
        <w:rPr>
          <w:rFonts w:ascii="Arial" w:hAnsi="Arial" w:cs="Arial"/>
          <w:b/>
          <w:sz w:val="40"/>
          <w:szCs w:val="40"/>
        </w:rPr>
      </w:pPr>
    </w:p>
    <w:p w14:paraId="0DCDC473" w14:textId="77777777" w:rsidR="004A3BA6" w:rsidRPr="004A3BA6" w:rsidRDefault="004A3BA6" w:rsidP="00AD71ED">
      <w:pPr>
        <w:jc w:val="center"/>
        <w:rPr>
          <w:rFonts w:ascii="Arial" w:hAnsi="Arial" w:cs="Arial"/>
          <w:b/>
          <w:sz w:val="40"/>
          <w:szCs w:val="40"/>
        </w:rPr>
      </w:pPr>
    </w:p>
    <w:p w14:paraId="29F62A73" w14:textId="77777777" w:rsidR="004A3BA6" w:rsidRPr="004A3BA6" w:rsidRDefault="004A3BA6" w:rsidP="00AD71ED">
      <w:pPr>
        <w:jc w:val="center"/>
        <w:rPr>
          <w:rFonts w:ascii="Arial" w:hAnsi="Arial" w:cs="Arial"/>
          <w:b/>
          <w:sz w:val="40"/>
          <w:szCs w:val="40"/>
        </w:rPr>
      </w:pPr>
    </w:p>
    <w:p w14:paraId="63C739DE" w14:textId="77777777" w:rsidR="004A3BA6" w:rsidRPr="004A3BA6" w:rsidRDefault="004A3BA6" w:rsidP="00AD71ED">
      <w:pPr>
        <w:jc w:val="center"/>
        <w:rPr>
          <w:rFonts w:ascii="Arial" w:hAnsi="Arial" w:cs="Arial"/>
          <w:b/>
          <w:sz w:val="40"/>
          <w:szCs w:val="40"/>
        </w:rPr>
      </w:pPr>
    </w:p>
    <w:p w14:paraId="0ADE031F" w14:textId="77777777" w:rsidR="00AD71ED" w:rsidRPr="004A3BA6" w:rsidRDefault="00AD71ED" w:rsidP="00AD71ED">
      <w:pPr>
        <w:jc w:val="center"/>
        <w:rPr>
          <w:rFonts w:ascii="Arial" w:hAnsi="Arial" w:cs="Arial"/>
          <w:b/>
          <w:sz w:val="40"/>
          <w:szCs w:val="40"/>
        </w:rPr>
      </w:pPr>
      <w:r w:rsidRPr="004A3BA6">
        <w:rPr>
          <w:rFonts w:ascii="Arial" w:hAnsi="Arial" w:cs="Arial"/>
          <w:b/>
          <w:sz w:val="40"/>
          <w:szCs w:val="40"/>
        </w:rPr>
        <w:t>Memorandum of Information (MOI)</w:t>
      </w:r>
    </w:p>
    <w:p w14:paraId="022A7BE1" w14:textId="77777777" w:rsidR="00AD71ED" w:rsidRPr="004A3BA6" w:rsidRDefault="00AD71ED" w:rsidP="00AD71ED">
      <w:pPr>
        <w:jc w:val="center"/>
        <w:rPr>
          <w:rFonts w:ascii="Arial" w:hAnsi="Arial" w:cs="Arial"/>
          <w:b/>
          <w:sz w:val="40"/>
          <w:szCs w:val="40"/>
        </w:rPr>
      </w:pPr>
    </w:p>
    <w:p w14:paraId="289FCD3B" w14:textId="77777777" w:rsidR="004A3BA6" w:rsidRPr="004A3BA6" w:rsidRDefault="004A3BA6" w:rsidP="00AD71ED">
      <w:pPr>
        <w:jc w:val="center"/>
        <w:rPr>
          <w:rFonts w:ascii="Arial" w:hAnsi="Arial" w:cs="Arial"/>
          <w:b/>
          <w:sz w:val="40"/>
          <w:szCs w:val="40"/>
        </w:rPr>
      </w:pPr>
    </w:p>
    <w:p w14:paraId="159117D8" w14:textId="77777777" w:rsidR="004A3BA6" w:rsidRPr="004A3BA6" w:rsidRDefault="004A3BA6" w:rsidP="00AD71ED">
      <w:pPr>
        <w:jc w:val="center"/>
        <w:rPr>
          <w:rFonts w:ascii="Arial" w:hAnsi="Arial" w:cs="Arial"/>
          <w:b/>
          <w:sz w:val="40"/>
          <w:szCs w:val="40"/>
        </w:rPr>
      </w:pPr>
    </w:p>
    <w:p w14:paraId="7A4C70EA" w14:textId="77777777" w:rsidR="004A3BA6" w:rsidRPr="004A3BA6" w:rsidRDefault="004A3BA6" w:rsidP="00AD71ED">
      <w:pPr>
        <w:jc w:val="center"/>
        <w:rPr>
          <w:rFonts w:ascii="Arial" w:hAnsi="Arial" w:cs="Arial"/>
          <w:b/>
          <w:sz w:val="40"/>
          <w:szCs w:val="40"/>
        </w:rPr>
      </w:pPr>
    </w:p>
    <w:p w14:paraId="6194AABB" w14:textId="77777777" w:rsidR="004A3BA6" w:rsidRPr="004A3BA6" w:rsidRDefault="004A3BA6" w:rsidP="00AD71ED">
      <w:pPr>
        <w:jc w:val="center"/>
        <w:rPr>
          <w:rFonts w:ascii="Arial" w:hAnsi="Arial" w:cs="Arial"/>
          <w:b/>
          <w:sz w:val="40"/>
          <w:szCs w:val="40"/>
        </w:rPr>
      </w:pPr>
    </w:p>
    <w:p w14:paraId="1F66AD2A" w14:textId="77777777" w:rsidR="004A3BA6" w:rsidRPr="004A3BA6" w:rsidRDefault="004A3BA6" w:rsidP="00AD71ED">
      <w:pPr>
        <w:jc w:val="center"/>
        <w:rPr>
          <w:rFonts w:ascii="Arial" w:hAnsi="Arial" w:cs="Arial"/>
          <w:b/>
          <w:sz w:val="40"/>
          <w:szCs w:val="40"/>
        </w:rPr>
      </w:pPr>
    </w:p>
    <w:p w14:paraId="410DE6F2" w14:textId="77777777" w:rsidR="004A3BA6" w:rsidRPr="004A3BA6" w:rsidRDefault="004A3BA6" w:rsidP="00AD71ED">
      <w:pPr>
        <w:jc w:val="center"/>
        <w:rPr>
          <w:rFonts w:ascii="Arial" w:hAnsi="Arial" w:cs="Arial"/>
          <w:b/>
          <w:sz w:val="40"/>
          <w:szCs w:val="40"/>
        </w:rPr>
      </w:pPr>
    </w:p>
    <w:p w14:paraId="4D619EB7" w14:textId="77777777" w:rsidR="004A3BA6" w:rsidRPr="004A3BA6" w:rsidRDefault="004A3BA6" w:rsidP="00AD71ED">
      <w:pPr>
        <w:jc w:val="center"/>
        <w:rPr>
          <w:rFonts w:ascii="Arial" w:hAnsi="Arial" w:cs="Arial"/>
          <w:b/>
          <w:sz w:val="40"/>
          <w:szCs w:val="40"/>
        </w:rPr>
      </w:pPr>
    </w:p>
    <w:p w14:paraId="3512B34A" w14:textId="77777777" w:rsidR="004A3BA6" w:rsidRPr="004A3BA6" w:rsidRDefault="004A3BA6" w:rsidP="00AD71ED">
      <w:pPr>
        <w:jc w:val="center"/>
        <w:rPr>
          <w:rFonts w:ascii="Arial" w:hAnsi="Arial" w:cs="Arial"/>
          <w:b/>
          <w:sz w:val="40"/>
          <w:szCs w:val="40"/>
        </w:rPr>
      </w:pPr>
    </w:p>
    <w:p w14:paraId="1BCC4A9F" w14:textId="77777777" w:rsidR="004A3BA6" w:rsidRPr="004A3BA6" w:rsidRDefault="004A3BA6" w:rsidP="004A3BA6">
      <w:pPr>
        <w:rPr>
          <w:rFonts w:ascii="Arial" w:hAnsi="Arial" w:cs="Arial"/>
          <w:b/>
          <w:sz w:val="40"/>
          <w:szCs w:val="40"/>
        </w:rPr>
      </w:pPr>
    </w:p>
    <w:p w14:paraId="07577022" w14:textId="77777777" w:rsidR="004A3BA6" w:rsidRPr="004A3BA6" w:rsidRDefault="004A3BA6" w:rsidP="00AD71ED">
      <w:pPr>
        <w:jc w:val="center"/>
        <w:rPr>
          <w:rFonts w:ascii="Arial" w:hAnsi="Arial" w:cs="Arial"/>
          <w:b/>
          <w:sz w:val="40"/>
          <w:szCs w:val="40"/>
        </w:rPr>
      </w:pPr>
    </w:p>
    <w:p w14:paraId="32DF2262" w14:textId="77777777" w:rsidR="00AD71ED" w:rsidRPr="004A3BA6" w:rsidRDefault="00AD71ED" w:rsidP="00AD71ED">
      <w:pPr>
        <w:jc w:val="center"/>
        <w:rPr>
          <w:rFonts w:ascii="Arial" w:hAnsi="Arial" w:cs="Arial"/>
          <w:b/>
          <w:sz w:val="40"/>
          <w:szCs w:val="40"/>
        </w:rPr>
      </w:pPr>
      <w:r w:rsidRPr="004A3BA6">
        <w:rPr>
          <w:rFonts w:ascii="Arial" w:hAnsi="Arial" w:cs="Arial"/>
          <w:b/>
          <w:sz w:val="40"/>
          <w:szCs w:val="40"/>
        </w:rPr>
        <w:t xml:space="preserve">NHS </w:t>
      </w:r>
      <w:r w:rsidR="00DA5C1E" w:rsidRPr="004A3BA6">
        <w:rPr>
          <w:rFonts w:ascii="Arial" w:hAnsi="Arial" w:cs="Arial"/>
          <w:b/>
          <w:sz w:val="40"/>
          <w:szCs w:val="40"/>
        </w:rPr>
        <w:t>Croydon</w:t>
      </w:r>
      <w:r w:rsidRPr="004A3BA6">
        <w:rPr>
          <w:rFonts w:ascii="Arial" w:hAnsi="Arial" w:cs="Arial"/>
          <w:b/>
          <w:sz w:val="40"/>
          <w:szCs w:val="40"/>
        </w:rPr>
        <w:t xml:space="preserve"> Clinical Commissioning Group (CCG)</w:t>
      </w:r>
    </w:p>
    <w:p w14:paraId="3536D38F" w14:textId="77777777" w:rsidR="00AD71ED" w:rsidRPr="004A3BA6" w:rsidRDefault="00AD71ED">
      <w:pPr>
        <w:rPr>
          <w:rFonts w:ascii="Calibri" w:hAnsi="Calibri" w:cs="Calibri"/>
          <w:b/>
          <w:sz w:val="40"/>
          <w:szCs w:val="40"/>
        </w:rPr>
      </w:pPr>
      <w:r w:rsidRPr="004A3BA6">
        <w:rPr>
          <w:rFonts w:ascii="Calibri" w:hAnsi="Calibri" w:cs="Calibri"/>
          <w:b/>
          <w:sz w:val="40"/>
          <w:szCs w:val="40"/>
        </w:rPr>
        <w:br w:type="page"/>
      </w:r>
    </w:p>
    <w:p w14:paraId="135EEA25" w14:textId="1E887C08" w:rsidR="00AD71ED" w:rsidRPr="00BB4DB7" w:rsidRDefault="004A3BA6" w:rsidP="00BF5C95">
      <w:pPr>
        <w:pStyle w:val="ListParagraph"/>
        <w:numPr>
          <w:ilvl w:val="0"/>
          <w:numId w:val="1"/>
        </w:numPr>
        <w:jc w:val="both"/>
        <w:rPr>
          <w:rFonts w:ascii="Arial" w:hAnsi="Arial" w:cs="Arial"/>
          <w:b/>
          <w:sz w:val="24"/>
          <w:szCs w:val="24"/>
        </w:rPr>
      </w:pPr>
      <w:r>
        <w:rPr>
          <w:rFonts w:ascii="Arial" w:hAnsi="Arial" w:cs="Arial"/>
          <w:b/>
          <w:sz w:val="24"/>
          <w:szCs w:val="24"/>
        </w:rPr>
        <w:lastRenderedPageBreak/>
        <w:t>PURPOSE</w:t>
      </w:r>
    </w:p>
    <w:p w14:paraId="3B495513" w14:textId="77777777" w:rsidR="00AD71ED" w:rsidRPr="00BF5C95" w:rsidRDefault="00AD71ED" w:rsidP="00BF5C95">
      <w:pPr>
        <w:jc w:val="both"/>
        <w:rPr>
          <w:rFonts w:ascii="Calibri" w:hAnsi="Calibri" w:cs="Calibri"/>
          <w:sz w:val="24"/>
          <w:szCs w:val="24"/>
        </w:rPr>
      </w:pPr>
    </w:p>
    <w:p w14:paraId="07518642" w14:textId="77777777" w:rsidR="00AD71ED" w:rsidRPr="00942AAC" w:rsidRDefault="00AD71ED" w:rsidP="00BF5C95">
      <w:pPr>
        <w:jc w:val="both"/>
        <w:rPr>
          <w:rFonts w:ascii="Arial" w:hAnsi="Arial" w:cs="Arial"/>
          <w:sz w:val="24"/>
          <w:szCs w:val="24"/>
        </w:rPr>
      </w:pPr>
      <w:r w:rsidRPr="00942AAC">
        <w:rPr>
          <w:rFonts w:ascii="Arial" w:hAnsi="Arial" w:cs="Arial"/>
          <w:sz w:val="24"/>
          <w:szCs w:val="24"/>
        </w:rPr>
        <w:t xml:space="preserve">The purpose of this Memorandum of Information (MOI) is to provide potential </w:t>
      </w:r>
      <w:r w:rsidR="00105A6C" w:rsidRPr="00942AAC">
        <w:rPr>
          <w:rFonts w:ascii="Arial" w:hAnsi="Arial" w:cs="Arial"/>
          <w:sz w:val="24"/>
          <w:szCs w:val="24"/>
        </w:rPr>
        <w:t>B</w:t>
      </w:r>
      <w:r w:rsidRPr="00942AAC">
        <w:rPr>
          <w:rFonts w:ascii="Arial" w:hAnsi="Arial" w:cs="Arial"/>
          <w:sz w:val="24"/>
          <w:szCs w:val="24"/>
        </w:rPr>
        <w:t>idder</w:t>
      </w:r>
      <w:r w:rsidR="00105A6C" w:rsidRPr="00942AAC">
        <w:rPr>
          <w:rFonts w:ascii="Arial" w:hAnsi="Arial" w:cs="Arial"/>
          <w:sz w:val="24"/>
          <w:szCs w:val="24"/>
        </w:rPr>
        <w:t>s</w:t>
      </w:r>
      <w:r w:rsidRPr="00942AAC">
        <w:rPr>
          <w:rFonts w:ascii="Arial" w:hAnsi="Arial" w:cs="Arial"/>
          <w:sz w:val="24"/>
          <w:szCs w:val="24"/>
        </w:rPr>
        <w:t xml:space="preserve"> with an overview of </w:t>
      </w:r>
      <w:r w:rsidR="00DA5C1E" w:rsidRPr="00942AAC">
        <w:rPr>
          <w:rFonts w:ascii="Arial" w:hAnsi="Arial" w:cs="Arial"/>
          <w:sz w:val="24"/>
          <w:szCs w:val="24"/>
        </w:rPr>
        <w:t>Croydon Intermediate Care Beds</w:t>
      </w:r>
      <w:r w:rsidR="002C6BB0">
        <w:rPr>
          <w:rFonts w:ascii="Arial" w:hAnsi="Arial" w:cs="Arial"/>
          <w:sz w:val="24"/>
          <w:szCs w:val="24"/>
        </w:rPr>
        <w:t xml:space="preserve"> </w:t>
      </w:r>
      <w:r w:rsidRPr="00942AAC">
        <w:rPr>
          <w:rFonts w:ascii="Arial" w:hAnsi="Arial" w:cs="Arial"/>
          <w:sz w:val="24"/>
          <w:szCs w:val="24"/>
        </w:rPr>
        <w:t xml:space="preserve">procurement that is being undertaken by NHS </w:t>
      </w:r>
      <w:r w:rsidR="00DA5C1E" w:rsidRPr="00942AAC">
        <w:rPr>
          <w:rFonts w:ascii="Arial" w:hAnsi="Arial" w:cs="Arial"/>
          <w:sz w:val="24"/>
          <w:szCs w:val="24"/>
        </w:rPr>
        <w:t>Croydon</w:t>
      </w:r>
      <w:r w:rsidRPr="00942AAC">
        <w:rPr>
          <w:rFonts w:ascii="Arial" w:hAnsi="Arial" w:cs="Arial"/>
          <w:sz w:val="24"/>
          <w:szCs w:val="24"/>
        </w:rPr>
        <w:t xml:space="preserve"> Clinical Commissioning Group (CCG). This will address details of the:</w:t>
      </w:r>
    </w:p>
    <w:p w14:paraId="2889EA83" w14:textId="2BB25A39" w:rsidR="00B06E16" w:rsidRDefault="00B06E16" w:rsidP="00BF5C95">
      <w:pPr>
        <w:pStyle w:val="ListParagraph"/>
        <w:numPr>
          <w:ilvl w:val="0"/>
          <w:numId w:val="2"/>
        </w:numPr>
        <w:jc w:val="both"/>
        <w:rPr>
          <w:rFonts w:ascii="Arial" w:hAnsi="Arial" w:cs="Arial"/>
          <w:sz w:val="24"/>
          <w:szCs w:val="24"/>
        </w:rPr>
      </w:pPr>
      <w:r>
        <w:rPr>
          <w:rFonts w:ascii="Arial" w:hAnsi="Arial" w:cs="Arial"/>
          <w:sz w:val="24"/>
          <w:szCs w:val="24"/>
        </w:rPr>
        <w:t>The Commissioning Organisation and population</w:t>
      </w:r>
      <w:r w:rsidR="007530C5">
        <w:rPr>
          <w:rFonts w:ascii="Arial" w:hAnsi="Arial" w:cs="Arial"/>
          <w:sz w:val="24"/>
          <w:szCs w:val="24"/>
        </w:rPr>
        <w:t>;</w:t>
      </w:r>
    </w:p>
    <w:p w14:paraId="5D9848F9" w14:textId="1BD1E3E7" w:rsidR="00AD71ED" w:rsidRPr="00942AAC" w:rsidRDefault="00AD71ED" w:rsidP="00BF5C95">
      <w:pPr>
        <w:pStyle w:val="ListParagraph"/>
        <w:numPr>
          <w:ilvl w:val="0"/>
          <w:numId w:val="2"/>
        </w:numPr>
        <w:jc w:val="both"/>
        <w:rPr>
          <w:rFonts w:ascii="Arial" w:hAnsi="Arial" w:cs="Arial"/>
          <w:sz w:val="24"/>
          <w:szCs w:val="24"/>
        </w:rPr>
      </w:pPr>
      <w:r w:rsidRPr="00942AAC">
        <w:rPr>
          <w:rFonts w:ascii="Arial" w:hAnsi="Arial" w:cs="Arial"/>
          <w:sz w:val="24"/>
          <w:szCs w:val="24"/>
        </w:rPr>
        <w:t xml:space="preserve">Strategic drivers and objectives for the </w:t>
      </w:r>
      <w:r w:rsidR="00B06E16">
        <w:rPr>
          <w:rFonts w:ascii="Arial" w:hAnsi="Arial" w:cs="Arial"/>
          <w:sz w:val="24"/>
          <w:szCs w:val="24"/>
        </w:rPr>
        <w:t>Service</w:t>
      </w:r>
      <w:r w:rsidRPr="00942AAC">
        <w:rPr>
          <w:rFonts w:ascii="Arial" w:hAnsi="Arial" w:cs="Arial"/>
          <w:sz w:val="24"/>
          <w:szCs w:val="24"/>
        </w:rPr>
        <w:t>;</w:t>
      </w:r>
    </w:p>
    <w:p w14:paraId="36345EBC" w14:textId="77777777" w:rsidR="00AD71ED" w:rsidRPr="00942AAC" w:rsidRDefault="00AD71ED" w:rsidP="00BF5C95">
      <w:pPr>
        <w:pStyle w:val="ListParagraph"/>
        <w:numPr>
          <w:ilvl w:val="0"/>
          <w:numId w:val="2"/>
        </w:numPr>
        <w:jc w:val="both"/>
        <w:rPr>
          <w:rFonts w:ascii="Arial" w:hAnsi="Arial" w:cs="Arial"/>
          <w:sz w:val="24"/>
          <w:szCs w:val="24"/>
        </w:rPr>
      </w:pPr>
      <w:r w:rsidRPr="00942AAC">
        <w:rPr>
          <w:rFonts w:ascii="Arial" w:hAnsi="Arial" w:cs="Arial"/>
          <w:sz w:val="24"/>
          <w:szCs w:val="24"/>
        </w:rPr>
        <w:t>Information about the current service provision; and</w:t>
      </w:r>
    </w:p>
    <w:p w14:paraId="122329D1" w14:textId="2BABD13E" w:rsidR="00AD71ED" w:rsidRPr="00942AAC" w:rsidRDefault="00B06E16" w:rsidP="00BF5C95">
      <w:pPr>
        <w:pStyle w:val="ListParagraph"/>
        <w:numPr>
          <w:ilvl w:val="0"/>
          <w:numId w:val="2"/>
        </w:numPr>
        <w:jc w:val="both"/>
        <w:rPr>
          <w:rFonts w:ascii="Arial" w:hAnsi="Arial" w:cs="Arial"/>
          <w:sz w:val="24"/>
          <w:szCs w:val="24"/>
        </w:rPr>
      </w:pPr>
      <w:r>
        <w:rPr>
          <w:rFonts w:ascii="Arial" w:hAnsi="Arial" w:cs="Arial"/>
          <w:sz w:val="24"/>
          <w:szCs w:val="24"/>
        </w:rPr>
        <w:t>S</w:t>
      </w:r>
      <w:r w:rsidR="00AD71ED" w:rsidRPr="00942AAC">
        <w:rPr>
          <w:rFonts w:ascii="Arial" w:hAnsi="Arial" w:cs="Arial"/>
          <w:sz w:val="24"/>
          <w:szCs w:val="24"/>
        </w:rPr>
        <w:t xml:space="preserve">ervice </w:t>
      </w:r>
      <w:r>
        <w:rPr>
          <w:rFonts w:ascii="Arial" w:hAnsi="Arial" w:cs="Arial"/>
          <w:sz w:val="24"/>
          <w:szCs w:val="24"/>
        </w:rPr>
        <w:t>objectives</w:t>
      </w:r>
      <w:r w:rsidR="00AD71ED" w:rsidRPr="00942AAC">
        <w:rPr>
          <w:rFonts w:ascii="Arial" w:hAnsi="Arial" w:cs="Arial"/>
          <w:sz w:val="24"/>
          <w:szCs w:val="24"/>
        </w:rPr>
        <w:t>.</w:t>
      </w:r>
    </w:p>
    <w:p w14:paraId="6A07F065" w14:textId="77777777" w:rsidR="00AD71ED" w:rsidRPr="00942AAC" w:rsidRDefault="00AD71ED" w:rsidP="00BF5C95">
      <w:pPr>
        <w:jc w:val="both"/>
        <w:rPr>
          <w:rFonts w:ascii="Arial" w:hAnsi="Arial" w:cs="Arial"/>
          <w:sz w:val="24"/>
          <w:szCs w:val="24"/>
        </w:rPr>
      </w:pPr>
    </w:p>
    <w:p w14:paraId="4D9E38BE" w14:textId="77777777" w:rsidR="00AD71ED" w:rsidRPr="00942AAC" w:rsidRDefault="00AD71ED" w:rsidP="00BF5C95">
      <w:pPr>
        <w:jc w:val="both"/>
        <w:rPr>
          <w:rFonts w:ascii="Arial" w:hAnsi="Arial" w:cs="Arial"/>
          <w:sz w:val="24"/>
          <w:szCs w:val="24"/>
        </w:rPr>
      </w:pPr>
      <w:r w:rsidRPr="00942AAC">
        <w:rPr>
          <w:rFonts w:ascii="Arial" w:hAnsi="Arial" w:cs="Arial"/>
          <w:sz w:val="24"/>
          <w:szCs w:val="24"/>
        </w:rPr>
        <w:t xml:space="preserve">This MOI is intended as a preliminary background explanation of NHS </w:t>
      </w:r>
      <w:r w:rsidR="00DA5C1E" w:rsidRPr="00942AAC">
        <w:rPr>
          <w:rFonts w:ascii="Arial" w:hAnsi="Arial" w:cs="Arial"/>
          <w:sz w:val="24"/>
          <w:szCs w:val="24"/>
        </w:rPr>
        <w:t>Croydon</w:t>
      </w:r>
      <w:r w:rsidRPr="00942AAC">
        <w:rPr>
          <w:rFonts w:ascii="Arial" w:hAnsi="Arial" w:cs="Arial"/>
          <w:sz w:val="24"/>
          <w:szCs w:val="24"/>
        </w:rPr>
        <w:t xml:space="preserve"> CCG, including its activities and plans. It is in no way intended to form the basis of any decision on the terms upon which the CCG will enter into any contractual relationship.</w:t>
      </w:r>
    </w:p>
    <w:p w14:paraId="49F3B9FF" w14:textId="77777777" w:rsidR="00AD71ED" w:rsidRPr="00942AAC" w:rsidRDefault="00AD71ED" w:rsidP="00BF5C95">
      <w:pPr>
        <w:jc w:val="both"/>
        <w:rPr>
          <w:rFonts w:ascii="Arial" w:hAnsi="Arial" w:cs="Arial"/>
          <w:sz w:val="24"/>
          <w:szCs w:val="24"/>
        </w:rPr>
      </w:pPr>
    </w:p>
    <w:p w14:paraId="3F8BBE88" w14:textId="4046682B" w:rsidR="00277E9F" w:rsidRDefault="004A3BA6" w:rsidP="00277E9F">
      <w:pPr>
        <w:pStyle w:val="ListParagraph"/>
        <w:numPr>
          <w:ilvl w:val="0"/>
          <w:numId w:val="1"/>
        </w:numPr>
        <w:jc w:val="both"/>
        <w:rPr>
          <w:rFonts w:ascii="Arial" w:hAnsi="Arial" w:cs="Arial"/>
          <w:b/>
          <w:sz w:val="24"/>
          <w:szCs w:val="24"/>
        </w:rPr>
      </w:pPr>
      <w:r>
        <w:rPr>
          <w:rFonts w:ascii="Arial" w:hAnsi="Arial" w:cs="Arial"/>
          <w:b/>
          <w:sz w:val="24"/>
          <w:szCs w:val="24"/>
        </w:rPr>
        <w:t>CROYDON INTERMEDIATE CARE BED SERVICE</w:t>
      </w:r>
    </w:p>
    <w:p w14:paraId="79A6FCFA" w14:textId="1F91AAD4" w:rsidR="00277E9F" w:rsidRDefault="00277E9F" w:rsidP="004A3BA6">
      <w:pPr>
        <w:jc w:val="both"/>
        <w:rPr>
          <w:rFonts w:ascii="Arial" w:hAnsi="Arial" w:cs="Arial"/>
          <w:b/>
          <w:sz w:val="24"/>
          <w:szCs w:val="24"/>
        </w:rPr>
      </w:pPr>
      <w:r>
        <w:rPr>
          <w:rFonts w:ascii="Arial" w:hAnsi="Arial" w:cs="Arial"/>
          <w:b/>
          <w:sz w:val="24"/>
          <w:szCs w:val="24"/>
        </w:rPr>
        <w:t>2.1</w:t>
      </w:r>
      <w:r>
        <w:rPr>
          <w:rFonts w:ascii="Arial" w:hAnsi="Arial" w:cs="Arial"/>
          <w:b/>
          <w:sz w:val="24"/>
          <w:szCs w:val="24"/>
        </w:rPr>
        <w:tab/>
        <w:t>Definitions</w:t>
      </w:r>
    </w:p>
    <w:p w14:paraId="3C478A4E" w14:textId="77777777" w:rsidR="00277E9F" w:rsidRDefault="00277E9F" w:rsidP="004A3BA6">
      <w:pPr>
        <w:jc w:val="both"/>
        <w:rPr>
          <w:rFonts w:ascii="Arial" w:hAnsi="Arial" w:cs="Arial"/>
          <w:b/>
          <w:sz w:val="24"/>
          <w:szCs w:val="24"/>
        </w:rPr>
      </w:pPr>
    </w:p>
    <w:p w14:paraId="4E7E8683" w14:textId="154A36CC" w:rsidR="0020008F" w:rsidRDefault="00277E9F" w:rsidP="004A3BA6">
      <w:pPr>
        <w:autoSpaceDE w:val="0"/>
        <w:autoSpaceDN w:val="0"/>
        <w:adjustRightInd w:val="0"/>
        <w:rPr>
          <w:rFonts w:ascii="Arial" w:hAnsi="Arial" w:cs="Arial"/>
          <w:sz w:val="24"/>
          <w:szCs w:val="24"/>
        </w:rPr>
      </w:pPr>
      <w:r w:rsidRPr="004A3BA6">
        <w:rPr>
          <w:rFonts w:ascii="Arial" w:hAnsi="Arial" w:cs="Arial"/>
          <w:sz w:val="24"/>
          <w:szCs w:val="24"/>
        </w:rPr>
        <w:t>The CCG wishes to commission an Intermediate Care Bed Service for Croydon residents</w:t>
      </w:r>
      <w:r w:rsidR="0020008F">
        <w:rPr>
          <w:rFonts w:ascii="Arial" w:hAnsi="Arial" w:cs="Arial"/>
          <w:sz w:val="24"/>
          <w:szCs w:val="24"/>
        </w:rPr>
        <w:t xml:space="preserve"> for the provision of</w:t>
      </w:r>
      <w:r w:rsidR="0020008F" w:rsidRPr="00942AAC">
        <w:rPr>
          <w:rFonts w:ascii="Arial" w:hAnsi="Arial" w:cs="Arial"/>
          <w:sz w:val="24"/>
          <w:szCs w:val="24"/>
        </w:rPr>
        <w:t xml:space="preserve"> </w:t>
      </w:r>
      <w:r w:rsidR="0020008F">
        <w:rPr>
          <w:rFonts w:ascii="Arial" w:hAnsi="Arial" w:cs="Arial"/>
          <w:bCs/>
          <w:color w:val="000000"/>
          <w:sz w:val="24"/>
          <w:szCs w:val="24"/>
          <w:lang w:eastAsia="en-GB"/>
        </w:rPr>
        <w:t xml:space="preserve">a range </w:t>
      </w:r>
      <w:r w:rsidR="00EC24EB">
        <w:rPr>
          <w:rFonts w:ascii="Arial" w:hAnsi="Arial" w:cs="Arial"/>
          <w:bCs/>
          <w:color w:val="000000"/>
          <w:sz w:val="24"/>
          <w:szCs w:val="24"/>
          <w:lang w:eastAsia="en-GB"/>
        </w:rPr>
        <w:t>of</w:t>
      </w:r>
      <w:r w:rsidR="00EC24EB" w:rsidRPr="00942AAC">
        <w:rPr>
          <w:rFonts w:ascii="Arial" w:hAnsi="Arial" w:cs="Arial"/>
          <w:bCs/>
          <w:color w:val="000000"/>
          <w:sz w:val="24"/>
          <w:szCs w:val="24"/>
          <w:lang w:eastAsia="en-GB"/>
        </w:rPr>
        <w:t xml:space="preserve"> ‘step</w:t>
      </w:r>
      <w:r w:rsidR="0020008F">
        <w:rPr>
          <w:rFonts w:ascii="Arial" w:hAnsi="Arial" w:cs="Arial"/>
          <w:bCs/>
          <w:color w:val="000000"/>
          <w:sz w:val="24"/>
          <w:szCs w:val="24"/>
          <w:lang w:eastAsia="en-GB"/>
        </w:rPr>
        <w:t xml:space="preserve">- </w:t>
      </w:r>
      <w:r w:rsidR="0020008F" w:rsidRPr="00942AAC">
        <w:rPr>
          <w:rFonts w:ascii="Arial" w:hAnsi="Arial" w:cs="Arial"/>
          <w:bCs/>
          <w:color w:val="000000"/>
          <w:sz w:val="24"/>
          <w:szCs w:val="24"/>
          <w:lang w:eastAsia="en-GB"/>
        </w:rPr>
        <w:t xml:space="preserve">up’ </w:t>
      </w:r>
      <w:r w:rsidR="0020008F">
        <w:rPr>
          <w:rFonts w:ascii="Arial" w:hAnsi="Arial" w:cs="Arial"/>
          <w:bCs/>
          <w:color w:val="000000"/>
          <w:sz w:val="24"/>
          <w:szCs w:val="24"/>
          <w:lang w:eastAsia="en-GB"/>
        </w:rPr>
        <w:t xml:space="preserve">and ‘step down’ beds </w:t>
      </w:r>
      <w:r w:rsidR="0020008F" w:rsidRPr="005D4F65">
        <w:rPr>
          <w:rFonts w:ascii="Arial" w:hAnsi="Arial" w:cs="Arial"/>
          <w:sz w:val="24"/>
          <w:szCs w:val="24"/>
        </w:rPr>
        <w:t xml:space="preserve">through joint working with social </w:t>
      </w:r>
      <w:r w:rsidR="00B23224">
        <w:rPr>
          <w:rFonts w:ascii="Arial" w:hAnsi="Arial" w:cs="Arial"/>
          <w:sz w:val="24"/>
          <w:szCs w:val="24"/>
        </w:rPr>
        <w:t>Services</w:t>
      </w:r>
      <w:r w:rsidR="0020008F" w:rsidRPr="005D4F65">
        <w:rPr>
          <w:rFonts w:ascii="Arial" w:hAnsi="Arial" w:cs="Arial"/>
          <w:sz w:val="24"/>
          <w:szCs w:val="24"/>
        </w:rPr>
        <w:t xml:space="preserve"> to ensure that Service User’s physical, mental and social wellbeing needs are met</w:t>
      </w:r>
      <w:r w:rsidR="00B23224">
        <w:rPr>
          <w:rFonts w:ascii="Arial" w:hAnsi="Arial" w:cs="Arial"/>
          <w:sz w:val="24"/>
          <w:szCs w:val="24"/>
        </w:rPr>
        <w:t xml:space="preserve"> and</w:t>
      </w:r>
      <w:r w:rsidR="0020008F" w:rsidRPr="005D4F65">
        <w:rPr>
          <w:rFonts w:ascii="Arial" w:hAnsi="Arial" w:cs="Arial"/>
          <w:sz w:val="24"/>
          <w:szCs w:val="24"/>
        </w:rPr>
        <w:t xml:space="preserve">  </w:t>
      </w:r>
      <w:r w:rsidR="00D70342" w:rsidRPr="005D4F65">
        <w:rPr>
          <w:rFonts w:ascii="Arial" w:hAnsi="Arial" w:cs="Arial"/>
          <w:sz w:val="24"/>
          <w:szCs w:val="24"/>
        </w:rPr>
        <w:t>avoid</w:t>
      </w:r>
      <w:r w:rsidR="006227EB" w:rsidRPr="005D4F65">
        <w:rPr>
          <w:rFonts w:ascii="Arial" w:hAnsi="Arial" w:cs="Arial"/>
          <w:sz w:val="24"/>
          <w:szCs w:val="24"/>
        </w:rPr>
        <w:t xml:space="preserve"> </w:t>
      </w:r>
      <w:r w:rsidR="0020008F" w:rsidRPr="005D4F65">
        <w:rPr>
          <w:rFonts w:ascii="Arial" w:hAnsi="Arial" w:cs="Arial"/>
          <w:sz w:val="24"/>
          <w:szCs w:val="24"/>
        </w:rPr>
        <w:t xml:space="preserve">acute hospital admission where it is appropriate to do so.  </w:t>
      </w:r>
    </w:p>
    <w:p w14:paraId="4CE14D97" w14:textId="77777777" w:rsidR="0020008F" w:rsidRDefault="0020008F" w:rsidP="004A3BA6">
      <w:pPr>
        <w:autoSpaceDE w:val="0"/>
        <w:autoSpaceDN w:val="0"/>
        <w:adjustRightInd w:val="0"/>
        <w:rPr>
          <w:rFonts w:ascii="Arial" w:hAnsi="Arial" w:cs="Arial"/>
          <w:sz w:val="24"/>
          <w:szCs w:val="24"/>
        </w:rPr>
      </w:pPr>
    </w:p>
    <w:p w14:paraId="4BBACFD0" w14:textId="66FB2C59" w:rsidR="0020008F" w:rsidRDefault="0020008F" w:rsidP="004A3BA6">
      <w:pPr>
        <w:autoSpaceDE w:val="0"/>
        <w:autoSpaceDN w:val="0"/>
        <w:adjustRightInd w:val="0"/>
        <w:rPr>
          <w:rFonts w:ascii="Arial" w:hAnsi="Arial" w:cs="Arial"/>
          <w:sz w:val="24"/>
          <w:szCs w:val="24"/>
        </w:rPr>
      </w:pPr>
      <w:r>
        <w:rPr>
          <w:rFonts w:ascii="Arial" w:hAnsi="Arial" w:cs="Arial"/>
          <w:sz w:val="24"/>
          <w:szCs w:val="24"/>
        </w:rPr>
        <w:t>The Croydon vision for the Intermediate Care Bed service will support:</w:t>
      </w:r>
    </w:p>
    <w:p w14:paraId="50FC6E69" w14:textId="5FBD32A8" w:rsidR="0020008F" w:rsidRDefault="0020008F" w:rsidP="0020008F">
      <w:pPr>
        <w:numPr>
          <w:ilvl w:val="0"/>
          <w:numId w:val="26"/>
        </w:numPr>
        <w:spacing w:after="200" w:line="276" w:lineRule="auto"/>
        <w:contextualSpacing/>
        <w:jc w:val="both"/>
        <w:rPr>
          <w:rFonts w:ascii="Arial" w:hAnsi="Arial" w:cs="Arial"/>
          <w:sz w:val="24"/>
          <w:szCs w:val="24"/>
        </w:rPr>
      </w:pPr>
      <w:r>
        <w:rPr>
          <w:rFonts w:ascii="Arial" w:hAnsi="Arial" w:cs="Arial"/>
          <w:sz w:val="24"/>
          <w:szCs w:val="24"/>
        </w:rPr>
        <w:t>The delivery of</w:t>
      </w:r>
      <w:r w:rsidRPr="0020008F">
        <w:rPr>
          <w:rFonts w:ascii="Arial" w:hAnsi="Arial" w:cs="Arial"/>
          <w:sz w:val="24"/>
          <w:szCs w:val="24"/>
        </w:rPr>
        <w:t xml:space="preserve"> responsive rehabilitation services to people who would otherwise face unnecessarily prolonged hospital stays or inappropriate admission to acute inpatient care or long term residential care </w:t>
      </w:r>
    </w:p>
    <w:p w14:paraId="3FDEA9EB" w14:textId="4EB31EE5" w:rsidR="00682127" w:rsidRDefault="00682127" w:rsidP="004A3BA6">
      <w:pPr>
        <w:numPr>
          <w:ilvl w:val="0"/>
          <w:numId w:val="26"/>
        </w:numPr>
        <w:spacing w:after="200" w:line="276" w:lineRule="auto"/>
        <w:contextualSpacing/>
        <w:jc w:val="both"/>
        <w:rPr>
          <w:rFonts w:ascii="Arial" w:hAnsi="Arial" w:cs="Arial"/>
          <w:sz w:val="24"/>
          <w:szCs w:val="24"/>
        </w:rPr>
      </w:pPr>
      <w:r w:rsidRPr="00682127">
        <w:rPr>
          <w:rFonts w:ascii="Arial" w:hAnsi="Arial" w:cs="Arial"/>
          <w:sz w:val="24"/>
          <w:szCs w:val="24"/>
        </w:rPr>
        <w:t>P</w:t>
      </w:r>
      <w:r w:rsidR="0020008F" w:rsidRPr="00682127">
        <w:rPr>
          <w:rFonts w:ascii="Arial" w:hAnsi="Arial" w:cs="Arial"/>
          <w:sz w:val="24"/>
          <w:szCs w:val="24"/>
        </w:rPr>
        <w:t>rofessional working with a single assessment framework, single professional records, shared protocols and shared care with the aim of care planning documented and agreed with the service user or carer.</w:t>
      </w:r>
    </w:p>
    <w:p w14:paraId="78B90489" w14:textId="77777777" w:rsidR="00682127" w:rsidRDefault="00682127" w:rsidP="004A3BA6">
      <w:pPr>
        <w:spacing w:after="200" w:line="276" w:lineRule="auto"/>
        <w:ind w:left="720"/>
        <w:contextualSpacing/>
        <w:rPr>
          <w:rFonts w:ascii="Arial" w:hAnsi="Arial" w:cs="Arial"/>
          <w:sz w:val="24"/>
          <w:szCs w:val="24"/>
        </w:rPr>
      </w:pPr>
    </w:p>
    <w:p w14:paraId="5005DA71" w14:textId="16AA7C34" w:rsidR="00682127" w:rsidRDefault="00C629AF" w:rsidP="00682127">
      <w:pPr>
        <w:spacing w:after="200" w:line="276" w:lineRule="auto"/>
        <w:rPr>
          <w:rFonts w:ascii="Arial" w:hAnsi="Arial" w:cs="Arial"/>
          <w:sz w:val="24"/>
          <w:szCs w:val="24"/>
        </w:rPr>
      </w:pPr>
      <w:r>
        <w:rPr>
          <w:rFonts w:ascii="Arial" w:hAnsi="Arial" w:cs="Arial"/>
          <w:sz w:val="24"/>
          <w:szCs w:val="24"/>
        </w:rPr>
        <w:t>The service procurement is an opportunity to provide</w:t>
      </w:r>
      <w:r w:rsidR="00682127">
        <w:rPr>
          <w:rFonts w:ascii="Arial" w:hAnsi="Arial" w:cs="Arial"/>
          <w:sz w:val="24"/>
          <w:szCs w:val="24"/>
        </w:rPr>
        <w:t xml:space="preserve"> fourteen Intermediate Care Beds in Croydon on a block contract basis with the ability to flex </w:t>
      </w:r>
      <w:r w:rsidR="00B23224">
        <w:rPr>
          <w:rFonts w:ascii="Arial" w:hAnsi="Arial" w:cs="Arial"/>
          <w:sz w:val="24"/>
          <w:szCs w:val="24"/>
        </w:rPr>
        <w:t>up to</w:t>
      </w:r>
      <w:r w:rsidR="00682127">
        <w:rPr>
          <w:rFonts w:ascii="Arial" w:hAnsi="Arial" w:cs="Arial"/>
          <w:sz w:val="24"/>
          <w:szCs w:val="24"/>
        </w:rPr>
        <w:t xml:space="preserve"> 8 additional beds during the winter pressure period and </w:t>
      </w:r>
      <w:r w:rsidR="006227EB">
        <w:rPr>
          <w:rFonts w:ascii="Arial" w:hAnsi="Arial" w:cs="Arial"/>
          <w:sz w:val="24"/>
          <w:szCs w:val="24"/>
        </w:rPr>
        <w:t xml:space="preserve">at </w:t>
      </w:r>
      <w:r w:rsidR="00682127">
        <w:rPr>
          <w:rFonts w:ascii="Arial" w:hAnsi="Arial" w:cs="Arial"/>
          <w:sz w:val="24"/>
          <w:szCs w:val="24"/>
        </w:rPr>
        <w:t>other times when additional capacity is needed on a cost per day basis.  There are on-going discussions with the London Borough of Croydon to align the provision of intermediate care bed with reablement support in the Borough.</w:t>
      </w:r>
    </w:p>
    <w:p w14:paraId="6CEFFC6B" w14:textId="77777777" w:rsidR="00682127" w:rsidRPr="00682127" w:rsidRDefault="00682127" w:rsidP="004A3BA6">
      <w:pPr>
        <w:spacing w:after="200" w:line="276" w:lineRule="auto"/>
        <w:contextualSpacing/>
        <w:rPr>
          <w:rFonts w:ascii="Arial" w:hAnsi="Arial" w:cs="Arial"/>
          <w:sz w:val="24"/>
          <w:szCs w:val="24"/>
        </w:rPr>
      </w:pPr>
    </w:p>
    <w:p w14:paraId="0D660461" w14:textId="77777777" w:rsidR="0020008F" w:rsidRPr="004A3BA6" w:rsidRDefault="0020008F" w:rsidP="004A3BA6">
      <w:pPr>
        <w:autoSpaceDE w:val="0"/>
        <w:autoSpaceDN w:val="0"/>
        <w:adjustRightInd w:val="0"/>
        <w:rPr>
          <w:rFonts w:ascii="Arial" w:hAnsi="Arial" w:cs="Arial"/>
        </w:rPr>
      </w:pPr>
    </w:p>
    <w:p w14:paraId="263357D6" w14:textId="468B4CE7" w:rsidR="00AD71ED" w:rsidRPr="00942AAC" w:rsidRDefault="00DE7CD8" w:rsidP="005D4F65">
      <w:pPr>
        <w:pStyle w:val="ListParagraph"/>
        <w:ind w:left="360"/>
        <w:jc w:val="both"/>
        <w:rPr>
          <w:rFonts w:ascii="Arial" w:hAnsi="Arial" w:cs="Arial"/>
          <w:b/>
          <w:sz w:val="24"/>
          <w:szCs w:val="24"/>
        </w:rPr>
      </w:pPr>
      <w:r>
        <w:rPr>
          <w:rFonts w:ascii="Arial" w:hAnsi="Arial" w:cs="Arial"/>
          <w:b/>
          <w:sz w:val="24"/>
          <w:szCs w:val="24"/>
        </w:rPr>
        <w:t>2.2</w:t>
      </w:r>
      <w:r>
        <w:rPr>
          <w:rFonts w:ascii="Arial" w:hAnsi="Arial" w:cs="Arial"/>
          <w:b/>
          <w:sz w:val="24"/>
          <w:szCs w:val="24"/>
        </w:rPr>
        <w:tab/>
      </w:r>
      <w:r w:rsidR="00AD71ED" w:rsidRPr="00942AAC">
        <w:rPr>
          <w:rFonts w:ascii="Arial" w:hAnsi="Arial" w:cs="Arial"/>
          <w:b/>
          <w:sz w:val="24"/>
          <w:szCs w:val="24"/>
        </w:rPr>
        <w:t>The Commissioning Organisation</w:t>
      </w:r>
    </w:p>
    <w:p w14:paraId="1ABD6B4F" w14:textId="77777777" w:rsidR="00AD71ED" w:rsidRPr="00942AAC" w:rsidRDefault="00AD71ED" w:rsidP="00BF5C95">
      <w:pPr>
        <w:jc w:val="both"/>
        <w:rPr>
          <w:rFonts w:ascii="Arial" w:hAnsi="Arial" w:cs="Arial"/>
          <w:sz w:val="24"/>
          <w:szCs w:val="24"/>
        </w:rPr>
      </w:pPr>
    </w:p>
    <w:p w14:paraId="4816C411" w14:textId="7EFB623B" w:rsidR="00DE7CD8" w:rsidRDefault="00AD71ED" w:rsidP="00DE7CD8">
      <w:pPr>
        <w:jc w:val="both"/>
        <w:rPr>
          <w:rFonts w:ascii="Arial" w:hAnsi="Arial" w:cs="Arial"/>
          <w:sz w:val="24"/>
          <w:szCs w:val="24"/>
        </w:rPr>
      </w:pPr>
      <w:r w:rsidRPr="00942AAC">
        <w:rPr>
          <w:rFonts w:ascii="Arial" w:hAnsi="Arial" w:cs="Arial"/>
          <w:sz w:val="24"/>
          <w:szCs w:val="24"/>
        </w:rPr>
        <w:t xml:space="preserve">NHS </w:t>
      </w:r>
      <w:r w:rsidR="00DA5C1E" w:rsidRPr="00942AAC">
        <w:rPr>
          <w:rFonts w:ascii="Arial" w:hAnsi="Arial" w:cs="Arial"/>
          <w:sz w:val="24"/>
          <w:szCs w:val="24"/>
        </w:rPr>
        <w:t>Croydon</w:t>
      </w:r>
      <w:r w:rsidRPr="00942AAC">
        <w:rPr>
          <w:rFonts w:ascii="Arial" w:hAnsi="Arial" w:cs="Arial"/>
          <w:sz w:val="24"/>
          <w:szCs w:val="24"/>
        </w:rPr>
        <w:t xml:space="preserve"> CCG is a statutory organisation, responsible for planning and </w:t>
      </w:r>
      <w:r w:rsidR="00DA5C1E" w:rsidRPr="00942AAC">
        <w:rPr>
          <w:rFonts w:ascii="Arial" w:hAnsi="Arial" w:cs="Arial"/>
          <w:sz w:val="24"/>
          <w:szCs w:val="24"/>
        </w:rPr>
        <w:t xml:space="preserve">commissioning </w:t>
      </w:r>
      <w:r w:rsidRPr="00942AAC">
        <w:rPr>
          <w:rFonts w:ascii="Arial" w:hAnsi="Arial" w:cs="Arial"/>
          <w:sz w:val="24"/>
          <w:szCs w:val="24"/>
        </w:rPr>
        <w:t>local health services and working with providers to ensure the quality of those services.</w:t>
      </w:r>
      <w:r w:rsidR="00DE7CD8">
        <w:rPr>
          <w:rFonts w:ascii="Arial" w:hAnsi="Arial" w:cs="Arial"/>
          <w:sz w:val="24"/>
          <w:szCs w:val="24"/>
        </w:rPr>
        <w:t xml:space="preserve"> </w:t>
      </w:r>
      <w:r w:rsidR="00DE7CD8" w:rsidRPr="00942AAC">
        <w:rPr>
          <w:rFonts w:ascii="Arial" w:hAnsi="Arial" w:cs="Arial"/>
          <w:sz w:val="24"/>
          <w:szCs w:val="24"/>
        </w:rPr>
        <w:t xml:space="preserve">Across the CCG, </w:t>
      </w:r>
      <w:r w:rsidR="00DE7CD8">
        <w:rPr>
          <w:rFonts w:ascii="Arial" w:hAnsi="Arial" w:cs="Arial"/>
          <w:sz w:val="24"/>
          <w:szCs w:val="24"/>
        </w:rPr>
        <w:t>57 GP</w:t>
      </w:r>
      <w:r w:rsidR="00DE7CD8" w:rsidRPr="00942AAC">
        <w:rPr>
          <w:rFonts w:ascii="Arial" w:hAnsi="Arial" w:cs="Arial"/>
          <w:sz w:val="24"/>
          <w:szCs w:val="24"/>
        </w:rPr>
        <w:t xml:space="preserve"> practices work collaboratively in 6 Networks.  </w:t>
      </w:r>
      <w:r w:rsidR="00894466" w:rsidRPr="00942AAC">
        <w:rPr>
          <w:rFonts w:ascii="Arial" w:hAnsi="Arial" w:cs="Arial"/>
          <w:sz w:val="24"/>
          <w:szCs w:val="24"/>
        </w:rPr>
        <w:t>The</w:t>
      </w:r>
      <w:r w:rsidR="00894466">
        <w:rPr>
          <w:rFonts w:ascii="Arial" w:hAnsi="Arial" w:cs="Arial"/>
          <w:sz w:val="24"/>
          <w:szCs w:val="24"/>
        </w:rPr>
        <w:t xml:space="preserve"> 6 Networks</w:t>
      </w:r>
      <w:r w:rsidR="00894466" w:rsidRPr="00942AAC">
        <w:rPr>
          <w:rFonts w:ascii="Arial" w:hAnsi="Arial" w:cs="Arial"/>
          <w:sz w:val="24"/>
          <w:szCs w:val="24"/>
        </w:rPr>
        <w:t xml:space="preserve"> </w:t>
      </w:r>
      <w:r w:rsidR="00DE7CD8" w:rsidRPr="00942AAC">
        <w:rPr>
          <w:rFonts w:ascii="Arial" w:hAnsi="Arial" w:cs="Arial"/>
          <w:sz w:val="24"/>
          <w:szCs w:val="24"/>
        </w:rPr>
        <w:t xml:space="preserve">are: </w:t>
      </w:r>
    </w:p>
    <w:p w14:paraId="2C6C9D03" w14:textId="77777777" w:rsidR="00DE7CD8" w:rsidRPr="00942AAC" w:rsidRDefault="00DE7CD8" w:rsidP="00DE7CD8">
      <w:pPr>
        <w:jc w:val="both"/>
        <w:rPr>
          <w:rFonts w:ascii="Arial" w:hAnsi="Arial" w:cs="Arial"/>
          <w:sz w:val="24"/>
          <w:szCs w:val="24"/>
        </w:rPr>
      </w:pPr>
    </w:p>
    <w:p w14:paraId="5DD057F3" w14:textId="77777777" w:rsidR="00DE7CD8" w:rsidRPr="00942AAC" w:rsidRDefault="00DE7CD8" w:rsidP="00DE7CD8">
      <w:pPr>
        <w:pStyle w:val="ListParagraph"/>
        <w:numPr>
          <w:ilvl w:val="0"/>
          <w:numId w:val="20"/>
        </w:numPr>
        <w:jc w:val="both"/>
        <w:rPr>
          <w:rFonts w:ascii="Arial" w:hAnsi="Arial" w:cs="Arial"/>
          <w:sz w:val="24"/>
          <w:szCs w:val="24"/>
        </w:rPr>
      </w:pPr>
      <w:r w:rsidRPr="00942AAC">
        <w:rPr>
          <w:rFonts w:ascii="Arial" w:hAnsi="Arial" w:cs="Arial"/>
          <w:sz w:val="24"/>
          <w:szCs w:val="24"/>
        </w:rPr>
        <w:t>Mayday</w:t>
      </w:r>
    </w:p>
    <w:p w14:paraId="1CCAF9A5" w14:textId="77777777" w:rsidR="00DE7CD8" w:rsidRPr="00942AAC" w:rsidRDefault="00DE7CD8" w:rsidP="00DE7CD8">
      <w:pPr>
        <w:pStyle w:val="ListParagraph"/>
        <w:numPr>
          <w:ilvl w:val="0"/>
          <w:numId w:val="20"/>
        </w:numPr>
        <w:jc w:val="both"/>
        <w:rPr>
          <w:rFonts w:ascii="Arial" w:hAnsi="Arial" w:cs="Arial"/>
          <w:sz w:val="24"/>
          <w:szCs w:val="24"/>
        </w:rPr>
      </w:pPr>
      <w:r w:rsidRPr="00942AAC">
        <w:rPr>
          <w:rFonts w:ascii="Arial" w:hAnsi="Arial" w:cs="Arial"/>
          <w:sz w:val="24"/>
          <w:szCs w:val="24"/>
        </w:rPr>
        <w:t>East Croydon</w:t>
      </w:r>
    </w:p>
    <w:p w14:paraId="31D7E5CA" w14:textId="77777777" w:rsidR="00DE7CD8" w:rsidRPr="00942AAC" w:rsidRDefault="00DE7CD8" w:rsidP="00DE7CD8">
      <w:pPr>
        <w:pStyle w:val="ListParagraph"/>
        <w:numPr>
          <w:ilvl w:val="0"/>
          <w:numId w:val="20"/>
        </w:numPr>
        <w:jc w:val="both"/>
        <w:rPr>
          <w:rFonts w:ascii="Arial" w:hAnsi="Arial" w:cs="Arial"/>
          <w:sz w:val="24"/>
          <w:szCs w:val="24"/>
        </w:rPr>
      </w:pPr>
      <w:r w:rsidRPr="00942AAC">
        <w:rPr>
          <w:rFonts w:ascii="Arial" w:hAnsi="Arial" w:cs="Arial"/>
          <w:sz w:val="24"/>
          <w:szCs w:val="24"/>
        </w:rPr>
        <w:t>New Addington/Selsdon</w:t>
      </w:r>
    </w:p>
    <w:p w14:paraId="42974EB9" w14:textId="77777777" w:rsidR="00DE7CD8" w:rsidRPr="00942AAC" w:rsidRDefault="00DE7CD8" w:rsidP="00DE7CD8">
      <w:pPr>
        <w:pStyle w:val="ListParagraph"/>
        <w:numPr>
          <w:ilvl w:val="0"/>
          <w:numId w:val="20"/>
        </w:numPr>
        <w:jc w:val="both"/>
        <w:rPr>
          <w:rFonts w:ascii="Arial" w:hAnsi="Arial" w:cs="Arial"/>
          <w:sz w:val="24"/>
          <w:szCs w:val="24"/>
        </w:rPr>
      </w:pPr>
      <w:r w:rsidRPr="00942AAC">
        <w:rPr>
          <w:rFonts w:ascii="Arial" w:hAnsi="Arial" w:cs="Arial"/>
          <w:sz w:val="24"/>
          <w:szCs w:val="24"/>
        </w:rPr>
        <w:t>Purley</w:t>
      </w:r>
    </w:p>
    <w:p w14:paraId="41B3EEF7" w14:textId="77777777" w:rsidR="00DE7CD8" w:rsidRPr="00942AAC" w:rsidRDefault="00DE7CD8" w:rsidP="00DE7CD8">
      <w:pPr>
        <w:pStyle w:val="ListParagraph"/>
        <w:numPr>
          <w:ilvl w:val="0"/>
          <w:numId w:val="20"/>
        </w:numPr>
        <w:jc w:val="both"/>
        <w:rPr>
          <w:rFonts w:ascii="Arial" w:hAnsi="Arial" w:cs="Arial"/>
          <w:sz w:val="24"/>
          <w:szCs w:val="24"/>
        </w:rPr>
      </w:pPr>
      <w:r w:rsidRPr="00942AAC">
        <w:rPr>
          <w:rFonts w:ascii="Arial" w:hAnsi="Arial" w:cs="Arial"/>
          <w:sz w:val="24"/>
          <w:szCs w:val="24"/>
        </w:rPr>
        <w:t>Thornton Heath</w:t>
      </w:r>
    </w:p>
    <w:p w14:paraId="2EE358D1" w14:textId="77777777" w:rsidR="00DE7CD8" w:rsidRDefault="00DE7CD8" w:rsidP="00DE7CD8">
      <w:pPr>
        <w:pStyle w:val="ListParagraph"/>
        <w:numPr>
          <w:ilvl w:val="0"/>
          <w:numId w:val="20"/>
        </w:numPr>
        <w:jc w:val="both"/>
        <w:rPr>
          <w:rFonts w:ascii="Arial" w:hAnsi="Arial" w:cs="Arial"/>
          <w:sz w:val="24"/>
          <w:szCs w:val="24"/>
        </w:rPr>
      </w:pPr>
      <w:r w:rsidRPr="00942AAC">
        <w:rPr>
          <w:rFonts w:ascii="Arial" w:hAnsi="Arial" w:cs="Arial"/>
          <w:sz w:val="24"/>
          <w:szCs w:val="24"/>
        </w:rPr>
        <w:t>Woodside/Shirley</w:t>
      </w:r>
    </w:p>
    <w:p w14:paraId="62D310A8" w14:textId="77777777" w:rsidR="00DE7CD8" w:rsidRPr="00942AAC" w:rsidRDefault="00DE7CD8" w:rsidP="00DE7CD8">
      <w:pPr>
        <w:pStyle w:val="ListParagraph"/>
        <w:jc w:val="both"/>
        <w:rPr>
          <w:rFonts w:ascii="Arial" w:hAnsi="Arial" w:cs="Arial"/>
          <w:sz w:val="24"/>
          <w:szCs w:val="24"/>
        </w:rPr>
      </w:pPr>
    </w:p>
    <w:p w14:paraId="5632E8DA" w14:textId="77777777" w:rsidR="00DE7CD8" w:rsidRPr="00942AAC" w:rsidRDefault="00DE7CD8" w:rsidP="00DE7CD8">
      <w:pPr>
        <w:jc w:val="both"/>
        <w:rPr>
          <w:rFonts w:ascii="Arial" w:hAnsi="Arial" w:cs="Arial"/>
          <w:sz w:val="24"/>
          <w:szCs w:val="24"/>
        </w:rPr>
      </w:pPr>
      <w:r w:rsidRPr="00942AAC">
        <w:rPr>
          <w:rFonts w:ascii="Arial" w:hAnsi="Arial" w:cs="Arial"/>
          <w:sz w:val="24"/>
          <w:szCs w:val="24"/>
        </w:rPr>
        <w:t>The networks provide peer support and learning for practices and enables practices to take a local view on how health services can be improved for their patients.</w:t>
      </w:r>
    </w:p>
    <w:p w14:paraId="470BA8A9" w14:textId="0DB59336" w:rsidR="00AD71ED" w:rsidRDefault="00DE7CD8" w:rsidP="00BF5C95">
      <w:pPr>
        <w:jc w:val="both"/>
        <w:rPr>
          <w:rFonts w:ascii="Calibri" w:hAnsi="Calibri" w:cs="Calibri"/>
          <w:sz w:val="24"/>
          <w:szCs w:val="24"/>
        </w:rPr>
      </w:pPr>
      <w:r w:rsidRPr="00B03F65">
        <w:rPr>
          <w:rFonts w:ascii="Arial" w:hAnsi="Arial" w:cs="Arial"/>
          <w:noProof/>
          <w:color w:val="444444"/>
          <w:lang w:eastAsia="en-GB"/>
        </w:rPr>
        <w:drawing>
          <wp:inline distT="0" distB="0" distL="0" distR="0" wp14:anchorId="09DD47E7" wp14:editId="091C0EC3">
            <wp:extent cx="5720080" cy="3955415"/>
            <wp:effectExtent l="0" t="0" r="0" b="6985"/>
            <wp:docPr id="1" name="Picture 4" descr="http://www.croydonccg.nhs.uk/about-us/clinical-networks/PublishingImages/NHS%20Croydon%20CCG%20GP%20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roydonccg.nhs.uk/about-us/clinical-networks/PublishingImages/NHS%20Croydon%20CCG%20GP%20Map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0080" cy="3955415"/>
                    </a:xfrm>
                    <a:prstGeom prst="rect">
                      <a:avLst/>
                    </a:prstGeom>
                    <a:noFill/>
                    <a:ln>
                      <a:noFill/>
                    </a:ln>
                  </pic:spPr>
                </pic:pic>
              </a:graphicData>
            </a:graphic>
          </wp:inline>
        </w:drawing>
      </w:r>
    </w:p>
    <w:p w14:paraId="7DBA065F" w14:textId="21FB9FAC" w:rsidR="00DE7CD8" w:rsidRPr="005D4F65" w:rsidRDefault="00DE7CD8" w:rsidP="00BF5C95">
      <w:pPr>
        <w:jc w:val="both"/>
        <w:rPr>
          <w:rFonts w:ascii="Calibri" w:hAnsi="Calibri" w:cs="Calibri"/>
          <w:i/>
          <w:sz w:val="24"/>
          <w:szCs w:val="24"/>
        </w:rPr>
      </w:pPr>
      <w:r w:rsidRPr="005D4F65">
        <w:rPr>
          <w:rFonts w:ascii="Calibri" w:hAnsi="Calibri" w:cs="Calibri"/>
          <w:i/>
          <w:sz w:val="24"/>
          <w:szCs w:val="24"/>
        </w:rPr>
        <w:t>More information required</w:t>
      </w:r>
    </w:p>
    <w:p w14:paraId="649361A5" w14:textId="77777777" w:rsidR="00DE7CD8" w:rsidRPr="00BF5C95" w:rsidRDefault="00DE7CD8" w:rsidP="00BF5C95">
      <w:pPr>
        <w:jc w:val="both"/>
        <w:rPr>
          <w:rFonts w:ascii="Calibri" w:hAnsi="Calibri" w:cs="Calibri"/>
          <w:sz w:val="24"/>
          <w:szCs w:val="24"/>
        </w:rPr>
      </w:pPr>
    </w:p>
    <w:p w14:paraId="0A9B71BB" w14:textId="21FAA94C" w:rsidR="00661035" w:rsidRPr="005D4F65" w:rsidRDefault="00DE7CD8" w:rsidP="00661035">
      <w:pPr>
        <w:rPr>
          <w:rFonts w:ascii="Arial" w:hAnsi="Arial" w:cs="Arial"/>
          <w:b/>
          <w:sz w:val="24"/>
          <w:szCs w:val="24"/>
        </w:rPr>
      </w:pPr>
      <w:r w:rsidRPr="005D4F65">
        <w:rPr>
          <w:rFonts w:ascii="Arial" w:hAnsi="Arial" w:cs="Arial"/>
          <w:b/>
          <w:sz w:val="24"/>
          <w:szCs w:val="24"/>
        </w:rPr>
        <w:t>2.2.1</w:t>
      </w:r>
      <w:r w:rsidRPr="005D4F65">
        <w:rPr>
          <w:rFonts w:ascii="Arial" w:hAnsi="Arial" w:cs="Arial"/>
          <w:b/>
          <w:sz w:val="24"/>
          <w:szCs w:val="24"/>
        </w:rPr>
        <w:tab/>
      </w:r>
      <w:r w:rsidR="00661035" w:rsidRPr="005D4F65">
        <w:rPr>
          <w:rFonts w:ascii="Arial" w:hAnsi="Arial" w:cs="Arial"/>
          <w:b/>
          <w:sz w:val="24"/>
          <w:szCs w:val="24"/>
        </w:rPr>
        <w:t>Population</w:t>
      </w:r>
    </w:p>
    <w:p w14:paraId="085C0F5F" w14:textId="382CF291" w:rsidR="00661035" w:rsidRPr="00AE65E9" w:rsidRDefault="00661035" w:rsidP="00AE65E9">
      <w:pPr>
        <w:spacing w:after="200" w:line="276" w:lineRule="auto"/>
        <w:rPr>
          <w:rFonts w:ascii="Arial" w:eastAsia="Calibri" w:hAnsi="Arial" w:cs="Arial"/>
          <w:color w:val="000000" w:themeColor="text1"/>
          <w:sz w:val="24"/>
          <w:szCs w:val="24"/>
          <w:lang w:eastAsia="en-GB"/>
        </w:rPr>
      </w:pPr>
      <w:r w:rsidRPr="00AE65E9">
        <w:rPr>
          <w:rFonts w:ascii="Arial" w:eastAsia="Calibri" w:hAnsi="Arial" w:cs="Arial"/>
          <w:color w:val="000000" w:themeColor="text1"/>
          <w:sz w:val="24"/>
          <w:szCs w:val="24"/>
          <w:lang w:eastAsia="en-GB"/>
        </w:rPr>
        <w:t>As at 2016, Croydon had an overall population of 382,304 of which 50,937 were aged 65 years or older (older adults) equating to nearly 13% of the general population.  (</w:t>
      </w:r>
      <w:r w:rsidR="006227EB">
        <w:rPr>
          <w:rFonts w:ascii="Arial" w:eastAsia="Calibri" w:hAnsi="Arial" w:cs="Arial"/>
          <w:color w:val="000000" w:themeColor="text1"/>
          <w:sz w:val="24"/>
          <w:szCs w:val="24"/>
          <w:lang w:eastAsia="en-GB"/>
        </w:rPr>
        <w:t>i</w:t>
      </w:r>
      <w:r w:rsidRPr="00AE65E9">
        <w:rPr>
          <w:rFonts w:ascii="Arial" w:eastAsia="Calibri" w:hAnsi="Arial" w:cs="Arial"/>
          <w:color w:val="000000" w:themeColor="text1"/>
          <w:sz w:val="24"/>
          <w:szCs w:val="24"/>
          <w:lang w:eastAsia="en-GB"/>
        </w:rPr>
        <w:t xml:space="preserve">.e. 1 in 8 Croydon residents is an older adult).  An analysis of population projection shows that the prevalence of long term conditions in Croydon is predicted to increase in future years. </w:t>
      </w:r>
    </w:p>
    <w:p w14:paraId="4EC65221" w14:textId="77777777" w:rsidR="00661035" w:rsidRDefault="00661035" w:rsidP="00661035">
      <w:pPr>
        <w:rPr>
          <w:rFonts w:ascii="Arial" w:hAnsi="Arial" w:cs="Arial"/>
          <w:sz w:val="24"/>
          <w:szCs w:val="24"/>
        </w:rPr>
      </w:pPr>
    </w:p>
    <w:p w14:paraId="621328E1" w14:textId="283D93C4" w:rsidR="00B623A3" w:rsidRPr="005D4F65" w:rsidRDefault="00DE7CD8" w:rsidP="004A3BA6">
      <w:pPr>
        <w:rPr>
          <w:rFonts w:ascii="Arial" w:hAnsi="Arial" w:cs="Arial"/>
          <w:b/>
          <w:sz w:val="24"/>
          <w:szCs w:val="24"/>
        </w:rPr>
      </w:pPr>
      <w:r w:rsidRPr="005D4F65">
        <w:rPr>
          <w:rFonts w:ascii="Arial" w:hAnsi="Arial" w:cs="Arial"/>
          <w:b/>
          <w:sz w:val="24"/>
          <w:szCs w:val="24"/>
        </w:rPr>
        <w:t>2.2.2</w:t>
      </w:r>
      <w:r w:rsidRPr="005D4F65">
        <w:rPr>
          <w:rFonts w:ascii="Arial" w:hAnsi="Arial" w:cs="Arial"/>
          <w:b/>
          <w:sz w:val="24"/>
          <w:szCs w:val="24"/>
        </w:rPr>
        <w:tab/>
      </w:r>
      <w:r w:rsidR="00661035" w:rsidRPr="005D4F65">
        <w:rPr>
          <w:rFonts w:ascii="Arial" w:hAnsi="Arial" w:cs="Arial"/>
          <w:b/>
          <w:sz w:val="24"/>
          <w:szCs w:val="24"/>
        </w:rPr>
        <w:t>Age and Gender</w:t>
      </w:r>
    </w:p>
    <w:p w14:paraId="280FB39C" w14:textId="05A37E52" w:rsidR="00B623A3" w:rsidRPr="00AE65E9" w:rsidRDefault="00B623A3" w:rsidP="00AE65E9">
      <w:pPr>
        <w:spacing w:after="200" w:line="276" w:lineRule="auto"/>
        <w:rPr>
          <w:rFonts w:ascii="Arial" w:eastAsia="Calibri" w:hAnsi="Arial" w:cs="Arial"/>
          <w:color w:val="000000" w:themeColor="text1"/>
          <w:sz w:val="24"/>
          <w:szCs w:val="24"/>
          <w:lang w:eastAsia="en-GB"/>
        </w:rPr>
      </w:pPr>
      <w:r w:rsidRPr="00AE65E9">
        <w:rPr>
          <w:rFonts w:ascii="Arial" w:eastAsia="Calibri" w:hAnsi="Arial" w:cs="Arial"/>
          <w:color w:val="000000" w:themeColor="text1"/>
          <w:sz w:val="24"/>
          <w:szCs w:val="24"/>
          <w:lang w:eastAsia="en-GB"/>
        </w:rPr>
        <w:t xml:space="preserve">The population of </w:t>
      </w:r>
      <w:r w:rsidR="00945D04" w:rsidRPr="00AE65E9">
        <w:rPr>
          <w:rFonts w:ascii="Arial" w:eastAsia="Calibri" w:hAnsi="Arial" w:cs="Arial"/>
          <w:color w:val="000000" w:themeColor="text1"/>
          <w:sz w:val="24"/>
          <w:szCs w:val="24"/>
          <w:lang w:eastAsia="en-GB"/>
        </w:rPr>
        <w:t>Croydon aging</w:t>
      </w:r>
      <w:r w:rsidRPr="00AE65E9">
        <w:rPr>
          <w:rFonts w:ascii="Arial" w:eastAsia="Calibri" w:hAnsi="Arial" w:cs="Arial"/>
          <w:color w:val="000000" w:themeColor="text1"/>
          <w:sz w:val="24"/>
          <w:szCs w:val="24"/>
          <w:lang w:eastAsia="en-GB"/>
        </w:rPr>
        <w:t>, with the prevalence of long term conditions increasing</w:t>
      </w:r>
      <w:r w:rsidR="00894466" w:rsidRPr="00AE65E9">
        <w:rPr>
          <w:rFonts w:ascii="Arial" w:eastAsia="Calibri" w:hAnsi="Arial" w:cs="Arial"/>
          <w:color w:val="000000" w:themeColor="text1"/>
          <w:sz w:val="24"/>
          <w:szCs w:val="24"/>
          <w:lang w:eastAsia="en-GB"/>
        </w:rPr>
        <w:t>,</w:t>
      </w:r>
      <w:r w:rsidRPr="00AE65E9">
        <w:rPr>
          <w:rFonts w:ascii="Arial" w:eastAsia="Calibri" w:hAnsi="Arial" w:cs="Arial"/>
          <w:color w:val="000000" w:themeColor="text1"/>
          <w:sz w:val="24"/>
          <w:szCs w:val="24"/>
          <w:lang w:eastAsia="en-GB"/>
        </w:rPr>
        <w:t xml:space="preserve"> means that a greater proportion of older people in Croydon will be living with multiple conditions. In addition the proportion of people over 65 living with a long term condition and living alone is forecast to increase. A sustainable and flexible </w:t>
      </w:r>
      <w:r w:rsidRPr="00AE65E9">
        <w:rPr>
          <w:rFonts w:ascii="Arial" w:eastAsia="Calibri" w:hAnsi="Arial" w:cs="Arial"/>
          <w:color w:val="000000" w:themeColor="text1"/>
          <w:sz w:val="24"/>
          <w:szCs w:val="24"/>
          <w:lang w:eastAsia="en-GB"/>
        </w:rPr>
        <w:lastRenderedPageBreak/>
        <w:t xml:space="preserve">model of intermediate care is proposed and therefore needs to be re-commissioned for Croydon to meet these growing needs.                                          </w:t>
      </w:r>
    </w:p>
    <w:p w14:paraId="775A3FA1" w14:textId="77777777" w:rsidR="00B623A3" w:rsidRDefault="00B623A3" w:rsidP="004A3BA6">
      <w:pPr>
        <w:spacing w:after="200" w:line="276" w:lineRule="auto"/>
        <w:rPr>
          <w:rFonts w:ascii="Arial" w:hAnsi="Arial" w:cs="Arial"/>
          <w:sz w:val="24"/>
          <w:szCs w:val="24"/>
        </w:rPr>
      </w:pPr>
    </w:p>
    <w:p w14:paraId="45DF6519" w14:textId="08A2A5C9" w:rsidR="00EC24EB" w:rsidRDefault="006628A1" w:rsidP="004A3BA6">
      <w:pPr>
        <w:spacing w:after="200" w:line="276" w:lineRule="auto"/>
        <w:rPr>
          <w:rFonts w:ascii="Arial" w:hAnsi="Arial" w:cs="Arial"/>
          <w:b/>
          <w:sz w:val="24"/>
          <w:szCs w:val="24"/>
        </w:rPr>
      </w:pPr>
      <w:r>
        <w:rPr>
          <w:noProof/>
          <w:lang w:eastAsia="en-GB"/>
        </w:rPr>
        <w:drawing>
          <wp:inline distT="0" distB="0" distL="0" distR="0" wp14:anchorId="4C78D28D" wp14:editId="1D9E0F4E">
            <wp:extent cx="5731510" cy="3222750"/>
            <wp:effectExtent l="0" t="0" r="21590"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364C3F" w14:textId="77777777" w:rsidR="00EC24EB" w:rsidRDefault="00B623A3" w:rsidP="004A3BA6">
      <w:pPr>
        <w:spacing w:after="200" w:line="276" w:lineRule="auto"/>
        <w:rPr>
          <w:rFonts w:ascii="Arial" w:hAnsi="Arial" w:cs="Arial"/>
          <w:b/>
          <w:sz w:val="24"/>
          <w:szCs w:val="24"/>
        </w:rPr>
      </w:pPr>
      <w:r w:rsidRPr="005D4F65">
        <w:rPr>
          <w:rFonts w:ascii="Arial" w:hAnsi="Arial" w:cs="Arial"/>
          <w:b/>
          <w:sz w:val="24"/>
          <w:szCs w:val="24"/>
        </w:rPr>
        <w:t>Migration</w:t>
      </w:r>
    </w:p>
    <w:p w14:paraId="11212495" w14:textId="0C17D067" w:rsidR="00B623A3" w:rsidRPr="0015714E" w:rsidRDefault="00B623A3" w:rsidP="004A3BA6">
      <w:pPr>
        <w:spacing w:after="200" w:line="276" w:lineRule="auto"/>
        <w:rPr>
          <w:rFonts w:ascii="Arial" w:hAnsi="Arial" w:cs="Arial"/>
          <w:sz w:val="24"/>
          <w:szCs w:val="24"/>
        </w:rPr>
      </w:pPr>
      <w:r w:rsidRPr="00B623A3">
        <w:rPr>
          <w:rFonts w:ascii="Arial" w:eastAsia="Calibri" w:hAnsi="Arial" w:cs="Arial"/>
          <w:color w:val="000000" w:themeColor="text1"/>
          <w:sz w:val="24"/>
          <w:szCs w:val="24"/>
          <w:lang w:eastAsia="en-GB"/>
        </w:rPr>
        <w:t xml:space="preserve">Approximately 18,000 people move into Croydon and 20,000 people move out of Croydon from elsewhere within the UK each year. Croydon’s population is subject to a net north to south movement of people migrating from Inner South London to Outer South London and from Outer South London to South Eastern England. Croydon has 6,000-7,000 new immigrants from outside the UK per year and at least 3,000 emigrants. </w:t>
      </w:r>
    </w:p>
    <w:p w14:paraId="3F8519BB" w14:textId="77777777" w:rsidR="00B623A3" w:rsidRPr="00B623A3" w:rsidRDefault="00B623A3" w:rsidP="00B623A3">
      <w:pPr>
        <w:autoSpaceDE w:val="0"/>
        <w:autoSpaceDN w:val="0"/>
        <w:adjustRightInd w:val="0"/>
        <w:rPr>
          <w:rFonts w:ascii="Arial" w:eastAsia="MS ??" w:hAnsi="Arial" w:cs="Arial"/>
          <w:color w:val="000000" w:themeColor="text1"/>
          <w:sz w:val="24"/>
          <w:szCs w:val="24"/>
          <w:lang w:eastAsia="en-GB"/>
        </w:rPr>
      </w:pPr>
      <w:r w:rsidRPr="00B623A3">
        <w:rPr>
          <w:rFonts w:ascii="Arial" w:eastAsia="MS ??" w:hAnsi="Arial" w:cs="Arial"/>
          <w:color w:val="000000" w:themeColor="text1"/>
          <w:sz w:val="24"/>
          <w:szCs w:val="24"/>
          <w:lang w:eastAsia="en-GB"/>
        </w:rPr>
        <w:t xml:space="preserve">The main areas immigrants have been coming from in recent years are: </w:t>
      </w:r>
    </w:p>
    <w:p w14:paraId="7038FE36" w14:textId="77777777" w:rsidR="00B623A3" w:rsidRPr="00B623A3" w:rsidRDefault="00B623A3" w:rsidP="00B623A3">
      <w:pPr>
        <w:autoSpaceDE w:val="0"/>
        <w:autoSpaceDN w:val="0"/>
        <w:adjustRightInd w:val="0"/>
        <w:rPr>
          <w:rFonts w:ascii="Arial" w:eastAsia="MS ??" w:hAnsi="Arial" w:cs="Arial"/>
          <w:color w:val="000000" w:themeColor="text1"/>
          <w:sz w:val="24"/>
          <w:szCs w:val="24"/>
          <w:lang w:eastAsia="en-GB"/>
        </w:rPr>
      </w:pPr>
    </w:p>
    <w:p w14:paraId="557D514E" w14:textId="77777777" w:rsidR="00B623A3" w:rsidRPr="00EC24EB" w:rsidRDefault="00B623A3" w:rsidP="00EC24EB">
      <w:pPr>
        <w:pStyle w:val="ListParagraph"/>
        <w:numPr>
          <w:ilvl w:val="0"/>
          <w:numId w:val="28"/>
        </w:numPr>
        <w:autoSpaceDE w:val="0"/>
        <w:autoSpaceDN w:val="0"/>
        <w:adjustRightInd w:val="0"/>
        <w:spacing w:after="189"/>
        <w:rPr>
          <w:rFonts w:ascii="Arial" w:eastAsia="MS ??" w:hAnsi="Arial" w:cs="Arial"/>
          <w:color w:val="000000" w:themeColor="text1"/>
          <w:sz w:val="24"/>
          <w:szCs w:val="24"/>
          <w:lang w:eastAsia="en-GB"/>
        </w:rPr>
      </w:pPr>
      <w:r w:rsidRPr="00EC24EB">
        <w:rPr>
          <w:rFonts w:ascii="Arial" w:eastAsia="MS ??" w:hAnsi="Arial" w:cs="Arial"/>
          <w:color w:val="000000" w:themeColor="text1"/>
          <w:sz w:val="24"/>
          <w:szCs w:val="24"/>
          <w:lang w:eastAsia="en-GB"/>
        </w:rPr>
        <w:t xml:space="preserve">South Asia (India, Pakistan and Sri Lanka: 2,300 people per year) </w:t>
      </w:r>
    </w:p>
    <w:p w14:paraId="43A5088F" w14:textId="77777777" w:rsidR="00B623A3" w:rsidRPr="00EC24EB" w:rsidRDefault="00B623A3" w:rsidP="00EC24EB">
      <w:pPr>
        <w:pStyle w:val="ListParagraph"/>
        <w:numPr>
          <w:ilvl w:val="0"/>
          <w:numId w:val="28"/>
        </w:numPr>
        <w:autoSpaceDE w:val="0"/>
        <w:autoSpaceDN w:val="0"/>
        <w:adjustRightInd w:val="0"/>
        <w:spacing w:after="189"/>
        <w:rPr>
          <w:rFonts w:ascii="Arial" w:eastAsia="MS ??" w:hAnsi="Arial" w:cs="Arial"/>
          <w:color w:val="000000" w:themeColor="text1"/>
          <w:sz w:val="24"/>
          <w:szCs w:val="24"/>
          <w:lang w:eastAsia="en-GB"/>
        </w:rPr>
      </w:pPr>
      <w:r w:rsidRPr="00EC24EB">
        <w:rPr>
          <w:rFonts w:ascii="Arial" w:eastAsia="MS ??" w:hAnsi="Arial" w:cs="Arial"/>
          <w:color w:val="000000" w:themeColor="text1"/>
          <w:sz w:val="24"/>
          <w:szCs w:val="24"/>
          <w:lang w:eastAsia="en-GB"/>
        </w:rPr>
        <w:t>Eastern Europe (Poland, Romania, Lithuania, Bulgaria, Hungary: 1,100 people per year)</w:t>
      </w:r>
    </w:p>
    <w:p w14:paraId="5CC0E685" w14:textId="6F58630A" w:rsidR="00B623A3" w:rsidRPr="00EC24EB" w:rsidRDefault="00B623A3" w:rsidP="00EC24EB">
      <w:pPr>
        <w:pStyle w:val="ListParagraph"/>
        <w:numPr>
          <w:ilvl w:val="0"/>
          <w:numId w:val="28"/>
        </w:numPr>
        <w:autoSpaceDE w:val="0"/>
        <w:autoSpaceDN w:val="0"/>
        <w:adjustRightInd w:val="0"/>
        <w:spacing w:after="189"/>
        <w:rPr>
          <w:rFonts w:ascii="Arial" w:eastAsia="MS ??" w:hAnsi="Arial" w:cs="Arial"/>
          <w:color w:val="000000" w:themeColor="text1"/>
          <w:sz w:val="24"/>
          <w:szCs w:val="24"/>
          <w:lang w:eastAsia="en-GB"/>
        </w:rPr>
      </w:pPr>
      <w:r w:rsidRPr="00EC24EB">
        <w:rPr>
          <w:rFonts w:ascii="Arial" w:eastAsia="MS ??" w:hAnsi="Arial" w:cs="Arial"/>
          <w:color w:val="000000" w:themeColor="text1"/>
          <w:sz w:val="24"/>
          <w:szCs w:val="24"/>
          <w:lang w:eastAsia="en-GB"/>
        </w:rPr>
        <w:t>Certain countries in Africa (Ghana and Nigeria: 500 people per year)</w:t>
      </w:r>
    </w:p>
    <w:p w14:paraId="7352C037" w14:textId="35E13674" w:rsidR="00DE7CD8" w:rsidRPr="00D77671" w:rsidRDefault="00B623A3" w:rsidP="005D4F65">
      <w:pPr>
        <w:rPr>
          <w:rFonts w:ascii="Arial" w:hAnsi="Arial" w:cs="Arial"/>
          <w:b/>
          <w:sz w:val="24"/>
          <w:szCs w:val="24"/>
        </w:rPr>
      </w:pPr>
      <w:r w:rsidRPr="00D77671">
        <w:rPr>
          <w:rFonts w:ascii="Arial" w:hAnsi="Arial" w:cs="Arial"/>
          <w:b/>
          <w:sz w:val="24"/>
          <w:szCs w:val="24"/>
        </w:rPr>
        <w:t>Ethnicity</w:t>
      </w:r>
    </w:p>
    <w:p w14:paraId="15DD00F4" w14:textId="77777777" w:rsidR="00894466" w:rsidRDefault="00894466" w:rsidP="005D4F65">
      <w:pPr>
        <w:rPr>
          <w:rFonts w:ascii="Arial" w:hAnsi="Arial" w:cs="Arial"/>
          <w:sz w:val="24"/>
          <w:szCs w:val="24"/>
        </w:rPr>
      </w:pPr>
    </w:p>
    <w:p w14:paraId="2079CD00" w14:textId="77777777" w:rsidR="00B623A3" w:rsidRPr="005D4F65" w:rsidRDefault="00B623A3" w:rsidP="005D4F65">
      <w:pPr>
        <w:rPr>
          <w:rFonts w:ascii="Arial" w:hAnsi="Arial" w:cs="Arial"/>
          <w:sz w:val="24"/>
          <w:szCs w:val="24"/>
        </w:rPr>
      </w:pPr>
      <w:r w:rsidRPr="005D4F65">
        <w:rPr>
          <w:rFonts w:ascii="Arial" w:hAnsi="Arial" w:cs="Arial"/>
          <w:sz w:val="24"/>
          <w:szCs w:val="24"/>
        </w:rPr>
        <w:t>Over half of Croydon’s population are from Black, Asian and minority ethnic groups, and the proportion is increasing over time. The most common languages spoken by people in Croydon other than English are Tamil, Urdu, Guajarati and Polish.</w:t>
      </w:r>
    </w:p>
    <w:p w14:paraId="20791190" w14:textId="77777777" w:rsidR="00945D04" w:rsidRDefault="00945D04" w:rsidP="004A3BA6">
      <w:pPr>
        <w:spacing w:after="200" w:line="276" w:lineRule="auto"/>
        <w:rPr>
          <w:rFonts w:ascii="Arial" w:hAnsi="Arial" w:cs="Arial"/>
          <w:b/>
          <w:sz w:val="24"/>
          <w:szCs w:val="24"/>
        </w:rPr>
      </w:pPr>
    </w:p>
    <w:p w14:paraId="63CEEC74" w14:textId="1B76DC8A" w:rsidR="00A57150" w:rsidRPr="005D4F65" w:rsidRDefault="00A57150" w:rsidP="004A3BA6">
      <w:pPr>
        <w:spacing w:after="200" w:line="276" w:lineRule="auto"/>
        <w:rPr>
          <w:rFonts w:ascii="Arial" w:hAnsi="Arial" w:cs="Arial"/>
          <w:b/>
          <w:sz w:val="24"/>
          <w:szCs w:val="24"/>
        </w:rPr>
      </w:pPr>
      <w:r w:rsidRPr="005D4F65">
        <w:rPr>
          <w:rFonts w:ascii="Arial" w:hAnsi="Arial" w:cs="Arial"/>
          <w:b/>
          <w:sz w:val="24"/>
          <w:szCs w:val="24"/>
        </w:rPr>
        <w:t>Deprivation</w:t>
      </w:r>
    </w:p>
    <w:p w14:paraId="62613D9B" w14:textId="77777777" w:rsidR="00A57150" w:rsidRPr="00A57150" w:rsidRDefault="00A57150" w:rsidP="00A57150">
      <w:pPr>
        <w:shd w:val="clear" w:color="auto" w:fill="FFFFFF"/>
        <w:spacing w:after="150"/>
        <w:jc w:val="both"/>
        <w:rPr>
          <w:rFonts w:ascii="Arial" w:eastAsia="Calibri" w:hAnsi="Arial" w:cs="Arial"/>
          <w:color w:val="000000" w:themeColor="text1"/>
          <w:sz w:val="24"/>
          <w:szCs w:val="24"/>
          <w:lang w:eastAsia="en-GB"/>
        </w:rPr>
      </w:pPr>
      <w:r w:rsidRPr="00A57150">
        <w:rPr>
          <w:rFonts w:ascii="Arial" w:eastAsia="Calibri" w:hAnsi="Arial" w:cs="Arial"/>
          <w:color w:val="000000" w:themeColor="text1"/>
          <w:sz w:val="24"/>
          <w:szCs w:val="24"/>
          <w:lang w:eastAsia="en-GB"/>
        </w:rPr>
        <w:lastRenderedPageBreak/>
        <w:t xml:space="preserve">Croydon is more deprived in the north of the borough than in the south, and there are also areas of high deprivation in the east of the borough in Fieldway, New Addington and the Shrublands estate in Shirley. In recent years, compared with England as a whole, Outer London has been becoming more deprived, and Inner London more affluent. Between 2004 and 2010, levels of deprivation increased in Croydon more than in any other borough in the south of London. Croydon is currently the 19th most deprived borough in London. If Croydon continues to grow more deprived at the same rate as recent years, by 2020 it will be the 12th most deprived borough in London. </w:t>
      </w:r>
    </w:p>
    <w:p w14:paraId="47854DA2" w14:textId="77777777" w:rsidR="00A57150" w:rsidRPr="00A57150" w:rsidRDefault="00A57150" w:rsidP="00A57150">
      <w:pPr>
        <w:rPr>
          <w:rFonts w:ascii="Arial" w:eastAsia="Calibri" w:hAnsi="Arial" w:cs="Arial"/>
          <w:color w:val="000000" w:themeColor="text1"/>
          <w:sz w:val="24"/>
          <w:szCs w:val="24"/>
        </w:rPr>
      </w:pPr>
      <w:r w:rsidRPr="00A57150">
        <w:rPr>
          <w:rFonts w:ascii="Arial" w:eastAsia="Calibri" w:hAnsi="Arial" w:cs="Arial"/>
          <w:color w:val="000000" w:themeColor="text1"/>
          <w:sz w:val="24"/>
          <w:szCs w:val="24"/>
        </w:rPr>
        <w:t>Many of the risk factors for poor physical and mental health are associated with deprivation including poor housing, unemployment, poverty, poor education, and high crime.</w:t>
      </w:r>
    </w:p>
    <w:p w14:paraId="2D462D04" w14:textId="77777777" w:rsidR="00B623A3" w:rsidRDefault="00B623A3" w:rsidP="004A3BA6">
      <w:pPr>
        <w:spacing w:after="200" w:line="276" w:lineRule="auto"/>
        <w:rPr>
          <w:rFonts w:ascii="Arial" w:hAnsi="Arial" w:cs="Arial"/>
          <w:sz w:val="24"/>
          <w:szCs w:val="24"/>
        </w:rPr>
      </w:pPr>
    </w:p>
    <w:p w14:paraId="7D739DA7" w14:textId="48A8AD71" w:rsidR="00A57150" w:rsidRPr="005D4F65" w:rsidRDefault="00A57150" w:rsidP="005D4F65">
      <w:pPr>
        <w:pStyle w:val="ListParagraph"/>
        <w:numPr>
          <w:ilvl w:val="0"/>
          <w:numId w:val="1"/>
        </w:numPr>
        <w:spacing w:after="200" w:line="276" w:lineRule="auto"/>
        <w:rPr>
          <w:rFonts w:ascii="Arial" w:hAnsi="Arial" w:cs="Arial"/>
          <w:b/>
          <w:sz w:val="24"/>
          <w:szCs w:val="24"/>
        </w:rPr>
      </w:pPr>
      <w:r w:rsidRPr="005D4F65">
        <w:rPr>
          <w:rFonts w:ascii="Arial" w:hAnsi="Arial" w:cs="Arial"/>
          <w:b/>
          <w:sz w:val="24"/>
          <w:szCs w:val="24"/>
        </w:rPr>
        <w:t>STRATEGIC AND LOCAL CONTEXT</w:t>
      </w:r>
    </w:p>
    <w:p w14:paraId="0035869C" w14:textId="7E20F3EF" w:rsidR="00A57150" w:rsidRPr="005D4F65" w:rsidRDefault="00DE7CD8" w:rsidP="004A3BA6">
      <w:pPr>
        <w:spacing w:after="200" w:line="276" w:lineRule="auto"/>
        <w:rPr>
          <w:rFonts w:ascii="Arial" w:hAnsi="Arial" w:cs="Arial"/>
          <w:b/>
          <w:sz w:val="24"/>
          <w:szCs w:val="24"/>
        </w:rPr>
      </w:pPr>
      <w:r w:rsidRPr="005D4F65">
        <w:rPr>
          <w:rFonts w:ascii="Arial" w:hAnsi="Arial" w:cs="Arial"/>
          <w:b/>
          <w:sz w:val="24"/>
          <w:szCs w:val="24"/>
        </w:rPr>
        <w:t>3.1</w:t>
      </w:r>
      <w:r w:rsidRPr="005D4F65">
        <w:rPr>
          <w:rFonts w:ascii="Arial" w:hAnsi="Arial" w:cs="Arial"/>
          <w:b/>
          <w:sz w:val="24"/>
          <w:szCs w:val="24"/>
        </w:rPr>
        <w:tab/>
      </w:r>
      <w:r w:rsidR="00A57150" w:rsidRPr="005D4F65">
        <w:rPr>
          <w:rFonts w:ascii="Arial" w:hAnsi="Arial" w:cs="Arial"/>
          <w:b/>
          <w:sz w:val="24"/>
          <w:szCs w:val="24"/>
        </w:rPr>
        <w:t>National Drivers or change</w:t>
      </w:r>
    </w:p>
    <w:p w14:paraId="78703BCA" w14:textId="2F627F0A" w:rsidR="004A3BA6" w:rsidRPr="00942AAC" w:rsidRDefault="004A3BA6" w:rsidP="004A3BA6">
      <w:pPr>
        <w:jc w:val="both"/>
        <w:rPr>
          <w:rFonts w:ascii="Arial" w:hAnsi="Arial" w:cs="Arial"/>
          <w:sz w:val="24"/>
          <w:szCs w:val="24"/>
        </w:rPr>
      </w:pPr>
      <w:r w:rsidRPr="00942AAC">
        <w:rPr>
          <w:rFonts w:ascii="Arial" w:hAnsi="Arial" w:cs="Arial"/>
          <w:sz w:val="24"/>
          <w:szCs w:val="24"/>
        </w:rPr>
        <w:t xml:space="preserve">The </w:t>
      </w:r>
      <w:r>
        <w:rPr>
          <w:rFonts w:ascii="Arial" w:hAnsi="Arial" w:cs="Arial"/>
          <w:sz w:val="24"/>
          <w:szCs w:val="24"/>
        </w:rPr>
        <w:t>N</w:t>
      </w:r>
      <w:r w:rsidRPr="00942AAC">
        <w:rPr>
          <w:rFonts w:ascii="Arial" w:hAnsi="Arial" w:cs="Arial"/>
          <w:sz w:val="24"/>
          <w:szCs w:val="24"/>
        </w:rPr>
        <w:t>ational Five Year Forward View states that a ‘radical upgrade in prevention is needed to needed to improve people’s lives and achieve financial sustainability’.  .</w:t>
      </w:r>
    </w:p>
    <w:p w14:paraId="04B29E2F" w14:textId="77777777" w:rsidR="004A3BA6" w:rsidRDefault="004A3BA6" w:rsidP="004A3BA6">
      <w:pPr>
        <w:jc w:val="both"/>
      </w:pPr>
    </w:p>
    <w:p w14:paraId="536B36D5" w14:textId="77777777" w:rsidR="004A3BA6" w:rsidRDefault="004A3BA6" w:rsidP="004A3BA6">
      <w:pPr>
        <w:jc w:val="both"/>
        <w:rPr>
          <w:rFonts w:ascii="Arial" w:hAnsi="Arial" w:cs="Arial"/>
          <w:sz w:val="24"/>
          <w:szCs w:val="24"/>
        </w:rPr>
      </w:pPr>
      <w:r w:rsidRPr="00942AAC">
        <w:rPr>
          <w:rFonts w:ascii="Arial" w:hAnsi="Arial" w:cs="Arial"/>
          <w:sz w:val="24"/>
          <w:szCs w:val="24"/>
        </w:rPr>
        <w:t>Admission to hospital and delays in hospital discharge can create significant anxiety, physical and psychological deterioration and increased dependence. Therefore multidisciplinary services, which help people recover, regain independence and return home, are vital. Intermediate care and reablement play an important role as a means of facilitating timely transfer of care from hospital and preventing unnecessary admissions to hospital and care homes.</w:t>
      </w:r>
    </w:p>
    <w:p w14:paraId="09B4A677" w14:textId="77777777" w:rsidR="00EC24EB" w:rsidRPr="00942AAC" w:rsidRDefault="00EC24EB" w:rsidP="004A3BA6">
      <w:pPr>
        <w:jc w:val="both"/>
        <w:rPr>
          <w:rFonts w:ascii="Arial" w:hAnsi="Arial" w:cs="Arial"/>
          <w:sz w:val="24"/>
          <w:szCs w:val="24"/>
        </w:rPr>
      </w:pPr>
    </w:p>
    <w:p w14:paraId="6B78567E" w14:textId="1D3FD5AA" w:rsidR="005413AF" w:rsidRPr="00EC24EB" w:rsidRDefault="00DE7CD8" w:rsidP="00EC24EB">
      <w:pPr>
        <w:spacing w:after="200" w:line="276" w:lineRule="auto"/>
        <w:rPr>
          <w:rFonts w:ascii="Arial" w:hAnsi="Arial" w:cs="Arial"/>
          <w:b/>
          <w:sz w:val="24"/>
          <w:szCs w:val="24"/>
        </w:rPr>
      </w:pPr>
      <w:r w:rsidRPr="005D4F65">
        <w:rPr>
          <w:rFonts w:ascii="Arial" w:hAnsi="Arial" w:cs="Arial"/>
          <w:b/>
          <w:sz w:val="24"/>
          <w:szCs w:val="24"/>
        </w:rPr>
        <w:t>3.2</w:t>
      </w:r>
      <w:r w:rsidRPr="005D4F65">
        <w:rPr>
          <w:rFonts w:ascii="Arial" w:hAnsi="Arial" w:cs="Arial"/>
          <w:b/>
          <w:sz w:val="24"/>
          <w:szCs w:val="24"/>
        </w:rPr>
        <w:tab/>
        <w:t>Regional Drivers for change</w:t>
      </w:r>
    </w:p>
    <w:p w14:paraId="71428209" w14:textId="7829FE06" w:rsidR="005D0EC1" w:rsidRPr="00EC24EB" w:rsidRDefault="006F2CB9" w:rsidP="005D0EC1">
      <w:pPr>
        <w:spacing w:before="100" w:beforeAutospacing="1" w:after="100" w:afterAutospacing="1"/>
        <w:rPr>
          <w:rFonts w:ascii="Arial" w:hAnsi="Arial" w:cs="Arial"/>
          <w:sz w:val="24"/>
          <w:szCs w:val="24"/>
        </w:rPr>
      </w:pPr>
      <w:r w:rsidRPr="00942AAC">
        <w:rPr>
          <w:rFonts w:ascii="Arial" w:hAnsi="Arial" w:cs="Arial"/>
          <w:sz w:val="24"/>
          <w:szCs w:val="24"/>
        </w:rPr>
        <w:t>The South West London Sustainability and Transformation Plan (SWL STP) aims to ensure that people are able to access greater preventative and early intervention support so they can become more independent, resilient, confident and capable in managing and improving their health including existing health problems.  It is also expected that people use the right health and social care services in the right place at the right time, proportionate to their need and in a spirit of shared responsibility a</w:t>
      </w:r>
      <w:r>
        <w:rPr>
          <w:rFonts w:ascii="Arial" w:hAnsi="Arial" w:cs="Arial"/>
          <w:sz w:val="24"/>
          <w:szCs w:val="24"/>
        </w:rPr>
        <w:t>n</w:t>
      </w:r>
      <w:r w:rsidRPr="00942AAC">
        <w:rPr>
          <w:rFonts w:ascii="Arial" w:hAnsi="Arial" w:cs="Arial"/>
          <w:sz w:val="24"/>
          <w:szCs w:val="24"/>
        </w:rPr>
        <w:t>d personal ownership</w:t>
      </w:r>
      <w:r w:rsidR="005D0EC1" w:rsidRPr="00EC24EB">
        <w:rPr>
          <w:rFonts w:ascii="Arial" w:hAnsi="Arial" w:cs="Arial"/>
          <w:sz w:val="24"/>
          <w:szCs w:val="24"/>
        </w:rPr>
        <w:t>This will be achieved by delivering an enhanced care homes programme in line with:</w:t>
      </w:r>
    </w:p>
    <w:p w14:paraId="1F83823E" w14:textId="77777777" w:rsidR="005D0EC1" w:rsidRPr="00EC24EB" w:rsidRDefault="005D0EC1" w:rsidP="00EC24EB">
      <w:pPr>
        <w:numPr>
          <w:ilvl w:val="0"/>
          <w:numId w:val="22"/>
        </w:numPr>
        <w:spacing w:after="120" w:line="276" w:lineRule="auto"/>
        <w:ind w:left="714" w:hanging="357"/>
        <w:contextualSpacing/>
        <w:rPr>
          <w:rFonts w:ascii="Arial" w:eastAsia="Calibri" w:hAnsi="Arial" w:cs="Arial"/>
          <w:bCs/>
          <w:sz w:val="24"/>
          <w:szCs w:val="24"/>
        </w:rPr>
      </w:pPr>
      <w:r w:rsidRPr="00EC24EB">
        <w:rPr>
          <w:rFonts w:ascii="Arial" w:eastAsia="Calibri" w:hAnsi="Arial" w:cs="Arial"/>
          <w:bCs/>
          <w:sz w:val="24"/>
          <w:szCs w:val="24"/>
        </w:rPr>
        <w:t xml:space="preserve">The ‘Enhanced Care for Care Homes’ (EHCH) model developed from evidence based interventions by the 6 vanguards across the country </w:t>
      </w:r>
    </w:p>
    <w:p w14:paraId="3B207898" w14:textId="2D630384" w:rsidR="00EC24EB" w:rsidRPr="00EC24EB" w:rsidRDefault="005D0EC1" w:rsidP="00EC24EB">
      <w:pPr>
        <w:numPr>
          <w:ilvl w:val="0"/>
          <w:numId w:val="22"/>
        </w:numPr>
        <w:spacing w:after="120" w:line="276" w:lineRule="auto"/>
        <w:ind w:left="714" w:hanging="357"/>
        <w:contextualSpacing/>
        <w:rPr>
          <w:rFonts w:ascii="Arial" w:eastAsia="Calibri" w:hAnsi="Arial" w:cs="Arial"/>
          <w:bCs/>
          <w:sz w:val="24"/>
          <w:szCs w:val="24"/>
        </w:rPr>
      </w:pPr>
      <w:r w:rsidRPr="00EC24EB">
        <w:rPr>
          <w:rFonts w:ascii="Arial" w:eastAsia="Calibri" w:hAnsi="Arial" w:cs="Arial"/>
          <w:bCs/>
          <w:sz w:val="24"/>
          <w:szCs w:val="24"/>
        </w:rPr>
        <w:t xml:space="preserve">The South West London Five Year Forward Plan, based on rolling out the Sutton Care Home Vanguard to improve care and support for frail and elderly people  </w:t>
      </w:r>
    </w:p>
    <w:p w14:paraId="763DEBE8" w14:textId="77777777" w:rsidR="00EC24EB" w:rsidRDefault="00EC24EB" w:rsidP="004A3BA6">
      <w:pPr>
        <w:spacing w:after="200" w:line="276" w:lineRule="auto"/>
        <w:rPr>
          <w:rFonts w:ascii="Arial" w:hAnsi="Arial" w:cs="Arial"/>
          <w:b/>
          <w:sz w:val="24"/>
          <w:szCs w:val="24"/>
        </w:rPr>
      </w:pPr>
    </w:p>
    <w:p w14:paraId="232C3094" w14:textId="77777777" w:rsidR="00AD2330" w:rsidRDefault="00AD2330" w:rsidP="004A3BA6">
      <w:pPr>
        <w:spacing w:after="200" w:line="276" w:lineRule="auto"/>
        <w:rPr>
          <w:rFonts w:ascii="Arial" w:hAnsi="Arial" w:cs="Arial"/>
          <w:b/>
          <w:sz w:val="24"/>
          <w:szCs w:val="24"/>
        </w:rPr>
      </w:pPr>
    </w:p>
    <w:p w14:paraId="71505CC7" w14:textId="77777777" w:rsidR="00AD2330" w:rsidRDefault="00AD2330" w:rsidP="004A3BA6">
      <w:pPr>
        <w:spacing w:after="200" w:line="276" w:lineRule="auto"/>
        <w:rPr>
          <w:rFonts w:ascii="Arial" w:hAnsi="Arial" w:cs="Arial"/>
          <w:b/>
          <w:sz w:val="24"/>
          <w:szCs w:val="24"/>
        </w:rPr>
      </w:pPr>
    </w:p>
    <w:p w14:paraId="30EC5C61" w14:textId="77777777" w:rsidR="00EC24EB" w:rsidRDefault="00DE7CD8" w:rsidP="004A3BA6">
      <w:pPr>
        <w:spacing w:after="200" w:line="276" w:lineRule="auto"/>
        <w:rPr>
          <w:rFonts w:ascii="Arial" w:hAnsi="Arial" w:cs="Arial"/>
          <w:sz w:val="24"/>
          <w:szCs w:val="24"/>
        </w:rPr>
      </w:pPr>
      <w:r w:rsidRPr="005D4F65">
        <w:rPr>
          <w:rFonts w:ascii="Arial" w:hAnsi="Arial" w:cs="Arial"/>
          <w:b/>
          <w:sz w:val="24"/>
          <w:szCs w:val="24"/>
        </w:rPr>
        <w:lastRenderedPageBreak/>
        <w:t>3.3</w:t>
      </w:r>
      <w:r w:rsidRPr="005D4F65">
        <w:rPr>
          <w:rFonts w:ascii="Arial" w:hAnsi="Arial" w:cs="Arial"/>
          <w:b/>
          <w:sz w:val="24"/>
          <w:szCs w:val="24"/>
        </w:rPr>
        <w:tab/>
      </w:r>
      <w:r w:rsidR="00A57150" w:rsidRPr="005D4F65">
        <w:rPr>
          <w:rFonts w:ascii="Arial" w:hAnsi="Arial" w:cs="Arial"/>
          <w:b/>
          <w:sz w:val="24"/>
          <w:szCs w:val="24"/>
        </w:rPr>
        <w:t>Local Drivers for change</w:t>
      </w:r>
    </w:p>
    <w:p w14:paraId="1B690C83" w14:textId="1654052C" w:rsidR="00FD5FAD" w:rsidRPr="005D4F65" w:rsidRDefault="00FD5FAD" w:rsidP="004A3BA6">
      <w:pPr>
        <w:spacing w:after="200" w:line="276" w:lineRule="auto"/>
        <w:rPr>
          <w:rFonts w:ascii="Arial" w:hAnsi="Arial" w:cs="Arial"/>
          <w:b/>
          <w:sz w:val="24"/>
          <w:szCs w:val="24"/>
        </w:rPr>
      </w:pPr>
      <w:r w:rsidRPr="00F2355A">
        <w:rPr>
          <w:rFonts w:ascii="Arial" w:hAnsi="Arial" w:cs="Arial"/>
          <w:sz w:val="24"/>
          <w:szCs w:val="24"/>
        </w:rPr>
        <w:t xml:space="preserve">The JSNA highlights that Croydon performs poorly against indicators for helping older people achieve independence through rehabilitation, as well as for supporting older people to live independently at home. However, outcomes from rehabilitation and intermediate care are improving, with the proportion of older people who were still at home 91 days after discharge from hospital increasing from </w:t>
      </w:r>
      <w:r w:rsidR="006E78E8">
        <w:rPr>
          <w:rFonts w:ascii="Arial" w:hAnsi="Arial" w:cs="Arial"/>
          <w:sz w:val="24"/>
          <w:szCs w:val="24"/>
        </w:rPr>
        <w:t>84.7</w:t>
      </w:r>
      <w:r w:rsidRPr="00F2355A">
        <w:rPr>
          <w:rFonts w:ascii="Arial" w:hAnsi="Arial" w:cs="Arial"/>
          <w:sz w:val="24"/>
          <w:szCs w:val="24"/>
        </w:rPr>
        <w:t xml:space="preserve">%to </w:t>
      </w:r>
      <w:r w:rsidR="006E78E8">
        <w:rPr>
          <w:rFonts w:ascii="Arial" w:hAnsi="Arial" w:cs="Arial"/>
          <w:sz w:val="24"/>
          <w:szCs w:val="24"/>
        </w:rPr>
        <w:t>91.3</w:t>
      </w:r>
      <w:r w:rsidRPr="00F2355A">
        <w:rPr>
          <w:rFonts w:ascii="Arial" w:hAnsi="Arial" w:cs="Arial"/>
          <w:sz w:val="24"/>
          <w:szCs w:val="24"/>
        </w:rPr>
        <w:t xml:space="preserve">% in </w:t>
      </w:r>
      <w:r w:rsidR="006E78E8">
        <w:rPr>
          <w:rFonts w:ascii="Arial" w:hAnsi="Arial" w:cs="Arial"/>
          <w:sz w:val="24"/>
          <w:szCs w:val="24"/>
        </w:rPr>
        <w:t>between December 2015/December 2016</w:t>
      </w:r>
      <w:r w:rsidRPr="00F2355A">
        <w:rPr>
          <w:rFonts w:ascii="Arial" w:hAnsi="Arial" w:cs="Arial"/>
          <w:sz w:val="24"/>
          <w:szCs w:val="24"/>
        </w:rPr>
        <w:t xml:space="preserve">. A focus on promoting rehabilitation and reablement will help Croydon CCG to continue to improve outcomes for older people and people with long term conditions. </w:t>
      </w:r>
    </w:p>
    <w:p w14:paraId="38E90904" w14:textId="61FDABDC" w:rsidR="00A57150" w:rsidRPr="00942AAC" w:rsidRDefault="00A57150" w:rsidP="00A57150">
      <w:pPr>
        <w:jc w:val="both"/>
        <w:rPr>
          <w:rFonts w:ascii="Arial" w:hAnsi="Arial" w:cs="Arial"/>
          <w:sz w:val="24"/>
          <w:szCs w:val="24"/>
        </w:rPr>
      </w:pPr>
    </w:p>
    <w:p w14:paraId="5F0BC122" w14:textId="77777777" w:rsidR="00A57150" w:rsidRPr="00942AAC" w:rsidRDefault="00A57150" w:rsidP="00A57150">
      <w:pPr>
        <w:jc w:val="both"/>
        <w:rPr>
          <w:rFonts w:ascii="Arial" w:hAnsi="Arial" w:cs="Arial"/>
          <w:sz w:val="24"/>
          <w:szCs w:val="24"/>
        </w:rPr>
      </w:pPr>
      <w:r w:rsidRPr="00942AAC">
        <w:rPr>
          <w:rFonts w:ascii="Arial" w:hAnsi="Arial" w:cs="Arial"/>
          <w:sz w:val="24"/>
          <w:szCs w:val="24"/>
        </w:rPr>
        <w:t>Croydon CCG and Croydon Council have worked together to jointly invest in new and expanded services to deliver the planned service improvements identified in our previous Out of Hospital Strategy.  This has also provided both Croydon CCG and Croydon Council with the ability to target additional investments for new or expanded out of hospital service provision to meet challenges faced with increasing admissions.</w:t>
      </w:r>
    </w:p>
    <w:p w14:paraId="60FD17A8" w14:textId="77777777" w:rsidR="00A57150" w:rsidRPr="00942AAC" w:rsidRDefault="00A57150" w:rsidP="00A57150">
      <w:pPr>
        <w:jc w:val="both"/>
        <w:rPr>
          <w:rFonts w:ascii="Arial" w:hAnsi="Arial" w:cs="Arial"/>
          <w:sz w:val="24"/>
          <w:szCs w:val="24"/>
        </w:rPr>
      </w:pPr>
    </w:p>
    <w:p w14:paraId="68816DDB" w14:textId="77777777" w:rsidR="00A57150" w:rsidRPr="00942AAC" w:rsidRDefault="00A57150" w:rsidP="00A57150">
      <w:pPr>
        <w:jc w:val="both"/>
        <w:rPr>
          <w:rFonts w:ascii="Arial" w:hAnsi="Arial" w:cs="Arial"/>
          <w:b/>
          <w:i/>
          <w:sz w:val="24"/>
          <w:szCs w:val="24"/>
        </w:rPr>
      </w:pPr>
      <w:r w:rsidRPr="00942AAC">
        <w:rPr>
          <w:rFonts w:ascii="Arial" w:hAnsi="Arial" w:cs="Arial"/>
          <w:b/>
          <w:i/>
          <w:sz w:val="24"/>
          <w:szCs w:val="24"/>
        </w:rPr>
        <w:t>Outcome Based Commissioning</w:t>
      </w:r>
    </w:p>
    <w:p w14:paraId="486064FE" w14:textId="77777777" w:rsidR="00A57150" w:rsidRPr="00942AAC" w:rsidRDefault="00A57150" w:rsidP="00A57150">
      <w:pPr>
        <w:jc w:val="both"/>
        <w:rPr>
          <w:rFonts w:ascii="Arial" w:hAnsi="Arial" w:cs="Arial"/>
          <w:sz w:val="24"/>
          <w:szCs w:val="24"/>
        </w:rPr>
      </w:pPr>
      <w:r w:rsidRPr="00942AAC">
        <w:rPr>
          <w:rFonts w:ascii="Arial" w:hAnsi="Arial" w:cs="Arial"/>
          <w:sz w:val="24"/>
          <w:szCs w:val="24"/>
        </w:rPr>
        <w:t>Croydon CCG and Croydon Council are working towards the implementation of a 10 year Outcome Based Commissioning (OBC) contract that will incentivise providers to manage and deliver services that are high quality, cost effective, integrated and focussed on the achievement of outcomes.</w:t>
      </w:r>
      <w:r>
        <w:rPr>
          <w:rFonts w:ascii="Arial" w:hAnsi="Arial" w:cs="Arial"/>
          <w:sz w:val="24"/>
          <w:szCs w:val="24"/>
        </w:rPr>
        <w:t xml:space="preserve">  This is done with the Accountable Providers Alliance made up of five main providers in Croydon providing a model of care through integration of services, engaging commissioners and patients to ensure patient centred and holistic care.</w:t>
      </w:r>
    </w:p>
    <w:p w14:paraId="46EA3EDB" w14:textId="77777777" w:rsidR="006E78E8" w:rsidRDefault="006E78E8" w:rsidP="005E11AE">
      <w:pPr>
        <w:spacing w:after="200" w:line="276" w:lineRule="auto"/>
        <w:rPr>
          <w:rFonts w:ascii="Arial" w:hAnsi="Arial" w:cs="Arial"/>
          <w:sz w:val="24"/>
          <w:szCs w:val="24"/>
        </w:rPr>
      </w:pPr>
    </w:p>
    <w:p w14:paraId="17FC4E90" w14:textId="4C681D76" w:rsidR="004A3BA6" w:rsidRPr="00481FC1" w:rsidRDefault="005E11AE" w:rsidP="005E11AE">
      <w:pPr>
        <w:spacing w:after="200" w:line="276" w:lineRule="auto"/>
        <w:rPr>
          <w:rFonts w:ascii="Arial" w:hAnsi="Arial" w:cs="Arial"/>
          <w:sz w:val="24"/>
          <w:szCs w:val="24"/>
        </w:rPr>
      </w:pPr>
      <w:r>
        <w:rPr>
          <w:rFonts w:ascii="Arial" w:hAnsi="Arial" w:cs="Arial"/>
          <w:sz w:val="24"/>
          <w:szCs w:val="24"/>
        </w:rPr>
        <w:t>Below is the activity level for Intermediate care bed provision in Croydon in the last two years.</w:t>
      </w:r>
    </w:p>
    <w:p w14:paraId="440FF297" w14:textId="77777777" w:rsidR="00EC24EB" w:rsidRDefault="00EC24EB" w:rsidP="005E11AE">
      <w:pPr>
        <w:spacing w:after="200" w:line="276" w:lineRule="auto"/>
        <w:jc w:val="center"/>
        <w:rPr>
          <w:rFonts w:ascii="Arial" w:hAnsi="Arial" w:cs="Arial"/>
          <w:b/>
          <w:sz w:val="24"/>
          <w:szCs w:val="24"/>
        </w:rPr>
      </w:pPr>
    </w:p>
    <w:p w14:paraId="32DA52DD" w14:textId="77777777" w:rsidR="00EC24EB" w:rsidRDefault="00EC24EB" w:rsidP="00AD2330">
      <w:pPr>
        <w:spacing w:after="200" w:line="276" w:lineRule="auto"/>
        <w:rPr>
          <w:rFonts w:ascii="Arial" w:hAnsi="Arial" w:cs="Arial"/>
          <w:b/>
          <w:sz w:val="24"/>
          <w:szCs w:val="24"/>
        </w:rPr>
      </w:pPr>
    </w:p>
    <w:p w14:paraId="4408F2FF" w14:textId="77777777" w:rsidR="00AD2330" w:rsidRDefault="00AD2330" w:rsidP="00AD2330">
      <w:pPr>
        <w:spacing w:after="200" w:line="276" w:lineRule="auto"/>
        <w:rPr>
          <w:rFonts w:ascii="Arial" w:hAnsi="Arial" w:cs="Arial"/>
          <w:b/>
          <w:sz w:val="24"/>
          <w:szCs w:val="24"/>
        </w:rPr>
      </w:pPr>
    </w:p>
    <w:p w14:paraId="265EEF17" w14:textId="77777777" w:rsidR="00AD2330" w:rsidRDefault="00AD2330" w:rsidP="00AD2330">
      <w:pPr>
        <w:spacing w:after="200" w:line="276" w:lineRule="auto"/>
        <w:rPr>
          <w:rFonts w:ascii="Arial" w:hAnsi="Arial" w:cs="Arial"/>
          <w:b/>
          <w:sz w:val="24"/>
          <w:szCs w:val="24"/>
        </w:rPr>
      </w:pPr>
    </w:p>
    <w:p w14:paraId="2306FFA7" w14:textId="77777777" w:rsidR="00AD2330" w:rsidRDefault="00AD2330" w:rsidP="00AD2330">
      <w:pPr>
        <w:spacing w:after="200" w:line="276" w:lineRule="auto"/>
        <w:rPr>
          <w:rFonts w:ascii="Arial" w:hAnsi="Arial" w:cs="Arial"/>
          <w:b/>
          <w:sz w:val="24"/>
          <w:szCs w:val="24"/>
        </w:rPr>
      </w:pPr>
    </w:p>
    <w:p w14:paraId="5E8A6948" w14:textId="77777777" w:rsidR="00AD2330" w:rsidRDefault="00AD2330" w:rsidP="00AD2330">
      <w:pPr>
        <w:spacing w:after="200" w:line="276" w:lineRule="auto"/>
        <w:rPr>
          <w:rFonts w:ascii="Arial" w:hAnsi="Arial" w:cs="Arial"/>
          <w:b/>
          <w:sz w:val="24"/>
          <w:szCs w:val="24"/>
        </w:rPr>
      </w:pPr>
    </w:p>
    <w:p w14:paraId="7EF5D129" w14:textId="77777777" w:rsidR="00AD2330" w:rsidRDefault="00AD2330" w:rsidP="00AD2330">
      <w:pPr>
        <w:spacing w:after="200" w:line="276" w:lineRule="auto"/>
        <w:rPr>
          <w:rFonts w:ascii="Arial" w:hAnsi="Arial" w:cs="Arial"/>
          <w:b/>
          <w:sz w:val="24"/>
          <w:szCs w:val="24"/>
        </w:rPr>
      </w:pPr>
    </w:p>
    <w:p w14:paraId="37660237" w14:textId="77777777" w:rsidR="00AD2330" w:rsidRDefault="00AD2330" w:rsidP="00AD2330">
      <w:pPr>
        <w:spacing w:after="200" w:line="276" w:lineRule="auto"/>
        <w:rPr>
          <w:rFonts w:ascii="Arial" w:hAnsi="Arial" w:cs="Arial"/>
          <w:b/>
          <w:sz w:val="24"/>
          <w:szCs w:val="24"/>
        </w:rPr>
      </w:pPr>
    </w:p>
    <w:p w14:paraId="5F6FB63F" w14:textId="77777777" w:rsidR="00AD2330" w:rsidRDefault="00AD2330" w:rsidP="00AD2330">
      <w:pPr>
        <w:spacing w:after="200" w:line="276" w:lineRule="auto"/>
        <w:rPr>
          <w:rFonts w:ascii="Arial" w:hAnsi="Arial" w:cs="Arial"/>
          <w:b/>
          <w:sz w:val="24"/>
          <w:szCs w:val="24"/>
        </w:rPr>
      </w:pPr>
    </w:p>
    <w:p w14:paraId="5BAF668D" w14:textId="77777777" w:rsidR="00AD2330" w:rsidRDefault="00AD2330" w:rsidP="00AD2330">
      <w:pPr>
        <w:spacing w:after="200" w:line="276" w:lineRule="auto"/>
        <w:rPr>
          <w:rFonts w:ascii="Arial" w:hAnsi="Arial" w:cs="Arial"/>
          <w:b/>
          <w:sz w:val="24"/>
          <w:szCs w:val="24"/>
        </w:rPr>
      </w:pPr>
    </w:p>
    <w:p w14:paraId="0E7C9168" w14:textId="77777777" w:rsidR="005E11AE" w:rsidRPr="00481FC1" w:rsidRDefault="005E11AE" w:rsidP="005E11AE">
      <w:pPr>
        <w:spacing w:after="200" w:line="276" w:lineRule="auto"/>
        <w:jc w:val="center"/>
        <w:rPr>
          <w:rFonts w:ascii="Arial" w:hAnsi="Arial" w:cs="Arial"/>
          <w:b/>
          <w:sz w:val="24"/>
          <w:szCs w:val="24"/>
        </w:rPr>
      </w:pPr>
      <w:r w:rsidRPr="00481FC1">
        <w:rPr>
          <w:rFonts w:ascii="Arial" w:hAnsi="Arial" w:cs="Arial"/>
          <w:b/>
          <w:sz w:val="24"/>
          <w:szCs w:val="24"/>
        </w:rPr>
        <w:lastRenderedPageBreak/>
        <w:t>Intermediate Care Beds – 2014 – 2016:</w:t>
      </w:r>
    </w:p>
    <w:tbl>
      <w:tblPr>
        <w:tblStyle w:val="TableGrid"/>
        <w:tblW w:w="0" w:type="auto"/>
        <w:tblLook w:val="04A0" w:firstRow="1" w:lastRow="0" w:firstColumn="1" w:lastColumn="0" w:noHBand="0" w:noVBand="1"/>
      </w:tblPr>
      <w:tblGrid>
        <w:gridCol w:w="1848"/>
        <w:gridCol w:w="2938"/>
        <w:gridCol w:w="1701"/>
        <w:gridCol w:w="1985"/>
      </w:tblGrid>
      <w:tr w:rsidR="005E11AE" w:rsidRPr="00481FC1" w14:paraId="549EB877" w14:textId="77777777" w:rsidTr="004F25B2">
        <w:tc>
          <w:tcPr>
            <w:tcW w:w="1848" w:type="dxa"/>
            <w:shd w:val="clear" w:color="auto" w:fill="BFBFBF" w:themeFill="background1" w:themeFillShade="BF"/>
          </w:tcPr>
          <w:p w14:paraId="5BE3029E" w14:textId="77777777" w:rsidR="005E11AE" w:rsidRPr="00481FC1" w:rsidRDefault="005E11AE" w:rsidP="004F25B2">
            <w:pPr>
              <w:rPr>
                <w:rFonts w:ascii="Arial" w:hAnsi="Arial" w:cs="Arial"/>
                <w:b/>
                <w:sz w:val="24"/>
                <w:szCs w:val="24"/>
              </w:rPr>
            </w:pPr>
            <w:r w:rsidRPr="00481FC1">
              <w:rPr>
                <w:rFonts w:ascii="Arial" w:hAnsi="Arial" w:cs="Arial"/>
                <w:b/>
                <w:sz w:val="24"/>
                <w:szCs w:val="24"/>
              </w:rPr>
              <w:t>Year of activity</w:t>
            </w:r>
          </w:p>
        </w:tc>
        <w:tc>
          <w:tcPr>
            <w:tcW w:w="2938" w:type="dxa"/>
            <w:shd w:val="clear" w:color="auto" w:fill="BFBFBF" w:themeFill="background1" w:themeFillShade="BF"/>
          </w:tcPr>
          <w:p w14:paraId="2EE85E50" w14:textId="77777777" w:rsidR="005E11AE" w:rsidRPr="00481FC1" w:rsidRDefault="005E11AE" w:rsidP="004F25B2">
            <w:pPr>
              <w:rPr>
                <w:rFonts w:ascii="Arial" w:hAnsi="Arial" w:cs="Arial"/>
                <w:b/>
                <w:sz w:val="24"/>
                <w:szCs w:val="24"/>
              </w:rPr>
            </w:pPr>
            <w:r w:rsidRPr="00481FC1">
              <w:rPr>
                <w:rFonts w:ascii="Arial" w:hAnsi="Arial" w:cs="Arial"/>
                <w:b/>
                <w:sz w:val="24"/>
                <w:szCs w:val="24"/>
              </w:rPr>
              <w:t>Activity</w:t>
            </w:r>
          </w:p>
        </w:tc>
        <w:tc>
          <w:tcPr>
            <w:tcW w:w="1701" w:type="dxa"/>
            <w:shd w:val="clear" w:color="auto" w:fill="BFBFBF" w:themeFill="background1" w:themeFillShade="BF"/>
          </w:tcPr>
          <w:p w14:paraId="2376E0A8" w14:textId="77777777" w:rsidR="005E11AE" w:rsidRPr="00481FC1" w:rsidRDefault="005E11AE" w:rsidP="004F25B2">
            <w:pPr>
              <w:rPr>
                <w:rFonts w:ascii="Arial" w:hAnsi="Arial" w:cs="Arial"/>
                <w:b/>
                <w:sz w:val="24"/>
                <w:szCs w:val="24"/>
              </w:rPr>
            </w:pPr>
            <w:r w:rsidRPr="00481FC1">
              <w:rPr>
                <w:rFonts w:ascii="Arial" w:hAnsi="Arial" w:cs="Arial"/>
                <w:b/>
                <w:sz w:val="24"/>
                <w:szCs w:val="24"/>
              </w:rPr>
              <w:t>Step</w:t>
            </w:r>
            <w:r>
              <w:rPr>
                <w:rFonts w:ascii="Arial" w:hAnsi="Arial" w:cs="Arial"/>
                <w:b/>
                <w:sz w:val="24"/>
                <w:szCs w:val="24"/>
              </w:rPr>
              <w:t>-</w:t>
            </w:r>
            <w:r w:rsidRPr="00481FC1">
              <w:rPr>
                <w:rFonts w:ascii="Arial" w:hAnsi="Arial" w:cs="Arial"/>
                <w:b/>
                <w:sz w:val="24"/>
                <w:szCs w:val="24"/>
              </w:rPr>
              <w:t>up beds</w:t>
            </w:r>
          </w:p>
        </w:tc>
        <w:tc>
          <w:tcPr>
            <w:tcW w:w="1985" w:type="dxa"/>
            <w:shd w:val="clear" w:color="auto" w:fill="BFBFBF" w:themeFill="background1" w:themeFillShade="BF"/>
          </w:tcPr>
          <w:p w14:paraId="22954C59" w14:textId="77777777" w:rsidR="005E11AE" w:rsidRPr="00481FC1" w:rsidRDefault="005E11AE" w:rsidP="004F25B2">
            <w:pPr>
              <w:rPr>
                <w:rFonts w:ascii="Arial" w:hAnsi="Arial" w:cs="Arial"/>
                <w:b/>
                <w:sz w:val="24"/>
                <w:szCs w:val="24"/>
              </w:rPr>
            </w:pPr>
            <w:r w:rsidRPr="00481FC1">
              <w:rPr>
                <w:rFonts w:ascii="Arial" w:hAnsi="Arial" w:cs="Arial"/>
                <w:b/>
                <w:sz w:val="24"/>
                <w:szCs w:val="24"/>
              </w:rPr>
              <w:t>Step</w:t>
            </w:r>
            <w:r>
              <w:rPr>
                <w:rFonts w:ascii="Arial" w:hAnsi="Arial" w:cs="Arial"/>
                <w:b/>
                <w:sz w:val="24"/>
                <w:szCs w:val="24"/>
              </w:rPr>
              <w:t>-</w:t>
            </w:r>
            <w:r w:rsidRPr="00481FC1">
              <w:rPr>
                <w:rFonts w:ascii="Arial" w:hAnsi="Arial" w:cs="Arial"/>
                <w:b/>
                <w:sz w:val="24"/>
                <w:szCs w:val="24"/>
              </w:rPr>
              <w:t>down beds</w:t>
            </w:r>
          </w:p>
        </w:tc>
      </w:tr>
      <w:tr w:rsidR="005E11AE" w:rsidRPr="00481FC1" w14:paraId="25C35B6B" w14:textId="77777777" w:rsidTr="004F25B2">
        <w:tc>
          <w:tcPr>
            <w:tcW w:w="1848" w:type="dxa"/>
            <w:vMerge w:val="restart"/>
            <w:vAlign w:val="center"/>
          </w:tcPr>
          <w:p w14:paraId="681787AB" w14:textId="77777777" w:rsidR="005E11AE" w:rsidRPr="00481FC1" w:rsidRDefault="005E11AE" w:rsidP="004F25B2">
            <w:pPr>
              <w:jc w:val="center"/>
              <w:rPr>
                <w:rFonts w:ascii="Arial" w:hAnsi="Arial" w:cs="Arial"/>
                <w:b/>
                <w:sz w:val="24"/>
                <w:szCs w:val="24"/>
              </w:rPr>
            </w:pPr>
            <w:r w:rsidRPr="00481FC1">
              <w:rPr>
                <w:rFonts w:ascii="Arial" w:hAnsi="Arial" w:cs="Arial"/>
                <w:b/>
                <w:sz w:val="24"/>
                <w:szCs w:val="24"/>
              </w:rPr>
              <w:t>2014 - 2015</w:t>
            </w:r>
          </w:p>
        </w:tc>
        <w:tc>
          <w:tcPr>
            <w:tcW w:w="2938" w:type="dxa"/>
          </w:tcPr>
          <w:p w14:paraId="69BC8E2D" w14:textId="77777777" w:rsidR="005E11AE" w:rsidRPr="00481FC1" w:rsidRDefault="005E11AE" w:rsidP="004F25B2">
            <w:pPr>
              <w:rPr>
                <w:rFonts w:ascii="Arial" w:hAnsi="Arial" w:cs="Arial"/>
                <w:sz w:val="24"/>
                <w:szCs w:val="24"/>
              </w:rPr>
            </w:pPr>
            <w:r w:rsidRPr="00481FC1">
              <w:rPr>
                <w:rFonts w:ascii="Arial" w:hAnsi="Arial" w:cs="Arial"/>
                <w:sz w:val="24"/>
                <w:szCs w:val="24"/>
              </w:rPr>
              <w:t>Admission</w:t>
            </w:r>
          </w:p>
          <w:p w14:paraId="01A73323" w14:textId="77777777" w:rsidR="005E11AE" w:rsidRPr="00481FC1" w:rsidRDefault="005E11AE" w:rsidP="004F25B2">
            <w:pPr>
              <w:rPr>
                <w:rFonts w:ascii="Arial" w:hAnsi="Arial" w:cs="Arial"/>
                <w:sz w:val="24"/>
                <w:szCs w:val="24"/>
              </w:rPr>
            </w:pPr>
          </w:p>
        </w:tc>
        <w:tc>
          <w:tcPr>
            <w:tcW w:w="1701" w:type="dxa"/>
          </w:tcPr>
          <w:p w14:paraId="06617094" w14:textId="77777777" w:rsidR="005E11AE" w:rsidRPr="00481FC1" w:rsidRDefault="005E11AE" w:rsidP="004F25B2">
            <w:pPr>
              <w:rPr>
                <w:rFonts w:ascii="Arial" w:hAnsi="Arial" w:cs="Arial"/>
                <w:sz w:val="24"/>
                <w:szCs w:val="24"/>
              </w:rPr>
            </w:pPr>
            <w:r w:rsidRPr="00481FC1">
              <w:rPr>
                <w:rFonts w:ascii="Arial" w:hAnsi="Arial" w:cs="Arial"/>
                <w:sz w:val="24"/>
                <w:szCs w:val="24"/>
              </w:rPr>
              <w:t>5.3</w:t>
            </w:r>
          </w:p>
        </w:tc>
        <w:tc>
          <w:tcPr>
            <w:tcW w:w="1985" w:type="dxa"/>
          </w:tcPr>
          <w:p w14:paraId="63288D58" w14:textId="77777777" w:rsidR="005E11AE" w:rsidRPr="00481FC1" w:rsidRDefault="005E11AE" w:rsidP="004F25B2">
            <w:pPr>
              <w:rPr>
                <w:rFonts w:ascii="Arial" w:hAnsi="Arial" w:cs="Arial"/>
                <w:sz w:val="24"/>
                <w:szCs w:val="24"/>
              </w:rPr>
            </w:pPr>
            <w:r w:rsidRPr="00481FC1">
              <w:rPr>
                <w:rFonts w:ascii="Arial" w:hAnsi="Arial" w:cs="Arial"/>
                <w:sz w:val="24"/>
                <w:szCs w:val="24"/>
              </w:rPr>
              <w:t>15</w:t>
            </w:r>
          </w:p>
        </w:tc>
      </w:tr>
      <w:tr w:rsidR="005E11AE" w:rsidRPr="00481FC1" w14:paraId="1E397266" w14:textId="77777777" w:rsidTr="004F25B2">
        <w:tc>
          <w:tcPr>
            <w:tcW w:w="1848" w:type="dxa"/>
            <w:vMerge/>
          </w:tcPr>
          <w:p w14:paraId="5296E86B" w14:textId="77777777" w:rsidR="005E11AE" w:rsidRPr="00481FC1" w:rsidRDefault="005E11AE" w:rsidP="004F25B2">
            <w:pPr>
              <w:rPr>
                <w:rFonts w:ascii="Arial" w:hAnsi="Arial" w:cs="Arial"/>
                <w:sz w:val="24"/>
                <w:szCs w:val="24"/>
              </w:rPr>
            </w:pPr>
          </w:p>
        </w:tc>
        <w:tc>
          <w:tcPr>
            <w:tcW w:w="2938" w:type="dxa"/>
          </w:tcPr>
          <w:p w14:paraId="025F34D4" w14:textId="77777777" w:rsidR="005E11AE" w:rsidRPr="00481FC1" w:rsidRDefault="005E11AE" w:rsidP="004F25B2">
            <w:pPr>
              <w:rPr>
                <w:rFonts w:ascii="Arial" w:hAnsi="Arial" w:cs="Arial"/>
                <w:sz w:val="24"/>
                <w:szCs w:val="24"/>
              </w:rPr>
            </w:pPr>
            <w:r w:rsidRPr="00481FC1">
              <w:rPr>
                <w:rFonts w:ascii="Arial" w:hAnsi="Arial" w:cs="Arial"/>
                <w:sz w:val="24"/>
                <w:szCs w:val="24"/>
              </w:rPr>
              <w:t xml:space="preserve">Average  Occupancy </w:t>
            </w:r>
          </w:p>
          <w:p w14:paraId="197A6855" w14:textId="77777777" w:rsidR="005E11AE" w:rsidRPr="00481FC1" w:rsidRDefault="005E11AE" w:rsidP="004F25B2">
            <w:pPr>
              <w:rPr>
                <w:rFonts w:ascii="Arial" w:hAnsi="Arial" w:cs="Arial"/>
                <w:sz w:val="24"/>
                <w:szCs w:val="24"/>
              </w:rPr>
            </w:pPr>
          </w:p>
        </w:tc>
        <w:tc>
          <w:tcPr>
            <w:tcW w:w="1701" w:type="dxa"/>
          </w:tcPr>
          <w:p w14:paraId="08014B05" w14:textId="77777777" w:rsidR="005E11AE" w:rsidRPr="00481FC1" w:rsidRDefault="005E11AE" w:rsidP="004F25B2">
            <w:pPr>
              <w:rPr>
                <w:rFonts w:ascii="Arial" w:hAnsi="Arial" w:cs="Arial"/>
                <w:sz w:val="24"/>
                <w:szCs w:val="24"/>
              </w:rPr>
            </w:pPr>
            <w:r w:rsidRPr="00481FC1">
              <w:rPr>
                <w:rFonts w:ascii="Arial" w:hAnsi="Arial" w:cs="Arial"/>
                <w:sz w:val="24"/>
                <w:szCs w:val="24"/>
              </w:rPr>
              <w:t>27%</w:t>
            </w:r>
          </w:p>
        </w:tc>
        <w:tc>
          <w:tcPr>
            <w:tcW w:w="1985" w:type="dxa"/>
          </w:tcPr>
          <w:p w14:paraId="34A7A388" w14:textId="77777777" w:rsidR="005E11AE" w:rsidRPr="00481FC1" w:rsidRDefault="005E11AE" w:rsidP="004F25B2">
            <w:pPr>
              <w:rPr>
                <w:rFonts w:ascii="Arial" w:hAnsi="Arial" w:cs="Arial"/>
                <w:sz w:val="24"/>
                <w:szCs w:val="24"/>
              </w:rPr>
            </w:pPr>
            <w:r w:rsidRPr="00481FC1">
              <w:rPr>
                <w:rFonts w:ascii="Arial" w:hAnsi="Arial" w:cs="Arial"/>
                <w:sz w:val="24"/>
                <w:szCs w:val="24"/>
              </w:rPr>
              <w:t>73%</w:t>
            </w:r>
          </w:p>
        </w:tc>
      </w:tr>
      <w:tr w:rsidR="005E11AE" w:rsidRPr="00481FC1" w14:paraId="3F0F8338" w14:textId="77777777" w:rsidTr="004F25B2">
        <w:trPr>
          <w:trHeight w:val="271"/>
        </w:trPr>
        <w:tc>
          <w:tcPr>
            <w:tcW w:w="1848" w:type="dxa"/>
            <w:vMerge/>
          </w:tcPr>
          <w:p w14:paraId="1CE66C4D" w14:textId="77777777" w:rsidR="005E11AE" w:rsidRPr="00481FC1" w:rsidRDefault="005E11AE" w:rsidP="004F25B2">
            <w:pPr>
              <w:rPr>
                <w:rFonts w:ascii="Arial" w:hAnsi="Arial" w:cs="Arial"/>
                <w:sz w:val="24"/>
                <w:szCs w:val="24"/>
              </w:rPr>
            </w:pPr>
          </w:p>
        </w:tc>
        <w:tc>
          <w:tcPr>
            <w:tcW w:w="2938" w:type="dxa"/>
          </w:tcPr>
          <w:p w14:paraId="4ED5971F" w14:textId="77777777" w:rsidR="005E11AE" w:rsidRPr="00481FC1" w:rsidRDefault="005E11AE" w:rsidP="004F25B2">
            <w:pPr>
              <w:rPr>
                <w:rFonts w:ascii="Arial" w:hAnsi="Arial" w:cs="Arial"/>
                <w:sz w:val="24"/>
                <w:szCs w:val="24"/>
              </w:rPr>
            </w:pPr>
            <w:r w:rsidRPr="00481FC1">
              <w:rPr>
                <w:rFonts w:ascii="Arial" w:hAnsi="Arial" w:cs="Arial"/>
                <w:sz w:val="24"/>
                <w:szCs w:val="24"/>
              </w:rPr>
              <w:t>Average Length of stay (days)</w:t>
            </w:r>
          </w:p>
          <w:p w14:paraId="73134F3C" w14:textId="77777777" w:rsidR="005E11AE" w:rsidRPr="00481FC1" w:rsidRDefault="005E11AE" w:rsidP="004F25B2">
            <w:pPr>
              <w:rPr>
                <w:rFonts w:ascii="Arial" w:hAnsi="Arial" w:cs="Arial"/>
                <w:sz w:val="24"/>
                <w:szCs w:val="24"/>
              </w:rPr>
            </w:pPr>
          </w:p>
        </w:tc>
        <w:tc>
          <w:tcPr>
            <w:tcW w:w="3686" w:type="dxa"/>
            <w:gridSpan w:val="2"/>
            <w:vAlign w:val="center"/>
          </w:tcPr>
          <w:p w14:paraId="46D39BDF" w14:textId="77777777" w:rsidR="005E11AE" w:rsidRPr="00481FC1" w:rsidRDefault="005E11AE" w:rsidP="004F25B2">
            <w:pPr>
              <w:jc w:val="center"/>
              <w:rPr>
                <w:rFonts w:ascii="Arial" w:hAnsi="Arial" w:cs="Arial"/>
                <w:sz w:val="24"/>
                <w:szCs w:val="24"/>
              </w:rPr>
            </w:pPr>
            <w:r w:rsidRPr="00481FC1">
              <w:rPr>
                <w:rFonts w:ascii="Arial" w:hAnsi="Arial" w:cs="Arial"/>
                <w:b/>
                <w:sz w:val="24"/>
                <w:szCs w:val="24"/>
              </w:rPr>
              <w:t>19</w:t>
            </w:r>
          </w:p>
        </w:tc>
      </w:tr>
      <w:tr w:rsidR="005E11AE" w:rsidRPr="00481FC1" w14:paraId="3ED9E8AC" w14:textId="77777777" w:rsidTr="004F25B2">
        <w:tc>
          <w:tcPr>
            <w:tcW w:w="1848" w:type="dxa"/>
            <w:vMerge/>
          </w:tcPr>
          <w:p w14:paraId="5129C094" w14:textId="77777777" w:rsidR="005E11AE" w:rsidRPr="00481FC1" w:rsidRDefault="005E11AE" w:rsidP="004F25B2">
            <w:pPr>
              <w:rPr>
                <w:rFonts w:ascii="Arial" w:hAnsi="Arial" w:cs="Arial"/>
                <w:sz w:val="24"/>
                <w:szCs w:val="24"/>
              </w:rPr>
            </w:pPr>
          </w:p>
        </w:tc>
        <w:tc>
          <w:tcPr>
            <w:tcW w:w="2938" w:type="dxa"/>
          </w:tcPr>
          <w:p w14:paraId="49CDC14F" w14:textId="77777777" w:rsidR="005E11AE" w:rsidRPr="00481FC1" w:rsidRDefault="005E11AE" w:rsidP="004F25B2">
            <w:pPr>
              <w:rPr>
                <w:rFonts w:ascii="Arial" w:hAnsi="Arial" w:cs="Arial"/>
                <w:sz w:val="24"/>
                <w:szCs w:val="24"/>
              </w:rPr>
            </w:pPr>
            <w:r w:rsidRPr="00481FC1">
              <w:rPr>
                <w:rFonts w:ascii="Arial" w:hAnsi="Arial" w:cs="Arial"/>
                <w:sz w:val="24"/>
                <w:szCs w:val="24"/>
              </w:rPr>
              <w:t>Average bed use</w:t>
            </w:r>
          </w:p>
          <w:p w14:paraId="757DE1D7" w14:textId="77777777" w:rsidR="005E11AE" w:rsidRPr="00481FC1" w:rsidRDefault="005E11AE" w:rsidP="004F25B2">
            <w:pPr>
              <w:rPr>
                <w:rFonts w:ascii="Arial" w:hAnsi="Arial" w:cs="Arial"/>
                <w:sz w:val="24"/>
                <w:szCs w:val="24"/>
              </w:rPr>
            </w:pPr>
          </w:p>
        </w:tc>
        <w:tc>
          <w:tcPr>
            <w:tcW w:w="3686" w:type="dxa"/>
            <w:gridSpan w:val="2"/>
            <w:vAlign w:val="center"/>
          </w:tcPr>
          <w:p w14:paraId="794DF5C1" w14:textId="77777777" w:rsidR="005E11AE" w:rsidRPr="00481FC1" w:rsidRDefault="005E11AE" w:rsidP="004F25B2">
            <w:pPr>
              <w:jc w:val="center"/>
              <w:rPr>
                <w:rFonts w:ascii="Arial" w:hAnsi="Arial" w:cs="Arial"/>
                <w:b/>
                <w:sz w:val="24"/>
                <w:szCs w:val="24"/>
              </w:rPr>
            </w:pPr>
            <w:r w:rsidRPr="00481FC1">
              <w:rPr>
                <w:rFonts w:ascii="Arial" w:hAnsi="Arial" w:cs="Arial"/>
                <w:b/>
                <w:sz w:val="24"/>
                <w:szCs w:val="24"/>
              </w:rPr>
              <w:t>85%</w:t>
            </w:r>
          </w:p>
        </w:tc>
      </w:tr>
      <w:tr w:rsidR="005E11AE" w:rsidRPr="00481FC1" w14:paraId="33D436C9" w14:textId="77777777" w:rsidTr="004F25B2">
        <w:tc>
          <w:tcPr>
            <w:tcW w:w="1848" w:type="dxa"/>
            <w:vMerge w:val="restart"/>
            <w:vAlign w:val="center"/>
          </w:tcPr>
          <w:p w14:paraId="48BFD631" w14:textId="77777777" w:rsidR="005E11AE" w:rsidRPr="00481FC1" w:rsidRDefault="005E11AE" w:rsidP="004F25B2">
            <w:pPr>
              <w:jc w:val="center"/>
              <w:rPr>
                <w:rFonts w:ascii="Arial" w:hAnsi="Arial" w:cs="Arial"/>
                <w:b/>
                <w:sz w:val="24"/>
                <w:szCs w:val="24"/>
              </w:rPr>
            </w:pPr>
            <w:r w:rsidRPr="00481FC1">
              <w:rPr>
                <w:rFonts w:ascii="Arial" w:hAnsi="Arial" w:cs="Arial"/>
                <w:b/>
                <w:sz w:val="24"/>
                <w:szCs w:val="24"/>
              </w:rPr>
              <w:t>2015 - 2016</w:t>
            </w:r>
          </w:p>
        </w:tc>
        <w:tc>
          <w:tcPr>
            <w:tcW w:w="2938" w:type="dxa"/>
          </w:tcPr>
          <w:p w14:paraId="0288E920" w14:textId="77777777" w:rsidR="005E11AE" w:rsidRPr="00481FC1" w:rsidRDefault="005E11AE" w:rsidP="004F25B2">
            <w:pPr>
              <w:rPr>
                <w:rFonts w:ascii="Arial" w:hAnsi="Arial" w:cs="Arial"/>
                <w:sz w:val="24"/>
                <w:szCs w:val="24"/>
              </w:rPr>
            </w:pPr>
            <w:r w:rsidRPr="00481FC1">
              <w:rPr>
                <w:rFonts w:ascii="Arial" w:hAnsi="Arial" w:cs="Arial"/>
                <w:sz w:val="24"/>
                <w:szCs w:val="24"/>
              </w:rPr>
              <w:t>Admission</w:t>
            </w:r>
          </w:p>
          <w:p w14:paraId="59642380" w14:textId="77777777" w:rsidR="005E11AE" w:rsidRPr="00481FC1" w:rsidRDefault="005E11AE" w:rsidP="004F25B2">
            <w:pPr>
              <w:rPr>
                <w:rFonts w:ascii="Arial" w:hAnsi="Arial" w:cs="Arial"/>
                <w:sz w:val="24"/>
                <w:szCs w:val="24"/>
              </w:rPr>
            </w:pPr>
          </w:p>
        </w:tc>
        <w:tc>
          <w:tcPr>
            <w:tcW w:w="1701" w:type="dxa"/>
          </w:tcPr>
          <w:p w14:paraId="71B2CC27" w14:textId="77777777" w:rsidR="005E11AE" w:rsidRPr="00481FC1" w:rsidRDefault="005E11AE" w:rsidP="004F25B2">
            <w:pPr>
              <w:rPr>
                <w:rFonts w:ascii="Arial" w:hAnsi="Arial" w:cs="Arial"/>
                <w:sz w:val="24"/>
                <w:szCs w:val="24"/>
              </w:rPr>
            </w:pPr>
            <w:r w:rsidRPr="00481FC1">
              <w:rPr>
                <w:rFonts w:ascii="Arial" w:hAnsi="Arial" w:cs="Arial"/>
                <w:sz w:val="24"/>
                <w:szCs w:val="24"/>
              </w:rPr>
              <w:t>9.1</w:t>
            </w:r>
          </w:p>
        </w:tc>
        <w:tc>
          <w:tcPr>
            <w:tcW w:w="1985" w:type="dxa"/>
          </w:tcPr>
          <w:p w14:paraId="734EDF2A" w14:textId="77777777" w:rsidR="005E11AE" w:rsidRPr="00481FC1" w:rsidRDefault="005E11AE" w:rsidP="004F25B2">
            <w:pPr>
              <w:rPr>
                <w:rFonts w:ascii="Arial" w:hAnsi="Arial" w:cs="Arial"/>
                <w:sz w:val="24"/>
                <w:szCs w:val="24"/>
              </w:rPr>
            </w:pPr>
            <w:r w:rsidRPr="00481FC1">
              <w:rPr>
                <w:rFonts w:ascii="Arial" w:hAnsi="Arial" w:cs="Arial"/>
                <w:sz w:val="24"/>
                <w:szCs w:val="24"/>
              </w:rPr>
              <w:t>16.4</w:t>
            </w:r>
          </w:p>
        </w:tc>
      </w:tr>
      <w:tr w:rsidR="005E11AE" w:rsidRPr="00481FC1" w14:paraId="5644AE2A" w14:textId="77777777" w:rsidTr="004F25B2">
        <w:tc>
          <w:tcPr>
            <w:tcW w:w="1848" w:type="dxa"/>
            <w:vMerge/>
          </w:tcPr>
          <w:p w14:paraId="6F467F7A" w14:textId="77777777" w:rsidR="005E11AE" w:rsidRPr="00481FC1" w:rsidRDefault="005E11AE" w:rsidP="004F25B2">
            <w:pPr>
              <w:rPr>
                <w:rFonts w:ascii="Arial" w:hAnsi="Arial" w:cs="Arial"/>
                <w:sz w:val="24"/>
                <w:szCs w:val="24"/>
              </w:rPr>
            </w:pPr>
          </w:p>
        </w:tc>
        <w:tc>
          <w:tcPr>
            <w:tcW w:w="2938" w:type="dxa"/>
          </w:tcPr>
          <w:p w14:paraId="7E956FF1" w14:textId="77777777" w:rsidR="005E11AE" w:rsidRPr="00481FC1" w:rsidRDefault="005E11AE" w:rsidP="004F25B2">
            <w:pPr>
              <w:rPr>
                <w:rFonts w:ascii="Arial" w:hAnsi="Arial" w:cs="Arial"/>
                <w:sz w:val="24"/>
                <w:szCs w:val="24"/>
              </w:rPr>
            </w:pPr>
            <w:r w:rsidRPr="00481FC1">
              <w:rPr>
                <w:rFonts w:ascii="Arial" w:hAnsi="Arial" w:cs="Arial"/>
                <w:sz w:val="24"/>
                <w:szCs w:val="24"/>
              </w:rPr>
              <w:t>Average Occupancy</w:t>
            </w:r>
          </w:p>
          <w:p w14:paraId="45F45DDF" w14:textId="77777777" w:rsidR="005E11AE" w:rsidRPr="00481FC1" w:rsidRDefault="005E11AE" w:rsidP="004F25B2">
            <w:pPr>
              <w:rPr>
                <w:rFonts w:ascii="Arial" w:hAnsi="Arial" w:cs="Arial"/>
                <w:sz w:val="24"/>
                <w:szCs w:val="24"/>
              </w:rPr>
            </w:pPr>
          </w:p>
        </w:tc>
        <w:tc>
          <w:tcPr>
            <w:tcW w:w="1701" w:type="dxa"/>
          </w:tcPr>
          <w:p w14:paraId="4AC20E73" w14:textId="77777777" w:rsidR="005E11AE" w:rsidRPr="00481FC1" w:rsidRDefault="005E11AE" w:rsidP="004F25B2">
            <w:pPr>
              <w:rPr>
                <w:rFonts w:ascii="Arial" w:hAnsi="Arial" w:cs="Arial"/>
                <w:sz w:val="24"/>
                <w:szCs w:val="24"/>
              </w:rPr>
            </w:pPr>
            <w:r w:rsidRPr="00481FC1">
              <w:rPr>
                <w:rFonts w:ascii="Arial" w:hAnsi="Arial" w:cs="Arial"/>
                <w:sz w:val="24"/>
                <w:szCs w:val="24"/>
              </w:rPr>
              <w:t>38%</w:t>
            </w:r>
          </w:p>
        </w:tc>
        <w:tc>
          <w:tcPr>
            <w:tcW w:w="1985" w:type="dxa"/>
          </w:tcPr>
          <w:p w14:paraId="11B134D6" w14:textId="77777777" w:rsidR="005E11AE" w:rsidRPr="00481FC1" w:rsidRDefault="005E11AE" w:rsidP="004F25B2">
            <w:pPr>
              <w:rPr>
                <w:rFonts w:ascii="Arial" w:hAnsi="Arial" w:cs="Arial"/>
                <w:sz w:val="24"/>
                <w:szCs w:val="24"/>
              </w:rPr>
            </w:pPr>
            <w:r w:rsidRPr="00481FC1">
              <w:rPr>
                <w:rFonts w:ascii="Arial" w:hAnsi="Arial" w:cs="Arial"/>
                <w:sz w:val="24"/>
                <w:szCs w:val="24"/>
              </w:rPr>
              <w:t>62%</w:t>
            </w:r>
          </w:p>
        </w:tc>
      </w:tr>
      <w:tr w:rsidR="005E11AE" w:rsidRPr="00481FC1" w14:paraId="0D9EFDAD" w14:textId="77777777" w:rsidTr="004F25B2">
        <w:tc>
          <w:tcPr>
            <w:tcW w:w="1848" w:type="dxa"/>
            <w:vMerge/>
          </w:tcPr>
          <w:p w14:paraId="23DA527B" w14:textId="77777777" w:rsidR="005E11AE" w:rsidRPr="00481FC1" w:rsidRDefault="005E11AE" w:rsidP="004F25B2">
            <w:pPr>
              <w:rPr>
                <w:rFonts w:ascii="Arial" w:hAnsi="Arial" w:cs="Arial"/>
                <w:sz w:val="24"/>
                <w:szCs w:val="24"/>
              </w:rPr>
            </w:pPr>
          </w:p>
        </w:tc>
        <w:tc>
          <w:tcPr>
            <w:tcW w:w="2938" w:type="dxa"/>
          </w:tcPr>
          <w:p w14:paraId="099B0EA1" w14:textId="77777777" w:rsidR="005E11AE" w:rsidRPr="00481FC1" w:rsidRDefault="005E11AE" w:rsidP="004F25B2">
            <w:pPr>
              <w:rPr>
                <w:rFonts w:ascii="Arial" w:hAnsi="Arial" w:cs="Arial"/>
                <w:sz w:val="24"/>
                <w:szCs w:val="24"/>
              </w:rPr>
            </w:pPr>
            <w:r w:rsidRPr="00481FC1">
              <w:rPr>
                <w:rFonts w:ascii="Arial" w:hAnsi="Arial" w:cs="Arial"/>
                <w:sz w:val="24"/>
                <w:szCs w:val="24"/>
              </w:rPr>
              <w:t>Average Length of stay (days)</w:t>
            </w:r>
          </w:p>
          <w:p w14:paraId="1C8CF714" w14:textId="77777777" w:rsidR="005E11AE" w:rsidRPr="00481FC1" w:rsidRDefault="005E11AE" w:rsidP="004F25B2">
            <w:pPr>
              <w:rPr>
                <w:rFonts w:ascii="Arial" w:hAnsi="Arial" w:cs="Arial"/>
                <w:sz w:val="24"/>
                <w:szCs w:val="24"/>
              </w:rPr>
            </w:pPr>
          </w:p>
        </w:tc>
        <w:tc>
          <w:tcPr>
            <w:tcW w:w="3686" w:type="dxa"/>
            <w:gridSpan w:val="2"/>
            <w:vAlign w:val="center"/>
          </w:tcPr>
          <w:p w14:paraId="66EF83C5" w14:textId="77777777" w:rsidR="005E11AE" w:rsidRPr="00481FC1" w:rsidRDefault="005E11AE" w:rsidP="004F25B2">
            <w:pPr>
              <w:jc w:val="center"/>
              <w:rPr>
                <w:rFonts w:ascii="Arial" w:hAnsi="Arial" w:cs="Arial"/>
                <w:b/>
                <w:sz w:val="24"/>
                <w:szCs w:val="24"/>
              </w:rPr>
            </w:pPr>
            <w:r w:rsidRPr="00481FC1">
              <w:rPr>
                <w:rFonts w:ascii="Arial" w:hAnsi="Arial" w:cs="Arial"/>
                <w:b/>
                <w:sz w:val="24"/>
                <w:szCs w:val="24"/>
              </w:rPr>
              <w:t>15</w:t>
            </w:r>
          </w:p>
        </w:tc>
      </w:tr>
      <w:tr w:rsidR="005E11AE" w:rsidRPr="00481FC1" w14:paraId="07E9CD37" w14:textId="77777777" w:rsidTr="004F25B2">
        <w:tc>
          <w:tcPr>
            <w:tcW w:w="1848" w:type="dxa"/>
            <w:vMerge/>
          </w:tcPr>
          <w:p w14:paraId="277698E9" w14:textId="77777777" w:rsidR="005E11AE" w:rsidRPr="00481FC1" w:rsidRDefault="005E11AE" w:rsidP="004F25B2">
            <w:pPr>
              <w:rPr>
                <w:rFonts w:ascii="Arial" w:hAnsi="Arial" w:cs="Arial"/>
                <w:sz w:val="24"/>
                <w:szCs w:val="24"/>
              </w:rPr>
            </w:pPr>
          </w:p>
        </w:tc>
        <w:tc>
          <w:tcPr>
            <w:tcW w:w="2938" w:type="dxa"/>
          </w:tcPr>
          <w:p w14:paraId="0BD4EBEE" w14:textId="77777777" w:rsidR="005E11AE" w:rsidRPr="00481FC1" w:rsidRDefault="005E11AE" w:rsidP="004F25B2">
            <w:pPr>
              <w:rPr>
                <w:rFonts w:ascii="Arial" w:hAnsi="Arial" w:cs="Arial"/>
                <w:sz w:val="24"/>
                <w:szCs w:val="24"/>
              </w:rPr>
            </w:pPr>
            <w:r w:rsidRPr="00481FC1">
              <w:rPr>
                <w:rFonts w:ascii="Arial" w:hAnsi="Arial" w:cs="Arial"/>
                <w:sz w:val="24"/>
                <w:szCs w:val="24"/>
              </w:rPr>
              <w:t>Average Bed use</w:t>
            </w:r>
          </w:p>
          <w:p w14:paraId="026BAF4E" w14:textId="77777777" w:rsidR="005E11AE" w:rsidRPr="00481FC1" w:rsidRDefault="005E11AE" w:rsidP="004F25B2">
            <w:pPr>
              <w:rPr>
                <w:rFonts w:ascii="Arial" w:hAnsi="Arial" w:cs="Arial"/>
                <w:sz w:val="24"/>
                <w:szCs w:val="24"/>
              </w:rPr>
            </w:pPr>
          </w:p>
        </w:tc>
        <w:tc>
          <w:tcPr>
            <w:tcW w:w="3686" w:type="dxa"/>
            <w:gridSpan w:val="2"/>
            <w:vAlign w:val="center"/>
          </w:tcPr>
          <w:p w14:paraId="7830EC65" w14:textId="77777777" w:rsidR="005E11AE" w:rsidRPr="00481FC1" w:rsidRDefault="005E11AE" w:rsidP="004F25B2">
            <w:pPr>
              <w:jc w:val="center"/>
              <w:rPr>
                <w:rFonts w:ascii="Arial" w:hAnsi="Arial" w:cs="Arial"/>
                <w:b/>
                <w:sz w:val="24"/>
                <w:szCs w:val="24"/>
              </w:rPr>
            </w:pPr>
            <w:r w:rsidRPr="00481FC1">
              <w:rPr>
                <w:rFonts w:ascii="Arial" w:hAnsi="Arial" w:cs="Arial"/>
                <w:b/>
                <w:sz w:val="24"/>
                <w:szCs w:val="24"/>
              </w:rPr>
              <w:t>84%</w:t>
            </w:r>
          </w:p>
        </w:tc>
      </w:tr>
    </w:tbl>
    <w:p w14:paraId="2F727E63" w14:textId="77777777" w:rsidR="005E11AE" w:rsidRPr="00481FC1" w:rsidRDefault="005E11AE" w:rsidP="005E11AE">
      <w:pPr>
        <w:spacing w:after="200" w:line="276" w:lineRule="auto"/>
        <w:rPr>
          <w:rFonts w:ascii="Arial" w:hAnsi="Arial" w:cs="Arial"/>
          <w:sz w:val="24"/>
          <w:szCs w:val="24"/>
        </w:rPr>
      </w:pPr>
    </w:p>
    <w:p w14:paraId="28AEDC12" w14:textId="4CF0B7CB" w:rsidR="005E11AE" w:rsidRDefault="005E11AE" w:rsidP="004A3BA6">
      <w:pPr>
        <w:spacing w:after="200" w:line="276" w:lineRule="auto"/>
        <w:rPr>
          <w:rFonts w:ascii="Arial" w:hAnsi="Arial" w:cs="Arial"/>
          <w:sz w:val="24"/>
          <w:szCs w:val="24"/>
        </w:rPr>
      </w:pPr>
      <w:r w:rsidRPr="00481FC1">
        <w:rPr>
          <w:rFonts w:ascii="Arial" w:hAnsi="Arial" w:cs="Arial"/>
          <w:sz w:val="24"/>
          <w:szCs w:val="24"/>
        </w:rPr>
        <w:t>The occupancy rates reflect best practice for the utilisation of beds.</w:t>
      </w:r>
    </w:p>
    <w:p w14:paraId="56175FE0" w14:textId="67E8B0F9" w:rsidR="00B73F99" w:rsidRPr="005D4F65" w:rsidRDefault="00B73F99" w:rsidP="004A3BA6">
      <w:pPr>
        <w:spacing w:after="200" w:line="276" w:lineRule="auto"/>
        <w:rPr>
          <w:rFonts w:ascii="Arial" w:hAnsi="Arial" w:cs="Arial"/>
          <w:b/>
          <w:sz w:val="24"/>
          <w:szCs w:val="24"/>
        </w:rPr>
      </w:pPr>
      <w:r w:rsidRPr="005D4F65">
        <w:rPr>
          <w:rFonts w:ascii="Arial" w:hAnsi="Arial" w:cs="Arial"/>
          <w:b/>
          <w:sz w:val="24"/>
          <w:szCs w:val="24"/>
        </w:rPr>
        <w:t>3.4</w:t>
      </w:r>
      <w:r w:rsidRPr="005D4F65">
        <w:rPr>
          <w:rFonts w:ascii="Arial" w:hAnsi="Arial" w:cs="Arial"/>
          <w:b/>
          <w:sz w:val="24"/>
          <w:szCs w:val="24"/>
        </w:rPr>
        <w:tab/>
        <w:t>Current Intermediate Care Service in Croydon</w:t>
      </w:r>
    </w:p>
    <w:p w14:paraId="2C411200" w14:textId="151F706D" w:rsidR="00B73F99" w:rsidRDefault="00B73F99" w:rsidP="00B73F99">
      <w:pPr>
        <w:rPr>
          <w:rFonts w:ascii="Arial" w:hAnsi="Arial" w:cs="Arial"/>
          <w:bCs/>
          <w:color w:val="000000"/>
          <w:sz w:val="24"/>
          <w:szCs w:val="24"/>
          <w:lang w:eastAsia="en-GB"/>
        </w:rPr>
      </w:pPr>
      <w:r w:rsidRPr="00942AAC">
        <w:rPr>
          <w:rFonts w:ascii="Arial" w:hAnsi="Arial" w:cs="Arial"/>
          <w:sz w:val="24"/>
          <w:szCs w:val="24"/>
        </w:rPr>
        <w:t>Currently</w:t>
      </w:r>
      <w:r>
        <w:rPr>
          <w:rFonts w:ascii="Arial" w:hAnsi="Arial" w:cs="Arial"/>
          <w:sz w:val="24"/>
          <w:szCs w:val="24"/>
        </w:rPr>
        <w:t>,</w:t>
      </w:r>
      <w:r w:rsidRPr="00942AAC">
        <w:rPr>
          <w:rFonts w:ascii="Arial" w:hAnsi="Arial" w:cs="Arial"/>
          <w:sz w:val="24"/>
          <w:szCs w:val="24"/>
        </w:rPr>
        <w:t xml:space="preserve"> Croydon CCG Commissions 12 intermediate care beds in a local nursing home.  </w:t>
      </w:r>
      <w:r w:rsidRPr="00942AAC">
        <w:rPr>
          <w:rFonts w:ascii="Arial" w:hAnsi="Arial" w:cs="Arial"/>
          <w:bCs/>
          <w:color w:val="000000"/>
          <w:sz w:val="24"/>
          <w:szCs w:val="24"/>
          <w:lang w:eastAsia="en-GB"/>
        </w:rPr>
        <w:t xml:space="preserve">.  </w:t>
      </w:r>
      <w:r>
        <w:rPr>
          <w:rFonts w:ascii="Arial" w:hAnsi="Arial" w:cs="Arial"/>
          <w:bCs/>
          <w:color w:val="000000"/>
          <w:sz w:val="24"/>
          <w:szCs w:val="24"/>
          <w:lang w:eastAsia="en-GB"/>
        </w:rPr>
        <w:t xml:space="preserve">The financial value of the service was £1.367m and funded on a block contract basis.  </w:t>
      </w:r>
      <w:r w:rsidRPr="00942AAC">
        <w:rPr>
          <w:rFonts w:ascii="Arial" w:hAnsi="Arial" w:cs="Arial"/>
          <w:bCs/>
          <w:color w:val="000000"/>
          <w:sz w:val="24"/>
          <w:szCs w:val="24"/>
          <w:lang w:eastAsia="en-GB"/>
        </w:rPr>
        <w:t xml:space="preserve">This </w:t>
      </w:r>
      <w:r>
        <w:rPr>
          <w:rFonts w:ascii="Arial" w:hAnsi="Arial" w:cs="Arial"/>
          <w:bCs/>
          <w:color w:val="000000"/>
          <w:sz w:val="24"/>
          <w:szCs w:val="24"/>
          <w:lang w:eastAsia="en-GB"/>
        </w:rPr>
        <w:t xml:space="preserve">Intermediate Care Bed </w:t>
      </w:r>
      <w:r w:rsidRPr="00942AAC">
        <w:rPr>
          <w:rFonts w:ascii="Arial" w:hAnsi="Arial" w:cs="Arial"/>
          <w:bCs/>
          <w:color w:val="000000"/>
          <w:sz w:val="24"/>
          <w:szCs w:val="24"/>
          <w:lang w:eastAsia="en-GB"/>
        </w:rPr>
        <w:t xml:space="preserve">service is offered </w:t>
      </w:r>
      <w:r>
        <w:rPr>
          <w:rFonts w:ascii="Arial" w:hAnsi="Arial" w:cs="Arial"/>
          <w:bCs/>
          <w:color w:val="000000"/>
          <w:sz w:val="24"/>
          <w:szCs w:val="24"/>
          <w:lang w:eastAsia="en-GB"/>
        </w:rPr>
        <w:t xml:space="preserve">normally </w:t>
      </w:r>
      <w:r w:rsidRPr="00942AAC">
        <w:rPr>
          <w:rFonts w:ascii="Arial" w:hAnsi="Arial" w:cs="Arial"/>
          <w:bCs/>
          <w:color w:val="000000"/>
          <w:sz w:val="24"/>
          <w:szCs w:val="24"/>
          <w:lang w:eastAsia="en-GB"/>
        </w:rPr>
        <w:t>for a maximum of two weeks with the possibility of extension up to a maximum of 6 weeks</w:t>
      </w:r>
      <w:r>
        <w:rPr>
          <w:rFonts w:ascii="Arial" w:hAnsi="Arial" w:cs="Arial"/>
          <w:bCs/>
          <w:color w:val="000000"/>
          <w:sz w:val="24"/>
          <w:szCs w:val="24"/>
          <w:lang w:eastAsia="en-GB"/>
        </w:rPr>
        <w:t xml:space="preserve"> in total. </w:t>
      </w:r>
    </w:p>
    <w:p w14:paraId="05231759" w14:textId="77777777" w:rsidR="00AE65E9" w:rsidRDefault="00AE65E9" w:rsidP="00B73F99">
      <w:pPr>
        <w:rPr>
          <w:rFonts w:ascii="Arial" w:hAnsi="Arial" w:cs="Arial"/>
          <w:bCs/>
          <w:color w:val="000000"/>
          <w:sz w:val="24"/>
          <w:szCs w:val="24"/>
          <w:lang w:eastAsia="en-GB"/>
        </w:rPr>
      </w:pPr>
    </w:p>
    <w:p w14:paraId="2E4367CE" w14:textId="046566EC" w:rsidR="00AE65E9" w:rsidRPr="00942AAC" w:rsidRDefault="00AE65E9" w:rsidP="00B73F99">
      <w:pPr>
        <w:rPr>
          <w:rFonts w:ascii="Arial" w:hAnsi="Arial" w:cs="Arial"/>
          <w:bCs/>
          <w:color w:val="000000"/>
          <w:sz w:val="24"/>
          <w:szCs w:val="24"/>
          <w:lang w:eastAsia="en-GB"/>
        </w:rPr>
      </w:pPr>
      <w:r>
        <w:rPr>
          <w:rFonts w:ascii="Arial" w:hAnsi="Arial" w:cs="Arial"/>
          <w:sz w:val="24"/>
          <w:szCs w:val="24"/>
        </w:rPr>
        <w:t>The service is being reviewed for the provision of spot purchased beds in the North of the Borough during the winter period to ensure the availability of intermediate care beds as required. The provision of community care beds in both the North and South will allow for care closer to home for patients and their relatives</w:t>
      </w:r>
    </w:p>
    <w:p w14:paraId="1D051AFA" w14:textId="77777777" w:rsidR="00B73F99" w:rsidRDefault="00B73F99" w:rsidP="004A3BA6">
      <w:pPr>
        <w:spacing w:after="200" w:line="276" w:lineRule="auto"/>
        <w:rPr>
          <w:rFonts w:ascii="Arial" w:hAnsi="Arial" w:cs="Arial"/>
          <w:sz w:val="24"/>
          <w:szCs w:val="24"/>
        </w:rPr>
      </w:pPr>
    </w:p>
    <w:p w14:paraId="44788D3B" w14:textId="64DA3D96" w:rsidR="00FE5FB2" w:rsidRPr="005D4F65" w:rsidRDefault="00B73F99" w:rsidP="004A3BA6">
      <w:pPr>
        <w:spacing w:after="200" w:line="276" w:lineRule="auto"/>
        <w:rPr>
          <w:rFonts w:ascii="Arial" w:hAnsi="Arial" w:cs="Arial"/>
          <w:b/>
          <w:sz w:val="24"/>
          <w:szCs w:val="24"/>
        </w:rPr>
      </w:pPr>
      <w:r w:rsidRPr="005D4F65">
        <w:rPr>
          <w:rFonts w:ascii="Arial" w:hAnsi="Arial" w:cs="Arial"/>
          <w:b/>
          <w:sz w:val="24"/>
          <w:szCs w:val="24"/>
        </w:rPr>
        <w:t>3.5</w:t>
      </w:r>
      <w:r w:rsidRPr="005D4F65">
        <w:rPr>
          <w:rFonts w:ascii="Arial" w:hAnsi="Arial" w:cs="Arial"/>
          <w:b/>
          <w:sz w:val="24"/>
          <w:szCs w:val="24"/>
        </w:rPr>
        <w:tab/>
      </w:r>
      <w:r w:rsidR="00FE5FB2" w:rsidRPr="005D4F65">
        <w:rPr>
          <w:rFonts w:ascii="Arial" w:hAnsi="Arial" w:cs="Arial"/>
          <w:b/>
          <w:sz w:val="24"/>
          <w:szCs w:val="24"/>
        </w:rPr>
        <w:t>Current Service Model</w:t>
      </w:r>
    </w:p>
    <w:p w14:paraId="2A4FCF9E" w14:textId="77777777" w:rsidR="00661035" w:rsidRDefault="00661035" w:rsidP="004A3BA6">
      <w:pPr>
        <w:spacing w:after="200" w:line="276" w:lineRule="auto"/>
        <w:rPr>
          <w:rFonts w:ascii="Arial" w:hAnsi="Arial" w:cs="Arial"/>
          <w:sz w:val="24"/>
          <w:szCs w:val="24"/>
        </w:rPr>
      </w:pPr>
      <w:r w:rsidRPr="00661035">
        <w:rPr>
          <w:rFonts w:ascii="Arial" w:hAnsi="Arial" w:cs="Arial"/>
          <w:sz w:val="24"/>
          <w:szCs w:val="24"/>
        </w:rPr>
        <w:t xml:space="preserve">Croydon has more care homes than any other London Borough, with around 180, of which approximately 140 completely or partly specialise in the care of people aged over 65. </w:t>
      </w:r>
    </w:p>
    <w:p w14:paraId="5D80D334" w14:textId="7228D073" w:rsidR="00296EEA" w:rsidRPr="00942AAC" w:rsidRDefault="00296EEA" w:rsidP="00296EEA">
      <w:pPr>
        <w:jc w:val="both"/>
        <w:rPr>
          <w:rFonts w:ascii="Arial" w:hAnsi="Arial" w:cs="Arial"/>
          <w:sz w:val="24"/>
          <w:szCs w:val="24"/>
        </w:rPr>
      </w:pPr>
      <w:r w:rsidRPr="00942AAC">
        <w:rPr>
          <w:rFonts w:ascii="Arial" w:hAnsi="Arial" w:cs="Arial"/>
          <w:sz w:val="24"/>
          <w:szCs w:val="24"/>
        </w:rPr>
        <w:t xml:space="preserve">The services </w:t>
      </w:r>
      <w:r>
        <w:rPr>
          <w:rFonts w:ascii="Arial" w:hAnsi="Arial" w:cs="Arial"/>
          <w:sz w:val="24"/>
          <w:szCs w:val="24"/>
        </w:rPr>
        <w:t>contributing</w:t>
      </w:r>
      <w:r w:rsidRPr="00942AAC">
        <w:rPr>
          <w:rFonts w:ascii="Arial" w:hAnsi="Arial" w:cs="Arial"/>
          <w:sz w:val="24"/>
          <w:szCs w:val="24"/>
        </w:rPr>
        <w:t xml:space="preserve"> to the intermediate care function in Croydon include</w:t>
      </w:r>
      <w:r>
        <w:rPr>
          <w:rFonts w:ascii="Arial" w:hAnsi="Arial" w:cs="Arial"/>
          <w:sz w:val="24"/>
          <w:szCs w:val="24"/>
        </w:rPr>
        <w:t xml:space="preserve"> community teams such as </w:t>
      </w:r>
      <w:r w:rsidRPr="00942AAC">
        <w:rPr>
          <w:rFonts w:ascii="Arial" w:hAnsi="Arial" w:cs="Arial"/>
          <w:sz w:val="24"/>
          <w:szCs w:val="24"/>
        </w:rPr>
        <w:t xml:space="preserve">Rapid </w:t>
      </w:r>
      <w:r>
        <w:rPr>
          <w:rFonts w:ascii="Arial" w:hAnsi="Arial" w:cs="Arial"/>
          <w:sz w:val="24"/>
          <w:szCs w:val="24"/>
        </w:rPr>
        <w:t>R</w:t>
      </w:r>
      <w:r w:rsidRPr="00942AAC">
        <w:rPr>
          <w:rFonts w:ascii="Arial" w:hAnsi="Arial" w:cs="Arial"/>
          <w:sz w:val="24"/>
          <w:szCs w:val="24"/>
        </w:rPr>
        <w:t>esponse to prevent avoidable admission to hospital for patients referred from GPs, A&amp;E or other sources, with short-term care and support in their own home</w:t>
      </w:r>
      <w:r w:rsidR="006E78E8">
        <w:rPr>
          <w:rFonts w:ascii="Arial" w:hAnsi="Arial" w:cs="Arial"/>
          <w:sz w:val="24"/>
          <w:szCs w:val="24"/>
        </w:rPr>
        <w:t>.  This includes</w:t>
      </w:r>
      <w:r>
        <w:rPr>
          <w:rFonts w:ascii="Arial" w:hAnsi="Arial" w:cs="Arial"/>
          <w:sz w:val="24"/>
          <w:szCs w:val="24"/>
        </w:rPr>
        <w:t xml:space="preserve"> service provision by Croydon Council </w:t>
      </w:r>
      <w:r>
        <w:rPr>
          <w:rFonts w:ascii="Arial" w:hAnsi="Arial" w:cs="Arial"/>
          <w:sz w:val="24"/>
          <w:szCs w:val="24"/>
        </w:rPr>
        <w:lastRenderedPageBreak/>
        <w:t>with activities for daily living such as food preparation and participation in leisure activity.</w:t>
      </w:r>
    </w:p>
    <w:p w14:paraId="32336702" w14:textId="77777777" w:rsidR="00296EEA" w:rsidRDefault="00296EEA" w:rsidP="00FE5FB2">
      <w:pPr>
        <w:spacing w:after="200" w:line="276" w:lineRule="auto"/>
        <w:rPr>
          <w:rFonts w:ascii="Arial" w:hAnsi="Arial" w:cs="Arial"/>
          <w:sz w:val="24"/>
          <w:szCs w:val="24"/>
        </w:rPr>
      </w:pPr>
    </w:p>
    <w:p w14:paraId="31088B3F" w14:textId="77777777" w:rsidR="00FE5FB2" w:rsidRPr="00632F90" w:rsidRDefault="00FE5FB2" w:rsidP="00FE5FB2">
      <w:pPr>
        <w:spacing w:after="200" w:line="276" w:lineRule="auto"/>
        <w:rPr>
          <w:rFonts w:ascii="Arial" w:hAnsi="Arial" w:cs="Arial"/>
          <w:sz w:val="24"/>
          <w:szCs w:val="24"/>
        </w:rPr>
      </w:pPr>
      <w:r w:rsidRPr="00632F90">
        <w:rPr>
          <w:rFonts w:ascii="Arial" w:hAnsi="Arial" w:cs="Arial"/>
          <w:sz w:val="24"/>
          <w:szCs w:val="24"/>
        </w:rPr>
        <w:t>The intermediate care bed service offers a short term intervention of up to two weeks which is focused on rehabilitation with support delivered by a combination of the professional groups</w:t>
      </w:r>
      <w:r>
        <w:rPr>
          <w:rFonts w:ascii="Arial" w:hAnsi="Arial" w:cs="Arial"/>
          <w:sz w:val="24"/>
          <w:szCs w:val="24"/>
        </w:rPr>
        <w:t>, detailed below, across community services especially with Croydon Health Services:</w:t>
      </w:r>
    </w:p>
    <w:p w14:paraId="2FD2CAC7" w14:textId="77777777" w:rsidR="00FE5FB2" w:rsidRPr="00481FC1" w:rsidRDefault="00FE5FB2" w:rsidP="00FE5FB2">
      <w:pPr>
        <w:numPr>
          <w:ilvl w:val="0"/>
          <w:numId w:val="22"/>
        </w:numPr>
        <w:spacing w:after="120" w:line="276" w:lineRule="auto"/>
        <w:ind w:left="714" w:hanging="357"/>
        <w:contextualSpacing/>
        <w:rPr>
          <w:rFonts w:ascii="Arial" w:eastAsia="Calibri" w:hAnsi="Arial" w:cs="Arial"/>
          <w:bCs/>
          <w:sz w:val="24"/>
          <w:szCs w:val="24"/>
        </w:rPr>
      </w:pPr>
      <w:r>
        <w:rPr>
          <w:rFonts w:ascii="Arial" w:eastAsia="Calibri" w:hAnsi="Arial" w:cs="Arial"/>
          <w:bCs/>
          <w:sz w:val="24"/>
          <w:szCs w:val="24"/>
        </w:rPr>
        <w:t>Community doctors</w:t>
      </w:r>
    </w:p>
    <w:p w14:paraId="44B9F46E" w14:textId="77777777" w:rsidR="00FE5FB2" w:rsidRPr="00481FC1" w:rsidRDefault="00FE5FB2" w:rsidP="00FE5FB2">
      <w:pPr>
        <w:numPr>
          <w:ilvl w:val="0"/>
          <w:numId w:val="22"/>
        </w:numPr>
        <w:spacing w:after="120" w:line="276" w:lineRule="auto"/>
        <w:ind w:left="714" w:hanging="357"/>
        <w:rPr>
          <w:rFonts w:ascii="Arial" w:eastAsia="Calibri" w:hAnsi="Arial" w:cs="Arial"/>
          <w:bCs/>
          <w:sz w:val="24"/>
          <w:szCs w:val="24"/>
        </w:rPr>
      </w:pPr>
      <w:r w:rsidRPr="00481FC1">
        <w:rPr>
          <w:rFonts w:ascii="Arial" w:eastAsia="Calibri" w:hAnsi="Arial" w:cs="Arial"/>
          <w:bCs/>
          <w:sz w:val="24"/>
          <w:szCs w:val="24"/>
        </w:rPr>
        <w:t>Community matron</w:t>
      </w:r>
    </w:p>
    <w:p w14:paraId="2CE30C62" w14:textId="77777777" w:rsidR="00FE5FB2" w:rsidRPr="00481FC1" w:rsidRDefault="00FE5FB2" w:rsidP="00FE5FB2">
      <w:pPr>
        <w:numPr>
          <w:ilvl w:val="0"/>
          <w:numId w:val="22"/>
        </w:numPr>
        <w:spacing w:after="120" w:line="276" w:lineRule="auto"/>
        <w:ind w:left="714" w:hanging="357"/>
        <w:rPr>
          <w:rFonts w:ascii="Arial" w:eastAsia="Calibri" w:hAnsi="Arial" w:cs="Arial"/>
          <w:bCs/>
          <w:sz w:val="24"/>
          <w:szCs w:val="24"/>
        </w:rPr>
      </w:pPr>
      <w:r w:rsidRPr="00481FC1">
        <w:rPr>
          <w:rFonts w:ascii="Arial" w:eastAsia="Calibri" w:hAnsi="Arial" w:cs="Arial"/>
          <w:bCs/>
          <w:sz w:val="24"/>
          <w:szCs w:val="24"/>
        </w:rPr>
        <w:t>Specialist nurses</w:t>
      </w:r>
    </w:p>
    <w:p w14:paraId="1D5EDF13" w14:textId="77777777" w:rsidR="00FE5FB2" w:rsidRPr="00481FC1" w:rsidRDefault="00FE5FB2" w:rsidP="00FE5FB2">
      <w:pPr>
        <w:numPr>
          <w:ilvl w:val="0"/>
          <w:numId w:val="22"/>
        </w:numPr>
        <w:spacing w:after="120" w:line="276" w:lineRule="auto"/>
        <w:ind w:left="714" w:hanging="357"/>
        <w:rPr>
          <w:rFonts w:ascii="Arial" w:hAnsi="Arial" w:cs="Arial"/>
          <w:bCs/>
          <w:color w:val="000000"/>
          <w:sz w:val="24"/>
          <w:szCs w:val="24"/>
          <w:lang w:eastAsia="en-GB"/>
        </w:rPr>
      </w:pPr>
      <w:r w:rsidRPr="00481FC1">
        <w:rPr>
          <w:rFonts w:ascii="Arial" w:hAnsi="Arial" w:cs="Arial"/>
          <w:bCs/>
          <w:color w:val="000000"/>
          <w:sz w:val="24"/>
          <w:szCs w:val="24"/>
          <w:lang w:eastAsia="en-GB"/>
        </w:rPr>
        <w:t>District nurse</w:t>
      </w:r>
    </w:p>
    <w:p w14:paraId="5BA09CB7" w14:textId="77777777" w:rsidR="00FE5FB2" w:rsidRPr="00481FC1" w:rsidRDefault="00FE5FB2" w:rsidP="00FE5FB2">
      <w:pPr>
        <w:numPr>
          <w:ilvl w:val="0"/>
          <w:numId w:val="22"/>
        </w:numPr>
        <w:spacing w:after="120" w:line="276" w:lineRule="auto"/>
        <w:ind w:left="714" w:hanging="357"/>
        <w:rPr>
          <w:rFonts w:ascii="Arial" w:hAnsi="Arial" w:cs="Arial"/>
          <w:bCs/>
          <w:color w:val="000000"/>
          <w:sz w:val="24"/>
          <w:szCs w:val="24"/>
          <w:lang w:eastAsia="en-GB"/>
        </w:rPr>
      </w:pPr>
      <w:r w:rsidRPr="00481FC1">
        <w:rPr>
          <w:rFonts w:ascii="Arial" w:hAnsi="Arial" w:cs="Arial"/>
          <w:bCs/>
          <w:color w:val="000000"/>
          <w:sz w:val="24"/>
          <w:szCs w:val="24"/>
          <w:lang w:eastAsia="en-GB"/>
        </w:rPr>
        <w:t>Senior occupational therapist</w:t>
      </w:r>
    </w:p>
    <w:p w14:paraId="3BA8F6E4" w14:textId="77777777" w:rsidR="00FE5FB2" w:rsidRPr="00481FC1" w:rsidRDefault="00FE5FB2" w:rsidP="00FE5FB2">
      <w:pPr>
        <w:numPr>
          <w:ilvl w:val="0"/>
          <w:numId w:val="22"/>
        </w:numPr>
        <w:spacing w:after="120" w:line="276" w:lineRule="auto"/>
        <w:ind w:left="714" w:hanging="357"/>
        <w:rPr>
          <w:rFonts w:ascii="Arial" w:hAnsi="Arial" w:cs="Arial"/>
          <w:bCs/>
          <w:color w:val="000000"/>
          <w:sz w:val="24"/>
          <w:szCs w:val="24"/>
          <w:lang w:eastAsia="en-GB"/>
        </w:rPr>
      </w:pPr>
      <w:r w:rsidRPr="00481FC1">
        <w:rPr>
          <w:rFonts w:ascii="Arial" w:hAnsi="Arial" w:cs="Arial"/>
          <w:bCs/>
          <w:color w:val="000000"/>
          <w:sz w:val="24"/>
          <w:szCs w:val="24"/>
          <w:lang w:eastAsia="en-GB"/>
        </w:rPr>
        <w:t>Senior physiotherapist</w:t>
      </w:r>
    </w:p>
    <w:p w14:paraId="5C145D92" w14:textId="77777777" w:rsidR="00FE5FB2" w:rsidRPr="00632F90" w:rsidRDefault="00FE5FB2" w:rsidP="00FE5FB2">
      <w:pPr>
        <w:numPr>
          <w:ilvl w:val="0"/>
          <w:numId w:val="22"/>
        </w:numPr>
        <w:spacing w:after="120" w:line="276" w:lineRule="auto"/>
        <w:ind w:left="714" w:hanging="357"/>
        <w:rPr>
          <w:rFonts w:ascii="Arial" w:hAnsi="Arial" w:cs="Arial"/>
          <w:bCs/>
          <w:color w:val="000000"/>
          <w:sz w:val="24"/>
          <w:szCs w:val="24"/>
          <w:lang w:eastAsia="en-GB"/>
        </w:rPr>
      </w:pPr>
      <w:r w:rsidRPr="00481FC1">
        <w:rPr>
          <w:rFonts w:ascii="Arial" w:hAnsi="Arial" w:cs="Arial"/>
          <w:bCs/>
          <w:color w:val="000000"/>
          <w:sz w:val="24"/>
          <w:szCs w:val="24"/>
          <w:lang w:eastAsia="en-GB"/>
        </w:rPr>
        <w:t>Generic support worker</w:t>
      </w:r>
    </w:p>
    <w:p w14:paraId="0DB36A1A" w14:textId="77777777" w:rsidR="00AD71ED" w:rsidRPr="00942AAC" w:rsidRDefault="00AD71ED" w:rsidP="00BF5C95">
      <w:pPr>
        <w:jc w:val="both"/>
        <w:rPr>
          <w:rFonts w:ascii="Arial" w:hAnsi="Arial" w:cs="Arial"/>
          <w:b/>
          <w:sz w:val="24"/>
          <w:szCs w:val="24"/>
        </w:rPr>
      </w:pPr>
    </w:p>
    <w:p w14:paraId="75F4809D" w14:textId="77777777" w:rsidR="00AD71ED" w:rsidRPr="00942AAC" w:rsidRDefault="00AD71ED" w:rsidP="00FD5FAD">
      <w:pPr>
        <w:jc w:val="both"/>
        <w:rPr>
          <w:rFonts w:ascii="Arial" w:hAnsi="Arial" w:cs="Arial"/>
          <w:sz w:val="24"/>
          <w:szCs w:val="24"/>
        </w:rPr>
      </w:pPr>
      <w:bookmarkStart w:id="0" w:name="_GoBack"/>
      <w:bookmarkEnd w:id="0"/>
    </w:p>
    <w:sectPr w:rsidR="00AD71ED" w:rsidRPr="00942AA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C3E7B" w14:textId="77777777" w:rsidR="00435249" w:rsidRDefault="00435249" w:rsidP="009272BB">
      <w:r>
        <w:separator/>
      </w:r>
    </w:p>
  </w:endnote>
  <w:endnote w:type="continuationSeparator" w:id="0">
    <w:p w14:paraId="322138BB" w14:textId="77777777" w:rsidR="00435249" w:rsidRDefault="00435249" w:rsidP="0092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0"/>
    <w:family w:val="roman"/>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829176"/>
      <w:docPartObj>
        <w:docPartGallery w:val="Page Numbers (Bottom of Page)"/>
        <w:docPartUnique/>
      </w:docPartObj>
    </w:sdtPr>
    <w:sdtEndPr>
      <w:rPr>
        <w:noProof/>
      </w:rPr>
    </w:sdtEndPr>
    <w:sdtContent>
      <w:p w14:paraId="6D9DCABD" w14:textId="77777777" w:rsidR="00942AAC" w:rsidRDefault="00942AAC">
        <w:pPr>
          <w:pStyle w:val="Footer"/>
        </w:pPr>
        <w:r>
          <w:fldChar w:fldCharType="begin"/>
        </w:r>
        <w:r>
          <w:instrText xml:space="preserve"> PAGE   \* MERGEFORMAT </w:instrText>
        </w:r>
        <w:r>
          <w:fldChar w:fldCharType="separate"/>
        </w:r>
        <w:r w:rsidR="009F72E5">
          <w:rPr>
            <w:noProof/>
          </w:rPr>
          <w:t>1</w:t>
        </w:r>
        <w:r>
          <w:rPr>
            <w:noProof/>
          </w:rPr>
          <w:fldChar w:fldCharType="end"/>
        </w:r>
      </w:p>
    </w:sdtContent>
  </w:sdt>
  <w:p w14:paraId="5977A7D3" w14:textId="77777777" w:rsidR="00942AAC" w:rsidRDefault="00942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68CE7" w14:textId="77777777" w:rsidR="00435249" w:rsidRDefault="00435249" w:rsidP="009272BB">
      <w:r>
        <w:separator/>
      </w:r>
    </w:p>
  </w:footnote>
  <w:footnote w:type="continuationSeparator" w:id="0">
    <w:p w14:paraId="17D26853" w14:textId="77777777" w:rsidR="00435249" w:rsidRDefault="00435249" w:rsidP="00927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75B7"/>
    <w:multiLevelType w:val="hybridMultilevel"/>
    <w:tmpl w:val="6D4E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CC2F37"/>
    <w:multiLevelType w:val="hybridMultilevel"/>
    <w:tmpl w:val="5CF22B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F5D2668"/>
    <w:multiLevelType w:val="hybridMultilevel"/>
    <w:tmpl w:val="3EC6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56452B"/>
    <w:multiLevelType w:val="hybridMultilevel"/>
    <w:tmpl w:val="77BE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A832DA"/>
    <w:multiLevelType w:val="hybridMultilevel"/>
    <w:tmpl w:val="1332D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8827272"/>
    <w:multiLevelType w:val="hybridMultilevel"/>
    <w:tmpl w:val="AE20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E37379"/>
    <w:multiLevelType w:val="hybridMultilevel"/>
    <w:tmpl w:val="68A4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D73945"/>
    <w:multiLevelType w:val="multilevel"/>
    <w:tmpl w:val="2730A126"/>
    <w:lvl w:ilvl="0">
      <w:start w:val="1"/>
      <w:numFmt w:val="decimal"/>
      <w:lvlText w:val="%1."/>
      <w:lvlJc w:val="left"/>
      <w:pPr>
        <w:ind w:hanging="277"/>
      </w:pPr>
      <w:rPr>
        <w:rFonts w:ascii="Arial" w:eastAsia="Arial" w:hAnsi="Arial" w:hint="default"/>
        <w:color w:val="FFFFFF"/>
        <w:spacing w:val="-1"/>
        <w:w w:val="99"/>
        <w:sz w:val="20"/>
        <w:szCs w:val="20"/>
      </w:rPr>
    </w:lvl>
    <w:lvl w:ilvl="1">
      <w:start w:val="1"/>
      <w:numFmt w:val="decimal"/>
      <w:lvlText w:val="%1.%2"/>
      <w:lvlJc w:val="left"/>
      <w:pPr>
        <w:ind w:hanging="337"/>
        <w:jc w:val="right"/>
      </w:pPr>
      <w:rPr>
        <w:rFonts w:ascii="Arial" w:eastAsia="Arial" w:hAnsi="Arial" w:hint="default"/>
        <w:b/>
        <w:bCs/>
        <w:spacing w:val="-1"/>
        <w:w w:val="99"/>
        <w:sz w:val="20"/>
        <w:szCs w:val="20"/>
      </w:rPr>
    </w:lvl>
    <w:lvl w:ilvl="2">
      <w:start w:val="1"/>
      <w:numFmt w:val="bullet"/>
      <w:lvlText w:val=""/>
      <w:lvlJc w:val="left"/>
      <w:pPr>
        <w:ind w:hanging="360"/>
      </w:pPr>
      <w:rPr>
        <w:rFonts w:ascii="Symbol" w:hAnsi="Symbol" w:hint="default"/>
        <w:w w:val="164"/>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1C9778BE"/>
    <w:multiLevelType w:val="hybridMultilevel"/>
    <w:tmpl w:val="E7FA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6A7E0A"/>
    <w:multiLevelType w:val="hybridMultilevel"/>
    <w:tmpl w:val="273E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9C4FB5"/>
    <w:multiLevelType w:val="hybridMultilevel"/>
    <w:tmpl w:val="2816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D51914"/>
    <w:multiLevelType w:val="multilevel"/>
    <w:tmpl w:val="844AB180"/>
    <w:lvl w:ilvl="0">
      <w:start w:val="1"/>
      <w:numFmt w:val="decimal"/>
      <w:lvlText w:val="%1."/>
      <w:lvlJc w:val="left"/>
      <w:pPr>
        <w:tabs>
          <w:tab w:val="num" w:pos="1211"/>
        </w:tabs>
        <w:ind w:left="1211" w:hanging="360"/>
      </w:pPr>
      <w:rPr>
        <w:rFont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val="0"/>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val="0"/>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92A4431"/>
    <w:multiLevelType w:val="hybridMultilevel"/>
    <w:tmpl w:val="95C04AE4"/>
    <w:lvl w:ilvl="0" w:tplc="C248CD2A">
      <w:start w:val="1"/>
      <w:numFmt w:val="bullet"/>
      <w:lvlText w:val=""/>
      <w:lvlJc w:val="left"/>
      <w:pPr>
        <w:ind w:left="108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A27A25"/>
    <w:multiLevelType w:val="hybridMultilevel"/>
    <w:tmpl w:val="75F8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9F4D71"/>
    <w:multiLevelType w:val="hybridMultilevel"/>
    <w:tmpl w:val="29C006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70123EB"/>
    <w:multiLevelType w:val="multilevel"/>
    <w:tmpl w:val="37A87C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7414B78"/>
    <w:multiLevelType w:val="multilevel"/>
    <w:tmpl w:val="1AFCBEB8"/>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17">
    <w:nsid w:val="4BA41753"/>
    <w:multiLevelType w:val="hybridMultilevel"/>
    <w:tmpl w:val="11AC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5E7C34"/>
    <w:multiLevelType w:val="hybridMultilevel"/>
    <w:tmpl w:val="6908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634EAC"/>
    <w:multiLevelType w:val="hybridMultilevel"/>
    <w:tmpl w:val="AEE4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9E6E10"/>
    <w:multiLevelType w:val="hybridMultilevel"/>
    <w:tmpl w:val="5DE6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F338E1"/>
    <w:multiLevelType w:val="hybridMultilevel"/>
    <w:tmpl w:val="73CA880C"/>
    <w:lvl w:ilvl="0" w:tplc="C8A2A5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271DBA"/>
    <w:multiLevelType w:val="hybridMultilevel"/>
    <w:tmpl w:val="1A22EE6C"/>
    <w:lvl w:ilvl="0" w:tplc="304E90E4">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77D7C42"/>
    <w:multiLevelType w:val="hybridMultilevel"/>
    <w:tmpl w:val="BEF0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6B1745"/>
    <w:multiLevelType w:val="hybridMultilevel"/>
    <w:tmpl w:val="DAA4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A467CD"/>
    <w:multiLevelType w:val="multilevel"/>
    <w:tmpl w:val="C09CB008"/>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26">
    <w:nsid w:val="72835A90"/>
    <w:multiLevelType w:val="hybridMultilevel"/>
    <w:tmpl w:val="063A32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704B13"/>
    <w:multiLevelType w:val="hybridMultilevel"/>
    <w:tmpl w:val="B970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884956"/>
    <w:multiLevelType w:val="hybridMultilevel"/>
    <w:tmpl w:val="42E2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F3590D"/>
    <w:multiLevelType w:val="hybridMultilevel"/>
    <w:tmpl w:val="1142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5"/>
  </w:num>
  <w:num w:numId="4">
    <w:abstractNumId w:val="12"/>
  </w:num>
  <w:num w:numId="5">
    <w:abstractNumId w:val="9"/>
  </w:num>
  <w:num w:numId="6">
    <w:abstractNumId w:val="20"/>
  </w:num>
  <w:num w:numId="7">
    <w:abstractNumId w:val="18"/>
  </w:num>
  <w:num w:numId="8">
    <w:abstractNumId w:val="27"/>
  </w:num>
  <w:num w:numId="9">
    <w:abstractNumId w:val="29"/>
  </w:num>
  <w:num w:numId="10">
    <w:abstractNumId w:val="19"/>
  </w:num>
  <w:num w:numId="11">
    <w:abstractNumId w:val="13"/>
  </w:num>
  <w:num w:numId="12">
    <w:abstractNumId w:val="11"/>
  </w:num>
  <w:num w:numId="13">
    <w:abstractNumId w:val="25"/>
  </w:num>
  <w:num w:numId="14">
    <w:abstractNumId w:val="16"/>
  </w:num>
  <w:num w:numId="15">
    <w:abstractNumId w:val="5"/>
  </w:num>
  <w:num w:numId="16">
    <w:abstractNumId w:val="21"/>
  </w:num>
  <w:num w:numId="17">
    <w:abstractNumId w:val="14"/>
  </w:num>
  <w:num w:numId="18">
    <w:abstractNumId w:val="7"/>
  </w:num>
  <w:num w:numId="19">
    <w:abstractNumId w:val="17"/>
  </w:num>
  <w:num w:numId="20">
    <w:abstractNumId w:val="10"/>
  </w:num>
  <w:num w:numId="21">
    <w:abstractNumId w:val="23"/>
  </w:num>
  <w:num w:numId="22">
    <w:abstractNumId w:val="3"/>
  </w:num>
  <w:num w:numId="23">
    <w:abstractNumId w:val="24"/>
  </w:num>
  <w:num w:numId="24">
    <w:abstractNumId w:val="0"/>
  </w:num>
  <w:num w:numId="25">
    <w:abstractNumId w:val="28"/>
  </w:num>
  <w:num w:numId="26">
    <w:abstractNumId w:val="6"/>
  </w:num>
  <w:num w:numId="27">
    <w:abstractNumId w:val="22"/>
  </w:num>
  <w:num w:numId="28">
    <w:abstractNumId w:val="8"/>
  </w:num>
  <w:num w:numId="29">
    <w:abstractNumId w:val="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ED"/>
    <w:rsid w:val="00004AA9"/>
    <w:rsid w:val="00031CFE"/>
    <w:rsid w:val="000C4297"/>
    <w:rsid w:val="000C5CBB"/>
    <w:rsid w:val="000D7CF0"/>
    <w:rsid w:val="00105A6C"/>
    <w:rsid w:val="001334E5"/>
    <w:rsid w:val="00140949"/>
    <w:rsid w:val="0015714E"/>
    <w:rsid w:val="00161F7B"/>
    <w:rsid w:val="001864DA"/>
    <w:rsid w:val="001A07E9"/>
    <w:rsid w:val="0020008F"/>
    <w:rsid w:val="00231743"/>
    <w:rsid w:val="0025715D"/>
    <w:rsid w:val="00270F19"/>
    <w:rsid w:val="00277E9F"/>
    <w:rsid w:val="00296EEA"/>
    <w:rsid w:val="002A780D"/>
    <w:rsid w:val="002B0C9D"/>
    <w:rsid w:val="002C6BB0"/>
    <w:rsid w:val="00321B5A"/>
    <w:rsid w:val="003E35CC"/>
    <w:rsid w:val="0041290F"/>
    <w:rsid w:val="00415F75"/>
    <w:rsid w:val="00417937"/>
    <w:rsid w:val="00435249"/>
    <w:rsid w:val="00481FC1"/>
    <w:rsid w:val="004A3BA6"/>
    <w:rsid w:val="005413AF"/>
    <w:rsid w:val="00567366"/>
    <w:rsid w:val="00580ADF"/>
    <w:rsid w:val="005D0EC1"/>
    <w:rsid w:val="005D4F65"/>
    <w:rsid w:val="005E11AE"/>
    <w:rsid w:val="006227EB"/>
    <w:rsid w:val="00632F90"/>
    <w:rsid w:val="0065320B"/>
    <w:rsid w:val="00654218"/>
    <w:rsid w:val="00661035"/>
    <w:rsid w:val="006628A1"/>
    <w:rsid w:val="006628AC"/>
    <w:rsid w:val="00664FCF"/>
    <w:rsid w:val="00676B52"/>
    <w:rsid w:val="00682127"/>
    <w:rsid w:val="006A412D"/>
    <w:rsid w:val="006B59F8"/>
    <w:rsid w:val="006D140B"/>
    <w:rsid w:val="006E78E8"/>
    <w:rsid w:val="006F2CB9"/>
    <w:rsid w:val="007265D8"/>
    <w:rsid w:val="007530C5"/>
    <w:rsid w:val="00772057"/>
    <w:rsid w:val="007B0926"/>
    <w:rsid w:val="00862E3D"/>
    <w:rsid w:val="00866D96"/>
    <w:rsid w:val="00882A15"/>
    <w:rsid w:val="00883993"/>
    <w:rsid w:val="00894466"/>
    <w:rsid w:val="009272BB"/>
    <w:rsid w:val="00942AAC"/>
    <w:rsid w:val="00945D04"/>
    <w:rsid w:val="009A746F"/>
    <w:rsid w:val="009B4857"/>
    <w:rsid w:val="009F1A43"/>
    <w:rsid w:val="009F72E5"/>
    <w:rsid w:val="00A10B22"/>
    <w:rsid w:val="00A21A92"/>
    <w:rsid w:val="00A57150"/>
    <w:rsid w:val="00A61557"/>
    <w:rsid w:val="00A74DD7"/>
    <w:rsid w:val="00A80F27"/>
    <w:rsid w:val="00AC2DBC"/>
    <w:rsid w:val="00AD2330"/>
    <w:rsid w:val="00AD71ED"/>
    <w:rsid w:val="00AE58AB"/>
    <w:rsid w:val="00AE65E9"/>
    <w:rsid w:val="00B06E16"/>
    <w:rsid w:val="00B1692E"/>
    <w:rsid w:val="00B23224"/>
    <w:rsid w:val="00B272A0"/>
    <w:rsid w:val="00B623A3"/>
    <w:rsid w:val="00B73F99"/>
    <w:rsid w:val="00B75003"/>
    <w:rsid w:val="00BB4DB7"/>
    <w:rsid w:val="00BB66DC"/>
    <w:rsid w:val="00BF5C95"/>
    <w:rsid w:val="00C0093D"/>
    <w:rsid w:val="00C4091C"/>
    <w:rsid w:val="00C629AF"/>
    <w:rsid w:val="00CA2408"/>
    <w:rsid w:val="00CC5FB6"/>
    <w:rsid w:val="00D70342"/>
    <w:rsid w:val="00D77671"/>
    <w:rsid w:val="00D84FD0"/>
    <w:rsid w:val="00D87F18"/>
    <w:rsid w:val="00DA5C1E"/>
    <w:rsid w:val="00DD34FA"/>
    <w:rsid w:val="00DE3D6F"/>
    <w:rsid w:val="00DE43DC"/>
    <w:rsid w:val="00DE7CD8"/>
    <w:rsid w:val="00E029DF"/>
    <w:rsid w:val="00E26D13"/>
    <w:rsid w:val="00E439B7"/>
    <w:rsid w:val="00E821E8"/>
    <w:rsid w:val="00EB1CB2"/>
    <w:rsid w:val="00EC24EB"/>
    <w:rsid w:val="00EE62C2"/>
    <w:rsid w:val="00F2355A"/>
    <w:rsid w:val="00F32247"/>
    <w:rsid w:val="00F53B54"/>
    <w:rsid w:val="00F71DAC"/>
    <w:rsid w:val="00F930FC"/>
    <w:rsid w:val="00F94C8E"/>
    <w:rsid w:val="00FB1A0B"/>
    <w:rsid w:val="00FD5FAD"/>
    <w:rsid w:val="00FE5FB2"/>
    <w:rsid w:val="00FF2E65"/>
    <w:rsid w:val="00FF37B5"/>
    <w:rsid w:val="00FF6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ED"/>
    <w:pPr>
      <w:ind w:left="720"/>
      <w:contextualSpacing/>
    </w:pPr>
  </w:style>
  <w:style w:type="paragraph" w:styleId="BalloonText">
    <w:name w:val="Balloon Text"/>
    <w:basedOn w:val="Normal"/>
    <w:link w:val="BalloonTextChar"/>
    <w:uiPriority w:val="99"/>
    <w:semiHidden/>
    <w:unhideWhenUsed/>
    <w:rsid w:val="00AD71ED"/>
    <w:rPr>
      <w:rFonts w:ascii="Tahoma" w:hAnsi="Tahoma" w:cs="Tahoma"/>
      <w:sz w:val="16"/>
      <w:szCs w:val="16"/>
    </w:rPr>
  </w:style>
  <w:style w:type="character" w:customStyle="1" w:styleId="BalloonTextChar">
    <w:name w:val="Balloon Text Char"/>
    <w:basedOn w:val="DefaultParagraphFont"/>
    <w:link w:val="BalloonText"/>
    <w:uiPriority w:val="99"/>
    <w:semiHidden/>
    <w:rsid w:val="00AD71ED"/>
    <w:rPr>
      <w:rFonts w:ascii="Tahoma" w:hAnsi="Tahoma" w:cs="Tahoma"/>
      <w:sz w:val="16"/>
      <w:szCs w:val="16"/>
    </w:rPr>
  </w:style>
  <w:style w:type="character" w:styleId="Hyperlink">
    <w:name w:val="Hyperlink"/>
    <w:basedOn w:val="DefaultParagraphFont"/>
    <w:uiPriority w:val="99"/>
    <w:unhideWhenUsed/>
    <w:rsid w:val="00AD71ED"/>
    <w:rPr>
      <w:color w:val="0000FF" w:themeColor="hyperlink"/>
      <w:u w:val="single"/>
    </w:rPr>
  </w:style>
  <w:style w:type="paragraph" w:styleId="FootnoteText">
    <w:name w:val="footnote text"/>
    <w:basedOn w:val="Normal"/>
    <w:link w:val="FootnoteTextChar"/>
    <w:uiPriority w:val="99"/>
    <w:semiHidden/>
    <w:unhideWhenUsed/>
    <w:rsid w:val="009272BB"/>
    <w:rPr>
      <w:sz w:val="20"/>
      <w:szCs w:val="20"/>
    </w:rPr>
  </w:style>
  <w:style w:type="character" w:customStyle="1" w:styleId="FootnoteTextChar">
    <w:name w:val="Footnote Text Char"/>
    <w:basedOn w:val="DefaultParagraphFont"/>
    <w:link w:val="FootnoteText"/>
    <w:uiPriority w:val="99"/>
    <w:semiHidden/>
    <w:rsid w:val="009272BB"/>
    <w:rPr>
      <w:sz w:val="20"/>
      <w:szCs w:val="20"/>
    </w:rPr>
  </w:style>
  <w:style w:type="character" w:styleId="FootnoteReference">
    <w:name w:val="footnote reference"/>
    <w:basedOn w:val="DefaultParagraphFont"/>
    <w:uiPriority w:val="99"/>
    <w:semiHidden/>
    <w:unhideWhenUsed/>
    <w:rsid w:val="009272BB"/>
    <w:rPr>
      <w:vertAlign w:val="superscript"/>
    </w:rPr>
  </w:style>
  <w:style w:type="character" w:styleId="CommentReference">
    <w:name w:val="annotation reference"/>
    <w:basedOn w:val="DefaultParagraphFont"/>
    <w:uiPriority w:val="99"/>
    <w:semiHidden/>
    <w:unhideWhenUsed/>
    <w:rsid w:val="00105A6C"/>
    <w:rPr>
      <w:sz w:val="16"/>
      <w:szCs w:val="16"/>
    </w:rPr>
  </w:style>
  <w:style w:type="paragraph" w:styleId="CommentText">
    <w:name w:val="annotation text"/>
    <w:basedOn w:val="Normal"/>
    <w:link w:val="CommentTextChar"/>
    <w:uiPriority w:val="99"/>
    <w:semiHidden/>
    <w:unhideWhenUsed/>
    <w:rsid w:val="00105A6C"/>
    <w:rPr>
      <w:sz w:val="20"/>
      <w:szCs w:val="20"/>
    </w:rPr>
  </w:style>
  <w:style w:type="character" w:customStyle="1" w:styleId="CommentTextChar">
    <w:name w:val="Comment Text Char"/>
    <w:basedOn w:val="DefaultParagraphFont"/>
    <w:link w:val="CommentText"/>
    <w:uiPriority w:val="99"/>
    <w:semiHidden/>
    <w:rsid w:val="00105A6C"/>
    <w:rPr>
      <w:sz w:val="20"/>
      <w:szCs w:val="20"/>
    </w:rPr>
  </w:style>
  <w:style w:type="paragraph" w:styleId="CommentSubject">
    <w:name w:val="annotation subject"/>
    <w:basedOn w:val="CommentText"/>
    <w:next w:val="CommentText"/>
    <w:link w:val="CommentSubjectChar"/>
    <w:uiPriority w:val="99"/>
    <w:semiHidden/>
    <w:unhideWhenUsed/>
    <w:rsid w:val="00105A6C"/>
    <w:rPr>
      <w:b/>
      <w:bCs/>
    </w:rPr>
  </w:style>
  <w:style w:type="character" w:customStyle="1" w:styleId="CommentSubjectChar">
    <w:name w:val="Comment Subject Char"/>
    <w:basedOn w:val="CommentTextChar"/>
    <w:link w:val="CommentSubject"/>
    <w:uiPriority w:val="99"/>
    <w:semiHidden/>
    <w:rsid w:val="00105A6C"/>
    <w:rPr>
      <w:b/>
      <w:bCs/>
      <w:sz w:val="20"/>
      <w:szCs w:val="20"/>
    </w:rPr>
  </w:style>
  <w:style w:type="paragraph" w:customStyle="1" w:styleId="Default">
    <w:name w:val="Default"/>
    <w:rsid w:val="00FF2E65"/>
    <w:pPr>
      <w:autoSpaceDE w:val="0"/>
      <w:autoSpaceDN w:val="0"/>
      <w:adjustRightInd w:val="0"/>
    </w:pPr>
    <w:rPr>
      <w:rFonts w:ascii="Arial" w:hAnsi="Arial" w:cs="Arial"/>
      <w:color w:val="000000"/>
      <w:sz w:val="24"/>
      <w:szCs w:val="24"/>
    </w:rPr>
  </w:style>
  <w:style w:type="paragraph" w:customStyle="1" w:styleId="CM35">
    <w:name w:val="CM35"/>
    <w:basedOn w:val="Default"/>
    <w:next w:val="Default"/>
    <w:uiPriority w:val="99"/>
    <w:rsid w:val="0025715D"/>
    <w:rPr>
      <w:rFonts w:ascii="Syntax" w:hAnsi="Syntax" w:cstheme="minorBidi"/>
      <w:color w:val="auto"/>
    </w:rPr>
  </w:style>
  <w:style w:type="paragraph" w:customStyle="1" w:styleId="CM8">
    <w:name w:val="CM8"/>
    <w:basedOn w:val="Default"/>
    <w:next w:val="Default"/>
    <w:uiPriority w:val="99"/>
    <w:rsid w:val="0025715D"/>
    <w:pPr>
      <w:spacing w:line="320" w:lineRule="atLeast"/>
    </w:pPr>
    <w:rPr>
      <w:rFonts w:ascii="Syntax" w:hAnsi="Syntax" w:cstheme="minorBidi"/>
      <w:color w:val="auto"/>
    </w:rPr>
  </w:style>
  <w:style w:type="paragraph" w:customStyle="1" w:styleId="CM31">
    <w:name w:val="CM31"/>
    <w:basedOn w:val="Default"/>
    <w:next w:val="Default"/>
    <w:uiPriority w:val="99"/>
    <w:rsid w:val="00A80F27"/>
    <w:rPr>
      <w:rFonts w:ascii="Syntax" w:hAnsi="Syntax" w:cstheme="minorBidi"/>
      <w:color w:val="auto"/>
    </w:rPr>
  </w:style>
  <w:style w:type="paragraph" w:styleId="Header">
    <w:name w:val="header"/>
    <w:basedOn w:val="Normal"/>
    <w:link w:val="HeaderChar"/>
    <w:uiPriority w:val="99"/>
    <w:unhideWhenUsed/>
    <w:rsid w:val="00942AAC"/>
    <w:pPr>
      <w:tabs>
        <w:tab w:val="center" w:pos="4513"/>
        <w:tab w:val="right" w:pos="9026"/>
      </w:tabs>
    </w:pPr>
  </w:style>
  <w:style w:type="character" w:customStyle="1" w:styleId="HeaderChar">
    <w:name w:val="Header Char"/>
    <w:basedOn w:val="DefaultParagraphFont"/>
    <w:link w:val="Header"/>
    <w:uiPriority w:val="99"/>
    <w:rsid w:val="00942AAC"/>
  </w:style>
  <w:style w:type="paragraph" w:styleId="Footer">
    <w:name w:val="footer"/>
    <w:basedOn w:val="Normal"/>
    <w:link w:val="FooterChar"/>
    <w:uiPriority w:val="99"/>
    <w:unhideWhenUsed/>
    <w:rsid w:val="00942AAC"/>
    <w:pPr>
      <w:tabs>
        <w:tab w:val="center" w:pos="4513"/>
        <w:tab w:val="right" w:pos="9026"/>
      </w:tabs>
    </w:pPr>
  </w:style>
  <w:style w:type="character" w:customStyle="1" w:styleId="FooterChar">
    <w:name w:val="Footer Char"/>
    <w:basedOn w:val="DefaultParagraphFont"/>
    <w:link w:val="Footer"/>
    <w:uiPriority w:val="99"/>
    <w:rsid w:val="00942AAC"/>
  </w:style>
  <w:style w:type="table" w:styleId="TableGrid">
    <w:name w:val="Table Grid"/>
    <w:basedOn w:val="TableNormal"/>
    <w:uiPriority w:val="59"/>
    <w:rsid w:val="0048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23A3"/>
    <w:pPr>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ED"/>
    <w:pPr>
      <w:ind w:left="720"/>
      <w:contextualSpacing/>
    </w:pPr>
  </w:style>
  <w:style w:type="paragraph" w:styleId="BalloonText">
    <w:name w:val="Balloon Text"/>
    <w:basedOn w:val="Normal"/>
    <w:link w:val="BalloonTextChar"/>
    <w:uiPriority w:val="99"/>
    <w:semiHidden/>
    <w:unhideWhenUsed/>
    <w:rsid w:val="00AD71ED"/>
    <w:rPr>
      <w:rFonts w:ascii="Tahoma" w:hAnsi="Tahoma" w:cs="Tahoma"/>
      <w:sz w:val="16"/>
      <w:szCs w:val="16"/>
    </w:rPr>
  </w:style>
  <w:style w:type="character" w:customStyle="1" w:styleId="BalloonTextChar">
    <w:name w:val="Balloon Text Char"/>
    <w:basedOn w:val="DefaultParagraphFont"/>
    <w:link w:val="BalloonText"/>
    <w:uiPriority w:val="99"/>
    <w:semiHidden/>
    <w:rsid w:val="00AD71ED"/>
    <w:rPr>
      <w:rFonts w:ascii="Tahoma" w:hAnsi="Tahoma" w:cs="Tahoma"/>
      <w:sz w:val="16"/>
      <w:szCs w:val="16"/>
    </w:rPr>
  </w:style>
  <w:style w:type="character" w:styleId="Hyperlink">
    <w:name w:val="Hyperlink"/>
    <w:basedOn w:val="DefaultParagraphFont"/>
    <w:uiPriority w:val="99"/>
    <w:unhideWhenUsed/>
    <w:rsid w:val="00AD71ED"/>
    <w:rPr>
      <w:color w:val="0000FF" w:themeColor="hyperlink"/>
      <w:u w:val="single"/>
    </w:rPr>
  </w:style>
  <w:style w:type="paragraph" w:styleId="FootnoteText">
    <w:name w:val="footnote text"/>
    <w:basedOn w:val="Normal"/>
    <w:link w:val="FootnoteTextChar"/>
    <w:uiPriority w:val="99"/>
    <w:semiHidden/>
    <w:unhideWhenUsed/>
    <w:rsid w:val="009272BB"/>
    <w:rPr>
      <w:sz w:val="20"/>
      <w:szCs w:val="20"/>
    </w:rPr>
  </w:style>
  <w:style w:type="character" w:customStyle="1" w:styleId="FootnoteTextChar">
    <w:name w:val="Footnote Text Char"/>
    <w:basedOn w:val="DefaultParagraphFont"/>
    <w:link w:val="FootnoteText"/>
    <w:uiPriority w:val="99"/>
    <w:semiHidden/>
    <w:rsid w:val="009272BB"/>
    <w:rPr>
      <w:sz w:val="20"/>
      <w:szCs w:val="20"/>
    </w:rPr>
  </w:style>
  <w:style w:type="character" w:styleId="FootnoteReference">
    <w:name w:val="footnote reference"/>
    <w:basedOn w:val="DefaultParagraphFont"/>
    <w:uiPriority w:val="99"/>
    <w:semiHidden/>
    <w:unhideWhenUsed/>
    <w:rsid w:val="009272BB"/>
    <w:rPr>
      <w:vertAlign w:val="superscript"/>
    </w:rPr>
  </w:style>
  <w:style w:type="character" w:styleId="CommentReference">
    <w:name w:val="annotation reference"/>
    <w:basedOn w:val="DefaultParagraphFont"/>
    <w:uiPriority w:val="99"/>
    <w:semiHidden/>
    <w:unhideWhenUsed/>
    <w:rsid w:val="00105A6C"/>
    <w:rPr>
      <w:sz w:val="16"/>
      <w:szCs w:val="16"/>
    </w:rPr>
  </w:style>
  <w:style w:type="paragraph" w:styleId="CommentText">
    <w:name w:val="annotation text"/>
    <w:basedOn w:val="Normal"/>
    <w:link w:val="CommentTextChar"/>
    <w:uiPriority w:val="99"/>
    <w:semiHidden/>
    <w:unhideWhenUsed/>
    <w:rsid w:val="00105A6C"/>
    <w:rPr>
      <w:sz w:val="20"/>
      <w:szCs w:val="20"/>
    </w:rPr>
  </w:style>
  <w:style w:type="character" w:customStyle="1" w:styleId="CommentTextChar">
    <w:name w:val="Comment Text Char"/>
    <w:basedOn w:val="DefaultParagraphFont"/>
    <w:link w:val="CommentText"/>
    <w:uiPriority w:val="99"/>
    <w:semiHidden/>
    <w:rsid w:val="00105A6C"/>
    <w:rPr>
      <w:sz w:val="20"/>
      <w:szCs w:val="20"/>
    </w:rPr>
  </w:style>
  <w:style w:type="paragraph" w:styleId="CommentSubject">
    <w:name w:val="annotation subject"/>
    <w:basedOn w:val="CommentText"/>
    <w:next w:val="CommentText"/>
    <w:link w:val="CommentSubjectChar"/>
    <w:uiPriority w:val="99"/>
    <w:semiHidden/>
    <w:unhideWhenUsed/>
    <w:rsid w:val="00105A6C"/>
    <w:rPr>
      <w:b/>
      <w:bCs/>
    </w:rPr>
  </w:style>
  <w:style w:type="character" w:customStyle="1" w:styleId="CommentSubjectChar">
    <w:name w:val="Comment Subject Char"/>
    <w:basedOn w:val="CommentTextChar"/>
    <w:link w:val="CommentSubject"/>
    <w:uiPriority w:val="99"/>
    <w:semiHidden/>
    <w:rsid w:val="00105A6C"/>
    <w:rPr>
      <w:b/>
      <w:bCs/>
      <w:sz w:val="20"/>
      <w:szCs w:val="20"/>
    </w:rPr>
  </w:style>
  <w:style w:type="paragraph" w:customStyle="1" w:styleId="Default">
    <w:name w:val="Default"/>
    <w:rsid w:val="00FF2E65"/>
    <w:pPr>
      <w:autoSpaceDE w:val="0"/>
      <w:autoSpaceDN w:val="0"/>
      <w:adjustRightInd w:val="0"/>
    </w:pPr>
    <w:rPr>
      <w:rFonts w:ascii="Arial" w:hAnsi="Arial" w:cs="Arial"/>
      <w:color w:val="000000"/>
      <w:sz w:val="24"/>
      <w:szCs w:val="24"/>
    </w:rPr>
  </w:style>
  <w:style w:type="paragraph" w:customStyle="1" w:styleId="CM35">
    <w:name w:val="CM35"/>
    <w:basedOn w:val="Default"/>
    <w:next w:val="Default"/>
    <w:uiPriority w:val="99"/>
    <w:rsid w:val="0025715D"/>
    <w:rPr>
      <w:rFonts w:ascii="Syntax" w:hAnsi="Syntax" w:cstheme="minorBidi"/>
      <w:color w:val="auto"/>
    </w:rPr>
  </w:style>
  <w:style w:type="paragraph" w:customStyle="1" w:styleId="CM8">
    <w:name w:val="CM8"/>
    <w:basedOn w:val="Default"/>
    <w:next w:val="Default"/>
    <w:uiPriority w:val="99"/>
    <w:rsid w:val="0025715D"/>
    <w:pPr>
      <w:spacing w:line="320" w:lineRule="atLeast"/>
    </w:pPr>
    <w:rPr>
      <w:rFonts w:ascii="Syntax" w:hAnsi="Syntax" w:cstheme="minorBidi"/>
      <w:color w:val="auto"/>
    </w:rPr>
  </w:style>
  <w:style w:type="paragraph" w:customStyle="1" w:styleId="CM31">
    <w:name w:val="CM31"/>
    <w:basedOn w:val="Default"/>
    <w:next w:val="Default"/>
    <w:uiPriority w:val="99"/>
    <w:rsid w:val="00A80F27"/>
    <w:rPr>
      <w:rFonts w:ascii="Syntax" w:hAnsi="Syntax" w:cstheme="minorBidi"/>
      <w:color w:val="auto"/>
    </w:rPr>
  </w:style>
  <w:style w:type="paragraph" w:styleId="Header">
    <w:name w:val="header"/>
    <w:basedOn w:val="Normal"/>
    <w:link w:val="HeaderChar"/>
    <w:uiPriority w:val="99"/>
    <w:unhideWhenUsed/>
    <w:rsid w:val="00942AAC"/>
    <w:pPr>
      <w:tabs>
        <w:tab w:val="center" w:pos="4513"/>
        <w:tab w:val="right" w:pos="9026"/>
      </w:tabs>
    </w:pPr>
  </w:style>
  <w:style w:type="character" w:customStyle="1" w:styleId="HeaderChar">
    <w:name w:val="Header Char"/>
    <w:basedOn w:val="DefaultParagraphFont"/>
    <w:link w:val="Header"/>
    <w:uiPriority w:val="99"/>
    <w:rsid w:val="00942AAC"/>
  </w:style>
  <w:style w:type="paragraph" w:styleId="Footer">
    <w:name w:val="footer"/>
    <w:basedOn w:val="Normal"/>
    <w:link w:val="FooterChar"/>
    <w:uiPriority w:val="99"/>
    <w:unhideWhenUsed/>
    <w:rsid w:val="00942AAC"/>
    <w:pPr>
      <w:tabs>
        <w:tab w:val="center" w:pos="4513"/>
        <w:tab w:val="right" w:pos="9026"/>
      </w:tabs>
    </w:pPr>
  </w:style>
  <w:style w:type="character" w:customStyle="1" w:styleId="FooterChar">
    <w:name w:val="Footer Char"/>
    <w:basedOn w:val="DefaultParagraphFont"/>
    <w:link w:val="Footer"/>
    <w:uiPriority w:val="99"/>
    <w:rsid w:val="00942AAC"/>
  </w:style>
  <w:style w:type="table" w:styleId="TableGrid">
    <w:name w:val="Table Grid"/>
    <w:basedOn w:val="TableNormal"/>
    <w:uiPriority w:val="59"/>
    <w:rsid w:val="0048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23A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Prevalence of selected LTC</a:t>
            </a:r>
            <a:r>
              <a:rPr lang="en-US" baseline="0"/>
              <a:t> among older adults</a:t>
            </a:r>
            <a:endParaRPr lang="en-US"/>
          </a:p>
        </c:rich>
      </c:tx>
      <c:overlay val="0"/>
    </c:title>
    <c:autoTitleDeleted val="0"/>
    <c:plotArea>
      <c:layout>
        <c:manualLayout>
          <c:layoutTarget val="inner"/>
          <c:xMode val="edge"/>
          <c:yMode val="edge"/>
          <c:x val="7.2506147257908549E-2"/>
          <c:y val="0.17754244327054056"/>
          <c:w val="0.8039757661871213"/>
          <c:h val="0.45093292135951363"/>
        </c:manualLayout>
      </c:layout>
      <c:barChart>
        <c:barDir val="col"/>
        <c:grouping val="clustered"/>
        <c:varyColors val="0"/>
        <c:ser>
          <c:idx val="0"/>
          <c:order val="0"/>
          <c:tx>
            <c:strRef>
              <c:f>Sheet1!$B$21</c:f>
              <c:strCache>
                <c:ptCount val="1"/>
                <c:pt idx="0">
                  <c:v>Male</c:v>
                </c:pt>
              </c:strCache>
            </c:strRef>
          </c:tx>
          <c:invertIfNegative val="0"/>
          <c:cat>
            <c:strRef>
              <c:f>Sheet1!$A$22:$A$35</c:f>
              <c:strCache>
                <c:ptCount val="14"/>
                <c:pt idx="0">
                  <c:v>Hypertension</c:v>
                </c:pt>
                <c:pt idx="1">
                  <c:v>Arthritis</c:v>
                </c:pt>
                <c:pt idx="2">
                  <c:v>Diabetes</c:v>
                </c:pt>
                <c:pt idx="3">
                  <c:v>CHD</c:v>
                </c:pt>
                <c:pt idx="4">
                  <c:v>Chronic Kidney Disease</c:v>
                </c:pt>
                <c:pt idx="5">
                  <c:v>All cancers</c:v>
                </c:pt>
                <c:pt idx="6">
                  <c:v>COPD</c:v>
                </c:pt>
                <c:pt idx="7">
                  <c:v>Asthma</c:v>
                </c:pt>
                <c:pt idx="8">
                  <c:v>Stroke</c:v>
                </c:pt>
                <c:pt idx="9">
                  <c:v>Depression</c:v>
                </c:pt>
                <c:pt idx="10">
                  <c:v>Heart failure</c:v>
                </c:pt>
                <c:pt idx="11">
                  <c:v>Dementia</c:v>
                </c:pt>
                <c:pt idx="12">
                  <c:v>Severe Mental Health</c:v>
                </c:pt>
                <c:pt idx="13">
                  <c:v>Osteoporosis</c:v>
                </c:pt>
              </c:strCache>
            </c:strRef>
          </c:cat>
          <c:val>
            <c:numRef>
              <c:f>Sheet1!$B$22:$B$35</c:f>
              <c:numCache>
                <c:formatCode>General</c:formatCode>
                <c:ptCount val="14"/>
                <c:pt idx="0">
                  <c:v>45</c:v>
                </c:pt>
                <c:pt idx="1">
                  <c:v>22</c:v>
                </c:pt>
                <c:pt idx="2">
                  <c:v>18</c:v>
                </c:pt>
                <c:pt idx="3">
                  <c:v>15</c:v>
                </c:pt>
                <c:pt idx="4">
                  <c:v>11</c:v>
                </c:pt>
                <c:pt idx="5">
                  <c:v>12</c:v>
                </c:pt>
                <c:pt idx="6">
                  <c:v>5</c:v>
                </c:pt>
                <c:pt idx="7">
                  <c:v>5</c:v>
                </c:pt>
                <c:pt idx="8">
                  <c:v>3</c:v>
                </c:pt>
                <c:pt idx="9">
                  <c:v>2</c:v>
                </c:pt>
                <c:pt idx="10">
                  <c:v>3</c:v>
                </c:pt>
                <c:pt idx="11">
                  <c:v>2</c:v>
                </c:pt>
                <c:pt idx="12">
                  <c:v>1</c:v>
                </c:pt>
                <c:pt idx="13">
                  <c:v>0</c:v>
                </c:pt>
              </c:numCache>
            </c:numRef>
          </c:val>
        </c:ser>
        <c:ser>
          <c:idx val="1"/>
          <c:order val="1"/>
          <c:tx>
            <c:strRef>
              <c:f>Sheet1!$C$21</c:f>
              <c:strCache>
                <c:ptCount val="1"/>
                <c:pt idx="0">
                  <c:v>Female</c:v>
                </c:pt>
              </c:strCache>
            </c:strRef>
          </c:tx>
          <c:invertIfNegative val="0"/>
          <c:cat>
            <c:strRef>
              <c:f>Sheet1!$A$22:$A$35</c:f>
              <c:strCache>
                <c:ptCount val="14"/>
                <c:pt idx="0">
                  <c:v>Hypertension</c:v>
                </c:pt>
                <c:pt idx="1">
                  <c:v>Arthritis</c:v>
                </c:pt>
                <c:pt idx="2">
                  <c:v>Diabetes</c:v>
                </c:pt>
                <c:pt idx="3">
                  <c:v>CHD</c:v>
                </c:pt>
                <c:pt idx="4">
                  <c:v>Chronic Kidney Disease</c:v>
                </c:pt>
                <c:pt idx="5">
                  <c:v>All cancers</c:v>
                </c:pt>
                <c:pt idx="6">
                  <c:v>COPD</c:v>
                </c:pt>
                <c:pt idx="7">
                  <c:v>Asthma</c:v>
                </c:pt>
                <c:pt idx="8">
                  <c:v>Stroke</c:v>
                </c:pt>
                <c:pt idx="9">
                  <c:v>Depression</c:v>
                </c:pt>
                <c:pt idx="10">
                  <c:v>Heart failure</c:v>
                </c:pt>
                <c:pt idx="11">
                  <c:v>Dementia</c:v>
                </c:pt>
                <c:pt idx="12">
                  <c:v>Severe Mental Health</c:v>
                </c:pt>
                <c:pt idx="13">
                  <c:v>Osteoporosis</c:v>
                </c:pt>
              </c:strCache>
            </c:strRef>
          </c:cat>
          <c:val>
            <c:numRef>
              <c:f>Sheet1!$C$22:$C$35</c:f>
              <c:numCache>
                <c:formatCode>General</c:formatCode>
                <c:ptCount val="14"/>
                <c:pt idx="0">
                  <c:v>48</c:v>
                </c:pt>
                <c:pt idx="1">
                  <c:v>30</c:v>
                </c:pt>
                <c:pt idx="2">
                  <c:v>16</c:v>
                </c:pt>
                <c:pt idx="3">
                  <c:v>8</c:v>
                </c:pt>
                <c:pt idx="4">
                  <c:v>13</c:v>
                </c:pt>
                <c:pt idx="5">
                  <c:v>8</c:v>
                </c:pt>
                <c:pt idx="6">
                  <c:v>3</c:v>
                </c:pt>
                <c:pt idx="7">
                  <c:v>6</c:v>
                </c:pt>
                <c:pt idx="8">
                  <c:v>1</c:v>
                </c:pt>
                <c:pt idx="9">
                  <c:v>4</c:v>
                </c:pt>
                <c:pt idx="10">
                  <c:v>5</c:v>
                </c:pt>
                <c:pt idx="11">
                  <c:v>1</c:v>
                </c:pt>
                <c:pt idx="12">
                  <c:v>2</c:v>
                </c:pt>
                <c:pt idx="13">
                  <c:v>7</c:v>
                </c:pt>
              </c:numCache>
            </c:numRef>
          </c:val>
        </c:ser>
        <c:dLbls>
          <c:showLegendKey val="0"/>
          <c:showVal val="0"/>
          <c:showCatName val="0"/>
          <c:showSerName val="0"/>
          <c:showPercent val="0"/>
          <c:showBubbleSize val="0"/>
        </c:dLbls>
        <c:gapWidth val="150"/>
        <c:axId val="248619776"/>
        <c:axId val="248621312"/>
      </c:barChart>
      <c:catAx>
        <c:axId val="248619776"/>
        <c:scaling>
          <c:orientation val="minMax"/>
        </c:scaling>
        <c:delete val="0"/>
        <c:axPos val="b"/>
        <c:majorTickMark val="none"/>
        <c:minorTickMark val="none"/>
        <c:tickLblPos val="nextTo"/>
        <c:crossAx val="248621312"/>
        <c:crosses val="autoZero"/>
        <c:auto val="1"/>
        <c:lblAlgn val="ctr"/>
        <c:lblOffset val="100"/>
        <c:noMultiLvlLbl val="0"/>
      </c:catAx>
      <c:valAx>
        <c:axId val="248621312"/>
        <c:scaling>
          <c:orientation val="minMax"/>
        </c:scaling>
        <c:delete val="0"/>
        <c:axPos val="l"/>
        <c:majorGridlines/>
        <c:numFmt formatCode="General" sourceLinked="1"/>
        <c:majorTickMark val="none"/>
        <c:minorTickMark val="none"/>
        <c:tickLblPos val="nextTo"/>
        <c:crossAx val="2486197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969AF-F047-4CEE-A6BC-8D04803C6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D870DA-F3D0-46A6-8ABF-AD5899FFD1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99B2D-2606-441F-B840-304F685679B0}">
  <ds:schemaRefs>
    <ds:schemaRef ds:uri="http://schemas.microsoft.com/sharepoint/v3/contenttype/forms"/>
  </ds:schemaRefs>
</ds:datastoreItem>
</file>

<file path=customXml/itemProps4.xml><?xml version="1.0" encoding="utf-8"?>
<ds:datastoreItem xmlns:ds="http://schemas.openxmlformats.org/officeDocument/2006/customXml" ds:itemID="{5DEC2AB9-DE9D-46B1-8D81-A8F839E8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Manktelow</dc:creator>
  <cp:lastModifiedBy>Phil Gouldbourn</cp:lastModifiedBy>
  <cp:revision>2</cp:revision>
  <cp:lastPrinted>2017-09-25T14:20:00Z</cp:lastPrinted>
  <dcterms:created xsi:type="dcterms:W3CDTF">2017-10-02T18:39:00Z</dcterms:created>
  <dcterms:modified xsi:type="dcterms:W3CDTF">2017-10-02T18:39:00Z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