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EC36" w14:textId="77777777" w:rsidR="000C24AF" w:rsidRDefault="000C24AF" w:rsidP="000C24AF">
      <w:pPr>
        <w:pStyle w:val="Heading1"/>
      </w:pPr>
    </w:p>
    <w:p w14:paraId="45E39674" w14:textId="77777777" w:rsidR="000C24AF" w:rsidRDefault="000C24AF" w:rsidP="000C24AF"/>
    <w:p w14:paraId="470FBAE1" w14:textId="77777777" w:rsidR="001D243C" w:rsidRDefault="001D243C" w:rsidP="00103F4D">
      <w:pPr>
        <w:pStyle w:val="Frontpagesubhead"/>
      </w:pPr>
    </w:p>
    <w:p w14:paraId="4181224E" w14:textId="77777777" w:rsidR="001D243C" w:rsidRDefault="001D243C" w:rsidP="00103F4D">
      <w:pPr>
        <w:pStyle w:val="Frontpagesubhead"/>
      </w:pPr>
    </w:p>
    <w:p w14:paraId="120DD8A4" w14:textId="77777777" w:rsidR="00F25CC7" w:rsidRDefault="00F25CC7" w:rsidP="00103F4D">
      <w:pPr>
        <w:pStyle w:val="Frontpagesubhead"/>
      </w:pPr>
      <w:r>
        <w:tab/>
      </w:r>
    </w:p>
    <w:p w14:paraId="383CB7F0" w14:textId="77777777" w:rsidR="00F25CC7" w:rsidRDefault="00AF2313" w:rsidP="00F25CC7">
      <w:r>
        <w:rPr>
          <w:noProof/>
          <w:lang w:eastAsia="en-GB"/>
        </w:rPr>
        <mc:AlternateContent>
          <mc:Choice Requires="wps">
            <w:drawing>
              <wp:anchor distT="0" distB="0" distL="114300" distR="114300" simplePos="0" relativeHeight="251661312" behindDoc="0" locked="0" layoutInCell="1" allowOverlap="1" wp14:anchorId="32EEA22C" wp14:editId="5B191747">
                <wp:simplePos x="0" y="0"/>
                <wp:positionH relativeFrom="page">
                  <wp:posOffset>647700</wp:posOffset>
                </wp:positionH>
                <wp:positionV relativeFrom="page">
                  <wp:posOffset>5891213</wp:posOffset>
                </wp:positionV>
                <wp:extent cx="4816475" cy="695325"/>
                <wp:effectExtent l="0" t="0" r="3175" b="9525"/>
                <wp:wrapNone/>
                <wp:docPr id="3" name="Text Box 3"/>
                <wp:cNvGraphicFramePr/>
                <a:graphic xmlns:a="http://schemas.openxmlformats.org/drawingml/2006/main">
                  <a:graphicData uri="http://schemas.microsoft.com/office/word/2010/wordprocessingShape">
                    <wps:wsp>
                      <wps:cNvSpPr txBox="1"/>
                      <wps:spPr>
                        <a:xfrm>
                          <a:off x="0" y="0"/>
                          <a:ext cx="481647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5ADA7C" w14:textId="510AD7B4" w:rsidR="003E5485" w:rsidRDefault="003E5485" w:rsidP="009C27F0">
                            <w:pPr>
                              <w:pStyle w:val="Publisheddate"/>
                              <w:tabs>
                                <w:tab w:val="left" w:pos="6663"/>
                              </w:tabs>
                            </w:pPr>
                            <w:r>
                              <w:t>HCON01365</w:t>
                            </w:r>
                          </w:p>
                          <w:p w14:paraId="737CAC80" w14:textId="1FB041F1" w:rsidR="003E5485" w:rsidRPr="00103F4D" w:rsidRDefault="003E5485" w:rsidP="009C27F0">
                            <w:pPr>
                              <w:pStyle w:val="Publisheddate"/>
                              <w:tabs>
                                <w:tab w:val="left" w:pos="6663"/>
                              </w:tabs>
                            </w:pPr>
                            <w:r>
                              <w:t>Roadmap Solution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EA22C" id="_x0000_t202" coordsize="21600,21600" o:spt="202" path="m,l,21600r21600,l21600,xe">
                <v:stroke joinstyle="miter"/>
                <v:path gradientshapeok="t" o:connecttype="rect"/>
              </v:shapetype>
              <v:shape id="Text Box 3" o:spid="_x0000_s1026" type="#_x0000_t202" style="position:absolute;margin-left:51pt;margin-top:463.9pt;width:379.25pt;height:54.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" filled="f" stroked="f" strokeweight=".5pt">
                <v:textbox inset="0,0,0,0">
                  <w:txbxContent>
                    <w:p w14:paraId="775ADA7C" w14:textId="510AD7B4" w:rsidR="003E5485" w:rsidRDefault="003E5485" w:rsidP="009C27F0">
                      <w:pPr>
                        <w:pStyle w:val="Publisheddate"/>
                        <w:tabs>
                          <w:tab w:val="left" w:pos="6663"/>
                        </w:tabs>
                      </w:pPr>
                      <w:r>
                        <w:t>HCON01365</w:t>
                      </w:r>
                    </w:p>
                    <w:p w14:paraId="737CAC80" w14:textId="1FB041F1" w:rsidR="003E5485" w:rsidRPr="00103F4D" w:rsidRDefault="003E5485" w:rsidP="009C27F0">
                      <w:pPr>
                        <w:pStyle w:val="Publisheddate"/>
                        <w:tabs>
                          <w:tab w:val="left" w:pos="6663"/>
                        </w:tabs>
                      </w:pPr>
                      <w:r>
                        <w:t>Roadmap Solution</w:t>
                      </w:r>
                    </w:p>
                  </w:txbxContent>
                </v:textbox>
                <w10:wrap anchorx="page" anchory="page"/>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99E35FE" wp14:editId="258A2F3C">
                <wp:simplePos x="0" y="0"/>
                <wp:positionH relativeFrom="page">
                  <wp:posOffset>647700</wp:posOffset>
                </wp:positionH>
                <wp:positionV relativeFrom="page">
                  <wp:posOffset>4028440</wp:posOffset>
                </wp:positionV>
                <wp:extent cx="6371590" cy="1857375"/>
                <wp:effectExtent l="0" t="0" r="10160" b="9525"/>
                <wp:wrapNone/>
                <wp:docPr id="2" name="Text Box 2"/>
                <wp:cNvGraphicFramePr/>
                <a:graphic xmlns:a="http://schemas.openxmlformats.org/drawingml/2006/main">
                  <a:graphicData uri="http://schemas.microsoft.com/office/word/2010/wordprocessingShape">
                    <wps:wsp>
                      <wps:cNvSpPr txBox="1"/>
                      <wps:spPr>
                        <a:xfrm>
                          <a:off x="0" y="0"/>
                          <a:ext cx="6371590" cy="1857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4303F51" w14:textId="47B9370C" w:rsidR="003E5485" w:rsidRDefault="003E5485" w:rsidP="00103F4D">
                                <w:pPr>
                                  <w:pStyle w:val="FrontpageTitle"/>
                                </w:pPr>
                                <w:r>
                                  <w:t xml:space="preserve">Schedule </w:t>
                                </w:r>
                                <w:r w:rsidR="00B25A2E">
                                  <w:t>2</w:t>
                                </w:r>
                                <w:r>
                                  <w:t xml:space="preserve"> – Evaluation Methodology and Criteria</w:t>
                                </w:r>
                              </w:p>
                            </w:sdtContent>
                          </w:sdt>
                          <w:p w14:paraId="09F9DA80" w14:textId="77777777" w:rsidR="003E5485" w:rsidRDefault="003E5485" w:rsidP="00103F4D">
                            <w:pPr>
                              <w:pStyle w:val="Frontpagesubhead"/>
                            </w:pPr>
                            <w:r w:rsidRPr="001D243C">
                              <w:t>Subheading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E35FE" id="Text Box 2" o:spid="_x0000_s1027" type="#_x0000_t202" style="position:absolute;margin-left:51pt;margin-top:317.2pt;width:501.7pt;height:146.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" filled="f" stroked="f" strokeweight=".5pt">
                <v:textbox inset="0,0,0,0">
                  <w:txbxContent>
                    <w:sdt>
                      <w:sdtPr>
                        <w:alias w:val="Title"/>
                        <w:tag w:val="title"/>
                        <w:id w:val="1036308880"/>
                        <w:placeholder>
                          <w:docPart w:val="1323E27D46364FD89F5E41B7749D73EC"/>
                        </w:placeholder>
                        <w:dataBinding w:prefixMappings="xmlns:ns0='http://purl.org/dc/elements/1.1/' xmlns:ns1='http://schemas.openxmlformats.org/package/2006/metadata/core-properties' " w:xpath="/ns1:coreProperties[1]/ns0:title[1]" w:storeItemID="{6C3C8BC8-F283-45AE-878A-BAB7291924A1}"/>
                        <w:text/>
                      </w:sdtPr>
                      <w:sdtEndPr/>
                      <w:sdtContent>
                        <w:p w14:paraId="44303F51" w14:textId="47B9370C" w:rsidR="003E5485" w:rsidRDefault="003E5485" w:rsidP="00103F4D">
                          <w:pPr>
                            <w:pStyle w:val="FrontpageTitle"/>
                          </w:pPr>
                          <w:r>
                            <w:t xml:space="preserve">Schedule </w:t>
                          </w:r>
                          <w:r w:rsidR="00B25A2E">
                            <w:t>2</w:t>
                          </w:r>
                          <w:r>
                            <w:t xml:space="preserve"> – Evaluation Methodology and Criteria</w:t>
                          </w:r>
                        </w:p>
                      </w:sdtContent>
                    </w:sdt>
                    <w:p w14:paraId="09F9DA80" w14:textId="77777777" w:rsidR="003E5485" w:rsidRDefault="003E5485" w:rsidP="00103F4D">
                      <w:pPr>
                        <w:pStyle w:val="Frontpagesubhead"/>
                      </w:pPr>
                      <w:r w:rsidRPr="001D243C">
                        <w:t>Subheading</w:t>
                      </w:r>
                    </w:p>
                  </w:txbxContent>
                </v:textbox>
                <w10:wrap anchorx="page" anchory="page"/>
              </v:shape>
            </w:pict>
          </mc:Fallback>
        </mc:AlternateContent>
      </w:r>
    </w:p>
    <w:p w14:paraId="0C693A0C" w14:textId="77777777" w:rsidR="001D243C" w:rsidRPr="00F25CC7" w:rsidRDefault="001D243C" w:rsidP="00F25CC7">
      <w:pPr>
        <w:sectPr w:rsidR="001D243C" w:rsidRPr="00F25CC7" w:rsidSect="00F5718C">
          <w:headerReference w:type="default" r:id="rId10"/>
          <w:footerReference w:type="default" r:id="rId11"/>
          <w:headerReference w:type="first" r:id="rId12"/>
          <w:footerReference w:type="first" r:id="rId13"/>
          <w:pgSz w:w="11906" w:h="16838"/>
          <w:pgMar w:top="1021" w:right="1021" w:bottom="1021" w:left="1021" w:header="454" w:footer="680" w:gutter="0"/>
          <w:cols w:space="708"/>
          <w:titlePg/>
          <w:docGrid w:linePitch="360"/>
        </w:sectPr>
      </w:pPr>
    </w:p>
    <w:p w14:paraId="3BE49941" w14:textId="77777777" w:rsidR="000C24AF" w:rsidRPr="00E5704B" w:rsidRDefault="000C24AF" w:rsidP="00E5704B">
      <w:pPr>
        <w:rPr>
          <w:b/>
          <w:color w:val="005EB8" w:themeColor="accent1"/>
          <w:sz w:val="42"/>
          <w:szCs w:val="42"/>
        </w:rPr>
      </w:pPr>
      <w:r w:rsidRPr="00E5704B">
        <w:rPr>
          <w:b/>
          <w:color w:val="005EB8" w:themeColor="accent1"/>
          <w:sz w:val="42"/>
          <w:szCs w:val="42"/>
        </w:rPr>
        <w:lastRenderedPageBreak/>
        <w:t>Contents</w:t>
      </w:r>
    </w:p>
    <w:p w14:paraId="35380D3E" w14:textId="77777777" w:rsidR="004C3B10" w:rsidRDefault="000C24AF">
      <w:pPr>
        <w:pStyle w:val="TOC1"/>
        <w:rPr>
          <w:rFonts w:asciiTheme="minorHAnsi" w:eastAsiaTheme="minorEastAsia" w:hAnsiTheme="minorHAnsi" w:cstheme="minorBidi"/>
          <w:b w:val="0"/>
          <w:color w:val="auto"/>
          <w:sz w:val="22"/>
          <w:szCs w:val="22"/>
          <w:lang w:eastAsia="en-GB"/>
        </w:rPr>
      </w:pPr>
      <w:r w:rsidRPr="00C41C82">
        <w:rPr>
          <w:caps/>
          <w:smallCaps/>
        </w:rPr>
        <w:fldChar w:fldCharType="begin"/>
      </w:r>
      <w:r w:rsidRPr="00C41C82">
        <w:rPr>
          <w:caps/>
          <w:smallCaps/>
        </w:rPr>
        <w:instrText xml:space="preserve"> TOC \o "1-2" \h \z </w:instrText>
      </w:r>
      <w:r w:rsidRPr="00C41C82">
        <w:rPr>
          <w:caps/>
          <w:smallCaps/>
        </w:rPr>
        <w:fldChar w:fldCharType="separate"/>
      </w:r>
      <w:hyperlink w:anchor="_Toc490145693" w:history="1">
        <w:r w:rsidR="004C3B10" w:rsidRPr="008A7872">
          <w:rPr>
            <w:rStyle w:val="Hyperlink"/>
          </w:rPr>
          <w:t>Evaluation Methodology and Criteria</w:t>
        </w:r>
        <w:r w:rsidR="004C3B10">
          <w:rPr>
            <w:webHidden/>
          </w:rPr>
          <w:tab/>
        </w:r>
        <w:r w:rsidR="004C3B10">
          <w:rPr>
            <w:webHidden/>
          </w:rPr>
          <w:fldChar w:fldCharType="begin"/>
        </w:r>
        <w:r w:rsidR="004C3B10">
          <w:rPr>
            <w:webHidden/>
          </w:rPr>
          <w:instrText xml:space="preserve"> PAGEREF _Toc490145693 \h </w:instrText>
        </w:r>
        <w:r w:rsidR="004C3B10">
          <w:rPr>
            <w:webHidden/>
          </w:rPr>
        </w:r>
        <w:r w:rsidR="004C3B10">
          <w:rPr>
            <w:webHidden/>
          </w:rPr>
          <w:fldChar w:fldCharType="separate"/>
        </w:r>
        <w:r w:rsidR="004C3B10">
          <w:rPr>
            <w:webHidden/>
          </w:rPr>
          <w:t>3</w:t>
        </w:r>
        <w:r w:rsidR="004C3B10">
          <w:rPr>
            <w:webHidden/>
          </w:rPr>
          <w:fldChar w:fldCharType="end"/>
        </w:r>
      </w:hyperlink>
    </w:p>
    <w:p w14:paraId="4260C396" w14:textId="77777777" w:rsidR="004C3B10" w:rsidRDefault="00BC6933">
      <w:pPr>
        <w:pStyle w:val="TOC2"/>
        <w:tabs>
          <w:tab w:val="right" w:pos="9854"/>
        </w:tabs>
        <w:rPr>
          <w:rFonts w:asciiTheme="minorHAnsi" w:eastAsiaTheme="minorEastAsia" w:hAnsiTheme="minorHAnsi" w:cstheme="minorBidi"/>
          <w:noProof/>
          <w:color w:val="auto"/>
          <w:sz w:val="22"/>
          <w:szCs w:val="22"/>
          <w:lang w:eastAsia="en-GB"/>
        </w:rPr>
      </w:pPr>
      <w:hyperlink w:anchor="_Toc490145694" w:history="1">
        <w:r w:rsidR="004C3B10" w:rsidRPr="008A7872">
          <w:rPr>
            <w:rStyle w:val="Hyperlink"/>
            <w:noProof/>
          </w:rPr>
          <w:t>Stage 1: Mandatory Requirements</w:t>
        </w:r>
        <w:r w:rsidR="004C3B10">
          <w:rPr>
            <w:noProof/>
            <w:webHidden/>
          </w:rPr>
          <w:tab/>
        </w:r>
        <w:r w:rsidR="004C3B10">
          <w:rPr>
            <w:noProof/>
            <w:webHidden/>
          </w:rPr>
          <w:fldChar w:fldCharType="begin"/>
        </w:r>
        <w:r w:rsidR="004C3B10">
          <w:rPr>
            <w:noProof/>
            <w:webHidden/>
          </w:rPr>
          <w:instrText xml:space="preserve"> PAGEREF _Toc490145694 \h </w:instrText>
        </w:r>
        <w:r w:rsidR="004C3B10">
          <w:rPr>
            <w:noProof/>
            <w:webHidden/>
          </w:rPr>
        </w:r>
        <w:r w:rsidR="004C3B10">
          <w:rPr>
            <w:noProof/>
            <w:webHidden/>
          </w:rPr>
          <w:fldChar w:fldCharType="separate"/>
        </w:r>
        <w:r w:rsidR="004C3B10">
          <w:rPr>
            <w:noProof/>
            <w:webHidden/>
          </w:rPr>
          <w:t>3</w:t>
        </w:r>
        <w:r w:rsidR="004C3B10">
          <w:rPr>
            <w:noProof/>
            <w:webHidden/>
          </w:rPr>
          <w:fldChar w:fldCharType="end"/>
        </w:r>
      </w:hyperlink>
    </w:p>
    <w:p w14:paraId="153C36F3" w14:textId="77777777" w:rsidR="004C3B10" w:rsidRDefault="00BC6933">
      <w:pPr>
        <w:pStyle w:val="TOC2"/>
        <w:tabs>
          <w:tab w:val="right" w:pos="9854"/>
        </w:tabs>
        <w:rPr>
          <w:rFonts w:asciiTheme="minorHAnsi" w:eastAsiaTheme="minorEastAsia" w:hAnsiTheme="minorHAnsi" w:cstheme="minorBidi"/>
          <w:noProof/>
          <w:color w:val="auto"/>
          <w:sz w:val="22"/>
          <w:szCs w:val="22"/>
          <w:lang w:eastAsia="en-GB"/>
        </w:rPr>
      </w:pPr>
      <w:hyperlink w:anchor="_Toc490145695" w:history="1">
        <w:r w:rsidR="004C3B10" w:rsidRPr="008A7872">
          <w:rPr>
            <w:rStyle w:val="Hyperlink"/>
            <w:noProof/>
          </w:rPr>
          <w:t>Stage 2: Quality Evaluation</w:t>
        </w:r>
        <w:r w:rsidR="004C3B10">
          <w:rPr>
            <w:noProof/>
            <w:webHidden/>
          </w:rPr>
          <w:tab/>
        </w:r>
        <w:r w:rsidR="004C3B10">
          <w:rPr>
            <w:noProof/>
            <w:webHidden/>
          </w:rPr>
          <w:fldChar w:fldCharType="begin"/>
        </w:r>
        <w:r w:rsidR="004C3B10">
          <w:rPr>
            <w:noProof/>
            <w:webHidden/>
          </w:rPr>
          <w:instrText xml:space="preserve"> PAGEREF _Toc490145695 \h </w:instrText>
        </w:r>
        <w:r w:rsidR="004C3B10">
          <w:rPr>
            <w:noProof/>
            <w:webHidden/>
          </w:rPr>
        </w:r>
        <w:r w:rsidR="004C3B10">
          <w:rPr>
            <w:noProof/>
            <w:webHidden/>
          </w:rPr>
          <w:fldChar w:fldCharType="separate"/>
        </w:r>
        <w:r w:rsidR="004C3B10">
          <w:rPr>
            <w:noProof/>
            <w:webHidden/>
          </w:rPr>
          <w:t>4</w:t>
        </w:r>
        <w:r w:rsidR="004C3B10">
          <w:rPr>
            <w:noProof/>
            <w:webHidden/>
          </w:rPr>
          <w:fldChar w:fldCharType="end"/>
        </w:r>
      </w:hyperlink>
    </w:p>
    <w:p w14:paraId="4214B981" w14:textId="77777777" w:rsidR="004C3B10" w:rsidRDefault="00BC6933">
      <w:pPr>
        <w:pStyle w:val="TOC2"/>
        <w:tabs>
          <w:tab w:val="right" w:pos="9854"/>
        </w:tabs>
        <w:rPr>
          <w:rFonts w:asciiTheme="minorHAnsi" w:eastAsiaTheme="minorEastAsia" w:hAnsiTheme="minorHAnsi" w:cstheme="minorBidi"/>
          <w:noProof/>
          <w:color w:val="auto"/>
          <w:sz w:val="22"/>
          <w:szCs w:val="22"/>
          <w:lang w:eastAsia="en-GB"/>
        </w:rPr>
      </w:pPr>
      <w:hyperlink w:anchor="_Toc490145696" w:history="1">
        <w:r w:rsidR="004C3B10" w:rsidRPr="008A7872">
          <w:rPr>
            <w:rStyle w:val="Hyperlink"/>
            <w:noProof/>
          </w:rPr>
          <w:t>Stage 3: Price Evaluation</w:t>
        </w:r>
        <w:r w:rsidR="004C3B10">
          <w:rPr>
            <w:noProof/>
            <w:webHidden/>
          </w:rPr>
          <w:tab/>
        </w:r>
        <w:r w:rsidR="004C3B10">
          <w:rPr>
            <w:noProof/>
            <w:webHidden/>
          </w:rPr>
          <w:fldChar w:fldCharType="begin"/>
        </w:r>
        <w:r w:rsidR="004C3B10">
          <w:rPr>
            <w:noProof/>
            <w:webHidden/>
          </w:rPr>
          <w:instrText xml:space="preserve"> PAGEREF _Toc490145696 \h </w:instrText>
        </w:r>
        <w:r w:rsidR="004C3B10">
          <w:rPr>
            <w:noProof/>
            <w:webHidden/>
          </w:rPr>
        </w:r>
        <w:r w:rsidR="004C3B10">
          <w:rPr>
            <w:noProof/>
            <w:webHidden/>
          </w:rPr>
          <w:fldChar w:fldCharType="separate"/>
        </w:r>
        <w:r w:rsidR="004C3B10">
          <w:rPr>
            <w:noProof/>
            <w:webHidden/>
          </w:rPr>
          <w:t>6</w:t>
        </w:r>
        <w:r w:rsidR="004C3B10">
          <w:rPr>
            <w:noProof/>
            <w:webHidden/>
          </w:rPr>
          <w:fldChar w:fldCharType="end"/>
        </w:r>
      </w:hyperlink>
    </w:p>
    <w:p w14:paraId="301D70AB" w14:textId="77777777" w:rsidR="004C3B10" w:rsidRDefault="00BC6933">
      <w:pPr>
        <w:pStyle w:val="TOC2"/>
        <w:tabs>
          <w:tab w:val="right" w:pos="9854"/>
        </w:tabs>
        <w:rPr>
          <w:rFonts w:asciiTheme="minorHAnsi" w:eastAsiaTheme="minorEastAsia" w:hAnsiTheme="minorHAnsi" w:cstheme="minorBidi"/>
          <w:noProof/>
          <w:color w:val="auto"/>
          <w:sz w:val="22"/>
          <w:szCs w:val="22"/>
          <w:lang w:eastAsia="en-GB"/>
        </w:rPr>
      </w:pPr>
      <w:hyperlink w:anchor="_Toc490145697" w:history="1">
        <w:r w:rsidR="004C3B10" w:rsidRPr="008A7872">
          <w:rPr>
            <w:rStyle w:val="Hyperlink"/>
            <w:noProof/>
          </w:rPr>
          <w:t>Supplier Interviews</w:t>
        </w:r>
        <w:r w:rsidR="004C3B10">
          <w:rPr>
            <w:noProof/>
            <w:webHidden/>
          </w:rPr>
          <w:tab/>
        </w:r>
        <w:r w:rsidR="004C3B10">
          <w:rPr>
            <w:noProof/>
            <w:webHidden/>
          </w:rPr>
          <w:fldChar w:fldCharType="begin"/>
        </w:r>
        <w:r w:rsidR="004C3B10">
          <w:rPr>
            <w:noProof/>
            <w:webHidden/>
          </w:rPr>
          <w:instrText xml:space="preserve"> PAGEREF _Toc490145697 \h </w:instrText>
        </w:r>
        <w:r w:rsidR="004C3B10">
          <w:rPr>
            <w:noProof/>
            <w:webHidden/>
          </w:rPr>
        </w:r>
        <w:r w:rsidR="004C3B10">
          <w:rPr>
            <w:noProof/>
            <w:webHidden/>
          </w:rPr>
          <w:fldChar w:fldCharType="separate"/>
        </w:r>
        <w:r w:rsidR="004C3B10">
          <w:rPr>
            <w:noProof/>
            <w:webHidden/>
          </w:rPr>
          <w:t>7</w:t>
        </w:r>
        <w:r w:rsidR="004C3B10">
          <w:rPr>
            <w:noProof/>
            <w:webHidden/>
          </w:rPr>
          <w:fldChar w:fldCharType="end"/>
        </w:r>
      </w:hyperlink>
    </w:p>
    <w:p w14:paraId="74780BB0" w14:textId="77777777" w:rsidR="004C3B10" w:rsidRDefault="00BC6933">
      <w:pPr>
        <w:pStyle w:val="TOC2"/>
        <w:tabs>
          <w:tab w:val="right" w:pos="9854"/>
        </w:tabs>
        <w:rPr>
          <w:rFonts w:asciiTheme="minorHAnsi" w:eastAsiaTheme="minorEastAsia" w:hAnsiTheme="minorHAnsi" w:cstheme="minorBidi"/>
          <w:noProof/>
          <w:color w:val="auto"/>
          <w:sz w:val="22"/>
          <w:szCs w:val="22"/>
          <w:lang w:eastAsia="en-GB"/>
        </w:rPr>
      </w:pPr>
      <w:hyperlink w:anchor="_Toc490145698" w:history="1">
        <w:r w:rsidR="004C3B10" w:rsidRPr="008A7872">
          <w:rPr>
            <w:rStyle w:val="Hyperlink"/>
            <w:noProof/>
          </w:rPr>
          <w:t>Weightings</w:t>
        </w:r>
        <w:r w:rsidR="004C3B10">
          <w:rPr>
            <w:noProof/>
            <w:webHidden/>
          </w:rPr>
          <w:tab/>
        </w:r>
        <w:r w:rsidR="004C3B10">
          <w:rPr>
            <w:noProof/>
            <w:webHidden/>
          </w:rPr>
          <w:fldChar w:fldCharType="begin"/>
        </w:r>
        <w:r w:rsidR="004C3B10">
          <w:rPr>
            <w:noProof/>
            <w:webHidden/>
          </w:rPr>
          <w:instrText xml:space="preserve"> PAGEREF _Toc490145698 \h </w:instrText>
        </w:r>
        <w:r w:rsidR="004C3B10">
          <w:rPr>
            <w:noProof/>
            <w:webHidden/>
          </w:rPr>
        </w:r>
        <w:r w:rsidR="004C3B10">
          <w:rPr>
            <w:noProof/>
            <w:webHidden/>
          </w:rPr>
          <w:fldChar w:fldCharType="separate"/>
        </w:r>
        <w:r w:rsidR="004C3B10">
          <w:rPr>
            <w:noProof/>
            <w:webHidden/>
          </w:rPr>
          <w:t>7</w:t>
        </w:r>
        <w:r w:rsidR="004C3B10">
          <w:rPr>
            <w:noProof/>
            <w:webHidden/>
          </w:rPr>
          <w:fldChar w:fldCharType="end"/>
        </w:r>
      </w:hyperlink>
    </w:p>
    <w:p w14:paraId="200FFFDD" w14:textId="77777777" w:rsidR="001D243C" w:rsidRDefault="000C24AF" w:rsidP="000C24AF">
      <w:r w:rsidRPr="00C41C82">
        <w:fldChar w:fldCharType="end"/>
      </w:r>
    </w:p>
    <w:p w14:paraId="20D77570" w14:textId="77777777" w:rsidR="001D243C" w:rsidRDefault="001D243C">
      <w:pPr>
        <w:spacing w:after="0"/>
        <w:textboxTightWrap w:val="none"/>
      </w:pPr>
      <w:r>
        <w:br w:type="page"/>
      </w:r>
    </w:p>
    <w:p w14:paraId="04C10D5A" w14:textId="77777777" w:rsidR="008D5953" w:rsidRDefault="00AF2313" w:rsidP="008D5953">
      <w:pPr>
        <w:pStyle w:val="Heading1"/>
      </w:pPr>
      <w:bookmarkStart w:id="0" w:name="_Toc490145693"/>
      <w:bookmarkStart w:id="1" w:name="_Toc350174611"/>
      <w:r>
        <w:lastRenderedPageBreak/>
        <w:t>Evaluation Methodology and Criteria</w:t>
      </w:r>
      <w:bookmarkEnd w:id="0"/>
    </w:p>
    <w:p w14:paraId="7D29E9FE" w14:textId="77777777" w:rsidR="007F5954" w:rsidRDefault="00AF2313" w:rsidP="007F5954">
      <w:pPr>
        <w:pStyle w:val="Standfirst"/>
      </w:pPr>
      <w:r>
        <w:t>A common evaluation method will be used to compare solutions. The authority will evaluate in four stages when considering the supplier to appoint:</w:t>
      </w:r>
    </w:p>
    <w:p w14:paraId="4C02AD3C" w14:textId="77777777" w:rsidR="00AF2313" w:rsidRDefault="00AF2313" w:rsidP="00AF2313">
      <w:pPr>
        <w:ind w:left="720"/>
      </w:pPr>
      <w:r>
        <w:t>Stage 1: Mandatory Requirements</w:t>
      </w:r>
    </w:p>
    <w:p w14:paraId="1DBCA94C" w14:textId="77777777" w:rsidR="00AF2313" w:rsidRDefault="00AF2313" w:rsidP="00AF2313">
      <w:pPr>
        <w:ind w:left="720"/>
      </w:pPr>
      <w:r>
        <w:t>Stage 2: Quality evaluation of Desirable Requirements</w:t>
      </w:r>
    </w:p>
    <w:p w14:paraId="69B77B8F" w14:textId="77777777" w:rsidR="00AF2313" w:rsidRDefault="00AF2313" w:rsidP="00AF2313">
      <w:pPr>
        <w:ind w:left="720"/>
      </w:pPr>
      <w:r>
        <w:t>Stage 3: Price Evaluation</w:t>
      </w:r>
    </w:p>
    <w:p w14:paraId="3F0C0A92" w14:textId="2ED4E001" w:rsidR="00AF2313" w:rsidRDefault="00AF2313" w:rsidP="00AF2313">
      <w:pPr>
        <w:spacing w:after="0"/>
        <w:textboxTightWrap w:val="none"/>
        <w:rPr>
          <w:rStyle w:val="Hyperlink"/>
          <w:rFonts w:eastAsia="MS Mincho"/>
          <w:noProof/>
          <w:color w:val="auto"/>
        </w:rPr>
      </w:pPr>
      <w:r w:rsidRPr="00FF6006">
        <w:rPr>
          <w:rStyle w:val="Hyperlink"/>
          <w:rFonts w:eastAsia="MS Mincho"/>
          <w:noProof/>
          <w:color w:val="auto"/>
        </w:rPr>
        <w:t>Success at each stage will determine a tender’s progress to the next stage. Tenders that do not meet the minimum requirements for each stage will not progress in the evaluation process, and that bid will be deemed unsuccessful.</w:t>
      </w:r>
    </w:p>
    <w:p w14:paraId="37A24BBF" w14:textId="0F248950" w:rsidR="003E5485" w:rsidRDefault="003E5485" w:rsidP="00AF2313">
      <w:pPr>
        <w:spacing w:after="0"/>
        <w:textboxTightWrap w:val="none"/>
        <w:rPr>
          <w:rStyle w:val="Hyperlink"/>
          <w:rFonts w:eastAsia="MS Mincho"/>
          <w:noProof/>
          <w:color w:val="auto"/>
        </w:rPr>
      </w:pPr>
    </w:p>
    <w:p w14:paraId="4166FB9B" w14:textId="44935456" w:rsidR="003E5485" w:rsidRPr="00B25A2E" w:rsidRDefault="003E5485" w:rsidP="00B25A2E">
      <w:pPr>
        <w:spacing w:after="0"/>
        <w:textboxTightWrap w:val="none"/>
        <w:rPr>
          <w:rStyle w:val="Hyperlink"/>
          <w:rFonts w:eastAsia="MS Mincho"/>
          <w:noProof/>
          <w:color w:val="auto"/>
        </w:rPr>
      </w:pPr>
      <w:r>
        <w:rPr>
          <w:rStyle w:val="Hyperlink"/>
          <w:rFonts w:eastAsia="MS Mincho"/>
          <w:noProof/>
          <w:color w:val="auto"/>
        </w:rPr>
        <w:t xml:space="preserve">These requirements </w:t>
      </w:r>
      <w:r w:rsidRPr="006F390D">
        <w:rPr>
          <w:rStyle w:val="Hyperlink"/>
          <w:rFonts w:eastAsia="MS Mincho"/>
          <w:noProof/>
          <w:color w:val="auto"/>
        </w:rPr>
        <w:t>are outlined in</w:t>
      </w:r>
      <w:r w:rsidR="00B25A2E">
        <w:rPr>
          <w:rStyle w:val="Hyperlink"/>
          <w:rFonts w:eastAsia="MS Mincho"/>
          <w:noProof/>
          <w:color w:val="auto"/>
        </w:rPr>
        <w:t xml:space="preserve"> </w:t>
      </w:r>
      <w:r w:rsidR="00B25A2E">
        <w:rPr>
          <w:rStyle w:val="Hyperlink"/>
          <w:rFonts w:eastAsia="MS Mincho"/>
          <w:i/>
          <w:noProof/>
          <w:color w:val="auto"/>
        </w:rPr>
        <w:t>Schedule1</w:t>
      </w:r>
      <w:r w:rsidRPr="00B25A2E">
        <w:rPr>
          <w:rStyle w:val="Hyperlink"/>
          <w:rFonts w:eastAsia="MS Mincho"/>
          <w:i/>
          <w:noProof/>
          <w:color w:val="auto"/>
        </w:rPr>
        <w:t>-Specification_and_Response-Cloud-HCON01365-v</w:t>
      </w:r>
      <w:r w:rsidR="00BC6933">
        <w:rPr>
          <w:rStyle w:val="Hyperlink"/>
          <w:rFonts w:eastAsia="MS Mincho"/>
          <w:i/>
          <w:noProof/>
          <w:color w:val="auto"/>
        </w:rPr>
        <w:t>2</w:t>
      </w:r>
      <w:bookmarkStart w:id="2" w:name="_GoBack"/>
      <w:bookmarkEnd w:id="2"/>
      <w:r w:rsidRPr="00B25A2E">
        <w:rPr>
          <w:rStyle w:val="Hyperlink"/>
          <w:rFonts w:eastAsia="MS Mincho"/>
          <w:i/>
          <w:noProof/>
          <w:color w:val="auto"/>
        </w:rPr>
        <w:t>.0</w:t>
      </w:r>
      <w:r w:rsidR="00B25A2E">
        <w:rPr>
          <w:rStyle w:val="Hyperlink"/>
          <w:rFonts w:eastAsia="MS Mincho"/>
          <w:noProof/>
          <w:color w:val="auto"/>
        </w:rPr>
        <w:t>.</w:t>
      </w:r>
    </w:p>
    <w:p w14:paraId="4BFE52EA" w14:textId="77777777" w:rsidR="00AF2313" w:rsidRPr="00FF6006" w:rsidRDefault="00AF2313" w:rsidP="00AF2313">
      <w:pPr>
        <w:spacing w:after="0"/>
        <w:textboxTightWrap w:val="none"/>
        <w:rPr>
          <w:rStyle w:val="Hyperlink"/>
          <w:rFonts w:eastAsia="MS Mincho"/>
          <w:noProof/>
          <w:color w:val="auto"/>
        </w:rPr>
      </w:pPr>
    </w:p>
    <w:p w14:paraId="76BFA69C" w14:textId="4AFCA4E3" w:rsidR="00AF2313" w:rsidRPr="003E5485" w:rsidRDefault="00AF2313" w:rsidP="003E5485">
      <w:pPr>
        <w:spacing w:after="0"/>
        <w:textboxTightWrap w:val="none"/>
        <w:rPr>
          <w:rStyle w:val="Hyperlink"/>
          <w:rFonts w:eastAsia="MS Mincho"/>
          <w:noProof/>
          <w:color w:val="auto"/>
        </w:rPr>
      </w:pPr>
      <w:r w:rsidRPr="00FF6006">
        <w:rPr>
          <w:rStyle w:val="Hyperlink"/>
          <w:rFonts w:eastAsia="MS Mincho"/>
          <w:noProof/>
          <w:color w:val="auto"/>
        </w:rPr>
        <w:t xml:space="preserve">At Stage 1, </w:t>
      </w:r>
      <w:r w:rsidR="003E5485">
        <w:rPr>
          <w:rStyle w:val="Hyperlink"/>
          <w:rFonts w:eastAsia="MS Mincho"/>
          <w:noProof/>
          <w:color w:val="auto"/>
        </w:rPr>
        <w:t xml:space="preserve">Mandatory - require </w:t>
      </w:r>
      <w:r w:rsidRPr="00FF6006">
        <w:rPr>
          <w:rStyle w:val="Hyperlink"/>
          <w:rFonts w:eastAsia="MS Mincho"/>
          <w:noProof/>
          <w:color w:val="auto"/>
        </w:rPr>
        <w:t>full compliance with the</w:t>
      </w:r>
      <w:r>
        <w:rPr>
          <w:rStyle w:val="Hyperlink"/>
          <w:rFonts w:eastAsia="MS Mincho"/>
          <w:noProof/>
          <w:color w:val="auto"/>
        </w:rPr>
        <w:t xml:space="preserve"> information request and</w:t>
      </w:r>
      <w:r w:rsidRPr="00FF6006">
        <w:rPr>
          <w:rStyle w:val="Hyperlink"/>
          <w:rFonts w:eastAsia="MS Mincho"/>
          <w:noProof/>
          <w:color w:val="auto"/>
        </w:rPr>
        <w:t xml:space="preserve"> requirements is necessary to progress to the next stage. </w:t>
      </w:r>
    </w:p>
    <w:p w14:paraId="31679314" w14:textId="77777777" w:rsidR="00AF2313" w:rsidRDefault="00AF2313" w:rsidP="00AF2313">
      <w:pPr>
        <w:spacing w:after="0"/>
        <w:textboxTightWrap w:val="none"/>
        <w:rPr>
          <w:rStyle w:val="Hyperlink"/>
          <w:rFonts w:eastAsia="MS Mincho"/>
          <w:noProof/>
          <w:color w:val="auto"/>
        </w:rPr>
      </w:pPr>
    </w:p>
    <w:p w14:paraId="34E915EB" w14:textId="1567659A" w:rsidR="003E5485" w:rsidRDefault="00AF2313" w:rsidP="00AF2313">
      <w:pPr>
        <w:spacing w:after="0"/>
        <w:textboxTightWrap w:val="none"/>
        <w:rPr>
          <w:rStyle w:val="Hyperlink"/>
          <w:rFonts w:eastAsia="MS Mincho"/>
          <w:noProof/>
          <w:color w:val="auto"/>
        </w:rPr>
      </w:pPr>
      <w:r w:rsidRPr="00867271">
        <w:rPr>
          <w:rStyle w:val="Hyperlink"/>
          <w:rFonts w:eastAsia="MS Mincho"/>
          <w:noProof/>
          <w:color w:val="auto"/>
        </w:rPr>
        <w:t xml:space="preserve">At Stage 2, </w:t>
      </w:r>
      <w:r w:rsidR="003E5485">
        <w:rPr>
          <w:rStyle w:val="Hyperlink"/>
          <w:rFonts w:eastAsia="MS Mincho"/>
          <w:noProof/>
          <w:color w:val="auto"/>
        </w:rPr>
        <w:t xml:space="preserve">Quality - </w:t>
      </w:r>
      <w:r w:rsidRPr="00867271">
        <w:rPr>
          <w:rStyle w:val="Hyperlink"/>
          <w:rFonts w:eastAsia="MS Mincho"/>
          <w:noProof/>
          <w:color w:val="auto"/>
        </w:rPr>
        <w:t xml:space="preserve">scores for the quality evaluation must reach a minimum threshold of </w:t>
      </w:r>
      <w:r w:rsidRPr="00282F19">
        <w:rPr>
          <w:rStyle w:val="Hyperlink"/>
          <w:rFonts w:eastAsia="MS Mincho"/>
          <w:noProof/>
          <w:color w:val="auto"/>
        </w:rPr>
        <w:t>60% of</w:t>
      </w:r>
      <w:r w:rsidRPr="00867271">
        <w:rPr>
          <w:rStyle w:val="Hyperlink"/>
          <w:rFonts w:eastAsia="MS Mincho"/>
          <w:noProof/>
          <w:color w:val="auto"/>
        </w:rPr>
        <w:t xml:space="preserve"> the available quality points to progress to the final stage</w:t>
      </w:r>
      <w:r w:rsidRPr="006F390D">
        <w:rPr>
          <w:rStyle w:val="Hyperlink"/>
          <w:rFonts w:eastAsia="MS Mincho"/>
          <w:noProof/>
          <w:color w:val="auto"/>
        </w:rPr>
        <w:t>.</w:t>
      </w:r>
    </w:p>
    <w:p w14:paraId="356CC550" w14:textId="6B91013B" w:rsidR="00AF2313" w:rsidRDefault="00AF2313" w:rsidP="00AF2313">
      <w:pPr>
        <w:spacing w:after="0"/>
        <w:textboxTightWrap w:val="none"/>
        <w:rPr>
          <w:rStyle w:val="Hyperlink"/>
          <w:rFonts w:eastAsia="MS Mincho"/>
          <w:noProof/>
          <w:color w:val="auto"/>
        </w:rPr>
      </w:pPr>
      <w:r w:rsidRPr="006F390D">
        <w:rPr>
          <w:rStyle w:val="Hyperlink"/>
          <w:rFonts w:eastAsia="MS Mincho"/>
          <w:noProof/>
          <w:color w:val="auto"/>
        </w:rPr>
        <w:t xml:space="preserve"> </w:t>
      </w:r>
    </w:p>
    <w:p w14:paraId="28DA6AC0" w14:textId="63605994" w:rsidR="00AF2313" w:rsidRDefault="00AF2313" w:rsidP="00AF2313">
      <w:pPr>
        <w:spacing w:after="0"/>
        <w:textboxTightWrap w:val="none"/>
        <w:rPr>
          <w:rStyle w:val="Hyperlink"/>
          <w:rFonts w:eastAsia="MS Mincho"/>
          <w:noProof/>
          <w:color w:val="auto"/>
        </w:rPr>
      </w:pPr>
      <w:r>
        <w:rPr>
          <w:rStyle w:val="Hyperlink"/>
          <w:rFonts w:eastAsia="MS Mincho"/>
          <w:noProof/>
          <w:color w:val="auto"/>
        </w:rPr>
        <w:t xml:space="preserve">At Stage 3, </w:t>
      </w:r>
      <w:r w:rsidR="003E5485">
        <w:rPr>
          <w:rStyle w:val="Hyperlink"/>
          <w:rFonts w:eastAsia="MS Mincho"/>
          <w:noProof/>
          <w:color w:val="auto"/>
        </w:rPr>
        <w:t xml:space="preserve">Pricing - </w:t>
      </w:r>
      <w:r>
        <w:rPr>
          <w:rStyle w:val="Hyperlink"/>
          <w:rFonts w:eastAsia="MS Mincho"/>
          <w:noProof/>
          <w:color w:val="auto"/>
        </w:rPr>
        <w:t>a pricing evaluation will be undertaken and scored in acordance with the criteria outlined in this doc</w:t>
      </w:r>
      <w:r w:rsidR="003E5485">
        <w:rPr>
          <w:rStyle w:val="Hyperlink"/>
          <w:rFonts w:eastAsia="MS Mincho"/>
          <w:noProof/>
          <w:color w:val="auto"/>
        </w:rPr>
        <w:t xml:space="preserve">ument. </w:t>
      </w:r>
    </w:p>
    <w:p w14:paraId="5E3E15AD" w14:textId="77777777" w:rsidR="00AF2313" w:rsidRPr="00FF6006" w:rsidRDefault="00AF2313" w:rsidP="00AF2313">
      <w:pPr>
        <w:spacing w:after="0"/>
        <w:textboxTightWrap w:val="none"/>
        <w:rPr>
          <w:rStyle w:val="Hyperlink"/>
          <w:rFonts w:eastAsia="MS Mincho"/>
          <w:noProof/>
          <w:color w:val="auto"/>
        </w:rPr>
      </w:pPr>
    </w:p>
    <w:p w14:paraId="3856A2D1" w14:textId="54165399" w:rsidR="00AF2313" w:rsidRPr="00FF6006" w:rsidRDefault="00AF2313" w:rsidP="00AF2313">
      <w:pPr>
        <w:spacing w:after="0"/>
        <w:textboxTightWrap w:val="none"/>
        <w:rPr>
          <w:rStyle w:val="Hyperlink"/>
          <w:rFonts w:eastAsia="MS Mincho"/>
          <w:noProof/>
          <w:color w:val="auto"/>
        </w:rPr>
      </w:pPr>
      <w:r w:rsidRPr="00282F19">
        <w:rPr>
          <w:rStyle w:val="Hyperlink"/>
          <w:rFonts w:eastAsia="MS Mincho"/>
          <w:noProof/>
          <w:color w:val="auto"/>
        </w:rPr>
        <w:t>Tenders that complete the evaluation process will be given a fina</w:t>
      </w:r>
      <w:r w:rsidR="003828E8">
        <w:rPr>
          <w:rStyle w:val="Hyperlink"/>
          <w:rFonts w:eastAsia="MS Mincho"/>
          <w:noProof/>
          <w:color w:val="auto"/>
        </w:rPr>
        <w:t>l score made up on a basis of: 60% Quality / 4</w:t>
      </w:r>
      <w:r w:rsidRPr="00282F19">
        <w:rPr>
          <w:rStyle w:val="Hyperlink"/>
          <w:rFonts w:eastAsia="MS Mincho"/>
          <w:noProof/>
          <w:color w:val="auto"/>
        </w:rPr>
        <w:t>0% Price.</w:t>
      </w:r>
      <w:r w:rsidRPr="00FF6006">
        <w:rPr>
          <w:rStyle w:val="Hyperlink"/>
          <w:rFonts w:eastAsia="MS Mincho"/>
          <w:noProof/>
          <w:color w:val="auto"/>
        </w:rPr>
        <w:t xml:space="preserve"> </w:t>
      </w:r>
    </w:p>
    <w:p w14:paraId="6EB10B4F" w14:textId="77777777" w:rsidR="00AF2313" w:rsidRPr="00FF6006" w:rsidRDefault="00AF2313" w:rsidP="00AF2313">
      <w:pPr>
        <w:spacing w:after="0"/>
        <w:textboxTightWrap w:val="none"/>
        <w:rPr>
          <w:rStyle w:val="Hyperlink"/>
          <w:rFonts w:eastAsia="MS Mincho"/>
          <w:noProof/>
          <w:color w:val="auto"/>
        </w:rPr>
      </w:pPr>
    </w:p>
    <w:p w14:paraId="190BB84F" w14:textId="77777777" w:rsidR="00AF2313" w:rsidRPr="00FF6006" w:rsidRDefault="00AF2313" w:rsidP="00AF2313">
      <w:pPr>
        <w:spacing w:after="0"/>
        <w:textboxTightWrap w:val="none"/>
        <w:rPr>
          <w:rStyle w:val="Hyperlink"/>
          <w:rFonts w:eastAsia="MS Mincho"/>
          <w:noProof/>
          <w:color w:val="auto"/>
        </w:rPr>
      </w:pPr>
      <w:r w:rsidRPr="00FF6006">
        <w:rPr>
          <w:rStyle w:val="Hyperlink"/>
          <w:rFonts w:eastAsia="MS Mincho"/>
          <w:noProof/>
          <w:color w:val="auto"/>
        </w:rPr>
        <w:t>The tenders will be considered by an Evaluation Panel consis</w:t>
      </w:r>
      <w:r>
        <w:rPr>
          <w:rStyle w:val="Hyperlink"/>
          <w:rFonts w:eastAsia="MS Mincho"/>
          <w:noProof/>
          <w:color w:val="auto"/>
        </w:rPr>
        <w:t>ting of representatives from the Authority.</w:t>
      </w:r>
    </w:p>
    <w:p w14:paraId="71AA63AC" w14:textId="77777777" w:rsidR="00AF2313" w:rsidRPr="007F5954" w:rsidRDefault="00AF2313" w:rsidP="00AF2313"/>
    <w:p w14:paraId="30BEA76F" w14:textId="77777777" w:rsidR="008D5953" w:rsidRDefault="008D5953" w:rsidP="00FA4212">
      <w:pPr>
        <w:pStyle w:val="Heading2"/>
      </w:pPr>
      <w:bookmarkStart w:id="3" w:name="_Toc490145694"/>
      <w:r w:rsidRPr="008D5953">
        <w:t>S</w:t>
      </w:r>
      <w:r w:rsidR="00AF2313">
        <w:t>tage 1: Mandatory Requirements</w:t>
      </w:r>
      <w:bookmarkEnd w:id="3"/>
    </w:p>
    <w:p w14:paraId="1D2A2106" w14:textId="61854A18" w:rsidR="00AF2313" w:rsidRDefault="00AF2313" w:rsidP="00AF2313">
      <w:pPr>
        <w:spacing w:after="0"/>
        <w:textboxTightWrap w:val="none"/>
        <w:rPr>
          <w:rStyle w:val="Hyperlink"/>
          <w:rFonts w:eastAsia="MS Mincho"/>
          <w:noProof/>
          <w:color w:val="auto"/>
        </w:rPr>
      </w:pPr>
      <w:r w:rsidRPr="00CC53A9">
        <w:rPr>
          <w:rStyle w:val="Hyperlink"/>
          <w:rFonts w:eastAsia="MS Mincho"/>
          <w:noProof/>
          <w:color w:val="auto"/>
        </w:rPr>
        <w:t>All Tenderers must complete the Mandatory Re</w:t>
      </w:r>
      <w:r w:rsidR="003E5485">
        <w:rPr>
          <w:rStyle w:val="Hyperlink"/>
          <w:rFonts w:eastAsia="MS Mincho"/>
          <w:noProof/>
          <w:color w:val="auto"/>
        </w:rPr>
        <w:t>quirements in either one or both of the above specified requirements and response documents dependant on the solution offering.</w:t>
      </w:r>
    </w:p>
    <w:p w14:paraId="74419288" w14:textId="77777777" w:rsidR="00AF2313" w:rsidRPr="00CC53A9" w:rsidRDefault="00AF2313" w:rsidP="00AF2313">
      <w:pPr>
        <w:spacing w:after="0"/>
        <w:textboxTightWrap w:val="none"/>
        <w:rPr>
          <w:rStyle w:val="Hyperlink"/>
          <w:rFonts w:eastAsia="MS Mincho"/>
          <w:noProof/>
          <w:color w:val="auto"/>
        </w:rPr>
      </w:pPr>
    </w:p>
    <w:p w14:paraId="129F63D2" w14:textId="77777777" w:rsidR="00AF2313" w:rsidRDefault="00AF2313" w:rsidP="00AF2313">
      <w:pPr>
        <w:spacing w:after="0"/>
        <w:textboxTightWrap w:val="none"/>
        <w:rPr>
          <w:rStyle w:val="Hyperlink"/>
          <w:rFonts w:eastAsia="MS Mincho"/>
          <w:noProof/>
          <w:color w:val="auto"/>
        </w:rPr>
      </w:pPr>
      <w:r w:rsidRPr="00CC53A9">
        <w:rPr>
          <w:rStyle w:val="Hyperlink"/>
          <w:rFonts w:eastAsia="MS Mincho"/>
          <w:noProof/>
          <w:color w:val="auto"/>
        </w:rPr>
        <w:t>Failure to provide the requested information or to meet any of the requiremets will result in a ‘fail’ m</w:t>
      </w:r>
      <w:r w:rsidRPr="00FF6006">
        <w:rPr>
          <w:rStyle w:val="Hyperlink"/>
          <w:rFonts w:eastAsia="MS Mincho"/>
          <w:noProof/>
          <w:color w:val="auto"/>
        </w:rPr>
        <w:t xml:space="preserve">ark, and that tender will be disqualified. </w:t>
      </w:r>
    </w:p>
    <w:p w14:paraId="07C51EDF" w14:textId="77777777" w:rsidR="00AF2313" w:rsidRDefault="00AF2313" w:rsidP="00AF2313">
      <w:pPr>
        <w:spacing w:after="0"/>
        <w:textboxTightWrap w:val="none"/>
        <w:rPr>
          <w:rStyle w:val="Hyperlink"/>
          <w:rFonts w:eastAsia="MS Mincho"/>
          <w:noProof/>
          <w:color w:val="auto"/>
        </w:rPr>
      </w:pPr>
    </w:p>
    <w:p w14:paraId="303E119A" w14:textId="77777777" w:rsidR="00AF2313" w:rsidRPr="00AB377D" w:rsidRDefault="00AF2313" w:rsidP="00AF2313">
      <w:pPr>
        <w:spacing w:after="0"/>
        <w:ind w:firstLine="567"/>
        <w:textboxTightWrap w:val="none"/>
        <w:rPr>
          <w:rFonts w:eastAsia="MS Mincho"/>
          <w:b/>
          <w:color w:val="005EB8" w:themeColor="accent1"/>
          <w:spacing w:val="-6"/>
          <w:kern w:val="28"/>
          <w:sz w:val="36"/>
          <w:szCs w:val="28"/>
          <w14:ligatures w14:val="standardContextual"/>
        </w:rPr>
      </w:pPr>
      <w:r>
        <w:rPr>
          <w:rFonts w:eastAsia="MS Mincho"/>
          <w:b/>
          <w:color w:val="005EB8" w:themeColor="accent1"/>
          <w:spacing w:val="-6"/>
          <w:kern w:val="28"/>
          <w:sz w:val="36"/>
          <w:szCs w:val="28"/>
          <w14:ligatures w14:val="standardContextual"/>
        </w:rPr>
        <w:t xml:space="preserve">MANDATORY </w:t>
      </w:r>
      <w:r w:rsidRPr="00AB377D">
        <w:rPr>
          <w:rFonts w:eastAsia="MS Mincho"/>
          <w:b/>
          <w:color w:val="005EB8" w:themeColor="accent1"/>
          <w:spacing w:val="-6"/>
          <w:kern w:val="28"/>
          <w:sz w:val="36"/>
          <w:szCs w:val="28"/>
          <w14:ligatures w14:val="standardContextual"/>
        </w:rPr>
        <w:t>requirements:</w:t>
      </w:r>
    </w:p>
    <w:p w14:paraId="58360A73" w14:textId="77777777" w:rsidR="00AF2313" w:rsidRDefault="00AF2313" w:rsidP="00AF2313">
      <w:pPr>
        <w:spacing w:after="0"/>
        <w:ind w:left="567"/>
        <w:textboxTightWrap w:val="none"/>
        <w:rPr>
          <w:rStyle w:val="Hyperlink"/>
          <w:rFonts w:eastAsia="MS Mincho"/>
          <w:b/>
          <w:noProof/>
          <w:color w:val="auto"/>
        </w:rPr>
      </w:pPr>
    </w:p>
    <w:p w14:paraId="2C3BBEE3" w14:textId="5636A1F5" w:rsidR="00AF2313" w:rsidRDefault="00AF2313" w:rsidP="00AF2313">
      <w:pPr>
        <w:spacing w:after="0"/>
        <w:ind w:left="567"/>
        <w:textboxTightWrap w:val="none"/>
        <w:rPr>
          <w:rStyle w:val="Hyperlink"/>
          <w:rFonts w:eastAsia="MS Mincho"/>
          <w:noProof/>
          <w:color w:val="auto"/>
        </w:rPr>
      </w:pPr>
      <w:r w:rsidRPr="00D97DCB">
        <w:rPr>
          <w:rStyle w:val="Hyperlink"/>
          <w:rFonts w:eastAsia="MS Mincho"/>
          <w:noProof/>
          <w:color w:val="auto"/>
        </w:rPr>
        <w:t xml:space="preserve">The </w:t>
      </w:r>
      <w:r>
        <w:rPr>
          <w:rStyle w:val="Hyperlink"/>
          <w:rFonts w:eastAsia="MS Mincho"/>
          <w:b/>
          <w:noProof/>
          <w:color w:val="auto"/>
        </w:rPr>
        <w:t>MANDATORY</w:t>
      </w:r>
      <w:r w:rsidRPr="00D97DCB">
        <w:rPr>
          <w:rStyle w:val="Hyperlink"/>
          <w:rFonts w:eastAsia="MS Mincho"/>
          <w:noProof/>
          <w:color w:val="auto"/>
        </w:rPr>
        <w:t xml:space="preserve"> requirements </w:t>
      </w:r>
      <w:r>
        <w:rPr>
          <w:rStyle w:val="Hyperlink"/>
          <w:rFonts w:eastAsia="MS Mincho"/>
          <w:noProof/>
          <w:color w:val="auto"/>
        </w:rPr>
        <w:t xml:space="preserve">are essential mandatory requirements and Tenderers responses will be assessed on the following basis. The </w:t>
      </w:r>
      <w:r w:rsidRPr="00867271">
        <w:rPr>
          <w:rStyle w:val="Hyperlink"/>
          <w:rFonts w:eastAsia="MS Mincho"/>
          <w:b/>
          <w:noProof/>
          <w:color w:val="auto"/>
        </w:rPr>
        <w:t>M</w:t>
      </w:r>
      <w:r>
        <w:rPr>
          <w:rStyle w:val="Hyperlink"/>
          <w:rFonts w:eastAsia="MS Mincho"/>
          <w:b/>
          <w:noProof/>
          <w:color w:val="auto"/>
        </w:rPr>
        <w:t>ANDATORY</w:t>
      </w:r>
      <w:r>
        <w:rPr>
          <w:rStyle w:val="Hyperlink"/>
          <w:rFonts w:eastAsia="MS Mincho"/>
          <w:noProof/>
          <w:color w:val="auto"/>
        </w:rPr>
        <w:t xml:space="preserve"> req</w:t>
      </w:r>
      <w:r w:rsidR="003E5485">
        <w:rPr>
          <w:rStyle w:val="Hyperlink"/>
          <w:rFonts w:eastAsia="MS Mincho"/>
          <w:noProof/>
          <w:color w:val="auto"/>
        </w:rPr>
        <w:t>uirements are identified in</w:t>
      </w:r>
      <w:r w:rsidR="00B4492B">
        <w:rPr>
          <w:rStyle w:val="Hyperlink"/>
          <w:rFonts w:eastAsia="MS Mincho"/>
          <w:noProof/>
          <w:color w:val="auto"/>
        </w:rPr>
        <w:t xml:space="preserve"> Tab 1 of</w:t>
      </w:r>
      <w:r w:rsidR="003E5485">
        <w:rPr>
          <w:rStyle w:val="Hyperlink"/>
          <w:rFonts w:eastAsia="MS Mincho"/>
          <w:noProof/>
          <w:color w:val="auto"/>
        </w:rPr>
        <w:t xml:space="preserve"> the above listed Specifcation and Response documents for Cloud and On-Premise solutions.</w:t>
      </w:r>
    </w:p>
    <w:p w14:paraId="0B16CD87" w14:textId="77777777" w:rsidR="00AF2313" w:rsidRDefault="00AF2313" w:rsidP="00AF2313">
      <w:pPr>
        <w:spacing w:after="0"/>
        <w:ind w:left="567"/>
        <w:textboxTightWrap w:val="none"/>
        <w:rPr>
          <w:rStyle w:val="Hyperlink"/>
          <w:rFonts w:eastAsia="MS Mincho"/>
          <w:noProof/>
          <w:color w:val="auto"/>
        </w:rPr>
      </w:pPr>
    </w:p>
    <w:p w14:paraId="04D77D54" w14:textId="77777777" w:rsidR="00AF2313" w:rsidRDefault="00AF2313" w:rsidP="00AF2313">
      <w:pPr>
        <w:spacing w:after="0"/>
        <w:ind w:firstLine="567"/>
        <w:textboxTightWrap w:val="none"/>
        <w:rPr>
          <w:rStyle w:val="Hyperlink"/>
          <w:rFonts w:eastAsia="MS Mincho"/>
          <w:noProof/>
          <w:color w:val="auto"/>
        </w:rPr>
      </w:pPr>
      <w:r w:rsidRPr="00D97DCB">
        <w:rPr>
          <w:rStyle w:val="Hyperlink"/>
          <w:rFonts w:eastAsia="MS Mincho"/>
          <w:noProof/>
          <w:color w:val="auto"/>
        </w:rPr>
        <w:t xml:space="preserve">The </w:t>
      </w:r>
      <w:r w:rsidRPr="00867271">
        <w:rPr>
          <w:rStyle w:val="Hyperlink"/>
          <w:rFonts w:eastAsia="MS Mincho"/>
          <w:b/>
          <w:noProof/>
          <w:color w:val="auto"/>
        </w:rPr>
        <w:t>M</w:t>
      </w:r>
      <w:r>
        <w:rPr>
          <w:rStyle w:val="Hyperlink"/>
          <w:rFonts w:eastAsia="MS Mincho"/>
          <w:b/>
          <w:noProof/>
          <w:color w:val="auto"/>
        </w:rPr>
        <w:t>ANDATORY</w:t>
      </w:r>
      <w:r>
        <w:rPr>
          <w:rStyle w:val="Hyperlink"/>
          <w:rFonts w:eastAsia="MS Mincho"/>
          <w:noProof/>
          <w:color w:val="auto"/>
        </w:rPr>
        <w:t xml:space="preserve"> </w:t>
      </w:r>
      <w:r w:rsidRPr="00D97DCB">
        <w:rPr>
          <w:rStyle w:val="Hyperlink"/>
          <w:rFonts w:eastAsia="MS Mincho"/>
          <w:noProof/>
          <w:color w:val="auto"/>
        </w:rPr>
        <w:t>requirements</w:t>
      </w:r>
      <w:r>
        <w:rPr>
          <w:rStyle w:val="Hyperlink"/>
          <w:rFonts w:eastAsia="MS Mincho"/>
          <w:noProof/>
          <w:color w:val="auto"/>
        </w:rPr>
        <w:t xml:space="preserve"> will be marked using the scoring mechanism below.  </w:t>
      </w:r>
    </w:p>
    <w:p w14:paraId="59EFA55A" w14:textId="77777777" w:rsidR="00AF2313" w:rsidRDefault="00AF2313" w:rsidP="00AF2313">
      <w:pPr>
        <w:spacing w:after="0"/>
        <w:textboxTightWrap w:val="none"/>
        <w:rPr>
          <w:rStyle w:val="Hyperlink"/>
          <w:rFonts w:eastAsia="MS Mincho"/>
          <w:noProof/>
          <w:color w:val="auto"/>
        </w:rPr>
      </w:pPr>
      <w:r>
        <w:rPr>
          <w:rStyle w:val="Hyperlink"/>
          <w:rFonts w:eastAsia="MS Mincho"/>
          <w:noProof/>
          <w:color w:val="auto"/>
        </w:rPr>
        <w:t xml:space="preserve"> </w:t>
      </w:r>
    </w:p>
    <w:p w14:paraId="59A7637B" w14:textId="77777777" w:rsidR="00AF2313" w:rsidRDefault="00AF2313" w:rsidP="00AF2313">
      <w:pPr>
        <w:spacing w:after="0"/>
        <w:ind w:left="567"/>
        <w:textboxTightWrap w:val="none"/>
        <w:rPr>
          <w:rStyle w:val="Hyperlink"/>
          <w:rFonts w:eastAsia="MS Mincho"/>
          <w:noProof/>
          <w:color w:val="auto"/>
        </w:rPr>
      </w:pPr>
    </w:p>
    <w:tbl>
      <w:tblPr>
        <w:tblStyle w:val="TableGrid"/>
        <w:tblW w:w="0" w:type="auto"/>
        <w:jc w:val="center"/>
        <w:tblLook w:val="04A0" w:firstRow="1" w:lastRow="0" w:firstColumn="1" w:lastColumn="0" w:noHBand="0" w:noVBand="1"/>
      </w:tblPr>
      <w:tblGrid>
        <w:gridCol w:w="1321"/>
        <w:gridCol w:w="7750"/>
      </w:tblGrid>
      <w:tr w:rsidR="00AF2313" w14:paraId="767084E8" w14:textId="77777777" w:rsidTr="003E5485">
        <w:trPr>
          <w:trHeight w:val="453"/>
          <w:jc w:val="center"/>
        </w:trPr>
        <w:tc>
          <w:tcPr>
            <w:tcW w:w="1321" w:type="dxa"/>
            <w:shd w:val="clear" w:color="auto" w:fill="808080" w:themeFill="background1" w:themeFillShade="80"/>
            <w:vAlign w:val="center"/>
          </w:tcPr>
          <w:p w14:paraId="05A05435" w14:textId="77777777" w:rsidR="00AF2313" w:rsidRPr="005F04AC" w:rsidRDefault="00AF2313" w:rsidP="003E5485">
            <w:pPr>
              <w:spacing w:after="0"/>
              <w:textboxTightWrap w:val="none"/>
              <w:rPr>
                <w:rStyle w:val="Hyperlink"/>
                <w:rFonts w:eastAsia="MS Mincho"/>
                <w:noProof/>
                <w:color w:val="auto"/>
              </w:rPr>
            </w:pPr>
            <w:r w:rsidRPr="00D97DCB">
              <w:rPr>
                <w:rStyle w:val="Hyperlink"/>
                <w:rFonts w:eastAsia="MS Mincho"/>
                <w:noProof/>
                <w:color w:val="auto"/>
              </w:rPr>
              <w:t xml:space="preserve"> </w:t>
            </w:r>
            <w:r w:rsidRPr="005F04AC">
              <w:rPr>
                <w:rFonts w:eastAsia="MS Mincho"/>
                <w:b/>
                <w:color w:val="auto"/>
                <w:spacing w:val="-6"/>
                <w:kern w:val="28"/>
                <w:sz w:val="28"/>
                <w:szCs w:val="28"/>
                <w14:ligatures w14:val="standardContextual"/>
              </w:rPr>
              <w:t>Score</w:t>
            </w:r>
            <w:r w:rsidRPr="005F04AC">
              <w:rPr>
                <w:rStyle w:val="Hyperlink"/>
                <w:rFonts w:asciiTheme="majorHAnsi" w:eastAsia="MS Mincho" w:hAnsiTheme="majorHAnsi" w:cstheme="majorHAnsi"/>
                <w:noProof/>
                <w:color w:val="auto"/>
                <w:sz w:val="28"/>
              </w:rPr>
              <w:t xml:space="preserve"> </w:t>
            </w:r>
          </w:p>
        </w:tc>
        <w:tc>
          <w:tcPr>
            <w:tcW w:w="7750" w:type="dxa"/>
            <w:shd w:val="clear" w:color="auto" w:fill="808080" w:themeFill="background1" w:themeFillShade="80"/>
            <w:vAlign w:val="center"/>
          </w:tcPr>
          <w:p w14:paraId="72CB25A8" w14:textId="77777777" w:rsidR="00AF2313" w:rsidRPr="005F04AC" w:rsidRDefault="00AF2313" w:rsidP="003E5485">
            <w:pPr>
              <w:spacing w:after="0"/>
              <w:textboxTightWrap w:val="none"/>
              <w:rPr>
                <w:rStyle w:val="Hyperlink"/>
                <w:rFonts w:eastAsia="MS Mincho"/>
                <w:noProof/>
                <w:color w:val="auto"/>
              </w:rPr>
            </w:pPr>
            <w:r w:rsidRPr="005F04AC">
              <w:rPr>
                <w:rFonts w:eastAsia="MS Mincho"/>
                <w:b/>
                <w:color w:val="auto"/>
                <w:spacing w:val="-6"/>
                <w:kern w:val="28"/>
                <w:sz w:val="28"/>
                <w:szCs w:val="28"/>
                <w14:ligatures w14:val="standardContextual"/>
              </w:rPr>
              <w:t>Description</w:t>
            </w:r>
          </w:p>
        </w:tc>
      </w:tr>
      <w:tr w:rsidR="00AF2313" w:rsidRPr="00EA7D60" w14:paraId="56063DC6" w14:textId="77777777" w:rsidTr="003E5485">
        <w:trPr>
          <w:trHeight w:val="1727"/>
          <w:jc w:val="center"/>
        </w:trPr>
        <w:tc>
          <w:tcPr>
            <w:tcW w:w="1321" w:type="dxa"/>
            <w:shd w:val="clear" w:color="auto" w:fill="D9D9D9" w:themeFill="background1" w:themeFillShade="D9"/>
          </w:tcPr>
          <w:p w14:paraId="55A7A141"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Fail</w:t>
            </w:r>
          </w:p>
        </w:tc>
        <w:tc>
          <w:tcPr>
            <w:tcW w:w="7750" w:type="dxa"/>
            <w:shd w:val="clear" w:color="auto" w:fill="D9D9D9" w:themeFill="background1" w:themeFillShade="D9"/>
          </w:tcPr>
          <w:p w14:paraId="1AE226E3"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w:t>
            </w:r>
            <w:r w:rsidRPr="00F60776">
              <w:rPr>
                <w:b/>
                <w:sz w:val="22"/>
                <w:szCs w:val="20"/>
              </w:rPr>
              <w:t xml:space="preserve">Fails </w:t>
            </w:r>
            <w:proofErr w:type="gramStart"/>
            <w:r w:rsidRPr="00F60776">
              <w:rPr>
                <w:b/>
                <w:sz w:val="22"/>
                <w:szCs w:val="20"/>
              </w:rPr>
              <w:t>To</w:t>
            </w:r>
            <w:proofErr w:type="gramEnd"/>
            <w:r w:rsidRPr="00F60776">
              <w:rPr>
                <w:b/>
                <w:sz w:val="22"/>
                <w:szCs w:val="20"/>
              </w:rPr>
              <w:t xml:space="preserve"> Meet Requirements</w:t>
            </w:r>
            <w:r w:rsidRPr="00F60776">
              <w:rPr>
                <w:sz w:val="22"/>
                <w:szCs w:val="20"/>
              </w:rPr>
              <w:t>): poor / incomplete response, with limited confidence of requirement(s) delivery</w:t>
            </w:r>
          </w:p>
          <w:p w14:paraId="70FA97FF" w14:textId="77777777" w:rsidR="00AF2313" w:rsidRPr="00F60776" w:rsidRDefault="00AF2313" w:rsidP="003E5485">
            <w:pPr>
              <w:overflowPunct w:val="0"/>
              <w:autoSpaceDE w:val="0"/>
              <w:autoSpaceDN w:val="0"/>
              <w:spacing w:before="40" w:after="40"/>
              <w:ind w:right="130"/>
              <w:textAlignment w:val="baseline"/>
              <w:rPr>
                <w:sz w:val="22"/>
                <w:szCs w:val="20"/>
              </w:rPr>
            </w:pPr>
          </w:p>
          <w:p w14:paraId="58A6010E"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The evidence offered suggests (as appropriate):</w:t>
            </w:r>
          </w:p>
          <w:p w14:paraId="738353D2"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 xml:space="preserve">Serious gaps in necessary information; </w:t>
            </w:r>
          </w:p>
          <w:p w14:paraId="1033820C"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Limited understanding of the issues and requirements of the Framework Agreement; &amp;/or</w:t>
            </w:r>
          </w:p>
          <w:p w14:paraId="2310C946"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Clear misunderstandings of the objectives.</w:t>
            </w:r>
          </w:p>
        </w:tc>
      </w:tr>
      <w:tr w:rsidR="00AF2313" w:rsidRPr="00EA7D60" w14:paraId="3BCF6E91" w14:textId="77777777" w:rsidTr="003E5485">
        <w:trPr>
          <w:trHeight w:val="1605"/>
          <w:jc w:val="center"/>
        </w:trPr>
        <w:tc>
          <w:tcPr>
            <w:tcW w:w="1321" w:type="dxa"/>
            <w:shd w:val="clear" w:color="auto" w:fill="D9D9D9" w:themeFill="background1" w:themeFillShade="D9"/>
          </w:tcPr>
          <w:p w14:paraId="487CA960"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Pass</w:t>
            </w:r>
          </w:p>
        </w:tc>
        <w:tc>
          <w:tcPr>
            <w:tcW w:w="7750" w:type="dxa"/>
            <w:shd w:val="clear" w:color="auto" w:fill="D9D9D9" w:themeFill="background1" w:themeFillShade="D9"/>
          </w:tcPr>
          <w:p w14:paraId="717A968C"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w:t>
            </w:r>
            <w:r w:rsidRPr="00F60776">
              <w:rPr>
                <w:b/>
                <w:sz w:val="22"/>
                <w:szCs w:val="20"/>
              </w:rPr>
              <w:t>Fully Meets Requirements</w:t>
            </w:r>
            <w:r w:rsidRPr="00F60776">
              <w:rPr>
                <w:sz w:val="22"/>
                <w:szCs w:val="20"/>
              </w:rPr>
              <w:t>): reasonable response with confidence of majority of the requirement(s) being delivered</w:t>
            </w:r>
          </w:p>
          <w:p w14:paraId="06EE6E6D" w14:textId="77777777" w:rsidR="00AF2313" w:rsidRPr="00F60776" w:rsidRDefault="00AF2313" w:rsidP="003E5485">
            <w:pPr>
              <w:overflowPunct w:val="0"/>
              <w:autoSpaceDE w:val="0"/>
              <w:autoSpaceDN w:val="0"/>
              <w:spacing w:before="40" w:after="40"/>
              <w:ind w:right="130"/>
              <w:textAlignment w:val="baseline"/>
              <w:rPr>
                <w:sz w:val="22"/>
                <w:szCs w:val="20"/>
              </w:rPr>
            </w:pPr>
          </w:p>
          <w:p w14:paraId="040EFEED" w14:textId="77777777" w:rsidR="00AF2313" w:rsidRPr="00F60776" w:rsidRDefault="00AF2313" w:rsidP="003E5485">
            <w:pPr>
              <w:overflowPunct w:val="0"/>
              <w:autoSpaceDE w:val="0"/>
              <w:autoSpaceDN w:val="0"/>
              <w:spacing w:before="40" w:after="40"/>
              <w:ind w:right="130"/>
              <w:textAlignment w:val="baseline"/>
              <w:rPr>
                <w:sz w:val="22"/>
                <w:szCs w:val="20"/>
              </w:rPr>
            </w:pPr>
            <w:r w:rsidRPr="00F60776">
              <w:rPr>
                <w:sz w:val="22"/>
                <w:szCs w:val="20"/>
              </w:rPr>
              <w:t>The evidence offered suggests (as appropriate):</w:t>
            </w:r>
          </w:p>
          <w:p w14:paraId="4E568DD5"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 xml:space="preserve">A reasonable level of detail with </w:t>
            </w:r>
            <w:proofErr w:type="gramStart"/>
            <w:r w:rsidRPr="00F60776">
              <w:rPr>
                <w:sz w:val="22"/>
                <w:szCs w:val="20"/>
              </w:rPr>
              <w:t>an understandings of the objectives</w:t>
            </w:r>
            <w:proofErr w:type="gramEnd"/>
            <w:r w:rsidRPr="00F60776">
              <w:rPr>
                <w:sz w:val="22"/>
                <w:szCs w:val="20"/>
              </w:rPr>
              <w:t>; &amp;/or</w:t>
            </w:r>
          </w:p>
          <w:p w14:paraId="698C0602" w14:textId="77777777" w:rsidR="00AF2313" w:rsidRPr="00F60776" w:rsidRDefault="00AF2313" w:rsidP="00AF2313">
            <w:pPr>
              <w:pStyle w:val="ListParagraph"/>
              <w:numPr>
                <w:ilvl w:val="0"/>
                <w:numId w:val="4"/>
              </w:numPr>
              <w:overflowPunct w:val="0"/>
              <w:autoSpaceDE w:val="0"/>
              <w:autoSpaceDN w:val="0"/>
              <w:spacing w:before="40" w:after="40"/>
              <w:ind w:right="130"/>
              <w:textAlignment w:val="baseline"/>
              <w:rPr>
                <w:sz w:val="22"/>
                <w:szCs w:val="20"/>
              </w:rPr>
            </w:pPr>
            <w:r w:rsidRPr="00F60776">
              <w:rPr>
                <w:sz w:val="22"/>
                <w:szCs w:val="20"/>
              </w:rPr>
              <w:t>A suitable, appropriate and fully worked-up methodological approach.</w:t>
            </w:r>
          </w:p>
        </w:tc>
      </w:tr>
    </w:tbl>
    <w:p w14:paraId="1FD18379" w14:textId="77777777" w:rsidR="00AF2313" w:rsidRDefault="00AF2313" w:rsidP="00AF2313">
      <w:pPr>
        <w:spacing w:after="0"/>
        <w:ind w:firstLine="567"/>
        <w:textboxTightWrap w:val="none"/>
        <w:rPr>
          <w:rStyle w:val="Hyperlink"/>
          <w:rFonts w:eastAsia="MS Mincho"/>
          <w:noProof/>
          <w:color w:val="auto"/>
        </w:rPr>
      </w:pPr>
    </w:p>
    <w:p w14:paraId="43AD87C8" w14:textId="77777777" w:rsidR="00AF2313" w:rsidRPr="00D97DCB" w:rsidRDefault="00AF2313" w:rsidP="00AF2313">
      <w:pPr>
        <w:spacing w:after="0"/>
        <w:ind w:left="720"/>
        <w:textboxTightWrap w:val="none"/>
        <w:rPr>
          <w:rStyle w:val="Hyperlink"/>
          <w:rFonts w:eastAsia="MS Mincho"/>
          <w:noProof/>
          <w:color w:val="auto"/>
        </w:rPr>
      </w:pPr>
      <w:r>
        <w:rPr>
          <w:rStyle w:val="Hyperlink"/>
          <w:rFonts w:eastAsia="MS Mincho"/>
          <w:noProof/>
          <w:color w:val="auto"/>
        </w:rPr>
        <w:t xml:space="preserve">Any Tenderers who fail to respond to or meet any of the </w:t>
      </w:r>
      <w:r w:rsidRPr="00867271">
        <w:rPr>
          <w:rStyle w:val="Hyperlink"/>
          <w:rFonts w:eastAsia="MS Mincho"/>
          <w:b/>
          <w:noProof/>
          <w:color w:val="auto"/>
        </w:rPr>
        <w:t>M</w:t>
      </w:r>
      <w:r>
        <w:rPr>
          <w:rStyle w:val="Hyperlink"/>
          <w:rFonts w:eastAsia="MS Mincho"/>
          <w:b/>
          <w:noProof/>
          <w:color w:val="auto"/>
        </w:rPr>
        <w:t>ANDATORY</w:t>
      </w:r>
      <w:r>
        <w:rPr>
          <w:rStyle w:val="Hyperlink"/>
          <w:rFonts w:eastAsia="MS Mincho"/>
          <w:noProof/>
          <w:color w:val="auto"/>
        </w:rPr>
        <w:t xml:space="preserve"> requirements may be disqualified.</w:t>
      </w:r>
    </w:p>
    <w:p w14:paraId="733EE0CA" w14:textId="77777777" w:rsidR="00AF2313" w:rsidRDefault="00AF2313" w:rsidP="00AF2313">
      <w:pPr>
        <w:spacing w:after="0"/>
        <w:ind w:left="567"/>
        <w:textboxTightWrap w:val="none"/>
        <w:rPr>
          <w:rStyle w:val="Hyperlink"/>
          <w:rFonts w:eastAsia="MS Mincho"/>
          <w:noProof/>
          <w:color w:val="auto"/>
        </w:rPr>
      </w:pPr>
    </w:p>
    <w:p w14:paraId="4E429D1E" w14:textId="77777777" w:rsidR="00AF2313" w:rsidRPr="00FF6006" w:rsidRDefault="00AF2313" w:rsidP="00AF2313">
      <w:pPr>
        <w:spacing w:after="0"/>
        <w:textboxTightWrap w:val="none"/>
        <w:rPr>
          <w:rStyle w:val="Hyperlink"/>
          <w:rFonts w:eastAsia="MS Mincho"/>
          <w:noProof/>
          <w:color w:val="auto"/>
        </w:rPr>
      </w:pPr>
    </w:p>
    <w:p w14:paraId="6C926BC7" w14:textId="77777777" w:rsidR="008D5953" w:rsidRDefault="00AF2313" w:rsidP="00AF2313">
      <w:pPr>
        <w:pStyle w:val="Heading2"/>
      </w:pPr>
      <w:bookmarkStart w:id="4" w:name="_Toc490145695"/>
      <w:bookmarkEnd w:id="1"/>
      <w:r>
        <w:t>Stage 2: Quality Evaluation</w:t>
      </w:r>
      <w:bookmarkEnd w:id="4"/>
    </w:p>
    <w:p w14:paraId="483D9001" w14:textId="3783A87F" w:rsidR="00AF2313" w:rsidRPr="00CC53A9" w:rsidRDefault="00AF2313" w:rsidP="00AF2313">
      <w:pPr>
        <w:spacing w:after="0"/>
        <w:textboxTightWrap w:val="none"/>
        <w:rPr>
          <w:rStyle w:val="Hyperlink"/>
          <w:rFonts w:eastAsia="MS Mincho"/>
          <w:noProof/>
          <w:color w:val="auto"/>
        </w:rPr>
      </w:pPr>
      <w:r>
        <w:rPr>
          <w:rStyle w:val="Hyperlink"/>
          <w:rFonts w:eastAsia="MS Mincho"/>
          <w:noProof/>
          <w:color w:val="auto"/>
        </w:rPr>
        <w:t>F</w:t>
      </w:r>
      <w:r w:rsidRPr="00FF6006">
        <w:rPr>
          <w:rStyle w:val="Hyperlink"/>
          <w:rFonts w:eastAsia="MS Mincho"/>
          <w:noProof/>
          <w:color w:val="auto"/>
        </w:rPr>
        <w:t>or tenders that progress through Stage 1, the Evaluation Panel will award marks a</w:t>
      </w:r>
      <w:r w:rsidRPr="00CC53A9">
        <w:rPr>
          <w:rStyle w:val="Hyperlink"/>
          <w:rFonts w:eastAsia="MS Mincho"/>
          <w:noProof/>
          <w:color w:val="auto"/>
        </w:rPr>
        <w:t>gainst each of the individ</w:t>
      </w:r>
      <w:r w:rsidRPr="006F390D">
        <w:rPr>
          <w:rStyle w:val="Hyperlink"/>
          <w:rFonts w:eastAsia="MS Mincho"/>
          <w:noProof/>
          <w:color w:val="auto"/>
        </w:rPr>
        <w:t xml:space="preserve">ual criteria outlined </w:t>
      </w:r>
      <w:r w:rsidR="003E5485">
        <w:rPr>
          <w:rStyle w:val="Hyperlink"/>
          <w:rFonts w:eastAsia="MS Mincho"/>
          <w:noProof/>
          <w:color w:val="auto"/>
        </w:rPr>
        <w:t xml:space="preserve">in Tab 2 of the above listed Specification and Response </w:t>
      </w:r>
      <w:r w:rsidR="00B25A2E">
        <w:rPr>
          <w:rStyle w:val="Hyperlink"/>
          <w:rFonts w:eastAsia="MS Mincho"/>
          <w:noProof/>
          <w:color w:val="auto"/>
        </w:rPr>
        <w:t>document.</w:t>
      </w:r>
    </w:p>
    <w:p w14:paraId="7CCA409D" w14:textId="77777777" w:rsidR="00AF2313" w:rsidRDefault="00AF2313" w:rsidP="00AF2313">
      <w:pPr>
        <w:spacing w:after="0"/>
        <w:textboxTightWrap w:val="none"/>
        <w:rPr>
          <w:rStyle w:val="Hyperlink"/>
          <w:rFonts w:eastAsia="MS Mincho"/>
          <w:noProof/>
          <w:color w:val="auto"/>
        </w:rPr>
      </w:pPr>
    </w:p>
    <w:p w14:paraId="761DC776" w14:textId="07543E7A" w:rsidR="00AF2313" w:rsidRDefault="003828E8" w:rsidP="00AF2313">
      <w:pPr>
        <w:spacing w:after="0"/>
        <w:textboxTightWrap w:val="none"/>
        <w:rPr>
          <w:rStyle w:val="Hyperlink"/>
          <w:rFonts w:eastAsia="MS Mincho"/>
          <w:noProof/>
          <w:color w:val="auto"/>
        </w:rPr>
      </w:pPr>
      <w:r>
        <w:rPr>
          <w:rStyle w:val="Hyperlink"/>
          <w:rFonts w:eastAsia="MS Mincho"/>
          <w:noProof/>
          <w:color w:val="auto"/>
        </w:rPr>
        <w:t>Quality accounts for 6</w:t>
      </w:r>
      <w:r w:rsidR="00AF2313" w:rsidRPr="00585F78">
        <w:rPr>
          <w:rStyle w:val="Hyperlink"/>
          <w:rFonts w:eastAsia="MS Mincho"/>
          <w:noProof/>
          <w:color w:val="auto"/>
        </w:rPr>
        <w:t>0% of the</w:t>
      </w:r>
      <w:r w:rsidR="00AF2313">
        <w:rPr>
          <w:rStyle w:val="Hyperlink"/>
          <w:rFonts w:eastAsia="MS Mincho"/>
          <w:noProof/>
          <w:color w:val="auto"/>
        </w:rPr>
        <w:t xml:space="preserve"> overall evalaution and the individual weightings for each of the q</w:t>
      </w:r>
      <w:r w:rsidR="00AF2313" w:rsidRPr="006F390D">
        <w:rPr>
          <w:rStyle w:val="Hyperlink"/>
          <w:rFonts w:eastAsia="MS Mincho"/>
          <w:noProof/>
          <w:color w:val="auto"/>
        </w:rPr>
        <w:t xml:space="preserve">uality elements is outlined </w:t>
      </w:r>
      <w:r w:rsidR="00AF2313" w:rsidRPr="003E5485">
        <w:rPr>
          <w:rStyle w:val="Hyperlink"/>
          <w:rFonts w:eastAsia="MS Mincho"/>
          <w:noProof/>
          <w:color w:val="auto"/>
        </w:rPr>
        <w:t xml:space="preserve">in </w:t>
      </w:r>
      <w:r w:rsidR="003E5485" w:rsidRPr="003E5485">
        <w:rPr>
          <w:rStyle w:val="Hyperlink"/>
          <w:rFonts w:eastAsia="MS Mincho"/>
          <w:noProof/>
          <w:color w:val="auto"/>
        </w:rPr>
        <w:t>Specification and Response documents.</w:t>
      </w:r>
    </w:p>
    <w:p w14:paraId="6F79E071" w14:textId="77777777" w:rsidR="00AF2313" w:rsidRDefault="00AF2313" w:rsidP="00AF2313">
      <w:pPr>
        <w:spacing w:after="0"/>
        <w:textboxTightWrap w:val="none"/>
        <w:rPr>
          <w:rStyle w:val="Hyperlink"/>
          <w:rFonts w:eastAsia="MS Mincho"/>
          <w:noProof/>
          <w:color w:val="auto"/>
        </w:rPr>
      </w:pPr>
    </w:p>
    <w:p w14:paraId="7094CE84" w14:textId="77777777" w:rsidR="003E5485" w:rsidRDefault="00AF2313" w:rsidP="00AF2313">
      <w:pPr>
        <w:spacing w:after="0"/>
        <w:textboxTightWrap w:val="none"/>
        <w:rPr>
          <w:rStyle w:val="Hyperlink"/>
          <w:rFonts w:eastAsia="MS Mincho"/>
          <w:noProof/>
          <w:color w:val="auto"/>
        </w:rPr>
      </w:pPr>
      <w:r>
        <w:rPr>
          <w:rStyle w:val="Hyperlink"/>
          <w:rFonts w:eastAsia="MS Mincho"/>
          <w:noProof/>
          <w:color w:val="auto"/>
        </w:rPr>
        <w:t xml:space="preserve">Using the methodology shown below a total quality score of </w:t>
      </w:r>
    </w:p>
    <w:p w14:paraId="247A56C2" w14:textId="152902DA" w:rsidR="003E5485" w:rsidRDefault="00AF2313" w:rsidP="00B25A2E">
      <w:pPr>
        <w:spacing w:after="0"/>
        <w:ind w:firstLine="720"/>
        <w:textboxTightWrap w:val="none"/>
        <w:rPr>
          <w:rStyle w:val="Hyperlink"/>
          <w:rFonts w:eastAsia="MS Mincho"/>
          <w:noProof/>
          <w:color w:val="auto"/>
        </w:rPr>
      </w:pPr>
      <w:r w:rsidRPr="00CA1678">
        <w:rPr>
          <w:rStyle w:val="Hyperlink"/>
          <w:rFonts w:eastAsia="MS Mincho"/>
          <w:noProof/>
          <w:color w:val="auto"/>
        </w:rPr>
        <w:t>2</w:t>
      </w:r>
      <w:r w:rsidR="003828E8">
        <w:rPr>
          <w:rStyle w:val="Hyperlink"/>
          <w:rFonts w:eastAsia="MS Mincho"/>
          <w:noProof/>
          <w:color w:val="auto"/>
        </w:rPr>
        <w:t>28</w:t>
      </w:r>
      <w:r w:rsidRPr="00CA1678">
        <w:rPr>
          <w:rStyle w:val="Hyperlink"/>
          <w:rFonts w:eastAsia="MS Mincho"/>
          <w:noProof/>
          <w:color w:val="auto"/>
        </w:rPr>
        <w:t xml:space="preserve"> points</w:t>
      </w:r>
    </w:p>
    <w:p w14:paraId="31A44284" w14:textId="3875FBDF" w:rsidR="00AF2313" w:rsidRDefault="00AF2313" w:rsidP="003E5485">
      <w:pPr>
        <w:spacing w:after="0"/>
        <w:textboxTightWrap w:val="none"/>
        <w:rPr>
          <w:rStyle w:val="Hyperlink"/>
          <w:rFonts w:eastAsia="MS Mincho"/>
          <w:noProof/>
          <w:color w:val="auto"/>
        </w:rPr>
      </w:pPr>
      <w:r>
        <w:rPr>
          <w:rStyle w:val="Hyperlink"/>
          <w:rFonts w:eastAsia="MS Mincho"/>
          <w:noProof/>
          <w:color w:val="auto"/>
        </w:rPr>
        <w:t>is available tenderers scores will be translated into a overall percentage score using the methdology outlined in this document</w:t>
      </w:r>
    </w:p>
    <w:p w14:paraId="05989859" w14:textId="77777777" w:rsidR="00AF2313" w:rsidRDefault="00AF2313" w:rsidP="00AF2313">
      <w:pPr>
        <w:spacing w:after="0"/>
        <w:textboxTightWrap w:val="none"/>
        <w:rPr>
          <w:rStyle w:val="Hyperlink"/>
          <w:rFonts w:eastAsia="MS Mincho"/>
          <w:noProof/>
          <w:color w:val="auto"/>
        </w:rPr>
      </w:pPr>
    </w:p>
    <w:p w14:paraId="4A19525E" w14:textId="77777777" w:rsidR="00AF2313" w:rsidRPr="006F390D" w:rsidRDefault="00AF2313" w:rsidP="00AF2313">
      <w:pPr>
        <w:spacing w:after="0"/>
        <w:textboxTightWrap w:val="none"/>
        <w:rPr>
          <w:rStyle w:val="Hyperlink"/>
          <w:rFonts w:eastAsia="MS Mincho"/>
          <w:noProof/>
          <w:color w:val="auto"/>
        </w:rPr>
      </w:pPr>
      <w:r>
        <w:rPr>
          <w:rStyle w:val="Hyperlink"/>
          <w:rFonts w:eastAsia="MS Mincho"/>
          <w:noProof/>
          <w:color w:val="auto"/>
        </w:rPr>
        <w:t>Tenderers who fail to respond to any of the individual elements or scores Zero (Unsatisfac</w:t>
      </w:r>
      <w:r w:rsidRPr="006F390D">
        <w:rPr>
          <w:rStyle w:val="Hyperlink"/>
          <w:rFonts w:eastAsia="MS Mincho"/>
          <w:noProof/>
          <w:color w:val="auto"/>
        </w:rPr>
        <w:t>tory) in any element may be rejected.</w:t>
      </w:r>
    </w:p>
    <w:p w14:paraId="25B0881C" w14:textId="2A01ACD4" w:rsidR="00143A36" w:rsidRPr="006F390D" w:rsidRDefault="00143A36" w:rsidP="00AF2313">
      <w:pPr>
        <w:spacing w:after="0"/>
        <w:textboxTightWrap w:val="none"/>
        <w:rPr>
          <w:rStyle w:val="Hyperlink"/>
          <w:rFonts w:eastAsia="MS Mincho"/>
          <w:noProof/>
          <w:color w:val="auto"/>
        </w:rPr>
      </w:pPr>
    </w:p>
    <w:p w14:paraId="360D770A" w14:textId="18BF6EF5" w:rsidR="00143A36" w:rsidRPr="006F390D" w:rsidRDefault="00143A36" w:rsidP="00143A36">
      <w:pPr>
        <w:spacing w:after="0"/>
        <w:textboxTightWrap w:val="none"/>
        <w:rPr>
          <w:rStyle w:val="Hyperlink"/>
          <w:noProof/>
          <w:color w:val="auto"/>
        </w:rPr>
      </w:pPr>
      <w:r w:rsidRPr="006F390D">
        <w:rPr>
          <w:rStyle w:val="Hyperlink"/>
          <w:noProof/>
          <w:color w:val="auto"/>
        </w:rPr>
        <w:t>Tenderer Responses will be evaluated individually and independently by each member of a pre-appointed Evaluation Panel based on the criteria set out below, and then as a group in order to arrive at a collective/consensus recommendation.</w:t>
      </w:r>
    </w:p>
    <w:p w14:paraId="3D9C9153" w14:textId="77777777" w:rsidR="00143A36" w:rsidRPr="00585F78" w:rsidRDefault="00143A36" w:rsidP="00143A36">
      <w:pPr>
        <w:spacing w:after="0"/>
        <w:textboxTightWrap w:val="none"/>
        <w:rPr>
          <w:rStyle w:val="Hyperlink"/>
          <w:noProof/>
          <w:color w:val="auto"/>
        </w:rPr>
      </w:pPr>
    </w:p>
    <w:p w14:paraId="3A7FFD10" w14:textId="77777777" w:rsidR="00143A36" w:rsidRPr="00FF6006" w:rsidRDefault="00143A36" w:rsidP="00143A36">
      <w:pPr>
        <w:spacing w:after="0"/>
        <w:textboxTightWrap w:val="none"/>
        <w:rPr>
          <w:rStyle w:val="Hyperlink"/>
          <w:noProof/>
          <w:color w:val="auto"/>
        </w:rPr>
      </w:pPr>
      <w:r w:rsidRPr="00585F78">
        <w:rPr>
          <w:rStyle w:val="Hyperlink"/>
          <w:noProof/>
          <w:color w:val="auto"/>
        </w:rPr>
        <w:t xml:space="preserve">Scores that fail to reach a </w:t>
      </w:r>
      <w:r w:rsidRPr="00585F78">
        <w:rPr>
          <w:rStyle w:val="Hyperlink"/>
          <w:b/>
          <w:noProof/>
          <w:color w:val="auto"/>
        </w:rPr>
        <w:t>minimum threshold of 60%</w:t>
      </w:r>
      <w:r w:rsidRPr="00585F78">
        <w:rPr>
          <w:rStyle w:val="Hyperlink"/>
          <w:noProof/>
          <w:color w:val="auto"/>
        </w:rPr>
        <w:t xml:space="preserve"> of the</w:t>
      </w:r>
      <w:r w:rsidRPr="006F390D">
        <w:rPr>
          <w:rStyle w:val="Hyperlink"/>
          <w:noProof/>
          <w:color w:val="auto"/>
        </w:rPr>
        <w:t xml:space="preserve"> full marks available for quality at this Stage will mean that bid is eliminated from the evaluation process.</w:t>
      </w:r>
    </w:p>
    <w:p w14:paraId="2E5FBDD0" w14:textId="77777777" w:rsidR="00143A36" w:rsidRDefault="00143A36" w:rsidP="00AF2313">
      <w:pPr>
        <w:spacing w:after="0"/>
        <w:textboxTightWrap w:val="none"/>
        <w:rPr>
          <w:rStyle w:val="Hyperlink"/>
          <w:rFonts w:eastAsia="MS Mincho"/>
          <w:noProof/>
          <w:color w:val="auto"/>
        </w:rPr>
      </w:pPr>
    </w:p>
    <w:p w14:paraId="4879B74A" w14:textId="77777777" w:rsidR="00AF2313" w:rsidRDefault="00AF2313" w:rsidP="00AF2313">
      <w:pPr>
        <w:spacing w:after="0"/>
        <w:textboxTightWrap w:val="none"/>
        <w:rPr>
          <w:rStyle w:val="Hyperlink"/>
          <w:rFonts w:eastAsia="MS Mincho"/>
          <w:noProof/>
          <w:color w:val="auto"/>
        </w:rPr>
      </w:pPr>
    </w:p>
    <w:p w14:paraId="17923280" w14:textId="70241558" w:rsidR="00143A36" w:rsidRDefault="00143A36" w:rsidP="00AF2313">
      <w:pPr>
        <w:spacing w:after="0"/>
        <w:textboxTightWrap w:val="none"/>
        <w:rPr>
          <w:rStyle w:val="Hyperlink"/>
          <w:rFonts w:eastAsia="MS Mincho"/>
          <w:noProof/>
          <w:color w:val="auto"/>
        </w:rPr>
      </w:pPr>
    </w:p>
    <w:p w14:paraId="54D7A6BA" w14:textId="77777777" w:rsidR="00143A36" w:rsidRDefault="00143A36" w:rsidP="00AF2313">
      <w:pPr>
        <w:spacing w:after="0"/>
        <w:textboxTightWrap w:val="none"/>
        <w:rPr>
          <w:rStyle w:val="Hyperlink"/>
          <w:rFonts w:eastAsia="MS Mincho"/>
          <w:noProof/>
          <w:color w:val="auto"/>
        </w:rPr>
      </w:pPr>
    </w:p>
    <w:p w14:paraId="67018BBB" w14:textId="6D94478E" w:rsidR="00B25A2E" w:rsidRDefault="00B25A2E" w:rsidP="00B25A2E">
      <w:pPr>
        <w:rPr>
          <w:b/>
          <w:bCs/>
          <w:i/>
          <w:iCs/>
          <w:color w:val="auto"/>
        </w:rPr>
      </w:pPr>
      <w:r>
        <w:rPr>
          <w:b/>
          <w:bCs/>
          <w:i/>
          <w:iCs/>
        </w:rPr>
        <w:lastRenderedPageBreak/>
        <w:t xml:space="preserve">Assessment of Quality – </w:t>
      </w:r>
      <w:r w:rsidR="003828E8">
        <w:rPr>
          <w:b/>
          <w:bCs/>
          <w:i/>
          <w:iCs/>
        </w:rPr>
        <w:t>6</w:t>
      </w:r>
      <w:r>
        <w:rPr>
          <w:b/>
          <w:bCs/>
          <w:i/>
          <w:iCs/>
        </w:rPr>
        <w:t>0% of total available marks</w:t>
      </w:r>
    </w:p>
    <w:p w14:paraId="415A691D" w14:textId="77777777" w:rsidR="00B25A2E" w:rsidRDefault="00B25A2E" w:rsidP="00B25A2E">
      <w:pPr>
        <w:rPr>
          <w:i/>
          <w:iCs/>
        </w:rPr>
      </w:pPr>
    </w:p>
    <w:p w14:paraId="447F51C1" w14:textId="77777777" w:rsidR="00B25A2E" w:rsidRDefault="00B25A2E" w:rsidP="00B25A2E">
      <w:pPr>
        <w:rPr>
          <w:i/>
          <w:iCs/>
        </w:rPr>
      </w:pPr>
      <w:r>
        <w:rPr>
          <w:i/>
          <w:iCs/>
        </w:rPr>
        <w:t xml:space="preserve">Responses will be evaluated individually by each member of the Evaluation Panel, and then as a group </w:t>
      </w:r>
      <w:proofErr w:type="gramStart"/>
      <w:r>
        <w:rPr>
          <w:i/>
          <w:iCs/>
        </w:rPr>
        <w:t>in order to</w:t>
      </w:r>
      <w:proofErr w:type="gramEnd"/>
      <w:r>
        <w:rPr>
          <w:i/>
          <w:iCs/>
        </w:rPr>
        <w:t xml:space="preserve"> arrive at a collective/consensus recommendation.</w:t>
      </w:r>
    </w:p>
    <w:p w14:paraId="6370393F" w14:textId="77777777" w:rsidR="00B25A2E" w:rsidRDefault="00B25A2E" w:rsidP="00B25A2E">
      <w:pPr>
        <w:rPr>
          <w:i/>
          <w:iCs/>
        </w:rPr>
      </w:pPr>
    </w:p>
    <w:p w14:paraId="63510172" w14:textId="77777777" w:rsidR="00B25A2E" w:rsidRDefault="00B25A2E" w:rsidP="00B25A2E">
      <w:pPr>
        <w:rPr>
          <w:i/>
          <w:iCs/>
        </w:rPr>
      </w:pPr>
      <w:r>
        <w:rPr>
          <w:i/>
          <w:iCs/>
        </w:rPr>
        <w:t>The Evaluation Panel will award marks against each of the sub-criteria stated in the evaluation criteria, as set out in the table below, all scores will be rounded up to the nearest whole number.</w:t>
      </w:r>
    </w:p>
    <w:p w14:paraId="35B17145" w14:textId="77777777" w:rsidR="00B25A2E" w:rsidRDefault="00B25A2E" w:rsidP="00B25A2E">
      <w:pPr>
        <w:rPr>
          <w:i/>
          <w:iCs/>
          <w:sz w:val="22"/>
          <w:szCs w:val="22"/>
        </w:rPr>
      </w:pPr>
    </w:p>
    <w:tbl>
      <w:tblPr>
        <w:tblW w:w="0" w:type="auto"/>
        <w:jc w:val="center"/>
        <w:tblCellMar>
          <w:left w:w="0" w:type="dxa"/>
          <w:right w:w="0" w:type="dxa"/>
        </w:tblCellMar>
        <w:tblLook w:val="04A0" w:firstRow="1" w:lastRow="0" w:firstColumn="1" w:lastColumn="0" w:noHBand="0" w:noVBand="1"/>
      </w:tblPr>
      <w:tblGrid>
        <w:gridCol w:w="1303"/>
        <w:gridCol w:w="8530"/>
      </w:tblGrid>
      <w:tr w:rsidR="00B25A2E" w14:paraId="290C451D" w14:textId="77777777" w:rsidTr="00B25A2E">
        <w:trPr>
          <w:trHeight w:val="445"/>
          <w:jc w:val="center"/>
        </w:trPr>
        <w:tc>
          <w:tcPr>
            <w:tcW w:w="1303" w:type="dxa"/>
            <w:tcBorders>
              <w:top w:val="single" w:sz="8" w:space="0" w:color="000000"/>
              <w:left w:val="single" w:sz="8" w:space="0" w:color="000000"/>
              <w:bottom w:val="nil"/>
              <w:right w:val="single" w:sz="8" w:space="0" w:color="000000"/>
            </w:tcBorders>
            <w:shd w:val="clear" w:color="auto" w:fill="D9D9D9"/>
            <w:tcMar>
              <w:top w:w="0" w:type="dxa"/>
              <w:left w:w="108" w:type="dxa"/>
              <w:bottom w:w="0" w:type="dxa"/>
              <w:right w:w="108" w:type="dxa"/>
            </w:tcMar>
            <w:hideMark/>
          </w:tcPr>
          <w:p w14:paraId="73532B65" w14:textId="77777777" w:rsidR="00B25A2E" w:rsidRDefault="00B25A2E">
            <w:pPr>
              <w:spacing w:before="120" w:after="120"/>
              <w:ind w:left="74"/>
              <w:rPr>
                <w:b/>
                <w:bCs/>
                <w:i/>
                <w:iCs/>
              </w:rPr>
            </w:pPr>
            <w:r>
              <w:rPr>
                <w:b/>
                <w:bCs/>
                <w:i/>
                <w:iCs/>
              </w:rPr>
              <w:t>Score</w:t>
            </w:r>
          </w:p>
        </w:tc>
        <w:tc>
          <w:tcPr>
            <w:tcW w:w="8530" w:type="dxa"/>
            <w:tcBorders>
              <w:top w:val="single" w:sz="8" w:space="0" w:color="000000"/>
              <w:left w:val="nil"/>
              <w:bottom w:val="nil"/>
              <w:right w:val="single" w:sz="8" w:space="0" w:color="000000"/>
            </w:tcBorders>
            <w:shd w:val="clear" w:color="auto" w:fill="D9D9D9"/>
            <w:tcMar>
              <w:top w:w="0" w:type="dxa"/>
              <w:left w:w="108" w:type="dxa"/>
              <w:bottom w:w="0" w:type="dxa"/>
              <w:right w:w="108" w:type="dxa"/>
            </w:tcMar>
            <w:hideMark/>
          </w:tcPr>
          <w:p w14:paraId="58B4BEE5" w14:textId="77777777" w:rsidR="00B25A2E" w:rsidRDefault="00B25A2E">
            <w:pPr>
              <w:spacing w:before="120" w:after="120"/>
              <w:ind w:left="74"/>
              <w:rPr>
                <w:b/>
                <w:bCs/>
                <w:i/>
                <w:iCs/>
              </w:rPr>
            </w:pPr>
            <w:r>
              <w:rPr>
                <w:b/>
                <w:bCs/>
                <w:i/>
                <w:iCs/>
              </w:rPr>
              <w:t>Description</w:t>
            </w:r>
          </w:p>
        </w:tc>
      </w:tr>
      <w:tr w:rsidR="00B25A2E" w14:paraId="0D1FCC26" w14:textId="77777777" w:rsidTr="00B25A2E">
        <w:trPr>
          <w:trHeight w:val="1136"/>
          <w:jc w:val="center"/>
        </w:trPr>
        <w:tc>
          <w:tcPr>
            <w:tcW w:w="1303" w:type="dxa"/>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14:paraId="56C42EEB"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0</w:t>
            </w:r>
          </w:p>
        </w:tc>
        <w:tc>
          <w:tcPr>
            <w:tcW w:w="8530"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3F48CEDA"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(Unacceptable): poor / incomplete response, with no confidence in delivery of requirement(s).</w:t>
            </w:r>
          </w:p>
          <w:p w14:paraId="67346719" w14:textId="77777777" w:rsidR="00B25A2E" w:rsidRDefault="00B25A2E">
            <w:pPr>
              <w:overflowPunct w:val="0"/>
              <w:autoSpaceDE w:val="0"/>
              <w:autoSpaceDN w:val="0"/>
              <w:spacing w:before="40" w:after="40"/>
              <w:ind w:right="130"/>
              <w:textAlignment w:val="baseline"/>
              <w:rPr>
                <w:i/>
                <w:iCs/>
                <w:sz w:val="22"/>
                <w:szCs w:val="22"/>
              </w:rPr>
            </w:pPr>
          </w:p>
          <w:p w14:paraId="6064051E"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78254455"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 xml:space="preserve">Serious gaps in necessary information; </w:t>
            </w:r>
          </w:p>
          <w:p w14:paraId="48BB7B6C"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Clear misunderstandings of the objectives.</w:t>
            </w:r>
          </w:p>
          <w:p w14:paraId="5B7AB287" w14:textId="77777777" w:rsidR="00B25A2E" w:rsidRDefault="00B25A2E">
            <w:pPr>
              <w:overflowPunct w:val="0"/>
              <w:autoSpaceDE w:val="0"/>
              <w:autoSpaceDN w:val="0"/>
              <w:ind w:left="357" w:right="130"/>
              <w:textAlignment w:val="baseline"/>
              <w:rPr>
                <w:i/>
                <w:iCs/>
                <w:sz w:val="22"/>
                <w:szCs w:val="22"/>
              </w:rPr>
            </w:pPr>
          </w:p>
        </w:tc>
      </w:tr>
      <w:tr w:rsidR="00B25A2E" w14:paraId="0ADD79C8" w14:textId="77777777" w:rsidTr="00B25A2E">
        <w:trPr>
          <w:trHeight w:val="1136"/>
          <w:jc w:val="center"/>
        </w:trPr>
        <w:tc>
          <w:tcPr>
            <w:tcW w:w="1303" w:type="dxa"/>
            <w:tcBorders>
              <w:top w:val="single" w:sz="8" w:space="0" w:color="000000"/>
              <w:left w:val="single" w:sz="8" w:space="0" w:color="000000"/>
              <w:bottom w:val="nil"/>
              <w:right w:val="single" w:sz="8" w:space="0" w:color="000000"/>
            </w:tcBorders>
            <w:tcMar>
              <w:top w:w="0" w:type="dxa"/>
              <w:left w:w="108" w:type="dxa"/>
              <w:bottom w:w="0" w:type="dxa"/>
              <w:right w:w="108" w:type="dxa"/>
            </w:tcMar>
            <w:vAlign w:val="center"/>
            <w:hideMark/>
          </w:tcPr>
          <w:p w14:paraId="17E77EE3"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1</w:t>
            </w:r>
          </w:p>
        </w:tc>
        <w:tc>
          <w:tcPr>
            <w:tcW w:w="8530" w:type="dxa"/>
            <w:tcBorders>
              <w:top w:val="single" w:sz="8" w:space="0" w:color="000000"/>
              <w:left w:val="nil"/>
              <w:bottom w:val="nil"/>
              <w:right w:val="single" w:sz="8" w:space="0" w:color="000000"/>
            </w:tcBorders>
            <w:tcMar>
              <w:top w:w="0" w:type="dxa"/>
              <w:left w:w="108" w:type="dxa"/>
              <w:bottom w:w="0" w:type="dxa"/>
              <w:right w:w="108" w:type="dxa"/>
            </w:tcMar>
            <w:vAlign w:val="center"/>
          </w:tcPr>
          <w:p w14:paraId="26FB7CF8"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(Major Deficiencies): lacking in substance with limited confidence of requirement(s) delivery.</w:t>
            </w:r>
          </w:p>
          <w:p w14:paraId="18F5F9E8" w14:textId="77777777" w:rsidR="00B25A2E" w:rsidRDefault="00B25A2E">
            <w:pPr>
              <w:overflowPunct w:val="0"/>
              <w:autoSpaceDE w:val="0"/>
              <w:autoSpaceDN w:val="0"/>
              <w:spacing w:before="40" w:after="40"/>
              <w:ind w:right="130"/>
              <w:textAlignment w:val="baseline"/>
              <w:rPr>
                <w:i/>
                <w:iCs/>
                <w:sz w:val="22"/>
                <w:szCs w:val="22"/>
              </w:rPr>
            </w:pPr>
          </w:p>
          <w:p w14:paraId="2F80FB85"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023DE6AD"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Low level of relevant information and detail provided; &amp;/or</w:t>
            </w:r>
          </w:p>
          <w:p w14:paraId="1BC727A8"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Concerns around the practicality, resource, methodology and expertise of the proposals.</w:t>
            </w:r>
          </w:p>
          <w:p w14:paraId="42492356" w14:textId="77777777" w:rsidR="00B25A2E" w:rsidRDefault="00B25A2E">
            <w:pPr>
              <w:overflowPunct w:val="0"/>
              <w:autoSpaceDE w:val="0"/>
              <w:autoSpaceDN w:val="0"/>
              <w:ind w:left="357" w:right="130"/>
              <w:textAlignment w:val="baseline"/>
              <w:rPr>
                <w:i/>
                <w:iCs/>
                <w:sz w:val="22"/>
                <w:szCs w:val="22"/>
              </w:rPr>
            </w:pPr>
          </w:p>
        </w:tc>
      </w:tr>
      <w:tr w:rsidR="00B25A2E" w14:paraId="0789F92D" w14:textId="77777777" w:rsidTr="00B25A2E">
        <w:trPr>
          <w:trHeight w:val="694"/>
          <w:jc w:val="center"/>
        </w:trPr>
        <w:tc>
          <w:tcPr>
            <w:tcW w:w="1303" w:type="dxa"/>
            <w:tcBorders>
              <w:top w:val="single" w:sz="8" w:space="0" w:color="000000"/>
              <w:left w:val="single" w:sz="8" w:space="0" w:color="000000"/>
              <w:bottom w:val="single" w:sz="8" w:space="0" w:color="auto"/>
              <w:right w:val="single" w:sz="8" w:space="0" w:color="000000"/>
            </w:tcBorders>
            <w:tcMar>
              <w:top w:w="0" w:type="dxa"/>
              <w:left w:w="108" w:type="dxa"/>
              <w:bottom w:w="0" w:type="dxa"/>
              <w:right w:w="108" w:type="dxa"/>
            </w:tcMar>
            <w:vAlign w:val="center"/>
            <w:hideMark/>
          </w:tcPr>
          <w:p w14:paraId="6D959178"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2</w:t>
            </w:r>
          </w:p>
        </w:tc>
        <w:tc>
          <w:tcPr>
            <w:tcW w:w="8530" w:type="dxa"/>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tcPr>
          <w:p w14:paraId="1DFAA20E"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(Weak): lacking in sufficient detail with only some confidence of adequate requirement(s) delivery.</w:t>
            </w:r>
          </w:p>
          <w:p w14:paraId="3327B77F" w14:textId="77777777" w:rsidR="00B25A2E" w:rsidRDefault="00B25A2E">
            <w:pPr>
              <w:overflowPunct w:val="0"/>
              <w:autoSpaceDE w:val="0"/>
              <w:autoSpaceDN w:val="0"/>
              <w:spacing w:before="40" w:after="40"/>
              <w:ind w:right="130"/>
              <w:textAlignment w:val="baseline"/>
              <w:rPr>
                <w:i/>
                <w:iCs/>
                <w:sz w:val="22"/>
                <w:szCs w:val="22"/>
              </w:rPr>
            </w:pPr>
          </w:p>
          <w:p w14:paraId="15B756C2"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35881F3A"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limited understanding of the objectives; &amp;/or</w:t>
            </w:r>
          </w:p>
          <w:p w14:paraId="4222CA3D"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poor methodological approach.</w:t>
            </w:r>
          </w:p>
          <w:p w14:paraId="4BB55BA7" w14:textId="77777777" w:rsidR="00B25A2E" w:rsidRDefault="00B25A2E">
            <w:pPr>
              <w:overflowPunct w:val="0"/>
              <w:autoSpaceDE w:val="0"/>
              <w:autoSpaceDN w:val="0"/>
              <w:ind w:right="130"/>
              <w:textAlignment w:val="baseline"/>
              <w:rPr>
                <w:i/>
                <w:iCs/>
                <w:sz w:val="22"/>
                <w:szCs w:val="22"/>
              </w:rPr>
            </w:pPr>
          </w:p>
        </w:tc>
      </w:tr>
      <w:tr w:rsidR="00B25A2E" w14:paraId="452B2ADD" w14:textId="77777777" w:rsidTr="00B25A2E">
        <w:trPr>
          <w:trHeight w:val="1136"/>
          <w:jc w:val="center"/>
        </w:trPr>
        <w:tc>
          <w:tcPr>
            <w:tcW w:w="1303"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5328EF37"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3</w:t>
            </w:r>
          </w:p>
        </w:tc>
        <w:tc>
          <w:tcPr>
            <w:tcW w:w="8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DEFD6"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(Minor Deficiencies): reasonable response with confidence of majority of the requirement(s) being delivered.</w:t>
            </w:r>
          </w:p>
          <w:p w14:paraId="6896E34B" w14:textId="77777777" w:rsidR="00B25A2E" w:rsidRDefault="00B25A2E">
            <w:pPr>
              <w:overflowPunct w:val="0"/>
              <w:autoSpaceDE w:val="0"/>
              <w:autoSpaceDN w:val="0"/>
              <w:spacing w:before="40" w:after="40"/>
              <w:ind w:right="130"/>
              <w:textAlignment w:val="baseline"/>
              <w:rPr>
                <w:i/>
                <w:iCs/>
                <w:sz w:val="22"/>
                <w:szCs w:val="22"/>
              </w:rPr>
            </w:pPr>
          </w:p>
          <w:p w14:paraId="7F9AAC6D"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suggests (as appropriate):</w:t>
            </w:r>
          </w:p>
          <w:p w14:paraId="6BD5DF49"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 xml:space="preserve">A reasonable level of detail with </w:t>
            </w:r>
            <w:proofErr w:type="gramStart"/>
            <w:r>
              <w:rPr>
                <w:i/>
                <w:iCs/>
                <w:sz w:val="22"/>
                <w:szCs w:val="22"/>
              </w:rPr>
              <w:t>an understandings of the objectives</w:t>
            </w:r>
            <w:proofErr w:type="gramEnd"/>
            <w:r>
              <w:rPr>
                <w:i/>
                <w:iCs/>
                <w:sz w:val="22"/>
                <w:szCs w:val="22"/>
              </w:rPr>
              <w:t>; &amp;/or</w:t>
            </w:r>
          </w:p>
          <w:p w14:paraId="06E3DFF2"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reasonable, appropriate and methodical approach.</w:t>
            </w:r>
          </w:p>
          <w:p w14:paraId="6F12F418" w14:textId="77777777" w:rsidR="00B25A2E" w:rsidRDefault="00B25A2E">
            <w:pPr>
              <w:overflowPunct w:val="0"/>
              <w:autoSpaceDE w:val="0"/>
              <w:autoSpaceDN w:val="0"/>
              <w:ind w:left="357" w:right="130"/>
              <w:textAlignment w:val="baseline"/>
              <w:rPr>
                <w:i/>
                <w:iCs/>
                <w:sz w:val="22"/>
                <w:szCs w:val="22"/>
              </w:rPr>
            </w:pPr>
          </w:p>
        </w:tc>
      </w:tr>
      <w:tr w:rsidR="00B25A2E" w14:paraId="6DAB90F3" w14:textId="77777777" w:rsidTr="00B25A2E">
        <w:trPr>
          <w:trHeight w:val="1136"/>
          <w:jc w:val="center"/>
        </w:trPr>
        <w:tc>
          <w:tcPr>
            <w:tcW w:w="1303"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24183ABA" w14:textId="77777777" w:rsidR="00B25A2E" w:rsidRDefault="00B25A2E">
            <w:pPr>
              <w:overflowPunct w:val="0"/>
              <w:autoSpaceDE w:val="0"/>
              <w:autoSpaceDN w:val="0"/>
              <w:spacing w:before="40" w:after="40"/>
              <w:ind w:right="130"/>
              <w:jc w:val="center"/>
              <w:textAlignment w:val="baseline"/>
              <w:rPr>
                <w:i/>
                <w:iCs/>
                <w:sz w:val="22"/>
                <w:szCs w:val="22"/>
              </w:rPr>
            </w:pPr>
            <w:r>
              <w:rPr>
                <w:i/>
                <w:iCs/>
                <w:sz w:val="22"/>
                <w:szCs w:val="22"/>
              </w:rPr>
              <w:t>4</w:t>
            </w:r>
          </w:p>
        </w:tc>
        <w:tc>
          <w:tcPr>
            <w:tcW w:w="8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91AE43"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(Good): good response with confidence of full requirement(s) delivery.</w:t>
            </w:r>
          </w:p>
          <w:p w14:paraId="7FD71F1F" w14:textId="77777777" w:rsidR="00B25A2E" w:rsidRDefault="00B25A2E">
            <w:pPr>
              <w:overflowPunct w:val="0"/>
              <w:autoSpaceDE w:val="0"/>
              <w:autoSpaceDN w:val="0"/>
              <w:spacing w:before="40" w:after="40"/>
              <w:ind w:right="130"/>
              <w:textAlignment w:val="baseline"/>
              <w:rPr>
                <w:i/>
                <w:iCs/>
                <w:sz w:val="22"/>
                <w:szCs w:val="22"/>
              </w:rPr>
            </w:pPr>
          </w:p>
          <w:p w14:paraId="7AD1DFD8" w14:textId="77777777" w:rsidR="00B25A2E" w:rsidRDefault="00B25A2E">
            <w:pPr>
              <w:overflowPunct w:val="0"/>
              <w:autoSpaceDE w:val="0"/>
              <w:autoSpaceDN w:val="0"/>
              <w:spacing w:before="40" w:after="40"/>
              <w:ind w:right="130"/>
              <w:textAlignment w:val="baseline"/>
              <w:rPr>
                <w:i/>
                <w:iCs/>
                <w:sz w:val="22"/>
                <w:szCs w:val="22"/>
              </w:rPr>
            </w:pPr>
            <w:r>
              <w:rPr>
                <w:i/>
                <w:iCs/>
                <w:sz w:val="22"/>
                <w:szCs w:val="22"/>
              </w:rPr>
              <w:t>The evidence offered demonstrates (as appropriate):</w:t>
            </w:r>
          </w:p>
          <w:p w14:paraId="60855DC6"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 thorough understanding of the Authority’s requirements; &amp;/or</w:t>
            </w:r>
          </w:p>
          <w:p w14:paraId="776B5BF4" w14:textId="77777777"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Appropriate risk management and mitigation strategies; &amp;/or</w:t>
            </w:r>
          </w:p>
          <w:p w14:paraId="40A0A375" w14:textId="14C7D389" w:rsidR="00B25A2E" w:rsidRDefault="00B25A2E" w:rsidP="00B25A2E">
            <w:pPr>
              <w:numPr>
                <w:ilvl w:val="0"/>
                <w:numId w:val="7"/>
              </w:numPr>
              <w:overflowPunct w:val="0"/>
              <w:autoSpaceDE w:val="0"/>
              <w:autoSpaceDN w:val="0"/>
              <w:spacing w:after="0"/>
              <w:ind w:left="357" w:right="130" w:hanging="357"/>
              <w:textAlignment w:val="baseline"/>
              <w:textboxTightWrap w:val="none"/>
              <w:rPr>
                <w:i/>
                <w:iCs/>
                <w:sz w:val="22"/>
                <w:szCs w:val="22"/>
              </w:rPr>
            </w:pPr>
            <w:r>
              <w:rPr>
                <w:i/>
                <w:iCs/>
                <w:sz w:val="22"/>
                <w:szCs w:val="22"/>
              </w:rPr>
              <w:t>Suitable quality assurance processes and procedures.</w:t>
            </w:r>
          </w:p>
        </w:tc>
      </w:tr>
    </w:tbl>
    <w:p w14:paraId="69E4A51F" w14:textId="77777777" w:rsidR="00B25A2E" w:rsidRDefault="00B25A2E" w:rsidP="00B25A2E">
      <w:pPr>
        <w:rPr>
          <w:rFonts w:eastAsiaTheme="minorHAnsi" w:cs="Arial"/>
          <w:i/>
          <w:iCs/>
        </w:rPr>
      </w:pPr>
    </w:p>
    <w:p w14:paraId="039F975E" w14:textId="76FFB741" w:rsidR="00B25A2E" w:rsidRDefault="00B25A2E" w:rsidP="00B25A2E">
      <w:pPr>
        <w:rPr>
          <w:b/>
          <w:bCs/>
          <w:i/>
          <w:iCs/>
        </w:rPr>
      </w:pPr>
      <w:r>
        <w:rPr>
          <w:b/>
          <w:bCs/>
          <w:i/>
          <w:iCs/>
        </w:rPr>
        <w:lastRenderedPageBreak/>
        <w:t xml:space="preserve">Assessment of </w:t>
      </w:r>
      <w:r w:rsidR="003828E8">
        <w:rPr>
          <w:b/>
          <w:bCs/>
          <w:i/>
          <w:iCs/>
        </w:rPr>
        <w:t>Price – 4</w:t>
      </w:r>
      <w:r>
        <w:rPr>
          <w:b/>
          <w:bCs/>
          <w:i/>
          <w:iCs/>
        </w:rPr>
        <w:t>0% of total available marks</w:t>
      </w:r>
    </w:p>
    <w:p w14:paraId="1C7EA35A" w14:textId="77777777" w:rsidR="00B25A2E" w:rsidRDefault="00B25A2E" w:rsidP="00B25A2E">
      <w:pPr>
        <w:rPr>
          <w:i/>
          <w:iCs/>
        </w:rPr>
      </w:pPr>
    </w:p>
    <w:p w14:paraId="414D81FF" w14:textId="77777777" w:rsidR="00B25A2E" w:rsidRDefault="00B25A2E" w:rsidP="00B25A2E">
      <w:pPr>
        <w:rPr>
          <w:i/>
          <w:iCs/>
        </w:rPr>
      </w:pPr>
      <w:r>
        <w:rPr>
          <w:i/>
          <w:iCs/>
        </w:rPr>
        <w:t xml:space="preserve">The respondent who submits the lowest price will be awarded 100% of the available marks for price.  A calculation will then assess by how much each of the other Responses exceed this lowest price and each Respondent will be awarded marks available for price in relation to the lowest priced response. </w:t>
      </w:r>
    </w:p>
    <w:p w14:paraId="5580E65B" w14:textId="77777777" w:rsidR="00B25A2E" w:rsidRDefault="00B25A2E" w:rsidP="00B25A2E">
      <w:pPr>
        <w:rPr>
          <w:i/>
          <w:iCs/>
        </w:rPr>
      </w:pPr>
    </w:p>
    <w:p w14:paraId="4D121F47" w14:textId="77777777" w:rsidR="00B25A2E" w:rsidRDefault="00B25A2E" w:rsidP="00B25A2E">
      <w:pPr>
        <w:rPr>
          <w:i/>
          <w:iCs/>
        </w:rPr>
      </w:pPr>
      <w:r>
        <w:rPr>
          <w:i/>
          <w:iCs/>
        </w:rPr>
        <w:t xml:space="preserve">The calculation will be carried out on the following basis. The lowest price offered will be awarded 100% of the available marks. All other proposals will then score 100% of the available marks less the percentage of available marks by which their price exceeds the lowest price offered. All proposals that are 100% or more </w:t>
      </w:r>
      <w:proofErr w:type="gramStart"/>
      <w:r>
        <w:rPr>
          <w:i/>
          <w:iCs/>
        </w:rPr>
        <w:t>in excess of</w:t>
      </w:r>
      <w:proofErr w:type="gramEnd"/>
      <w:r>
        <w:rPr>
          <w:i/>
          <w:iCs/>
        </w:rPr>
        <w:t xml:space="preserve"> the lowest response shall be awarded a zero for price.</w:t>
      </w:r>
    </w:p>
    <w:p w14:paraId="4B46C80D" w14:textId="77777777" w:rsidR="00B25A2E" w:rsidRDefault="00B25A2E" w:rsidP="00B25A2E">
      <w:pPr>
        <w:rPr>
          <w:i/>
          <w:iCs/>
        </w:rPr>
      </w:pPr>
    </w:p>
    <w:p w14:paraId="75756BB8" w14:textId="77777777" w:rsidR="00B25A2E" w:rsidRDefault="00B25A2E" w:rsidP="00B25A2E">
      <w:pPr>
        <w:rPr>
          <w:i/>
          <w:iCs/>
        </w:rPr>
      </w:pPr>
      <w:r>
        <w:rPr>
          <w:i/>
          <w:iCs/>
        </w:rPr>
        <w:t>All marks will be rounded up to the nearest whole number.</w:t>
      </w:r>
    </w:p>
    <w:p w14:paraId="34B2593F" w14:textId="77777777" w:rsidR="00B25A2E" w:rsidRDefault="00B25A2E" w:rsidP="00B25A2E">
      <w:pPr>
        <w:rPr>
          <w:i/>
          <w:iCs/>
        </w:rPr>
      </w:pPr>
    </w:p>
    <w:p w14:paraId="391692D7" w14:textId="77777777" w:rsidR="00B25A2E" w:rsidRDefault="00B25A2E" w:rsidP="00B25A2E">
      <w:pPr>
        <w:rPr>
          <w:b/>
          <w:bCs/>
          <w:i/>
          <w:iCs/>
        </w:rPr>
      </w:pPr>
      <w:r>
        <w:rPr>
          <w:b/>
          <w:bCs/>
          <w:i/>
          <w:iCs/>
        </w:rPr>
        <w:t>Combining Quality and Price scores</w:t>
      </w:r>
    </w:p>
    <w:p w14:paraId="320C0A7D" w14:textId="77777777" w:rsidR="00B25A2E" w:rsidRDefault="00B25A2E" w:rsidP="00B25A2E">
      <w:pPr>
        <w:rPr>
          <w:i/>
          <w:iCs/>
        </w:rPr>
      </w:pPr>
    </w:p>
    <w:p w14:paraId="12FB22B9" w14:textId="69BC9B4A" w:rsidR="00B25A2E" w:rsidRDefault="00B25A2E" w:rsidP="00B25A2E">
      <w:pPr>
        <w:rPr>
          <w:i/>
          <w:iCs/>
        </w:rPr>
      </w:pPr>
      <w:r>
        <w:rPr>
          <w:i/>
          <w:iCs/>
        </w:rPr>
        <w:t>The individual quality and price marks will then be converted into per</w:t>
      </w:r>
      <w:r w:rsidR="003828E8">
        <w:rPr>
          <w:i/>
          <w:iCs/>
        </w:rPr>
        <w:t>centage scores by applying the 60% Quality / 4</w:t>
      </w:r>
      <w:r>
        <w:rPr>
          <w:i/>
          <w:iCs/>
        </w:rPr>
        <w:t xml:space="preserve">0% Price weighting. </w:t>
      </w:r>
    </w:p>
    <w:p w14:paraId="476FC75B" w14:textId="77777777" w:rsidR="00B25A2E" w:rsidRDefault="00B25A2E" w:rsidP="00B25A2E">
      <w:pPr>
        <w:rPr>
          <w:i/>
          <w:iCs/>
        </w:rPr>
      </w:pPr>
    </w:p>
    <w:p w14:paraId="263FD816" w14:textId="77777777" w:rsidR="00B25A2E" w:rsidRDefault="00B25A2E" w:rsidP="00B25A2E">
      <w:pPr>
        <w:rPr>
          <w:i/>
          <w:iCs/>
        </w:rPr>
      </w:pPr>
      <w:r>
        <w:rPr>
          <w:i/>
          <w:iCs/>
        </w:rPr>
        <w:t>These percentage scores will be calculated to one decimal place and then added together to give the final percentage score.</w:t>
      </w:r>
    </w:p>
    <w:p w14:paraId="7A51784A" w14:textId="77777777" w:rsidR="00B25A2E" w:rsidRDefault="00B25A2E" w:rsidP="00B25A2E">
      <w:pPr>
        <w:rPr>
          <w:i/>
          <w:iCs/>
        </w:rPr>
      </w:pPr>
    </w:p>
    <w:p w14:paraId="2280A6D8" w14:textId="77777777" w:rsidR="00B25A2E" w:rsidRDefault="00B25A2E" w:rsidP="00B25A2E">
      <w:pPr>
        <w:rPr>
          <w:i/>
          <w:iCs/>
        </w:rPr>
      </w:pPr>
      <w:r>
        <w:rPr>
          <w:i/>
          <w:iCs/>
        </w:rPr>
        <w:t>In the event of two or more suppliers having the same percentage score the contract will be awarded to the supplier who scored the highest quality score</w:t>
      </w:r>
    </w:p>
    <w:p w14:paraId="3C8D7EF7" w14:textId="77777777" w:rsidR="00B25A2E" w:rsidRDefault="00B25A2E" w:rsidP="00B25A2E">
      <w:pPr>
        <w:rPr>
          <w:i/>
          <w:iCs/>
          <w:sz w:val="20"/>
          <w:szCs w:val="20"/>
        </w:rPr>
      </w:pPr>
    </w:p>
    <w:p w14:paraId="1B4CA30C" w14:textId="77777777" w:rsidR="00B25A2E" w:rsidRDefault="00B25A2E" w:rsidP="00B25A2E">
      <w:pPr>
        <w:spacing w:after="120"/>
        <w:jc w:val="both"/>
        <w:rPr>
          <w:b/>
          <w:bCs/>
          <w:i/>
          <w:iCs/>
        </w:rPr>
      </w:pPr>
      <w:r>
        <w:rPr>
          <w:b/>
          <w:bCs/>
          <w:i/>
          <w:iCs/>
        </w:rPr>
        <w:t xml:space="preserve">A worked example of the evaluation scoring mechanism </w:t>
      </w:r>
    </w:p>
    <w:p w14:paraId="6617CA9D" w14:textId="77777777" w:rsidR="00B25A2E" w:rsidRDefault="00B25A2E" w:rsidP="00B25A2E">
      <w:pPr>
        <w:spacing w:after="120"/>
        <w:jc w:val="both"/>
        <w:rPr>
          <w:b/>
          <w:bCs/>
          <w:i/>
          <w:iCs/>
        </w:rPr>
      </w:pPr>
      <w:r>
        <w:rPr>
          <w:b/>
          <w:bCs/>
          <w:i/>
          <w:iCs/>
        </w:rPr>
        <w:t>Table 1 - Quality Assessment</w:t>
      </w:r>
    </w:p>
    <w:tbl>
      <w:tblPr>
        <w:tblW w:w="10080" w:type="dxa"/>
        <w:jc w:val="center"/>
        <w:tblCellMar>
          <w:left w:w="0" w:type="dxa"/>
          <w:right w:w="0" w:type="dxa"/>
        </w:tblCellMar>
        <w:tblLook w:val="04A0" w:firstRow="1" w:lastRow="0" w:firstColumn="1" w:lastColumn="0" w:noHBand="0" w:noVBand="1"/>
      </w:tblPr>
      <w:tblGrid>
        <w:gridCol w:w="2160"/>
        <w:gridCol w:w="3060"/>
        <w:gridCol w:w="4860"/>
      </w:tblGrid>
      <w:tr w:rsidR="00B25A2E" w14:paraId="5B48CBCA" w14:textId="77777777" w:rsidTr="00B25A2E">
        <w:trPr>
          <w:trHeight w:val="914"/>
          <w:jc w:val="center"/>
        </w:trPr>
        <w:tc>
          <w:tcPr>
            <w:tcW w:w="21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9C4DF46" w14:textId="77777777" w:rsidR="00B25A2E" w:rsidRDefault="00B25A2E">
            <w:pPr>
              <w:spacing w:after="120"/>
              <w:jc w:val="center"/>
              <w:rPr>
                <w:b/>
                <w:bCs/>
                <w:i/>
                <w:iCs/>
              </w:rPr>
            </w:pPr>
            <w:r>
              <w:rPr>
                <w:b/>
                <w:bCs/>
                <w:i/>
                <w:iCs/>
              </w:rPr>
              <w:t>Supplier</w:t>
            </w:r>
          </w:p>
        </w:tc>
        <w:tc>
          <w:tcPr>
            <w:tcW w:w="30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0B64C08" w14:textId="77777777" w:rsidR="00B25A2E" w:rsidRDefault="00B25A2E">
            <w:pPr>
              <w:spacing w:after="120"/>
              <w:jc w:val="center"/>
              <w:rPr>
                <w:b/>
                <w:bCs/>
                <w:i/>
                <w:iCs/>
              </w:rPr>
            </w:pPr>
            <w:r>
              <w:rPr>
                <w:b/>
                <w:bCs/>
                <w:i/>
                <w:iCs/>
              </w:rPr>
              <w:t>Total Quality Score Achieved</w:t>
            </w:r>
          </w:p>
          <w:p w14:paraId="7C8FB34F" w14:textId="77777777" w:rsidR="00B25A2E" w:rsidRDefault="00B25A2E">
            <w:pPr>
              <w:spacing w:after="120"/>
              <w:jc w:val="center"/>
              <w:rPr>
                <w:b/>
                <w:bCs/>
                <w:i/>
                <w:iCs/>
                <w:sz w:val="20"/>
                <w:szCs w:val="20"/>
              </w:rPr>
            </w:pPr>
            <w:r>
              <w:rPr>
                <w:b/>
                <w:bCs/>
                <w:i/>
                <w:iCs/>
                <w:sz w:val="20"/>
                <w:szCs w:val="20"/>
              </w:rPr>
              <w:t>(from an available 270 marks)</w:t>
            </w:r>
          </w:p>
        </w:tc>
        <w:tc>
          <w:tcPr>
            <w:tcW w:w="486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FDEC6D3" w14:textId="77777777" w:rsidR="00B25A2E" w:rsidRDefault="00B25A2E">
            <w:pPr>
              <w:spacing w:after="120"/>
              <w:jc w:val="center"/>
              <w:rPr>
                <w:b/>
                <w:bCs/>
                <w:i/>
                <w:iCs/>
              </w:rPr>
            </w:pPr>
            <w:r>
              <w:rPr>
                <w:b/>
                <w:bCs/>
                <w:i/>
                <w:iCs/>
              </w:rPr>
              <w:t>Quality Mark</w:t>
            </w:r>
          </w:p>
          <w:p w14:paraId="107E6080" w14:textId="77777777" w:rsidR="00B25A2E" w:rsidRDefault="00B25A2E">
            <w:pPr>
              <w:spacing w:after="120"/>
              <w:jc w:val="center"/>
              <w:rPr>
                <w:b/>
                <w:bCs/>
                <w:i/>
                <w:iCs/>
                <w:sz w:val="20"/>
                <w:szCs w:val="20"/>
              </w:rPr>
            </w:pPr>
            <w:r>
              <w:rPr>
                <w:b/>
                <w:bCs/>
                <w:i/>
                <w:iCs/>
                <w:sz w:val="20"/>
                <w:szCs w:val="20"/>
              </w:rPr>
              <w:t>(to 1 Decimal Place)</w:t>
            </w:r>
          </w:p>
        </w:tc>
      </w:tr>
      <w:tr w:rsidR="00B25A2E" w14:paraId="7D547722" w14:textId="77777777" w:rsidTr="00B25A2E">
        <w:trPr>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EF48E" w14:textId="77777777" w:rsidR="00B25A2E" w:rsidRDefault="00B25A2E">
            <w:pPr>
              <w:spacing w:after="120"/>
              <w:jc w:val="center"/>
              <w:rPr>
                <w:i/>
                <w:iCs/>
              </w:rPr>
            </w:pPr>
            <w:r>
              <w:rPr>
                <w:i/>
                <w:iCs/>
              </w:rPr>
              <w:t>A</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2B89BD7" w14:textId="77777777" w:rsidR="00B25A2E" w:rsidRDefault="00B25A2E">
            <w:pPr>
              <w:spacing w:after="120"/>
              <w:jc w:val="center"/>
              <w:rPr>
                <w:i/>
                <w:iCs/>
              </w:rPr>
            </w:pPr>
            <w:r>
              <w:rPr>
                <w:i/>
                <w:iCs/>
              </w:rPr>
              <w:t>223</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F3F600C" w14:textId="77777777" w:rsidR="00B25A2E" w:rsidRDefault="00B25A2E">
            <w:pPr>
              <w:spacing w:after="120"/>
              <w:jc w:val="center"/>
              <w:rPr>
                <w:i/>
                <w:iCs/>
              </w:rPr>
            </w:pPr>
            <w:r>
              <w:rPr>
                <w:i/>
                <w:iCs/>
              </w:rPr>
              <w:t xml:space="preserve">82.6 </w:t>
            </w:r>
            <w:r>
              <w:rPr>
                <w:i/>
                <w:iCs/>
                <w:sz w:val="20"/>
                <w:szCs w:val="20"/>
              </w:rPr>
              <w:t>(223*100/270)</w:t>
            </w:r>
          </w:p>
        </w:tc>
      </w:tr>
      <w:tr w:rsidR="00B25A2E" w14:paraId="5631B40E" w14:textId="77777777" w:rsidTr="00B25A2E">
        <w:trPr>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B5E32" w14:textId="77777777" w:rsidR="00B25A2E" w:rsidRDefault="00B25A2E">
            <w:pPr>
              <w:spacing w:after="120"/>
              <w:jc w:val="center"/>
              <w:rPr>
                <w:i/>
                <w:iCs/>
              </w:rPr>
            </w:pPr>
            <w:r>
              <w:rPr>
                <w:i/>
                <w:iCs/>
              </w:rPr>
              <w:t>B</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2E096DF8" w14:textId="77777777" w:rsidR="00B25A2E" w:rsidRDefault="00B25A2E">
            <w:pPr>
              <w:spacing w:after="120"/>
              <w:jc w:val="center"/>
              <w:rPr>
                <w:i/>
                <w:iCs/>
              </w:rPr>
            </w:pPr>
            <w:r>
              <w:rPr>
                <w:i/>
                <w:iCs/>
              </w:rPr>
              <w:t>200</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3ACC99B6" w14:textId="77777777" w:rsidR="00B25A2E" w:rsidRDefault="00B25A2E">
            <w:pPr>
              <w:spacing w:after="120"/>
              <w:jc w:val="center"/>
              <w:rPr>
                <w:i/>
                <w:iCs/>
              </w:rPr>
            </w:pPr>
            <w:r>
              <w:rPr>
                <w:i/>
                <w:iCs/>
              </w:rPr>
              <w:t xml:space="preserve">74.1 </w:t>
            </w:r>
            <w:r>
              <w:rPr>
                <w:i/>
                <w:iCs/>
                <w:sz w:val="20"/>
                <w:szCs w:val="20"/>
              </w:rPr>
              <w:t>(200*100/270)</w:t>
            </w:r>
          </w:p>
        </w:tc>
      </w:tr>
      <w:tr w:rsidR="00B25A2E" w14:paraId="404D854A" w14:textId="77777777" w:rsidTr="00B25A2E">
        <w:trPr>
          <w:jc w:val="center"/>
        </w:trPr>
        <w:tc>
          <w:tcPr>
            <w:tcW w:w="21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56E3A" w14:textId="77777777" w:rsidR="00B25A2E" w:rsidRDefault="00B25A2E">
            <w:pPr>
              <w:spacing w:after="120"/>
              <w:jc w:val="center"/>
              <w:rPr>
                <w:i/>
                <w:iCs/>
              </w:rPr>
            </w:pPr>
            <w:r>
              <w:rPr>
                <w:i/>
                <w:iCs/>
              </w:rPr>
              <w:t>C</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5F28B8C" w14:textId="77777777" w:rsidR="00B25A2E" w:rsidRDefault="00B25A2E">
            <w:pPr>
              <w:spacing w:after="120"/>
              <w:jc w:val="center"/>
              <w:rPr>
                <w:i/>
                <w:iCs/>
              </w:rPr>
            </w:pPr>
            <w:r>
              <w:rPr>
                <w:i/>
                <w:iCs/>
              </w:rPr>
              <w:t>180</w:t>
            </w:r>
          </w:p>
        </w:tc>
        <w:tc>
          <w:tcPr>
            <w:tcW w:w="4860" w:type="dxa"/>
            <w:tcBorders>
              <w:top w:val="nil"/>
              <w:left w:val="nil"/>
              <w:bottom w:val="single" w:sz="8" w:space="0" w:color="auto"/>
              <w:right w:val="single" w:sz="8" w:space="0" w:color="auto"/>
            </w:tcBorders>
            <w:tcMar>
              <w:top w:w="0" w:type="dxa"/>
              <w:left w:w="108" w:type="dxa"/>
              <w:bottom w:w="0" w:type="dxa"/>
              <w:right w:w="108" w:type="dxa"/>
            </w:tcMar>
            <w:hideMark/>
          </w:tcPr>
          <w:p w14:paraId="54E069F3" w14:textId="77777777" w:rsidR="00B25A2E" w:rsidRDefault="00B25A2E">
            <w:pPr>
              <w:spacing w:after="120"/>
              <w:jc w:val="center"/>
              <w:rPr>
                <w:i/>
                <w:iCs/>
              </w:rPr>
            </w:pPr>
            <w:r>
              <w:rPr>
                <w:i/>
                <w:iCs/>
              </w:rPr>
              <w:t xml:space="preserve">66.7 </w:t>
            </w:r>
            <w:r>
              <w:rPr>
                <w:i/>
                <w:iCs/>
                <w:sz w:val="20"/>
                <w:szCs w:val="20"/>
              </w:rPr>
              <w:t>(180*100/270)</w:t>
            </w:r>
          </w:p>
        </w:tc>
      </w:tr>
    </w:tbl>
    <w:p w14:paraId="78FF44F1" w14:textId="77777777" w:rsidR="00B25A2E" w:rsidRDefault="00B25A2E" w:rsidP="00B25A2E">
      <w:pPr>
        <w:spacing w:after="120"/>
        <w:ind w:left="770" w:hanging="770"/>
        <w:jc w:val="both"/>
        <w:rPr>
          <w:rFonts w:eastAsiaTheme="minorHAnsi" w:cs="Arial"/>
          <w:b/>
          <w:bCs/>
          <w:i/>
          <w:iCs/>
        </w:rPr>
      </w:pPr>
    </w:p>
    <w:p w14:paraId="7404C251" w14:textId="77777777" w:rsidR="00B25A2E" w:rsidRDefault="00B25A2E" w:rsidP="00B25A2E">
      <w:pPr>
        <w:spacing w:after="120"/>
        <w:jc w:val="both"/>
        <w:rPr>
          <w:b/>
          <w:bCs/>
          <w:i/>
          <w:iCs/>
        </w:rPr>
      </w:pPr>
      <w:r>
        <w:rPr>
          <w:b/>
          <w:bCs/>
          <w:i/>
          <w:iCs/>
        </w:rPr>
        <w:t>Table 2 - Financial Assessment</w:t>
      </w:r>
    </w:p>
    <w:tbl>
      <w:tblPr>
        <w:tblW w:w="10080" w:type="dxa"/>
        <w:jc w:val="center"/>
        <w:tblCellMar>
          <w:left w:w="0" w:type="dxa"/>
          <w:right w:w="0" w:type="dxa"/>
        </w:tblCellMar>
        <w:tblLook w:val="04A0" w:firstRow="1" w:lastRow="0" w:firstColumn="1" w:lastColumn="0" w:noHBand="0" w:noVBand="1"/>
      </w:tblPr>
      <w:tblGrid>
        <w:gridCol w:w="1672"/>
        <w:gridCol w:w="1482"/>
        <w:gridCol w:w="2782"/>
        <w:gridCol w:w="4144"/>
      </w:tblGrid>
      <w:tr w:rsidR="00B25A2E" w14:paraId="080EA583" w14:textId="77777777" w:rsidTr="00B25A2E">
        <w:trPr>
          <w:trHeight w:val="1067"/>
          <w:jc w:val="center"/>
        </w:trPr>
        <w:tc>
          <w:tcPr>
            <w:tcW w:w="167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9F8580" w14:textId="77777777" w:rsidR="00B25A2E" w:rsidRDefault="00B25A2E">
            <w:pPr>
              <w:jc w:val="center"/>
              <w:rPr>
                <w:b/>
                <w:bCs/>
                <w:i/>
                <w:iCs/>
              </w:rPr>
            </w:pPr>
            <w:r>
              <w:rPr>
                <w:b/>
                <w:bCs/>
                <w:i/>
                <w:iCs/>
              </w:rPr>
              <w:t>Supplier</w:t>
            </w:r>
          </w:p>
        </w:tc>
        <w:tc>
          <w:tcPr>
            <w:tcW w:w="14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3D164E2" w14:textId="77777777" w:rsidR="00B25A2E" w:rsidRDefault="00B25A2E">
            <w:pPr>
              <w:jc w:val="center"/>
              <w:rPr>
                <w:b/>
                <w:bCs/>
                <w:i/>
                <w:iCs/>
              </w:rPr>
            </w:pPr>
            <w:r>
              <w:rPr>
                <w:b/>
                <w:bCs/>
                <w:i/>
                <w:iCs/>
              </w:rPr>
              <w:t>Price Offered</w:t>
            </w:r>
          </w:p>
        </w:tc>
        <w:tc>
          <w:tcPr>
            <w:tcW w:w="278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317DC70" w14:textId="77777777" w:rsidR="00B25A2E" w:rsidRDefault="00B25A2E">
            <w:pPr>
              <w:jc w:val="center"/>
              <w:rPr>
                <w:b/>
                <w:bCs/>
                <w:i/>
                <w:iCs/>
              </w:rPr>
            </w:pPr>
            <w:r>
              <w:rPr>
                <w:b/>
                <w:bCs/>
                <w:i/>
                <w:iCs/>
              </w:rPr>
              <w:t>Financial Mark Deduction</w:t>
            </w:r>
          </w:p>
          <w:p w14:paraId="15708038" w14:textId="77777777" w:rsidR="00B25A2E" w:rsidRDefault="00B25A2E">
            <w:pPr>
              <w:jc w:val="center"/>
              <w:rPr>
                <w:b/>
                <w:bCs/>
                <w:i/>
                <w:iCs/>
                <w:sz w:val="20"/>
                <w:szCs w:val="20"/>
              </w:rPr>
            </w:pPr>
            <w:r>
              <w:rPr>
                <w:b/>
                <w:bCs/>
                <w:i/>
                <w:iCs/>
                <w:sz w:val="20"/>
                <w:szCs w:val="20"/>
              </w:rPr>
              <w:t xml:space="preserve">(one mark deducted for each percentage point by </w:t>
            </w:r>
            <w:r>
              <w:rPr>
                <w:b/>
                <w:bCs/>
                <w:i/>
                <w:iCs/>
                <w:sz w:val="20"/>
                <w:szCs w:val="20"/>
              </w:rPr>
              <w:lastRenderedPageBreak/>
              <w:t>which the total exceeds that of the lowest)</w:t>
            </w:r>
          </w:p>
        </w:tc>
        <w:tc>
          <w:tcPr>
            <w:tcW w:w="41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7F39B6B" w14:textId="77777777" w:rsidR="00B25A2E" w:rsidRDefault="00B25A2E">
            <w:pPr>
              <w:jc w:val="center"/>
              <w:rPr>
                <w:b/>
                <w:bCs/>
                <w:i/>
                <w:iCs/>
              </w:rPr>
            </w:pPr>
            <w:r>
              <w:rPr>
                <w:b/>
                <w:bCs/>
                <w:i/>
                <w:iCs/>
              </w:rPr>
              <w:lastRenderedPageBreak/>
              <w:t>Financial Mark</w:t>
            </w:r>
          </w:p>
          <w:p w14:paraId="779E1EC0" w14:textId="77777777" w:rsidR="00B25A2E" w:rsidRDefault="00B25A2E">
            <w:pPr>
              <w:jc w:val="center"/>
              <w:rPr>
                <w:b/>
                <w:bCs/>
                <w:i/>
                <w:iCs/>
                <w:sz w:val="20"/>
                <w:szCs w:val="20"/>
              </w:rPr>
            </w:pPr>
            <w:r>
              <w:rPr>
                <w:b/>
                <w:bCs/>
                <w:i/>
                <w:iCs/>
                <w:sz w:val="20"/>
                <w:szCs w:val="20"/>
              </w:rPr>
              <w:t>(to 1 Decimal Place)</w:t>
            </w:r>
          </w:p>
        </w:tc>
      </w:tr>
      <w:tr w:rsidR="00B25A2E" w14:paraId="199F20DE" w14:textId="77777777" w:rsidTr="00B25A2E">
        <w:trPr>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04C83" w14:textId="77777777" w:rsidR="00B25A2E" w:rsidRDefault="00B25A2E">
            <w:pPr>
              <w:jc w:val="center"/>
              <w:rPr>
                <w:i/>
                <w:iCs/>
              </w:rPr>
            </w:pPr>
            <w:r>
              <w:rPr>
                <w:i/>
                <w:iCs/>
              </w:rPr>
              <w:t>A</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14:paraId="01B400BB" w14:textId="77777777" w:rsidR="00B25A2E" w:rsidRDefault="00B25A2E">
            <w:pPr>
              <w:jc w:val="center"/>
              <w:rPr>
                <w:i/>
                <w:iCs/>
              </w:rPr>
            </w:pPr>
            <w:r>
              <w:rPr>
                <w:i/>
                <w:iCs/>
              </w:rPr>
              <w:t>£91,494</w:t>
            </w:r>
          </w:p>
        </w:tc>
        <w:tc>
          <w:tcPr>
            <w:tcW w:w="2782" w:type="dxa"/>
            <w:tcBorders>
              <w:top w:val="nil"/>
              <w:left w:val="nil"/>
              <w:bottom w:val="single" w:sz="8" w:space="0" w:color="auto"/>
              <w:right w:val="single" w:sz="8" w:space="0" w:color="auto"/>
            </w:tcBorders>
            <w:tcMar>
              <w:top w:w="0" w:type="dxa"/>
              <w:left w:w="108" w:type="dxa"/>
              <w:bottom w:w="0" w:type="dxa"/>
              <w:right w:w="108" w:type="dxa"/>
            </w:tcMar>
            <w:hideMark/>
          </w:tcPr>
          <w:p w14:paraId="718CAFD1" w14:textId="77777777" w:rsidR="00B25A2E" w:rsidRDefault="00B25A2E">
            <w:pPr>
              <w:jc w:val="center"/>
              <w:rPr>
                <w:i/>
                <w:iCs/>
              </w:rPr>
            </w:pPr>
            <w:r>
              <w:rPr>
                <w:i/>
                <w:iCs/>
              </w:rPr>
              <w:t>8.9</w:t>
            </w:r>
          </w:p>
          <w:p w14:paraId="3D41D35F" w14:textId="77777777" w:rsidR="00B25A2E" w:rsidRDefault="00B25A2E">
            <w:pPr>
              <w:jc w:val="center"/>
              <w:rPr>
                <w:i/>
                <w:iCs/>
                <w:sz w:val="20"/>
                <w:szCs w:val="20"/>
              </w:rPr>
            </w:pPr>
            <w:r>
              <w:rPr>
                <w:i/>
                <w:iCs/>
                <w:sz w:val="20"/>
                <w:szCs w:val="20"/>
              </w:rPr>
              <w:t>(£91,494/£84,000 = 8.9% above the lowest price)</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2156CA64" w14:textId="77777777" w:rsidR="00B25A2E" w:rsidRDefault="00B25A2E">
            <w:pPr>
              <w:jc w:val="center"/>
              <w:rPr>
                <w:i/>
                <w:iCs/>
              </w:rPr>
            </w:pPr>
            <w:r>
              <w:rPr>
                <w:i/>
                <w:iCs/>
              </w:rPr>
              <w:t>91.1</w:t>
            </w:r>
          </w:p>
        </w:tc>
      </w:tr>
      <w:tr w:rsidR="00B25A2E" w14:paraId="76240468" w14:textId="77777777" w:rsidTr="00B25A2E">
        <w:trPr>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BCA384" w14:textId="77777777" w:rsidR="00B25A2E" w:rsidRDefault="00B25A2E">
            <w:pPr>
              <w:jc w:val="center"/>
              <w:rPr>
                <w:i/>
                <w:iCs/>
              </w:rPr>
            </w:pPr>
            <w:r>
              <w:rPr>
                <w:i/>
                <w:iCs/>
              </w:rPr>
              <w:t>B</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14:paraId="47D9C1A4" w14:textId="77777777" w:rsidR="00B25A2E" w:rsidRDefault="00B25A2E">
            <w:pPr>
              <w:jc w:val="center"/>
              <w:rPr>
                <w:i/>
                <w:iCs/>
              </w:rPr>
            </w:pPr>
            <w:r>
              <w:rPr>
                <w:i/>
                <w:iCs/>
              </w:rPr>
              <w:t>£94,800</w:t>
            </w:r>
          </w:p>
        </w:tc>
        <w:tc>
          <w:tcPr>
            <w:tcW w:w="2782" w:type="dxa"/>
            <w:tcBorders>
              <w:top w:val="nil"/>
              <w:left w:val="nil"/>
              <w:bottom w:val="single" w:sz="8" w:space="0" w:color="auto"/>
              <w:right w:val="single" w:sz="8" w:space="0" w:color="auto"/>
            </w:tcBorders>
            <w:tcMar>
              <w:top w:w="0" w:type="dxa"/>
              <w:left w:w="108" w:type="dxa"/>
              <w:bottom w:w="0" w:type="dxa"/>
              <w:right w:w="108" w:type="dxa"/>
            </w:tcMar>
            <w:hideMark/>
          </w:tcPr>
          <w:p w14:paraId="07E67D62" w14:textId="77777777" w:rsidR="00B25A2E" w:rsidRDefault="00B25A2E">
            <w:pPr>
              <w:jc w:val="center"/>
              <w:rPr>
                <w:i/>
                <w:iCs/>
              </w:rPr>
            </w:pPr>
            <w:r>
              <w:rPr>
                <w:i/>
                <w:iCs/>
              </w:rPr>
              <w:t>12.8</w:t>
            </w:r>
          </w:p>
          <w:p w14:paraId="3064D30C" w14:textId="77777777" w:rsidR="00B25A2E" w:rsidRDefault="00B25A2E">
            <w:pPr>
              <w:jc w:val="center"/>
              <w:rPr>
                <w:i/>
                <w:iCs/>
                <w:sz w:val="20"/>
                <w:szCs w:val="20"/>
              </w:rPr>
            </w:pPr>
            <w:r>
              <w:rPr>
                <w:i/>
                <w:iCs/>
                <w:sz w:val="20"/>
                <w:szCs w:val="20"/>
              </w:rPr>
              <w:t>(£94,800/£84,000 = 12.8% above the lowest price)</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270140E9" w14:textId="77777777" w:rsidR="00B25A2E" w:rsidRDefault="00B25A2E">
            <w:pPr>
              <w:jc w:val="center"/>
              <w:rPr>
                <w:i/>
                <w:iCs/>
              </w:rPr>
            </w:pPr>
            <w:r>
              <w:rPr>
                <w:i/>
                <w:iCs/>
              </w:rPr>
              <w:t>87.2</w:t>
            </w:r>
          </w:p>
        </w:tc>
      </w:tr>
      <w:tr w:rsidR="00B25A2E" w14:paraId="28F44F92" w14:textId="77777777" w:rsidTr="00B25A2E">
        <w:trPr>
          <w:jc w:val="center"/>
        </w:trPr>
        <w:tc>
          <w:tcPr>
            <w:tcW w:w="16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9FAD9" w14:textId="77777777" w:rsidR="00B25A2E" w:rsidRDefault="00B25A2E">
            <w:pPr>
              <w:jc w:val="center"/>
              <w:rPr>
                <w:i/>
                <w:iCs/>
              </w:rPr>
            </w:pPr>
            <w:r>
              <w:rPr>
                <w:i/>
                <w:iCs/>
              </w:rPr>
              <w:t>C</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14:paraId="05A9346C" w14:textId="77777777" w:rsidR="00B25A2E" w:rsidRDefault="00B25A2E">
            <w:pPr>
              <w:jc w:val="center"/>
              <w:rPr>
                <w:i/>
                <w:iCs/>
              </w:rPr>
            </w:pPr>
            <w:r>
              <w:rPr>
                <w:i/>
                <w:iCs/>
              </w:rPr>
              <w:t>£84,000</w:t>
            </w:r>
          </w:p>
        </w:tc>
        <w:tc>
          <w:tcPr>
            <w:tcW w:w="2782" w:type="dxa"/>
            <w:tcBorders>
              <w:top w:val="nil"/>
              <w:left w:val="nil"/>
              <w:bottom w:val="single" w:sz="8" w:space="0" w:color="auto"/>
              <w:right w:val="single" w:sz="8" w:space="0" w:color="auto"/>
            </w:tcBorders>
            <w:tcMar>
              <w:top w:w="0" w:type="dxa"/>
              <w:left w:w="108" w:type="dxa"/>
              <w:bottom w:w="0" w:type="dxa"/>
              <w:right w:w="108" w:type="dxa"/>
            </w:tcMar>
            <w:hideMark/>
          </w:tcPr>
          <w:p w14:paraId="474CC1B1" w14:textId="77777777" w:rsidR="00B25A2E" w:rsidRDefault="00B25A2E">
            <w:pPr>
              <w:jc w:val="center"/>
              <w:rPr>
                <w:i/>
                <w:iCs/>
              </w:rPr>
            </w:pPr>
            <w:r>
              <w:rPr>
                <w:i/>
                <w:iCs/>
              </w:rPr>
              <w:t>0</w:t>
            </w:r>
          </w:p>
        </w:tc>
        <w:tc>
          <w:tcPr>
            <w:tcW w:w="4144" w:type="dxa"/>
            <w:tcBorders>
              <w:top w:val="nil"/>
              <w:left w:val="nil"/>
              <w:bottom w:val="single" w:sz="8" w:space="0" w:color="auto"/>
              <w:right w:val="single" w:sz="8" w:space="0" w:color="auto"/>
            </w:tcBorders>
            <w:tcMar>
              <w:top w:w="0" w:type="dxa"/>
              <w:left w:w="108" w:type="dxa"/>
              <w:bottom w:w="0" w:type="dxa"/>
              <w:right w:w="108" w:type="dxa"/>
            </w:tcMar>
            <w:hideMark/>
          </w:tcPr>
          <w:p w14:paraId="66AF6E74" w14:textId="77777777" w:rsidR="00B25A2E" w:rsidRDefault="00B25A2E">
            <w:pPr>
              <w:jc w:val="center"/>
              <w:rPr>
                <w:i/>
                <w:iCs/>
              </w:rPr>
            </w:pPr>
            <w:r>
              <w:rPr>
                <w:i/>
                <w:iCs/>
              </w:rPr>
              <w:t>100.0</w:t>
            </w:r>
          </w:p>
          <w:p w14:paraId="732D3918" w14:textId="77777777" w:rsidR="00B25A2E" w:rsidRDefault="00B25A2E">
            <w:pPr>
              <w:jc w:val="center"/>
              <w:rPr>
                <w:i/>
                <w:iCs/>
              </w:rPr>
            </w:pPr>
            <w:r>
              <w:rPr>
                <w:i/>
                <w:iCs/>
              </w:rPr>
              <w:t>(the lowest price offered is converted to 100.0)</w:t>
            </w:r>
          </w:p>
        </w:tc>
      </w:tr>
    </w:tbl>
    <w:p w14:paraId="3F9D65A3" w14:textId="77777777" w:rsidR="00B25A2E" w:rsidRDefault="00B25A2E" w:rsidP="00B25A2E">
      <w:pPr>
        <w:spacing w:after="120"/>
        <w:ind w:hanging="1440"/>
        <w:jc w:val="both"/>
        <w:rPr>
          <w:rFonts w:eastAsiaTheme="minorHAnsi" w:cs="Arial"/>
          <w:i/>
          <w:iCs/>
          <w:sz w:val="22"/>
          <w:szCs w:val="22"/>
        </w:rPr>
      </w:pPr>
      <w:r>
        <w:rPr>
          <w:i/>
          <w:iCs/>
          <w:sz w:val="22"/>
          <w:szCs w:val="22"/>
        </w:rPr>
        <w:t xml:space="preserve">                        </w:t>
      </w:r>
    </w:p>
    <w:p w14:paraId="1450F0A4" w14:textId="77777777" w:rsidR="00B25A2E" w:rsidRDefault="00B25A2E" w:rsidP="00B25A2E">
      <w:pPr>
        <w:spacing w:after="120"/>
        <w:jc w:val="both"/>
        <w:rPr>
          <w:b/>
          <w:bCs/>
          <w:i/>
          <w:iCs/>
          <w:lang w:eastAsia="en-GB"/>
        </w:rPr>
      </w:pPr>
      <w:r>
        <w:rPr>
          <w:b/>
          <w:bCs/>
          <w:i/>
          <w:iCs/>
        </w:rPr>
        <w:t>Table 3 - Overall Assessment – on an 70% quality and 30% price ratio</w:t>
      </w:r>
    </w:p>
    <w:tbl>
      <w:tblPr>
        <w:tblW w:w="5000" w:type="pct"/>
        <w:jc w:val="center"/>
        <w:tblLayout w:type="fixed"/>
        <w:tblCellMar>
          <w:left w:w="0" w:type="dxa"/>
          <w:right w:w="0" w:type="dxa"/>
        </w:tblCellMar>
        <w:tblLook w:val="04A0" w:firstRow="1" w:lastRow="0" w:firstColumn="1" w:lastColumn="0" w:noHBand="0" w:noVBand="1"/>
      </w:tblPr>
      <w:tblGrid>
        <w:gridCol w:w="779"/>
        <w:gridCol w:w="1906"/>
        <w:gridCol w:w="1557"/>
        <w:gridCol w:w="1099"/>
        <w:gridCol w:w="1335"/>
        <w:gridCol w:w="1510"/>
        <w:gridCol w:w="1658"/>
      </w:tblGrid>
      <w:tr w:rsidR="00B25A2E" w14:paraId="01D53E18" w14:textId="77777777" w:rsidTr="00B25A2E">
        <w:trPr>
          <w:trHeight w:val="252"/>
          <w:jc w:val="center"/>
        </w:trPr>
        <w:tc>
          <w:tcPr>
            <w:tcW w:w="396" w:type="pct"/>
            <w:tcBorders>
              <w:top w:val="single" w:sz="8" w:space="0" w:color="auto"/>
              <w:left w:val="single" w:sz="8" w:space="0" w:color="auto"/>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002C6F91" w14:textId="77777777" w:rsidR="00B25A2E" w:rsidRDefault="00B25A2E">
            <w:pPr>
              <w:jc w:val="center"/>
              <w:rPr>
                <w:b/>
                <w:bCs/>
                <w:i/>
                <w:iCs/>
              </w:rPr>
            </w:pPr>
            <w:r>
              <w:rPr>
                <w:b/>
                <w:bCs/>
                <w:i/>
                <w:iCs/>
              </w:rPr>
              <w:t>1</w:t>
            </w:r>
          </w:p>
        </w:tc>
        <w:tc>
          <w:tcPr>
            <w:tcW w:w="968"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43C0B2B1" w14:textId="77777777" w:rsidR="00B25A2E" w:rsidRDefault="00B25A2E">
            <w:pPr>
              <w:jc w:val="center"/>
              <w:rPr>
                <w:b/>
                <w:bCs/>
                <w:i/>
                <w:iCs/>
              </w:rPr>
            </w:pPr>
            <w:r>
              <w:rPr>
                <w:b/>
                <w:bCs/>
                <w:i/>
                <w:iCs/>
              </w:rPr>
              <w:t>2</w:t>
            </w:r>
          </w:p>
        </w:tc>
        <w:tc>
          <w:tcPr>
            <w:tcW w:w="791"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5293FFCD" w14:textId="77777777" w:rsidR="00B25A2E" w:rsidRDefault="00B25A2E">
            <w:pPr>
              <w:jc w:val="center"/>
              <w:rPr>
                <w:b/>
                <w:bCs/>
                <w:i/>
                <w:iCs/>
              </w:rPr>
            </w:pPr>
            <w:r>
              <w:rPr>
                <w:b/>
                <w:bCs/>
                <w:i/>
                <w:iCs/>
              </w:rPr>
              <w:t>3</w:t>
            </w:r>
          </w:p>
        </w:tc>
        <w:tc>
          <w:tcPr>
            <w:tcW w:w="558"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12C938FC" w14:textId="77777777" w:rsidR="00B25A2E" w:rsidRDefault="00B25A2E">
            <w:pPr>
              <w:jc w:val="center"/>
              <w:rPr>
                <w:b/>
                <w:bCs/>
                <w:i/>
                <w:iCs/>
              </w:rPr>
            </w:pPr>
            <w:r>
              <w:rPr>
                <w:b/>
                <w:bCs/>
                <w:i/>
                <w:iCs/>
              </w:rPr>
              <w:t>4</w:t>
            </w:r>
          </w:p>
        </w:tc>
        <w:tc>
          <w:tcPr>
            <w:tcW w:w="678"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4C9BE966" w14:textId="77777777" w:rsidR="00B25A2E" w:rsidRDefault="00B25A2E">
            <w:pPr>
              <w:jc w:val="center"/>
              <w:rPr>
                <w:b/>
                <w:bCs/>
                <w:i/>
                <w:iCs/>
              </w:rPr>
            </w:pPr>
            <w:r>
              <w:rPr>
                <w:b/>
                <w:bCs/>
                <w:i/>
                <w:iCs/>
              </w:rPr>
              <w:t>5</w:t>
            </w:r>
          </w:p>
        </w:tc>
        <w:tc>
          <w:tcPr>
            <w:tcW w:w="767"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1455BD55" w14:textId="77777777" w:rsidR="00B25A2E" w:rsidRDefault="00B25A2E">
            <w:pPr>
              <w:jc w:val="center"/>
              <w:rPr>
                <w:b/>
                <w:bCs/>
                <w:i/>
                <w:iCs/>
              </w:rPr>
            </w:pPr>
            <w:r>
              <w:rPr>
                <w:b/>
                <w:bCs/>
                <w:i/>
                <w:iCs/>
              </w:rPr>
              <w:t>6</w:t>
            </w:r>
          </w:p>
        </w:tc>
        <w:tc>
          <w:tcPr>
            <w:tcW w:w="842" w:type="pct"/>
            <w:tcBorders>
              <w:top w:val="single" w:sz="8" w:space="0" w:color="auto"/>
              <w:left w:val="nil"/>
              <w:bottom w:val="single" w:sz="8" w:space="0" w:color="auto"/>
              <w:right w:val="single" w:sz="8" w:space="0" w:color="auto"/>
            </w:tcBorders>
            <w:shd w:val="clear" w:color="auto" w:fill="D9D9D9"/>
            <w:noWrap/>
            <w:tcMar>
              <w:top w:w="13" w:type="dxa"/>
              <w:left w:w="13" w:type="dxa"/>
              <w:bottom w:w="0" w:type="dxa"/>
              <w:right w:w="13" w:type="dxa"/>
            </w:tcMar>
            <w:vAlign w:val="bottom"/>
            <w:hideMark/>
          </w:tcPr>
          <w:p w14:paraId="384D2019" w14:textId="77777777" w:rsidR="00B25A2E" w:rsidRDefault="00B25A2E">
            <w:pPr>
              <w:jc w:val="center"/>
              <w:rPr>
                <w:b/>
                <w:bCs/>
                <w:i/>
                <w:iCs/>
                <w:sz w:val="20"/>
                <w:szCs w:val="20"/>
              </w:rPr>
            </w:pPr>
            <w:r>
              <w:rPr>
                <w:b/>
                <w:bCs/>
                <w:i/>
                <w:iCs/>
                <w:sz w:val="20"/>
                <w:szCs w:val="20"/>
              </w:rPr>
              <w:t>7</w:t>
            </w:r>
          </w:p>
        </w:tc>
      </w:tr>
      <w:tr w:rsidR="00B25A2E" w14:paraId="083BFA61" w14:textId="77777777" w:rsidTr="00B25A2E">
        <w:trPr>
          <w:trHeight w:val="266"/>
          <w:jc w:val="center"/>
        </w:trPr>
        <w:tc>
          <w:tcPr>
            <w:tcW w:w="396" w:type="pct"/>
            <w:tcBorders>
              <w:top w:val="nil"/>
              <w:left w:val="single" w:sz="8" w:space="0" w:color="auto"/>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6CBBDE7B" w14:textId="77777777" w:rsidR="00B25A2E" w:rsidRDefault="00B25A2E">
            <w:pPr>
              <w:jc w:val="center"/>
              <w:rPr>
                <w:b/>
                <w:bCs/>
                <w:i/>
                <w:iCs/>
              </w:rPr>
            </w:pPr>
            <w:r>
              <w:rPr>
                <w:b/>
                <w:bCs/>
                <w:i/>
                <w:iCs/>
              </w:rPr>
              <w:t>Supplier</w:t>
            </w:r>
          </w:p>
        </w:tc>
        <w:tc>
          <w:tcPr>
            <w:tcW w:w="968"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7E5304A0" w14:textId="77777777" w:rsidR="00B25A2E" w:rsidRDefault="00B25A2E">
            <w:pPr>
              <w:jc w:val="center"/>
              <w:rPr>
                <w:b/>
                <w:bCs/>
                <w:i/>
                <w:iCs/>
              </w:rPr>
            </w:pPr>
            <w:r>
              <w:rPr>
                <w:b/>
                <w:bCs/>
                <w:i/>
                <w:iCs/>
              </w:rPr>
              <w:t xml:space="preserve">Quality Mark </w:t>
            </w:r>
            <w:r>
              <w:rPr>
                <w:b/>
                <w:bCs/>
                <w:i/>
                <w:iCs/>
                <w:sz w:val="20"/>
                <w:szCs w:val="20"/>
              </w:rPr>
              <w:t>(see Table 1)</w:t>
            </w:r>
          </w:p>
        </w:tc>
        <w:tc>
          <w:tcPr>
            <w:tcW w:w="791"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51E56D47" w14:textId="77777777" w:rsidR="00B25A2E" w:rsidRDefault="00B25A2E">
            <w:pPr>
              <w:jc w:val="center"/>
              <w:rPr>
                <w:b/>
                <w:bCs/>
                <w:i/>
                <w:iCs/>
              </w:rPr>
            </w:pPr>
            <w:r>
              <w:rPr>
                <w:b/>
                <w:bCs/>
                <w:i/>
                <w:iCs/>
              </w:rPr>
              <w:t xml:space="preserve">70% </w:t>
            </w:r>
            <w:proofErr w:type="gramStart"/>
            <w:r>
              <w:rPr>
                <w:b/>
                <w:bCs/>
                <w:i/>
                <w:iCs/>
              </w:rPr>
              <w:t>of  column</w:t>
            </w:r>
            <w:proofErr w:type="gramEnd"/>
            <w:r>
              <w:rPr>
                <w:b/>
                <w:bCs/>
                <w:i/>
                <w:iCs/>
              </w:rPr>
              <w:t xml:space="preserve"> 2</w:t>
            </w:r>
          </w:p>
        </w:tc>
        <w:tc>
          <w:tcPr>
            <w:tcW w:w="558"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699E2012" w14:textId="77777777" w:rsidR="00B25A2E" w:rsidRDefault="00B25A2E">
            <w:pPr>
              <w:jc w:val="center"/>
              <w:rPr>
                <w:b/>
                <w:bCs/>
                <w:i/>
                <w:iCs/>
              </w:rPr>
            </w:pPr>
            <w:r>
              <w:rPr>
                <w:b/>
                <w:bCs/>
                <w:i/>
                <w:iCs/>
              </w:rPr>
              <w:t xml:space="preserve">Financial </w:t>
            </w:r>
          </w:p>
          <w:p w14:paraId="7241463A" w14:textId="77777777" w:rsidR="00B25A2E" w:rsidRDefault="00B25A2E">
            <w:pPr>
              <w:jc w:val="center"/>
              <w:rPr>
                <w:b/>
                <w:bCs/>
                <w:i/>
                <w:iCs/>
              </w:rPr>
            </w:pPr>
            <w:r>
              <w:rPr>
                <w:b/>
                <w:bCs/>
                <w:i/>
                <w:iCs/>
              </w:rPr>
              <w:t>Bid</w:t>
            </w:r>
          </w:p>
        </w:tc>
        <w:tc>
          <w:tcPr>
            <w:tcW w:w="678"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4D300A4B" w14:textId="77777777" w:rsidR="00B25A2E" w:rsidRDefault="00B25A2E">
            <w:pPr>
              <w:jc w:val="center"/>
              <w:rPr>
                <w:b/>
                <w:bCs/>
                <w:i/>
                <w:iCs/>
              </w:rPr>
            </w:pPr>
            <w:r>
              <w:rPr>
                <w:b/>
                <w:bCs/>
                <w:i/>
                <w:iCs/>
              </w:rPr>
              <w:t>Financial Mark</w:t>
            </w:r>
          </w:p>
          <w:p w14:paraId="4707B663" w14:textId="77777777" w:rsidR="00B25A2E" w:rsidRDefault="00B25A2E">
            <w:pPr>
              <w:jc w:val="center"/>
              <w:rPr>
                <w:b/>
                <w:bCs/>
                <w:i/>
                <w:iCs/>
                <w:sz w:val="20"/>
                <w:szCs w:val="20"/>
              </w:rPr>
            </w:pPr>
            <w:r>
              <w:rPr>
                <w:b/>
                <w:bCs/>
                <w:i/>
                <w:iCs/>
                <w:sz w:val="20"/>
                <w:szCs w:val="20"/>
              </w:rPr>
              <w:t>(see Table 2)</w:t>
            </w:r>
          </w:p>
        </w:tc>
        <w:tc>
          <w:tcPr>
            <w:tcW w:w="767"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0DECD753" w14:textId="77777777" w:rsidR="00B25A2E" w:rsidRDefault="00B25A2E">
            <w:pPr>
              <w:jc w:val="center"/>
              <w:rPr>
                <w:b/>
                <w:bCs/>
                <w:i/>
                <w:iCs/>
              </w:rPr>
            </w:pPr>
            <w:r>
              <w:rPr>
                <w:b/>
                <w:bCs/>
                <w:i/>
                <w:iCs/>
              </w:rPr>
              <w:t>30% of column 5</w:t>
            </w:r>
          </w:p>
        </w:tc>
        <w:tc>
          <w:tcPr>
            <w:tcW w:w="842" w:type="pct"/>
            <w:tcBorders>
              <w:top w:val="nil"/>
              <w:left w:val="nil"/>
              <w:bottom w:val="single" w:sz="8" w:space="0" w:color="auto"/>
              <w:right w:val="single" w:sz="8" w:space="0" w:color="auto"/>
            </w:tcBorders>
            <w:shd w:val="clear" w:color="auto" w:fill="D9D9D9"/>
            <w:noWrap/>
            <w:tcMar>
              <w:top w:w="13" w:type="dxa"/>
              <w:left w:w="13" w:type="dxa"/>
              <w:bottom w:w="0" w:type="dxa"/>
              <w:right w:w="13" w:type="dxa"/>
            </w:tcMar>
            <w:vAlign w:val="center"/>
            <w:hideMark/>
          </w:tcPr>
          <w:p w14:paraId="520D3915" w14:textId="77777777" w:rsidR="00B25A2E" w:rsidRDefault="00B25A2E">
            <w:pPr>
              <w:jc w:val="center"/>
              <w:rPr>
                <w:b/>
                <w:bCs/>
                <w:i/>
                <w:iCs/>
              </w:rPr>
            </w:pPr>
            <w:r>
              <w:rPr>
                <w:b/>
                <w:bCs/>
                <w:i/>
                <w:iCs/>
              </w:rPr>
              <w:t xml:space="preserve">Total Overall Mark </w:t>
            </w:r>
          </w:p>
          <w:p w14:paraId="6053C1BB" w14:textId="77777777" w:rsidR="00B25A2E" w:rsidRDefault="00B25A2E">
            <w:pPr>
              <w:jc w:val="center"/>
              <w:rPr>
                <w:b/>
                <w:bCs/>
                <w:i/>
                <w:iCs/>
                <w:sz w:val="20"/>
                <w:szCs w:val="20"/>
              </w:rPr>
            </w:pPr>
            <w:r>
              <w:rPr>
                <w:b/>
                <w:bCs/>
                <w:i/>
                <w:iCs/>
                <w:sz w:val="20"/>
                <w:szCs w:val="20"/>
              </w:rPr>
              <w:t>(column 3+6)</w:t>
            </w:r>
          </w:p>
        </w:tc>
      </w:tr>
      <w:tr w:rsidR="00B25A2E" w14:paraId="5280B6AE" w14:textId="77777777" w:rsidTr="00B25A2E">
        <w:trPr>
          <w:trHeight w:val="252"/>
          <w:jc w:val="center"/>
        </w:trPr>
        <w:tc>
          <w:tcPr>
            <w:tcW w:w="396" w:type="pct"/>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hideMark/>
          </w:tcPr>
          <w:p w14:paraId="00010DBF" w14:textId="77777777" w:rsidR="00B25A2E" w:rsidRDefault="00B25A2E">
            <w:pPr>
              <w:jc w:val="center"/>
              <w:rPr>
                <w:i/>
                <w:iCs/>
              </w:rPr>
            </w:pPr>
            <w:r>
              <w:rPr>
                <w:i/>
                <w:iCs/>
              </w:rPr>
              <w:t>A</w:t>
            </w:r>
          </w:p>
        </w:tc>
        <w:tc>
          <w:tcPr>
            <w:tcW w:w="96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4378F5D5" w14:textId="77777777" w:rsidR="00B25A2E" w:rsidRDefault="00B25A2E">
            <w:pPr>
              <w:jc w:val="center"/>
              <w:rPr>
                <w:i/>
                <w:iCs/>
              </w:rPr>
            </w:pPr>
            <w:r>
              <w:rPr>
                <w:i/>
                <w:iCs/>
              </w:rPr>
              <w:t>82.6</w:t>
            </w:r>
          </w:p>
        </w:tc>
        <w:tc>
          <w:tcPr>
            <w:tcW w:w="791"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127BD4FC" w14:textId="77777777" w:rsidR="00B25A2E" w:rsidRDefault="00B25A2E">
            <w:pPr>
              <w:jc w:val="center"/>
              <w:rPr>
                <w:i/>
                <w:iCs/>
              </w:rPr>
            </w:pPr>
            <w:r>
              <w:rPr>
                <w:i/>
                <w:iCs/>
              </w:rPr>
              <w:t>57.8</w:t>
            </w:r>
          </w:p>
        </w:tc>
        <w:tc>
          <w:tcPr>
            <w:tcW w:w="55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33A67867" w14:textId="77777777" w:rsidR="00B25A2E" w:rsidRDefault="00B25A2E">
            <w:pPr>
              <w:jc w:val="center"/>
              <w:rPr>
                <w:i/>
                <w:iCs/>
              </w:rPr>
            </w:pPr>
            <w:r>
              <w:rPr>
                <w:i/>
                <w:iCs/>
              </w:rPr>
              <w:t>£91,494</w:t>
            </w:r>
          </w:p>
        </w:tc>
        <w:tc>
          <w:tcPr>
            <w:tcW w:w="67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1465CB62" w14:textId="77777777" w:rsidR="00B25A2E" w:rsidRDefault="00B25A2E">
            <w:pPr>
              <w:jc w:val="center"/>
              <w:rPr>
                <w:i/>
                <w:iCs/>
              </w:rPr>
            </w:pPr>
            <w:r>
              <w:rPr>
                <w:i/>
                <w:iCs/>
              </w:rPr>
              <w:t>91.1</w:t>
            </w:r>
          </w:p>
        </w:tc>
        <w:tc>
          <w:tcPr>
            <w:tcW w:w="767"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038186A" w14:textId="77777777" w:rsidR="00B25A2E" w:rsidRDefault="00B25A2E">
            <w:pPr>
              <w:jc w:val="center"/>
              <w:rPr>
                <w:i/>
                <w:iCs/>
              </w:rPr>
            </w:pPr>
            <w:r>
              <w:rPr>
                <w:i/>
                <w:iCs/>
              </w:rPr>
              <w:t>27.3</w:t>
            </w:r>
          </w:p>
        </w:tc>
        <w:tc>
          <w:tcPr>
            <w:tcW w:w="842"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30D5B9F" w14:textId="77777777" w:rsidR="00B25A2E" w:rsidRDefault="00B25A2E">
            <w:pPr>
              <w:jc w:val="center"/>
              <w:rPr>
                <w:i/>
                <w:iCs/>
              </w:rPr>
            </w:pPr>
            <w:r>
              <w:rPr>
                <w:i/>
                <w:iCs/>
              </w:rPr>
              <w:t>85.1</w:t>
            </w:r>
          </w:p>
        </w:tc>
      </w:tr>
      <w:tr w:rsidR="00B25A2E" w14:paraId="23026740" w14:textId="77777777" w:rsidTr="00B25A2E">
        <w:trPr>
          <w:trHeight w:val="238"/>
          <w:jc w:val="center"/>
        </w:trPr>
        <w:tc>
          <w:tcPr>
            <w:tcW w:w="396" w:type="pct"/>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hideMark/>
          </w:tcPr>
          <w:p w14:paraId="2EED1BD6" w14:textId="77777777" w:rsidR="00B25A2E" w:rsidRDefault="00B25A2E">
            <w:pPr>
              <w:jc w:val="center"/>
              <w:rPr>
                <w:i/>
                <w:iCs/>
              </w:rPr>
            </w:pPr>
            <w:r>
              <w:rPr>
                <w:i/>
                <w:iCs/>
              </w:rPr>
              <w:t>B</w:t>
            </w:r>
          </w:p>
        </w:tc>
        <w:tc>
          <w:tcPr>
            <w:tcW w:w="96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5951A66D" w14:textId="77777777" w:rsidR="00B25A2E" w:rsidRDefault="00B25A2E">
            <w:pPr>
              <w:jc w:val="center"/>
              <w:rPr>
                <w:i/>
                <w:iCs/>
              </w:rPr>
            </w:pPr>
            <w:r>
              <w:rPr>
                <w:i/>
                <w:iCs/>
              </w:rPr>
              <w:t>74.1</w:t>
            </w:r>
          </w:p>
        </w:tc>
        <w:tc>
          <w:tcPr>
            <w:tcW w:w="791"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C6A7A97" w14:textId="77777777" w:rsidR="00B25A2E" w:rsidRDefault="00B25A2E">
            <w:pPr>
              <w:jc w:val="center"/>
              <w:rPr>
                <w:i/>
                <w:iCs/>
              </w:rPr>
            </w:pPr>
            <w:r>
              <w:rPr>
                <w:i/>
                <w:iCs/>
              </w:rPr>
              <w:t>51.9</w:t>
            </w:r>
          </w:p>
        </w:tc>
        <w:tc>
          <w:tcPr>
            <w:tcW w:w="55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0BEDC847" w14:textId="77777777" w:rsidR="00B25A2E" w:rsidRDefault="00B25A2E">
            <w:pPr>
              <w:jc w:val="center"/>
              <w:rPr>
                <w:i/>
                <w:iCs/>
              </w:rPr>
            </w:pPr>
            <w:r>
              <w:rPr>
                <w:i/>
                <w:iCs/>
              </w:rPr>
              <w:t>£94,800</w:t>
            </w:r>
          </w:p>
        </w:tc>
        <w:tc>
          <w:tcPr>
            <w:tcW w:w="67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3C2901F7" w14:textId="77777777" w:rsidR="00B25A2E" w:rsidRDefault="00B25A2E">
            <w:pPr>
              <w:jc w:val="center"/>
              <w:rPr>
                <w:i/>
                <w:iCs/>
              </w:rPr>
            </w:pPr>
            <w:r>
              <w:rPr>
                <w:i/>
                <w:iCs/>
              </w:rPr>
              <w:t>87.2</w:t>
            </w:r>
          </w:p>
        </w:tc>
        <w:tc>
          <w:tcPr>
            <w:tcW w:w="767"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0C3D4716" w14:textId="77777777" w:rsidR="00B25A2E" w:rsidRDefault="00B25A2E">
            <w:pPr>
              <w:jc w:val="center"/>
              <w:rPr>
                <w:i/>
                <w:iCs/>
              </w:rPr>
            </w:pPr>
            <w:r>
              <w:rPr>
                <w:i/>
                <w:iCs/>
              </w:rPr>
              <w:t>26.2</w:t>
            </w:r>
          </w:p>
        </w:tc>
        <w:tc>
          <w:tcPr>
            <w:tcW w:w="842"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5DCCF1E" w14:textId="77777777" w:rsidR="00B25A2E" w:rsidRDefault="00B25A2E">
            <w:pPr>
              <w:jc w:val="center"/>
              <w:rPr>
                <w:i/>
                <w:iCs/>
              </w:rPr>
            </w:pPr>
            <w:r>
              <w:rPr>
                <w:i/>
                <w:iCs/>
              </w:rPr>
              <w:t>78.1</w:t>
            </w:r>
          </w:p>
        </w:tc>
      </w:tr>
      <w:tr w:rsidR="00B25A2E" w14:paraId="3787F6BF" w14:textId="77777777" w:rsidTr="00B25A2E">
        <w:trPr>
          <w:trHeight w:val="238"/>
          <w:jc w:val="center"/>
        </w:trPr>
        <w:tc>
          <w:tcPr>
            <w:tcW w:w="396" w:type="pct"/>
            <w:tcBorders>
              <w:top w:val="nil"/>
              <w:left w:val="single" w:sz="8" w:space="0" w:color="auto"/>
              <w:bottom w:val="single" w:sz="8" w:space="0" w:color="auto"/>
              <w:right w:val="single" w:sz="8" w:space="0" w:color="auto"/>
            </w:tcBorders>
            <w:noWrap/>
            <w:tcMar>
              <w:top w:w="13" w:type="dxa"/>
              <w:left w:w="13" w:type="dxa"/>
              <w:bottom w:w="0" w:type="dxa"/>
              <w:right w:w="13" w:type="dxa"/>
            </w:tcMar>
            <w:vAlign w:val="bottom"/>
            <w:hideMark/>
          </w:tcPr>
          <w:p w14:paraId="2E3FC251" w14:textId="77777777" w:rsidR="00B25A2E" w:rsidRDefault="00B25A2E">
            <w:pPr>
              <w:jc w:val="center"/>
              <w:rPr>
                <w:i/>
                <w:iCs/>
              </w:rPr>
            </w:pPr>
            <w:r>
              <w:rPr>
                <w:i/>
                <w:iCs/>
              </w:rPr>
              <w:t>C</w:t>
            </w:r>
          </w:p>
        </w:tc>
        <w:tc>
          <w:tcPr>
            <w:tcW w:w="96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5F0E5C84" w14:textId="77777777" w:rsidR="00B25A2E" w:rsidRDefault="00B25A2E">
            <w:pPr>
              <w:jc w:val="center"/>
              <w:rPr>
                <w:i/>
                <w:iCs/>
              </w:rPr>
            </w:pPr>
            <w:r>
              <w:rPr>
                <w:i/>
                <w:iCs/>
              </w:rPr>
              <w:t>66.7</w:t>
            </w:r>
          </w:p>
        </w:tc>
        <w:tc>
          <w:tcPr>
            <w:tcW w:w="791"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45000B8B" w14:textId="77777777" w:rsidR="00B25A2E" w:rsidRDefault="00B25A2E">
            <w:pPr>
              <w:jc w:val="center"/>
              <w:rPr>
                <w:i/>
                <w:iCs/>
              </w:rPr>
            </w:pPr>
            <w:r>
              <w:rPr>
                <w:i/>
                <w:iCs/>
              </w:rPr>
              <w:t>46.7</w:t>
            </w:r>
          </w:p>
        </w:tc>
        <w:tc>
          <w:tcPr>
            <w:tcW w:w="55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2DC7BA4D" w14:textId="77777777" w:rsidR="00B25A2E" w:rsidRDefault="00B25A2E">
            <w:pPr>
              <w:jc w:val="center"/>
              <w:rPr>
                <w:i/>
                <w:iCs/>
              </w:rPr>
            </w:pPr>
            <w:r>
              <w:rPr>
                <w:i/>
                <w:iCs/>
              </w:rPr>
              <w:t>£84,000</w:t>
            </w:r>
          </w:p>
        </w:tc>
        <w:tc>
          <w:tcPr>
            <w:tcW w:w="678"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6242D78A" w14:textId="77777777" w:rsidR="00B25A2E" w:rsidRDefault="00B25A2E">
            <w:pPr>
              <w:jc w:val="center"/>
              <w:rPr>
                <w:i/>
                <w:iCs/>
              </w:rPr>
            </w:pPr>
            <w:r>
              <w:rPr>
                <w:i/>
                <w:iCs/>
              </w:rPr>
              <w:t>100.0</w:t>
            </w:r>
          </w:p>
        </w:tc>
        <w:tc>
          <w:tcPr>
            <w:tcW w:w="767"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3953B27C" w14:textId="77777777" w:rsidR="00B25A2E" w:rsidRDefault="00B25A2E">
            <w:pPr>
              <w:jc w:val="center"/>
              <w:rPr>
                <w:i/>
                <w:iCs/>
              </w:rPr>
            </w:pPr>
            <w:r>
              <w:rPr>
                <w:i/>
                <w:iCs/>
              </w:rPr>
              <w:t>30.0</w:t>
            </w:r>
          </w:p>
        </w:tc>
        <w:tc>
          <w:tcPr>
            <w:tcW w:w="842" w:type="pct"/>
            <w:tcBorders>
              <w:top w:val="nil"/>
              <w:left w:val="nil"/>
              <w:bottom w:val="single" w:sz="8" w:space="0" w:color="auto"/>
              <w:right w:val="single" w:sz="8" w:space="0" w:color="auto"/>
            </w:tcBorders>
            <w:noWrap/>
            <w:tcMar>
              <w:top w:w="13" w:type="dxa"/>
              <w:left w:w="13" w:type="dxa"/>
              <w:bottom w:w="0" w:type="dxa"/>
              <w:right w:w="13" w:type="dxa"/>
            </w:tcMar>
            <w:vAlign w:val="bottom"/>
            <w:hideMark/>
          </w:tcPr>
          <w:p w14:paraId="5AF3015B" w14:textId="77777777" w:rsidR="00B25A2E" w:rsidRDefault="00B25A2E">
            <w:pPr>
              <w:jc w:val="center"/>
              <w:rPr>
                <w:i/>
                <w:iCs/>
              </w:rPr>
            </w:pPr>
            <w:r>
              <w:rPr>
                <w:i/>
                <w:iCs/>
              </w:rPr>
              <w:t>76.7</w:t>
            </w:r>
          </w:p>
        </w:tc>
      </w:tr>
    </w:tbl>
    <w:p w14:paraId="7611CC6F" w14:textId="77777777" w:rsidR="00B25A2E" w:rsidRDefault="00B25A2E" w:rsidP="00B25A2E">
      <w:pPr>
        <w:rPr>
          <w:rFonts w:eastAsiaTheme="minorHAnsi" w:cs="Arial"/>
          <w:i/>
          <w:iCs/>
          <w:sz w:val="22"/>
          <w:szCs w:val="22"/>
        </w:rPr>
      </w:pPr>
    </w:p>
    <w:p w14:paraId="23DCB05E" w14:textId="77777777" w:rsidR="00B25A2E" w:rsidRDefault="00B25A2E" w:rsidP="00B25A2E">
      <w:pPr>
        <w:rPr>
          <w:i/>
          <w:iCs/>
          <w:lang w:eastAsia="en-GB"/>
        </w:rPr>
      </w:pPr>
      <w:r>
        <w:rPr>
          <w:i/>
          <w:iCs/>
        </w:rPr>
        <w:t>In</w:t>
      </w:r>
      <w:r>
        <w:rPr>
          <w:i/>
          <w:iCs/>
          <w:sz w:val="20"/>
          <w:szCs w:val="20"/>
        </w:rPr>
        <w:t xml:space="preserve"> </w:t>
      </w:r>
      <w:r>
        <w:rPr>
          <w:i/>
          <w:iCs/>
        </w:rPr>
        <w:t>the above example, Supplier A, who had the highest overall mark, column 7, would be deemed to be the supplier who has offered the most economically advantageous tender.</w:t>
      </w:r>
    </w:p>
    <w:p w14:paraId="6466CB4E" w14:textId="77777777" w:rsidR="00B25A2E" w:rsidRDefault="00B25A2E" w:rsidP="00B25A2E">
      <w:pPr>
        <w:rPr>
          <w:i/>
          <w:iCs/>
        </w:rPr>
      </w:pPr>
    </w:p>
    <w:p w14:paraId="56926246" w14:textId="77777777" w:rsidR="00B25A2E" w:rsidRDefault="00B25A2E" w:rsidP="00B25A2E">
      <w:pPr>
        <w:rPr>
          <w:i/>
          <w:iCs/>
        </w:rPr>
      </w:pPr>
      <w:r>
        <w:rPr>
          <w:i/>
          <w:iCs/>
        </w:rPr>
        <w:t xml:space="preserve">In the event of two or more suppliers having the same overall mark, the contract will be awarded to the supplier who offered the lowest price, Table 2.   </w:t>
      </w:r>
    </w:p>
    <w:p w14:paraId="1542BAD9" w14:textId="77777777" w:rsidR="00143A36" w:rsidRDefault="00143A36" w:rsidP="00143A36"/>
    <w:p w14:paraId="3C06DFE3" w14:textId="77777777" w:rsidR="00143A36" w:rsidRPr="00BC3CC7" w:rsidRDefault="00143A36" w:rsidP="00143A36">
      <w:pPr>
        <w:pStyle w:val="Style2"/>
        <w:numPr>
          <w:ilvl w:val="1"/>
          <w:numId w:val="0"/>
        </w:numPr>
        <w:rPr>
          <w:rFonts w:asciiTheme="minorHAnsi" w:hAnsiTheme="minorHAnsi" w:cstheme="minorBidi"/>
          <w:sz w:val="24"/>
        </w:rPr>
      </w:pPr>
      <w:r>
        <w:rPr>
          <w:rFonts w:asciiTheme="minorHAnsi" w:hAnsiTheme="minorHAnsi" w:cstheme="minorBidi"/>
          <w:sz w:val="24"/>
        </w:rPr>
        <w:t>Where the completed pricing model is deemed to be abnormal by the evaluating panel you may be asked to revise your submission.</w:t>
      </w:r>
    </w:p>
    <w:p w14:paraId="1F23B3C2" w14:textId="77777777" w:rsidR="00143A36" w:rsidRDefault="00143A36" w:rsidP="00AF2313">
      <w:pPr>
        <w:rPr>
          <w:rStyle w:val="Hyperlink"/>
          <w:rFonts w:eastAsia="MS Mincho"/>
          <w:noProof/>
          <w:color w:val="auto"/>
        </w:rPr>
      </w:pPr>
    </w:p>
    <w:p w14:paraId="4D9A48FB" w14:textId="77777777" w:rsidR="00AF2313" w:rsidRDefault="00AF2313" w:rsidP="00AF2313"/>
    <w:p w14:paraId="69AEBAE8" w14:textId="77777777" w:rsidR="00143A36" w:rsidRPr="00C65CE9" w:rsidRDefault="00143A36" w:rsidP="00143A36">
      <w:pPr>
        <w:pStyle w:val="Heading2"/>
      </w:pPr>
      <w:bookmarkStart w:id="5" w:name="_Toc490145697"/>
      <w:r w:rsidRPr="00C65CE9">
        <w:t>Supplier Interviews</w:t>
      </w:r>
      <w:bookmarkEnd w:id="5"/>
      <w:r w:rsidRPr="00C65CE9">
        <w:t xml:space="preserve"> </w:t>
      </w:r>
    </w:p>
    <w:p w14:paraId="6F454300" w14:textId="77777777" w:rsidR="00143A36" w:rsidRPr="00C65CE9" w:rsidRDefault="00143A36" w:rsidP="00143A36">
      <w:pPr>
        <w:spacing w:after="0"/>
        <w:textboxTightWrap w:val="none"/>
        <w:rPr>
          <w:rStyle w:val="Hyperlink"/>
          <w:noProof/>
          <w:color w:val="auto"/>
        </w:rPr>
      </w:pPr>
    </w:p>
    <w:p w14:paraId="4F284658" w14:textId="77777777" w:rsidR="00143A36" w:rsidRPr="00C65CE9" w:rsidRDefault="00143A36" w:rsidP="00143A36">
      <w:pPr>
        <w:spacing w:after="0"/>
        <w:textboxTightWrap w:val="none"/>
        <w:rPr>
          <w:rStyle w:val="Hyperlink"/>
          <w:noProof/>
          <w:color w:val="auto"/>
        </w:rPr>
      </w:pPr>
      <w:r w:rsidRPr="00C65CE9">
        <w:rPr>
          <w:rStyle w:val="Hyperlink"/>
          <w:noProof/>
          <w:color w:val="auto"/>
        </w:rPr>
        <w:t>Some (or all) of the suppliers may be asked to undertake an interview or presentation to the Evaluation Panel, i.e. evidence may be sought that tenders are both sustainable and affordable.  Failure to provide satisfactory evidence to support this may result in the highest scoring tender being rejected.</w:t>
      </w:r>
    </w:p>
    <w:p w14:paraId="571F74A9" w14:textId="77777777" w:rsidR="00143A36" w:rsidRPr="00C65CE9" w:rsidRDefault="00143A36" w:rsidP="00143A36">
      <w:pPr>
        <w:spacing w:after="0"/>
        <w:textboxTightWrap w:val="none"/>
        <w:rPr>
          <w:rStyle w:val="Hyperlink"/>
          <w:noProof/>
          <w:color w:val="auto"/>
        </w:rPr>
      </w:pPr>
    </w:p>
    <w:p w14:paraId="6CCB574D" w14:textId="77777777" w:rsidR="00143A36" w:rsidRPr="00C65CE9" w:rsidRDefault="00143A36" w:rsidP="00143A36">
      <w:pPr>
        <w:spacing w:after="0"/>
        <w:textboxTightWrap w:val="none"/>
        <w:rPr>
          <w:rStyle w:val="Hyperlink"/>
          <w:b/>
          <w:noProof/>
          <w:color w:val="auto"/>
        </w:rPr>
      </w:pPr>
      <w:r w:rsidRPr="00C65CE9">
        <w:rPr>
          <w:rStyle w:val="Hyperlink"/>
          <w:b/>
          <w:noProof/>
          <w:color w:val="auto"/>
        </w:rPr>
        <w:lastRenderedPageBreak/>
        <w:t>There are no additional marks available for presentations; however marks may be deducted if the Evaluation Panel feel that the tenderer has not provided sufficient evidence to support their written tender.</w:t>
      </w:r>
    </w:p>
    <w:p w14:paraId="10412E97" w14:textId="77777777" w:rsidR="00143A36" w:rsidRDefault="00143A36" w:rsidP="00AF2313"/>
    <w:p w14:paraId="275BA996" w14:textId="287B5FC5" w:rsidR="00F8741E" w:rsidRPr="00C65CE9" w:rsidRDefault="00F95A26" w:rsidP="00F8741E">
      <w:pPr>
        <w:pStyle w:val="Heading2"/>
      </w:pPr>
      <w:bookmarkStart w:id="6" w:name="_Toc490145698"/>
      <w:r>
        <w:t xml:space="preserve">Category </w:t>
      </w:r>
      <w:r w:rsidR="00F8741E">
        <w:t>Weightings</w:t>
      </w:r>
      <w:bookmarkEnd w:id="6"/>
      <w:r w:rsidR="00F8741E" w:rsidRPr="00C65CE9">
        <w:t xml:space="preserve"> </w:t>
      </w:r>
    </w:p>
    <w:p w14:paraId="02859B84" w14:textId="77777777" w:rsidR="00F8741E" w:rsidRPr="00C65CE9" w:rsidRDefault="00F8741E" w:rsidP="00F8741E">
      <w:pPr>
        <w:spacing w:after="0"/>
        <w:textboxTightWrap w:val="none"/>
        <w:rPr>
          <w:rStyle w:val="Hyperlink"/>
          <w:noProof/>
          <w:color w:val="auto"/>
        </w:rPr>
      </w:pPr>
    </w:p>
    <w:p w14:paraId="360BDAED" w14:textId="0ACDE79E" w:rsidR="00F8741E" w:rsidRDefault="00F8741E" w:rsidP="00F8741E">
      <w:r>
        <w:t xml:space="preserve">Any award decision will be made based on the most economically advantageous bid using the following weightings, based </w:t>
      </w:r>
      <w:r w:rsidRPr="00585F78">
        <w:t xml:space="preserve">upon a </w:t>
      </w:r>
      <w:r w:rsidR="003828E8">
        <w:rPr>
          <w:b/>
          <w:bCs/>
        </w:rPr>
        <w:t>60/4</w:t>
      </w:r>
      <w:r w:rsidRPr="00585F78">
        <w:rPr>
          <w:b/>
          <w:bCs/>
        </w:rPr>
        <w:t xml:space="preserve">0 </w:t>
      </w:r>
      <w:r w:rsidRPr="00585F78">
        <w:t>split between</w:t>
      </w:r>
      <w:r>
        <w:t xml:space="preserve"> Quality and Cost.</w:t>
      </w:r>
    </w:p>
    <w:p w14:paraId="7FDA860B" w14:textId="77777777" w:rsidR="00F8741E" w:rsidRDefault="00F8741E" w:rsidP="00F8741E"/>
    <w:tbl>
      <w:tblPr>
        <w:tblW w:w="5000" w:type="pct"/>
        <w:tblLook w:val="04A0" w:firstRow="1" w:lastRow="0" w:firstColumn="1" w:lastColumn="0" w:noHBand="0" w:noVBand="1"/>
      </w:tblPr>
      <w:tblGrid>
        <w:gridCol w:w="1643"/>
        <w:gridCol w:w="1970"/>
        <w:gridCol w:w="1971"/>
        <w:gridCol w:w="1315"/>
        <w:gridCol w:w="1315"/>
        <w:gridCol w:w="1640"/>
      </w:tblGrid>
      <w:tr w:rsidR="00F8741E" w:rsidRPr="003B333D" w14:paraId="03D7997D" w14:textId="77777777" w:rsidTr="00F8741E">
        <w:trPr>
          <w:trHeight w:val="436"/>
          <w:tblHeader/>
        </w:trPr>
        <w:tc>
          <w:tcPr>
            <w:tcW w:w="834" w:type="pct"/>
            <w:tcBorders>
              <w:top w:val="single" w:sz="4" w:space="0" w:color="auto"/>
              <w:left w:val="single" w:sz="4" w:space="0" w:color="auto"/>
              <w:bottom w:val="single" w:sz="4" w:space="0" w:color="auto"/>
              <w:right w:val="single" w:sz="4" w:space="0" w:color="auto"/>
            </w:tcBorders>
            <w:shd w:val="clear" w:color="auto" w:fill="DBE5F1"/>
            <w:vAlign w:val="bottom"/>
            <w:hideMark/>
          </w:tcPr>
          <w:p w14:paraId="7D554CED" w14:textId="77777777" w:rsidR="00F8741E" w:rsidRPr="003B333D" w:rsidRDefault="00F8741E" w:rsidP="003E5485">
            <w:pPr>
              <w:rPr>
                <w:rFonts w:ascii="Calibri" w:hAnsi="Calibri"/>
                <w:b/>
                <w:bCs/>
                <w:color w:val="000000"/>
                <w:sz w:val="22"/>
                <w:szCs w:val="22"/>
              </w:rPr>
            </w:pPr>
            <w:r w:rsidRPr="0493161D">
              <w:rPr>
                <w:rFonts w:ascii="Calibri" w:hAnsi="Calibri"/>
                <w:b/>
                <w:bCs/>
                <w:color w:val="000000"/>
                <w:sz w:val="22"/>
                <w:szCs w:val="22"/>
              </w:rPr>
              <w:t>Requirement</w:t>
            </w:r>
          </w:p>
        </w:tc>
        <w:tc>
          <w:tcPr>
            <w:tcW w:w="1000" w:type="pct"/>
            <w:tcBorders>
              <w:top w:val="single" w:sz="4" w:space="0" w:color="auto"/>
              <w:left w:val="nil"/>
              <w:bottom w:val="single" w:sz="4" w:space="0" w:color="auto"/>
              <w:right w:val="single" w:sz="4" w:space="0" w:color="auto"/>
            </w:tcBorders>
            <w:shd w:val="clear" w:color="auto" w:fill="DBE5F1"/>
            <w:vAlign w:val="bottom"/>
            <w:hideMark/>
          </w:tcPr>
          <w:p w14:paraId="4C7526BE" w14:textId="77777777" w:rsidR="00F8741E" w:rsidRPr="003B333D" w:rsidRDefault="00F8741E" w:rsidP="003E5485">
            <w:pPr>
              <w:rPr>
                <w:rFonts w:ascii="Calibri" w:hAnsi="Calibri"/>
                <w:b/>
                <w:bCs/>
                <w:color w:val="000000"/>
                <w:sz w:val="22"/>
                <w:szCs w:val="22"/>
              </w:rPr>
            </w:pPr>
            <w:r w:rsidRPr="0493161D">
              <w:rPr>
                <w:rFonts w:ascii="Calibri" w:hAnsi="Calibri"/>
                <w:b/>
                <w:bCs/>
                <w:color w:val="000000"/>
                <w:sz w:val="22"/>
                <w:szCs w:val="22"/>
              </w:rPr>
              <w:t>Requirement Heading</w:t>
            </w:r>
          </w:p>
        </w:tc>
        <w:tc>
          <w:tcPr>
            <w:tcW w:w="1000" w:type="pct"/>
            <w:tcBorders>
              <w:top w:val="single" w:sz="4" w:space="0" w:color="auto"/>
              <w:left w:val="nil"/>
              <w:bottom w:val="single" w:sz="4" w:space="0" w:color="auto"/>
              <w:right w:val="single" w:sz="4" w:space="0" w:color="auto"/>
            </w:tcBorders>
            <w:shd w:val="clear" w:color="auto" w:fill="DBE5F1"/>
            <w:vAlign w:val="bottom"/>
            <w:hideMark/>
          </w:tcPr>
          <w:p w14:paraId="455C3099" w14:textId="77777777" w:rsidR="00F8741E" w:rsidRPr="003B333D" w:rsidRDefault="00F8741E" w:rsidP="003E5485">
            <w:pPr>
              <w:rPr>
                <w:rFonts w:ascii="Calibri" w:hAnsi="Calibri"/>
                <w:b/>
                <w:bCs/>
                <w:color w:val="000000"/>
                <w:sz w:val="22"/>
                <w:szCs w:val="22"/>
              </w:rPr>
            </w:pPr>
            <w:r w:rsidRPr="0493161D">
              <w:rPr>
                <w:rFonts w:ascii="Calibri" w:hAnsi="Calibri"/>
                <w:b/>
                <w:bCs/>
                <w:color w:val="000000"/>
                <w:sz w:val="22"/>
                <w:szCs w:val="22"/>
              </w:rPr>
              <w:t>Requirement Category</w:t>
            </w:r>
          </w:p>
        </w:tc>
        <w:tc>
          <w:tcPr>
            <w:tcW w:w="667" w:type="pct"/>
            <w:tcBorders>
              <w:top w:val="single" w:sz="4" w:space="0" w:color="auto"/>
              <w:left w:val="nil"/>
              <w:bottom w:val="single" w:sz="4" w:space="0" w:color="auto"/>
              <w:right w:val="single" w:sz="4" w:space="0" w:color="auto"/>
            </w:tcBorders>
            <w:shd w:val="clear" w:color="auto" w:fill="DBE5F1"/>
            <w:vAlign w:val="bottom"/>
            <w:hideMark/>
          </w:tcPr>
          <w:p w14:paraId="7CC134CC" w14:textId="77777777" w:rsidR="00F8741E" w:rsidRPr="00AD3291" w:rsidRDefault="00F8741E" w:rsidP="003E5485">
            <w:pPr>
              <w:rPr>
                <w:rFonts w:ascii="Calibri" w:hAnsi="Calibri"/>
                <w:b/>
                <w:bCs/>
                <w:color w:val="000000"/>
                <w:sz w:val="22"/>
                <w:szCs w:val="22"/>
              </w:rPr>
            </w:pPr>
            <w:r w:rsidRPr="00AD3291">
              <w:rPr>
                <w:rFonts w:ascii="Calibri" w:hAnsi="Calibri"/>
                <w:b/>
                <w:bCs/>
                <w:color w:val="000000"/>
                <w:sz w:val="22"/>
                <w:szCs w:val="22"/>
              </w:rPr>
              <w:t>% of Category</w:t>
            </w:r>
          </w:p>
        </w:tc>
        <w:tc>
          <w:tcPr>
            <w:tcW w:w="667" w:type="pct"/>
            <w:tcBorders>
              <w:top w:val="single" w:sz="4" w:space="0" w:color="auto"/>
              <w:left w:val="nil"/>
              <w:bottom w:val="single" w:sz="4" w:space="0" w:color="auto"/>
              <w:right w:val="single" w:sz="4" w:space="0" w:color="auto"/>
            </w:tcBorders>
            <w:shd w:val="clear" w:color="auto" w:fill="DBE5F1"/>
            <w:vAlign w:val="bottom"/>
            <w:hideMark/>
          </w:tcPr>
          <w:p w14:paraId="1B13606F" w14:textId="77777777" w:rsidR="00F8741E" w:rsidRPr="00AD3291" w:rsidRDefault="00F8741E" w:rsidP="003E5485">
            <w:pPr>
              <w:rPr>
                <w:rFonts w:ascii="Calibri" w:hAnsi="Calibri"/>
                <w:b/>
                <w:bCs/>
                <w:color w:val="000000"/>
                <w:sz w:val="22"/>
                <w:szCs w:val="22"/>
              </w:rPr>
            </w:pPr>
            <w:r w:rsidRPr="00AD3291">
              <w:rPr>
                <w:rFonts w:ascii="Calibri" w:hAnsi="Calibri"/>
                <w:b/>
                <w:bCs/>
                <w:color w:val="000000"/>
                <w:sz w:val="22"/>
                <w:szCs w:val="22"/>
              </w:rPr>
              <w:t>Category Weight</w:t>
            </w:r>
          </w:p>
        </w:tc>
        <w:tc>
          <w:tcPr>
            <w:tcW w:w="832" w:type="pct"/>
            <w:tcBorders>
              <w:top w:val="single" w:sz="4" w:space="0" w:color="auto"/>
              <w:left w:val="nil"/>
              <w:bottom w:val="single" w:sz="4" w:space="0" w:color="auto"/>
              <w:right w:val="single" w:sz="4" w:space="0" w:color="auto"/>
            </w:tcBorders>
            <w:shd w:val="clear" w:color="auto" w:fill="DBE5F1"/>
            <w:vAlign w:val="bottom"/>
            <w:hideMark/>
          </w:tcPr>
          <w:p w14:paraId="51675292" w14:textId="77777777" w:rsidR="00F8741E" w:rsidRPr="00AD3291" w:rsidRDefault="00F8741E" w:rsidP="003E5485">
            <w:pPr>
              <w:rPr>
                <w:rFonts w:ascii="Calibri" w:hAnsi="Calibri"/>
                <w:b/>
                <w:bCs/>
                <w:color w:val="000000"/>
                <w:sz w:val="22"/>
                <w:szCs w:val="22"/>
              </w:rPr>
            </w:pPr>
            <w:r w:rsidRPr="00AD3291">
              <w:rPr>
                <w:rFonts w:ascii="Calibri" w:hAnsi="Calibri"/>
                <w:b/>
                <w:bCs/>
                <w:color w:val="000000"/>
                <w:sz w:val="22"/>
                <w:szCs w:val="22"/>
              </w:rPr>
              <w:t>% of overall score</w:t>
            </w:r>
          </w:p>
        </w:tc>
      </w:tr>
      <w:tr w:rsidR="00AD3291" w14:paraId="409233D1" w14:textId="77777777" w:rsidTr="00A670B7">
        <w:trPr>
          <w:trHeight w:val="377"/>
        </w:trPr>
        <w:tc>
          <w:tcPr>
            <w:tcW w:w="834" w:type="pct"/>
            <w:tcBorders>
              <w:top w:val="nil"/>
              <w:left w:val="single" w:sz="4" w:space="0" w:color="auto"/>
              <w:bottom w:val="single" w:sz="4" w:space="0" w:color="auto"/>
              <w:right w:val="single" w:sz="4" w:space="0" w:color="auto"/>
            </w:tcBorders>
            <w:shd w:val="clear" w:color="auto" w:fill="auto"/>
            <w:vAlign w:val="center"/>
          </w:tcPr>
          <w:p w14:paraId="0127F9DA" w14:textId="3DA48449" w:rsidR="00AD3291" w:rsidRPr="00E67492" w:rsidRDefault="00AD3291" w:rsidP="00585F78">
            <w:pPr>
              <w:rPr>
                <w:rFonts w:ascii="Calibri" w:hAnsi="Calibri"/>
                <w:bCs/>
                <w:color w:val="auto"/>
                <w:sz w:val="22"/>
                <w:szCs w:val="22"/>
              </w:rPr>
            </w:pPr>
            <w:r w:rsidRPr="00E67492">
              <w:rPr>
                <w:rFonts w:ascii="Calibri" w:hAnsi="Calibri"/>
                <w:bCs/>
                <w:color w:val="auto"/>
                <w:sz w:val="22"/>
                <w:szCs w:val="22"/>
              </w:rPr>
              <w:fldChar w:fldCharType="begin"/>
            </w:r>
            <w:r w:rsidRPr="00E67492">
              <w:rPr>
                <w:rFonts w:ascii="Calibri" w:hAnsi="Calibri"/>
                <w:bCs/>
                <w:color w:val="auto"/>
                <w:sz w:val="22"/>
                <w:szCs w:val="22"/>
              </w:rPr>
              <w:instrText xml:space="preserve"> REF _Ref486343339 \r \h  \* MERGEFORMAT </w:instrText>
            </w:r>
            <w:r w:rsidRPr="00E67492">
              <w:rPr>
                <w:rFonts w:ascii="Calibri" w:hAnsi="Calibri"/>
                <w:bCs/>
                <w:color w:val="auto"/>
                <w:sz w:val="22"/>
                <w:szCs w:val="22"/>
              </w:rPr>
            </w:r>
            <w:r w:rsidRPr="00E67492">
              <w:rPr>
                <w:rFonts w:ascii="Calibri" w:hAnsi="Calibri"/>
                <w:bCs/>
                <w:color w:val="auto"/>
                <w:sz w:val="22"/>
                <w:szCs w:val="22"/>
              </w:rPr>
              <w:fldChar w:fldCharType="separate"/>
            </w:r>
            <w:r>
              <w:rPr>
                <w:rFonts w:ascii="Calibri" w:hAnsi="Calibri"/>
                <w:bCs/>
                <w:color w:val="auto"/>
                <w:sz w:val="22"/>
                <w:szCs w:val="22"/>
              </w:rPr>
              <w:t>4</w:t>
            </w:r>
            <w:r w:rsidRPr="00E67492">
              <w:rPr>
                <w:rFonts w:ascii="Calibri" w:hAnsi="Calibri"/>
                <w:bCs/>
                <w:color w:val="auto"/>
                <w:sz w:val="22"/>
                <w:szCs w:val="22"/>
              </w:rPr>
              <w:t>.1.1</w:t>
            </w:r>
            <w:r w:rsidRPr="00E67492">
              <w:rPr>
                <w:rFonts w:ascii="Calibri" w:hAnsi="Calibri"/>
                <w:bCs/>
                <w:color w:val="auto"/>
                <w:sz w:val="22"/>
                <w:szCs w:val="22"/>
              </w:rPr>
              <w:fldChar w:fldCharType="end"/>
            </w:r>
            <w:r>
              <w:rPr>
                <w:rFonts w:ascii="Calibri" w:hAnsi="Calibri"/>
                <w:bCs/>
                <w:color w:val="auto"/>
                <w:sz w:val="22"/>
                <w:szCs w:val="22"/>
              </w:rPr>
              <w:t>.x</w:t>
            </w:r>
          </w:p>
        </w:tc>
        <w:tc>
          <w:tcPr>
            <w:tcW w:w="1000" w:type="pct"/>
            <w:vMerge w:val="restart"/>
            <w:tcBorders>
              <w:top w:val="single" w:sz="4" w:space="0" w:color="auto"/>
              <w:left w:val="nil"/>
              <w:right w:val="single" w:sz="4" w:space="0" w:color="auto"/>
            </w:tcBorders>
            <w:shd w:val="clear" w:color="auto" w:fill="auto"/>
            <w:vAlign w:val="center"/>
          </w:tcPr>
          <w:p w14:paraId="75A8BE77" w14:textId="1FCED04D" w:rsidR="00AD3291" w:rsidRPr="00E67492" w:rsidRDefault="00AD3291" w:rsidP="00585F78">
            <w:pPr>
              <w:rPr>
                <w:rFonts w:ascii="Calibri" w:hAnsi="Calibri"/>
                <w:bCs/>
                <w:color w:val="auto"/>
                <w:sz w:val="22"/>
                <w:szCs w:val="22"/>
              </w:rPr>
            </w:pPr>
            <w:r w:rsidRPr="00E67492">
              <w:rPr>
                <w:rFonts w:ascii="Calibri" w:hAnsi="Calibri"/>
                <w:bCs/>
                <w:color w:val="auto"/>
                <w:sz w:val="22"/>
                <w:szCs w:val="22"/>
              </w:rPr>
              <w:t>Fitness for Purpose including Quality</w:t>
            </w:r>
          </w:p>
        </w:tc>
        <w:tc>
          <w:tcPr>
            <w:tcW w:w="1000" w:type="pct"/>
            <w:tcBorders>
              <w:top w:val="nil"/>
              <w:left w:val="nil"/>
              <w:bottom w:val="single" w:sz="4" w:space="0" w:color="auto"/>
              <w:right w:val="single" w:sz="4" w:space="0" w:color="auto"/>
            </w:tcBorders>
            <w:shd w:val="clear" w:color="auto" w:fill="auto"/>
            <w:vAlign w:val="center"/>
          </w:tcPr>
          <w:p w14:paraId="659FC3C1" w14:textId="71CA05FB" w:rsidR="00AD3291" w:rsidRPr="00E67492" w:rsidRDefault="00AD3291" w:rsidP="00585F78">
            <w:pPr>
              <w:rPr>
                <w:rFonts w:ascii="Calibri" w:hAnsi="Calibri"/>
                <w:bCs/>
                <w:color w:val="auto"/>
                <w:sz w:val="22"/>
                <w:szCs w:val="22"/>
              </w:rPr>
            </w:pPr>
            <w:r>
              <w:rPr>
                <w:rFonts w:ascii="Calibri" w:hAnsi="Calibri"/>
                <w:bCs/>
                <w:color w:val="auto"/>
                <w:sz w:val="22"/>
                <w:szCs w:val="22"/>
              </w:rPr>
              <w:t>Customer Requirements*</w:t>
            </w:r>
          </w:p>
        </w:tc>
        <w:tc>
          <w:tcPr>
            <w:tcW w:w="667" w:type="pct"/>
            <w:tcBorders>
              <w:top w:val="nil"/>
              <w:left w:val="nil"/>
              <w:bottom w:val="single" w:sz="4" w:space="0" w:color="auto"/>
              <w:right w:val="single" w:sz="4" w:space="0" w:color="auto"/>
            </w:tcBorders>
            <w:shd w:val="clear" w:color="auto" w:fill="auto"/>
            <w:vAlign w:val="center"/>
          </w:tcPr>
          <w:p w14:paraId="3D25B754" w14:textId="5BA40868" w:rsidR="00AD3291" w:rsidRPr="00E67492" w:rsidRDefault="00AD3291" w:rsidP="00585F78">
            <w:pPr>
              <w:rPr>
                <w:rFonts w:ascii="Calibri" w:hAnsi="Calibri"/>
                <w:bCs/>
                <w:color w:val="auto"/>
                <w:sz w:val="22"/>
                <w:szCs w:val="22"/>
              </w:rPr>
            </w:pPr>
            <w:r>
              <w:rPr>
                <w:rFonts w:ascii="Calibri" w:hAnsi="Calibri"/>
                <w:bCs/>
                <w:color w:val="auto"/>
                <w:sz w:val="22"/>
                <w:szCs w:val="22"/>
              </w:rPr>
              <w:t>60%</w:t>
            </w:r>
          </w:p>
        </w:tc>
        <w:tc>
          <w:tcPr>
            <w:tcW w:w="667" w:type="pct"/>
            <w:vMerge w:val="restart"/>
            <w:tcBorders>
              <w:top w:val="nil"/>
              <w:left w:val="nil"/>
              <w:right w:val="single" w:sz="4" w:space="0" w:color="auto"/>
            </w:tcBorders>
            <w:shd w:val="clear" w:color="auto" w:fill="auto"/>
            <w:vAlign w:val="center"/>
          </w:tcPr>
          <w:p w14:paraId="6AF6E0CA" w14:textId="7B3CB75B" w:rsidR="00AD3291" w:rsidRPr="00F8741E" w:rsidRDefault="003828E8" w:rsidP="00585F78">
            <w:pPr>
              <w:rPr>
                <w:rFonts w:ascii="Calibri" w:hAnsi="Calibri"/>
                <w:bCs/>
                <w:color w:val="auto"/>
                <w:sz w:val="22"/>
                <w:szCs w:val="22"/>
              </w:rPr>
            </w:pPr>
            <w:r>
              <w:rPr>
                <w:rFonts w:ascii="Calibri" w:hAnsi="Calibri"/>
                <w:bCs/>
                <w:color w:val="auto"/>
                <w:sz w:val="22"/>
                <w:szCs w:val="22"/>
              </w:rPr>
              <w:t>6</w:t>
            </w:r>
            <w:r w:rsidR="00AD3291">
              <w:rPr>
                <w:rFonts w:ascii="Calibri" w:hAnsi="Calibri"/>
                <w:bCs/>
                <w:color w:val="auto"/>
                <w:sz w:val="22"/>
                <w:szCs w:val="22"/>
              </w:rPr>
              <w:t>0%</w:t>
            </w:r>
          </w:p>
        </w:tc>
        <w:tc>
          <w:tcPr>
            <w:tcW w:w="832" w:type="pct"/>
            <w:tcBorders>
              <w:top w:val="nil"/>
              <w:left w:val="nil"/>
              <w:bottom w:val="single" w:sz="4" w:space="0" w:color="auto"/>
              <w:right w:val="single" w:sz="4" w:space="0" w:color="auto"/>
            </w:tcBorders>
            <w:shd w:val="clear" w:color="auto" w:fill="auto"/>
            <w:vAlign w:val="center"/>
          </w:tcPr>
          <w:p w14:paraId="1C1A85F8" w14:textId="7594DCA4" w:rsidR="00AD3291" w:rsidRPr="00AD3291" w:rsidRDefault="00AD3291" w:rsidP="00585F78">
            <w:pPr>
              <w:rPr>
                <w:rFonts w:ascii="Calibri" w:hAnsi="Calibri"/>
                <w:bCs/>
                <w:color w:val="auto"/>
                <w:sz w:val="22"/>
                <w:szCs w:val="22"/>
              </w:rPr>
            </w:pPr>
            <w:r w:rsidRPr="00AD3291">
              <w:rPr>
                <w:rFonts w:ascii="Calibri" w:hAnsi="Calibri"/>
                <w:bCs/>
                <w:color w:val="auto"/>
                <w:sz w:val="22"/>
                <w:szCs w:val="22"/>
              </w:rPr>
              <w:t>42%</w:t>
            </w:r>
          </w:p>
        </w:tc>
      </w:tr>
      <w:tr w:rsidR="00AD3291" w14:paraId="61DCBFE3" w14:textId="77777777" w:rsidTr="00A670B7">
        <w:trPr>
          <w:trHeight w:val="377"/>
        </w:trPr>
        <w:tc>
          <w:tcPr>
            <w:tcW w:w="834" w:type="pct"/>
            <w:tcBorders>
              <w:top w:val="nil"/>
              <w:left w:val="single" w:sz="4" w:space="0" w:color="auto"/>
              <w:bottom w:val="single" w:sz="4" w:space="0" w:color="auto"/>
              <w:right w:val="single" w:sz="4" w:space="0" w:color="auto"/>
            </w:tcBorders>
            <w:shd w:val="clear" w:color="auto" w:fill="auto"/>
            <w:vAlign w:val="center"/>
          </w:tcPr>
          <w:p w14:paraId="43DA9FA8" w14:textId="75A52F1C" w:rsidR="00AD3291" w:rsidRPr="00E67492" w:rsidRDefault="00AD3291" w:rsidP="00585F78">
            <w:pPr>
              <w:rPr>
                <w:rFonts w:ascii="Calibri" w:hAnsi="Calibri"/>
                <w:bCs/>
                <w:color w:val="auto"/>
                <w:sz w:val="22"/>
                <w:szCs w:val="22"/>
              </w:rPr>
            </w:pPr>
            <w:r w:rsidRPr="00E67492">
              <w:rPr>
                <w:rFonts w:ascii="Calibri" w:hAnsi="Calibri"/>
                <w:bCs/>
                <w:color w:val="auto"/>
                <w:sz w:val="22"/>
                <w:szCs w:val="22"/>
              </w:rPr>
              <w:fldChar w:fldCharType="begin"/>
            </w:r>
            <w:r w:rsidRPr="00E67492">
              <w:rPr>
                <w:rFonts w:ascii="Calibri" w:hAnsi="Calibri"/>
                <w:bCs/>
                <w:color w:val="auto"/>
                <w:sz w:val="22"/>
                <w:szCs w:val="22"/>
              </w:rPr>
              <w:instrText xml:space="preserve"> REF _Ref486343365 \r \h  \* MERGEFORMAT </w:instrText>
            </w:r>
            <w:r w:rsidRPr="00E67492">
              <w:rPr>
                <w:rFonts w:ascii="Calibri" w:hAnsi="Calibri"/>
                <w:bCs/>
                <w:color w:val="auto"/>
                <w:sz w:val="22"/>
                <w:szCs w:val="22"/>
              </w:rPr>
            </w:r>
            <w:r w:rsidRPr="00E67492">
              <w:rPr>
                <w:rFonts w:ascii="Calibri" w:hAnsi="Calibri"/>
                <w:bCs/>
                <w:color w:val="auto"/>
                <w:sz w:val="22"/>
                <w:szCs w:val="22"/>
              </w:rPr>
              <w:fldChar w:fldCharType="separate"/>
            </w:r>
            <w:r>
              <w:rPr>
                <w:rFonts w:ascii="Calibri" w:hAnsi="Calibri"/>
                <w:bCs/>
                <w:color w:val="auto"/>
                <w:sz w:val="22"/>
                <w:szCs w:val="22"/>
              </w:rPr>
              <w:t>4</w:t>
            </w:r>
            <w:r w:rsidRPr="00E67492">
              <w:rPr>
                <w:rFonts w:ascii="Calibri" w:hAnsi="Calibri"/>
                <w:bCs/>
                <w:color w:val="auto"/>
                <w:sz w:val="22"/>
                <w:szCs w:val="22"/>
              </w:rPr>
              <w:t>.1.2</w:t>
            </w:r>
            <w:r w:rsidRPr="00E67492">
              <w:rPr>
                <w:rFonts w:ascii="Calibri" w:hAnsi="Calibri"/>
                <w:bCs/>
                <w:color w:val="auto"/>
                <w:sz w:val="22"/>
                <w:szCs w:val="22"/>
              </w:rPr>
              <w:fldChar w:fldCharType="end"/>
            </w:r>
            <w:r>
              <w:rPr>
                <w:rFonts w:ascii="Calibri" w:hAnsi="Calibri"/>
                <w:bCs/>
                <w:color w:val="auto"/>
                <w:sz w:val="22"/>
                <w:szCs w:val="22"/>
              </w:rPr>
              <w:t>.x</w:t>
            </w:r>
          </w:p>
        </w:tc>
        <w:tc>
          <w:tcPr>
            <w:tcW w:w="1000" w:type="pct"/>
            <w:vMerge/>
            <w:tcBorders>
              <w:left w:val="nil"/>
              <w:right w:val="single" w:sz="4" w:space="0" w:color="auto"/>
            </w:tcBorders>
            <w:shd w:val="clear" w:color="auto" w:fill="auto"/>
            <w:vAlign w:val="center"/>
          </w:tcPr>
          <w:p w14:paraId="352BDBDB" w14:textId="0B0EB6C4" w:rsidR="00AD3291" w:rsidRPr="00E67492" w:rsidRDefault="00AD3291" w:rsidP="00585F78">
            <w:pPr>
              <w:rPr>
                <w:rFonts w:ascii="Calibri" w:hAnsi="Calibri"/>
                <w:bCs/>
                <w:color w:val="auto"/>
                <w:sz w:val="22"/>
                <w:szCs w:val="22"/>
              </w:rPr>
            </w:pPr>
          </w:p>
        </w:tc>
        <w:tc>
          <w:tcPr>
            <w:tcW w:w="1000" w:type="pct"/>
            <w:tcBorders>
              <w:top w:val="nil"/>
              <w:left w:val="nil"/>
              <w:bottom w:val="single" w:sz="4" w:space="0" w:color="auto"/>
              <w:right w:val="single" w:sz="4" w:space="0" w:color="auto"/>
            </w:tcBorders>
            <w:shd w:val="clear" w:color="auto" w:fill="auto"/>
            <w:vAlign w:val="center"/>
          </w:tcPr>
          <w:p w14:paraId="6E9E22A5" w14:textId="0718C1D1" w:rsidR="00AD3291" w:rsidRPr="00E67492" w:rsidRDefault="00AD3291" w:rsidP="00585F78">
            <w:pPr>
              <w:rPr>
                <w:rFonts w:ascii="Calibri" w:hAnsi="Calibri"/>
                <w:bCs/>
                <w:color w:val="auto"/>
                <w:sz w:val="22"/>
                <w:szCs w:val="22"/>
              </w:rPr>
            </w:pPr>
            <w:r>
              <w:rPr>
                <w:rFonts w:ascii="Calibri" w:hAnsi="Calibri"/>
                <w:bCs/>
                <w:color w:val="auto"/>
                <w:sz w:val="22"/>
                <w:szCs w:val="22"/>
              </w:rPr>
              <w:t>Non-Functional Requirements*</w:t>
            </w:r>
          </w:p>
        </w:tc>
        <w:tc>
          <w:tcPr>
            <w:tcW w:w="667" w:type="pct"/>
            <w:tcBorders>
              <w:top w:val="nil"/>
              <w:left w:val="nil"/>
              <w:bottom w:val="single" w:sz="4" w:space="0" w:color="auto"/>
              <w:right w:val="single" w:sz="4" w:space="0" w:color="auto"/>
            </w:tcBorders>
            <w:shd w:val="clear" w:color="auto" w:fill="auto"/>
            <w:vAlign w:val="center"/>
          </w:tcPr>
          <w:p w14:paraId="43A3F5B9" w14:textId="27DC7C95" w:rsidR="00AD3291" w:rsidRPr="00E67492" w:rsidRDefault="00AD3291" w:rsidP="00585F78">
            <w:pPr>
              <w:rPr>
                <w:rFonts w:ascii="Calibri" w:hAnsi="Calibri"/>
                <w:bCs/>
                <w:color w:val="auto"/>
                <w:sz w:val="22"/>
                <w:szCs w:val="22"/>
              </w:rPr>
            </w:pPr>
            <w:r>
              <w:rPr>
                <w:rFonts w:ascii="Calibri" w:hAnsi="Calibri"/>
                <w:bCs/>
                <w:color w:val="auto"/>
                <w:sz w:val="22"/>
                <w:szCs w:val="22"/>
              </w:rPr>
              <w:t>20%</w:t>
            </w:r>
          </w:p>
        </w:tc>
        <w:tc>
          <w:tcPr>
            <w:tcW w:w="667" w:type="pct"/>
            <w:vMerge/>
            <w:tcBorders>
              <w:left w:val="nil"/>
              <w:right w:val="single" w:sz="4" w:space="0" w:color="auto"/>
            </w:tcBorders>
            <w:shd w:val="clear" w:color="auto" w:fill="auto"/>
            <w:vAlign w:val="center"/>
          </w:tcPr>
          <w:p w14:paraId="041695B3" w14:textId="77777777" w:rsidR="00AD3291" w:rsidRPr="00E67492" w:rsidRDefault="00AD3291" w:rsidP="00585F78">
            <w:pPr>
              <w:rPr>
                <w:rFonts w:ascii="Calibri" w:hAnsi="Calibri"/>
                <w:bCs/>
                <w:color w:val="auto"/>
                <w:sz w:val="22"/>
                <w:szCs w:val="22"/>
              </w:rPr>
            </w:pPr>
          </w:p>
        </w:tc>
        <w:tc>
          <w:tcPr>
            <w:tcW w:w="832" w:type="pct"/>
            <w:tcBorders>
              <w:top w:val="nil"/>
              <w:left w:val="nil"/>
              <w:bottom w:val="single" w:sz="4" w:space="0" w:color="auto"/>
              <w:right w:val="single" w:sz="4" w:space="0" w:color="auto"/>
            </w:tcBorders>
            <w:shd w:val="clear" w:color="auto" w:fill="auto"/>
            <w:vAlign w:val="center"/>
          </w:tcPr>
          <w:p w14:paraId="71799F2F" w14:textId="7CAC3010" w:rsidR="00AD3291" w:rsidRPr="00AD3291" w:rsidRDefault="00AD3291" w:rsidP="00585F78">
            <w:pPr>
              <w:rPr>
                <w:rFonts w:ascii="Calibri" w:hAnsi="Calibri"/>
                <w:bCs/>
                <w:color w:val="auto"/>
                <w:sz w:val="22"/>
                <w:szCs w:val="22"/>
              </w:rPr>
            </w:pPr>
            <w:r w:rsidRPr="00AD3291">
              <w:rPr>
                <w:rFonts w:ascii="Calibri" w:hAnsi="Calibri"/>
                <w:bCs/>
                <w:color w:val="auto"/>
                <w:sz w:val="22"/>
                <w:szCs w:val="22"/>
              </w:rPr>
              <w:t>14%</w:t>
            </w:r>
          </w:p>
        </w:tc>
      </w:tr>
      <w:tr w:rsidR="00AD3291" w14:paraId="206EBB16" w14:textId="77777777" w:rsidTr="00A670B7">
        <w:trPr>
          <w:trHeight w:val="119"/>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10ECC9B2" w14:textId="1D6172A2" w:rsidR="00AD3291" w:rsidRPr="00E67492" w:rsidRDefault="00AD3291" w:rsidP="00585F78">
            <w:pPr>
              <w:rPr>
                <w:rFonts w:ascii="Calibri" w:hAnsi="Calibri"/>
                <w:bCs/>
                <w:color w:val="auto"/>
                <w:sz w:val="22"/>
                <w:szCs w:val="22"/>
              </w:rPr>
            </w:pPr>
            <w:r>
              <w:rPr>
                <w:rFonts w:ascii="Calibri" w:hAnsi="Calibri"/>
                <w:bCs/>
                <w:color w:val="auto"/>
                <w:sz w:val="22"/>
                <w:szCs w:val="22"/>
              </w:rPr>
              <w:t>4</w:t>
            </w:r>
            <w:r w:rsidRPr="00E67492">
              <w:rPr>
                <w:rFonts w:ascii="Calibri" w:hAnsi="Calibri"/>
                <w:bCs/>
                <w:color w:val="auto"/>
                <w:sz w:val="22"/>
                <w:szCs w:val="22"/>
              </w:rPr>
              <w:t>.2.1</w:t>
            </w:r>
          </w:p>
        </w:tc>
        <w:tc>
          <w:tcPr>
            <w:tcW w:w="1000" w:type="pct"/>
            <w:vMerge/>
            <w:tcBorders>
              <w:left w:val="nil"/>
              <w:bottom w:val="single" w:sz="4" w:space="0" w:color="auto"/>
              <w:right w:val="single" w:sz="4" w:space="0" w:color="auto"/>
            </w:tcBorders>
            <w:shd w:val="clear" w:color="auto" w:fill="auto"/>
            <w:vAlign w:val="center"/>
            <w:hideMark/>
          </w:tcPr>
          <w:p w14:paraId="670272DA" w14:textId="7031AA56" w:rsidR="00AD3291" w:rsidRPr="00E67492" w:rsidRDefault="00AD3291" w:rsidP="00585F78">
            <w:pPr>
              <w:rPr>
                <w:rFonts w:ascii="Calibri" w:hAnsi="Calibri"/>
                <w:bCs/>
                <w:color w:val="auto"/>
                <w:sz w:val="22"/>
                <w:szCs w:val="22"/>
              </w:rPr>
            </w:pPr>
          </w:p>
        </w:tc>
        <w:tc>
          <w:tcPr>
            <w:tcW w:w="1000" w:type="pct"/>
            <w:tcBorders>
              <w:top w:val="nil"/>
              <w:left w:val="nil"/>
              <w:bottom w:val="single" w:sz="4" w:space="0" w:color="auto"/>
              <w:right w:val="single" w:sz="4" w:space="0" w:color="auto"/>
            </w:tcBorders>
            <w:shd w:val="clear" w:color="auto" w:fill="auto"/>
            <w:vAlign w:val="center"/>
            <w:hideMark/>
          </w:tcPr>
          <w:p w14:paraId="63FCF015" w14:textId="051686E7" w:rsidR="00AD3291" w:rsidRPr="00E67492" w:rsidRDefault="00AD3291" w:rsidP="00585F78">
            <w:pPr>
              <w:rPr>
                <w:rFonts w:ascii="Calibri" w:hAnsi="Calibri"/>
                <w:bCs/>
                <w:color w:val="auto"/>
                <w:sz w:val="22"/>
                <w:szCs w:val="22"/>
              </w:rPr>
            </w:pPr>
            <w:r>
              <w:rPr>
                <w:rFonts w:ascii="Calibri" w:hAnsi="Calibri"/>
                <w:bCs/>
                <w:color w:val="auto"/>
                <w:sz w:val="22"/>
                <w:szCs w:val="22"/>
              </w:rPr>
              <w:t>Maintenance and Support*</w:t>
            </w:r>
          </w:p>
        </w:tc>
        <w:tc>
          <w:tcPr>
            <w:tcW w:w="667" w:type="pct"/>
            <w:tcBorders>
              <w:top w:val="single" w:sz="4" w:space="0" w:color="auto"/>
              <w:left w:val="nil"/>
              <w:bottom w:val="single" w:sz="4" w:space="0" w:color="auto"/>
              <w:right w:val="single" w:sz="4" w:space="0" w:color="auto"/>
            </w:tcBorders>
            <w:shd w:val="clear" w:color="auto" w:fill="auto"/>
            <w:hideMark/>
          </w:tcPr>
          <w:p w14:paraId="79933C21" w14:textId="494F193D" w:rsidR="00AD3291" w:rsidRPr="00F8741E" w:rsidRDefault="00AD3291" w:rsidP="00585F78">
            <w:pPr>
              <w:rPr>
                <w:rFonts w:ascii="Calibri" w:hAnsi="Calibri"/>
                <w:bCs/>
                <w:color w:val="auto"/>
                <w:sz w:val="22"/>
                <w:szCs w:val="22"/>
              </w:rPr>
            </w:pPr>
            <w:r>
              <w:rPr>
                <w:rFonts w:ascii="Calibri" w:hAnsi="Calibri"/>
                <w:bCs/>
                <w:color w:val="auto"/>
                <w:sz w:val="22"/>
                <w:szCs w:val="22"/>
              </w:rPr>
              <w:t>20%</w:t>
            </w:r>
          </w:p>
        </w:tc>
        <w:tc>
          <w:tcPr>
            <w:tcW w:w="667" w:type="pct"/>
            <w:vMerge/>
            <w:tcBorders>
              <w:left w:val="nil"/>
              <w:right w:val="single" w:sz="4" w:space="0" w:color="auto"/>
            </w:tcBorders>
            <w:shd w:val="clear" w:color="auto" w:fill="auto"/>
            <w:vAlign w:val="center"/>
          </w:tcPr>
          <w:p w14:paraId="2076AA69" w14:textId="17A74DA2" w:rsidR="00AD3291" w:rsidRPr="00F8741E" w:rsidRDefault="00AD3291" w:rsidP="00585F78">
            <w:pPr>
              <w:rPr>
                <w:rFonts w:ascii="Calibri" w:hAnsi="Calibri"/>
                <w:bCs/>
                <w:color w:val="auto"/>
                <w:sz w:val="22"/>
                <w:szCs w:val="22"/>
              </w:rPr>
            </w:pPr>
          </w:p>
        </w:tc>
        <w:tc>
          <w:tcPr>
            <w:tcW w:w="832" w:type="pct"/>
            <w:tcBorders>
              <w:top w:val="single" w:sz="4" w:space="0" w:color="auto"/>
              <w:left w:val="nil"/>
              <w:bottom w:val="single" w:sz="4" w:space="0" w:color="auto"/>
              <w:right w:val="single" w:sz="4" w:space="0" w:color="auto"/>
            </w:tcBorders>
            <w:shd w:val="clear" w:color="auto" w:fill="auto"/>
          </w:tcPr>
          <w:p w14:paraId="037451B2" w14:textId="28B261C8" w:rsidR="00AD3291" w:rsidRPr="00AD3291" w:rsidRDefault="00AD3291" w:rsidP="00585F78">
            <w:pPr>
              <w:rPr>
                <w:rFonts w:ascii="Calibri" w:hAnsi="Calibri"/>
                <w:bCs/>
                <w:color w:val="auto"/>
                <w:sz w:val="22"/>
                <w:szCs w:val="22"/>
              </w:rPr>
            </w:pPr>
            <w:r w:rsidRPr="00AD3291">
              <w:rPr>
                <w:rFonts w:ascii="Calibri" w:hAnsi="Calibri"/>
                <w:bCs/>
                <w:color w:val="auto"/>
                <w:sz w:val="22"/>
                <w:szCs w:val="22"/>
              </w:rPr>
              <w:t>14%</w:t>
            </w:r>
          </w:p>
        </w:tc>
      </w:tr>
      <w:tr w:rsidR="00585F78" w14:paraId="1E1B702C" w14:textId="77777777" w:rsidTr="00F8741E">
        <w:trPr>
          <w:trHeight w:val="152"/>
        </w:trPr>
        <w:tc>
          <w:tcPr>
            <w:tcW w:w="834" w:type="pct"/>
            <w:tcBorders>
              <w:top w:val="nil"/>
              <w:left w:val="single" w:sz="4" w:space="0" w:color="auto"/>
              <w:bottom w:val="single" w:sz="4" w:space="0" w:color="auto"/>
              <w:right w:val="single" w:sz="4" w:space="0" w:color="auto"/>
            </w:tcBorders>
            <w:shd w:val="clear" w:color="auto" w:fill="auto"/>
            <w:vAlign w:val="center"/>
            <w:hideMark/>
          </w:tcPr>
          <w:p w14:paraId="26B14E8B" w14:textId="2C2362F4" w:rsidR="00585F78" w:rsidRPr="00E67492" w:rsidRDefault="00AD3291" w:rsidP="00585F78">
            <w:pPr>
              <w:rPr>
                <w:rFonts w:ascii="Calibri" w:hAnsi="Calibri"/>
                <w:bCs/>
                <w:color w:val="auto"/>
                <w:sz w:val="22"/>
                <w:szCs w:val="22"/>
              </w:rPr>
            </w:pPr>
            <w:r>
              <w:rPr>
                <w:rFonts w:ascii="Calibri" w:hAnsi="Calibri"/>
                <w:bCs/>
                <w:color w:val="auto"/>
                <w:sz w:val="22"/>
                <w:szCs w:val="22"/>
              </w:rPr>
              <w:t>5.1</w:t>
            </w:r>
          </w:p>
        </w:tc>
        <w:tc>
          <w:tcPr>
            <w:tcW w:w="1000" w:type="pct"/>
            <w:tcBorders>
              <w:top w:val="nil"/>
              <w:left w:val="nil"/>
              <w:bottom w:val="single" w:sz="4" w:space="0" w:color="auto"/>
              <w:right w:val="single" w:sz="4" w:space="0" w:color="auto"/>
            </w:tcBorders>
            <w:shd w:val="clear" w:color="auto" w:fill="auto"/>
            <w:vAlign w:val="center"/>
            <w:hideMark/>
          </w:tcPr>
          <w:p w14:paraId="7B1EE589" w14:textId="77777777" w:rsidR="00585F78" w:rsidRPr="00E67492" w:rsidRDefault="00585F78" w:rsidP="00585F78">
            <w:pPr>
              <w:rPr>
                <w:rFonts w:ascii="Calibri" w:hAnsi="Calibri"/>
                <w:bCs/>
                <w:color w:val="auto"/>
                <w:sz w:val="22"/>
                <w:szCs w:val="22"/>
              </w:rPr>
            </w:pPr>
            <w:r w:rsidRPr="00E67492">
              <w:rPr>
                <w:rFonts w:ascii="Calibri" w:hAnsi="Calibri"/>
                <w:bCs/>
                <w:color w:val="auto"/>
                <w:sz w:val="22"/>
                <w:szCs w:val="22"/>
              </w:rPr>
              <w:t>Lifecycle Costs</w:t>
            </w:r>
          </w:p>
        </w:tc>
        <w:tc>
          <w:tcPr>
            <w:tcW w:w="1000" w:type="pct"/>
            <w:tcBorders>
              <w:top w:val="nil"/>
              <w:left w:val="nil"/>
              <w:bottom w:val="single" w:sz="4" w:space="0" w:color="auto"/>
              <w:right w:val="single" w:sz="4" w:space="0" w:color="auto"/>
            </w:tcBorders>
            <w:shd w:val="clear" w:color="auto" w:fill="auto"/>
            <w:vAlign w:val="center"/>
            <w:hideMark/>
          </w:tcPr>
          <w:p w14:paraId="6B58BE11" w14:textId="77777777" w:rsidR="00585F78" w:rsidRPr="00E67492" w:rsidRDefault="00585F78" w:rsidP="00585F78">
            <w:pPr>
              <w:rPr>
                <w:rFonts w:ascii="Calibri" w:hAnsi="Calibri"/>
                <w:bCs/>
                <w:color w:val="auto"/>
                <w:sz w:val="22"/>
                <w:szCs w:val="22"/>
              </w:rPr>
            </w:pPr>
            <w:r w:rsidRPr="00E67492">
              <w:rPr>
                <w:rFonts w:ascii="Calibri" w:hAnsi="Calibri"/>
                <w:bCs/>
                <w:color w:val="auto"/>
                <w:sz w:val="22"/>
                <w:szCs w:val="22"/>
              </w:rPr>
              <w:t>Lifecycle Costs</w:t>
            </w:r>
          </w:p>
        </w:tc>
        <w:tc>
          <w:tcPr>
            <w:tcW w:w="667" w:type="pct"/>
            <w:tcBorders>
              <w:top w:val="single" w:sz="4" w:space="0" w:color="auto"/>
              <w:left w:val="nil"/>
              <w:bottom w:val="single" w:sz="4" w:space="0" w:color="auto"/>
              <w:right w:val="single" w:sz="4" w:space="0" w:color="auto"/>
            </w:tcBorders>
            <w:shd w:val="clear" w:color="auto" w:fill="auto"/>
            <w:hideMark/>
          </w:tcPr>
          <w:p w14:paraId="46807169" w14:textId="77777777" w:rsidR="00585F78" w:rsidRPr="00F8741E" w:rsidRDefault="00585F78" w:rsidP="00585F78">
            <w:pPr>
              <w:rPr>
                <w:rFonts w:ascii="Calibri" w:hAnsi="Calibri"/>
                <w:bCs/>
                <w:color w:val="auto"/>
                <w:sz w:val="22"/>
                <w:szCs w:val="22"/>
              </w:rPr>
            </w:pPr>
            <w:r w:rsidRPr="00E67492">
              <w:rPr>
                <w:rFonts w:ascii="Calibri" w:hAnsi="Calibri"/>
                <w:bCs/>
                <w:color w:val="auto"/>
                <w:sz w:val="22"/>
                <w:szCs w:val="22"/>
              </w:rPr>
              <w:t>100%</w:t>
            </w:r>
          </w:p>
        </w:tc>
        <w:tc>
          <w:tcPr>
            <w:tcW w:w="667" w:type="pct"/>
            <w:tcBorders>
              <w:top w:val="single" w:sz="4" w:space="0" w:color="auto"/>
              <w:left w:val="nil"/>
              <w:bottom w:val="single" w:sz="4" w:space="0" w:color="auto"/>
              <w:right w:val="single" w:sz="4" w:space="0" w:color="auto"/>
            </w:tcBorders>
            <w:shd w:val="clear" w:color="auto" w:fill="auto"/>
          </w:tcPr>
          <w:p w14:paraId="488B9DE3" w14:textId="1836E5BA" w:rsidR="00585F78" w:rsidRPr="00F8741E" w:rsidRDefault="003828E8" w:rsidP="00585F78">
            <w:pPr>
              <w:rPr>
                <w:rFonts w:ascii="Calibri" w:hAnsi="Calibri"/>
                <w:bCs/>
                <w:color w:val="auto"/>
                <w:sz w:val="22"/>
                <w:szCs w:val="22"/>
              </w:rPr>
            </w:pPr>
            <w:r>
              <w:rPr>
                <w:rFonts w:ascii="Calibri" w:hAnsi="Calibri"/>
                <w:bCs/>
                <w:color w:val="auto"/>
                <w:sz w:val="22"/>
                <w:szCs w:val="22"/>
              </w:rPr>
              <w:t>4</w:t>
            </w:r>
            <w:r w:rsidR="00585F78">
              <w:rPr>
                <w:rFonts w:ascii="Calibri" w:hAnsi="Calibri"/>
                <w:bCs/>
                <w:color w:val="auto"/>
                <w:sz w:val="22"/>
                <w:szCs w:val="22"/>
              </w:rPr>
              <w:t>0%</w:t>
            </w:r>
          </w:p>
        </w:tc>
        <w:tc>
          <w:tcPr>
            <w:tcW w:w="832" w:type="pct"/>
            <w:tcBorders>
              <w:top w:val="single" w:sz="4" w:space="0" w:color="auto"/>
              <w:left w:val="nil"/>
              <w:bottom w:val="single" w:sz="4" w:space="0" w:color="auto"/>
              <w:right w:val="single" w:sz="4" w:space="0" w:color="auto"/>
            </w:tcBorders>
            <w:shd w:val="clear" w:color="auto" w:fill="auto"/>
          </w:tcPr>
          <w:p w14:paraId="2F34F804" w14:textId="715DD2C7" w:rsidR="00585F78" w:rsidRPr="00AD3291" w:rsidRDefault="00AD3291" w:rsidP="00585F78">
            <w:pPr>
              <w:rPr>
                <w:rFonts w:ascii="Calibri" w:hAnsi="Calibri"/>
                <w:bCs/>
                <w:color w:val="auto"/>
                <w:sz w:val="22"/>
                <w:szCs w:val="22"/>
              </w:rPr>
            </w:pPr>
            <w:r w:rsidRPr="00AD3291">
              <w:rPr>
                <w:rFonts w:ascii="Calibri" w:hAnsi="Calibri"/>
                <w:bCs/>
                <w:color w:val="auto"/>
                <w:sz w:val="22"/>
                <w:szCs w:val="22"/>
              </w:rPr>
              <w:t>30%</w:t>
            </w:r>
          </w:p>
        </w:tc>
      </w:tr>
    </w:tbl>
    <w:p w14:paraId="3E080914" w14:textId="1A6F8CD1" w:rsidR="00F8741E" w:rsidRPr="00AF2313" w:rsidRDefault="00F8741E" w:rsidP="00AF2313">
      <w:r>
        <w:rPr>
          <w:i/>
        </w:rPr>
        <w:t>*Further weightings are shown per question withi</w:t>
      </w:r>
      <w:r w:rsidRPr="006F390D">
        <w:rPr>
          <w:i/>
        </w:rPr>
        <w:t xml:space="preserve">n </w:t>
      </w:r>
      <w:r w:rsidR="00B4492B">
        <w:rPr>
          <w:i/>
        </w:rPr>
        <w:t>the Specification and Response documents.</w:t>
      </w:r>
    </w:p>
    <w:sectPr w:rsidR="00F8741E" w:rsidRPr="00AF2313" w:rsidSect="00694FC4">
      <w:headerReference w:type="default" r:id="rId14"/>
      <w:pgSz w:w="11906" w:h="16838"/>
      <w:pgMar w:top="1021" w:right="1021" w:bottom="1021" w:left="1021" w:header="454"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D8AB5" w14:textId="77777777" w:rsidR="003E5485" w:rsidRDefault="003E5485" w:rsidP="000C24AF">
      <w:pPr>
        <w:spacing w:after="0"/>
      </w:pPr>
      <w:r>
        <w:separator/>
      </w:r>
    </w:p>
  </w:endnote>
  <w:endnote w:type="continuationSeparator" w:id="0">
    <w:p w14:paraId="6574B06D" w14:textId="77777777" w:rsidR="003E5485" w:rsidRDefault="003E5485"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E5684" w14:textId="77777777" w:rsidR="003E5485" w:rsidRDefault="003E5485" w:rsidP="00694FC4">
    <w:pPr>
      <w:tabs>
        <w:tab w:val="left" w:pos="426"/>
      </w:tabs>
    </w:pPr>
  </w:p>
  <w:p w14:paraId="5A59F1C6" w14:textId="352DD934" w:rsidR="003E5485" w:rsidRDefault="003E5485" w:rsidP="0000416F">
    <w:pPr>
      <w:pStyle w:val="Footer"/>
    </w:pPr>
    <w:r>
      <w:t>Copyright © 2017 Health and Social Care Information Centre.</w:t>
    </w:r>
    <w:r>
      <w:tab/>
    </w:r>
    <w:r w:rsidRPr="000C24AF">
      <w:fldChar w:fldCharType="begin"/>
    </w:r>
    <w:r w:rsidRPr="000C24AF">
      <w:instrText xml:space="preserve"> PAGE   \* MERGEFORMAT </w:instrText>
    </w:r>
    <w:r w:rsidRPr="000C24AF">
      <w:fldChar w:fldCharType="separate"/>
    </w:r>
    <w:r w:rsidR="00BC6933">
      <w:rPr>
        <w:noProof/>
      </w:rPr>
      <w:t>8</w:t>
    </w:r>
    <w:r w:rsidRPr="000C24A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898FD" w14:textId="77777777" w:rsidR="003E5485" w:rsidRDefault="003E5485" w:rsidP="0000416F">
    <w:pPr>
      <w:pStyle w:val="Footer"/>
    </w:pPr>
    <w:r>
      <w:rPr>
        <w:noProof/>
        <w:lang w:eastAsia="en-GB"/>
      </w:rPr>
      <w:drawing>
        <wp:anchor distT="0" distB="0" distL="114300" distR="114300" simplePos="0" relativeHeight="251661312" behindDoc="0" locked="0" layoutInCell="1" allowOverlap="1" wp14:anchorId="489D5251" wp14:editId="566BCBE9">
          <wp:simplePos x="0" y="0"/>
          <wp:positionH relativeFrom="page">
            <wp:posOffset>612140</wp:posOffset>
          </wp:positionH>
          <wp:positionV relativeFrom="page">
            <wp:posOffset>9072880</wp:posOffset>
          </wp:positionV>
          <wp:extent cx="3240000" cy="6300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0000" cy="630000"/>
                  </a:xfrm>
                  <a:prstGeom prst="rect">
                    <a:avLst/>
                  </a:prstGeom>
                </pic:spPr>
              </pic:pic>
            </a:graphicData>
          </a:graphic>
          <wp14:sizeRelH relativeFrom="page">
            <wp14:pctWidth>0</wp14:pctWidth>
          </wp14:sizeRelH>
          <wp14:sizeRelV relativeFrom="page">
            <wp14:pctHeight>0</wp14:pctHeight>
          </wp14:sizeRelV>
        </wp:anchor>
      </w:drawing>
    </w:r>
    <w:r w:rsidRPr="00F5718C">
      <w:t xml:space="preserve">Copyright © </w:t>
    </w:r>
    <w:r>
      <w:t>2017</w:t>
    </w:r>
    <w:r w:rsidRPr="00F5718C">
      <w:t xml:space="preserve"> Health and Social Care Information Centre.</w:t>
    </w:r>
  </w:p>
  <w:p w14:paraId="09C1F17D" w14:textId="77777777" w:rsidR="003E5485" w:rsidRPr="0000416F" w:rsidRDefault="003E5485" w:rsidP="00BE6447">
    <w:pPr>
      <w:pStyle w:val="Footer"/>
    </w:pPr>
    <w:r w:rsidRPr="0000416F">
      <w:t>The Health and Social Care Information Centre is a non-departmental body created by statute, also known as NHS Digital.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2E218" w14:textId="77777777" w:rsidR="003E5485" w:rsidRDefault="003E5485" w:rsidP="000C24AF">
      <w:pPr>
        <w:spacing w:after="0"/>
      </w:pPr>
      <w:r>
        <w:separator/>
      </w:r>
    </w:p>
  </w:footnote>
  <w:footnote w:type="continuationSeparator" w:id="0">
    <w:p w14:paraId="1DDAF652" w14:textId="77777777" w:rsidR="003E5485" w:rsidRDefault="003E5485" w:rsidP="000C2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2D82F" w14:textId="77777777" w:rsidR="003E5485" w:rsidRDefault="003E5485" w:rsidP="00E5704B">
    <w:r>
      <w:rPr>
        <w:noProof/>
      </w:rPr>
      <w:t>3</w:t>
    </w:r>
  </w:p>
  <w:p w14:paraId="301C7770" w14:textId="77777777" w:rsidR="003E5485" w:rsidRDefault="003E5485" w:rsidP="00E5704B"/>
  <w:p w14:paraId="4F1EE0E6" w14:textId="77777777" w:rsidR="003E5485" w:rsidRDefault="003E5485" w:rsidP="00E5704B"/>
  <w:p w14:paraId="6EA6AFE5" w14:textId="77777777" w:rsidR="003E5485" w:rsidRDefault="003E5485" w:rsidP="00E5704B"/>
  <w:p w14:paraId="0BB6C3F4" w14:textId="77777777" w:rsidR="003E5485" w:rsidRDefault="003E5485" w:rsidP="00E570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66804" w14:textId="77777777" w:rsidR="003E5485" w:rsidRDefault="003E5485" w:rsidP="00F5718C">
    <w:r>
      <w:rPr>
        <w:rFonts w:asciiTheme="minorHAnsi" w:hAnsiTheme="minorHAnsi"/>
        <w:b/>
        <w:bCs/>
        <w:noProof/>
        <w:lang w:eastAsia="en-GB"/>
      </w:rPr>
      <mc:AlternateContent>
        <mc:Choice Requires="wps">
          <w:drawing>
            <wp:anchor distT="0" distB="0" distL="114300" distR="114300" simplePos="0" relativeHeight="251662336" behindDoc="0" locked="0" layoutInCell="1" allowOverlap="1" wp14:anchorId="28F5C8E9" wp14:editId="782969A2">
              <wp:simplePos x="0" y="0"/>
              <wp:positionH relativeFrom="page">
                <wp:posOffset>0</wp:posOffset>
              </wp:positionH>
              <wp:positionV relativeFrom="page">
                <wp:posOffset>3564255</wp:posOffset>
              </wp:positionV>
              <wp:extent cx="7560000" cy="2916000"/>
              <wp:effectExtent l="0" t="0" r="3175" b="0"/>
              <wp:wrapNone/>
              <wp:docPr id="1" name="Rectangle 1"/>
              <wp:cNvGraphicFramePr/>
              <a:graphic xmlns:a="http://schemas.openxmlformats.org/drawingml/2006/main">
                <a:graphicData uri="http://schemas.microsoft.com/office/word/2010/wordprocessingShape">
                  <wps:wsp>
                    <wps:cNvSpPr/>
                    <wps:spPr>
                      <a:xfrm>
                        <a:off x="0" y="0"/>
                        <a:ext cx="7560000" cy="2916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5E740" id="Rectangle 1" o:spid="_x0000_s1026" style="position:absolute;margin-left:0;margin-top:280.65pt;width:595.3pt;height:229.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" fillcolor="#f2f2f2 [3052]" stroked="f" strokeweight="2pt">
              <w10:wrap anchorx="page" anchory="page"/>
            </v:rect>
          </w:pict>
        </mc:Fallback>
      </mc:AlternateContent>
    </w:r>
    <w:r>
      <w:rPr>
        <w:rFonts w:asciiTheme="minorHAnsi" w:hAnsiTheme="minorHAnsi"/>
        <w:b/>
        <w:bCs/>
        <w:noProof/>
        <w:lang w:eastAsia="en-GB"/>
      </w:rPr>
      <w:drawing>
        <wp:anchor distT="0" distB="0" distL="114300" distR="114300" simplePos="0" relativeHeight="251659264" behindDoc="1" locked="0" layoutInCell="1" allowOverlap="1" wp14:anchorId="67C667A2" wp14:editId="41828E63">
          <wp:simplePos x="0" y="0"/>
          <wp:positionH relativeFrom="page">
            <wp:posOffset>5922645</wp:posOffset>
          </wp:positionH>
          <wp:positionV relativeFrom="page">
            <wp:posOffset>215900</wp:posOffset>
          </wp:positionV>
          <wp:extent cx="1198800" cy="950400"/>
          <wp:effectExtent l="0" t="0" r="1905" b="2540"/>
          <wp:wrapTight wrapText="bothSides">
            <wp:wrapPolygon edited="0">
              <wp:start x="0" y="0"/>
              <wp:lineTo x="0" y="21225"/>
              <wp:lineTo x="21291" y="21225"/>
              <wp:lineTo x="212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Digital logo_RG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8800" cy="95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title"/>
      <w:id w:val="-644359137"/>
      <w:placeholder>
        <w:docPart w:val="A351F14A786546FF9A706FB73D272980"/>
      </w:placeholder>
      <w:dataBinding w:prefixMappings="xmlns:ns0='http://purl.org/dc/elements/1.1/' xmlns:ns1='http://schemas.openxmlformats.org/package/2006/metadata/core-properties' " w:xpath="/ns1:coreProperties[1]/ns0:title[1]" w:storeItemID="{6C3C8BC8-F283-45AE-878A-BAB7291924A1}"/>
      <w:text/>
    </w:sdtPr>
    <w:sdtEndPr/>
    <w:sdtContent>
      <w:p w14:paraId="46914B9A" w14:textId="7D092240" w:rsidR="003E5485" w:rsidRDefault="00B25A2E" w:rsidP="00DD77F0">
        <w:pPr>
          <w:pStyle w:val="Header"/>
        </w:pPr>
        <w:r>
          <w:t>Schedule 2 – Evaluation Methodology and Criteria</w:t>
        </w:r>
      </w:p>
    </w:sdtContent>
  </w:sdt>
  <w:p w14:paraId="4F0E3A92" w14:textId="77777777" w:rsidR="003E5485" w:rsidRPr="001D243C" w:rsidRDefault="003E5485" w:rsidP="00694FC4">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9B1433"/>
    <w:multiLevelType w:val="hybridMultilevel"/>
    <w:tmpl w:val="09AC73FA"/>
    <w:lvl w:ilvl="0" w:tplc="08090001">
      <w:start w:val="4"/>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45B27"/>
    <w:multiLevelType w:val="hybridMultilevel"/>
    <w:tmpl w:val="8610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F51008"/>
    <w:multiLevelType w:val="multilevel"/>
    <w:tmpl w:val="C86A3B78"/>
    <w:lvl w:ilvl="0">
      <w:start w:val="1"/>
      <w:numFmt w:val="decimal"/>
      <w:pStyle w:val="Style1"/>
      <w:lvlText w:val="%1."/>
      <w:lvlJc w:val="left"/>
      <w:pPr>
        <w:ind w:left="0" w:firstLine="1080"/>
      </w:pPr>
    </w:lvl>
    <w:lvl w:ilvl="1">
      <w:start w:val="1"/>
      <w:numFmt w:val="decimal"/>
      <w:pStyle w:val="Style2"/>
      <w:lvlText w:val="%1.%2"/>
      <w:lvlJc w:val="left"/>
      <w:pPr>
        <w:ind w:left="55" w:firstLine="108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tC3"/>
      <w:lvlText w:val="%1.%2.%3"/>
      <w:lvlJc w:val="left"/>
      <w:pPr>
        <w:ind w:left="-164" w:firstLine="1440"/>
      </w:pPr>
      <w:rPr>
        <w:b w:val="0"/>
      </w:rPr>
    </w:lvl>
    <w:lvl w:ilvl="3">
      <w:start w:val="1"/>
      <w:numFmt w:val="decimal"/>
      <w:lvlText w:val="%1.%2.%3.%4"/>
      <w:lvlJc w:val="left"/>
      <w:pPr>
        <w:ind w:left="360" w:firstLine="1440"/>
      </w:pPr>
    </w:lvl>
    <w:lvl w:ilvl="4">
      <w:start w:val="1"/>
      <w:numFmt w:val="decimal"/>
      <w:lvlText w:val="%1.%2.%3.%4.%5"/>
      <w:lvlJc w:val="left"/>
      <w:pPr>
        <w:ind w:left="720" w:firstLine="1800"/>
      </w:pPr>
    </w:lvl>
    <w:lvl w:ilvl="5">
      <w:start w:val="1"/>
      <w:numFmt w:val="decimal"/>
      <w:lvlText w:val="%1.%2.%3.%4.%5.%6"/>
      <w:lvlJc w:val="left"/>
      <w:pPr>
        <w:ind w:left="720" w:firstLine="1800"/>
      </w:pPr>
    </w:lvl>
    <w:lvl w:ilvl="6">
      <w:start w:val="1"/>
      <w:numFmt w:val="decimal"/>
      <w:lvlText w:val="%1.%2.%3.%4.%5.%6.%7"/>
      <w:lvlJc w:val="left"/>
      <w:pPr>
        <w:ind w:left="1080" w:firstLine="2160"/>
      </w:pPr>
    </w:lvl>
    <w:lvl w:ilvl="7">
      <w:start w:val="1"/>
      <w:numFmt w:val="decimal"/>
      <w:lvlText w:val="%1.%2.%3.%4.%5.%6.%7.%8"/>
      <w:lvlJc w:val="left"/>
      <w:pPr>
        <w:ind w:left="1080" w:firstLine="2160"/>
      </w:pPr>
    </w:lvl>
    <w:lvl w:ilvl="8">
      <w:start w:val="1"/>
      <w:numFmt w:val="decimal"/>
      <w:lvlText w:val="%1.%2.%3.%4.%5.%6.%7.%8.%9"/>
      <w:lvlJc w:val="left"/>
      <w:pPr>
        <w:ind w:left="1440" w:firstLine="2520"/>
      </w:pPr>
    </w:lvl>
  </w:abstractNum>
  <w:abstractNum w:abstractNumId="5" w15:restartNumberingAfterBreak="0">
    <w:nsid w:val="7E1E18E0"/>
    <w:multiLevelType w:val="hybridMultilevel"/>
    <w:tmpl w:val="EDD47A08"/>
    <w:lvl w:ilvl="0" w:tplc="E912F8EA">
      <w:start w:val="1"/>
      <w:numFmt w:val="bullet"/>
      <w:lvlText w:val=""/>
      <w:lvlJc w:val="left"/>
      <w:pPr>
        <w:tabs>
          <w:tab w:val="num" w:pos="360"/>
        </w:tabs>
        <w:ind w:left="360" w:hanging="360"/>
      </w:pPr>
      <w:rPr>
        <w:rFonts w:ascii="Symbol" w:hAnsi="Symbol" w:hint="default"/>
        <w:sz w:val="18"/>
      </w:rPr>
    </w:lvl>
    <w:lvl w:ilvl="1" w:tplc="08090003">
      <w:start w:val="1"/>
      <w:numFmt w:val="bullet"/>
      <w:lvlText w:val="o"/>
      <w:lvlJc w:val="left"/>
      <w:pPr>
        <w:tabs>
          <w:tab w:val="num" w:pos="621"/>
        </w:tabs>
        <w:ind w:left="621" w:hanging="360"/>
      </w:pPr>
      <w:rPr>
        <w:rFonts w:ascii="Courier New" w:hAnsi="Courier New" w:cs="Times New Roman" w:hint="default"/>
      </w:rPr>
    </w:lvl>
    <w:lvl w:ilvl="2" w:tplc="08090005">
      <w:start w:val="1"/>
      <w:numFmt w:val="bullet"/>
      <w:lvlText w:val=""/>
      <w:lvlJc w:val="left"/>
      <w:pPr>
        <w:tabs>
          <w:tab w:val="num" w:pos="1341"/>
        </w:tabs>
        <w:ind w:left="1341" w:hanging="360"/>
      </w:pPr>
      <w:rPr>
        <w:rFonts w:ascii="Wingdings" w:hAnsi="Wingdings" w:hint="default"/>
      </w:rPr>
    </w:lvl>
    <w:lvl w:ilvl="3" w:tplc="08090001">
      <w:start w:val="1"/>
      <w:numFmt w:val="bullet"/>
      <w:lvlText w:val=""/>
      <w:lvlJc w:val="left"/>
      <w:pPr>
        <w:tabs>
          <w:tab w:val="num" w:pos="2061"/>
        </w:tabs>
        <w:ind w:left="2061" w:hanging="360"/>
      </w:pPr>
      <w:rPr>
        <w:rFonts w:ascii="Symbol" w:hAnsi="Symbol" w:hint="default"/>
      </w:rPr>
    </w:lvl>
    <w:lvl w:ilvl="4" w:tplc="08090003">
      <w:start w:val="1"/>
      <w:numFmt w:val="bullet"/>
      <w:lvlText w:val="o"/>
      <w:lvlJc w:val="left"/>
      <w:pPr>
        <w:tabs>
          <w:tab w:val="num" w:pos="2781"/>
        </w:tabs>
        <w:ind w:left="2781" w:hanging="360"/>
      </w:pPr>
      <w:rPr>
        <w:rFonts w:ascii="Courier New" w:hAnsi="Courier New" w:cs="Times New Roman" w:hint="default"/>
      </w:rPr>
    </w:lvl>
    <w:lvl w:ilvl="5" w:tplc="08090005">
      <w:start w:val="1"/>
      <w:numFmt w:val="bullet"/>
      <w:lvlText w:val=""/>
      <w:lvlJc w:val="left"/>
      <w:pPr>
        <w:tabs>
          <w:tab w:val="num" w:pos="3501"/>
        </w:tabs>
        <w:ind w:left="3501" w:hanging="360"/>
      </w:pPr>
      <w:rPr>
        <w:rFonts w:ascii="Wingdings" w:hAnsi="Wingdings" w:hint="default"/>
      </w:rPr>
    </w:lvl>
    <w:lvl w:ilvl="6" w:tplc="08090001">
      <w:start w:val="1"/>
      <w:numFmt w:val="bullet"/>
      <w:lvlText w:val=""/>
      <w:lvlJc w:val="left"/>
      <w:pPr>
        <w:tabs>
          <w:tab w:val="num" w:pos="4221"/>
        </w:tabs>
        <w:ind w:left="4221" w:hanging="360"/>
      </w:pPr>
      <w:rPr>
        <w:rFonts w:ascii="Symbol" w:hAnsi="Symbol" w:hint="default"/>
      </w:rPr>
    </w:lvl>
    <w:lvl w:ilvl="7" w:tplc="08090003">
      <w:start w:val="1"/>
      <w:numFmt w:val="bullet"/>
      <w:lvlText w:val="o"/>
      <w:lvlJc w:val="left"/>
      <w:pPr>
        <w:tabs>
          <w:tab w:val="num" w:pos="4941"/>
        </w:tabs>
        <w:ind w:left="4941" w:hanging="360"/>
      </w:pPr>
      <w:rPr>
        <w:rFonts w:ascii="Courier New" w:hAnsi="Courier New" w:cs="Times New Roman" w:hint="default"/>
      </w:rPr>
    </w:lvl>
    <w:lvl w:ilvl="8" w:tplc="08090005">
      <w:start w:val="1"/>
      <w:numFmt w:val="bullet"/>
      <w:lvlText w:val=""/>
      <w:lvlJc w:val="left"/>
      <w:pPr>
        <w:tabs>
          <w:tab w:val="num" w:pos="5661"/>
        </w:tabs>
        <w:ind w:left="5661" w:hanging="360"/>
      </w:pPr>
      <w:rPr>
        <w:rFonts w:ascii="Wingdings" w:hAnsi="Wingdings" w:hint="default"/>
      </w:rPr>
    </w:lvl>
  </w:abstractNum>
  <w:num w:numId="1">
    <w:abstractNumId w:val="0"/>
  </w:num>
  <w:num w:numId="2">
    <w:abstractNumId w:val="0"/>
  </w:num>
  <w:num w:numId="3">
    <w:abstractNumId w:val="2"/>
  </w:num>
  <w:num w:numId="4">
    <w:abstractNumId w:val="1"/>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E60"/>
    <w:rsid w:val="00000197"/>
    <w:rsid w:val="0000416F"/>
    <w:rsid w:val="00095621"/>
    <w:rsid w:val="000C24AF"/>
    <w:rsid w:val="0010192E"/>
    <w:rsid w:val="00103F4D"/>
    <w:rsid w:val="00143A36"/>
    <w:rsid w:val="001C3565"/>
    <w:rsid w:val="001C6937"/>
    <w:rsid w:val="001D243C"/>
    <w:rsid w:val="001F3126"/>
    <w:rsid w:val="0023135E"/>
    <w:rsid w:val="00282F19"/>
    <w:rsid w:val="0033715E"/>
    <w:rsid w:val="003434B6"/>
    <w:rsid w:val="003828E8"/>
    <w:rsid w:val="003D3A42"/>
    <w:rsid w:val="003E5485"/>
    <w:rsid w:val="00420E7F"/>
    <w:rsid w:val="00427636"/>
    <w:rsid w:val="00497DE0"/>
    <w:rsid w:val="004C3B10"/>
    <w:rsid w:val="004F0A67"/>
    <w:rsid w:val="00544C0C"/>
    <w:rsid w:val="00577A42"/>
    <w:rsid w:val="00585F78"/>
    <w:rsid w:val="00590D21"/>
    <w:rsid w:val="005D3DEA"/>
    <w:rsid w:val="00616632"/>
    <w:rsid w:val="00671B7A"/>
    <w:rsid w:val="00692041"/>
    <w:rsid w:val="00694FC4"/>
    <w:rsid w:val="006F390D"/>
    <w:rsid w:val="00702B4D"/>
    <w:rsid w:val="00710E40"/>
    <w:rsid w:val="0071497F"/>
    <w:rsid w:val="00763FA3"/>
    <w:rsid w:val="007A310B"/>
    <w:rsid w:val="007D2D7B"/>
    <w:rsid w:val="007E4138"/>
    <w:rsid w:val="007F5954"/>
    <w:rsid w:val="00801629"/>
    <w:rsid w:val="00856061"/>
    <w:rsid w:val="00867271"/>
    <w:rsid w:val="008744B1"/>
    <w:rsid w:val="00880D4A"/>
    <w:rsid w:val="008D2816"/>
    <w:rsid w:val="008D5953"/>
    <w:rsid w:val="00935AA8"/>
    <w:rsid w:val="009C27F0"/>
    <w:rsid w:val="009F7412"/>
    <w:rsid w:val="00A02EEF"/>
    <w:rsid w:val="00A03469"/>
    <w:rsid w:val="00A24407"/>
    <w:rsid w:val="00A268E2"/>
    <w:rsid w:val="00A75B7E"/>
    <w:rsid w:val="00AA312E"/>
    <w:rsid w:val="00AD3291"/>
    <w:rsid w:val="00AF2313"/>
    <w:rsid w:val="00AF449D"/>
    <w:rsid w:val="00B051B5"/>
    <w:rsid w:val="00B25A2E"/>
    <w:rsid w:val="00B4492B"/>
    <w:rsid w:val="00B77C41"/>
    <w:rsid w:val="00B81669"/>
    <w:rsid w:val="00BC6933"/>
    <w:rsid w:val="00BE6447"/>
    <w:rsid w:val="00C021AB"/>
    <w:rsid w:val="00C05E60"/>
    <w:rsid w:val="00C846FE"/>
    <w:rsid w:val="00CA0FAC"/>
    <w:rsid w:val="00CA1678"/>
    <w:rsid w:val="00D50FF0"/>
    <w:rsid w:val="00D66537"/>
    <w:rsid w:val="00D77835"/>
    <w:rsid w:val="00D83AB9"/>
    <w:rsid w:val="00D93D0D"/>
    <w:rsid w:val="00DD1729"/>
    <w:rsid w:val="00DD77F0"/>
    <w:rsid w:val="00DD7C30"/>
    <w:rsid w:val="00E45C31"/>
    <w:rsid w:val="00E5122E"/>
    <w:rsid w:val="00E5704B"/>
    <w:rsid w:val="00E66912"/>
    <w:rsid w:val="00EB1195"/>
    <w:rsid w:val="00EB6372"/>
    <w:rsid w:val="00ED3649"/>
    <w:rsid w:val="00F13D85"/>
    <w:rsid w:val="00F25CC7"/>
    <w:rsid w:val="00F42EB9"/>
    <w:rsid w:val="00F5718C"/>
    <w:rsid w:val="00F8741E"/>
    <w:rsid w:val="00F95A26"/>
    <w:rsid w:val="00FA4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AEFACD"/>
  <w15:docId w15:val="{D87CB608-875C-413E-94DC-D4BBB694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7DE0"/>
    <w:pPr>
      <w:spacing w:after="140"/>
      <w:textboxTightWrap w:val="lastLineOnly"/>
    </w:pPr>
    <w:rPr>
      <w:rFonts w:ascii="Arial" w:hAnsi="Arial"/>
      <w:color w:val="0F0F0F" w:themeColor="text1"/>
      <w:sz w:val="24"/>
      <w:szCs w:val="24"/>
    </w:rPr>
  </w:style>
  <w:style w:type="paragraph" w:styleId="Heading1">
    <w:name w:val="heading 1"/>
    <w:next w:val="Normal"/>
    <w:link w:val="Heading1Char"/>
    <w:qFormat/>
    <w:rsid w:val="00FA4212"/>
    <w:pPr>
      <w:keepNext/>
      <w:spacing w:after="180"/>
      <w:outlineLvl w:val="0"/>
    </w:pPr>
    <w:rPr>
      <w:rFonts w:ascii="Arial" w:hAnsi="Arial" w:cs="Arial"/>
      <w:b/>
      <w:bCs/>
      <w:color w:val="005EB8" w:themeColor="accent1"/>
      <w:spacing w:val="-14"/>
      <w:kern w:val="28"/>
      <w:sz w:val="42"/>
      <w:szCs w:val="32"/>
      <w14:ligatures w14:val="standardContextual"/>
    </w:rPr>
  </w:style>
  <w:style w:type="paragraph" w:styleId="Heading2">
    <w:name w:val="heading 2"/>
    <w:next w:val="Normal"/>
    <w:link w:val="Heading2Char"/>
    <w:autoRedefine/>
    <w:qFormat/>
    <w:rsid w:val="00FA4212"/>
    <w:pPr>
      <w:keepNext/>
      <w:spacing w:before="60" w:after="120"/>
      <w:outlineLvl w:val="1"/>
    </w:pPr>
    <w:rPr>
      <w:rFonts w:ascii="Arial" w:eastAsia="MS Mincho" w:hAnsi="Arial"/>
      <w:b/>
      <w:color w:val="005EB8" w:themeColor="accent1"/>
      <w:spacing w:val="-6"/>
      <w:kern w:val="28"/>
      <w:sz w:val="36"/>
      <w:szCs w:val="28"/>
      <w14:ligatures w14:val="standardContextual"/>
    </w:rPr>
  </w:style>
  <w:style w:type="paragraph" w:styleId="Heading3">
    <w:name w:val="heading 3"/>
    <w:basedOn w:val="Heading2"/>
    <w:next w:val="Normal"/>
    <w:link w:val="Heading3Char"/>
    <w:autoRedefine/>
    <w:qFormat/>
    <w:rsid w:val="00FA4212"/>
    <w:pPr>
      <w:outlineLvl w:val="2"/>
    </w:pPr>
    <w:rPr>
      <w:rFonts w:cs="Arial"/>
      <w:bCs/>
      <w:sz w:val="30"/>
      <w:szCs w:val="26"/>
    </w:rPr>
  </w:style>
  <w:style w:type="paragraph" w:styleId="Heading4">
    <w:name w:val="heading 4"/>
    <w:basedOn w:val="Normal"/>
    <w:next w:val="Normal"/>
    <w:link w:val="Heading4Char"/>
    <w:qFormat/>
    <w:rsid w:val="00FA4212"/>
    <w:pPr>
      <w:keepNext/>
      <w:spacing w:before="60" w:after="60"/>
      <w:outlineLvl w:val="3"/>
    </w:pPr>
    <w:rPr>
      <w:b/>
      <w:color w:val="005EB8"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A4212"/>
    <w:rPr>
      <w:rFonts w:ascii="Arial" w:eastAsia="MS Mincho" w:hAnsi="Arial"/>
      <w:b/>
      <w:color w:val="005EB8" w:themeColor="accent1"/>
      <w:spacing w:val="-6"/>
      <w:kern w:val="28"/>
      <w:sz w:val="36"/>
      <w:szCs w:val="28"/>
      <w14:ligatures w14:val="standardContextual"/>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14:ligatures w14:val="standardContextual"/>
    </w:rPr>
  </w:style>
  <w:style w:type="paragraph" w:customStyle="1" w:styleId="Bulletlist">
    <w:name w:val="Bullet list"/>
    <w:basedOn w:val="ListParagraph"/>
    <w:link w:val="BulletlistChar"/>
    <w:autoRedefine/>
    <w:qFormat/>
    <w:rsid w:val="00497DE0"/>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14:ligatures w14:val="standardContextual"/>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14:ligatures w14:val="standardContextual"/>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table" w:styleId="TableGrid">
    <w:name w:val="Table Grid"/>
    <w:aliases w:val="Header Table Grid"/>
    <w:basedOn w:val="TableNormal"/>
    <w:uiPriority w:val="59"/>
    <w:rsid w:val="00AF2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qFormat/>
    <w:rsid w:val="00143A36"/>
    <w:pPr>
      <w:numPr>
        <w:ilvl w:val="1"/>
        <w:numId w:val="5"/>
      </w:numPr>
      <w:spacing w:before="60" w:after="60"/>
      <w:jc w:val="both"/>
      <w:textboxTightWrap w:val="none"/>
    </w:pPr>
    <w:rPr>
      <w:rFonts w:eastAsia="Arial" w:cs="Arial"/>
      <w:color w:val="000000"/>
      <w:sz w:val="20"/>
      <w:lang w:eastAsia="en-GB"/>
    </w:rPr>
  </w:style>
  <w:style w:type="character" w:customStyle="1" w:styleId="Style2Char">
    <w:name w:val="Style2 Char"/>
    <w:basedOn w:val="DefaultParagraphFont"/>
    <w:link w:val="Style2"/>
    <w:rsid w:val="00143A36"/>
    <w:rPr>
      <w:rFonts w:ascii="Arial" w:eastAsia="Arial" w:hAnsi="Arial" w:cs="Arial"/>
      <w:color w:val="000000"/>
      <w:szCs w:val="24"/>
      <w:lang w:eastAsia="en-GB"/>
    </w:rPr>
  </w:style>
  <w:style w:type="paragraph" w:customStyle="1" w:styleId="Style1">
    <w:name w:val="Style1"/>
    <w:basedOn w:val="Normal"/>
    <w:qFormat/>
    <w:rsid w:val="00143A36"/>
    <w:pPr>
      <w:numPr>
        <w:numId w:val="5"/>
      </w:numPr>
      <w:tabs>
        <w:tab w:val="left" w:pos="709"/>
      </w:tabs>
      <w:spacing w:before="240" w:after="240"/>
      <w:jc w:val="both"/>
      <w:textboxTightWrap w:val="none"/>
    </w:pPr>
    <w:rPr>
      <w:rFonts w:eastAsia="Arial" w:cs="Arial"/>
      <w:b/>
      <w:color w:val="000000"/>
      <w:sz w:val="20"/>
      <w:lang w:eastAsia="en-GB"/>
    </w:rPr>
  </w:style>
  <w:style w:type="paragraph" w:customStyle="1" w:styleId="PartC3">
    <w:name w:val="PartC3"/>
    <w:basedOn w:val="Normal"/>
    <w:qFormat/>
    <w:rsid w:val="00143A36"/>
    <w:pPr>
      <w:numPr>
        <w:ilvl w:val="2"/>
        <w:numId w:val="5"/>
      </w:numPr>
      <w:spacing w:before="60" w:after="60"/>
      <w:jc w:val="both"/>
      <w:textboxTightWrap w:val="none"/>
    </w:pPr>
    <w:rPr>
      <w:rFonts w:eastAsia="Arial" w:cs="Arial"/>
      <w:color w:val="000000"/>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91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23E27D46364FD89F5E41B7749D73EC"/>
        <w:category>
          <w:name w:val="General"/>
          <w:gallery w:val="placeholder"/>
        </w:category>
        <w:types>
          <w:type w:val="bbPlcHdr"/>
        </w:types>
        <w:behaviors>
          <w:behavior w:val="content"/>
        </w:behaviors>
        <w:guid w:val="{5220B9F1-25DC-4C88-A397-21614E4051A6}"/>
      </w:docPartPr>
      <w:docPartBody>
        <w:p w:rsidR="00FD5C5A" w:rsidRDefault="00A53A69">
          <w:pPr>
            <w:pStyle w:val="1323E27D46364FD89F5E41B7749D73EC"/>
          </w:pPr>
          <w:r w:rsidRPr="00DD77F0">
            <w:t>Title of document</w:t>
          </w:r>
        </w:p>
      </w:docPartBody>
    </w:docPart>
    <w:docPart>
      <w:docPartPr>
        <w:name w:val="A351F14A786546FF9A706FB73D272980"/>
        <w:category>
          <w:name w:val="General"/>
          <w:gallery w:val="placeholder"/>
        </w:category>
        <w:types>
          <w:type w:val="bbPlcHdr"/>
        </w:types>
        <w:behaviors>
          <w:behavior w:val="content"/>
        </w:behaviors>
        <w:guid w:val="{12594636-AAFD-4F18-9C27-6B635C468718}"/>
      </w:docPartPr>
      <w:docPartBody>
        <w:p w:rsidR="00FD5C5A" w:rsidRDefault="00A53A69">
          <w:pPr>
            <w:pStyle w:val="A351F14A786546FF9A706FB73D272980"/>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69"/>
    <w:rsid w:val="006B57E2"/>
    <w:rsid w:val="00A53A69"/>
    <w:rsid w:val="00C115BE"/>
    <w:rsid w:val="00FD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B7B0A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23E27D46364FD89F5E41B7749D73EC">
    <w:name w:val="1323E27D46364FD89F5E41B7749D73EC"/>
  </w:style>
  <w:style w:type="paragraph" w:customStyle="1" w:styleId="A351F14A786546FF9A706FB73D272980">
    <w:name w:val="A351F14A786546FF9A706FB73D272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2E37C18373E043B61928AB3A15D683" ma:contentTypeVersion="0" ma:contentTypeDescription="Create a new document." ma:contentTypeScope="" ma:versionID="ec1814db3783c284ee08818ae2dc3f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C852F-C569-415A-AFCF-A5EFF0EAA5AD}">
  <ds:schemaRefs>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10D33B8F-785C-4950-8A12-57A35550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20F1F9-AE67-4C95-A880-44DA82DFF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Schedule 2 – Evaluation Methodology and Criteria</vt:lpstr>
    </vt:vector>
  </TitlesOfParts>
  <Company>Health &amp; Social Care Information Centre</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 – Evaluation Methodology and Criteria</dc:title>
  <dc:creator>Katie Warner</dc:creator>
  <cp:lastModifiedBy>Katie Warner</cp:lastModifiedBy>
  <cp:revision>2</cp:revision>
  <cp:lastPrinted>2016-07-14T17:27:00Z</cp:lastPrinted>
  <dcterms:created xsi:type="dcterms:W3CDTF">2017-10-19T13:34:00Z</dcterms:created>
  <dcterms:modified xsi:type="dcterms:W3CDTF">2017-10-19T13:34:00Z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0x010100E82E37C18373E043B61928AB3A15D683</vt:lpwstr>
  </property>
</Properties>
</file>