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4DB3F" w14:textId="35DC83CB" w:rsidR="00401DE6" w:rsidRPr="00B8277A" w:rsidRDefault="00401DE6" w:rsidP="00AE0C5D">
      <w:pPr>
        <w:pStyle w:val="Default"/>
      </w:pPr>
      <w:r w:rsidRPr="00B8277A">
        <w:t>Evaluation report</w:t>
      </w:r>
      <w:r w:rsidR="00AE0C5D">
        <w:t xml:space="preserve">:  </w:t>
      </w:r>
      <w:r w:rsidR="00AE0C5D">
        <w:rPr>
          <w:b/>
          <w:bCs/>
          <w:sz w:val="23"/>
          <w:szCs w:val="23"/>
        </w:rPr>
        <w:t>Contract No: 700887368: Reaction Trainers.</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162"/>
        <w:gridCol w:w="1413"/>
        <w:gridCol w:w="4504"/>
        <w:gridCol w:w="1411"/>
        <w:gridCol w:w="4452"/>
      </w:tblGrid>
      <w:tr w:rsidR="00AE0C5D" w:rsidRPr="00E82724" w14:paraId="4A3D7B92" w14:textId="77777777" w:rsidTr="00AE0C5D">
        <w:trPr>
          <w:tblCellSpacing w:w="20" w:type="dxa"/>
        </w:trPr>
        <w:tc>
          <w:tcPr>
            <w:tcW w:w="2102" w:type="dxa"/>
            <w:shd w:val="clear" w:color="auto" w:fill="auto"/>
            <w:vAlign w:val="center"/>
          </w:tcPr>
          <w:p w14:paraId="538BCE1C" w14:textId="77777777" w:rsidR="00401DE6" w:rsidRPr="00E82724" w:rsidRDefault="00401DE6" w:rsidP="00974BF5">
            <w:pPr>
              <w:pStyle w:val="NormalWeb"/>
              <w:jc w:val="center"/>
              <w:rPr>
                <w:rFonts w:ascii="Arial" w:hAnsi="Arial" w:cs="Arial"/>
                <w:b/>
                <w:color w:val="000000"/>
                <w:sz w:val="20"/>
                <w:szCs w:val="20"/>
              </w:rPr>
            </w:pPr>
            <w:r w:rsidRPr="00E82724">
              <w:rPr>
                <w:rFonts w:ascii="Arial" w:hAnsi="Arial" w:cs="Arial"/>
                <w:b/>
                <w:color w:val="000000"/>
                <w:sz w:val="20"/>
                <w:szCs w:val="20"/>
              </w:rPr>
              <w:t>Criteria / Sub-Criteria</w:t>
            </w:r>
          </w:p>
        </w:tc>
        <w:tc>
          <w:tcPr>
            <w:tcW w:w="1373" w:type="dxa"/>
            <w:shd w:val="clear" w:color="auto" w:fill="auto"/>
            <w:vAlign w:val="center"/>
          </w:tcPr>
          <w:p w14:paraId="50CBDE00" w14:textId="77777777" w:rsidR="00AE0C5D" w:rsidRDefault="00401DE6" w:rsidP="00974BF5">
            <w:pPr>
              <w:pStyle w:val="NormalWeb"/>
              <w:jc w:val="center"/>
              <w:rPr>
                <w:rFonts w:ascii="Arial" w:hAnsi="Arial" w:cs="Arial"/>
                <w:b/>
                <w:color w:val="000000"/>
                <w:sz w:val="20"/>
                <w:szCs w:val="20"/>
              </w:rPr>
            </w:pPr>
            <w:r w:rsidRPr="00E82724">
              <w:rPr>
                <w:rFonts w:ascii="Arial" w:hAnsi="Arial" w:cs="Arial"/>
                <w:b/>
                <w:color w:val="000000"/>
                <w:sz w:val="20"/>
                <w:szCs w:val="20"/>
              </w:rPr>
              <w:t xml:space="preserve">Score </w:t>
            </w:r>
          </w:p>
          <w:p w14:paraId="356EFA4A" w14:textId="6C6A9B11" w:rsidR="00401DE6" w:rsidRPr="00E82724" w:rsidRDefault="00401DE6" w:rsidP="00974BF5">
            <w:pPr>
              <w:pStyle w:val="NormalWeb"/>
              <w:jc w:val="center"/>
              <w:rPr>
                <w:rFonts w:ascii="Arial" w:hAnsi="Arial" w:cs="Arial"/>
                <w:b/>
                <w:color w:val="000000"/>
                <w:sz w:val="20"/>
                <w:szCs w:val="20"/>
              </w:rPr>
            </w:pPr>
            <w:r w:rsidRPr="00E82724">
              <w:rPr>
                <w:rFonts w:ascii="Arial" w:hAnsi="Arial" w:cs="Arial"/>
                <w:b/>
                <w:color w:val="000000"/>
                <w:sz w:val="20"/>
                <w:szCs w:val="20"/>
              </w:rPr>
              <w:t xml:space="preserve">obtained by </w:t>
            </w:r>
            <w:r w:rsidR="00AE0C5D">
              <w:rPr>
                <w:rFonts w:ascii="Arial" w:hAnsi="Arial" w:cs="Arial"/>
                <w:b/>
                <w:color w:val="000000"/>
                <w:sz w:val="20"/>
                <w:szCs w:val="20"/>
              </w:rPr>
              <w:t>un</w:t>
            </w:r>
            <w:r w:rsidR="00AE0C5D" w:rsidRPr="00E82724">
              <w:rPr>
                <w:rFonts w:ascii="Arial" w:hAnsi="Arial" w:cs="Arial"/>
                <w:b/>
                <w:color w:val="000000"/>
                <w:sz w:val="20"/>
                <w:szCs w:val="20"/>
              </w:rPr>
              <w:t>successful tenderer</w:t>
            </w:r>
          </w:p>
        </w:tc>
        <w:tc>
          <w:tcPr>
            <w:tcW w:w="4464" w:type="dxa"/>
            <w:shd w:val="clear" w:color="auto" w:fill="auto"/>
            <w:vAlign w:val="center"/>
          </w:tcPr>
          <w:p w14:paraId="7D84B4DB" w14:textId="77777777" w:rsidR="00401DE6" w:rsidRPr="00E82724" w:rsidRDefault="00401DE6" w:rsidP="00974BF5">
            <w:pPr>
              <w:pStyle w:val="NormalWeb"/>
              <w:jc w:val="center"/>
              <w:rPr>
                <w:rFonts w:ascii="Arial" w:hAnsi="Arial" w:cs="Arial"/>
                <w:b/>
                <w:color w:val="000000"/>
                <w:sz w:val="20"/>
                <w:szCs w:val="20"/>
              </w:rPr>
            </w:pPr>
            <w:r w:rsidRPr="00E82724">
              <w:rPr>
                <w:rFonts w:ascii="Arial" w:hAnsi="Arial" w:cs="Arial"/>
                <w:b/>
                <w:color w:val="000000"/>
                <w:sz w:val="20"/>
                <w:szCs w:val="20"/>
              </w:rPr>
              <w:t>Reasons for award of score</w:t>
            </w:r>
          </w:p>
        </w:tc>
        <w:tc>
          <w:tcPr>
            <w:tcW w:w="1371" w:type="dxa"/>
            <w:shd w:val="clear" w:color="auto" w:fill="auto"/>
            <w:vAlign w:val="center"/>
          </w:tcPr>
          <w:p w14:paraId="671B3CCD" w14:textId="57AE4310" w:rsidR="00401DE6" w:rsidRPr="00E82724" w:rsidRDefault="00401DE6" w:rsidP="00974BF5">
            <w:pPr>
              <w:pStyle w:val="NormalWeb"/>
              <w:jc w:val="center"/>
              <w:rPr>
                <w:rFonts w:ascii="Arial" w:hAnsi="Arial" w:cs="Arial"/>
                <w:b/>
                <w:color w:val="000000"/>
                <w:sz w:val="20"/>
                <w:szCs w:val="20"/>
              </w:rPr>
            </w:pPr>
            <w:r w:rsidRPr="00E82724">
              <w:rPr>
                <w:rFonts w:ascii="Arial" w:hAnsi="Arial" w:cs="Arial"/>
                <w:b/>
                <w:color w:val="000000"/>
                <w:sz w:val="20"/>
                <w:szCs w:val="20"/>
              </w:rPr>
              <w:t>Score obtained by successful tenderer</w:t>
            </w:r>
          </w:p>
        </w:tc>
        <w:tc>
          <w:tcPr>
            <w:tcW w:w="4392" w:type="dxa"/>
            <w:shd w:val="clear" w:color="auto" w:fill="auto"/>
            <w:vAlign w:val="center"/>
          </w:tcPr>
          <w:p w14:paraId="1AF87F6F" w14:textId="77777777" w:rsidR="00401DE6" w:rsidRPr="00E82724" w:rsidRDefault="00401DE6" w:rsidP="00974BF5">
            <w:pPr>
              <w:pStyle w:val="NormalWeb"/>
              <w:jc w:val="center"/>
              <w:rPr>
                <w:rFonts w:ascii="Arial" w:hAnsi="Arial" w:cs="Arial"/>
                <w:b/>
                <w:color w:val="000000"/>
                <w:sz w:val="20"/>
                <w:szCs w:val="20"/>
              </w:rPr>
            </w:pPr>
            <w:r w:rsidRPr="00E82724">
              <w:rPr>
                <w:rFonts w:ascii="Arial" w:hAnsi="Arial" w:cs="Arial"/>
                <w:b/>
                <w:color w:val="000000"/>
                <w:sz w:val="20"/>
                <w:szCs w:val="20"/>
              </w:rPr>
              <w:t>Reasons for award of score</w:t>
            </w:r>
          </w:p>
        </w:tc>
      </w:tr>
      <w:tr w:rsidR="00AE0C5D" w:rsidRPr="00E82724" w14:paraId="18A84B26" w14:textId="77777777" w:rsidTr="00AE0C5D">
        <w:trPr>
          <w:tblCellSpacing w:w="20" w:type="dxa"/>
        </w:trPr>
        <w:tc>
          <w:tcPr>
            <w:tcW w:w="2102" w:type="dxa"/>
            <w:shd w:val="clear" w:color="auto" w:fill="auto"/>
          </w:tcPr>
          <w:p w14:paraId="33BA7D5C" w14:textId="77777777" w:rsidR="00401DE6" w:rsidRPr="00E82724" w:rsidRDefault="00401DE6" w:rsidP="00974BF5">
            <w:pPr>
              <w:pStyle w:val="NormalWeb"/>
              <w:spacing w:line="384" w:lineRule="atLeast"/>
              <w:rPr>
                <w:rFonts w:ascii="Arial" w:hAnsi="Arial" w:cs="Arial"/>
                <w:color w:val="000000"/>
                <w:sz w:val="20"/>
                <w:szCs w:val="20"/>
              </w:rPr>
            </w:pPr>
            <w:r w:rsidRPr="00E82724">
              <w:rPr>
                <w:rFonts w:ascii="Arial" w:hAnsi="Arial" w:cs="Arial"/>
                <w:color w:val="000000"/>
                <w:sz w:val="20"/>
                <w:szCs w:val="20"/>
              </w:rPr>
              <w:t> </w:t>
            </w:r>
            <w:r w:rsidRPr="004C0BF1">
              <w:rPr>
                <w:rFonts w:ascii="Arial" w:hAnsi="Arial" w:cs="Arial"/>
                <w:color w:val="000000"/>
                <w:sz w:val="20"/>
                <w:szCs w:val="20"/>
              </w:rPr>
              <w:t>Technical Support</w:t>
            </w:r>
          </w:p>
          <w:p w14:paraId="14680CCA" w14:textId="77777777" w:rsidR="00401DE6" w:rsidRPr="00E82724" w:rsidRDefault="00401DE6" w:rsidP="00974BF5">
            <w:pPr>
              <w:pStyle w:val="NormalWeb"/>
              <w:spacing w:line="384" w:lineRule="atLeast"/>
              <w:rPr>
                <w:rFonts w:ascii="Arial" w:hAnsi="Arial" w:cs="Arial"/>
                <w:color w:val="000000"/>
                <w:sz w:val="20"/>
                <w:szCs w:val="20"/>
              </w:rPr>
            </w:pPr>
            <w:r w:rsidRPr="00E82724">
              <w:rPr>
                <w:rFonts w:ascii="Arial" w:hAnsi="Arial" w:cs="Arial"/>
                <w:color w:val="000000"/>
                <w:sz w:val="20"/>
                <w:szCs w:val="20"/>
              </w:rPr>
              <w:t> </w:t>
            </w:r>
          </w:p>
        </w:tc>
        <w:tc>
          <w:tcPr>
            <w:tcW w:w="1373" w:type="dxa"/>
            <w:shd w:val="clear" w:color="auto" w:fill="auto"/>
          </w:tcPr>
          <w:p w14:paraId="76BF571A" w14:textId="14E9E77B" w:rsidR="00401DE6" w:rsidRPr="00E82724" w:rsidRDefault="00401DE6" w:rsidP="00974BF5">
            <w:pPr>
              <w:pStyle w:val="NormalWeb"/>
              <w:spacing w:line="384" w:lineRule="atLeast"/>
              <w:rPr>
                <w:rFonts w:ascii="Arial" w:hAnsi="Arial" w:cs="Arial"/>
                <w:color w:val="000000"/>
                <w:sz w:val="20"/>
                <w:szCs w:val="20"/>
              </w:rPr>
            </w:pPr>
            <w:r>
              <w:rPr>
                <w:rFonts w:ascii="Arial" w:hAnsi="Arial" w:cs="Arial"/>
                <w:color w:val="000000"/>
                <w:sz w:val="20"/>
                <w:szCs w:val="20"/>
              </w:rPr>
              <w:t xml:space="preserve">4 </w:t>
            </w:r>
          </w:p>
          <w:p w14:paraId="257D89B7" w14:textId="77777777" w:rsidR="00401DE6" w:rsidRPr="00E82724" w:rsidRDefault="00401DE6" w:rsidP="00974BF5">
            <w:pPr>
              <w:pStyle w:val="NormalWeb"/>
              <w:spacing w:line="384" w:lineRule="atLeast"/>
              <w:rPr>
                <w:rFonts w:ascii="Arial" w:hAnsi="Arial" w:cs="Arial"/>
                <w:color w:val="000000"/>
                <w:sz w:val="20"/>
                <w:szCs w:val="20"/>
              </w:rPr>
            </w:pPr>
            <w:r w:rsidRPr="00E82724">
              <w:rPr>
                <w:rFonts w:ascii="Arial" w:hAnsi="Arial" w:cs="Arial"/>
                <w:color w:val="000000"/>
                <w:sz w:val="20"/>
                <w:szCs w:val="20"/>
              </w:rPr>
              <w:t> </w:t>
            </w:r>
          </w:p>
        </w:tc>
        <w:tc>
          <w:tcPr>
            <w:tcW w:w="4464" w:type="dxa"/>
            <w:shd w:val="clear" w:color="auto" w:fill="auto"/>
          </w:tcPr>
          <w:p w14:paraId="467B29FB" w14:textId="29C65B96" w:rsidR="00401DE6" w:rsidRPr="00E82724" w:rsidRDefault="00401DE6" w:rsidP="00974BF5">
            <w:pPr>
              <w:pStyle w:val="NormalWeb"/>
              <w:spacing w:line="384" w:lineRule="atLeast"/>
              <w:rPr>
                <w:rFonts w:ascii="Arial" w:hAnsi="Arial" w:cs="Arial"/>
                <w:color w:val="000000"/>
                <w:sz w:val="20"/>
                <w:szCs w:val="20"/>
              </w:rPr>
            </w:pPr>
            <w:r w:rsidRPr="00401DE6">
              <w:rPr>
                <w:rFonts w:ascii="Arial" w:hAnsi="Arial" w:cs="Arial"/>
                <w:color w:val="000000"/>
                <w:sz w:val="20"/>
                <w:szCs w:val="20"/>
              </w:rPr>
              <w:t>Description of support to installation and setting up of the equipment referred to face to face and on-line options but did not reference any user guide or manual that would be supplied with the equipment. This was deemed essential for remote operation of the equipment by users who may not have had access to the initial in-person training and who cannot connect to Zoom on the day in question.</w:t>
            </w:r>
          </w:p>
        </w:tc>
        <w:tc>
          <w:tcPr>
            <w:tcW w:w="1371" w:type="dxa"/>
            <w:shd w:val="clear" w:color="auto" w:fill="auto"/>
          </w:tcPr>
          <w:p w14:paraId="7E065760" w14:textId="77777777" w:rsidR="00401DE6" w:rsidRPr="00E82724" w:rsidRDefault="00401DE6" w:rsidP="00974BF5">
            <w:pPr>
              <w:pStyle w:val="NormalWeb"/>
              <w:spacing w:line="384" w:lineRule="atLeast"/>
              <w:rPr>
                <w:rFonts w:ascii="Arial" w:hAnsi="Arial" w:cs="Arial"/>
                <w:color w:val="000000"/>
                <w:sz w:val="20"/>
                <w:szCs w:val="20"/>
              </w:rPr>
            </w:pPr>
            <w:r w:rsidRPr="00E82724">
              <w:rPr>
                <w:rFonts w:ascii="Arial" w:hAnsi="Arial" w:cs="Arial"/>
                <w:color w:val="000000"/>
                <w:sz w:val="20"/>
                <w:szCs w:val="20"/>
              </w:rPr>
              <w:t> </w:t>
            </w:r>
            <w:r>
              <w:rPr>
                <w:rFonts w:ascii="Arial" w:hAnsi="Arial" w:cs="Arial"/>
                <w:color w:val="000000"/>
                <w:sz w:val="20"/>
                <w:szCs w:val="20"/>
              </w:rPr>
              <w:t>6</w:t>
            </w:r>
          </w:p>
          <w:p w14:paraId="5452EBDE" w14:textId="77777777" w:rsidR="00401DE6" w:rsidRPr="00E82724" w:rsidRDefault="00401DE6" w:rsidP="00974BF5">
            <w:pPr>
              <w:pStyle w:val="NormalWeb"/>
              <w:spacing w:line="384" w:lineRule="atLeast"/>
              <w:rPr>
                <w:rFonts w:ascii="Arial" w:hAnsi="Arial" w:cs="Arial"/>
                <w:color w:val="000000"/>
                <w:sz w:val="20"/>
                <w:szCs w:val="20"/>
              </w:rPr>
            </w:pPr>
            <w:r w:rsidRPr="00E82724">
              <w:rPr>
                <w:rFonts w:ascii="Arial" w:hAnsi="Arial" w:cs="Arial"/>
                <w:color w:val="000000"/>
                <w:sz w:val="20"/>
                <w:szCs w:val="20"/>
              </w:rPr>
              <w:t> </w:t>
            </w:r>
          </w:p>
        </w:tc>
        <w:tc>
          <w:tcPr>
            <w:tcW w:w="4392" w:type="dxa"/>
            <w:shd w:val="clear" w:color="auto" w:fill="auto"/>
          </w:tcPr>
          <w:p w14:paraId="0C2F965E" w14:textId="7466A34D" w:rsidR="00401DE6" w:rsidRPr="00E82724" w:rsidRDefault="00BE710F" w:rsidP="00974BF5">
            <w:pPr>
              <w:pStyle w:val="NormalWeb"/>
              <w:spacing w:line="384" w:lineRule="atLeast"/>
              <w:rPr>
                <w:rFonts w:ascii="Arial" w:hAnsi="Arial" w:cs="Arial"/>
                <w:color w:val="000000"/>
                <w:sz w:val="20"/>
                <w:szCs w:val="20"/>
              </w:rPr>
            </w:pPr>
            <w:r>
              <w:rPr>
                <w:rFonts w:ascii="Arial" w:hAnsi="Arial" w:cs="Arial"/>
                <w:color w:val="000000"/>
                <w:sz w:val="20"/>
                <w:szCs w:val="20"/>
              </w:rPr>
              <w:t>Tender provided descriptions of alternative written and downloadable technical support in setting up and operation of the equipment that could be pre-prepared.</w:t>
            </w:r>
            <w:r w:rsidRPr="00E82724">
              <w:rPr>
                <w:rFonts w:ascii="Arial" w:hAnsi="Arial" w:cs="Arial"/>
                <w:color w:val="000000"/>
                <w:sz w:val="20"/>
                <w:szCs w:val="20"/>
              </w:rPr>
              <w:t> </w:t>
            </w:r>
          </w:p>
        </w:tc>
      </w:tr>
      <w:tr w:rsidR="00AE0C5D" w:rsidRPr="00E82724" w14:paraId="66803FEE" w14:textId="77777777" w:rsidTr="00AE0C5D">
        <w:trPr>
          <w:tblCellSpacing w:w="20" w:type="dxa"/>
        </w:trPr>
        <w:tc>
          <w:tcPr>
            <w:tcW w:w="2102" w:type="dxa"/>
            <w:shd w:val="clear" w:color="auto" w:fill="auto"/>
          </w:tcPr>
          <w:p w14:paraId="0B57B0B9" w14:textId="77777777" w:rsidR="00401DE6" w:rsidRPr="00E82724" w:rsidRDefault="00401DE6" w:rsidP="00974BF5">
            <w:pPr>
              <w:pStyle w:val="NormalWeb"/>
              <w:spacing w:line="384" w:lineRule="atLeast"/>
              <w:rPr>
                <w:rFonts w:ascii="Arial" w:hAnsi="Arial" w:cs="Arial"/>
                <w:color w:val="000000"/>
                <w:sz w:val="20"/>
                <w:szCs w:val="20"/>
              </w:rPr>
            </w:pPr>
            <w:r w:rsidRPr="00E82724">
              <w:rPr>
                <w:rFonts w:ascii="Arial" w:hAnsi="Arial" w:cs="Arial"/>
                <w:color w:val="000000"/>
                <w:sz w:val="20"/>
                <w:szCs w:val="20"/>
              </w:rPr>
              <w:t> </w:t>
            </w:r>
          </w:p>
          <w:p w14:paraId="3E235A5C" w14:textId="77777777" w:rsidR="00401DE6" w:rsidRPr="00E82724" w:rsidRDefault="00401DE6" w:rsidP="00974BF5">
            <w:pPr>
              <w:pStyle w:val="NormalWeb"/>
              <w:spacing w:line="384" w:lineRule="atLeast"/>
              <w:rPr>
                <w:rFonts w:ascii="Arial" w:hAnsi="Arial" w:cs="Arial"/>
                <w:color w:val="000000"/>
                <w:sz w:val="20"/>
                <w:szCs w:val="20"/>
              </w:rPr>
            </w:pPr>
            <w:r w:rsidRPr="00E82724">
              <w:rPr>
                <w:rFonts w:ascii="Arial" w:hAnsi="Arial" w:cs="Arial"/>
                <w:color w:val="000000"/>
                <w:sz w:val="20"/>
                <w:szCs w:val="20"/>
              </w:rPr>
              <w:t> </w:t>
            </w:r>
            <w:r w:rsidRPr="004C0BF1">
              <w:rPr>
                <w:rFonts w:ascii="Arial" w:hAnsi="Arial" w:cs="Arial"/>
                <w:color w:val="000000"/>
                <w:sz w:val="20"/>
                <w:szCs w:val="20"/>
              </w:rPr>
              <w:t>Full 2 Year warranty of package (including provision of spare parts)</w:t>
            </w:r>
          </w:p>
        </w:tc>
        <w:tc>
          <w:tcPr>
            <w:tcW w:w="1373" w:type="dxa"/>
            <w:shd w:val="clear" w:color="auto" w:fill="auto"/>
          </w:tcPr>
          <w:p w14:paraId="6D4E5B41" w14:textId="6C621A1F" w:rsidR="00401DE6" w:rsidRPr="00E82724" w:rsidRDefault="00401DE6" w:rsidP="00974BF5">
            <w:pPr>
              <w:pStyle w:val="NormalWeb"/>
              <w:spacing w:line="384" w:lineRule="atLeast"/>
              <w:rPr>
                <w:rFonts w:ascii="Arial" w:hAnsi="Arial" w:cs="Arial"/>
                <w:color w:val="000000"/>
                <w:sz w:val="20"/>
                <w:szCs w:val="20"/>
              </w:rPr>
            </w:pPr>
            <w:r>
              <w:rPr>
                <w:rFonts w:ascii="Arial" w:hAnsi="Arial" w:cs="Arial"/>
                <w:color w:val="000000"/>
                <w:sz w:val="20"/>
                <w:szCs w:val="20"/>
              </w:rPr>
              <w:t>6</w:t>
            </w:r>
            <w:r w:rsidRPr="009E17C5">
              <w:rPr>
                <w:rFonts w:ascii="Arial" w:hAnsi="Arial" w:cs="Arial"/>
                <w:color w:val="000000"/>
                <w:sz w:val="20"/>
                <w:szCs w:val="20"/>
              </w:rPr>
              <w:t xml:space="preserve"> </w:t>
            </w:r>
          </w:p>
        </w:tc>
        <w:tc>
          <w:tcPr>
            <w:tcW w:w="4464" w:type="dxa"/>
            <w:shd w:val="clear" w:color="auto" w:fill="auto"/>
          </w:tcPr>
          <w:p w14:paraId="5F460CE1" w14:textId="0B86FD30" w:rsidR="00401DE6" w:rsidRPr="00E82724" w:rsidRDefault="00401DE6" w:rsidP="00974BF5">
            <w:pPr>
              <w:pStyle w:val="NormalWeb"/>
              <w:spacing w:line="384" w:lineRule="atLeast"/>
              <w:rPr>
                <w:rFonts w:ascii="Arial" w:hAnsi="Arial" w:cs="Arial"/>
                <w:color w:val="000000"/>
                <w:sz w:val="20"/>
                <w:szCs w:val="20"/>
              </w:rPr>
            </w:pPr>
            <w:r w:rsidRPr="00401DE6">
              <w:rPr>
                <w:rFonts w:ascii="Arial" w:hAnsi="Arial" w:cs="Arial"/>
                <w:color w:val="000000"/>
                <w:sz w:val="20"/>
                <w:szCs w:val="20"/>
              </w:rPr>
              <w:t>Two-year warranty</w:t>
            </w:r>
            <w:r>
              <w:rPr>
                <w:rFonts w:ascii="Arial" w:hAnsi="Arial" w:cs="Arial"/>
                <w:color w:val="000000"/>
                <w:sz w:val="20"/>
                <w:szCs w:val="20"/>
              </w:rPr>
              <w:t xml:space="preserve"> </w:t>
            </w:r>
            <w:r w:rsidRPr="00401DE6">
              <w:rPr>
                <w:rFonts w:ascii="Arial" w:hAnsi="Arial" w:cs="Arial"/>
                <w:color w:val="000000"/>
                <w:sz w:val="20"/>
                <w:szCs w:val="20"/>
              </w:rPr>
              <w:t>period</w:t>
            </w:r>
            <w:r>
              <w:rPr>
                <w:rFonts w:ascii="Arial" w:hAnsi="Arial" w:cs="Arial"/>
                <w:color w:val="000000"/>
                <w:sz w:val="20"/>
                <w:szCs w:val="20"/>
              </w:rPr>
              <w:t>-</w:t>
            </w:r>
            <w:r w:rsidRPr="00401DE6">
              <w:rPr>
                <w:rFonts w:ascii="Arial" w:hAnsi="Arial" w:cs="Arial"/>
                <w:color w:val="000000"/>
                <w:sz w:val="20"/>
                <w:szCs w:val="20"/>
              </w:rPr>
              <w:t xml:space="preserve"> replaces faulty or damaged items. Clarification would be needed on what constitutes covered items / exclusions and what is free of charge.</w:t>
            </w:r>
          </w:p>
        </w:tc>
        <w:tc>
          <w:tcPr>
            <w:tcW w:w="1371" w:type="dxa"/>
            <w:shd w:val="clear" w:color="auto" w:fill="auto"/>
          </w:tcPr>
          <w:p w14:paraId="1D690DF3" w14:textId="77777777" w:rsidR="00401DE6" w:rsidRPr="00E82724" w:rsidRDefault="00401DE6" w:rsidP="00974BF5">
            <w:pPr>
              <w:pStyle w:val="NormalWeb"/>
              <w:spacing w:line="384" w:lineRule="atLeast"/>
              <w:rPr>
                <w:rFonts w:ascii="Arial" w:hAnsi="Arial" w:cs="Arial"/>
                <w:color w:val="000000"/>
                <w:sz w:val="20"/>
                <w:szCs w:val="20"/>
              </w:rPr>
            </w:pPr>
            <w:r w:rsidRPr="00E82724">
              <w:rPr>
                <w:rFonts w:ascii="Arial" w:hAnsi="Arial" w:cs="Arial"/>
                <w:color w:val="000000"/>
                <w:sz w:val="20"/>
                <w:szCs w:val="20"/>
              </w:rPr>
              <w:t> </w:t>
            </w:r>
          </w:p>
          <w:p w14:paraId="6248E091" w14:textId="77777777" w:rsidR="00401DE6" w:rsidRPr="00E82724" w:rsidRDefault="00401DE6" w:rsidP="00974BF5">
            <w:pPr>
              <w:pStyle w:val="NormalWeb"/>
              <w:spacing w:line="384" w:lineRule="atLeast"/>
              <w:rPr>
                <w:rFonts w:ascii="Arial" w:hAnsi="Arial" w:cs="Arial"/>
                <w:color w:val="000000"/>
                <w:sz w:val="20"/>
                <w:szCs w:val="20"/>
              </w:rPr>
            </w:pPr>
            <w:r w:rsidRPr="00E82724">
              <w:rPr>
                <w:rFonts w:ascii="Arial" w:hAnsi="Arial" w:cs="Arial"/>
                <w:color w:val="000000"/>
                <w:sz w:val="20"/>
                <w:szCs w:val="20"/>
              </w:rPr>
              <w:t> </w:t>
            </w:r>
            <w:r>
              <w:rPr>
                <w:rFonts w:ascii="Arial" w:hAnsi="Arial" w:cs="Arial"/>
                <w:color w:val="000000"/>
                <w:sz w:val="20"/>
                <w:szCs w:val="20"/>
              </w:rPr>
              <w:t>4</w:t>
            </w:r>
          </w:p>
        </w:tc>
        <w:tc>
          <w:tcPr>
            <w:tcW w:w="4392" w:type="dxa"/>
            <w:shd w:val="clear" w:color="auto" w:fill="auto"/>
          </w:tcPr>
          <w:p w14:paraId="3498D716" w14:textId="58362B24" w:rsidR="00401DE6" w:rsidRPr="00E82724" w:rsidRDefault="00401DE6" w:rsidP="00BE710F">
            <w:pPr>
              <w:pStyle w:val="NormalWeb"/>
              <w:spacing w:line="384" w:lineRule="atLeast"/>
              <w:rPr>
                <w:rFonts w:ascii="Arial" w:hAnsi="Arial" w:cs="Arial"/>
                <w:color w:val="000000"/>
                <w:sz w:val="20"/>
                <w:szCs w:val="20"/>
              </w:rPr>
            </w:pPr>
            <w:r w:rsidRPr="00E82724">
              <w:rPr>
                <w:rFonts w:ascii="Arial" w:hAnsi="Arial" w:cs="Arial"/>
                <w:color w:val="000000"/>
                <w:sz w:val="20"/>
                <w:szCs w:val="20"/>
              </w:rPr>
              <w:t> </w:t>
            </w:r>
            <w:r w:rsidR="00BE710F">
              <w:rPr>
                <w:rFonts w:ascii="Arial" w:hAnsi="Arial" w:cs="Arial"/>
                <w:color w:val="000000"/>
                <w:sz w:val="20"/>
                <w:szCs w:val="20"/>
              </w:rPr>
              <w:t xml:space="preserve">One-year </w:t>
            </w:r>
            <w:r w:rsidR="00BE710F" w:rsidRPr="00401DE6">
              <w:rPr>
                <w:rFonts w:ascii="Arial" w:hAnsi="Arial" w:cs="Arial"/>
                <w:color w:val="000000"/>
                <w:sz w:val="20"/>
                <w:szCs w:val="20"/>
              </w:rPr>
              <w:t>warranty</w:t>
            </w:r>
            <w:r w:rsidR="00BE710F">
              <w:rPr>
                <w:rFonts w:ascii="Arial" w:hAnsi="Arial" w:cs="Arial"/>
                <w:color w:val="000000"/>
                <w:sz w:val="20"/>
                <w:szCs w:val="20"/>
              </w:rPr>
              <w:t xml:space="preserve"> </w:t>
            </w:r>
            <w:r w:rsidR="00BE710F" w:rsidRPr="00401DE6">
              <w:rPr>
                <w:rFonts w:ascii="Arial" w:hAnsi="Arial" w:cs="Arial"/>
                <w:color w:val="000000"/>
                <w:sz w:val="20"/>
                <w:szCs w:val="20"/>
              </w:rPr>
              <w:t>period</w:t>
            </w:r>
            <w:r w:rsidR="00BE710F">
              <w:rPr>
                <w:rFonts w:ascii="Arial" w:hAnsi="Arial" w:cs="Arial"/>
                <w:color w:val="000000"/>
                <w:sz w:val="20"/>
                <w:szCs w:val="20"/>
              </w:rPr>
              <w:t>-</w:t>
            </w:r>
            <w:r w:rsidR="00BE710F" w:rsidRPr="00401DE6">
              <w:rPr>
                <w:rFonts w:ascii="Arial" w:hAnsi="Arial" w:cs="Arial"/>
                <w:color w:val="000000"/>
                <w:sz w:val="20"/>
                <w:szCs w:val="20"/>
              </w:rPr>
              <w:t xml:space="preserve"> replaces faulty or damaged items. Cl</w:t>
            </w:r>
            <w:r w:rsidR="00BE710F">
              <w:rPr>
                <w:rFonts w:ascii="Arial" w:hAnsi="Arial" w:cs="Arial"/>
                <w:color w:val="000000"/>
                <w:sz w:val="20"/>
                <w:szCs w:val="20"/>
              </w:rPr>
              <w:t xml:space="preserve">ear stipuilation of non-covered items that would be chargeable. </w:t>
            </w:r>
          </w:p>
        </w:tc>
      </w:tr>
      <w:tr w:rsidR="00AE0C5D" w:rsidRPr="00E82724" w14:paraId="687DE154" w14:textId="77777777" w:rsidTr="00AE0C5D">
        <w:trPr>
          <w:tblCellSpacing w:w="20" w:type="dxa"/>
        </w:trPr>
        <w:tc>
          <w:tcPr>
            <w:tcW w:w="2102" w:type="dxa"/>
            <w:shd w:val="clear" w:color="auto" w:fill="auto"/>
          </w:tcPr>
          <w:p w14:paraId="61217E9A" w14:textId="77777777" w:rsidR="00401DE6" w:rsidRPr="00E82724" w:rsidRDefault="00401DE6" w:rsidP="00974BF5">
            <w:pPr>
              <w:pStyle w:val="NormalWeb"/>
              <w:spacing w:line="384" w:lineRule="atLeast"/>
              <w:rPr>
                <w:rFonts w:ascii="Arial" w:hAnsi="Arial" w:cs="Arial"/>
                <w:color w:val="000000"/>
                <w:sz w:val="20"/>
                <w:szCs w:val="20"/>
              </w:rPr>
            </w:pPr>
            <w:r w:rsidRPr="00E82724">
              <w:rPr>
                <w:rFonts w:ascii="Arial" w:hAnsi="Arial" w:cs="Arial"/>
                <w:color w:val="000000"/>
                <w:sz w:val="20"/>
                <w:szCs w:val="20"/>
              </w:rPr>
              <w:t> </w:t>
            </w:r>
            <w:r w:rsidRPr="004C0BF1">
              <w:rPr>
                <w:rFonts w:ascii="Arial" w:hAnsi="Arial" w:cs="Arial"/>
                <w:color w:val="000000"/>
                <w:sz w:val="20"/>
                <w:szCs w:val="20"/>
              </w:rPr>
              <w:t>Size, Weight and durability</w:t>
            </w:r>
          </w:p>
          <w:p w14:paraId="5D02BE6C" w14:textId="77777777" w:rsidR="00401DE6" w:rsidRPr="00E82724" w:rsidRDefault="00401DE6" w:rsidP="00974BF5">
            <w:pPr>
              <w:pStyle w:val="NormalWeb"/>
              <w:spacing w:line="384" w:lineRule="atLeast"/>
              <w:rPr>
                <w:rFonts w:ascii="Arial" w:hAnsi="Arial" w:cs="Arial"/>
                <w:color w:val="000000"/>
                <w:sz w:val="20"/>
                <w:szCs w:val="20"/>
              </w:rPr>
            </w:pPr>
            <w:r w:rsidRPr="00E82724">
              <w:rPr>
                <w:rFonts w:ascii="Arial" w:hAnsi="Arial" w:cs="Arial"/>
                <w:color w:val="000000"/>
                <w:sz w:val="20"/>
                <w:szCs w:val="20"/>
              </w:rPr>
              <w:t> </w:t>
            </w:r>
          </w:p>
        </w:tc>
        <w:tc>
          <w:tcPr>
            <w:tcW w:w="1373" w:type="dxa"/>
            <w:shd w:val="clear" w:color="auto" w:fill="auto"/>
          </w:tcPr>
          <w:p w14:paraId="4D502554" w14:textId="0A90F932" w:rsidR="00401DE6" w:rsidRPr="00E82724" w:rsidRDefault="00401DE6" w:rsidP="00974BF5">
            <w:pPr>
              <w:pStyle w:val="NormalWeb"/>
              <w:spacing w:line="384" w:lineRule="atLeast"/>
              <w:rPr>
                <w:rFonts w:ascii="Arial" w:hAnsi="Arial" w:cs="Arial"/>
                <w:color w:val="000000"/>
                <w:sz w:val="20"/>
                <w:szCs w:val="20"/>
              </w:rPr>
            </w:pPr>
            <w:r>
              <w:rPr>
                <w:rFonts w:ascii="Arial" w:hAnsi="Arial" w:cs="Arial"/>
                <w:color w:val="000000"/>
                <w:sz w:val="20"/>
                <w:szCs w:val="20"/>
              </w:rPr>
              <w:t>6</w:t>
            </w:r>
            <w:r w:rsidRPr="009E17C5">
              <w:rPr>
                <w:rFonts w:ascii="Arial" w:hAnsi="Arial" w:cs="Arial"/>
                <w:color w:val="000000"/>
                <w:sz w:val="20"/>
                <w:szCs w:val="20"/>
              </w:rPr>
              <w:t xml:space="preserve"> </w:t>
            </w:r>
          </w:p>
        </w:tc>
        <w:tc>
          <w:tcPr>
            <w:tcW w:w="4464" w:type="dxa"/>
            <w:shd w:val="clear" w:color="auto" w:fill="auto"/>
          </w:tcPr>
          <w:p w14:paraId="32AF4352" w14:textId="0858A2D4" w:rsidR="00401DE6" w:rsidRPr="00E82724" w:rsidRDefault="00401DE6" w:rsidP="00974BF5">
            <w:pPr>
              <w:pStyle w:val="NormalWeb"/>
              <w:spacing w:line="384" w:lineRule="atLeast"/>
              <w:rPr>
                <w:rFonts w:ascii="Arial" w:hAnsi="Arial" w:cs="Arial"/>
                <w:color w:val="000000"/>
                <w:sz w:val="20"/>
                <w:szCs w:val="20"/>
              </w:rPr>
            </w:pPr>
            <w:r w:rsidRPr="00401DE6">
              <w:rPr>
                <w:rFonts w:ascii="Arial" w:hAnsi="Arial" w:cs="Arial"/>
                <w:color w:val="000000"/>
                <w:sz w:val="20"/>
                <w:szCs w:val="20"/>
              </w:rPr>
              <w:t xml:space="preserve">The kit was impressive and would have significant utility in a controlled environment. However, the size and floor-level positioning of the items would not suit operations in an uncontrolled area at public events where large </w:t>
            </w:r>
            <w:r w:rsidRPr="00401DE6">
              <w:rPr>
                <w:rFonts w:ascii="Arial" w:hAnsi="Arial" w:cs="Arial"/>
                <w:color w:val="000000"/>
                <w:sz w:val="20"/>
                <w:szCs w:val="20"/>
              </w:rPr>
              <w:lastRenderedPageBreak/>
              <w:t>numbers of people would pass by and be free to roam un-channelled. The equipment would require constant overwatch in such an environment and be vulnerable to loss, misplacement, theft and possibly damage.</w:t>
            </w:r>
            <w:r w:rsidRPr="00E82724">
              <w:rPr>
                <w:rFonts w:ascii="Arial" w:hAnsi="Arial" w:cs="Arial"/>
                <w:color w:val="000000"/>
                <w:sz w:val="20"/>
                <w:szCs w:val="20"/>
              </w:rPr>
              <w:t> </w:t>
            </w:r>
          </w:p>
        </w:tc>
        <w:tc>
          <w:tcPr>
            <w:tcW w:w="1371" w:type="dxa"/>
            <w:shd w:val="clear" w:color="auto" w:fill="auto"/>
          </w:tcPr>
          <w:p w14:paraId="08B66B32" w14:textId="77777777" w:rsidR="00401DE6" w:rsidRPr="00E82724" w:rsidRDefault="00401DE6" w:rsidP="00974BF5">
            <w:pPr>
              <w:pStyle w:val="NormalWeb"/>
              <w:spacing w:line="384" w:lineRule="atLeast"/>
              <w:rPr>
                <w:rFonts w:ascii="Arial" w:hAnsi="Arial" w:cs="Arial"/>
                <w:color w:val="000000"/>
                <w:sz w:val="20"/>
                <w:szCs w:val="20"/>
              </w:rPr>
            </w:pPr>
            <w:r w:rsidRPr="00E82724">
              <w:rPr>
                <w:rFonts w:ascii="Arial" w:hAnsi="Arial" w:cs="Arial"/>
                <w:color w:val="000000"/>
                <w:sz w:val="20"/>
                <w:szCs w:val="20"/>
              </w:rPr>
              <w:lastRenderedPageBreak/>
              <w:t> </w:t>
            </w:r>
          </w:p>
          <w:p w14:paraId="593B1ECD" w14:textId="77777777" w:rsidR="00401DE6" w:rsidRPr="00E82724" w:rsidRDefault="00401DE6" w:rsidP="00974BF5">
            <w:pPr>
              <w:pStyle w:val="NormalWeb"/>
              <w:spacing w:line="384" w:lineRule="atLeast"/>
              <w:rPr>
                <w:rFonts w:ascii="Arial" w:hAnsi="Arial" w:cs="Arial"/>
                <w:color w:val="000000"/>
                <w:sz w:val="20"/>
                <w:szCs w:val="20"/>
              </w:rPr>
            </w:pPr>
            <w:r w:rsidRPr="00E82724">
              <w:rPr>
                <w:rFonts w:ascii="Arial" w:hAnsi="Arial" w:cs="Arial"/>
                <w:color w:val="000000"/>
                <w:sz w:val="20"/>
                <w:szCs w:val="20"/>
              </w:rPr>
              <w:t> </w:t>
            </w:r>
            <w:r>
              <w:rPr>
                <w:rFonts w:ascii="Arial" w:hAnsi="Arial" w:cs="Arial"/>
                <w:color w:val="000000"/>
                <w:sz w:val="20"/>
                <w:szCs w:val="20"/>
              </w:rPr>
              <w:t>15</w:t>
            </w:r>
          </w:p>
        </w:tc>
        <w:tc>
          <w:tcPr>
            <w:tcW w:w="4392" w:type="dxa"/>
            <w:shd w:val="clear" w:color="auto" w:fill="auto"/>
          </w:tcPr>
          <w:p w14:paraId="4C197CCF" w14:textId="18A7F43B" w:rsidR="00401DE6" w:rsidRDefault="00401DE6" w:rsidP="00974BF5">
            <w:pPr>
              <w:pStyle w:val="NormalWeb"/>
              <w:spacing w:line="384" w:lineRule="atLeast"/>
              <w:rPr>
                <w:rFonts w:ascii="Arial" w:hAnsi="Arial" w:cs="Arial"/>
                <w:color w:val="000000"/>
                <w:sz w:val="20"/>
                <w:szCs w:val="20"/>
              </w:rPr>
            </w:pPr>
            <w:r w:rsidRPr="00E82724">
              <w:rPr>
                <w:rFonts w:ascii="Arial" w:hAnsi="Arial" w:cs="Arial"/>
                <w:color w:val="000000"/>
                <w:sz w:val="20"/>
                <w:szCs w:val="20"/>
              </w:rPr>
              <w:t> </w:t>
            </w:r>
            <w:r w:rsidR="00BE710F">
              <w:rPr>
                <w:rFonts w:ascii="Arial" w:hAnsi="Arial" w:cs="Arial"/>
                <w:color w:val="000000"/>
                <w:sz w:val="20"/>
                <w:szCs w:val="20"/>
              </w:rPr>
              <w:t xml:space="preserve">The size, weight, and durability of the equipment was deemed compatible with the end user requirement. In particular the use of strong polished stainless-steel frame plus </w:t>
            </w:r>
            <w:r w:rsidR="003B0868">
              <w:rPr>
                <w:rFonts w:ascii="Arial" w:hAnsi="Arial" w:cs="Arial"/>
                <w:color w:val="000000"/>
                <w:sz w:val="20"/>
                <w:szCs w:val="20"/>
              </w:rPr>
              <w:t xml:space="preserve">stabilising </w:t>
            </w:r>
            <w:r w:rsidR="00BE710F">
              <w:rPr>
                <w:rFonts w:ascii="Arial" w:hAnsi="Arial" w:cs="Arial"/>
                <w:color w:val="000000"/>
                <w:sz w:val="20"/>
                <w:szCs w:val="20"/>
              </w:rPr>
              <w:t>weights</w:t>
            </w:r>
            <w:r w:rsidR="003B0868">
              <w:rPr>
                <w:rFonts w:ascii="Arial" w:hAnsi="Arial" w:cs="Arial"/>
                <w:color w:val="000000"/>
                <w:sz w:val="20"/>
                <w:szCs w:val="20"/>
              </w:rPr>
              <w:t xml:space="preserve"> to provide a visible and </w:t>
            </w:r>
            <w:r w:rsidR="003B0868">
              <w:rPr>
                <w:rFonts w:ascii="Arial" w:hAnsi="Arial" w:cs="Arial"/>
                <w:color w:val="000000"/>
                <w:sz w:val="20"/>
                <w:szCs w:val="20"/>
              </w:rPr>
              <w:lastRenderedPageBreak/>
              <w:t>robust structure that is still light enough to be easily carried in component parts</w:t>
            </w:r>
            <w:r w:rsidR="00BE710F">
              <w:rPr>
                <w:rFonts w:ascii="Arial" w:hAnsi="Arial" w:cs="Arial"/>
                <w:color w:val="000000"/>
                <w:sz w:val="20"/>
                <w:szCs w:val="20"/>
              </w:rPr>
              <w:t>. The frame</w:t>
            </w:r>
            <w:r w:rsidR="003B0868">
              <w:rPr>
                <w:rFonts w:ascii="Arial" w:hAnsi="Arial" w:cs="Arial"/>
                <w:color w:val="000000"/>
                <w:sz w:val="20"/>
                <w:szCs w:val="20"/>
              </w:rPr>
              <w:t xml:space="preserve"> </w:t>
            </w:r>
            <w:r w:rsidR="00BE710F">
              <w:rPr>
                <w:rFonts w:ascii="Arial" w:hAnsi="Arial" w:cs="Arial"/>
                <w:color w:val="000000"/>
                <w:sz w:val="20"/>
                <w:szCs w:val="20"/>
              </w:rPr>
              <w:t>can be wall mounted or free-standing</w:t>
            </w:r>
            <w:r w:rsidR="003B0868">
              <w:rPr>
                <w:rFonts w:ascii="Arial" w:hAnsi="Arial" w:cs="Arial"/>
                <w:color w:val="000000"/>
                <w:sz w:val="20"/>
                <w:szCs w:val="20"/>
              </w:rPr>
              <w:t xml:space="preserve"> using support legs. On</w:t>
            </w:r>
            <w:r w:rsidR="00340800">
              <w:rPr>
                <w:rFonts w:ascii="Arial" w:hAnsi="Arial" w:cs="Arial"/>
                <w:color w:val="000000"/>
                <w:sz w:val="20"/>
                <w:szCs w:val="20"/>
              </w:rPr>
              <w:t>c</w:t>
            </w:r>
            <w:bookmarkStart w:id="0" w:name="_GoBack"/>
            <w:bookmarkEnd w:id="0"/>
            <w:r w:rsidR="003B0868">
              <w:rPr>
                <w:rFonts w:ascii="Arial" w:hAnsi="Arial" w:cs="Arial"/>
                <w:color w:val="000000"/>
                <w:sz w:val="20"/>
                <w:szCs w:val="20"/>
              </w:rPr>
              <w:t>e in place the unit could be safely left and would not get damaged or moved for lack of visibility.</w:t>
            </w:r>
          </w:p>
          <w:p w14:paraId="20D5212E" w14:textId="77777777" w:rsidR="00BE710F" w:rsidRPr="00BE710F" w:rsidRDefault="00BE710F" w:rsidP="00BE710F">
            <w:pPr>
              <w:rPr>
                <w:lang w:eastAsia="en-GB"/>
              </w:rPr>
            </w:pPr>
          </w:p>
          <w:p w14:paraId="08D5DEFA" w14:textId="77777777" w:rsidR="00401DE6" w:rsidRPr="00E82724" w:rsidRDefault="00401DE6" w:rsidP="00974BF5">
            <w:pPr>
              <w:pStyle w:val="NormalWeb"/>
              <w:spacing w:line="384" w:lineRule="atLeast"/>
              <w:rPr>
                <w:rFonts w:ascii="Arial" w:hAnsi="Arial" w:cs="Arial"/>
                <w:color w:val="000000"/>
                <w:sz w:val="20"/>
                <w:szCs w:val="20"/>
              </w:rPr>
            </w:pPr>
          </w:p>
          <w:p w14:paraId="0FD7E521" w14:textId="77777777" w:rsidR="00401DE6" w:rsidRPr="00E82724" w:rsidRDefault="00401DE6" w:rsidP="00974BF5">
            <w:pPr>
              <w:pStyle w:val="NormalWeb"/>
              <w:spacing w:line="384" w:lineRule="atLeast"/>
              <w:rPr>
                <w:rFonts w:ascii="Arial" w:hAnsi="Arial" w:cs="Arial"/>
                <w:color w:val="000000"/>
                <w:sz w:val="20"/>
                <w:szCs w:val="20"/>
              </w:rPr>
            </w:pPr>
            <w:r w:rsidRPr="00E82724">
              <w:rPr>
                <w:rFonts w:ascii="Arial" w:hAnsi="Arial" w:cs="Arial"/>
                <w:color w:val="000000"/>
                <w:sz w:val="20"/>
                <w:szCs w:val="20"/>
              </w:rPr>
              <w:t> </w:t>
            </w:r>
          </w:p>
        </w:tc>
      </w:tr>
      <w:tr w:rsidR="00AE0C5D" w:rsidRPr="00E82724" w14:paraId="4B7BC1DD" w14:textId="77777777" w:rsidTr="00AE0C5D">
        <w:trPr>
          <w:tblCellSpacing w:w="20" w:type="dxa"/>
        </w:trPr>
        <w:tc>
          <w:tcPr>
            <w:tcW w:w="2102" w:type="dxa"/>
            <w:shd w:val="clear" w:color="auto" w:fill="auto"/>
          </w:tcPr>
          <w:p w14:paraId="403A3226" w14:textId="77777777" w:rsidR="00401DE6" w:rsidRPr="00E82724" w:rsidRDefault="00401DE6" w:rsidP="00974BF5">
            <w:pPr>
              <w:pStyle w:val="NormalWeb"/>
              <w:spacing w:line="384" w:lineRule="atLeast"/>
              <w:rPr>
                <w:rFonts w:ascii="Arial" w:hAnsi="Arial" w:cs="Arial"/>
                <w:color w:val="000000"/>
                <w:sz w:val="20"/>
                <w:szCs w:val="20"/>
              </w:rPr>
            </w:pPr>
            <w:r w:rsidRPr="00E82724">
              <w:rPr>
                <w:rFonts w:ascii="Arial" w:hAnsi="Arial" w:cs="Arial"/>
                <w:color w:val="000000"/>
                <w:sz w:val="20"/>
                <w:szCs w:val="20"/>
              </w:rPr>
              <w:lastRenderedPageBreak/>
              <w:t> </w:t>
            </w:r>
          </w:p>
          <w:p w14:paraId="13A2C575" w14:textId="77777777" w:rsidR="00401DE6" w:rsidRPr="00E82724" w:rsidRDefault="00401DE6" w:rsidP="00974BF5">
            <w:pPr>
              <w:pStyle w:val="NormalWeb"/>
              <w:spacing w:line="384" w:lineRule="atLeast"/>
              <w:rPr>
                <w:rFonts w:ascii="Arial" w:hAnsi="Arial" w:cs="Arial"/>
                <w:color w:val="000000"/>
                <w:sz w:val="20"/>
                <w:szCs w:val="20"/>
              </w:rPr>
            </w:pPr>
            <w:r w:rsidRPr="00E82724">
              <w:rPr>
                <w:rFonts w:ascii="Arial" w:hAnsi="Arial" w:cs="Arial"/>
                <w:color w:val="000000"/>
                <w:sz w:val="20"/>
                <w:szCs w:val="20"/>
              </w:rPr>
              <w:t> </w:t>
            </w:r>
            <w:r w:rsidRPr="004C0BF1">
              <w:rPr>
                <w:rFonts w:ascii="Arial" w:hAnsi="Arial" w:cs="Arial"/>
                <w:color w:val="000000"/>
                <w:sz w:val="20"/>
                <w:szCs w:val="20"/>
              </w:rPr>
              <w:t>Equipment</w:t>
            </w:r>
          </w:p>
        </w:tc>
        <w:tc>
          <w:tcPr>
            <w:tcW w:w="1373" w:type="dxa"/>
            <w:shd w:val="clear" w:color="auto" w:fill="auto"/>
          </w:tcPr>
          <w:p w14:paraId="667DD153" w14:textId="76B4B639" w:rsidR="00401DE6" w:rsidRPr="00E82724" w:rsidRDefault="00401DE6" w:rsidP="00974BF5">
            <w:pPr>
              <w:pStyle w:val="NormalWeb"/>
              <w:spacing w:line="384" w:lineRule="atLeast"/>
              <w:rPr>
                <w:rFonts w:ascii="Arial" w:hAnsi="Arial" w:cs="Arial"/>
                <w:color w:val="000000"/>
                <w:sz w:val="20"/>
                <w:szCs w:val="20"/>
              </w:rPr>
            </w:pPr>
            <w:r>
              <w:rPr>
                <w:rFonts w:ascii="Arial" w:hAnsi="Arial" w:cs="Arial"/>
                <w:color w:val="000000"/>
                <w:sz w:val="20"/>
                <w:szCs w:val="20"/>
              </w:rPr>
              <w:t>3</w:t>
            </w:r>
            <w:r w:rsidRPr="009E17C5">
              <w:rPr>
                <w:rFonts w:ascii="Arial" w:hAnsi="Arial" w:cs="Arial"/>
                <w:color w:val="000000"/>
                <w:sz w:val="20"/>
                <w:szCs w:val="20"/>
              </w:rPr>
              <w:t xml:space="preserve"> </w:t>
            </w:r>
          </w:p>
        </w:tc>
        <w:tc>
          <w:tcPr>
            <w:tcW w:w="4464" w:type="dxa"/>
            <w:shd w:val="clear" w:color="auto" w:fill="auto"/>
          </w:tcPr>
          <w:p w14:paraId="331B297B" w14:textId="76D69067" w:rsidR="00401DE6" w:rsidRPr="00401DE6" w:rsidRDefault="00401DE6" w:rsidP="00401DE6">
            <w:pPr>
              <w:pStyle w:val="NormalWeb"/>
              <w:spacing w:line="384" w:lineRule="atLeast"/>
              <w:rPr>
                <w:rFonts w:ascii="Arial" w:hAnsi="Arial" w:cs="Arial"/>
                <w:color w:val="000000"/>
                <w:sz w:val="20"/>
                <w:szCs w:val="20"/>
              </w:rPr>
            </w:pPr>
            <w:r w:rsidRPr="00401DE6">
              <w:rPr>
                <w:rFonts w:ascii="Arial" w:hAnsi="Arial" w:cs="Arial"/>
                <w:color w:val="000000"/>
                <w:sz w:val="20"/>
                <w:szCs w:val="20"/>
              </w:rPr>
              <w:t>Equipment requires additional hardware (portable device with connectivity) and software in order to</w:t>
            </w:r>
            <w:r>
              <w:rPr>
                <w:rFonts w:ascii="Arial" w:hAnsi="Arial" w:cs="Arial"/>
                <w:color w:val="000000"/>
                <w:sz w:val="20"/>
                <w:szCs w:val="20"/>
              </w:rPr>
              <w:t xml:space="preserve"> </w:t>
            </w:r>
            <w:r w:rsidRPr="00401DE6">
              <w:rPr>
                <w:rFonts w:ascii="Arial" w:hAnsi="Arial" w:cs="Arial"/>
                <w:color w:val="000000"/>
                <w:sz w:val="20"/>
                <w:szCs w:val="20"/>
              </w:rPr>
              <w:t>operate, the procurement of which is not included. Additional support therefore required from Army to</w:t>
            </w:r>
          </w:p>
          <w:p w14:paraId="0128CA9C" w14:textId="34131EEA" w:rsidR="00401DE6" w:rsidRPr="00E82724" w:rsidRDefault="00401DE6" w:rsidP="00401DE6">
            <w:pPr>
              <w:pStyle w:val="NormalWeb"/>
              <w:spacing w:line="384" w:lineRule="atLeast"/>
              <w:rPr>
                <w:rFonts w:ascii="Arial" w:hAnsi="Arial" w:cs="Arial"/>
                <w:color w:val="000000"/>
                <w:sz w:val="20"/>
                <w:szCs w:val="20"/>
              </w:rPr>
            </w:pPr>
            <w:r w:rsidRPr="00401DE6">
              <w:rPr>
                <w:rFonts w:ascii="Arial" w:hAnsi="Arial" w:cs="Arial"/>
                <w:color w:val="000000"/>
                <w:sz w:val="20"/>
                <w:szCs w:val="20"/>
              </w:rPr>
              <w:t>meet requirement.</w:t>
            </w:r>
            <w:r w:rsidRPr="00E82724">
              <w:rPr>
                <w:rFonts w:ascii="Arial" w:hAnsi="Arial" w:cs="Arial"/>
                <w:color w:val="000000"/>
                <w:sz w:val="20"/>
                <w:szCs w:val="20"/>
              </w:rPr>
              <w:t> </w:t>
            </w:r>
          </w:p>
        </w:tc>
        <w:tc>
          <w:tcPr>
            <w:tcW w:w="1371" w:type="dxa"/>
            <w:shd w:val="clear" w:color="auto" w:fill="auto"/>
          </w:tcPr>
          <w:p w14:paraId="14F18044" w14:textId="77777777" w:rsidR="00401DE6" w:rsidRPr="00E82724" w:rsidRDefault="00401DE6" w:rsidP="00974BF5">
            <w:pPr>
              <w:pStyle w:val="NormalWeb"/>
              <w:spacing w:line="384" w:lineRule="atLeast"/>
              <w:rPr>
                <w:rFonts w:ascii="Arial" w:hAnsi="Arial" w:cs="Arial"/>
                <w:color w:val="000000"/>
                <w:sz w:val="20"/>
                <w:szCs w:val="20"/>
              </w:rPr>
            </w:pPr>
            <w:r w:rsidRPr="00E82724">
              <w:rPr>
                <w:rFonts w:ascii="Arial" w:hAnsi="Arial" w:cs="Arial"/>
                <w:color w:val="000000"/>
                <w:sz w:val="20"/>
                <w:szCs w:val="20"/>
              </w:rPr>
              <w:t> </w:t>
            </w:r>
          </w:p>
          <w:p w14:paraId="0FD27006" w14:textId="77777777" w:rsidR="00401DE6" w:rsidRPr="00E82724" w:rsidRDefault="00401DE6" w:rsidP="00974BF5">
            <w:pPr>
              <w:pStyle w:val="NormalWeb"/>
              <w:spacing w:line="384" w:lineRule="atLeast"/>
              <w:rPr>
                <w:rFonts w:ascii="Arial" w:hAnsi="Arial" w:cs="Arial"/>
                <w:color w:val="000000"/>
                <w:sz w:val="20"/>
                <w:szCs w:val="20"/>
              </w:rPr>
            </w:pPr>
            <w:r w:rsidRPr="00E82724">
              <w:rPr>
                <w:rFonts w:ascii="Arial" w:hAnsi="Arial" w:cs="Arial"/>
                <w:color w:val="000000"/>
                <w:sz w:val="20"/>
                <w:szCs w:val="20"/>
              </w:rPr>
              <w:t> </w:t>
            </w:r>
            <w:r>
              <w:rPr>
                <w:rFonts w:ascii="Arial" w:hAnsi="Arial" w:cs="Arial"/>
                <w:color w:val="000000"/>
                <w:sz w:val="20"/>
                <w:szCs w:val="20"/>
              </w:rPr>
              <w:t>15</w:t>
            </w:r>
          </w:p>
        </w:tc>
        <w:tc>
          <w:tcPr>
            <w:tcW w:w="4392" w:type="dxa"/>
            <w:shd w:val="clear" w:color="auto" w:fill="auto"/>
          </w:tcPr>
          <w:p w14:paraId="17204174" w14:textId="09070A72" w:rsidR="00401DE6" w:rsidRPr="00E82724" w:rsidRDefault="00401DE6" w:rsidP="00974BF5">
            <w:pPr>
              <w:pStyle w:val="NormalWeb"/>
              <w:spacing w:line="384" w:lineRule="atLeast"/>
              <w:rPr>
                <w:rFonts w:ascii="Arial" w:hAnsi="Arial" w:cs="Arial"/>
                <w:color w:val="000000"/>
                <w:sz w:val="20"/>
                <w:szCs w:val="20"/>
              </w:rPr>
            </w:pPr>
            <w:r w:rsidRPr="00E82724">
              <w:rPr>
                <w:rFonts w:ascii="Arial" w:hAnsi="Arial" w:cs="Arial"/>
                <w:color w:val="000000"/>
                <w:sz w:val="20"/>
                <w:szCs w:val="20"/>
              </w:rPr>
              <w:t> </w:t>
            </w:r>
            <w:r w:rsidR="003B0868">
              <w:rPr>
                <w:rFonts w:ascii="Arial" w:hAnsi="Arial" w:cs="Arial"/>
                <w:color w:val="000000"/>
                <w:sz w:val="20"/>
                <w:szCs w:val="20"/>
              </w:rPr>
              <w:t>The equipment is completely stand-alone/self-sufficient. It does not require WiFi, BlueTooth or a cellphone network to operate. Operated by a built-in microcomputer.  Single unit, but of a size and design that can deliver crowd attraction.</w:t>
            </w:r>
          </w:p>
        </w:tc>
      </w:tr>
      <w:tr w:rsidR="00AE0C5D" w:rsidRPr="00E82724" w14:paraId="02157730" w14:textId="77777777" w:rsidTr="00AE0C5D">
        <w:trPr>
          <w:tblCellSpacing w:w="20" w:type="dxa"/>
        </w:trPr>
        <w:tc>
          <w:tcPr>
            <w:tcW w:w="2102" w:type="dxa"/>
            <w:shd w:val="clear" w:color="auto" w:fill="auto"/>
          </w:tcPr>
          <w:p w14:paraId="65C91EC0" w14:textId="77777777" w:rsidR="00401DE6" w:rsidRPr="00E82724" w:rsidRDefault="00401DE6" w:rsidP="00974BF5">
            <w:pPr>
              <w:pStyle w:val="NormalWeb"/>
              <w:spacing w:line="384" w:lineRule="atLeast"/>
              <w:rPr>
                <w:rFonts w:ascii="Arial" w:hAnsi="Arial" w:cs="Arial"/>
                <w:color w:val="000000"/>
                <w:sz w:val="20"/>
                <w:szCs w:val="20"/>
              </w:rPr>
            </w:pPr>
            <w:r w:rsidRPr="004C0BF1">
              <w:rPr>
                <w:rFonts w:ascii="Arial" w:hAnsi="Arial" w:cs="Arial"/>
                <w:color w:val="000000"/>
                <w:sz w:val="20"/>
                <w:szCs w:val="20"/>
              </w:rPr>
              <w:t>Power</w:t>
            </w:r>
          </w:p>
        </w:tc>
        <w:tc>
          <w:tcPr>
            <w:tcW w:w="1373" w:type="dxa"/>
            <w:shd w:val="clear" w:color="auto" w:fill="auto"/>
          </w:tcPr>
          <w:p w14:paraId="6FAD9DA3" w14:textId="52895637" w:rsidR="00401DE6" w:rsidRPr="00E82724" w:rsidRDefault="00401DE6" w:rsidP="00974BF5">
            <w:pPr>
              <w:pStyle w:val="NormalWeb"/>
              <w:spacing w:line="384" w:lineRule="atLeast"/>
              <w:rPr>
                <w:rFonts w:ascii="Arial" w:hAnsi="Arial" w:cs="Arial"/>
                <w:color w:val="000000"/>
                <w:sz w:val="20"/>
                <w:szCs w:val="20"/>
              </w:rPr>
            </w:pPr>
            <w:r>
              <w:rPr>
                <w:rFonts w:ascii="Arial" w:hAnsi="Arial" w:cs="Arial"/>
                <w:color w:val="000000"/>
                <w:sz w:val="20"/>
                <w:szCs w:val="20"/>
              </w:rPr>
              <w:t>9</w:t>
            </w:r>
            <w:r w:rsidRPr="009E17C5">
              <w:rPr>
                <w:rFonts w:ascii="Arial" w:hAnsi="Arial" w:cs="Arial"/>
                <w:color w:val="000000"/>
                <w:sz w:val="20"/>
                <w:szCs w:val="20"/>
              </w:rPr>
              <w:t xml:space="preserve"> </w:t>
            </w:r>
          </w:p>
        </w:tc>
        <w:tc>
          <w:tcPr>
            <w:tcW w:w="4464" w:type="dxa"/>
            <w:shd w:val="clear" w:color="auto" w:fill="auto"/>
          </w:tcPr>
          <w:p w14:paraId="72857A03" w14:textId="656FC4EF" w:rsidR="00401DE6" w:rsidRPr="00E82724" w:rsidRDefault="00401DE6" w:rsidP="00974BF5">
            <w:pPr>
              <w:pStyle w:val="NormalWeb"/>
              <w:spacing w:line="384" w:lineRule="atLeast"/>
              <w:rPr>
                <w:rFonts w:ascii="Arial" w:hAnsi="Arial" w:cs="Arial"/>
                <w:color w:val="000000"/>
                <w:sz w:val="20"/>
                <w:szCs w:val="20"/>
              </w:rPr>
            </w:pPr>
            <w:r w:rsidRPr="00401DE6">
              <w:rPr>
                <w:rFonts w:ascii="Arial" w:hAnsi="Arial" w:cs="Arial"/>
                <w:color w:val="000000"/>
                <w:sz w:val="20"/>
                <w:szCs w:val="20"/>
              </w:rPr>
              <w:t>Equipment is fit for purpose. Note requirement for 12v vehicle batteries for remote operation.</w:t>
            </w:r>
          </w:p>
        </w:tc>
        <w:tc>
          <w:tcPr>
            <w:tcW w:w="1371" w:type="dxa"/>
            <w:shd w:val="clear" w:color="auto" w:fill="auto"/>
          </w:tcPr>
          <w:p w14:paraId="05A6B26A" w14:textId="77777777" w:rsidR="00401DE6" w:rsidRPr="00E82724" w:rsidRDefault="00401DE6" w:rsidP="00974BF5">
            <w:pPr>
              <w:pStyle w:val="NormalWeb"/>
              <w:spacing w:line="384" w:lineRule="atLeast"/>
              <w:rPr>
                <w:rFonts w:ascii="Arial" w:hAnsi="Arial" w:cs="Arial"/>
                <w:color w:val="000000"/>
                <w:sz w:val="20"/>
                <w:szCs w:val="20"/>
              </w:rPr>
            </w:pPr>
            <w:r>
              <w:rPr>
                <w:rFonts w:ascii="Arial" w:hAnsi="Arial" w:cs="Arial"/>
                <w:color w:val="000000"/>
                <w:sz w:val="20"/>
                <w:szCs w:val="20"/>
              </w:rPr>
              <w:t>9</w:t>
            </w:r>
          </w:p>
        </w:tc>
        <w:tc>
          <w:tcPr>
            <w:tcW w:w="4392" w:type="dxa"/>
            <w:shd w:val="clear" w:color="auto" w:fill="auto"/>
          </w:tcPr>
          <w:p w14:paraId="67174095" w14:textId="55D43DC3" w:rsidR="00401DE6" w:rsidRPr="00E82724" w:rsidRDefault="003B0868" w:rsidP="00974BF5">
            <w:pPr>
              <w:pStyle w:val="NormalWeb"/>
              <w:spacing w:line="384" w:lineRule="atLeast"/>
              <w:rPr>
                <w:rFonts w:ascii="Arial" w:hAnsi="Arial" w:cs="Arial"/>
                <w:color w:val="000000"/>
                <w:sz w:val="20"/>
                <w:szCs w:val="20"/>
              </w:rPr>
            </w:pPr>
            <w:r w:rsidRPr="00401DE6">
              <w:rPr>
                <w:rFonts w:ascii="Arial" w:hAnsi="Arial" w:cs="Arial"/>
                <w:color w:val="000000"/>
                <w:sz w:val="20"/>
                <w:szCs w:val="20"/>
              </w:rPr>
              <w:t>Equipment is fit for purpose. Note requirement for 12v vehicle batteries for remote operation</w:t>
            </w:r>
            <w:r>
              <w:rPr>
                <w:rFonts w:ascii="Arial" w:hAnsi="Arial" w:cs="Arial"/>
                <w:color w:val="000000"/>
                <w:sz w:val="20"/>
                <w:szCs w:val="20"/>
              </w:rPr>
              <w:t xml:space="preserve">. </w:t>
            </w:r>
          </w:p>
        </w:tc>
      </w:tr>
      <w:tr w:rsidR="00AE0C5D" w:rsidRPr="00E82724" w14:paraId="5FF979DB" w14:textId="77777777" w:rsidTr="00AE0C5D">
        <w:trPr>
          <w:tblCellSpacing w:w="20" w:type="dxa"/>
        </w:trPr>
        <w:tc>
          <w:tcPr>
            <w:tcW w:w="2102" w:type="dxa"/>
            <w:shd w:val="clear" w:color="auto" w:fill="auto"/>
          </w:tcPr>
          <w:p w14:paraId="0C8A24DD" w14:textId="77777777" w:rsidR="00401DE6" w:rsidRPr="004C0BF1" w:rsidRDefault="00401DE6" w:rsidP="00974BF5">
            <w:pPr>
              <w:pStyle w:val="NormalWeb"/>
              <w:spacing w:line="384" w:lineRule="atLeast"/>
              <w:rPr>
                <w:rFonts w:ascii="Arial" w:hAnsi="Arial" w:cs="Arial"/>
                <w:color w:val="000000"/>
                <w:sz w:val="20"/>
                <w:szCs w:val="20"/>
              </w:rPr>
            </w:pPr>
            <w:r>
              <w:rPr>
                <w:rFonts w:ascii="Arial" w:hAnsi="Arial" w:cs="Arial"/>
                <w:color w:val="000000"/>
                <w:sz w:val="20"/>
                <w:szCs w:val="20"/>
              </w:rPr>
              <w:t>Total Score</w:t>
            </w:r>
          </w:p>
        </w:tc>
        <w:tc>
          <w:tcPr>
            <w:tcW w:w="1373" w:type="dxa"/>
            <w:shd w:val="clear" w:color="auto" w:fill="auto"/>
          </w:tcPr>
          <w:p w14:paraId="2AB4DD26" w14:textId="77777777" w:rsidR="00401DE6" w:rsidRDefault="00401DE6" w:rsidP="00974BF5">
            <w:pPr>
              <w:pStyle w:val="NormalWeb"/>
              <w:spacing w:line="384" w:lineRule="atLeast"/>
              <w:rPr>
                <w:rFonts w:ascii="Arial" w:hAnsi="Arial" w:cs="Arial"/>
                <w:color w:val="000000"/>
                <w:sz w:val="20"/>
                <w:szCs w:val="20"/>
              </w:rPr>
            </w:pPr>
            <w:r>
              <w:rPr>
                <w:rFonts w:ascii="Arial" w:hAnsi="Arial" w:cs="Arial"/>
                <w:color w:val="000000"/>
                <w:sz w:val="20"/>
                <w:szCs w:val="20"/>
              </w:rPr>
              <w:t>28</w:t>
            </w:r>
          </w:p>
        </w:tc>
        <w:tc>
          <w:tcPr>
            <w:tcW w:w="4464" w:type="dxa"/>
            <w:shd w:val="clear" w:color="auto" w:fill="auto"/>
          </w:tcPr>
          <w:p w14:paraId="6CD755B0" w14:textId="77777777" w:rsidR="00401DE6" w:rsidRDefault="00401DE6" w:rsidP="00401DE6">
            <w:pPr>
              <w:pStyle w:val="Default"/>
              <w:rPr>
                <w:sz w:val="20"/>
                <w:szCs w:val="20"/>
              </w:rPr>
            </w:pPr>
            <w:r>
              <w:rPr>
                <w:sz w:val="20"/>
                <w:szCs w:val="20"/>
              </w:rPr>
              <w:t xml:space="preserve">Technically non-compliant. </w:t>
            </w:r>
          </w:p>
          <w:p w14:paraId="7794C160" w14:textId="77777777" w:rsidR="00401DE6" w:rsidRPr="00E82724" w:rsidRDefault="00401DE6" w:rsidP="00974BF5">
            <w:pPr>
              <w:pStyle w:val="NormalWeb"/>
              <w:spacing w:line="384" w:lineRule="atLeast"/>
              <w:rPr>
                <w:rFonts w:ascii="Arial" w:hAnsi="Arial" w:cs="Arial"/>
                <w:color w:val="000000"/>
                <w:sz w:val="20"/>
                <w:szCs w:val="20"/>
              </w:rPr>
            </w:pPr>
          </w:p>
        </w:tc>
        <w:tc>
          <w:tcPr>
            <w:tcW w:w="1371" w:type="dxa"/>
            <w:shd w:val="clear" w:color="auto" w:fill="auto"/>
          </w:tcPr>
          <w:p w14:paraId="20CB74E1" w14:textId="77777777" w:rsidR="00401DE6" w:rsidRPr="00E82724" w:rsidRDefault="00401DE6" w:rsidP="00974BF5">
            <w:pPr>
              <w:pStyle w:val="NormalWeb"/>
              <w:spacing w:line="384" w:lineRule="atLeast"/>
              <w:rPr>
                <w:rFonts w:ascii="Arial" w:hAnsi="Arial" w:cs="Arial"/>
                <w:color w:val="000000"/>
                <w:sz w:val="20"/>
                <w:szCs w:val="20"/>
              </w:rPr>
            </w:pPr>
            <w:r>
              <w:rPr>
                <w:rFonts w:ascii="Arial" w:hAnsi="Arial" w:cs="Arial"/>
                <w:color w:val="000000"/>
                <w:sz w:val="20"/>
                <w:szCs w:val="20"/>
              </w:rPr>
              <w:t>49</w:t>
            </w:r>
          </w:p>
        </w:tc>
        <w:tc>
          <w:tcPr>
            <w:tcW w:w="4392" w:type="dxa"/>
            <w:shd w:val="clear" w:color="auto" w:fill="auto"/>
          </w:tcPr>
          <w:p w14:paraId="384F944F" w14:textId="38108589" w:rsidR="00401DE6" w:rsidRPr="00E82724" w:rsidRDefault="004E10DF" w:rsidP="00AE0C5D">
            <w:pPr>
              <w:pStyle w:val="Default"/>
              <w:rPr>
                <w:sz w:val="20"/>
                <w:szCs w:val="20"/>
              </w:rPr>
            </w:pPr>
            <w:r>
              <w:rPr>
                <w:sz w:val="20"/>
                <w:szCs w:val="20"/>
              </w:rPr>
              <w:t xml:space="preserve">Technically compliant. </w:t>
            </w:r>
          </w:p>
        </w:tc>
      </w:tr>
    </w:tbl>
    <w:p w14:paraId="386537C2" w14:textId="77777777" w:rsidR="008730FF" w:rsidRDefault="008730FF"/>
    <w:sectPr w:rsidR="008730FF" w:rsidSect="00967D7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E6"/>
    <w:rsid w:val="00264882"/>
    <w:rsid w:val="00340800"/>
    <w:rsid w:val="003B0868"/>
    <w:rsid w:val="00401DE6"/>
    <w:rsid w:val="004E10DF"/>
    <w:rsid w:val="008730FF"/>
    <w:rsid w:val="00967D75"/>
    <w:rsid w:val="00AE0C5D"/>
    <w:rsid w:val="00BE7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C101"/>
  <w15:chartTrackingRefBased/>
  <w15:docId w15:val="{184A8390-98A3-4E30-9A5A-07A6CFA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1DE6"/>
    <w:pPr>
      <w:spacing w:after="0" w:line="240" w:lineRule="auto"/>
    </w:pPr>
    <w:rPr>
      <w:rFonts w:ascii="Arial" w:eastAsia="Times New Roman" w:hAnsi="Arial" w:cs="Times New Roman"/>
      <w:szCs w:val="24"/>
    </w:rPr>
  </w:style>
  <w:style w:type="paragraph" w:styleId="Heading3">
    <w:name w:val="heading 3"/>
    <w:basedOn w:val="Normal"/>
    <w:next w:val="Normal"/>
    <w:link w:val="Heading3Char"/>
    <w:qFormat/>
    <w:rsid w:val="00401DE6"/>
    <w:pPr>
      <w:keepNext/>
      <w:overflowPunct w:val="0"/>
      <w:autoSpaceDE w:val="0"/>
      <w:autoSpaceDN w:val="0"/>
      <w:adjustRightInd w:val="0"/>
      <w:spacing w:before="240" w:after="60"/>
      <w:textAlignment w:val="baseline"/>
      <w:outlineLvl w:val="2"/>
    </w:pPr>
    <w:rPr>
      <w:b/>
      <w:kern w:val="22"/>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01DE6"/>
    <w:rPr>
      <w:rFonts w:ascii="Arial" w:eastAsia="Times New Roman" w:hAnsi="Arial" w:cs="Times New Roman"/>
      <w:b/>
      <w:kern w:val="22"/>
      <w:sz w:val="26"/>
      <w:szCs w:val="20"/>
    </w:rPr>
  </w:style>
  <w:style w:type="paragraph" w:styleId="NormalWeb">
    <w:name w:val="Normal (Web)"/>
    <w:basedOn w:val="Normal"/>
    <w:next w:val="Normal"/>
    <w:link w:val="NormalWebChar"/>
    <w:rsid w:val="00401DE6"/>
    <w:pPr>
      <w:autoSpaceDE w:val="0"/>
      <w:autoSpaceDN w:val="0"/>
      <w:adjustRightInd w:val="0"/>
    </w:pPr>
    <w:rPr>
      <w:rFonts w:ascii="Verdana" w:hAnsi="Verdana"/>
      <w:sz w:val="24"/>
      <w:lang w:eastAsia="en-GB"/>
    </w:rPr>
  </w:style>
  <w:style w:type="character" w:customStyle="1" w:styleId="NormalWebChar">
    <w:name w:val="Normal (Web) Char"/>
    <w:link w:val="NormalWeb"/>
    <w:rsid w:val="00401DE6"/>
    <w:rPr>
      <w:rFonts w:ascii="Verdana" w:eastAsia="Times New Roman" w:hAnsi="Verdana" w:cs="Times New Roman"/>
      <w:sz w:val="24"/>
      <w:szCs w:val="24"/>
      <w:lang w:eastAsia="en-GB"/>
    </w:rPr>
  </w:style>
  <w:style w:type="paragraph" w:customStyle="1" w:styleId="Default">
    <w:name w:val="Default"/>
    <w:rsid w:val="00401DE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Tshuma, Tinashe D (Army Comrcl-Procure HC T1c-D)</dc:creator>
  <cp:keywords/>
  <dc:description/>
  <cp:lastModifiedBy>Dillon, Mark Lt Col (RC-OpsEngt-CE-SO1)</cp:lastModifiedBy>
  <cp:revision>4</cp:revision>
  <dcterms:created xsi:type="dcterms:W3CDTF">2021-02-01T18:25:00Z</dcterms:created>
  <dcterms:modified xsi:type="dcterms:W3CDTF">2021-02-01T18:31:00Z</dcterms:modified>
</cp:coreProperties>
</file>