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D3CFD" w:rsidRDefault="00281480" w:rsidP="00F02055">
      <w:pPr>
        <w:pStyle w:val="BodyText"/>
        <w:jc w:val="center"/>
        <w:rPr>
          <w:rFonts w:asciiTheme="minorHAnsi" w:hAnsiTheme="minorHAnsi"/>
          <w:b/>
          <w:sz w:val="22"/>
          <w:szCs w:val="22"/>
        </w:rPr>
      </w:pPr>
      <w:r w:rsidRPr="003D3CFD">
        <w:rPr>
          <w:rFonts w:asciiTheme="minorHAnsi" w:hAnsiTheme="minorHAnsi"/>
          <w:b/>
          <w:sz w:val="22"/>
          <w:szCs w:val="22"/>
        </w:rPr>
        <w:t>Invitation to tender</w:t>
      </w:r>
      <w:r w:rsidR="00B247D2" w:rsidRPr="003D3CFD">
        <w:rPr>
          <w:rFonts w:asciiTheme="minorHAnsi" w:hAnsiTheme="minorHAnsi"/>
          <w:b/>
          <w:sz w:val="22"/>
          <w:szCs w:val="22"/>
        </w:rPr>
        <w:t xml:space="preserve"> - </w:t>
      </w:r>
      <w:r w:rsidR="0030702E" w:rsidRPr="0030702E">
        <w:rPr>
          <w:rFonts w:asciiTheme="minorHAnsi" w:hAnsiTheme="minorHAnsi" w:cs="Arial"/>
          <w:b/>
          <w:sz w:val="22"/>
          <w:szCs w:val="22"/>
        </w:rPr>
        <w:t>Adaptation actions in cities – what works?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bookmarkStart w:id="0" w:name="_GoBack"/>
      <w:bookmarkEnd w:id="0"/>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B247D2" w:rsidP="0023673B">
      <w:pPr>
        <w:pStyle w:val="BodyText"/>
        <w:jc w:val="center"/>
        <w:rPr>
          <w:rFonts w:ascii="Calibri" w:hAnsi="Calibri"/>
          <w:b/>
          <w:color w:val="FF0000"/>
          <w:sz w:val="22"/>
          <w:szCs w:val="22"/>
        </w:rPr>
      </w:pPr>
      <w:r>
        <w:rPr>
          <w:rFonts w:ascii="Calibri" w:hAnsi="Calibri"/>
          <w:b/>
          <w:sz w:val="22"/>
          <w:szCs w:val="22"/>
        </w:rPr>
        <w:t xml:space="preserve">Invitation to tender - </w:t>
      </w:r>
      <w:r w:rsidR="0030702E" w:rsidRPr="0030702E">
        <w:rPr>
          <w:rFonts w:asciiTheme="minorHAnsi" w:hAnsiTheme="minorHAnsi" w:cs="Arial"/>
          <w:b/>
          <w:sz w:val="22"/>
          <w:szCs w:val="22"/>
        </w:rPr>
        <w:t>Adaptation actions in cities – what works?</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B247D2">
        <w:rPr>
          <w:rFonts w:asciiTheme="minorHAnsi" w:hAnsiTheme="minorHAnsi"/>
          <w:sz w:val="22"/>
          <w:szCs w:val="22"/>
        </w:rPr>
        <w:t xml:space="preserve"> </w:t>
      </w:r>
      <w:r w:rsidR="00202AAB">
        <w:rPr>
          <w:rFonts w:asciiTheme="minorHAnsi" w:hAnsiTheme="minorHAnsi"/>
          <w:sz w:val="22"/>
          <w:szCs w:val="22"/>
        </w:rPr>
        <w:t>David Style</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202AAB" w:rsidRPr="00202AAB">
        <w:rPr>
          <w:rFonts w:asciiTheme="minorHAnsi" w:hAnsiTheme="minorHAnsi"/>
          <w:sz w:val="22"/>
          <w:szCs w:val="22"/>
          <w:lang w:eastAsia="en-GB"/>
        </w:rPr>
        <w:t xml:space="preserve">020 7591 6098 </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B247D2">
        <w:rPr>
          <w:rFonts w:asciiTheme="minorHAnsi" w:hAnsiTheme="minorHAnsi"/>
          <w:sz w:val="22"/>
          <w:szCs w:val="22"/>
          <w:lang w:eastAsia="en-GB"/>
        </w:rPr>
        <w:t xml:space="preserve">- </w:t>
      </w:r>
      <w:r w:rsidR="00202AAB">
        <w:rPr>
          <w:rFonts w:asciiTheme="minorHAnsi" w:hAnsiTheme="minorHAnsi"/>
          <w:sz w:val="22"/>
          <w:szCs w:val="22"/>
          <w:lang w:eastAsia="en-GB"/>
        </w:rPr>
        <w:t>david.style</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202AAB" w:rsidP="004F3028">
      <w:pPr>
        <w:pStyle w:val="Norma"/>
        <w:ind w:left="360"/>
        <w:rPr>
          <w:rFonts w:asciiTheme="minorHAnsi" w:hAnsiTheme="minorHAnsi"/>
          <w:sz w:val="22"/>
          <w:szCs w:val="22"/>
        </w:rPr>
      </w:pPr>
      <w:r>
        <w:rPr>
          <w:rFonts w:asciiTheme="minorHAnsi" w:hAnsiTheme="minorHAnsi"/>
          <w:color w:val="000000" w:themeColor="text1"/>
          <w:sz w:val="22"/>
          <w:szCs w:val="22"/>
        </w:rPr>
        <w:t>David</w:t>
      </w:r>
      <w:r w:rsidR="00B247D2">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B247D2" w:rsidRDefault="00F07331" w:rsidP="00F07331">
      <w:pPr>
        <w:pStyle w:val="Norma0"/>
        <w:ind w:left="284"/>
        <w:jc w:val="center"/>
        <w:rPr>
          <w:rFonts w:ascii="Calibri" w:hAnsi="Calibri"/>
          <w:color w:val="000000" w:themeColor="text1"/>
          <w:sz w:val="22"/>
          <w:szCs w:val="22"/>
          <w:lang w:eastAsia="en-US"/>
        </w:rPr>
      </w:pPr>
      <w:r w:rsidRPr="00B247D2">
        <w:rPr>
          <w:rFonts w:ascii="Calibri" w:hAnsi="Calibri"/>
          <w:color w:val="000000" w:themeColor="text1"/>
          <w:sz w:val="22"/>
          <w:szCs w:val="22"/>
          <w:lang w:eastAsia="en-US"/>
        </w:rPr>
        <w:t>“</w:t>
      </w:r>
      <w:r w:rsidRPr="00B247D2">
        <w:rPr>
          <w:rFonts w:ascii="Calibri" w:hAnsi="Calibri"/>
          <w:b/>
          <w:caps/>
          <w:color w:val="000000" w:themeColor="text1"/>
          <w:sz w:val="22"/>
          <w:szCs w:val="22"/>
          <w:lang w:eastAsia="en-US"/>
        </w:rPr>
        <w:t>INVITATION TO TENDER for</w:t>
      </w:r>
      <w:r w:rsidR="003D3CFD">
        <w:rPr>
          <w:rFonts w:ascii="Calibri" w:hAnsi="Calibri"/>
          <w:b/>
          <w:caps/>
          <w:color w:val="000000" w:themeColor="text1"/>
          <w:sz w:val="22"/>
          <w:szCs w:val="22"/>
          <w:lang w:eastAsia="en-US"/>
        </w:rPr>
        <w:t xml:space="preserve"> RESEARCH ON </w:t>
      </w:r>
      <w:r w:rsidR="0030702E" w:rsidRPr="0030702E">
        <w:rPr>
          <w:rFonts w:ascii="Calibri" w:hAnsi="Calibri"/>
          <w:b/>
          <w:caps/>
          <w:color w:val="000000" w:themeColor="text1"/>
          <w:sz w:val="22"/>
          <w:szCs w:val="22"/>
          <w:lang w:eastAsia="en-US"/>
        </w:rPr>
        <w:t>Adaptation actions in cities – what works?</w:t>
      </w:r>
      <w:r w:rsidRPr="00B247D2">
        <w:rPr>
          <w:rFonts w:ascii="Calibri" w:hAnsi="Calibri"/>
          <w:b/>
          <w:caps/>
          <w:color w:val="000000" w:themeColor="text1"/>
          <w:sz w:val="22"/>
          <w:szCs w:val="22"/>
          <w:lang w:eastAsia="en-US"/>
        </w:rPr>
        <w:t>”</w:t>
      </w: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B247D2">
        <w:rPr>
          <w:rFonts w:ascii="Calibri" w:hAnsi="Calibri"/>
          <w:b/>
          <w:sz w:val="22"/>
          <w:szCs w:val="22"/>
        </w:rPr>
        <w:t xml:space="preserve"> 5 </w:t>
      </w:r>
      <w:r w:rsidR="001B5014">
        <w:rPr>
          <w:rFonts w:ascii="Calibri" w:hAnsi="Calibri"/>
          <w:b/>
          <w:sz w:val="22"/>
          <w:szCs w:val="22"/>
        </w:rPr>
        <w:t>pm</w:t>
      </w:r>
      <w:r w:rsidR="006D2D41" w:rsidRPr="00334AEE">
        <w:rPr>
          <w:rFonts w:ascii="Calibri" w:hAnsi="Calibri"/>
          <w:b/>
          <w:sz w:val="22"/>
          <w:szCs w:val="22"/>
        </w:rPr>
        <w:t xml:space="preserve"> on</w:t>
      </w:r>
      <w:r w:rsidR="00B247D2">
        <w:rPr>
          <w:rFonts w:ascii="Calibri" w:hAnsi="Calibri"/>
          <w:b/>
          <w:color w:val="FF0000"/>
          <w:sz w:val="22"/>
          <w:szCs w:val="22"/>
        </w:rPr>
        <w:t xml:space="preserve"> </w:t>
      </w:r>
      <w:r w:rsidR="003D3CFD">
        <w:rPr>
          <w:rFonts w:ascii="Calibri" w:hAnsi="Calibri"/>
          <w:b/>
          <w:color w:val="000000" w:themeColor="text1"/>
          <w:sz w:val="22"/>
          <w:szCs w:val="22"/>
        </w:rPr>
        <w:t>1</w:t>
      </w:r>
      <w:r w:rsidR="00202AAB">
        <w:rPr>
          <w:rFonts w:ascii="Calibri" w:hAnsi="Calibri"/>
          <w:b/>
          <w:color w:val="000000" w:themeColor="text1"/>
          <w:sz w:val="22"/>
          <w:szCs w:val="22"/>
        </w:rPr>
        <w:t>2</w:t>
      </w:r>
      <w:r w:rsidR="003D3CFD">
        <w:rPr>
          <w:rFonts w:ascii="Calibri" w:hAnsi="Calibri"/>
          <w:b/>
          <w:color w:val="000000" w:themeColor="text1"/>
          <w:sz w:val="22"/>
          <w:szCs w:val="22"/>
        </w:rPr>
        <w:t xml:space="preserve"> </w:t>
      </w:r>
      <w:r w:rsidR="00202AAB">
        <w:rPr>
          <w:rFonts w:ascii="Calibri" w:hAnsi="Calibri"/>
          <w:b/>
          <w:color w:val="000000" w:themeColor="text1"/>
          <w:sz w:val="22"/>
          <w:szCs w:val="22"/>
        </w:rPr>
        <w:t>January</w:t>
      </w:r>
      <w:r w:rsidR="003D3CFD">
        <w:rPr>
          <w:rFonts w:ascii="Calibri" w:hAnsi="Calibri"/>
          <w:b/>
          <w:color w:val="000000" w:themeColor="text1"/>
          <w:sz w:val="22"/>
          <w:szCs w:val="22"/>
        </w:rPr>
        <w:t xml:space="preserve"> </w:t>
      </w:r>
      <w:r w:rsidR="00B247D2" w:rsidRPr="00B247D2">
        <w:rPr>
          <w:rFonts w:ascii="Calibri" w:hAnsi="Calibri"/>
          <w:b/>
          <w:color w:val="000000" w:themeColor="text1"/>
          <w:sz w:val="22"/>
          <w:szCs w:val="22"/>
        </w:rPr>
        <w:t>201</w:t>
      </w:r>
      <w:r w:rsidR="00202AAB">
        <w:rPr>
          <w:rFonts w:ascii="Calibri" w:hAnsi="Calibri"/>
          <w:b/>
          <w:color w:val="000000" w:themeColor="text1"/>
          <w:sz w:val="22"/>
          <w:szCs w:val="22"/>
        </w:rPr>
        <w:t>8</w:t>
      </w:r>
      <w:r w:rsidR="0025368C" w:rsidRPr="00B247D2">
        <w:rPr>
          <w:rFonts w:ascii="Calibri" w:hAnsi="Calibri"/>
          <w:b/>
          <w:color w:val="000000" w:themeColor="text1"/>
          <w:sz w:val="22"/>
          <w:szCs w:val="22"/>
        </w:rPr>
        <w:t>.</w:t>
      </w:r>
      <w:r w:rsidR="00E66798" w:rsidRPr="00B247D2">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3D3CFD">
        <w:rPr>
          <w:rFonts w:ascii="Calibri" w:hAnsi="Calibri"/>
          <w:color w:val="000000" w:themeColor="text1"/>
          <w:sz w:val="22"/>
          <w:szCs w:val="22"/>
        </w:rPr>
        <w:t xml:space="preserve"> </w:t>
      </w:r>
      <w:r w:rsidR="00202AAB">
        <w:rPr>
          <w:rFonts w:ascii="Calibri" w:hAnsi="Calibri"/>
          <w:color w:val="000000" w:themeColor="text1"/>
          <w:sz w:val="22"/>
          <w:szCs w:val="22"/>
        </w:rPr>
        <w:t>22 January</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A159E9" w:rsidRPr="00B247D2" w:rsidRDefault="0042059C" w:rsidP="00A159E9">
            <w:pPr>
              <w:pStyle w:val="BodyText"/>
              <w:jc w:val="center"/>
              <w:rPr>
                <w:rFonts w:asciiTheme="minorHAnsi" w:hAnsiTheme="minorHAnsi"/>
                <w:b/>
                <w:sz w:val="22"/>
                <w:szCs w:val="22"/>
              </w:rPr>
            </w:pPr>
            <w:r w:rsidRPr="00334AEE">
              <w:rPr>
                <w:rFonts w:ascii="Calibri" w:hAnsi="Calibri"/>
                <w:bCs/>
                <w:sz w:val="22"/>
                <w:szCs w:val="22"/>
              </w:rPr>
              <w:t>Concerning the provis</w:t>
            </w:r>
            <w:r w:rsidR="0016496D">
              <w:rPr>
                <w:rFonts w:ascii="Calibri" w:hAnsi="Calibri"/>
                <w:bCs/>
                <w:sz w:val="22"/>
                <w:szCs w:val="22"/>
              </w:rPr>
              <w:t>ion of</w:t>
            </w:r>
            <w:r w:rsidR="003D3CFD">
              <w:rPr>
                <w:rFonts w:ascii="Calibri" w:hAnsi="Calibri"/>
                <w:bCs/>
                <w:sz w:val="22"/>
                <w:szCs w:val="22"/>
              </w:rPr>
              <w:t xml:space="preserve"> research on</w:t>
            </w:r>
            <w:r w:rsidR="00A159E9">
              <w:rPr>
                <w:rFonts w:ascii="Calibri" w:hAnsi="Calibri"/>
                <w:bCs/>
                <w:sz w:val="22"/>
                <w:szCs w:val="22"/>
              </w:rPr>
              <w:t xml:space="preserve"> </w:t>
            </w:r>
            <w:r w:rsidR="00AF1AE5" w:rsidRPr="00AF1AE5">
              <w:rPr>
                <w:rFonts w:asciiTheme="minorHAnsi" w:hAnsiTheme="minorHAnsi" w:cs="Arial"/>
                <w:b/>
                <w:sz w:val="22"/>
                <w:szCs w:val="22"/>
              </w:rPr>
              <w:t>Adaptation actions in cities – what works?</w:t>
            </w:r>
          </w:p>
          <w:p w:rsidR="0042059C" w:rsidRPr="0016496D" w:rsidRDefault="0042059C" w:rsidP="00A159E9">
            <w:pPr>
              <w:pStyle w:val="Norma"/>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B247D2">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3D3CFD">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3D3CFD">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B247D2" w:rsidRPr="00334AEE" w:rsidRDefault="00B247D2" w:rsidP="00B247D2">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3D3CFD">
              <w:rPr>
                <w:rFonts w:ascii="Calibri" w:hAnsi="Calibri"/>
                <w:b/>
                <w:sz w:val="22"/>
                <w:szCs w:val="22"/>
              </w:rPr>
              <w:t xml:space="preserve"> – 20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B247D2">
              <w:rPr>
                <w:rFonts w:ascii="Calibri" w:hAnsi="Calibri"/>
                <w:b/>
                <w:sz w:val="22"/>
                <w:szCs w:val="22"/>
              </w:rPr>
              <w:t xml:space="preserve"> – 2</w:t>
            </w:r>
            <w:r w:rsidR="003D3CFD">
              <w:rPr>
                <w:rFonts w:ascii="Calibri" w:hAnsi="Calibri"/>
                <w:b/>
                <w:sz w:val="22"/>
                <w:szCs w:val="22"/>
              </w:rPr>
              <w:t>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w:t>
      </w:r>
      <w:r w:rsidR="00765663">
        <w:rPr>
          <w:rFonts w:ascii="Calibri" w:hAnsi="Calibri"/>
          <w:sz w:val="22"/>
          <w:szCs w:val="22"/>
        </w:rPr>
        <w:t>by the 5</w:t>
      </w:r>
      <w:r w:rsidR="00765663" w:rsidRPr="00765663">
        <w:rPr>
          <w:rFonts w:ascii="Calibri" w:hAnsi="Calibri"/>
          <w:sz w:val="22"/>
          <w:szCs w:val="22"/>
          <w:vertAlign w:val="superscript"/>
        </w:rPr>
        <w:t>th</w:t>
      </w:r>
      <w:r w:rsidR="00765663">
        <w:rPr>
          <w:rFonts w:ascii="Calibri" w:hAnsi="Calibri"/>
          <w:sz w:val="22"/>
          <w:szCs w:val="22"/>
        </w:rPr>
        <w:t xml:space="preserve"> January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765663">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765663">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765663">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180"/>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2AAB"/>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0702E"/>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3CFD"/>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66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59E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AE5"/>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47D2"/>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EFCCD106-4C06-4B94-BAE4-704AD55C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D7FA-1B4D-4B12-AC6C-8C6B140B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1093</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2017-12-21T11:06:00Z</dcterms:created>
  <dcterms:modified xsi:type="dcterms:W3CDTF">2017-12-21T11:06:00Z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