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00" w:rsidRPr="002027F9" w:rsidRDefault="00D41A00" w:rsidP="00736E0B">
      <w:pPr>
        <w:jc w:val="center"/>
        <w:rPr>
          <w:rFonts w:ascii="Arial" w:hAnsi="Arial" w:cs="Arial"/>
          <w:iCs/>
          <w:sz w:val="32"/>
          <w:szCs w:val="32"/>
        </w:rPr>
      </w:pPr>
      <w:r w:rsidRPr="002027F9">
        <w:rPr>
          <w:rFonts w:ascii="Arial" w:hAnsi="Arial" w:cs="Arial"/>
          <w:iCs/>
          <w:sz w:val="32"/>
          <w:szCs w:val="32"/>
        </w:rPr>
        <w:t>ADVER</w:t>
      </w:r>
      <w:r w:rsidR="00AB10DB" w:rsidRPr="002027F9">
        <w:rPr>
          <w:rFonts w:ascii="Arial" w:hAnsi="Arial" w:cs="Arial"/>
          <w:iCs/>
          <w:sz w:val="32"/>
          <w:szCs w:val="32"/>
        </w:rPr>
        <w:t>T</w:t>
      </w:r>
    </w:p>
    <w:p w:rsidR="004F5488" w:rsidRPr="00083841" w:rsidRDefault="00AB10DB" w:rsidP="00736E0B">
      <w:pPr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>Southampton City Council</w:t>
      </w:r>
      <w:r w:rsidR="00C159EF"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Commissioners </w:t>
      </w:r>
      <w:r w:rsidR="001E7BC0">
        <w:rPr>
          <w:rFonts w:ascii="Arial" w:eastAsia="Batang" w:hAnsi="Arial" w:cs="Arial"/>
          <w:noProof/>
          <w:sz w:val="24"/>
          <w:szCs w:val="24"/>
          <w:lang w:eastAsia="ko-KR"/>
        </w:rPr>
        <w:t>have</w:t>
      </w:r>
      <w:r w:rsidR="00C159EF"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approval</w:t>
      </w:r>
      <w:r w:rsidR="008D55BA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</w:t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to commission </w:t>
      </w:r>
      <w:r w:rsidR="00736E0B"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 xml:space="preserve">Alcohol and </w:t>
      </w:r>
      <w:r w:rsidR="00C159EF"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>D</w:t>
      </w:r>
      <w:r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>rug</w:t>
      </w:r>
      <w:r w:rsidR="00736E0B"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>,</w:t>
      </w:r>
      <w:r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 xml:space="preserve"> </w:t>
      </w:r>
      <w:r w:rsidR="001F77DF"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>Substance Misuse Services</w:t>
      </w:r>
      <w:r w:rsidR="007442FE" w:rsidRPr="001E7BC0">
        <w:rPr>
          <w:rFonts w:ascii="Arial" w:eastAsia="Batang" w:hAnsi="Arial" w:cs="Arial"/>
          <w:b/>
          <w:noProof/>
          <w:sz w:val="24"/>
          <w:szCs w:val="24"/>
          <w:lang w:eastAsia="ko-KR"/>
        </w:rPr>
        <w:t xml:space="preserve">, </w:t>
      </w:r>
      <w:r w:rsidR="007442FE" w:rsidRPr="001E7BC0">
        <w:rPr>
          <w:rFonts w:ascii="Arial" w:eastAsia="Batang" w:hAnsi="Arial" w:cs="Arial"/>
          <w:noProof/>
          <w:sz w:val="24"/>
          <w:szCs w:val="24"/>
          <w:lang w:eastAsia="ko-KR"/>
        </w:rPr>
        <w:t>to offer support and treatmen</w:t>
      </w:r>
      <w:r w:rsidR="007442FE" w:rsidRPr="007442FE">
        <w:rPr>
          <w:rFonts w:ascii="Arial" w:eastAsia="Batang" w:hAnsi="Arial" w:cs="Arial"/>
          <w:noProof/>
          <w:color w:val="000000" w:themeColor="text1"/>
          <w:sz w:val="24"/>
          <w:szCs w:val="24"/>
          <w:lang w:eastAsia="ko-KR"/>
        </w:rPr>
        <w:t xml:space="preserve">t </w:t>
      </w:r>
      <w:r w:rsidR="007442FE">
        <w:rPr>
          <w:rFonts w:ascii="Arial" w:eastAsia="Batang" w:hAnsi="Arial" w:cs="Arial"/>
          <w:noProof/>
          <w:color w:val="000000" w:themeColor="text1"/>
          <w:sz w:val="24"/>
          <w:szCs w:val="24"/>
          <w:lang w:eastAsia="ko-KR"/>
        </w:rPr>
        <w:t>to people concerned by their own, or someone else’s substance use</w:t>
      </w:r>
      <w:r w:rsidR="00882CBD">
        <w:rPr>
          <w:rFonts w:ascii="Arial" w:eastAsia="Batang" w:hAnsi="Arial" w:cs="Arial"/>
          <w:noProof/>
          <w:color w:val="000000" w:themeColor="text1"/>
          <w:sz w:val="24"/>
          <w:szCs w:val="24"/>
          <w:lang w:eastAsia="ko-KR"/>
        </w:rPr>
        <w:t>,</w:t>
      </w:r>
      <w:r w:rsidR="007442FE">
        <w:rPr>
          <w:rFonts w:ascii="Arial" w:eastAsia="Batang" w:hAnsi="Arial" w:cs="Arial"/>
          <w:noProof/>
          <w:color w:val="000000" w:themeColor="text1"/>
          <w:sz w:val="24"/>
          <w:szCs w:val="24"/>
          <w:lang w:eastAsia="ko-KR"/>
        </w:rPr>
        <w:t xml:space="preserve"> across all ages.</w:t>
      </w:r>
      <w:r w:rsidRPr="007442FE">
        <w:rPr>
          <w:rFonts w:ascii="Arial" w:eastAsia="Batang" w:hAnsi="Arial" w:cs="Arial"/>
          <w:noProof/>
          <w:color w:val="000000" w:themeColor="text1"/>
          <w:sz w:val="24"/>
          <w:szCs w:val="24"/>
          <w:lang w:eastAsia="ko-KR"/>
        </w:rPr>
        <w:t xml:space="preserve"> </w:t>
      </w:r>
    </w:p>
    <w:p w:rsidR="00C159EF" w:rsidRPr="00083841" w:rsidRDefault="00C159EF" w:rsidP="00C159EF">
      <w:pPr>
        <w:spacing w:before="120" w:after="120"/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>The p</w:t>
      </w:r>
      <w:r w:rsidR="001F77DF">
        <w:rPr>
          <w:rFonts w:ascii="Arial" w:eastAsia="Batang" w:hAnsi="Arial" w:cs="Arial"/>
          <w:noProof/>
          <w:sz w:val="24"/>
          <w:szCs w:val="24"/>
          <w:lang w:eastAsia="ko-KR"/>
        </w:rPr>
        <w:t xml:space="preserve">rovider will </w:t>
      </w:r>
      <w:r w:rsidR="00882CBD">
        <w:rPr>
          <w:rFonts w:ascii="Arial" w:eastAsia="Batang" w:hAnsi="Arial" w:cs="Arial"/>
          <w:noProof/>
          <w:sz w:val="24"/>
          <w:szCs w:val="24"/>
          <w:lang w:eastAsia="ko-KR"/>
        </w:rPr>
        <w:t>be</w:t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required to </w:t>
      </w:r>
      <w:r w:rsidR="00882CBD">
        <w:rPr>
          <w:rFonts w:ascii="Arial" w:eastAsia="Batang" w:hAnsi="Arial" w:cs="Arial"/>
          <w:noProof/>
          <w:sz w:val="24"/>
          <w:szCs w:val="24"/>
          <w:lang w:eastAsia="ko-KR"/>
        </w:rPr>
        <w:t xml:space="preserve">contribute to </w:t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the aims of </w:t>
      </w:r>
      <w:r w:rsidR="00674029">
        <w:rPr>
          <w:rFonts w:ascii="Arial" w:eastAsia="Batang" w:hAnsi="Arial" w:cs="Arial"/>
          <w:noProof/>
          <w:sz w:val="24"/>
          <w:szCs w:val="24"/>
          <w:lang w:eastAsia="ko-KR"/>
        </w:rPr>
        <w:t>Southampton City Council’s Drug</w:t>
      </w:r>
      <w:r w:rsidR="00674029">
        <w:rPr>
          <w:rStyle w:val="FootnoteReference"/>
          <w:rFonts w:ascii="Arial" w:eastAsia="Batang" w:hAnsi="Arial" w:cs="Arial"/>
          <w:noProof/>
          <w:sz w:val="24"/>
          <w:szCs w:val="24"/>
          <w:lang w:eastAsia="ko-KR"/>
        </w:rPr>
        <w:footnoteReference w:id="1"/>
      </w:r>
      <w:r w:rsidR="00674029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and Alcohol</w:t>
      </w:r>
      <w:r w:rsidR="00674029">
        <w:rPr>
          <w:rStyle w:val="FootnoteReference"/>
          <w:rFonts w:ascii="Arial" w:eastAsia="Batang" w:hAnsi="Arial" w:cs="Arial"/>
          <w:noProof/>
          <w:sz w:val="24"/>
          <w:szCs w:val="24"/>
          <w:lang w:eastAsia="ko-KR"/>
        </w:rPr>
        <w:footnoteReference w:id="2"/>
      </w:r>
      <w:r w:rsidR="00674029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Strategies</w:t>
      </w:r>
      <w:r w:rsidR="00C35EA5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and</w:t>
      </w:r>
      <w:r w:rsidR="00674029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</w:t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>the Governments 2017 Drug Strategy</w:t>
      </w:r>
      <w:r w:rsidR="00736E0B">
        <w:rPr>
          <w:rStyle w:val="FootnoteReference"/>
          <w:rFonts w:ascii="Arial" w:eastAsia="Batang" w:hAnsi="Arial" w:cs="Arial"/>
          <w:noProof/>
          <w:sz w:val="24"/>
          <w:szCs w:val="24"/>
          <w:lang w:eastAsia="ko-KR"/>
        </w:rPr>
        <w:footnoteReference w:id="3"/>
      </w:r>
      <w:r w:rsidR="00C35EA5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and the </w:t>
      </w:r>
      <w:r w:rsidR="002027F9">
        <w:rPr>
          <w:rFonts w:ascii="Arial" w:eastAsia="Batang" w:hAnsi="Arial" w:cs="Arial"/>
          <w:noProof/>
          <w:sz w:val="24"/>
          <w:szCs w:val="24"/>
          <w:lang w:eastAsia="ko-KR"/>
        </w:rPr>
        <w:t>2014 Alcohol Strategy</w:t>
      </w:r>
      <w:r w:rsidR="00736E0B">
        <w:rPr>
          <w:rStyle w:val="FootnoteReference"/>
          <w:rFonts w:ascii="Arial" w:eastAsia="Batang" w:hAnsi="Arial" w:cs="Arial"/>
          <w:noProof/>
          <w:sz w:val="24"/>
          <w:szCs w:val="24"/>
          <w:lang w:eastAsia="ko-KR"/>
        </w:rPr>
        <w:footnoteReference w:id="4"/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, </w:t>
      </w:r>
      <w:r w:rsidR="00882CBD">
        <w:rPr>
          <w:rFonts w:ascii="Arial" w:eastAsia="Batang" w:hAnsi="Arial" w:cs="Arial"/>
          <w:noProof/>
          <w:sz w:val="24"/>
          <w:szCs w:val="24"/>
          <w:lang w:eastAsia="ko-KR"/>
        </w:rPr>
        <w:t>in particular</w:t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>:</w:t>
      </w:r>
    </w:p>
    <w:p w:rsidR="00C159EF" w:rsidRDefault="00C159EF" w:rsidP="00083841">
      <w:pPr>
        <w:pStyle w:val="Defaul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083841">
        <w:rPr>
          <w:rFonts w:ascii="Arial" w:hAnsi="Arial" w:cs="Arial"/>
        </w:rPr>
        <w:t>preventing people</w:t>
      </w:r>
      <w:r w:rsidR="001E7BC0">
        <w:rPr>
          <w:rFonts w:ascii="Arial" w:hAnsi="Arial" w:cs="Arial"/>
        </w:rPr>
        <w:t>,</w:t>
      </w:r>
      <w:r w:rsidRPr="00083841">
        <w:rPr>
          <w:rFonts w:ascii="Arial" w:hAnsi="Arial" w:cs="Arial"/>
        </w:rPr>
        <w:t xml:space="preserve"> particularly young people</w:t>
      </w:r>
      <w:r w:rsidR="001E7BC0">
        <w:rPr>
          <w:rFonts w:ascii="Arial" w:hAnsi="Arial" w:cs="Arial"/>
        </w:rPr>
        <w:t>,</w:t>
      </w:r>
      <w:r w:rsidRPr="00083841">
        <w:rPr>
          <w:rFonts w:ascii="Arial" w:hAnsi="Arial" w:cs="Arial"/>
        </w:rPr>
        <w:t xml:space="preserve"> </w:t>
      </w:r>
      <w:bookmarkStart w:id="0" w:name="_GoBack"/>
      <w:bookmarkEnd w:id="0"/>
      <w:r w:rsidRPr="00083841">
        <w:rPr>
          <w:rFonts w:ascii="Arial" w:hAnsi="Arial" w:cs="Arial"/>
        </w:rPr>
        <w:t>from</w:t>
      </w:r>
      <w:r w:rsidR="001F77DF">
        <w:rPr>
          <w:rFonts w:ascii="Arial" w:hAnsi="Arial" w:cs="Arial"/>
        </w:rPr>
        <w:t xml:space="preserve"> developing problematic use of alcohol and/or</w:t>
      </w:r>
      <w:r w:rsidR="001F77DF" w:rsidRPr="00083841">
        <w:rPr>
          <w:rFonts w:ascii="Arial" w:hAnsi="Arial" w:cs="Arial"/>
        </w:rPr>
        <w:t xml:space="preserve"> </w:t>
      </w:r>
      <w:r w:rsidRPr="00083841">
        <w:rPr>
          <w:rFonts w:ascii="Arial" w:hAnsi="Arial" w:cs="Arial"/>
        </w:rPr>
        <w:t>drug</w:t>
      </w:r>
      <w:r w:rsidR="001F77DF">
        <w:rPr>
          <w:rFonts w:ascii="Arial" w:hAnsi="Arial" w:cs="Arial"/>
        </w:rPr>
        <w:t xml:space="preserve">s </w:t>
      </w:r>
      <w:r w:rsidRPr="00083841">
        <w:rPr>
          <w:rFonts w:ascii="Arial" w:hAnsi="Arial" w:cs="Arial"/>
        </w:rPr>
        <w:t xml:space="preserve">users in the first place; </w:t>
      </w:r>
    </w:p>
    <w:p w:rsidR="00736E0B" w:rsidRDefault="00736E0B" w:rsidP="00736E0B">
      <w:pPr>
        <w:pStyle w:val="Default"/>
        <w:ind w:left="714"/>
        <w:jc w:val="both"/>
        <w:rPr>
          <w:rFonts w:ascii="Arial" w:hAnsi="Arial" w:cs="Arial"/>
        </w:rPr>
      </w:pPr>
    </w:p>
    <w:p w:rsidR="00083841" w:rsidRPr="001F77DF" w:rsidRDefault="00C159EF" w:rsidP="00D07F41">
      <w:pPr>
        <w:pStyle w:val="Default"/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1F77DF">
        <w:rPr>
          <w:rFonts w:ascii="Arial" w:hAnsi="Arial" w:cs="Arial"/>
        </w:rPr>
        <w:t>offering people with</w:t>
      </w:r>
      <w:r w:rsidR="001F77DF">
        <w:rPr>
          <w:rFonts w:ascii="Arial" w:hAnsi="Arial" w:cs="Arial"/>
        </w:rPr>
        <w:t xml:space="preserve"> problematic use of alcohol and/or drugs</w:t>
      </w:r>
      <w:r w:rsidRPr="001F77DF">
        <w:rPr>
          <w:rFonts w:ascii="Arial" w:hAnsi="Arial" w:cs="Arial"/>
        </w:rPr>
        <w:t xml:space="preserve"> the best chance of </w:t>
      </w:r>
      <w:r w:rsidR="001F77DF">
        <w:rPr>
          <w:rFonts w:ascii="Arial" w:hAnsi="Arial" w:cs="Arial"/>
        </w:rPr>
        <w:t xml:space="preserve">reducing harm and achieving </w:t>
      </w:r>
      <w:r w:rsidRPr="001F77DF">
        <w:rPr>
          <w:rFonts w:ascii="Arial" w:hAnsi="Arial" w:cs="Arial"/>
        </w:rPr>
        <w:t>recovery through support at every stage of their life</w:t>
      </w:r>
      <w:r w:rsidR="001F77DF">
        <w:rPr>
          <w:rFonts w:ascii="Arial" w:hAnsi="Arial" w:cs="Arial"/>
        </w:rPr>
        <w:t>.</w:t>
      </w:r>
    </w:p>
    <w:p w:rsidR="00674029" w:rsidRDefault="00674029" w:rsidP="00674029">
      <w:pPr>
        <w:pStyle w:val="ListParagraph"/>
        <w:ind w:left="0"/>
        <w:rPr>
          <w:rFonts w:ascii="Arial" w:hAnsi="Arial" w:cs="Arial"/>
        </w:rPr>
      </w:pPr>
    </w:p>
    <w:p w:rsidR="00C159EF" w:rsidRPr="00083841" w:rsidRDefault="001E7BC0" w:rsidP="00083841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</w:t>
      </w:r>
      <w:r w:rsidR="002027F9">
        <w:rPr>
          <w:rFonts w:ascii="Arial" w:hAnsi="Arial" w:cs="Arial"/>
          <w:iCs/>
          <w:sz w:val="24"/>
          <w:szCs w:val="24"/>
        </w:rPr>
        <w:t>n</w:t>
      </w:r>
      <w:r w:rsidR="00AB10DB" w:rsidRPr="00083841">
        <w:rPr>
          <w:rFonts w:ascii="Arial" w:hAnsi="Arial" w:cs="Arial"/>
          <w:iCs/>
          <w:sz w:val="24"/>
          <w:szCs w:val="24"/>
        </w:rPr>
        <w:t xml:space="preserve"> information </w:t>
      </w:r>
      <w:r w:rsidR="004F5488" w:rsidRPr="00083841">
        <w:rPr>
          <w:rFonts w:ascii="Arial" w:hAnsi="Arial" w:cs="Arial"/>
          <w:iCs/>
          <w:sz w:val="24"/>
          <w:szCs w:val="24"/>
        </w:rPr>
        <w:t>event</w:t>
      </w:r>
      <w:r w:rsidR="00B06FF6">
        <w:rPr>
          <w:rFonts w:ascii="Arial" w:hAnsi="Arial" w:cs="Arial"/>
          <w:iCs/>
          <w:sz w:val="24"/>
          <w:szCs w:val="24"/>
        </w:rPr>
        <w:t xml:space="preserve"> about the proposed service</w:t>
      </w:r>
      <w:r w:rsidR="001F77DF">
        <w:rPr>
          <w:rFonts w:ascii="Arial" w:hAnsi="Arial" w:cs="Arial"/>
          <w:iCs/>
          <w:sz w:val="24"/>
          <w:szCs w:val="24"/>
        </w:rPr>
        <w:t>s</w:t>
      </w:r>
      <w:r w:rsidR="004F5488" w:rsidRPr="00083841">
        <w:rPr>
          <w:rFonts w:ascii="Arial" w:hAnsi="Arial" w:cs="Arial"/>
          <w:iCs/>
          <w:sz w:val="24"/>
          <w:szCs w:val="24"/>
        </w:rPr>
        <w:t xml:space="preserve"> will be held on the</w:t>
      </w:r>
      <w:r w:rsidR="00736E0B">
        <w:rPr>
          <w:rFonts w:ascii="Arial" w:hAnsi="Arial" w:cs="Arial"/>
          <w:iCs/>
          <w:sz w:val="24"/>
          <w:szCs w:val="24"/>
        </w:rPr>
        <w:t>:</w:t>
      </w:r>
    </w:p>
    <w:p w:rsidR="00736E0B" w:rsidRDefault="00AB10DB" w:rsidP="0008384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2027F9">
        <w:rPr>
          <w:rFonts w:ascii="Arial" w:hAnsi="Arial" w:cs="Arial"/>
          <w:i/>
          <w:iCs/>
          <w:sz w:val="24"/>
          <w:szCs w:val="24"/>
        </w:rPr>
        <w:lastRenderedPageBreak/>
        <w:t>3</w:t>
      </w:r>
      <w:r w:rsidRPr="002027F9">
        <w:rPr>
          <w:rFonts w:ascii="Arial" w:hAnsi="Arial" w:cs="Arial"/>
          <w:i/>
          <w:iCs/>
          <w:sz w:val="24"/>
          <w:szCs w:val="24"/>
          <w:vertAlign w:val="superscript"/>
        </w:rPr>
        <w:t xml:space="preserve">rd </w:t>
      </w:r>
      <w:r w:rsidR="004F5488" w:rsidRPr="002027F9">
        <w:rPr>
          <w:rFonts w:ascii="Arial" w:hAnsi="Arial" w:cs="Arial"/>
          <w:i/>
          <w:iCs/>
          <w:sz w:val="24"/>
          <w:szCs w:val="24"/>
        </w:rPr>
        <w:t xml:space="preserve">October 2018 </w:t>
      </w:r>
      <w:r w:rsidR="00083841" w:rsidRPr="002027F9">
        <w:rPr>
          <w:rFonts w:ascii="Arial" w:hAnsi="Arial" w:cs="Arial"/>
          <w:i/>
          <w:iCs/>
          <w:sz w:val="24"/>
          <w:szCs w:val="24"/>
        </w:rPr>
        <w:t>from 2pm - 4pm</w:t>
      </w:r>
    </w:p>
    <w:p w:rsidR="00C159EF" w:rsidRPr="00083841" w:rsidRDefault="00083841" w:rsidP="00083841">
      <w:pPr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 w:rsidRPr="002027F9">
        <w:rPr>
          <w:rFonts w:ascii="Arial" w:hAnsi="Arial" w:cs="Arial"/>
          <w:i/>
          <w:iCs/>
          <w:sz w:val="24"/>
          <w:szCs w:val="24"/>
        </w:rPr>
        <w:t>at</w:t>
      </w:r>
      <w:proofErr w:type="gramEnd"/>
    </w:p>
    <w:p w:rsidR="00C159EF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NHS Southampton City Clinical Commissioning Group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NHS Commissioning HQ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Oakley Road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Millbrook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Southampton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SO16 4GX</w:t>
      </w:r>
    </w:p>
    <w:p w:rsidR="00083841" w:rsidRPr="00083841" w:rsidRDefault="00083841" w:rsidP="00083841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AB10DB" w:rsidRPr="00083841" w:rsidRDefault="00AB10DB" w:rsidP="00C159EF">
      <w:pPr>
        <w:jc w:val="both"/>
        <w:rPr>
          <w:rFonts w:ascii="Arial" w:hAnsi="Arial" w:cs="Arial"/>
          <w:iCs/>
          <w:sz w:val="24"/>
          <w:szCs w:val="24"/>
        </w:rPr>
      </w:pPr>
      <w:r w:rsidRPr="00083841">
        <w:rPr>
          <w:rFonts w:ascii="Arial" w:hAnsi="Arial" w:cs="Arial"/>
          <w:iCs/>
          <w:sz w:val="24"/>
          <w:szCs w:val="24"/>
        </w:rPr>
        <w:t>The purpose of th</w:t>
      </w:r>
      <w:r w:rsidR="00C159EF" w:rsidRPr="00083841">
        <w:rPr>
          <w:rFonts w:ascii="Arial" w:hAnsi="Arial" w:cs="Arial"/>
          <w:iCs/>
          <w:sz w:val="24"/>
          <w:szCs w:val="24"/>
        </w:rPr>
        <w:t>e</w:t>
      </w:r>
      <w:r w:rsidRPr="00083841">
        <w:rPr>
          <w:rFonts w:ascii="Arial" w:hAnsi="Arial" w:cs="Arial"/>
          <w:iCs/>
          <w:sz w:val="24"/>
          <w:szCs w:val="24"/>
        </w:rPr>
        <w:t xml:space="preserve"> event is to explain the structure of the proposed service</w:t>
      </w:r>
      <w:r w:rsidR="001F77DF">
        <w:rPr>
          <w:rFonts w:ascii="Arial" w:hAnsi="Arial" w:cs="Arial"/>
          <w:iCs/>
          <w:sz w:val="24"/>
          <w:szCs w:val="24"/>
        </w:rPr>
        <w:t>s</w:t>
      </w:r>
      <w:r w:rsidRPr="00083841">
        <w:rPr>
          <w:rFonts w:ascii="Arial" w:hAnsi="Arial" w:cs="Arial"/>
          <w:iCs/>
          <w:sz w:val="24"/>
          <w:szCs w:val="24"/>
        </w:rPr>
        <w:t xml:space="preserve"> design</w:t>
      </w:r>
      <w:r w:rsidR="00083841">
        <w:rPr>
          <w:rFonts w:ascii="Arial" w:hAnsi="Arial" w:cs="Arial"/>
          <w:iCs/>
          <w:sz w:val="24"/>
          <w:szCs w:val="24"/>
        </w:rPr>
        <w:t xml:space="preserve"> and </w:t>
      </w:r>
      <w:r w:rsidRPr="00083841">
        <w:rPr>
          <w:rFonts w:ascii="Arial" w:hAnsi="Arial" w:cs="Arial"/>
          <w:iCs/>
          <w:sz w:val="24"/>
          <w:szCs w:val="24"/>
        </w:rPr>
        <w:t>explain the procurement process</w:t>
      </w:r>
      <w:r w:rsidR="00C159EF" w:rsidRPr="00083841">
        <w:rPr>
          <w:rFonts w:ascii="Arial" w:hAnsi="Arial" w:cs="Arial"/>
          <w:iCs/>
          <w:sz w:val="24"/>
          <w:szCs w:val="24"/>
        </w:rPr>
        <w:t xml:space="preserve">. There will be an </w:t>
      </w:r>
      <w:r w:rsidRPr="00083841">
        <w:rPr>
          <w:rFonts w:ascii="Arial" w:hAnsi="Arial" w:cs="Arial"/>
          <w:iCs/>
          <w:sz w:val="24"/>
          <w:szCs w:val="24"/>
        </w:rPr>
        <w:t xml:space="preserve">opportunity for </w:t>
      </w:r>
      <w:r w:rsidR="00C159EF" w:rsidRPr="00083841">
        <w:rPr>
          <w:rFonts w:ascii="Arial" w:hAnsi="Arial" w:cs="Arial"/>
          <w:iCs/>
          <w:sz w:val="24"/>
          <w:szCs w:val="24"/>
        </w:rPr>
        <w:t xml:space="preserve">potential providers to ask some questions and </w:t>
      </w:r>
      <w:r w:rsidR="00083841">
        <w:rPr>
          <w:rFonts w:ascii="Arial" w:hAnsi="Arial" w:cs="Arial"/>
          <w:iCs/>
          <w:sz w:val="24"/>
          <w:szCs w:val="24"/>
        </w:rPr>
        <w:t xml:space="preserve">the </w:t>
      </w:r>
      <w:r w:rsidR="00C159EF" w:rsidRPr="00083841">
        <w:rPr>
          <w:rFonts w:ascii="Arial" w:hAnsi="Arial" w:cs="Arial"/>
          <w:iCs/>
          <w:sz w:val="24"/>
          <w:szCs w:val="24"/>
        </w:rPr>
        <w:t>procurement</w:t>
      </w:r>
      <w:r w:rsidR="00083841">
        <w:rPr>
          <w:rFonts w:ascii="Arial" w:hAnsi="Arial" w:cs="Arial"/>
          <w:iCs/>
          <w:sz w:val="24"/>
          <w:szCs w:val="24"/>
        </w:rPr>
        <w:t xml:space="preserve"> representative</w:t>
      </w:r>
      <w:r w:rsidR="00C159EF" w:rsidRPr="00083841">
        <w:rPr>
          <w:rFonts w:ascii="Arial" w:hAnsi="Arial" w:cs="Arial"/>
          <w:iCs/>
          <w:sz w:val="24"/>
          <w:szCs w:val="24"/>
        </w:rPr>
        <w:t xml:space="preserve"> will explain the </w:t>
      </w:r>
      <w:r w:rsidR="00083841" w:rsidRPr="00083841">
        <w:rPr>
          <w:rFonts w:ascii="Arial" w:hAnsi="Arial" w:cs="Arial"/>
          <w:iCs/>
          <w:sz w:val="24"/>
          <w:szCs w:val="24"/>
        </w:rPr>
        <w:t xml:space="preserve">tender portal </w:t>
      </w:r>
      <w:r w:rsidR="00083841">
        <w:rPr>
          <w:rFonts w:ascii="Arial" w:hAnsi="Arial" w:cs="Arial"/>
          <w:iCs/>
          <w:sz w:val="24"/>
          <w:szCs w:val="24"/>
        </w:rPr>
        <w:t xml:space="preserve">and the </w:t>
      </w:r>
      <w:r w:rsidR="00C159EF" w:rsidRPr="00083841">
        <w:rPr>
          <w:rFonts w:ascii="Arial" w:hAnsi="Arial" w:cs="Arial"/>
          <w:iCs/>
          <w:sz w:val="24"/>
          <w:szCs w:val="24"/>
        </w:rPr>
        <w:t>clarification</w:t>
      </w:r>
      <w:r w:rsidR="00083841">
        <w:rPr>
          <w:rFonts w:ascii="Arial" w:hAnsi="Arial" w:cs="Arial"/>
          <w:iCs/>
          <w:sz w:val="24"/>
          <w:szCs w:val="24"/>
        </w:rPr>
        <w:t xml:space="preserve"> process within this.</w:t>
      </w:r>
    </w:p>
    <w:p w:rsidR="00C159EF" w:rsidRPr="00083841" w:rsidRDefault="00C159EF" w:rsidP="00C159EF">
      <w:pPr>
        <w:jc w:val="both"/>
        <w:rPr>
          <w:rFonts w:ascii="Arial" w:hAnsi="Arial" w:cs="Arial"/>
          <w:iCs/>
          <w:sz w:val="24"/>
          <w:szCs w:val="24"/>
        </w:rPr>
      </w:pPr>
      <w:r w:rsidRPr="00083841">
        <w:rPr>
          <w:rFonts w:ascii="Arial" w:hAnsi="Arial" w:cs="Arial"/>
          <w:iCs/>
          <w:sz w:val="24"/>
          <w:szCs w:val="24"/>
        </w:rPr>
        <w:t xml:space="preserve">There </w:t>
      </w:r>
      <w:r w:rsidR="00E94850">
        <w:rPr>
          <w:rFonts w:ascii="Arial" w:hAnsi="Arial" w:cs="Arial"/>
          <w:iCs/>
          <w:sz w:val="24"/>
          <w:szCs w:val="24"/>
        </w:rPr>
        <w:t>are</w:t>
      </w:r>
      <w:r w:rsidRPr="00083841">
        <w:rPr>
          <w:rFonts w:ascii="Arial" w:hAnsi="Arial" w:cs="Arial"/>
          <w:iCs/>
          <w:sz w:val="24"/>
          <w:szCs w:val="24"/>
        </w:rPr>
        <w:t xml:space="preserve"> a maximum of 2 places available per organisation. If you wish to attend this event please email </w:t>
      </w:r>
      <w:hyperlink r:id="rId8" w:history="1">
        <w:r w:rsidRPr="00083841">
          <w:rPr>
            <w:rFonts w:ascii="Arial" w:hAnsi="Arial" w:cs="Arial"/>
            <w:b/>
            <w:iCs/>
            <w:sz w:val="24"/>
            <w:szCs w:val="24"/>
          </w:rPr>
          <w:t>Katerina.Ploumakis@southampton.gov.uk</w:t>
        </w:r>
      </w:hyperlink>
      <w:r w:rsidR="00083841">
        <w:rPr>
          <w:rFonts w:ascii="Arial" w:hAnsi="Arial" w:cs="Arial"/>
          <w:iCs/>
          <w:sz w:val="24"/>
          <w:szCs w:val="24"/>
        </w:rPr>
        <w:t xml:space="preserve"> </w:t>
      </w:r>
      <w:r w:rsidRPr="00083841">
        <w:rPr>
          <w:rFonts w:ascii="Arial" w:hAnsi="Arial" w:cs="Arial"/>
          <w:iCs/>
          <w:sz w:val="24"/>
          <w:szCs w:val="24"/>
        </w:rPr>
        <w:t>to reserve a place</w:t>
      </w:r>
      <w:r w:rsidRPr="00083841">
        <w:rPr>
          <w:rFonts w:ascii="Arial" w:hAnsi="Arial" w:cs="Arial"/>
          <w:color w:val="444444"/>
          <w:sz w:val="24"/>
          <w:szCs w:val="24"/>
          <w:lang w:eastAsia="en-GB"/>
        </w:rPr>
        <w:t>.</w:t>
      </w:r>
    </w:p>
    <w:p w:rsidR="00AB10DB" w:rsidRPr="00083841" w:rsidRDefault="00AB10DB" w:rsidP="00C159EF">
      <w:pPr>
        <w:jc w:val="both"/>
        <w:rPr>
          <w:rFonts w:ascii="Arial" w:hAnsi="Arial" w:cs="Arial"/>
          <w:iCs/>
          <w:sz w:val="24"/>
          <w:szCs w:val="24"/>
        </w:rPr>
      </w:pPr>
    </w:p>
    <w:sectPr w:rsidR="00AB10DB" w:rsidRPr="0008384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00" w:rsidRDefault="00D41A00" w:rsidP="00D41A00">
      <w:pPr>
        <w:spacing w:after="0" w:line="240" w:lineRule="auto"/>
      </w:pPr>
      <w:r>
        <w:separator/>
      </w:r>
    </w:p>
  </w:endnote>
  <w:endnote w:type="continuationSeparator" w:id="0">
    <w:p w:rsidR="00D41A00" w:rsidRDefault="00D41A00" w:rsidP="00D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F9" w:rsidRDefault="002027F9" w:rsidP="002027F9">
    <w:pPr>
      <w:pStyle w:val="FootnoteTex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00" w:rsidRDefault="00D41A00" w:rsidP="00D41A00">
      <w:pPr>
        <w:spacing w:after="0" w:line="240" w:lineRule="auto"/>
      </w:pPr>
      <w:r>
        <w:separator/>
      </w:r>
    </w:p>
  </w:footnote>
  <w:footnote w:type="continuationSeparator" w:id="0">
    <w:p w:rsidR="00D41A00" w:rsidRDefault="00D41A00" w:rsidP="00D41A00">
      <w:pPr>
        <w:spacing w:after="0" w:line="240" w:lineRule="auto"/>
      </w:pPr>
      <w:r>
        <w:continuationSeparator/>
      </w:r>
    </w:p>
  </w:footnote>
  <w:footnote w:id="1">
    <w:p w:rsidR="00674029" w:rsidRPr="00C35EA5" w:rsidRDefault="00674029">
      <w:pPr>
        <w:pStyle w:val="FootnoteText"/>
        <w:rPr>
          <w:sz w:val="16"/>
          <w:szCs w:val="16"/>
        </w:rPr>
      </w:pPr>
      <w:r w:rsidRPr="00C35EA5">
        <w:rPr>
          <w:rStyle w:val="FootnoteReference"/>
          <w:sz w:val="16"/>
          <w:szCs w:val="16"/>
        </w:rPr>
        <w:footnoteRef/>
      </w:r>
      <w:r w:rsidRPr="00C35EA5">
        <w:rPr>
          <w:sz w:val="16"/>
          <w:szCs w:val="16"/>
        </w:rPr>
        <w:t xml:space="preserve"> </w:t>
      </w:r>
      <w:hyperlink r:id="rId1" w:history="1">
        <w:r w:rsidRPr="00C35EA5">
          <w:rPr>
            <w:rStyle w:val="Hyperlink"/>
            <w:sz w:val="16"/>
            <w:szCs w:val="16"/>
          </w:rPr>
          <w:t>https://www.southampton.gov.uk/images/drug-strategy-2017-2020_tcm63-394492.pdf</w:t>
        </w:r>
      </w:hyperlink>
      <w:r w:rsidRPr="00C35EA5">
        <w:rPr>
          <w:sz w:val="16"/>
          <w:szCs w:val="16"/>
        </w:rPr>
        <w:t xml:space="preserve"> </w:t>
      </w:r>
    </w:p>
  </w:footnote>
  <w:footnote w:id="2">
    <w:p w:rsidR="00674029" w:rsidRPr="00C35EA5" w:rsidRDefault="00674029">
      <w:pPr>
        <w:pStyle w:val="FootnoteText"/>
        <w:rPr>
          <w:sz w:val="16"/>
          <w:szCs w:val="16"/>
        </w:rPr>
      </w:pPr>
      <w:r w:rsidRPr="00C35EA5">
        <w:rPr>
          <w:rStyle w:val="FootnoteReference"/>
          <w:sz w:val="16"/>
          <w:szCs w:val="16"/>
        </w:rPr>
        <w:footnoteRef/>
      </w:r>
      <w:r w:rsidRPr="00C35EA5">
        <w:rPr>
          <w:sz w:val="16"/>
          <w:szCs w:val="16"/>
        </w:rPr>
        <w:t xml:space="preserve"> </w:t>
      </w:r>
      <w:hyperlink r:id="rId2" w:history="1">
        <w:r w:rsidRPr="00C35EA5">
          <w:rPr>
            <w:rStyle w:val="Hyperlink"/>
            <w:sz w:val="16"/>
            <w:szCs w:val="16"/>
          </w:rPr>
          <w:t>https://www.southampton.gov.uk/images/alcohol-strategy_tcm63-391993.pdf</w:t>
        </w:r>
      </w:hyperlink>
      <w:r w:rsidRPr="00C35EA5">
        <w:rPr>
          <w:sz w:val="16"/>
          <w:szCs w:val="16"/>
        </w:rPr>
        <w:t xml:space="preserve"> </w:t>
      </w:r>
    </w:p>
  </w:footnote>
  <w:footnote w:id="3">
    <w:p w:rsidR="00736E0B" w:rsidRPr="00C35EA5" w:rsidRDefault="00736E0B" w:rsidP="00736E0B">
      <w:pPr>
        <w:pStyle w:val="FootnoteText"/>
        <w:rPr>
          <w:sz w:val="16"/>
          <w:szCs w:val="16"/>
        </w:rPr>
      </w:pPr>
      <w:r w:rsidRPr="00C35EA5">
        <w:rPr>
          <w:rStyle w:val="FootnoteReference"/>
          <w:sz w:val="16"/>
          <w:szCs w:val="16"/>
        </w:rPr>
        <w:footnoteRef/>
      </w:r>
      <w:r w:rsidRPr="00C35EA5">
        <w:rPr>
          <w:sz w:val="16"/>
          <w:szCs w:val="16"/>
        </w:rPr>
        <w:t xml:space="preserve"> </w:t>
      </w:r>
      <w:hyperlink r:id="rId3" w:history="1">
        <w:r w:rsidRPr="00C35EA5">
          <w:rPr>
            <w:rStyle w:val="Hyperlink"/>
            <w:sz w:val="16"/>
            <w:szCs w:val="16"/>
          </w:rPr>
          <w:t>https://www.gov.uk/government/uploads/system/uploads/attachment_data/file/628148/Drug_strategy_2017.PDF</w:t>
        </w:r>
      </w:hyperlink>
      <w:r w:rsidRPr="00C35EA5">
        <w:rPr>
          <w:rStyle w:val="Hyperlink"/>
          <w:sz w:val="16"/>
          <w:szCs w:val="16"/>
        </w:rPr>
        <w:t xml:space="preserve"> </w:t>
      </w:r>
    </w:p>
  </w:footnote>
  <w:footnote w:id="4">
    <w:p w:rsidR="00736E0B" w:rsidRPr="00C35EA5" w:rsidRDefault="00736E0B" w:rsidP="00736E0B">
      <w:pPr>
        <w:pStyle w:val="Footer"/>
        <w:rPr>
          <w:sz w:val="16"/>
          <w:szCs w:val="16"/>
        </w:rPr>
      </w:pPr>
      <w:r w:rsidRPr="00C35EA5">
        <w:rPr>
          <w:rStyle w:val="FootnoteReference"/>
          <w:sz w:val="16"/>
          <w:szCs w:val="16"/>
        </w:rPr>
        <w:footnoteRef/>
      </w:r>
      <w:r w:rsidRPr="00C35EA5">
        <w:rPr>
          <w:sz w:val="16"/>
          <w:szCs w:val="16"/>
        </w:rPr>
        <w:t xml:space="preserve"> </w:t>
      </w:r>
      <w:hyperlink r:id="rId4" w:history="1">
        <w:r w:rsidRPr="00C35EA5">
          <w:rPr>
            <w:rStyle w:val="Hyperlink"/>
            <w:sz w:val="16"/>
            <w:szCs w:val="16"/>
          </w:rPr>
          <w:t>https://www.gov.uk/government/publications/alcohol-strategy</w:t>
        </w:r>
      </w:hyperlink>
    </w:p>
    <w:p w:rsidR="00736E0B" w:rsidRDefault="00736E0B" w:rsidP="00736E0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1D08"/>
    <w:multiLevelType w:val="hybridMultilevel"/>
    <w:tmpl w:val="EE7C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B3"/>
    <w:multiLevelType w:val="hybridMultilevel"/>
    <w:tmpl w:val="7EC4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88"/>
    <w:rsid w:val="00083841"/>
    <w:rsid w:val="001E7BC0"/>
    <w:rsid w:val="001F77DF"/>
    <w:rsid w:val="002027F9"/>
    <w:rsid w:val="004F5488"/>
    <w:rsid w:val="00674029"/>
    <w:rsid w:val="00736E0B"/>
    <w:rsid w:val="007442FE"/>
    <w:rsid w:val="00882CBD"/>
    <w:rsid w:val="008D55BA"/>
    <w:rsid w:val="00912478"/>
    <w:rsid w:val="00AB10DB"/>
    <w:rsid w:val="00AE451F"/>
    <w:rsid w:val="00B06FF6"/>
    <w:rsid w:val="00C159EF"/>
    <w:rsid w:val="00C35EA5"/>
    <w:rsid w:val="00D41A00"/>
    <w:rsid w:val="00E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B6AA6F6-A7A8-4281-9A3E-142755D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00"/>
  </w:style>
  <w:style w:type="paragraph" w:styleId="Footer">
    <w:name w:val="footer"/>
    <w:basedOn w:val="Normal"/>
    <w:link w:val="FooterChar"/>
    <w:uiPriority w:val="99"/>
    <w:unhideWhenUsed/>
    <w:rsid w:val="00D4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00"/>
  </w:style>
  <w:style w:type="character" w:styleId="Hyperlink">
    <w:name w:val="Hyperlink"/>
    <w:basedOn w:val="DefaultParagraphFont"/>
    <w:uiPriority w:val="99"/>
    <w:unhideWhenUsed/>
    <w:rsid w:val="00AB10D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59EF"/>
    <w:pPr>
      <w:ind w:left="720"/>
      <w:contextualSpacing/>
    </w:pPr>
  </w:style>
  <w:style w:type="paragraph" w:customStyle="1" w:styleId="Default">
    <w:name w:val="Default"/>
    <w:rsid w:val="00C159EF"/>
    <w:pPr>
      <w:autoSpaceDE w:val="0"/>
      <w:autoSpaceDN w:val="0"/>
      <w:adjustRightInd w:val="0"/>
      <w:spacing w:after="0" w:line="240" w:lineRule="auto"/>
    </w:pPr>
    <w:rPr>
      <w:rFonts w:ascii="Helvetica 65 Medium" w:eastAsia="Helvetica 65 Medium" w:cs="Helvetica 65 Medium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027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027F9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rsid w:val="002027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02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Ploumakis@southampt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uploads/system/uploads/attachment_data/file/628148/Drug_strategy_2017.PDF" TargetMode="External"/><Relationship Id="rId2" Type="http://schemas.openxmlformats.org/officeDocument/2006/relationships/hyperlink" Target="https://www.southampton.gov.uk/images/alcohol-strategy_tcm63-391993.pdf" TargetMode="External"/><Relationship Id="rId1" Type="http://schemas.openxmlformats.org/officeDocument/2006/relationships/hyperlink" Target="https://www.southampton.gov.uk/images/drug-strategy-2017-2020_tcm63-394492.pdf" TargetMode="External"/><Relationship Id="rId4" Type="http://schemas.openxmlformats.org/officeDocument/2006/relationships/hyperlink" Target="https://www.gov.uk/government/publications/alcohol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D24F-72AE-43A4-A02A-8D5CA5EA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Susan</dc:creator>
  <cp:lastModifiedBy>Kitt, Robert</cp:lastModifiedBy>
  <cp:revision>2</cp:revision>
  <dcterms:created xsi:type="dcterms:W3CDTF">2018-09-24T13:11:00Z</dcterms:created>
  <dcterms:modified xsi:type="dcterms:W3CDTF">2018-09-24T13:11:00Z</dcterms:modified>
</cp:coreProperties>
</file>