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E54326" w:rsidRDefault="001E00AD" w:rsidP="00D40F55">
      <w:pPr>
        <w:pStyle w:val="MarginText"/>
        <w:spacing w:before="120" w:after="120"/>
        <w:jc w:val="center"/>
        <w:rPr>
          <w:rFonts w:cs="Arial"/>
          <w:b/>
          <w:sz w:val="24"/>
          <w:szCs w:val="24"/>
          <w:u w:val="single"/>
        </w:rPr>
      </w:pPr>
      <w:bookmarkStart w:id="0" w:name="LASTCURSORPOSITION"/>
      <w:bookmarkEnd w:id="0"/>
      <w:r w:rsidRPr="00E54326">
        <w:rPr>
          <w:rFonts w:cs="Arial"/>
          <w:b/>
          <w:sz w:val="24"/>
          <w:szCs w:val="24"/>
          <w:u w:val="single"/>
        </w:rPr>
        <w:t>PANEL AGREEMENT</w:t>
      </w:r>
      <w:r w:rsidR="00326132" w:rsidRPr="00E54326">
        <w:rPr>
          <w:rFonts w:cs="Arial"/>
          <w:b/>
          <w:sz w:val="24"/>
          <w:szCs w:val="24"/>
          <w:u w:val="single"/>
        </w:rPr>
        <w:t xml:space="preserve"> SCHEDULE 4</w:t>
      </w:r>
    </w:p>
    <w:p w14:paraId="2912E373" w14:textId="72929915" w:rsidR="00326132" w:rsidRPr="00E54326" w:rsidRDefault="00353A2B" w:rsidP="00D40F55">
      <w:pPr>
        <w:pStyle w:val="MarginText"/>
        <w:spacing w:before="120" w:after="120"/>
        <w:jc w:val="center"/>
        <w:rPr>
          <w:rFonts w:cs="Arial"/>
          <w:b/>
          <w:sz w:val="24"/>
          <w:szCs w:val="24"/>
          <w:u w:val="single"/>
        </w:rPr>
      </w:pPr>
      <w:r w:rsidRPr="00E54326">
        <w:rPr>
          <w:rFonts w:cs="Arial"/>
          <w:b/>
          <w:sz w:val="24"/>
          <w:szCs w:val="24"/>
          <w:u w:val="single"/>
        </w:rPr>
        <w:t xml:space="preserve">ORDER FORM AND </w:t>
      </w:r>
      <w:r w:rsidR="004C72E0" w:rsidRPr="00E54326">
        <w:rPr>
          <w:rFonts w:cs="Arial"/>
          <w:b/>
          <w:sz w:val="24"/>
          <w:szCs w:val="24"/>
          <w:u w:val="single"/>
        </w:rPr>
        <w:t>TERMS AND CONDITIONS</w:t>
      </w:r>
    </w:p>
    <w:p w14:paraId="679589E2" w14:textId="77777777" w:rsidR="00EC4E57" w:rsidRPr="00E54326" w:rsidRDefault="00EC4E57" w:rsidP="00353A2B">
      <w:pPr>
        <w:pStyle w:val="MarginText"/>
        <w:spacing w:before="120" w:after="120"/>
        <w:rPr>
          <w:rFonts w:cs="Arial"/>
          <w:b/>
          <w:sz w:val="24"/>
          <w:szCs w:val="24"/>
          <w:u w:val="single"/>
        </w:rPr>
      </w:pPr>
    </w:p>
    <w:p w14:paraId="176AB9E7" w14:textId="77777777" w:rsidR="00E54326" w:rsidRPr="00E54326" w:rsidRDefault="00E54326" w:rsidP="00353A2B">
      <w:pPr>
        <w:pStyle w:val="MarginText"/>
        <w:spacing w:before="120" w:after="120"/>
        <w:rPr>
          <w:rFonts w:cs="Arial"/>
          <w:b/>
          <w:sz w:val="24"/>
          <w:szCs w:val="24"/>
          <w:u w:val="single"/>
        </w:rPr>
      </w:pPr>
    </w:p>
    <w:p w14:paraId="746A8F15" w14:textId="77777777" w:rsidR="00E54326" w:rsidRPr="00E54326" w:rsidRDefault="00E54326" w:rsidP="00353A2B">
      <w:pPr>
        <w:pStyle w:val="MarginText"/>
        <w:spacing w:before="120" w:after="120"/>
        <w:rPr>
          <w:rFonts w:cs="Arial"/>
          <w:b/>
          <w:sz w:val="24"/>
          <w:szCs w:val="24"/>
          <w:u w:val="single"/>
        </w:rPr>
      </w:pPr>
    </w:p>
    <w:p w14:paraId="3700135D" w14:textId="103E42AE" w:rsidR="00E54326" w:rsidRPr="00E54326" w:rsidRDefault="00E54326" w:rsidP="00E54326">
      <w:pPr>
        <w:pStyle w:val="MarginText"/>
        <w:spacing w:before="120" w:after="120"/>
        <w:jc w:val="center"/>
        <w:rPr>
          <w:rFonts w:cs="Arial"/>
          <w:b/>
          <w:sz w:val="24"/>
          <w:szCs w:val="24"/>
          <w:u w:val="single"/>
        </w:rPr>
      </w:pPr>
      <w:r w:rsidRPr="00E54326">
        <w:rPr>
          <w:rFonts w:cs="Arial"/>
          <w:b/>
          <w:sz w:val="24"/>
          <w:szCs w:val="24"/>
          <w:u w:val="single"/>
        </w:rPr>
        <w:t>CALL OFF TERMS</w:t>
      </w:r>
    </w:p>
    <w:p w14:paraId="2F8B5B67" w14:textId="77777777" w:rsidR="00E54326" w:rsidRDefault="00E54326" w:rsidP="00E54326">
      <w:pPr>
        <w:pStyle w:val="MarginText"/>
        <w:spacing w:before="120" w:after="120"/>
        <w:jc w:val="center"/>
        <w:rPr>
          <w:rFonts w:cs="Arial"/>
          <w:b/>
          <w:sz w:val="24"/>
          <w:szCs w:val="24"/>
          <w:u w:val="single"/>
        </w:rPr>
      </w:pPr>
    </w:p>
    <w:p w14:paraId="7002B976" w14:textId="77777777" w:rsidR="00E54326" w:rsidRPr="00E54326" w:rsidRDefault="00E54326" w:rsidP="00E54326">
      <w:pPr>
        <w:pStyle w:val="MarginText"/>
        <w:spacing w:before="120" w:after="120"/>
        <w:jc w:val="center"/>
        <w:rPr>
          <w:rFonts w:cs="Arial"/>
          <w:b/>
          <w:sz w:val="24"/>
          <w:szCs w:val="24"/>
          <w:u w:val="single"/>
        </w:rPr>
      </w:pPr>
    </w:p>
    <w:p w14:paraId="3F90D2E5" w14:textId="7CE44A7D" w:rsidR="00E54326" w:rsidRPr="00E54326" w:rsidRDefault="00E54326" w:rsidP="00E54326">
      <w:pPr>
        <w:pStyle w:val="MarginText"/>
        <w:spacing w:before="120" w:after="120"/>
        <w:jc w:val="center"/>
        <w:rPr>
          <w:rFonts w:cs="Arial"/>
          <w:b/>
          <w:sz w:val="24"/>
          <w:szCs w:val="24"/>
        </w:rPr>
      </w:pPr>
      <w:r w:rsidRPr="00E54326">
        <w:rPr>
          <w:rFonts w:cs="Arial"/>
          <w:b/>
          <w:sz w:val="24"/>
          <w:szCs w:val="24"/>
        </w:rPr>
        <w:t>THE PROVISION OF SPECIALIST LEGAL ADVICE ON COMPLEX FINANCIAL ACTIVITIES</w:t>
      </w:r>
    </w:p>
    <w:p w14:paraId="5D0AA04F" w14:textId="77777777" w:rsidR="00E54326" w:rsidRDefault="00E54326" w:rsidP="00E54326">
      <w:pPr>
        <w:pStyle w:val="MarginText"/>
        <w:spacing w:before="120" w:after="120"/>
        <w:jc w:val="center"/>
        <w:rPr>
          <w:rFonts w:cs="Arial"/>
          <w:b/>
          <w:sz w:val="24"/>
          <w:szCs w:val="24"/>
        </w:rPr>
      </w:pPr>
    </w:p>
    <w:p w14:paraId="3391E2DF" w14:textId="77777777" w:rsidR="00E54326" w:rsidRPr="00E54326" w:rsidRDefault="00E54326" w:rsidP="00E54326">
      <w:pPr>
        <w:pStyle w:val="MarginText"/>
        <w:spacing w:before="120" w:after="120"/>
        <w:jc w:val="center"/>
        <w:rPr>
          <w:rFonts w:cs="Arial"/>
          <w:b/>
          <w:sz w:val="24"/>
          <w:szCs w:val="24"/>
        </w:rPr>
      </w:pPr>
    </w:p>
    <w:p w14:paraId="7BB4DD1F" w14:textId="1BEDA902" w:rsidR="00E54326" w:rsidRDefault="00E54326" w:rsidP="00E54326">
      <w:pPr>
        <w:pStyle w:val="MarginText"/>
        <w:spacing w:before="120" w:after="120"/>
        <w:jc w:val="center"/>
        <w:rPr>
          <w:rFonts w:cs="Arial"/>
          <w:b/>
          <w:sz w:val="24"/>
          <w:szCs w:val="24"/>
        </w:rPr>
      </w:pPr>
      <w:r w:rsidRPr="00E54326">
        <w:rPr>
          <w:rFonts w:cs="Arial"/>
          <w:b/>
          <w:sz w:val="24"/>
          <w:szCs w:val="24"/>
        </w:rPr>
        <w:t>FOR</w:t>
      </w:r>
    </w:p>
    <w:p w14:paraId="0553055C" w14:textId="6E50B26D" w:rsidR="009D6A90" w:rsidRDefault="009D6A90" w:rsidP="00E54326">
      <w:pPr>
        <w:pStyle w:val="MarginText"/>
        <w:spacing w:before="120" w:after="120"/>
        <w:jc w:val="center"/>
        <w:rPr>
          <w:rFonts w:cs="Arial"/>
          <w:b/>
          <w:sz w:val="24"/>
          <w:szCs w:val="24"/>
        </w:rPr>
      </w:pPr>
    </w:p>
    <w:p w14:paraId="28D9FBE8" w14:textId="69BD2A32" w:rsidR="009D6A90" w:rsidRDefault="009D6A90" w:rsidP="00E54326">
      <w:pPr>
        <w:pStyle w:val="MarginText"/>
        <w:spacing w:before="120" w:after="120"/>
        <w:jc w:val="center"/>
        <w:rPr>
          <w:rFonts w:cs="Arial"/>
          <w:b/>
          <w:sz w:val="24"/>
          <w:szCs w:val="24"/>
        </w:rPr>
      </w:pPr>
      <w:r>
        <w:rPr>
          <w:rFonts w:cs="Arial"/>
          <w:b/>
          <w:sz w:val="24"/>
          <w:szCs w:val="24"/>
        </w:rPr>
        <w:t>THE LORD COMMISSIONERS OF HER MAJESTY’S TREASURY ACTING THROUGH THE DEBT MANAGEMENT OFFICE</w:t>
      </w:r>
    </w:p>
    <w:p w14:paraId="1908A099" w14:textId="4E7A4479" w:rsidR="009D6A90" w:rsidRDefault="009D6A90" w:rsidP="00E54326">
      <w:pPr>
        <w:pStyle w:val="MarginText"/>
        <w:spacing w:before="120" w:after="120"/>
        <w:jc w:val="center"/>
        <w:rPr>
          <w:rFonts w:cs="Arial"/>
          <w:b/>
          <w:sz w:val="24"/>
          <w:szCs w:val="24"/>
        </w:rPr>
      </w:pPr>
    </w:p>
    <w:p w14:paraId="43A1BCC2" w14:textId="570114D6" w:rsidR="009D6A90" w:rsidRDefault="009D6A90" w:rsidP="00E54326">
      <w:pPr>
        <w:pStyle w:val="MarginText"/>
        <w:spacing w:before="120" w:after="120"/>
        <w:jc w:val="center"/>
        <w:rPr>
          <w:rFonts w:cs="Arial"/>
          <w:b/>
          <w:sz w:val="24"/>
          <w:szCs w:val="24"/>
        </w:rPr>
      </w:pPr>
    </w:p>
    <w:p w14:paraId="5F894562" w14:textId="7F67BE83" w:rsidR="009D6A90" w:rsidRPr="00E54326" w:rsidRDefault="009D6A90" w:rsidP="00E54326">
      <w:pPr>
        <w:pStyle w:val="MarginText"/>
        <w:spacing w:before="120" w:after="120"/>
        <w:jc w:val="center"/>
        <w:rPr>
          <w:rFonts w:cs="Arial"/>
          <w:b/>
          <w:sz w:val="24"/>
          <w:szCs w:val="24"/>
        </w:rPr>
      </w:pPr>
      <w:r>
        <w:rPr>
          <w:rFonts w:cs="Arial"/>
          <w:b/>
          <w:sz w:val="24"/>
          <w:szCs w:val="24"/>
        </w:rPr>
        <w:t>AN EXECUTIVE AGENCY OF</w:t>
      </w:r>
    </w:p>
    <w:p w14:paraId="6493FA13" w14:textId="77777777" w:rsidR="00E54326" w:rsidRPr="00E54326" w:rsidRDefault="00E54326" w:rsidP="00E54326">
      <w:pPr>
        <w:pStyle w:val="MarginText"/>
        <w:spacing w:before="120" w:after="120"/>
        <w:jc w:val="center"/>
        <w:rPr>
          <w:rFonts w:cs="Arial"/>
          <w:b/>
          <w:sz w:val="24"/>
          <w:szCs w:val="24"/>
        </w:rPr>
      </w:pPr>
    </w:p>
    <w:p w14:paraId="0779801B" w14:textId="73D3896D" w:rsidR="00E54326" w:rsidRPr="00E54326" w:rsidRDefault="00E54326" w:rsidP="00E54326">
      <w:pPr>
        <w:pStyle w:val="MarginText"/>
        <w:spacing w:before="120" w:after="120"/>
        <w:jc w:val="center"/>
        <w:rPr>
          <w:rFonts w:cs="Arial"/>
          <w:b/>
          <w:sz w:val="24"/>
          <w:szCs w:val="24"/>
        </w:rPr>
      </w:pPr>
      <w:r w:rsidRPr="00E54326">
        <w:rPr>
          <w:rFonts w:cs="Arial"/>
          <w:b/>
          <w:sz w:val="24"/>
          <w:szCs w:val="24"/>
        </w:rPr>
        <w:t>HER MAJESTY’S TREASURY</w:t>
      </w:r>
    </w:p>
    <w:p w14:paraId="7E35DFB1" w14:textId="77777777" w:rsidR="00E54326" w:rsidRPr="00E54326" w:rsidRDefault="00E54326" w:rsidP="00E54326">
      <w:pPr>
        <w:pStyle w:val="MarginText"/>
        <w:spacing w:before="120" w:after="120"/>
        <w:jc w:val="center"/>
        <w:rPr>
          <w:rFonts w:cs="Arial"/>
          <w:b/>
          <w:sz w:val="24"/>
          <w:szCs w:val="24"/>
        </w:rPr>
      </w:pPr>
    </w:p>
    <w:p w14:paraId="154C0BD1" w14:textId="41B7596F" w:rsidR="00E54326" w:rsidRPr="00E54326" w:rsidRDefault="00E54326" w:rsidP="00E54326">
      <w:pPr>
        <w:pStyle w:val="MarginText"/>
        <w:spacing w:before="120" w:after="120"/>
        <w:jc w:val="center"/>
        <w:rPr>
          <w:rFonts w:cs="Arial"/>
          <w:b/>
          <w:sz w:val="24"/>
          <w:szCs w:val="24"/>
        </w:rPr>
      </w:pPr>
      <w:r w:rsidRPr="00E54326">
        <w:rPr>
          <w:rFonts w:cs="Arial"/>
          <w:b/>
          <w:sz w:val="24"/>
          <w:szCs w:val="24"/>
        </w:rPr>
        <w:t xml:space="preserve">CONTRACT REFERENCE: </w:t>
      </w:r>
      <w:r>
        <w:rPr>
          <w:rFonts w:cs="Arial"/>
          <w:b/>
          <w:sz w:val="24"/>
          <w:szCs w:val="24"/>
        </w:rPr>
        <w:t>CCLL18A06</w:t>
      </w:r>
    </w:p>
    <w:p w14:paraId="18F39EA5" w14:textId="77777777" w:rsidR="00E54326" w:rsidRPr="00E54326" w:rsidRDefault="00E54326" w:rsidP="00353A2B">
      <w:pPr>
        <w:pStyle w:val="MarginText"/>
        <w:spacing w:before="120" w:after="120"/>
        <w:rPr>
          <w:rFonts w:cs="Arial"/>
          <w:b/>
          <w:sz w:val="24"/>
          <w:szCs w:val="24"/>
        </w:rPr>
      </w:pPr>
    </w:p>
    <w:p w14:paraId="5519DAD6" w14:textId="77777777" w:rsidR="00E54326" w:rsidRPr="00E54326" w:rsidRDefault="00E54326" w:rsidP="00353A2B">
      <w:pPr>
        <w:pStyle w:val="MarginText"/>
        <w:spacing w:before="120" w:after="120"/>
        <w:rPr>
          <w:rFonts w:cs="Arial"/>
          <w:b/>
          <w:sz w:val="24"/>
          <w:szCs w:val="24"/>
          <w:u w:val="single"/>
        </w:rPr>
      </w:pPr>
    </w:p>
    <w:p w14:paraId="5BED14BD" w14:textId="77777777" w:rsidR="00E54326" w:rsidRDefault="00E54326" w:rsidP="00353A2B">
      <w:pPr>
        <w:pStyle w:val="MarginText"/>
        <w:spacing w:before="120" w:after="120"/>
        <w:rPr>
          <w:rFonts w:cs="Arial"/>
          <w:b/>
          <w:szCs w:val="22"/>
          <w:u w:val="single"/>
        </w:rPr>
      </w:pPr>
    </w:p>
    <w:p w14:paraId="31417E10" w14:textId="77777777" w:rsidR="00E54326" w:rsidRDefault="00E54326" w:rsidP="00353A2B">
      <w:pPr>
        <w:pStyle w:val="MarginText"/>
        <w:spacing w:before="120" w:after="120"/>
        <w:rPr>
          <w:rFonts w:cs="Arial"/>
          <w:b/>
          <w:szCs w:val="22"/>
          <w:u w:val="single"/>
        </w:rPr>
      </w:pPr>
    </w:p>
    <w:p w14:paraId="388DF8C4" w14:textId="77777777" w:rsidR="00E54326" w:rsidRDefault="00E54326" w:rsidP="00353A2B">
      <w:pPr>
        <w:pStyle w:val="MarginText"/>
        <w:spacing w:before="120" w:after="120"/>
        <w:rPr>
          <w:rFonts w:cs="Arial"/>
          <w:b/>
          <w:szCs w:val="22"/>
          <w:u w:val="single"/>
        </w:rPr>
      </w:pPr>
    </w:p>
    <w:p w14:paraId="398D3F96" w14:textId="77777777" w:rsidR="00E54326" w:rsidRDefault="00E54326" w:rsidP="00353A2B">
      <w:pPr>
        <w:pStyle w:val="MarginText"/>
        <w:spacing w:before="120" w:after="120"/>
        <w:rPr>
          <w:rFonts w:cs="Arial"/>
          <w:b/>
          <w:szCs w:val="22"/>
          <w:u w:val="single"/>
        </w:rPr>
      </w:pPr>
    </w:p>
    <w:p w14:paraId="7ACD22CC" w14:textId="77777777" w:rsidR="00E54326" w:rsidRDefault="00E54326" w:rsidP="00353A2B">
      <w:pPr>
        <w:pStyle w:val="MarginText"/>
        <w:spacing w:before="120" w:after="120"/>
        <w:rPr>
          <w:rFonts w:cs="Arial"/>
          <w:b/>
          <w:szCs w:val="22"/>
          <w:u w:val="single"/>
        </w:rPr>
      </w:pPr>
    </w:p>
    <w:p w14:paraId="2ABCECFD" w14:textId="77777777" w:rsidR="00E54326" w:rsidRDefault="00E54326" w:rsidP="00353A2B">
      <w:pPr>
        <w:pStyle w:val="MarginText"/>
        <w:spacing w:before="120" w:after="120"/>
        <w:rPr>
          <w:rFonts w:cs="Arial"/>
          <w:b/>
          <w:szCs w:val="22"/>
          <w:u w:val="single"/>
        </w:rPr>
      </w:pPr>
    </w:p>
    <w:p w14:paraId="2CDC6992" w14:textId="77777777" w:rsidR="00E54326" w:rsidRDefault="00E54326" w:rsidP="00353A2B">
      <w:pPr>
        <w:pStyle w:val="MarginText"/>
        <w:spacing w:before="120" w:after="120"/>
        <w:rPr>
          <w:rFonts w:cs="Arial"/>
          <w:b/>
          <w:szCs w:val="22"/>
          <w:u w:val="single"/>
        </w:rPr>
      </w:pPr>
    </w:p>
    <w:p w14:paraId="1ECAE0B4" w14:textId="77777777" w:rsidR="00E54326" w:rsidRDefault="00E54326" w:rsidP="00353A2B">
      <w:pPr>
        <w:pStyle w:val="MarginText"/>
        <w:spacing w:before="120" w:after="120"/>
        <w:rPr>
          <w:rFonts w:cs="Arial"/>
          <w:b/>
          <w:szCs w:val="22"/>
          <w:u w:val="single"/>
        </w:rPr>
      </w:pPr>
    </w:p>
    <w:p w14:paraId="681B2AFC" w14:textId="77777777" w:rsidR="00E54326" w:rsidRDefault="00E54326" w:rsidP="00353A2B">
      <w:pPr>
        <w:pStyle w:val="MarginText"/>
        <w:spacing w:before="120" w:after="120"/>
        <w:rPr>
          <w:rFonts w:cs="Arial"/>
          <w:b/>
          <w:szCs w:val="22"/>
          <w:u w:val="single"/>
        </w:rPr>
      </w:pPr>
    </w:p>
    <w:p w14:paraId="754CFE54" w14:textId="77777777" w:rsidR="00E54326" w:rsidRDefault="00E54326" w:rsidP="00353A2B">
      <w:pPr>
        <w:pStyle w:val="MarginText"/>
        <w:spacing w:before="120" w:after="120"/>
        <w:rPr>
          <w:rFonts w:cs="Arial"/>
          <w:b/>
          <w:szCs w:val="22"/>
          <w:u w:val="single"/>
        </w:rPr>
      </w:pPr>
    </w:p>
    <w:p w14:paraId="25C5D53A" w14:textId="77777777" w:rsidR="00E54326" w:rsidRDefault="00E54326" w:rsidP="00353A2B">
      <w:pPr>
        <w:pStyle w:val="MarginText"/>
        <w:spacing w:before="120" w:after="120"/>
        <w:rPr>
          <w:rFonts w:cs="Arial"/>
          <w:b/>
          <w:szCs w:val="22"/>
          <w:u w:val="single"/>
        </w:rPr>
      </w:pPr>
    </w:p>
    <w:p w14:paraId="3191DD86" w14:textId="77777777" w:rsidR="00E54326" w:rsidRDefault="00E54326" w:rsidP="00353A2B">
      <w:pPr>
        <w:pStyle w:val="MarginText"/>
        <w:spacing w:before="120" w:after="120"/>
        <w:rPr>
          <w:rFonts w:cs="Arial"/>
          <w:b/>
          <w:szCs w:val="22"/>
          <w:u w:val="single"/>
        </w:rPr>
      </w:pPr>
    </w:p>
    <w:p w14:paraId="43EC3426" w14:textId="77777777" w:rsidR="00E54326" w:rsidRDefault="00E54326" w:rsidP="00353A2B">
      <w:pPr>
        <w:pStyle w:val="MarginText"/>
        <w:spacing w:before="120" w:after="120"/>
        <w:rPr>
          <w:rFonts w:cs="Arial"/>
          <w:b/>
          <w:szCs w:val="22"/>
          <w:u w:val="single"/>
        </w:rPr>
      </w:pPr>
    </w:p>
    <w:p w14:paraId="579960CF" w14:textId="77777777" w:rsidR="00E54326" w:rsidRDefault="00E54326" w:rsidP="00353A2B">
      <w:pPr>
        <w:pStyle w:val="MarginText"/>
        <w:spacing w:before="120" w:after="120"/>
        <w:rPr>
          <w:rFonts w:cs="Arial"/>
          <w:b/>
          <w:szCs w:val="22"/>
          <w:u w:val="single"/>
        </w:rPr>
      </w:pPr>
    </w:p>
    <w:p w14:paraId="3223B839" w14:textId="77777777" w:rsidR="00E54326" w:rsidRDefault="00E54326" w:rsidP="00353A2B">
      <w:pPr>
        <w:pStyle w:val="MarginText"/>
        <w:spacing w:before="120" w:after="120"/>
        <w:rPr>
          <w:rFonts w:cs="Arial"/>
          <w:b/>
          <w:szCs w:val="22"/>
          <w:u w:val="single"/>
        </w:rPr>
      </w:pPr>
    </w:p>
    <w:p w14:paraId="1F5F2013" w14:textId="77777777" w:rsidR="00E54326" w:rsidRDefault="00E54326" w:rsidP="00353A2B">
      <w:pPr>
        <w:pStyle w:val="MarginText"/>
        <w:spacing w:before="120" w:after="120"/>
        <w:rPr>
          <w:rFonts w:cs="Arial"/>
          <w:b/>
          <w:szCs w:val="22"/>
          <w:u w:val="single"/>
        </w:rPr>
      </w:pPr>
    </w:p>
    <w:p w14:paraId="288816A5" w14:textId="7D07AA92" w:rsidR="008E082F" w:rsidRPr="00C3320D" w:rsidRDefault="008E082F" w:rsidP="00E54326">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757B373" w:rsidR="008E082F" w:rsidRPr="00C3320D" w:rsidRDefault="008E082F" w:rsidP="00015443">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CE24BA">
        <w:rPr>
          <w:rFonts w:cs="Arial"/>
          <w:szCs w:val="22"/>
        </w:rPr>
        <w:t>6</w:t>
      </w:r>
      <w:r w:rsidR="006E2019" w:rsidRPr="006E2019">
        <w:rPr>
          <w:rFonts w:cs="Arial"/>
          <w:szCs w:val="22"/>
          <w:vertAlign w:val="superscript"/>
        </w:rPr>
        <w:t>th</w:t>
      </w:r>
      <w:r w:rsidR="006E2019">
        <w:rPr>
          <w:rFonts w:cs="Arial"/>
          <w:szCs w:val="22"/>
        </w:rPr>
        <w:t xml:space="preserve"> </w:t>
      </w:r>
      <w:r w:rsidR="00BE4A7F" w:rsidRPr="00A512CA">
        <w:rPr>
          <w:rFonts w:cs="Arial"/>
          <w:szCs w:val="22"/>
        </w:rPr>
        <w:t>November 2018</w:t>
      </w:r>
      <w:r w:rsidR="00F944DA" w:rsidRPr="00A512CA">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015443">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015443">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015443">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015443">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4D4BAFDD" w:rsidR="008E082F" w:rsidRPr="00C3320D" w:rsidRDefault="008E082F" w:rsidP="00015443">
      <w:pPr>
        <w:numPr>
          <w:ilvl w:val="0"/>
          <w:numId w:val="23"/>
        </w:numPr>
        <w:spacing w:before="120" w:after="120" w:line="240" w:lineRule="auto"/>
        <w:rPr>
          <w:rFonts w:cs="Arial"/>
          <w:szCs w:val="22"/>
        </w:rPr>
      </w:pPr>
      <w:r w:rsidRPr="00C3320D">
        <w:rPr>
          <w:rFonts w:cs="Arial"/>
          <w:szCs w:val="22"/>
        </w:rPr>
        <w:t xml:space="preserve">In accordance with paragraph </w:t>
      </w:r>
      <w:r w:rsidR="00BE4A7F">
        <w:rPr>
          <w:rFonts w:cs="Arial"/>
          <w:szCs w:val="22"/>
        </w:rPr>
        <w:t>8</w:t>
      </w:r>
      <w:r w:rsidRPr="00C3320D">
        <w:rPr>
          <w:rFonts w:cs="Arial"/>
          <w:szCs w:val="22"/>
        </w:rPr>
        <w:t xml:space="preserve">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E54326" w14:paraId="431A0C45" w14:textId="77777777" w:rsidTr="00E54326">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36A73025" w:rsidR="008E082F" w:rsidRPr="00C3320D" w:rsidRDefault="00E54326"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51CCB019" w:rsidR="008E082F" w:rsidRPr="00E54326" w:rsidRDefault="00E54326" w:rsidP="00D40F55">
            <w:pPr>
              <w:spacing w:before="120" w:after="120" w:line="240" w:lineRule="auto"/>
              <w:jc w:val="left"/>
              <w:rPr>
                <w:rFonts w:cs="Arial"/>
                <w:szCs w:val="22"/>
              </w:rPr>
            </w:pPr>
            <w:r w:rsidRPr="00E54326">
              <w:rPr>
                <w:rFonts w:cs="Arial"/>
                <w:szCs w:val="22"/>
              </w:rPr>
              <w:t>CCLL18A06</w:t>
            </w:r>
          </w:p>
        </w:tc>
      </w:tr>
      <w:tr w:rsidR="00C3320D" w:rsidRPr="00C3320D" w14:paraId="5F0543CE" w14:textId="77777777" w:rsidTr="00E54326">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31C48544" w:rsidR="008E082F" w:rsidRPr="00C3320D" w:rsidRDefault="00E54326" w:rsidP="00D40F55">
            <w:pPr>
              <w:spacing w:before="120" w:after="120" w:line="240" w:lineRule="auto"/>
              <w:jc w:val="left"/>
              <w:rPr>
                <w:rFonts w:cs="Arial"/>
                <w:b/>
                <w:szCs w:val="22"/>
              </w:rPr>
            </w:pPr>
            <w:r>
              <w:rPr>
                <w:rFonts w:cs="Arial"/>
                <w:b/>
                <w:spacing w:val="-3"/>
                <w:szCs w:val="22"/>
                <w:lang w:eastAsia="en-GB"/>
              </w:rPr>
              <w:t>The Lords Commissioners of Her Majesty’s Treasury acting through the United Kingdom Debt Management Office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3E29E6D4" w:rsidR="008E082F" w:rsidRPr="00E54326" w:rsidRDefault="00E54326" w:rsidP="00D40F55">
            <w:pPr>
              <w:spacing w:before="120" w:after="120" w:line="240" w:lineRule="auto"/>
              <w:jc w:val="left"/>
              <w:rPr>
                <w:rFonts w:cs="Arial"/>
                <w:szCs w:val="22"/>
              </w:rPr>
            </w:pPr>
            <w:r>
              <w:rPr>
                <w:rFonts w:cs="Arial"/>
                <w:szCs w:val="22"/>
              </w:rPr>
              <w:t>Eastcheap Court, 11 Philpot Lane, London, EC3M 8UD</w:t>
            </w:r>
          </w:p>
        </w:tc>
      </w:tr>
      <w:tr w:rsidR="00C3320D" w:rsidRPr="00E54326" w14:paraId="70BF2D98" w14:textId="77777777" w:rsidTr="00E54326">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761301ED" w14:textId="2A3CFFD4" w:rsidR="008E082F" w:rsidRPr="00C3320D" w:rsidRDefault="00E54326" w:rsidP="00D40F55">
            <w:pPr>
              <w:spacing w:before="120" w:after="120" w:line="240" w:lineRule="auto"/>
              <w:jc w:val="left"/>
              <w:rPr>
                <w:rFonts w:cs="Arial"/>
                <w:b/>
                <w:szCs w:val="22"/>
              </w:rPr>
            </w:pPr>
            <w:r>
              <w:rPr>
                <w:rFonts w:cs="Arial"/>
                <w:b/>
                <w:szCs w:val="22"/>
              </w:rPr>
              <w:t>Clifford Chance LLP</w:t>
            </w:r>
          </w:p>
          <w:p w14:paraId="269275C6" w14:textId="6BA426CE" w:rsidR="008E082F" w:rsidRPr="00E54326" w:rsidRDefault="008E082F" w:rsidP="00E54326">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62A1937E" w:rsidR="008E082F" w:rsidRPr="00E54326" w:rsidRDefault="00E54326" w:rsidP="00D40F55">
            <w:pPr>
              <w:spacing w:before="120" w:after="120" w:line="240" w:lineRule="auto"/>
              <w:jc w:val="left"/>
              <w:rPr>
                <w:rFonts w:cs="Arial"/>
                <w:szCs w:val="22"/>
              </w:rPr>
            </w:pPr>
            <w:r w:rsidRPr="00E54326">
              <w:rPr>
                <w:rFonts w:cs="Arial"/>
                <w:szCs w:val="22"/>
              </w:rPr>
              <w:t>10 Upper Bank Street, London, E14 5JJ</w:t>
            </w:r>
          </w:p>
        </w:tc>
      </w:tr>
      <w:tr w:rsidR="00C3320D" w:rsidRPr="00C3320D" w14:paraId="16AC3458" w14:textId="77777777" w:rsidTr="00A512CA">
        <w:trPr>
          <w:trHeight w:val="572"/>
        </w:trPr>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907249E" w14:textId="4CB48091"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2C901660" w:rsidR="008E082F" w:rsidRPr="00A512CA" w:rsidRDefault="00BE4A7F" w:rsidP="00BE4A7F">
            <w:pPr>
              <w:spacing w:before="120" w:after="120" w:line="240" w:lineRule="auto"/>
              <w:jc w:val="left"/>
              <w:rPr>
                <w:rFonts w:cs="Arial"/>
                <w:szCs w:val="22"/>
              </w:rPr>
            </w:pPr>
            <w:r w:rsidRPr="00A512CA">
              <w:rPr>
                <w:rFonts w:cs="Arial"/>
                <w:szCs w:val="22"/>
              </w:rPr>
              <w:t>1 December 2018</w:t>
            </w:r>
          </w:p>
        </w:tc>
      </w:tr>
      <w:tr w:rsidR="00C3320D" w:rsidRPr="00C3320D" w14:paraId="39842C8A" w14:textId="77777777" w:rsidTr="00A512CA">
        <w:trPr>
          <w:trHeight w:val="636"/>
        </w:trPr>
        <w:tc>
          <w:tcPr>
            <w:tcW w:w="576" w:type="dxa"/>
          </w:tcPr>
          <w:p w14:paraId="088ADE2C" w14:textId="43B519A6" w:rsidR="008E082F" w:rsidRPr="00C3320D" w:rsidRDefault="008E082F" w:rsidP="00A512CA">
            <w:pPr>
              <w:pStyle w:val="11table"/>
              <w:numPr>
                <w:ilvl w:val="0"/>
                <w:numId w:val="0"/>
              </w:numPr>
              <w:spacing w:before="120" w:after="120"/>
            </w:pPr>
            <w:r w:rsidRPr="00C3320D">
              <w:rPr>
                <w:rFonts w:ascii="Arial" w:hAnsi="Arial" w:cs="Arial"/>
              </w:rPr>
              <w:t>1.5</w:t>
            </w:r>
          </w:p>
        </w:tc>
        <w:tc>
          <w:tcPr>
            <w:tcW w:w="4249" w:type="dxa"/>
            <w:shd w:val="clear" w:color="auto" w:fill="auto"/>
          </w:tcPr>
          <w:p w14:paraId="12A59BA3" w14:textId="72985FC3" w:rsidR="008E082F" w:rsidRPr="00E54326" w:rsidRDefault="008E082F" w:rsidP="00E5432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7A982303" w14:textId="5B2239D3" w:rsidR="00EA26DD" w:rsidRPr="00A512CA" w:rsidRDefault="00BD18CB" w:rsidP="00BE4A7F">
            <w:pPr>
              <w:spacing w:before="120" w:after="120" w:line="240" w:lineRule="auto"/>
              <w:jc w:val="left"/>
              <w:rPr>
                <w:rFonts w:cs="Arial"/>
                <w:szCs w:val="22"/>
              </w:rPr>
            </w:pPr>
            <w:r w:rsidRPr="00A512CA">
              <w:rPr>
                <w:rFonts w:cs="Arial"/>
                <w:szCs w:val="22"/>
              </w:rPr>
              <w:t>30</w:t>
            </w:r>
            <w:r w:rsidR="00BE4A7F" w:rsidRPr="00A512CA">
              <w:rPr>
                <w:rFonts w:cs="Arial"/>
                <w:szCs w:val="22"/>
              </w:rPr>
              <w:t xml:space="preserve"> November 2021</w:t>
            </w:r>
          </w:p>
        </w:tc>
      </w:tr>
      <w:tr w:rsidR="00C3320D" w:rsidRPr="00C3320D" w14:paraId="03449035" w14:textId="77777777" w:rsidTr="00E54326">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7389C626"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E54326">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191F0E82" w:rsidR="008E082F" w:rsidRPr="00BE4A7F" w:rsidRDefault="001554AC" w:rsidP="006E2019">
            <w:pPr>
              <w:spacing w:before="120" w:after="120" w:line="240" w:lineRule="auto"/>
              <w:jc w:val="left"/>
              <w:rPr>
                <w:rFonts w:cs="Arial"/>
                <w:szCs w:val="22"/>
              </w:rPr>
            </w:pPr>
            <w:r w:rsidRPr="001554AC">
              <w:rPr>
                <w:rFonts w:cs="Arial"/>
                <w:b/>
                <w:szCs w:val="22"/>
              </w:rPr>
              <w:t>[REDACTED]</w:t>
            </w:r>
          </w:p>
        </w:tc>
      </w:tr>
      <w:tr w:rsidR="00C3320D" w:rsidRPr="00C3320D" w14:paraId="08486D76" w14:textId="77777777" w:rsidTr="00E54326">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29D0FF22" w:rsidR="008E082F" w:rsidRPr="00C3320D" w:rsidRDefault="006E2019" w:rsidP="00D40F55">
            <w:pPr>
              <w:spacing w:before="120" w:after="120" w:line="240" w:lineRule="auto"/>
              <w:jc w:val="left"/>
              <w:rPr>
                <w:rFonts w:cs="Arial"/>
                <w:i/>
                <w:szCs w:val="22"/>
              </w:rPr>
            </w:pPr>
            <w:r w:rsidRPr="001554AC">
              <w:rPr>
                <w:rFonts w:cs="Arial"/>
                <w:b/>
                <w:szCs w:val="22"/>
              </w:rPr>
              <w:t>[REDACTED]</w:t>
            </w:r>
          </w:p>
        </w:tc>
      </w:tr>
      <w:tr w:rsidR="00C3320D" w:rsidRPr="00C3320D" w14:paraId="63E7C589" w14:textId="77777777" w:rsidTr="00E54326">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A06DEE9" w:rsidR="008E082F" w:rsidRPr="006E2019" w:rsidRDefault="006E2019" w:rsidP="006E2019">
            <w:pPr>
              <w:spacing w:before="120" w:after="120" w:line="240" w:lineRule="auto"/>
              <w:rPr>
                <w:rFonts w:cs="Arial"/>
                <w:szCs w:val="22"/>
              </w:rPr>
            </w:pPr>
            <w:r>
              <w:rPr>
                <w:rFonts w:cs="Arial"/>
                <w:szCs w:val="22"/>
              </w:rPr>
              <w:t>13/11/2018</w:t>
            </w:r>
          </w:p>
        </w:tc>
      </w:tr>
      <w:tr w:rsidR="00C3320D" w:rsidRPr="00C3320D" w14:paraId="30AA013D" w14:textId="77777777" w:rsidTr="00E54326">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08B46ED5"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E54326">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51D88D53" w:rsidR="008E082F" w:rsidRPr="00C3320D" w:rsidRDefault="006E2019" w:rsidP="00D40F55">
            <w:pPr>
              <w:spacing w:before="120" w:after="120" w:line="240" w:lineRule="auto"/>
              <w:jc w:val="left"/>
              <w:rPr>
                <w:rFonts w:cs="Arial"/>
                <w:i/>
                <w:szCs w:val="22"/>
              </w:rPr>
            </w:pPr>
            <w:r w:rsidRPr="001554AC">
              <w:rPr>
                <w:rFonts w:cs="Arial"/>
                <w:b/>
                <w:szCs w:val="22"/>
              </w:rPr>
              <w:t>[REDACTED]</w:t>
            </w:r>
          </w:p>
        </w:tc>
      </w:tr>
      <w:tr w:rsidR="00C3320D" w:rsidRPr="00C3320D" w14:paraId="18997506" w14:textId="77777777" w:rsidTr="00E54326">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BB2780C" w:rsidR="008E082F" w:rsidRPr="00C3320D" w:rsidRDefault="006E2019" w:rsidP="00D40F55">
            <w:pPr>
              <w:spacing w:before="120" w:after="120" w:line="240" w:lineRule="auto"/>
              <w:jc w:val="left"/>
              <w:rPr>
                <w:rFonts w:cs="Arial"/>
                <w:i/>
                <w:szCs w:val="22"/>
              </w:rPr>
            </w:pPr>
            <w:r w:rsidRPr="001554AC">
              <w:rPr>
                <w:rFonts w:cs="Arial"/>
                <w:b/>
                <w:szCs w:val="22"/>
              </w:rPr>
              <w:t>[REDACTED]</w:t>
            </w:r>
          </w:p>
        </w:tc>
      </w:tr>
      <w:tr w:rsidR="00C3320D" w:rsidRPr="00C3320D" w14:paraId="7A5BFCD6" w14:textId="77777777" w:rsidTr="00E54326">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34D47CF5" w:rsidR="008E082F" w:rsidRPr="006E2019" w:rsidRDefault="006E2019" w:rsidP="00D40F55">
            <w:pPr>
              <w:spacing w:before="120" w:after="120" w:line="240" w:lineRule="auto"/>
              <w:jc w:val="left"/>
              <w:rPr>
                <w:rFonts w:cs="Arial"/>
                <w:szCs w:val="22"/>
              </w:rPr>
            </w:pPr>
            <w:r>
              <w:rPr>
                <w:rFonts w:cs="Arial"/>
                <w:szCs w:val="22"/>
              </w:rPr>
              <w:t>15/11/2018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015443">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4124D4" w14:paraId="3B03F3FA" w14:textId="77777777" w:rsidTr="004124D4">
        <w:tc>
          <w:tcPr>
            <w:tcW w:w="534" w:type="dxa"/>
          </w:tcPr>
          <w:p w14:paraId="15E9D1C3" w14:textId="77777777" w:rsidR="008E082F" w:rsidRPr="004124D4" w:rsidRDefault="008E082F" w:rsidP="00D40F55">
            <w:pPr>
              <w:pStyle w:val="11table"/>
              <w:numPr>
                <w:ilvl w:val="0"/>
                <w:numId w:val="0"/>
              </w:numPr>
              <w:spacing w:before="120" w:after="120"/>
              <w:ind w:left="360" w:hanging="360"/>
              <w:rPr>
                <w:rFonts w:ascii="Arial" w:hAnsi="Arial" w:cs="Arial"/>
              </w:rPr>
            </w:pPr>
            <w:r w:rsidRPr="004124D4">
              <w:rPr>
                <w:rFonts w:ascii="Arial" w:hAnsi="Arial" w:cs="Arial"/>
              </w:rPr>
              <w:t xml:space="preserve">1.1  </w:t>
            </w:r>
          </w:p>
        </w:tc>
        <w:tc>
          <w:tcPr>
            <w:tcW w:w="4688" w:type="dxa"/>
            <w:shd w:val="clear" w:color="auto" w:fill="auto"/>
          </w:tcPr>
          <w:p w14:paraId="4620E155" w14:textId="3E403190" w:rsidR="008E082F" w:rsidRPr="004124D4"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124D4">
              <w:rPr>
                <w:rFonts w:eastAsia="STZhongsong" w:cs="Arial"/>
                <w:b/>
                <w:szCs w:val="22"/>
                <w:lang w:eastAsia="zh-CN"/>
              </w:rPr>
              <w:t xml:space="preserve">Panel </w:t>
            </w:r>
            <w:r w:rsidR="008E082F" w:rsidRPr="004124D4">
              <w:rPr>
                <w:rFonts w:eastAsia="STZhongsong" w:cs="Arial"/>
                <w:b/>
                <w:szCs w:val="22"/>
                <w:lang w:eastAsia="zh-CN"/>
              </w:rPr>
              <w:t>Services</w:t>
            </w:r>
            <w:r w:rsidR="008E082F" w:rsidRPr="004124D4">
              <w:rPr>
                <w:rFonts w:eastAsia="STZhongsong" w:cs="Arial"/>
                <w:szCs w:val="22"/>
                <w:lang w:eastAsia="zh-CN"/>
              </w:rPr>
              <w:t xml:space="preserve">: </w:t>
            </w:r>
          </w:p>
          <w:p w14:paraId="75ED3CC5" w14:textId="77777777" w:rsidR="008E082F" w:rsidRPr="004124D4"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29E11E89" w:rsidR="008E082F" w:rsidRPr="004124D4" w:rsidRDefault="004124D4" w:rsidP="004124D4">
            <w:pPr>
              <w:tabs>
                <w:tab w:val="left" w:pos="577"/>
              </w:tabs>
              <w:overflowPunct/>
              <w:autoSpaceDE/>
              <w:autoSpaceDN/>
              <w:spacing w:before="120" w:after="120" w:line="240" w:lineRule="auto"/>
              <w:jc w:val="left"/>
              <w:textAlignment w:val="auto"/>
              <w:rPr>
                <w:rFonts w:eastAsia="STZhongsong" w:cs="Arial"/>
                <w:b/>
                <w:szCs w:val="22"/>
                <w:lang w:eastAsia="zh-CN"/>
              </w:rPr>
            </w:pPr>
            <w:r w:rsidRPr="004124D4">
              <w:rPr>
                <w:rFonts w:cs="Arial"/>
                <w:szCs w:val="22"/>
              </w:rPr>
              <w:t>Please refer to Section C – Statement of Requirements.</w:t>
            </w:r>
          </w:p>
        </w:tc>
      </w:tr>
      <w:tr w:rsidR="00C3320D" w:rsidRPr="00C3320D" w14:paraId="7E732C24" w14:textId="77777777" w:rsidTr="004124D4">
        <w:tc>
          <w:tcPr>
            <w:tcW w:w="534" w:type="dxa"/>
          </w:tcPr>
          <w:p w14:paraId="21B38F32" w14:textId="77777777" w:rsidR="008E082F" w:rsidRPr="004124D4" w:rsidRDefault="008E082F" w:rsidP="00D40F55">
            <w:pPr>
              <w:pStyle w:val="11table"/>
              <w:numPr>
                <w:ilvl w:val="0"/>
                <w:numId w:val="0"/>
              </w:numPr>
              <w:spacing w:before="120" w:after="120"/>
              <w:ind w:left="360" w:hanging="360"/>
              <w:rPr>
                <w:rFonts w:ascii="Arial" w:hAnsi="Arial" w:cs="Arial"/>
              </w:rPr>
            </w:pPr>
            <w:r w:rsidRPr="004124D4">
              <w:rPr>
                <w:rFonts w:ascii="Arial" w:hAnsi="Arial" w:cs="Arial"/>
              </w:rPr>
              <w:t>1.2</w:t>
            </w:r>
          </w:p>
        </w:tc>
        <w:tc>
          <w:tcPr>
            <w:tcW w:w="4688" w:type="dxa"/>
            <w:shd w:val="clear" w:color="auto" w:fill="auto"/>
          </w:tcPr>
          <w:p w14:paraId="00892EAF" w14:textId="77777777" w:rsidR="008E082F" w:rsidRPr="004124D4"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124D4">
              <w:rPr>
                <w:rFonts w:eastAsia="STZhongsong" w:cs="Arial"/>
                <w:b/>
                <w:szCs w:val="22"/>
                <w:lang w:eastAsia="zh-CN"/>
              </w:rPr>
              <w:t>Management and review of the Services</w:t>
            </w:r>
          </w:p>
          <w:p w14:paraId="29D0A7EC" w14:textId="77777777" w:rsidR="008E082F" w:rsidRPr="004124D4"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46ED3A3" w:rsidR="008E082F" w:rsidRPr="004124D4" w:rsidRDefault="004124D4" w:rsidP="004124D4">
            <w:pPr>
              <w:numPr>
                <w:ilvl w:val="1"/>
                <w:numId w:val="0"/>
              </w:numPr>
              <w:tabs>
                <w:tab w:val="left" w:pos="577"/>
              </w:tabs>
              <w:overflowPunct/>
              <w:autoSpaceDE/>
              <w:autoSpaceDN/>
              <w:spacing w:before="120" w:after="120" w:line="240" w:lineRule="auto"/>
              <w:jc w:val="left"/>
              <w:textAlignment w:val="auto"/>
              <w:rPr>
                <w:rFonts w:cs="Arial"/>
                <w:szCs w:val="22"/>
              </w:rPr>
            </w:pPr>
            <w:r w:rsidRPr="004124D4">
              <w:rPr>
                <w:rFonts w:cs="Arial"/>
                <w:szCs w:val="22"/>
              </w:rPr>
              <w:t>Please refer to Section C – Statement of Requirements point 16.</w:t>
            </w:r>
          </w:p>
        </w:tc>
      </w:tr>
      <w:tr w:rsidR="00C3320D" w:rsidRPr="00C3320D" w14:paraId="677CDEBB" w14:textId="77777777" w:rsidTr="004124D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782ADF48" w:rsidR="008E082F" w:rsidRPr="004124D4" w:rsidRDefault="004124D4" w:rsidP="004124D4">
            <w:pPr>
              <w:pStyle w:val="Heading2"/>
              <w:numPr>
                <w:ilvl w:val="0"/>
                <w:numId w:val="0"/>
              </w:numPr>
            </w:pPr>
            <w:r w:rsidRPr="006B00E5">
              <w:t xml:space="preserve">The Services </w:t>
            </w:r>
            <w:r>
              <w:t>sha</w:t>
            </w:r>
            <w:r w:rsidRPr="006B00E5">
              <w:t xml:space="preserve">ll be provided to the </w:t>
            </w:r>
            <w:r>
              <w:t xml:space="preserve">Authority </w:t>
            </w:r>
            <w:r w:rsidRPr="006B00E5">
              <w:t>in London</w:t>
            </w:r>
            <w:r>
              <w:t xml:space="preserve"> at: Eastcheap Court, 11 Philpot Lane, London EC3M 8UD, UK.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6472"/>
      </w:tblGrid>
      <w:tr w:rsidR="00C3320D" w:rsidRPr="00C3320D" w14:paraId="57650518" w14:textId="77777777" w:rsidTr="00C65A40">
        <w:trPr>
          <w:trHeight w:val="274"/>
        </w:trPr>
        <w:tc>
          <w:tcPr>
            <w:tcW w:w="738" w:type="dxa"/>
          </w:tcPr>
          <w:p w14:paraId="6DCD4E37" w14:textId="4B3911FB" w:rsidR="007A2902" w:rsidRPr="00C3320D" w:rsidRDefault="009D6A90"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1701" w:type="dxa"/>
            <w:shd w:val="clear" w:color="auto" w:fill="auto"/>
          </w:tcPr>
          <w:p w14:paraId="7C250DA8" w14:textId="64B575A5" w:rsidR="007A2902" w:rsidRPr="00C3320D" w:rsidRDefault="004124D4" w:rsidP="004124D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 Daily Rates</w:t>
            </w:r>
          </w:p>
          <w:p w14:paraId="685B2F5A" w14:textId="0ED09C81" w:rsidR="007A2902" w:rsidRPr="00C3320D" w:rsidRDefault="004124D4" w:rsidP="006E2019">
            <w:pPr>
              <w:overflowPunct/>
              <w:autoSpaceDE/>
              <w:autoSpaceDN/>
              <w:spacing w:before="120" w:after="120" w:line="240" w:lineRule="auto"/>
              <w:jc w:val="left"/>
              <w:textAlignment w:val="auto"/>
              <w:rPr>
                <w:rFonts w:eastAsia="STZhongsong" w:cs="Arial"/>
                <w:szCs w:val="22"/>
                <w:lang w:eastAsia="zh-CN"/>
              </w:rPr>
            </w:pPr>
            <w:r w:rsidRPr="004124D4">
              <w:rPr>
                <w:rFonts w:eastAsia="STZhongsong" w:cs="Arial"/>
                <w:szCs w:val="22"/>
                <w:lang w:eastAsia="zh-CN"/>
              </w:rPr>
              <w:t>Where any Supplier Personnel have completed eight (8) hours of work on any given day, the daily rate will apply irrespective of how many further hours of work are completed on that day.</w:t>
            </w:r>
          </w:p>
        </w:tc>
        <w:tc>
          <w:tcPr>
            <w:tcW w:w="6472" w:type="dxa"/>
            <w:shd w:val="clear" w:color="auto" w:fill="auto"/>
          </w:tcPr>
          <w:p w14:paraId="7FE899BA" w14:textId="168A54DD" w:rsidR="00A44880" w:rsidRDefault="00DB1177" w:rsidP="00D40F55">
            <w:pPr>
              <w:numPr>
                <w:ilvl w:val="1"/>
                <w:numId w:val="0"/>
              </w:numPr>
              <w:overflowPunct/>
              <w:autoSpaceDE/>
              <w:autoSpaceDN/>
              <w:spacing w:before="120" w:after="120" w:line="240" w:lineRule="auto"/>
              <w:jc w:val="left"/>
              <w:textAlignment w:val="auto"/>
              <w:rPr>
                <w:rFonts w:cs="Arial"/>
                <w:b/>
                <w:szCs w:val="22"/>
              </w:rPr>
            </w:pPr>
            <w:r w:rsidRPr="00DB1177">
              <w:rPr>
                <w:rFonts w:cs="Arial"/>
                <w:b/>
                <w:szCs w:val="22"/>
              </w:rPr>
              <w:t>Hourly Rates</w:t>
            </w:r>
          </w:p>
          <w:p w14:paraId="5F5DDBE2" w14:textId="56CA9E31" w:rsidR="00C65A40" w:rsidRDefault="006E2019" w:rsidP="00D40F55">
            <w:pPr>
              <w:numPr>
                <w:ilvl w:val="1"/>
                <w:numId w:val="0"/>
              </w:numPr>
              <w:overflowPunct/>
              <w:autoSpaceDE/>
              <w:autoSpaceDN/>
              <w:spacing w:before="120" w:after="120" w:line="240" w:lineRule="auto"/>
              <w:jc w:val="left"/>
              <w:textAlignment w:val="auto"/>
              <w:rPr>
                <w:rFonts w:cs="Arial"/>
                <w:b/>
                <w:szCs w:val="22"/>
              </w:rPr>
            </w:pPr>
            <w:r w:rsidRPr="001554AC">
              <w:rPr>
                <w:rFonts w:cs="Arial"/>
                <w:b/>
                <w:szCs w:val="22"/>
              </w:rPr>
              <w:t>[REDACTED]</w:t>
            </w:r>
          </w:p>
          <w:p w14:paraId="362399D0" w14:textId="77777777" w:rsidR="006E2019" w:rsidRDefault="006E2019" w:rsidP="00D40F55">
            <w:pPr>
              <w:numPr>
                <w:ilvl w:val="1"/>
                <w:numId w:val="0"/>
              </w:numPr>
              <w:overflowPunct/>
              <w:autoSpaceDE/>
              <w:autoSpaceDN/>
              <w:spacing w:before="120" w:after="120" w:line="240" w:lineRule="auto"/>
              <w:jc w:val="left"/>
              <w:textAlignment w:val="auto"/>
              <w:rPr>
                <w:rFonts w:cs="Arial"/>
                <w:b/>
                <w:szCs w:val="22"/>
              </w:rPr>
            </w:pPr>
          </w:p>
          <w:p w14:paraId="2EB7AC15" w14:textId="77777777" w:rsidR="007A2902" w:rsidRDefault="00C65A40" w:rsidP="00D40F55">
            <w:pPr>
              <w:numPr>
                <w:ilvl w:val="1"/>
                <w:numId w:val="0"/>
              </w:numPr>
              <w:overflowPunct/>
              <w:autoSpaceDE/>
              <w:autoSpaceDN/>
              <w:spacing w:before="120" w:after="120" w:line="240" w:lineRule="auto"/>
              <w:jc w:val="left"/>
              <w:textAlignment w:val="auto"/>
              <w:rPr>
                <w:rFonts w:cs="Arial"/>
                <w:b/>
                <w:szCs w:val="22"/>
              </w:rPr>
            </w:pPr>
            <w:r w:rsidRPr="00C65A40">
              <w:rPr>
                <w:rFonts w:cs="Arial"/>
                <w:b/>
                <w:szCs w:val="22"/>
              </w:rPr>
              <w:t>Daily Rates</w:t>
            </w:r>
          </w:p>
          <w:p w14:paraId="5AC50EC1" w14:textId="77777777" w:rsidR="00CF3808" w:rsidRDefault="00CF3808" w:rsidP="00D40F55">
            <w:pPr>
              <w:numPr>
                <w:ilvl w:val="1"/>
                <w:numId w:val="0"/>
              </w:numPr>
              <w:overflowPunct/>
              <w:autoSpaceDE/>
              <w:autoSpaceDN/>
              <w:spacing w:before="120" w:after="120" w:line="240" w:lineRule="auto"/>
              <w:jc w:val="left"/>
              <w:textAlignment w:val="auto"/>
              <w:rPr>
                <w:rFonts w:cs="Arial"/>
                <w:b/>
                <w:szCs w:val="22"/>
              </w:rPr>
            </w:pPr>
          </w:p>
          <w:p w14:paraId="54D3E53E" w14:textId="22B6ADE5" w:rsidR="00CF3808" w:rsidRDefault="00CF3808" w:rsidP="00D40F55">
            <w:pPr>
              <w:numPr>
                <w:ilvl w:val="1"/>
                <w:numId w:val="0"/>
              </w:numPr>
              <w:overflowPunct/>
              <w:autoSpaceDE/>
              <w:autoSpaceDN/>
              <w:spacing w:before="120" w:after="120" w:line="240" w:lineRule="auto"/>
              <w:jc w:val="left"/>
              <w:textAlignment w:val="auto"/>
              <w:rPr>
                <w:rFonts w:cs="Arial"/>
                <w:b/>
                <w:szCs w:val="22"/>
              </w:rPr>
            </w:pPr>
            <w:r>
              <w:rPr>
                <w:rFonts w:cs="Arial"/>
                <w:b/>
                <w:szCs w:val="22"/>
              </w:rPr>
              <w:t>[REDACTED]</w:t>
            </w:r>
          </w:p>
          <w:p w14:paraId="4F6B9EC7" w14:textId="0B83E8E0" w:rsidR="00C65A40" w:rsidRDefault="00C65A40" w:rsidP="00D40F55">
            <w:pPr>
              <w:numPr>
                <w:ilvl w:val="1"/>
                <w:numId w:val="0"/>
              </w:numPr>
              <w:overflowPunct/>
              <w:autoSpaceDE/>
              <w:autoSpaceDN/>
              <w:spacing w:before="120" w:after="120" w:line="240" w:lineRule="auto"/>
              <w:jc w:val="left"/>
              <w:textAlignment w:val="auto"/>
            </w:pPr>
          </w:p>
          <w:p w14:paraId="195E72C1" w14:textId="6011CF8D" w:rsidR="00BE4A7F" w:rsidRPr="00C65A40" w:rsidRDefault="00A512CA" w:rsidP="00D40F55">
            <w:pPr>
              <w:numPr>
                <w:ilvl w:val="1"/>
                <w:numId w:val="0"/>
              </w:numPr>
              <w:overflowPunct/>
              <w:autoSpaceDE/>
              <w:autoSpaceDN/>
              <w:spacing w:before="120" w:after="120" w:line="240" w:lineRule="auto"/>
              <w:jc w:val="left"/>
              <w:textAlignment w:val="auto"/>
              <w:rPr>
                <w:rFonts w:cs="Arial"/>
                <w:b/>
                <w:szCs w:val="22"/>
              </w:rPr>
            </w:pPr>
            <w:r>
              <w:rPr>
                <w:rFonts w:cs="Arial"/>
                <w:b/>
                <w:szCs w:val="22"/>
              </w:rPr>
              <w:t>Maximum contract value:</w:t>
            </w:r>
            <w:r w:rsidR="00BE4A7F">
              <w:rPr>
                <w:rFonts w:cs="Arial"/>
                <w:b/>
                <w:szCs w:val="22"/>
              </w:rPr>
              <w:t xml:space="preserve"> </w:t>
            </w:r>
            <w:r w:rsidR="00BD18CB">
              <w:rPr>
                <w:rFonts w:cs="Arial"/>
                <w:b/>
                <w:szCs w:val="22"/>
              </w:rPr>
              <w:t>£1,050,000</w:t>
            </w:r>
          </w:p>
        </w:tc>
      </w:tr>
      <w:tr w:rsidR="00C3320D" w:rsidRPr="00C3320D" w14:paraId="390CE8EF" w14:textId="77777777" w:rsidTr="00C65A40">
        <w:tc>
          <w:tcPr>
            <w:tcW w:w="738" w:type="dxa"/>
          </w:tcPr>
          <w:p w14:paraId="16030869" w14:textId="63D598C2"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1701" w:type="dxa"/>
            <w:shd w:val="clear" w:color="auto" w:fill="auto"/>
          </w:tcPr>
          <w:p w14:paraId="2A5EBEE2" w14:textId="3AA10B9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6472" w:type="dxa"/>
            <w:shd w:val="clear" w:color="auto" w:fill="auto"/>
          </w:tcPr>
          <w:p w14:paraId="6141EC23" w14:textId="2BDA508A" w:rsidR="008E082F" w:rsidRPr="00C65A40" w:rsidRDefault="00C65A40"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C65A40">
        <w:tc>
          <w:tcPr>
            <w:tcW w:w="738"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1701" w:type="dxa"/>
            <w:shd w:val="clear" w:color="auto" w:fill="auto"/>
          </w:tcPr>
          <w:p w14:paraId="0D801B05" w14:textId="1E0B416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6472" w:type="dxa"/>
            <w:shd w:val="clear" w:color="auto" w:fill="auto"/>
          </w:tcPr>
          <w:p w14:paraId="0F50F027" w14:textId="30D9D1FC" w:rsidR="008E082F" w:rsidRPr="00C3320D" w:rsidRDefault="00C65A40" w:rsidP="00C65A40">
            <w:pPr>
              <w:overflowPunct/>
              <w:autoSpaceDE/>
              <w:autoSpaceDN/>
              <w:spacing w:before="120" w:after="120" w:line="240" w:lineRule="auto"/>
              <w:jc w:val="left"/>
              <w:textAlignment w:val="auto"/>
              <w:rPr>
                <w:rFonts w:cs="Arial"/>
                <w:i/>
                <w:szCs w:val="22"/>
              </w:rPr>
            </w:pPr>
            <w:r>
              <w:rPr>
                <w:rFonts w:cs="Arial"/>
                <w:szCs w:val="22"/>
              </w:rPr>
              <w:t>Not used.</w:t>
            </w:r>
          </w:p>
        </w:tc>
      </w:tr>
      <w:tr w:rsidR="00C3320D" w:rsidRPr="00C3320D" w14:paraId="53D9C72F" w14:textId="77777777" w:rsidTr="00C65A40">
        <w:tc>
          <w:tcPr>
            <w:tcW w:w="738"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1701" w:type="dxa"/>
            <w:shd w:val="clear" w:color="auto" w:fill="auto"/>
          </w:tcPr>
          <w:p w14:paraId="4306D6B3" w14:textId="5ACFCFC4"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6472" w:type="dxa"/>
            <w:shd w:val="clear" w:color="auto" w:fill="auto"/>
          </w:tcPr>
          <w:p w14:paraId="08B6474B" w14:textId="53E38771" w:rsidR="008E082F" w:rsidRPr="00C3320D" w:rsidRDefault="00C65A40" w:rsidP="00C65A40">
            <w:pPr>
              <w:overflowPunct/>
              <w:autoSpaceDE/>
              <w:autoSpaceDN/>
              <w:spacing w:before="120" w:after="120" w:line="240" w:lineRule="auto"/>
              <w:jc w:val="left"/>
              <w:textAlignment w:val="auto"/>
              <w:rPr>
                <w:rFonts w:cs="Arial"/>
                <w:i/>
                <w:szCs w:val="22"/>
              </w:rPr>
            </w:pPr>
            <w:r>
              <w:rPr>
                <w:rFonts w:cs="Arial"/>
                <w:szCs w:val="22"/>
              </w:rPr>
              <w:t>Not used.</w:t>
            </w:r>
          </w:p>
        </w:tc>
      </w:tr>
      <w:tr w:rsidR="00C3320D" w:rsidRPr="00C3320D" w14:paraId="5A92AABB" w14:textId="77777777" w:rsidTr="00B76E01">
        <w:tc>
          <w:tcPr>
            <w:tcW w:w="738"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1701"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22031965" w:rsidR="00EF4696"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lastRenderedPageBreak/>
              <w:t>Payable Not 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3F722D45"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Payable Not payable</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542519B7" w14:textId="7777777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Additional training</w:t>
            </w:r>
          </w:p>
          <w:p w14:paraId="2E5866B6" w14:textId="7777777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Secondment Charge</w:t>
            </w:r>
          </w:p>
        </w:tc>
        <w:tc>
          <w:tcPr>
            <w:tcW w:w="6472" w:type="dxa"/>
            <w:shd w:val="clear" w:color="auto" w:fill="auto"/>
          </w:tcPr>
          <w:p w14:paraId="106916CE" w14:textId="59D3F619"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2A9CA9A4" w14:textId="12986D04" w:rsidR="00DD17E4" w:rsidRPr="00B76E01" w:rsidRDefault="00EF4696" w:rsidP="00015443">
            <w:pPr>
              <w:numPr>
                <w:ilvl w:val="0"/>
                <w:numId w:val="24"/>
              </w:numPr>
              <w:tabs>
                <w:tab w:val="left" w:pos="577"/>
              </w:tabs>
              <w:overflowPunct/>
              <w:autoSpaceDE/>
              <w:autoSpaceDN/>
              <w:spacing w:before="120" w:after="120" w:line="240" w:lineRule="auto"/>
              <w:jc w:val="left"/>
              <w:textAlignment w:val="auto"/>
              <w:rPr>
                <w:rFonts w:cs="Arial"/>
                <w:szCs w:val="22"/>
              </w:rPr>
            </w:pPr>
            <w:bookmarkStart w:id="1" w:name="_GoBack"/>
            <w:bookmarkEnd w:id="1"/>
            <w:r w:rsidRPr="00B76E01">
              <w:rPr>
                <w:rFonts w:cs="Arial"/>
                <w:szCs w:val="22"/>
              </w:rPr>
              <w:t>Reimbursable Expenses –</w:t>
            </w:r>
            <w:r w:rsidR="00BE4A7F" w:rsidRPr="00B76E01">
              <w:rPr>
                <w:rFonts w:cs="Arial"/>
                <w:szCs w:val="22"/>
              </w:rPr>
              <w:t xml:space="preserve"> </w:t>
            </w:r>
            <w:r w:rsidR="00A5137B" w:rsidRPr="00B76E01">
              <w:rPr>
                <w:rFonts w:cs="Arial"/>
                <w:szCs w:val="22"/>
              </w:rPr>
              <w:t xml:space="preserve">shall only be payable </w:t>
            </w:r>
            <w:r w:rsidR="00BE4A7F" w:rsidRPr="00B76E01">
              <w:rPr>
                <w:rFonts w:cs="Arial"/>
                <w:szCs w:val="22"/>
              </w:rPr>
              <w:t>for travel to and from meetings at the Customer’s offices or any other location at the Customer’s request</w:t>
            </w:r>
            <w:r w:rsidR="009452D4" w:rsidRPr="00B76E01">
              <w:rPr>
                <w:rFonts w:cs="Arial"/>
                <w:szCs w:val="22"/>
              </w:rPr>
              <w:t xml:space="preserve"> and in </w:t>
            </w:r>
            <w:r w:rsidR="009452D4" w:rsidRPr="00B76E01">
              <w:rPr>
                <w:rFonts w:cs="Arial"/>
                <w:szCs w:val="22"/>
              </w:rPr>
              <w:lastRenderedPageBreak/>
              <w:t>accordance with the Customer’s internal travel and subsistence policy</w:t>
            </w:r>
            <w:r w:rsidR="00BE4A7F" w:rsidRPr="00B76E01">
              <w:rPr>
                <w:rFonts w:cs="Arial"/>
                <w:szCs w:val="22"/>
              </w:rPr>
              <w:t>.</w:t>
            </w:r>
          </w:p>
          <w:p w14:paraId="5724B305" w14:textId="1A33B691" w:rsidR="00DD17E4" w:rsidRPr="00B76E01" w:rsidRDefault="00C916CB" w:rsidP="00015443">
            <w:pPr>
              <w:numPr>
                <w:ilvl w:val="0"/>
                <w:numId w:val="24"/>
              </w:numPr>
              <w:tabs>
                <w:tab w:val="left" w:pos="577"/>
              </w:tabs>
              <w:overflowPunct/>
              <w:autoSpaceDE/>
              <w:autoSpaceDN/>
              <w:spacing w:before="120" w:after="120" w:line="240" w:lineRule="auto"/>
              <w:jc w:val="left"/>
              <w:textAlignment w:val="auto"/>
              <w:rPr>
                <w:rFonts w:cs="Arial"/>
                <w:szCs w:val="22"/>
              </w:rPr>
            </w:pPr>
            <w:r w:rsidRPr="00B76E01">
              <w:rPr>
                <w:rFonts w:cs="Arial"/>
                <w:szCs w:val="22"/>
              </w:rPr>
              <w:t xml:space="preserve">Disbursements - </w:t>
            </w:r>
            <w:r w:rsidR="00BE4A7F" w:rsidRPr="00B76E01">
              <w:rPr>
                <w:rFonts w:cs="Arial"/>
                <w:szCs w:val="22"/>
              </w:rPr>
              <w:t>shall only be payable where the Customer has authorised that the Disbursements may be incurred in advance</w:t>
            </w:r>
            <w:r w:rsidRPr="00B76E01">
              <w:rPr>
                <w:rFonts w:cs="Arial"/>
                <w:szCs w:val="22"/>
              </w:rPr>
              <w:t>.</w:t>
            </w:r>
            <w:r w:rsidR="00E22CE8" w:rsidRPr="00B76E01">
              <w:rPr>
                <w:rFonts w:cs="Arial"/>
                <w:szCs w:val="22"/>
              </w:rPr>
              <w:t xml:space="preserve"> </w:t>
            </w:r>
          </w:p>
          <w:p w14:paraId="35F4BABB" w14:textId="58CB828F" w:rsidR="00DB3DDB" w:rsidRPr="00B76E01" w:rsidRDefault="00A34A94" w:rsidP="00015443">
            <w:pPr>
              <w:numPr>
                <w:ilvl w:val="0"/>
                <w:numId w:val="24"/>
              </w:numPr>
              <w:tabs>
                <w:tab w:val="left" w:pos="577"/>
              </w:tabs>
              <w:overflowPunct/>
              <w:autoSpaceDE/>
              <w:autoSpaceDN/>
              <w:spacing w:before="120" w:after="120" w:line="240" w:lineRule="auto"/>
              <w:jc w:val="left"/>
              <w:textAlignment w:val="auto"/>
              <w:rPr>
                <w:rFonts w:cs="Arial"/>
                <w:szCs w:val="22"/>
              </w:rPr>
            </w:pPr>
            <w:r w:rsidRPr="00B76E01">
              <w:rPr>
                <w:rFonts w:cs="Arial"/>
                <w:szCs w:val="22"/>
              </w:rPr>
              <w:t>Training</w:t>
            </w:r>
            <w:r w:rsidR="00DB3DDB" w:rsidRPr="00B76E01">
              <w:rPr>
                <w:rFonts w:cs="Arial"/>
                <w:szCs w:val="22"/>
              </w:rPr>
              <w:t>:</w:t>
            </w:r>
            <w:r w:rsidR="009452D4" w:rsidRPr="00B76E01">
              <w:rPr>
                <w:rFonts w:cs="Arial"/>
                <w:szCs w:val="22"/>
              </w:rPr>
              <w:t xml:space="preserve"> </w:t>
            </w:r>
            <w:r w:rsidR="00A512CA" w:rsidRPr="00B76E01">
              <w:rPr>
                <w:rFonts w:cs="Arial"/>
                <w:szCs w:val="22"/>
              </w:rPr>
              <w:t>No current training cost identified</w:t>
            </w:r>
            <w:r w:rsidR="00DB3DDB" w:rsidRPr="00B76E01">
              <w:rPr>
                <w:rFonts w:cs="Arial"/>
                <w:szCs w:val="22"/>
              </w:rPr>
              <w:t>.</w:t>
            </w:r>
          </w:p>
          <w:p w14:paraId="08AC71B4" w14:textId="0AA4AEA1" w:rsidR="00C54786" w:rsidRPr="00C3320D" w:rsidRDefault="00C54786" w:rsidP="00A512CA">
            <w:pPr>
              <w:tabs>
                <w:tab w:val="left" w:pos="577"/>
              </w:tabs>
              <w:overflowPunct/>
              <w:autoSpaceDE/>
              <w:autoSpaceDN/>
              <w:spacing w:before="120" w:after="120" w:line="240" w:lineRule="auto"/>
              <w:ind w:left="720"/>
              <w:jc w:val="left"/>
              <w:textAlignment w:val="auto"/>
              <w:rPr>
                <w:rFonts w:cs="Arial"/>
                <w:i/>
                <w:szCs w:val="22"/>
              </w:rPr>
            </w:pP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14"/>
        <w:gridCol w:w="4052"/>
      </w:tblGrid>
      <w:tr w:rsidR="00C3320D" w:rsidRPr="00EC1E2B" w14:paraId="7805A5E1" w14:textId="77777777" w:rsidTr="00EC1E2B">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64E5246" w14:textId="614557A0" w:rsidR="008E082F" w:rsidRPr="001554AC" w:rsidRDefault="001554AC" w:rsidP="00EC1E2B">
            <w:pPr>
              <w:keepNext/>
              <w:keepLines/>
              <w:tabs>
                <w:tab w:val="left" w:pos="1900"/>
              </w:tabs>
              <w:overflowPunct/>
              <w:autoSpaceDE/>
              <w:autoSpaceDN/>
              <w:spacing w:before="120" w:after="120" w:line="240" w:lineRule="auto"/>
              <w:textAlignment w:val="auto"/>
              <w:rPr>
                <w:rFonts w:eastAsia="STZhongsong" w:cs="Arial"/>
                <w:b/>
                <w:szCs w:val="22"/>
                <w:lang w:eastAsia="zh-CN"/>
              </w:rPr>
            </w:pPr>
            <w:r w:rsidRPr="001554AC">
              <w:rPr>
                <w:rFonts w:eastAsia="STZhongsong" w:cs="Arial"/>
                <w:b/>
                <w:szCs w:val="22"/>
                <w:lang w:eastAsia="zh-CN"/>
              </w:rPr>
              <w:t>[REDACTED]</w:t>
            </w:r>
          </w:p>
          <w:p w14:paraId="15B73A4C" w14:textId="62C16FA5" w:rsidR="00EC1E2B" w:rsidRDefault="005560B9" w:rsidP="00EC1E2B">
            <w:pPr>
              <w:keepNext/>
              <w:keepLines/>
              <w:tabs>
                <w:tab w:val="left" w:pos="1900"/>
              </w:tabs>
              <w:overflowPunct/>
              <w:autoSpaceDE/>
              <w:autoSpaceDN/>
              <w:spacing w:before="120" w:after="120" w:line="240" w:lineRule="auto"/>
              <w:textAlignment w:val="auto"/>
              <w:rPr>
                <w:rFonts w:eastAsia="STZhongsong" w:cs="Arial"/>
                <w:szCs w:val="22"/>
                <w:lang w:eastAsia="zh-CN"/>
              </w:rPr>
            </w:pPr>
            <w:hyperlink r:id="rId9" w:history="1">
              <w:r w:rsidR="00EC1E2B" w:rsidRPr="00EC1E2B">
                <w:rPr>
                  <w:rStyle w:val="Hyperlink"/>
                  <w:rFonts w:eastAsia="STZhongsong" w:cs="Arial"/>
                  <w:color w:val="000000" w:themeColor="text1"/>
                  <w:szCs w:val="22"/>
                  <w:u w:val="none"/>
                  <w:lang w:eastAsia="zh-CN"/>
                </w:rPr>
                <w:t xml:space="preserve">Tel: </w:t>
              </w:r>
            </w:hyperlink>
            <w:r w:rsidR="001554AC" w:rsidRPr="001554AC">
              <w:rPr>
                <w:rFonts w:eastAsia="STZhongsong" w:cs="Arial"/>
                <w:b/>
                <w:szCs w:val="22"/>
                <w:lang w:eastAsia="zh-CN"/>
              </w:rPr>
              <w:t xml:space="preserve"> [REDACTED]</w:t>
            </w:r>
          </w:p>
          <w:p w14:paraId="51F67C26" w14:textId="7E1792E5" w:rsidR="00EC1E2B" w:rsidRPr="00EC1E2B" w:rsidRDefault="001554AC" w:rsidP="009452D4">
            <w:pPr>
              <w:keepNext/>
              <w:keepLines/>
              <w:tabs>
                <w:tab w:val="left" w:pos="1900"/>
              </w:tab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r w:rsidRPr="001554AC">
              <w:rPr>
                <w:rFonts w:eastAsia="STZhongsong" w:cs="Arial"/>
                <w:b/>
                <w:szCs w:val="22"/>
                <w:lang w:eastAsia="zh-CN"/>
              </w:rPr>
              <w:t>[REDACTED]</w:t>
            </w:r>
          </w:p>
        </w:tc>
      </w:tr>
      <w:tr w:rsidR="00C3320D" w:rsidRPr="00EC1E2B" w14:paraId="48F22CFB" w14:textId="77777777" w:rsidTr="00EC1E2B">
        <w:tc>
          <w:tcPr>
            <w:tcW w:w="610" w:type="dxa"/>
          </w:tcPr>
          <w:p w14:paraId="0BB98E0B" w14:textId="31443A8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DC44E8E" w14:textId="573EFC32" w:rsidR="008E082F" w:rsidRPr="00EC1E2B" w:rsidRDefault="001554AC" w:rsidP="00EC1E2B">
            <w:pPr>
              <w:keepNext/>
              <w:keepLines/>
              <w:overflowPunct/>
              <w:autoSpaceDE/>
              <w:autoSpaceDN/>
              <w:spacing w:before="120" w:after="120" w:line="240" w:lineRule="auto"/>
              <w:textAlignment w:val="auto"/>
              <w:rPr>
                <w:rFonts w:eastAsia="STZhongsong" w:cs="Arial"/>
                <w:szCs w:val="22"/>
                <w:lang w:eastAsia="zh-CN"/>
              </w:rPr>
            </w:pPr>
            <w:r w:rsidRPr="001554AC">
              <w:rPr>
                <w:rFonts w:eastAsia="STZhongsong" w:cs="Arial"/>
                <w:b/>
                <w:szCs w:val="22"/>
                <w:lang w:eastAsia="zh-CN"/>
              </w:rPr>
              <w:t>[REDACTED]</w:t>
            </w:r>
          </w:p>
          <w:p w14:paraId="07685785" w14:textId="7BE3E1D1" w:rsidR="00EC1E2B" w:rsidRPr="00EC1E2B" w:rsidRDefault="00EC1E2B" w:rsidP="00EC1E2B">
            <w:pPr>
              <w:keepNext/>
              <w:keepLines/>
              <w:overflowPunct/>
              <w:autoSpaceDE/>
              <w:autoSpaceDN/>
              <w:spacing w:before="120" w:after="120" w:line="240" w:lineRule="auto"/>
              <w:textAlignment w:val="auto"/>
              <w:rPr>
                <w:rFonts w:eastAsia="STZhongsong" w:cs="Arial"/>
                <w:caps/>
                <w:szCs w:val="22"/>
                <w:lang w:eastAsia="zh-CN"/>
              </w:rPr>
            </w:pPr>
            <w:r w:rsidRPr="00EC1E2B">
              <w:rPr>
                <w:rFonts w:eastAsia="STZhongsong" w:cs="Arial"/>
                <w:szCs w:val="22"/>
                <w:lang w:eastAsia="zh-CN"/>
              </w:rPr>
              <w:t xml:space="preserve">Tel: </w:t>
            </w:r>
            <w:r w:rsidR="001554AC" w:rsidRPr="001554AC">
              <w:rPr>
                <w:rFonts w:eastAsia="STZhongsong" w:cs="Arial"/>
                <w:b/>
                <w:szCs w:val="22"/>
                <w:lang w:eastAsia="zh-CN"/>
              </w:rPr>
              <w:t>[REDACTED]</w:t>
            </w:r>
          </w:p>
        </w:tc>
      </w:tr>
      <w:tr w:rsidR="00C3320D" w:rsidRPr="00C3320D" w14:paraId="54B5A07E" w14:textId="77777777" w:rsidTr="00B76E01">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A3F87CF"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roles</w:t>
            </w:r>
          </w:p>
        </w:tc>
        <w:tc>
          <w:tcPr>
            <w:tcW w:w="4164" w:type="dxa"/>
            <w:shd w:val="clear" w:color="auto" w:fill="auto"/>
          </w:tcPr>
          <w:p w14:paraId="78CEF72C" w14:textId="7C94494A" w:rsidR="009452D4" w:rsidRPr="00A512CA" w:rsidRDefault="009452D4" w:rsidP="00D40F55">
            <w:pPr>
              <w:keepNext/>
              <w:keepLines/>
              <w:overflowPunct/>
              <w:autoSpaceDE/>
              <w:autoSpaceDN/>
              <w:spacing w:before="120" w:after="120" w:line="240" w:lineRule="auto"/>
              <w:textAlignment w:val="auto"/>
              <w:rPr>
                <w:rFonts w:eastAsia="STZhongsong" w:cs="Arial"/>
                <w:szCs w:val="22"/>
                <w:lang w:eastAsia="zh-CN"/>
              </w:rPr>
            </w:pPr>
            <w:r w:rsidRPr="00A512CA">
              <w:rPr>
                <w:rFonts w:eastAsia="STZhongsong" w:cs="Arial"/>
                <w:szCs w:val="22"/>
                <w:lang w:eastAsia="zh-CN"/>
              </w:rPr>
              <w:t xml:space="preserve">As set out in the Supplier’s bid. To include </w:t>
            </w:r>
            <w:r w:rsidR="001554AC" w:rsidRPr="001554AC">
              <w:rPr>
                <w:rFonts w:eastAsia="STZhongsong" w:cs="Arial"/>
                <w:b/>
                <w:szCs w:val="22"/>
                <w:lang w:eastAsia="zh-CN"/>
              </w:rPr>
              <w:t>[REDACTED]</w:t>
            </w:r>
            <w:r w:rsidR="001554AC">
              <w:rPr>
                <w:rFonts w:eastAsia="STZhongsong" w:cs="Arial"/>
                <w:b/>
                <w:szCs w:val="22"/>
                <w:lang w:eastAsia="zh-CN"/>
              </w:rPr>
              <w:t xml:space="preserve"> </w:t>
            </w:r>
            <w:r w:rsidRPr="00A512CA">
              <w:rPr>
                <w:rFonts w:eastAsia="STZhongsong" w:cs="Arial"/>
                <w:szCs w:val="22"/>
                <w:lang w:eastAsia="zh-CN"/>
              </w:rPr>
              <w:t>as the key relationship partner.</w:t>
            </w:r>
          </w:p>
          <w:p w14:paraId="2126486F" w14:textId="77777777" w:rsidR="008E082F" w:rsidRPr="00C3320D" w:rsidRDefault="008E082F" w:rsidP="009452D4">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110CF97A" w14:textId="77777777" w:rsidTr="00B76E01">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17CD3EDF" w14:textId="77777777" w:rsidR="009452D4" w:rsidRPr="00CB4899" w:rsidRDefault="009452D4" w:rsidP="009452D4">
            <w:pPr>
              <w:keepNext/>
              <w:keepLines/>
              <w:overflowPunct/>
              <w:autoSpaceDE/>
              <w:autoSpaceDN/>
              <w:spacing w:before="120" w:after="120" w:line="240" w:lineRule="auto"/>
              <w:textAlignment w:val="auto"/>
              <w:rPr>
                <w:rFonts w:eastAsia="STZhongsong" w:cs="Arial"/>
                <w:b/>
                <w:szCs w:val="22"/>
                <w:lang w:eastAsia="zh-CN"/>
              </w:rPr>
            </w:pPr>
            <w:r w:rsidRPr="00CB4899">
              <w:rPr>
                <w:rFonts w:eastAsia="STZhongsong" w:cs="Arial"/>
                <w:b/>
                <w:szCs w:val="22"/>
                <w:lang w:eastAsia="zh-CN"/>
              </w:rPr>
              <w:t>To the Customer:</w:t>
            </w:r>
          </w:p>
          <w:p w14:paraId="37F1A071"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United Kingdom Debt Management Office</w:t>
            </w:r>
          </w:p>
          <w:p w14:paraId="4BA4E811"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Eastcheap Court</w:t>
            </w:r>
          </w:p>
          <w:p w14:paraId="1067A5ED"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11 Philpot Lane</w:t>
            </w:r>
          </w:p>
          <w:p w14:paraId="73552F17"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London EC3M 8UD</w:t>
            </w:r>
          </w:p>
          <w:p w14:paraId="25FC75D3"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Attention: Chief Operating Officer</w:t>
            </w:r>
          </w:p>
          <w:p w14:paraId="511E3F63" w14:textId="58B7F464"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1554AC" w:rsidRPr="001554AC">
              <w:rPr>
                <w:rFonts w:eastAsia="STZhongsong" w:cs="Arial"/>
                <w:b/>
                <w:szCs w:val="22"/>
                <w:lang w:eastAsia="zh-CN"/>
              </w:rPr>
              <w:t>[REDACTED]</w:t>
            </w:r>
          </w:p>
          <w:p w14:paraId="6140EBDA" w14:textId="77777777" w:rsidR="009452D4"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CB4899">
              <w:rPr>
                <w:rFonts w:eastAsia="STZhongsong" w:cs="Arial"/>
                <w:b/>
                <w:szCs w:val="22"/>
                <w:lang w:eastAsia="zh-CN"/>
              </w:rPr>
              <w:t>With a copy to:</w:t>
            </w:r>
            <w:r w:rsidRPr="007D6F2B">
              <w:rPr>
                <w:rFonts w:eastAsia="STZhongsong" w:cs="Arial"/>
                <w:szCs w:val="22"/>
                <w:lang w:eastAsia="zh-CN"/>
              </w:rPr>
              <w:t xml:space="preserve"> </w:t>
            </w:r>
          </w:p>
          <w:p w14:paraId="12A4FFFC"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United Kingdom Debt Management Office</w:t>
            </w:r>
          </w:p>
          <w:p w14:paraId="5EFD2EB4"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Eastcheap Court</w:t>
            </w:r>
          </w:p>
          <w:p w14:paraId="31F58629"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11 Philpot Lane</w:t>
            </w:r>
          </w:p>
          <w:p w14:paraId="33289369"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London EC3M 8UD</w:t>
            </w:r>
          </w:p>
          <w:p w14:paraId="36ABE5AF"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Attention: Legal Team</w:t>
            </w:r>
          </w:p>
          <w:p w14:paraId="25A198C0" w14:textId="1A0DAF38"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1554AC" w:rsidRPr="001554AC">
              <w:rPr>
                <w:rFonts w:eastAsia="STZhongsong" w:cs="Arial"/>
                <w:b/>
                <w:szCs w:val="22"/>
                <w:lang w:eastAsia="zh-CN"/>
              </w:rPr>
              <w:t>[REDACTED]</w:t>
            </w:r>
          </w:p>
          <w:p w14:paraId="436DD245"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p>
          <w:p w14:paraId="672876B5" w14:textId="77777777" w:rsidR="009452D4" w:rsidRPr="00B76E01" w:rsidRDefault="009452D4" w:rsidP="009452D4">
            <w:pPr>
              <w:keepNext/>
              <w:keepLines/>
              <w:overflowPunct/>
              <w:autoSpaceDE/>
              <w:autoSpaceDN/>
              <w:spacing w:before="120" w:after="120" w:line="240" w:lineRule="auto"/>
              <w:textAlignment w:val="auto"/>
              <w:rPr>
                <w:rFonts w:eastAsia="STZhongsong" w:cs="Arial"/>
                <w:b/>
                <w:szCs w:val="22"/>
                <w:lang w:eastAsia="zh-CN"/>
              </w:rPr>
            </w:pPr>
            <w:r w:rsidRPr="00B76E01">
              <w:rPr>
                <w:rFonts w:eastAsia="STZhongsong" w:cs="Arial"/>
                <w:b/>
                <w:szCs w:val="22"/>
                <w:lang w:eastAsia="zh-CN"/>
              </w:rPr>
              <w:t>To the Supplier:</w:t>
            </w:r>
          </w:p>
          <w:p w14:paraId="165EEF33" w14:textId="5DA25AE6" w:rsidR="009452D4" w:rsidRPr="00B76E01" w:rsidRDefault="001554AC" w:rsidP="009452D4">
            <w:pPr>
              <w:keepNext/>
              <w:keepLines/>
              <w:overflowPunct/>
              <w:autoSpaceDE/>
              <w:autoSpaceDN/>
              <w:spacing w:before="120" w:after="120" w:line="240" w:lineRule="auto"/>
              <w:jc w:val="left"/>
              <w:textAlignment w:val="auto"/>
              <w:rPr>
                <w:rFonts w:eastAsia="STZhongsong" w:cs="Arial"/>
                <w:szCs w:val="22"/>
                <w:lang w:eastAsia="zh-CN"/>
              </w:rPr>
            </w:pPr>
            <w:r w:rsidRPr="001554AC">
              <w:rPr>
                <w:rFonts w:eastAsia="STZhongsong" w:cs="Arial"/>
                <w:b/>
                <w:szCs w:val="22"/>
                <w:lang w:eastAsia="zh-CN"/>
              </w:rPr>
              <w:t>[REDACTED]</w:t>
            </w:r>
            <w:r w:rsidR="009452D4" w:rsidRPr="00B76E01">
              <w:rPr>
                <w:rFonts w:eastAsia="STZhongsong" w:cs="Arial"/>
                <w:szCs w:val="22"/>
                <w:lang w:eastAsia="zh-CN"/>
              </w:rPr>
              <w:br/>
              <w:t xml:space="preserve">Partner </w:t>
            </w:r>
            <w:r w:rsidR="009452D4" w:rsidRPr="00B76E01">
              <w:rPr>
                <w:rFonts w:eastAsia="STZhongsong" w:cs="Arial"/>
                <w:szCs w:val="22"/>
                <w:lang w:eastAsia="zh-CN"/>
              </w:rPr>
              <w:br/>
              <w:t xml:space="preserve">Clifford Chance LLP </w:t>
            </w:r>
            <w:r w:rsidR="009452D4" w:rsidRPr="00B76E01">
              <w:rPr>
                <w:rFonts w:eastAsia="STZhongsong" w:cs="Arial"/>
                <w:szCs w:val="22"/>
                <w:lang w:eastAsia="zh-CN"/>
              </w:rPr>
              <w:br/>
            </w:r>
            <w:r w:rsidR="009452D4" w:rsidRPr="00B76E01">
              <w:rPr>
                <w:rFonts w:cs="Arial"/>
                <w:szCs w:val="22"/>
              </w:rPr>
              <w:t>10 Upper Bank Street, London, E14 5JJ</w:t>
            </w:r>
            <w:r>
              <w:rPr>
                <w:rFonts w:eastAsia="STZhongsong" w:cs="Arial"/>
                <w:szCs w:val="22"/>
                <w:lang w:eastAsia="zh-CN"/>
              </w:rPr>
              <w:t xml:space="preserve"> </w:t>
            </w:r>
            <w:r>
              <w:rPr>
                <w:rFonts w:eastAsia="STZhongsong" w:cs="Arial"/>
                <w:szCs w:val="22"/>
                <w:lang w:eastAsia="zh-CN"/>
              </w:rPr>
              <w:br/>
              <w:t xml:space="preserve">Direct Dial:    </w:t>
            </w:r>
            <w:r w:rsidRPr="001554AC">
              <w:rPr>
                <w:rFonts w:eastAsia="STZhongsong" w:cs="Arial"/>
                <w:b/>
                <w:szCs w:val="22"/>
                <w:lang w:eastAsia="zh-CN"/>
              </w:rPr>
              <w:t>[REDACTED]</w:t>
            </w:r>
            <w:r w:rsidR="009452D4" w:rsidRPr="00B76E01">
              <w:rPr>
                <w:rFonts w:eastAsia="STZhongsong" w:cs="Arial"/>
                <w:szCs w:val="22"/>
                <w:lang w:eastAsia="zh-CN"/>
              </w:rPr>
              <w:br/>
              <w:t xml:space="preserve">Mobile:    </w:t>
            </w:r>
            <w:r w:rsidRPr="001554AC">
              <w:rPr>
                <w:rFonts w:eastAsia="STZhongsong" w:cs="Arial"/>
                <w:b/>
                <w:szCs w:val="22"/>
                <w:lang w:eastAsia="zh-CN"/>
              </w:rPr>
              <w:t>[REDACTED]</w:t>
            </w:r>
          </w:p>
          <w:p w14:paraId="6E8356C6" w14:textId="0AC8B02E" w:rsidR="009452D4" w:rsidRPr="00B76E01" w:rsidRDefault="009452D4" w:rsidP="009452D4">
            <w:pPr>
              <w:keepNext/>
              <w:keepLines/>
              <w:overflowPunct/>
              <w:autoSpaceDE/>
              <w:autoSpaceDN/>
              <w:spacing w:before="120" w:after="120" w:line="240" w:lineRule="auto"/>
              <w:jc w:val="left"/>
              <w:textAlignment w:val="auto"/>
              <w:rPr>
                <w:rFonts w:eastAsia="STZhongsong" w:cs="Arial"/>
                <w:szCs w:val="22"/>
                <w:lang w:eastAsia="zh-CN"/>
              </w:rPr>
            </w:pPr>
            <w:r w:rsidRPr="00B76E01">
              <w:rPr>
                <w:rFonts w:eastAsia="STZhongsong" w:cs="Arial"/>
                <w:b/>
                <w:szCs w:val="22"/>
                <w:lang w:eastAsia="zh-CN"/>
              </w:rPr>
              <w:t>Email address:</w:t>
            </w:r>
            <w:r w:rsidRPr="00B76E01">
              <w:rPr>
                <w:rFonts w:eastAsia="STZhongsong" w:cs="Arial"/>
                <w:szCs w:val="22"/>
                <w:lang w:eastAsia="zh-CN"/>
              </w:rPr>
              <w:t xml:space="preserve"> </w:t>
            </w:r>
            <w:r w:rsidR="001554AC" w:rsidRPr="001554AC">
              <w:rPr>
                <w:rFonts w:eastAsia="STZhongsong" w:cs="Arial"/>
                <w:b/>
                <w:szCs w:val="22"/>
                <w:lang w:eastAsia="zh-CN"/>
              </w:rPr>
              <w:t>[REDACTED]</w:t>
            </w:r>
          </w:p>
          <w:p w14:paraId="3FA4E171" w14:textId="77777777" w:rsidR="009452D4" w:rsidRPr="00B76E01" w:rsidRDefault="009452D4" w:rsidP="009452D4">
            <w:pPr>
              <w:keepNext/>
              <w:keepLines/>
              <w:overflowPunct/>
              <w:autoSpaceDE/>
              <w:autoSpaceDN/>
              <w:spacing w:before="120" w:after="120" w:line="240" w:lineRule="auto"/>
              <w:jc w:val="left"/>
              <w:textAlignment w:val="auto"/>
              <w:rPr>
                <w:rFonts w:eastAsia="STZhongsong" w:cs="Arial"/>
                <w:b/>
                <w:szCs w:val="22"/>
                <w:lang w:eastAsia="zh-CN"/>
              </w:rPr>
            </w:pPr>
            <w:r w:rsidRPr="00B76E01">
              <w:rPr>
                <w:rFonts w:eastAsia="STZhongsong" w:cs="Arial"/>
                <w:b/>
                <w:szCs w:val="22"/>
                <w:lang w:eastAsia="zh-CN"/>
              </w:rPr>
              <w:t>with a copy to:</w:t>
            </w:r>
          </w:p>
          <w:p w14:paraId="33697B1A" w14:textId="61526F9D" w:rsidR="009452D4" w:rsidRPr="00B76E01" w:rsidRDefault="001554AC" w:rsidP="009452D4">
            <w:pPr>
              <w:keepNext/>
              <w:keepLines/>
              <w:overflowPunct/>
              <w:autoSpaceDE/>
              <w:autoSpaceDN/>
              <w:spacing w:before="120" w:after="120" w:line="240" w:lineRule="auto"/>
              <w:jc w:val="left"/>
              <w:textAlignment w:val="auto"/>
              <w:rPr>
                <w:rFonts w:eastAsia="STZhongsong" w:cs="Arial"/>
                <w:szCs w:val="22"/>
                <w:lang w:eastAsia="zh-CN"/>
              </w:rPr>
            </w:pPr>
            <w:r w:rsidRPr="001554AC">
              <w:rPr>
                <w:rFonts w:eastAsia="STZhongsong" w:cs="Arial"/>
                <w:b/>
                <w:szCs w:val="22"/>
                <w:lang w:eastAsia="zh-CN"/>
              </w:rPr>
              <w:t>[REDACTED]</w:t>
            </w:r>
          </w:p>
          <w:p w14:paraId="232301E8" w14:textId="0911765D" w:rsidR="008E082F" w:rsidRPr="009452D4" w:rsidRDefault="009452D4" w:rsidP="00A512CA">
            <w:pPr>
              <w:keepNext/>
              <w:keepLines/>
              <w:overflowPunct/>
              <w:autoSpaceDE/>
              <w:autoSpaceDN/>
              <w:spacing w:before="120" w:after="120" w:line="240" w:lineRule="auto"/>
              <w:jc w:val="left"/>
              <w:textAlignment w:val="auto"/>
              <w:rPr>
                <w:rFonts w:eastAsia="STZhongsong" w:cs="Arial"/>
                <w:szCs w:val="22"/>
                <w:lang w:eastAsia="zh-CN"/>
              </w:rPr>
            </w:pPr>
            <w:r w:rsidRPr="00B76E01">
              <w:rPr>
                <w:rFonts w:eastAsia="STZhongsong" w:cs="Arial"/>
                <w:szCs w:val="22"/>
                <w:lang w:eastAsia="zh-CN"/>
              </w:rPr>
              <w:t xml:space="preserve">and </w:t>
            </w:r>
            <w:r w:rsidR="001554AC" w:rsidRPr="001554AC">
              <w:rPr>
                <w:rFonts w:eastAsia="STZhongsong" w:cs="Arial"/>
                <w:b/>
                <w:szCs w:val="22"/>
                <w:lang w:eastAsia="zh-CN"/>
              </w:rPr>
              <w:t>[REDACTED]</w:t>
            </w:r>
          </w:p>
        </w:tc>
      </w:tr>
      <w:tr w:rsidR="00C3320D" w:rsidRPr="00C3320D" w14:paraId="0E8449E4" w14:textId="77777777" w:rsidTr="00B76E01">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44B4829" w14:textId="5F317735"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United Kingdom Debt Management Office</w:t>
            </w:r>
          </w:p>
          <w:p w14:paraId="771C0F34"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Eastcheap Court</w:t>
            </w:r>
          </w:p>
          <w:p w14:paraId="0A803495"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11 Philpot Lane</w:t>
            </w:r>
          </w:p>
          <w:p w14:paraId="736DE0D0"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London EC3M 8UD</w:t>
            </w:r>
          </w:p>
          <w:p w14:paraId="59567D9A"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Attention: Legal Team</w:t>
            </w:r>
          </w:p>
          <w:p w14:paraId="1137D06F" w14:textId="77777777" w:rsidR="009452D4" w:rsidRPr="007D6F2B"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7D6F2B">
              <w:rPr>
                <w:rFonts w:eastAsia="STZhongsong" w:cs="Arial"/>
                <w:szCs w:val="22"/>
                <w:lang w:eastAsia="zh-CN"/>
              </w:rPr>
              <w:t>Email address:</w:t>
            </w:r>
          </w:p>
          <w:p w14:paraId="759C76BE" w14:textId="74651D89" w:rsidR="008E082F" w:rsidRPr="00C3320D" w:rsidRDefault="001554AC" w:rsidP="009452D4">
            <w:pPr>
              <w:keepNext/>
              <w:keepLines/>
              <w:overflowPunct/>
              <w:autoSpaceDE/>
              <w:autoSpaceDN/>
              <w:spacing w:before="120" w:after="120" w:line="240" w:lineRule="auto"/>
              <w:textAlignment w:val="auto"/>
              <w:rPr>
                <w:rFonts w:eastAsia="STZhongsong" w:cs="Arial"/>
                <w:b/>
                <w:caps/>
                <w:szCs w:val="22"/>
                <w:lang w:eastAsia="zh-CN"/>
              </w:rPr>
            </w:pPr>
            <w:r w:rsidRPr="001554AC">
              <w:rPr>
                <w:rFonts w:eastAsia="STZhongsong" w:cs="Arial"/>
                <w:b/>
                <w:szCs w:val="22"/>
                <w:lang w:eastAsia="zh-CN"/>
              </w:rPr>
              <w:t>[REDACTED]</w:t>
            </w:r>
          </w:p>
        </w:tc>
      </w:tr>
      <w:tr w:rsidR="00C3320D" w:rsidRPr="00EC1E2B" w14:paraId="30E47F98" w14:textId="77777777" w:rsidTr="00EC1E2B">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4AFB95F0" w14:textId="77777777" w:rsidR="009452D4" w:rsidRPr="009B09A8"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9B09A8">
              <w:rPr>
                <w:rFonts w:eastAsia="STZhongsong" w:cs="Arial"/>
                <w:szCs w:val="22"/>
                <w:lang w:eastAsia="zh-CN"/>
              </w:rPr>
              <w:t>HSBC Bank Plc, 60 Queen Victoria Street, London EC4N 4TR</w:t>
            </w:r>
          </w:p>
          <w:p w14:paraId="30B3E78A" w14:textId="2F049C71" w:rsidR="009452D4" w:rsidRPr="009B09A8" w:rsidRDefault="009452D4" w:rsidP="009452D4">
            <w:pPr>
              <w:keepNext/>
              <w:keepLines/>
              <w:overflowPunct/>
              <w:autoSpaceDE/>
              <w:autoSpaceDN/>
              <w:spacing w:before="120" w:after="120" w:line="240" w:lineRule="auto"/>
              <w:textAlignment w:val="auto"/>
              <w:rPr>
                <w:rFonts w:eastAsia="STZhongsong" w:cs="Arial"/>
                <w:szCs w:val="22"/>
                <w:lang w:eastAsia="zh-CN"/>
              </w:rPr>
            </w:pPr>
            <w:r w:rsidRPr="009B09A8">
              <w:rPr>
                <w:rFonts w:eastAsia="STZhongsong" w:cs="Arial"/>
                <w:szCs w:val="22"/>
                <w:lang w:eastAsia="zh-CN"/>
              </w:rPr>
              <w:t>Clifford Chance LLP Bill Receipts GB</w:t>
            </w:r>
            <w:r w:rsidR="001554AC">
              <w:rPr>
                <w:rFonts w:eastAsia="STZhongsong" w:cs="Arial"/>
                <w:szCs w:val="22"/>
                <w:lang w:eastAsia="zh-CN"/>
              </w:rPr>
              <w:t xml:space="preserve">P Account - Account no: </w:t>
            </w:r>
            <w:r w:rsidR="001554AC" w:rsidRPr="001554AC">
              <w:rPr>
                <w:rFonts w:eastAsia="STZhongsong" w:cs="Arial"/>
                <w:b/>
                <w:szCs w:val="22"/>
                <w:lang w:eastAsia="zh-CN"/>
              </w:rPr>
              <w:t>[REDACTED]</w:t>
            </w:r>
            <w:r w:rsidR="001554AC">
              <w:rPr>
                <w:rFonts w:eastAsia="STZhongsong" w:cs="Arial"/>
                <w:szCs w:val="22"/>
                <w:lang w:eastAsia="zh-CN"/>
              </w:rPr>
              <w:t xml:space="preserve"> - Sort Code: </w:t>
            </w:r>
            <w:r w:rsidR="001554AC" w:rsidRPr="001554AC">
              <w:rPr>
                <w:rFonts w:eastAsia="STZhongsong" w:cs="Arial"/>
                <w:b/>
                <w:szCs w:val="22"/>
                <w:lang w:eastAsia="zh-CN"/>
              </w:rPr>
              <w:t>[REDACTED]</w:t>
            </w:r>
            <w:r w:rsidR="00FC7F80">
              <w:rPr>
                <w:rFonts w:eastAsia="STZhongsong" w:cs="Arial"/>
                <w:szCs w:val="22"/>
                <w:lang w:eastAsia="zh-CN"/>
              </w:rPr>
              <w:t xml:space="preserve"> - IBAN:</w:t>
            </w:r>
            <w:r w:rsidR="00FC7F80" w:rsidRPr="001554AC">
              <w:rPr>
                <w:rFonts w:eastAsia="STZhongsong" w:cs="Arial"/>
                <w:b/>
                <w:szCs w:val="22"/>
                <w:lang w:eastAsia="zh-CN"/>
              </w:rPr>
              <w:t xml:space="preserve"> [REDACTED]</w:t>
            </w:r>
            <w:r w:rsidR="00FC7F80">
              <w:rPr>
                <w:rFonts w:eastAsia="STZhongsong" w:cs="Arial"/>
                <w:szCs w:val="22"/>
                <w:lang w:eastAsia="zh-CN"/>
              </w:rPr>
              <w:t xml:space="preserve"> </w:t>
            </w:r>
            <w:r w:rsidRPr="009B09A8">
              <w:rPr>
                <w:rFonts w:eastAsia="STZhongsong" w:cs="Arial"/>
                <w:szCs w:val="22"/>
                <w:lang w:eastAsia="zh-CN"/>
              </w:rPr>
              <w:t xml:space="preserve"> - BIC</w:t>
            </w:r>
            <w:r w:rsidR="00FC7F80">
              <w:rPr>
                <w:rFonts w:eastAsia="STZhongsong" w:cs="Arial"/>
                <w:szCs w:val="22"/>
                <w:lang w:eastAsia="zh-CN"/>
              </w:rPr>
              <w:t xml:space="preserve">: </w:t>
            </w:r>
            <w:r w:rsidR="00FC7F80" w:rsidRPr="001554AC">
              <w:rPr>
                <w:rFonts w:eastAsia="STZhongsong" w:cs="Arial"/>
                <w:b/>
                <w:szCs w:val="22"/>
                <w:lang w:eastAsia="zh-CN"/>
              </w:rPr>
              <w:t>[REDACTED]</w:t>
            </w:r>
          </w:p>
          <w:p w14:paraId="152E6BA6" w14:textId="4E812646" w:rsidR="008E082F" w:rsidRPr="00EC1E2B" w:rsidRDefault="009452D4" w:rsidP="009452D4">
            <w:pPr>
              <w:keepNext/>
              <w:keepLines/>
              <w:overflowPunct/>
              <w:autoSpaceDE/>
              <w:autoSpaceDN/>
              <w:spacing w:before="120" w:after="120" w:line="240" w:lineRule="auto"/>
              <w:textAlignment w:val="auto"/>
              <w:rPr>
                <w:rFonts w:eastAsia="STZhongsong" w:cs="Arial"/>
                <w:b/>
                <w:caps/>
                <w:szCs w:val="22"/>
                <w:lang w:eastAsia="zh-CN"/>
              </w:rPr>
            </w:pPr>
            <w:r w:rsidRPr="009B09A8">
              <w:rPr>
                <w:rFonts w:eastAsia="STZhongsong" w:cs="Arial"/>
                <w:szCs w:val="22"/>
                <w:lang w:eastAsia="zh-CN"/>
              </w:rPr>
              <w:t>Pleas</w:t>
            </w:r>
            <w:r w:rsidR="00FC7F80">
              <w:rPr>
                <w:rFonts w:eastAsia="STZhongsong" w:cs="Arial"/>
                <w:szCs w:val="22"/>
                <w:lang w:eastAsia="zh-CN"/>
              </w:rPr>
              <w:t xml:space="preserve">e quote reference: </w:t>
            </w:r>
            <w:r w:rsidR="00FC7F80" w:rsidRPr="001554AC">
              <w:rPr>
                <w:rFonts w:eastAsia="STZhongsong" w:cs="Arial"/>
                <w:b/>
                <w:szCs w:val="22"/>
                <w:lang w:eastAsia="zh-CN"/>
              </w:rPr>
              <w:t>[REDACTED]</w:t>
            </w:r>
            <w:r>
              <w:rPr>
                <w:rFonts w:eastAsia="STZhongsong" w:cs="Arial"/>
                <w:szCs w:val="22"/>
                <w:lang w:eastAsia="zh-CN"/>
              </w:rPr>
              <w:t xml:space="preserve"> (reference may be updated in due course)</w:t>
            </w:r>
          </w:p>
        </w:tc>
      </w:tr>
      <w:tr w:rsidR="00C3320D" w:rsidRPr="00EC1E2B" w14:paraId="5F745813" w14:textId="77777777" w:rsidTr="00EC1E2B">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24EBBB7" w:rsidR="008E082F" w:rsidRPr="00EC1E2B" w:rsidRDefault="00EC1E2B" w:rsidP="00D40F55">
            <w:pPr>
              <w:keepNext/>
              <w:keepLines/>
              <w:overflowPunct/>
              <w:autoSpaceDE/>
              <w:autoSpaceDN/>
              <w:spacing w:before="120" w:after="120" w:line="240" w:lineRule="auto"/>
              <w:textAlignment w:val="auto"/>
              <w:rPr>
                <w:rFonts w:eastAsia="STZhongsong" w:cs="Arial"/>
                <w:szCs w:val="22"/>
                <w:lang w:eastAsia="zh-CN"/>
              </w:rPr>
            </w:pPr>
            <w:r w:rsidRPr="00EC1E2B">
              <w:rPr>
                <w:rFonts w:eastAsia="STZhongsong" w:cs="Arial"/>
                <w:szCs w:val="22"/>
                <w:lang w:eastAsia="zh-CN"/>
              </w:rPr>
              <w:t>Purchase orders are to be raised during the life of the Contract.</w:t>
            </w:r>
          </w:p>
        </w:tc>
      </w:tr>
      <w:tr w:rsidR="00C3320D" w:rsidRPr="00C3320D" w14:paraId="5ABDD40A" w14:textId="77777777" w:rsidTr="00EC1E2B">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5C350CAE" w:rsidR="008E082F" w:rsidRPr="00EC1E2B" w:rsidRDefault="00EC1E2B"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sub-contractors have been identified for the purposes of this Contract.</w:t>
            </w:r>
          </w:p>
        </w:tc>
      </w:tr>
      <w:tr w:rsidR="00C3320D" w:rsidRPr="00C3320D" w14:paraId="22C9699F" w14:textId="77777777" w:rsidTr="00B76E01">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1D530689" w:rsidR="008E082F" w:rsidRPr="00C3320D" w:rsidRDefault="00F9513C"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All work should be completed in a timely manner with suitable contingency measures in place to cover staff sickness, holiday or business interruption.</w:t>
            </w:r>
          </w:p>
        </w:tc>
      </w:tr>
      <w:tr w:rsidR="00C3320D" w:rsidRPr="00C3320D" w14:paraId="31DD9B40" w14:textId="77777777" w:rsidTr="00B76E01">
        <w:tc>
          <w:tcPr>
            <w:tcW w:w="610" w:type="dxa"/>
          </w:tcPr>
          <w:p w14:paraId="23E5B36F" w14:textId="4D536EA2"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28D44968" w:rsidR="00021D24" w:rsidRPr="00C3320D" w:rsidRDefault="00021D24" w:rsidP="00B76E01">
            <w:pPr>
              <w:numPr>
                <w:ilvl w:val="1"/>
                <w:numId w:val="0"/>
              </w:numPr>
              <w:spacing w:before="120" w:after="120" w:line="240" w:lineRule="auto"/>
              <w:rPr>
                <w:rFonts w:eastAsia="STZhongsong" w:cs="Arial"/>
                <w:b/>
                <w:caps/>
                <w:szCs w:val="22"/>
                <w:lang w:eastAsia="zh-CN"/>
              </w:rPr>
            </w:pPr>
          </w:p>
        </w:tc>
        <w:tc>
          <w:tcPr>
            <w:tcW w:w="4164" w:type="dxa"/>
            <w:shd w:val="clear" w:color="auto" w:fill="auto"/>
          </w:tcPr>
          <w:p w14:paraId="714A3701" w14:textId="77777777" w:rsidR="00B76E01" w:rsidRPr="00C3320D" w:rsidRDefault="00B76E01" w:rsidP="00B76E01">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Pr="00C3320D">
              <w:rPr>
                <w:rFonts w:eastAsia="STZhongsong" w:cs="Arial"/>
                <w:b/>
                <w:szCs w:val="22"/>
                <w:lang w:eastAsia="zh-CN"/>
              </w:rPr>
              <w:t xml:space="preserve"> </w:t>
            </w:r>
          </w:p>
          <w:p w14:paraId="354EFA1B" w14:textId="42F1B223" w:rsidR="00021D24" w:rsidRPr="00C3320D" w:rsidRDefault="00021D24" w:rsidP="00D40F55">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23EBD425" w14:textId="77777777" w:rsidTr="00F9513C">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4AD2C4FE" w14:textId="1554AD63" w:rsidR="00482950" w:rsidRPr="00F9513C"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00F9513C">
              <w:rPr>
                <w:rFonts w:eastAsia="STZhongsong" w:cs="Arial"/>
                <w:b/>
                <w:szCs w:val="22"/>
                <w:lang w:eastAsia="zh-CN"/>
              </w:rPr>
              <w:t>eports</w:t>
            </w:r>
          </w:p>
        </w:tc>
        <w:tc>
          <w:tcPr>
            <w:tcW w:w="4164" w:type="dxa"/>
            <w:shd w:val="clear" w:color="auto" w:fill="auto"/>
          </w:tcPr>
          <w:p w14:paraId="12DC2E60" w14:textId="343AF7DB" w:rsidR="005B6A9E" w:rsidRPr="00C3320D" w:rsidRDefault="00F9513C"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F9513C">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396B8383" w:rsidR="00144AFA" w:rsidRPr="00F9513C" w:rsidRDefault="00144AFA" w:rsidP="00F9513C">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F9513C">
              <w:rPr>
                <w:rFonts w:cs="Arial"/>
                <w:b/>
                <w:szCs w:val="22"/>
              </w:rPr>
              <w:t>):</w:t>
            </w:r>
          </w:p>
        </w:tc>
        <w:tc>
          <w:tcPr>
            <w:tcW w:w="4164" w:type="dxa"/>
            <w:shd w:val="clear" w:color="auto" w:fill="auto"/>
          </w:tcPr>
          <w:p w14:paraId="27132D1A" w14:textId="6EADE2CB" w:rsidR="00144AFA" w:rsidRPr="00F9513C" w:rsidRDefault="00F9513C" w:rsidP="00D40F55">
            <w:pPr>
              <w:keepNext/>
              <w:keepLines/>
              <w:overflowPunct/>
              <w:autoSpaceDE/>
              <w:autoSpaceDN/>
              <w:spacing w:before="120" w:after="120" w:line="240" w:lineRule="auto"/>
              <w:textAlignment w:val="auto"/>
              <w:rPr>
                <w:rFonts w:eastAsia="STZhongsong" w:cs="Arial"/>
                <w:szCs w:val="22"/>
                <w:lang w:eastAsia="zh-CN"/>
              </w:rPr>
            </w:pPr>
            <w:r w:rsidRPr="00F9513C">
              <w:rPr>
                <w:rFonts w:cs="Arial"/>
                <w:szCs w:val="22"/>
              </w:rPr>
              <w:t>There has been no call-off guarantee for the call-off element of this requirement.</w:t>
            </w:r>
          </w:p>
        </w:tc>
      </w:tr>
    </w:tbl>
    <w:p w14:paraId="4E8607F4" w14:textId="3EA73E40" w:rsidR="008E082F" w:rsidRPr="00C3320D" w:rsidRDefault="00DB297D" w:rsidP="00A512CA">
      <w:pPr>
        <w:spacing w:before="120" w:after="120" w:line="240" w:lineRule="auto"/>
        <w:rPr>
          <w:rFonts w:cs="Arial"/>
        </w:rPr>
      </w:pPr>
      <w:r>
        <w:rPr>
          <w:rFonts w:cs="Arial"/>
          <w:i/>
          <w:szCs w:val="22"/>
        </w:rPr>
        <w:br/>
      </w:r>
      <w:r>
        <w:rPr>
          <w:rFonts w:cs="Arial"/>
          <w:i/>
          <w:szCs w:val="22"/>
        </w:rPr>
        <w:br/>
      </w:r>
      <w:r>
        <w:rPr>
          <w:rFonts w:cs="Arial"/>
          <w:i/>
          <w:szCs w:val="22"/>
        </w:rPr>
        <w:br/>
      </w:r>
      <w:r w:rsidR="009D6A90">
        <w:rPr>
          <w:rFonts w:cs="Arial"/>
        </w:rPr>
        <w:t>VARIATIONS TO THE T</w:t>
      </w:r>
      <w:r w:rsidR="008E082F" w:rsidRPr="00C3320D">
        <w:rPr>
          <w:rFonts w:cs="Arial"/>
        </w:rPr>
        <w: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241"/>
      </w:tblGrid>
      <w:tr w:rsidR="00C3320D" w:rsidRPr="00C3320D" w14:paraId="20964881" w14:textId="77777777" w:rsidTr="001A0F4C">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241" w:type="dxa"/>
            <w:shd w:val="clear" w:color="auto" w:fill="auto"/>
          </w:tcPr>
          <w:p w14:paraId="338F6EB1" w14:textId="75FC90DE" w:rsidR="008E082F" w:rsidRPr="00F9513C" w:rsidRDefault="00F9513C" w:rsidP="00F9513C">
            <w:pPr>
              <w:keepNext/>
              <w:keepLines/>
              <w:overflowPunct/>
              <w:autoSpaceDE/>
              <w:autoSpaceDN/>
              <w:spacing w:before="120" w:after="120" w:line="240" w:lineRule="auto"/>
              <w:jc w:val="left"/>
              <w:textAlignment w:val="auto"/>
              <w:rPr>
                <w:rFonts w:eastAsia="STZhongsong" w:cs="Arial"/>
                <w:b/>
                <w:caps/>
                <w:szCs w:val="22"/>
                <w:lang w:eastAsia="zh-CN"/>
              </w:rPr>
            </w:pPr>
            <w:r>
              <w:rPr>
                <w:rFonts w:cs="Arial"/>
                <w:szCs w:val="22"/>
              </w:rPr>
              <w:t>The liability for this contract is uncapped.</w:t>
            </w:r>
          </w:p>
        </w:tc>
      </w:tr>
      <w:tr w:rsidR="00C3320D" w:rsidRPr="00C3320D" w14:paraId="37E00115" w14:textId="77777777" w:rsidTr="001A0F4C">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241" w:type="dxa"/>
            <w:shd w:val="clear" w:color="auto" w:fill="auto"/>
          </w:tcPr>
          <w:p w14:paraId="43D40566" w14:textId="1938B76F" w:rsidR="008E082F" w:rsidRPr="00F9513C" w:rsidRDefault="00F9513C" w:rsidP="00D40F55">
            <w:pPr>
              <w:keepNext/>
              <w:keepLines/>
              <w:overflowPunct/>
              <w:autoSpaceDE/>
              <w:autoSpaceDN/>
              <w:spacing w:before="120" w:after="120" w:line="240" w:lineRule="auto"/>
              <w:textAlignment w:val="auto"/>
              <w:rPr>
                <w:rFonts w:cs="Arial"/>
                <w:szCs w:val="22"/>
              </w:rPr>
            </w:pPr>
            <w:r>
              <w:rPr>
                <w:rFonts w:cs="Arial"/>
                <w:szCs w:val="22"/>
              </w:rPr>
              <w:t>Immediately report to the Customer’s representative any matters which involve or could potentially involve an actual or perceived Conflict of Interest and/or breach of Clause 9.2 (Confidentiality).</w:t>
            </w:r>
          </w:p>
        </w:tc>
      </w:tr>
      <w:tr w:rsidR="00C3320D" w:rsidRPr="00C3320D" w14:paraId="3FC0EB8B" w14:textId="77777777" w:rsidTr="00B76E0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241" w:type="dxa"/>
            <w:shd w:val="clear" w:color="auto" w:fill="auto"/>
          </w:tcPr>
          <w:p w14:paraId="4EFFA099" w14:textId="16B84AA7" w:rsidR="008E082F" w:rsidRPr="00C3320D" w:rsidRDefault="001A0F4C" w:rsidP="001A0F4C">
            <w:pPr>
              <w:keepNext/>
              <w:keepLines/>
              <w:overflowPunct/>
              <w:autoSpaceDE/>
              <w:autoSpaceDN/>
              <w:spacing w:before="120" w:after="120" w:line="240" w:lineRule="auto"/>
              <w:textAlignment w:val="auto"/>
              <w:rPr>
                <w:rFonts w:eastAsia="STZhongsong" w:cs="Arial"/>
                <w:b/>
                <w:caps/>
                <w:szCs w:val="22"/>
                <w:lang w:eastAsia="zh-CN"/>
              </w:rPr>
            </w:pPr>
            <w:r w:rsidRPr="001A0F4C">
              <w:rPr>
                <w:rFonts w:cs="Arial"/>
                <w:szCs w:val="22"/>
              </w:rPr>
              <w:t>N/A</w:t>
            </w:r>
          </w:p>
        </w:tc>
      </w:tr>
      <w:tr w:rsidR="00C3320D" w:rsidRPr="00C3320D" w14:paraId="5E42AA5C" w14:textId="77777777" w:rsidTr="001A0F4C">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241" w:type="dxa"/>
            <w:shd w:val="clear" w:color="auto" w:fill="auto"/>
          </w:tcPr>
          <w:p w14:paraId="5245E3D8" w14:textId="5A2519CD" w:rsidR="008E082F" w:rsidRPr="00E20296" w:rsidRDefault="00E20296" w:rsidP="00E20296">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8 (Intellectual Property Rights).</w:t>
            </w:r>
          </w:p>
        </w:tc>
      </w:tr>
      <w:tr w:rsidR="001A0F4C" w:rsidRPr="00C3320D" w14:paraId="65500EB8" w14:textId="77777777" w:rsidTr="001A0F4C">
        <w:trPr>
          <w:trHeight w:val="2468"/>
        </w:trPr>
        <w:tc>
          <w:tcPr>
            <w:tcW w:w="564" w:type="dxa"/>
          </w:tcPr>
          <w:p w14:paraId="34EEF85E" w14:textId="407A4DC1" w:rsidR="001A0F4C" w:rsidRPr="00C3320D" w:rsidRDefault="001A0F4C"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lastRenderedPageBreak/>
              <w:t>4.6</w:t>
            </w:r>
          </w:p>
        </w:tc>
        <w:tc>
          <w:tcPr>
            <w:tcW w:w="8508" w:type="dxa"/>
            <w:gridSpan w:val="2"/>
            <w:shd w:val="clear" w:color="auto" w:fill="auto"/>
          </w:tcPr>
          <w:p w14:paraId="3FC932D8" w14:textId="77777777" w:rsidR="001A0F4C" w:rsidRDefault="001A0F4C" w:rsidP="00BD18CB">
            <w:pPr>
              <w:numPr>
                <w:ilvl w:val="1"/>
                <w:numId w:val="0"/>
              </w:numPr>
              <w:overflowPunct/>
              <w:autoSpaceDE/>
              <w:autoSpaceDN/>
              <w:spacing w:before="120" w:after="120" w:line="240" w:lineRule="auto"/>
              <w:textAlignment w:val="auto"/>
              <w:rPr>
                <w:rFonts w:eastAsia="STZhongsong" w:cs="Arial"/>
                <w:b/>
                <w:szCs w:val="22"/>
                <w:lang w:eastAsia="zh-CN"/>
              </w:rPr>
            </w:pPr>
            <w:r w:rsidRPr="000B6363">
              <w:rPr>
                <w:rFonts w:eastAsia="STZhongsong" w:cs="Arial"/>
                <w:b/>
                <w:szCs w:val="22"/>
                <w:lang w:eastAsia="zh-CN"/>
              </w:rPr>
              <w:t>Data protection</w:t>
            </w:r>
          </w:p>
          <w:p w14:paraId="50927A01" w14:textId="0112372F" w:rsidR="009013A6" w:rsidRDefault="009013A6" w:rsidP="00A512CA">
            <w:pPr>
              <w:keepNext/>
              <w:keepLines/>
              <w:tabs>
                <w:tab w:val="left" w:pos="8789"/>
              </w:tabs>
              <w:overflowPunct/>
              <w:autoSpaceDE/>
              <w:autoSpaceDN/>
              <w:spacing w:before="120" w:after="120" w:line="240" w:lineRule="auto"/>
              <w:ind w:right="571"/>
              <w:textAlignment w:val="auto"/>
              <w:rPr>
                <w:rFonts w:eastAsia="STZhongsong" w:cs="Arial"/>
                <w:szCs w:val="22"/>
                <w:lang w:eastAsia="zh-CN"/>
              </w:rPr>
            </w:pPr>
            <w:r>
              <w:rPr>
                <w:rFonts w:cs="Arial"/>
                <w:szCs w:val="22"/>
              </w:rPr>
              <w:t xml:space="preserve">The parties acknowledge that </w:t>
            </w:r>
            <w:r w:rsidRPr="000B6363">
              <w:rPr>
                <w:rFonts w:cs="Arial"/>
                <w:szCs w:val="22"/>
              </w:rPr>
              <w:t>Clause 9 does not reflect the I</w:t>
            </w:r>
            <w:r>
              <w:rPr>
                <w:rFonts w:cs="Arial"/>
                <w:szCs w:val="22"/>
              </w:rPr>
              <w:t xml:space="preserve">nformation </w:t>
            </w:r>
            <w:r w:rsidRPr="000B6363">
              <w:rPr>
                <w:rFonts w:cs="Arial"/>
                <w:szCs w:val="22"/>
              </w:rPr>
              <w:t>C</w:t>
            </w:r>
            <w:r>
              <w:rPr>
                <w:rFonts w:cs="Arial"/>
                <w:szCs w:val="22"/>
              </w:rPr>
              <w:t xml:space="preserve">ommissioner’s </w:t>
            </w:r>
            <w:r w:rsidRPr="000B6363">
              <w:rPr>
                <w:rFonts w:cs="Arial"/>
                <w:szCs w:val="22"/>
              </w:rPr>
              <w:t>O</w:t>
            </w:r>
            <w:r>
              <w:rPr>
                <w:rFonts w:cs="Arial"/>
                <w:szCs w:val="22"/>
              </w:rPr>
              <w:t>ffice</w:t>
            </w:r>
            <w:r w:rsidRPr="000B6363">
              <w:rPr>
                <w:rFonts w:cs="Arial"/>
                <w:szCs w:val="22"/>
              </w:rPr>
              <w:t>'s position as regards legal services (which is that law firms are data controllers rather than data processors</w:t>
            </w:r>
            <w:r>
              <w:rPr>
                <w:rFonts w:cs="Arial"/>
                <w:szCs w:val="22"/>
              </w:rPr>
              <w:t>)</w:t>
            </w:r>
            <w:r w:rsidRPr="000B6363">
              <w:rPr>
                <w:rFonts w:cs="Arial"/>
                <w:szCs w:val="22"/>
              </w:rPr>
              <w:t xml:space="preserve">, and </w:t>
            </w:r>
            <w:r>
              <w:rPr>
                <w:rFonts w:cs="Arial"/>
                <w:szCs w:val="22"/>
              </w:rPr>
              <w:t>it is expected that Crown Commercial Service will in due course update the terms of Clause 9 in the standard contract under the Panel Agreement</w:t>
            </w:r>
            <w:r w:rsidRPr="000B6363">
              <w:rPr>
                <w:rFonts w:cs="Arial"/>
                <w:szCs w:val="22"/>
              </w:rPr>
              <w:t xml:space="preserve">. </w:t>
            </w:r>
            <w:r>
              <w:rPr>
                <w:rFonts w:cs="Arial"/>
                <w:szCs w:val="22"/>
              </w:rPr>
              <w:t>The Supplier</w:t>
            </w:r>
            <w:r w:rsidRPr="000B6363">
              <w:rPr>
                <w:rFonts w:cs="Arial"/>
                <w:szCs w:val="22"/>
              </w:rPr>
              <w:t xml:space="preserve"> will undertake this role on the basis that </w:t>
            </w:r>
            <w:r>
              <w:rPr>
                <w:rFonts w:cs="Arial"/>
                <w:szCs w:val="22"/>
              </w:rPr>
              <w:t>the Supplier is also a</w:t>
            </w:r>
            <w:r w:rsidRPr="000B6363">
              <w:rPr>
                <w:rFonts w:cs="Arial"/>
                <w:szCs w:val="22"/>
              </w:rPr>
              <w:t xml:space="preserve"> Controller, and in full compliance with GDPR.</w:t>
            </w:r>
          </w:p>
        </w:tc>
      </w:tr>
    </w:tbl>
    <w:p w14:paraId="780EA800" w14:textId="4C5CA9FB" w:rsidR="001A0F4C" w:rsidRDefault="001A0F4C"/>
    <w:p w14:paraId="2FBF71EE" w14:textId="77777777" w:rsidR="00F9513C" w:rsidRDefault="00F9513C" w:rsidP="00D40F55">
      <w:pPr>
        <w:spacing w:before="120" w:after="120" w:line="240" w:lineRule="auto"/>
        <w:rPr>
          <w:rFonts w:cs="Arial"/>
          <w:szCs w:val="22"/>
        </w:rPr>
      </w:pPr>
    </w:p>
    <w:p w14:paraId="3C954122" w14:textId="77777777" w:rsidR="00A512CA" w:rsidRDefault="00A512CA">
      <w:pPr>
        <w:overflowPunct/>
        <w:autoSpaceDE/>
        <w:autoSpaceDN/>
        <w:adjustRightInd/>
        <w:spacing w:after="0" w:line="240" w:lineRule="auto"/>
        <w:jc w:val="left"/>
        <w:textAlignment w:val="auto"/>
        <w:rPr>
          <w:rFonts w:eastAsia="Calibri" w:cs="Arial"/>
          <w:b/>
          <w:szCs w:val="22"/>
        </w:rPr>
      </w:pPr>
      <w:r>
        <w:rPr>
          <w:rFonts w:eastAsia="Calibri" w:cs="Arial"/>
          <w:b/>
          <w:szCs w:val="22"/>
        </w:rPr>
        <w:br w:type="page"/>
      </w:r>
    </w:p>
    <w:p w14:paraId="0CBD1834" w14:textId="49F44F5B" w:rsidR="00E20296" w:rsidRPr="00E20296" w:rsidRDefault="008E082F" w:rsidP="00E20296">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lastRenderedPageBreak/>
        <w:t>SECTION C</w:t>
      </w:r>
    </w:p>
    <w:p w14:paraId="5CA84620" w14:textId="025B8A71" w:rsidR="00E20296" w:rsidRDefault="00E20296" w:rsidP="00E20296">
      <w:pPr>
        <w:pStyle w:val="MarginText"/>
        <w:spacing w:before="120" w:after="120"/>
        <w:rPr>
          <w:rFonts w:cs="Arial"/>
          <w:b/>
          <w:szCs w:val="22"/>
        </w:rPr>
      </w:pPr>
      <w:r>
        <w:rPr>
          <w:rFonts w:cs="Arial"/>
          <w:b/>
          <w:szCs w:val="22"/>
        </w:rPr>
        <w:t xml:space="preserve">                                            Statement of Requirements</w:t>
      </w:r>
    </w:p>
    <w:p w14:paraId="44D98A29" w14:textId="77777777" w:rsidR="00E20296" w:rsidRPr="00CE295C" w:rsidRDefault="00E20296" w:rsidP="00015443">
      <w:pPr>
        <w:pStyle w:val="Heading1"/>
        <w:keepNext/>
        <w:numPr>
          <w:ilvl w:val="0"/>
          <w:numId w:val="42"/>
        </w:numPr>
        <w:spacing w:before="240" w:after="120"/>
        <w:rPr>
          <w:szCs w:val="22"/>
        </w:rPr>
      </w:pPr>
      <w:bookmarkStart w:id="2" w:name="_Toc368573027"/>
      <w:bookmarkStart w:id="3" w:name="_Toc506986439"/>
      <w:bookmarkStart w:id="4" w:name="_Toc520455186"/>
      <w:bookmarkStart w:id="5" w:name="_Toc528926388"/>
      <w:r w:rsidRPr="00642801">
        <w:t>PURPOSE</w:t>
      </w:r>
      <w:bookmarkEnd w:id="2"/>
      <w:bookmarkEnd w:id="3"/>
      <w:bookmarkEnd w:id="4"/>
      <w:bookmarkEnd w:id="5"/>
    </w:p>
    <w:p w14:paraId="6896212E" w14:textId="77777777" w:rsidR="00E20296" w:rsidRPr="00926C5A" w:rsidRDefault="00E20296" w:rsidP="00015443">
      <w:pPr>
        <w:pStyle w:val="Heading2"/>
        <w:numPr>
          <w:ilvl w:val="1"/>
          <w:numId w:val="42"/>
        </w:numPr>
        <w:rPr>
          <w:szCs w:val="22"/>
        </w:rPr>
      </w:pPr>
      <w:bookmarkStart w:id="6" w:name="_Toc296415791"/>
      <w:r w:rsidRPr="00BB4D87">
        <w:rPr>
          <w:szCs w:val="22"/>
        </w:rPr>
        <w:t xml:space="preserve">The </w:t>
      </w:r>
      <w:r>
        <w:rPr>
          <w:szCs w:val="22"/>
        </w:rPr>
        <w:t>Lords Commissioners of Her Majesty’s Treasury acting through the United Kingdom Debt Management Office (an Executive Agency of HM Treasury)</w:t>
      </w:r>
      <w:r w:rsidRPr="00BB4D87">
        <w:rPr>
          <w:szCs w:val="22"/>
        </w:rPr>
        <w:t xml:space="preserve"> </w:t>
      </w:r>
      <w:r>
        <w:rPr>
          <w:szCs w:val="22"/>
        </w:rPr>
        <w:t>(hereafter referred to as the “</w:t>
      </w:r>
      <w:r w:rsidRPr="006C3FE3">
        <w:rPr>
          <w:b/>
          <w:szCs w:val="22"/>
        </w:rPr>
        <w:t>Authority</w:t>
      </w:r>
      <w:r>
        <w:rPr>
          <w:szCs w:val="22"/>
        </w:rPr>
        <w:t xml:space="preserve">”) </w:t>
      </w:r>
      <w:r w:rsidRPr="00BB4D87">
        <w:rPr>
          <w:szCs w:val="22"/>
        </w:rPr>
        <w:t>operates principally in the London wholesale markets for UK Gilts and Treasury bills and in the London money markets;</w:t>
      </w:r>
      <w:r>
        <w:rPr>
          <w:szCs w:val="22"/>
        </w:rPr>
        <w:t xml:space="preserve"> for more details on the Authority’s activities please refer to section 2 below. T</w:t>
      </w:r>
      <w:r w:rsidRPr="00BB4D87">
        <w:rPr>
          <w:szCs w:val="22"/>
        </w:rPr>
        <w:t xml:space="preserve">o support </w:t>
      </w:r>
      <w:r>
        <w:rPr>
          <w:szCs w:val="22"/>
        </w:rPr>
        <w:t>its</w:t>
      </w:r>
      <w:r w:rsidRPr="00BB4D87">
        <w:rPr>
          <w:szCs w:val="22"/>
        </w:rPr>
        <w:t xml:space="preserve"> operations the </w:t>
      </w:r>
      <w:r>
        <w:rPr>
          <w:szCs w:val="22"/>
        </w:rPr>
        <w:t>Authority</w:t>
      </w:r>
      <w:r w:rsidRPr="00BB4D87">
        <w:rPr>
          <w:szCs w:val="22"/>
        </w:rPr>
        <w:t xml:space="preserve"> has an on-going requirement for regular legal advice on matters arising from </w:t>
      </w:r>
      <w:r w:rsidRPr="0007331C">
        <w:rPr>
          <w:szCs w:val="22"/>
          <w:lang w:val="en-US"/>
        </w:rPr>
        <w:t>its activities which are commercially complex and cover debt capital markets, money markets, derivatives</w:t>
      </w:r>
      <w:r>
        <w:rPr>
          <w:szCs w:val="22"/>
          <w:lang w:val="en-US"/>
        </w:rPr>
        <w:t>,</w:t>
      </w:r>
      <w:r w:rsidRPr="0007331C">
        <w:rPr>
          <w:szCs w:val="22"/>
          <w:lang w:val="en-US"/>
        </w:rPr>
        <w:t xml:space="preserve"> financial markets regulations</w:t>
      </w:r>
      <w:r>
        <w:rPr>
          <w:szCs w:val="22"/>
          <w:lang w:val="en-US"/>
        </w:rPr>
        <w:t xml:space="preserve">, </w:t>
      </w:r>
      <w:r w:rsidRPr="0007331C">
        <w:rPr>
          <w:szCs w:val="22"/>
          <w:lang w:val="en-US"/>
        </w:rPr>
        <w:t>tax, dispute resolution</w:t>
      </w:r>
      <w:r>
        <w:rPr>
          <w:szCs w:val="22"/>
          <w:lang w:val="en-US"/>
        </w:rPr>
        <w:t xml:space="preserve">, </w:t>
      </w:r>
      <w:r w:rsidRPr="0007331C">
        <w:rPr>
          <w:szCs w:val="22"/>
          <w:lang w:val="en-US"/>
        </w:rPr>
        <w:t>foreign law</w:t>
      </w:r>
      <w:r>
        <w:rPr>
          <w:szCs w:val="22"/>
          <w:lang w:val="en-US"/>
        </w:rPr>
        <w:t>s and other areas</w:t>
      </w:r>
      <w:r w:rsidRPr="00926C5A">
        <w:rPr>
          <w:szCs w:val="22"/>
        </w:rPr>
        <w:t>.</w:t>
      </w:r>
    </w:p>
    <w:p w14:paraId="6283DD31" w14:textId="4041E47D" w:rsidR="00E20296" w:rsidRPr="00BB4D87" w:rsidRDefault="00E20296" w:rsidP="00015443">
      <w:pPr>
        <w:pStyle w:val="Heading1"/>
        <w:keepNext/>
        <w:numPr>
          <w:ilvl w:val="0"/>
          <w:numId w:val="42"/>
        </w:numPr>
        <w:spacing w:before="240" w:after="120"/>
        <w:rPr>
          <w:szCs w:val="22"/>
        </w:rPr>
      </w:pPr>
      <w:bookmarkStart w:id="7" w:name="_Toc368573028"/>
      <w:bookmarkStart w:id="8" w:name="_Toc506986440"/>
      <w:bookmarkStart w:id="9" w:name="_Toc520455187"/>
      <w:bookmarkStart w:id="10" w:name="_Toc528926389"/>
      <w:bookmarkStart w:id="11" w:name="_Toc297554773"/>
      <w:bookmarkStart w:id="12" w:name="_Toc296415805"/>
      <w:bookmarkStart w:id="13" w:name="_Toc296415793"/>
      <w:bookmarkEnd w:id="6"/>
      <w:r w:rsidRPr="00642801">
        <w:t>BACKGROUND</w:t>
      </w:r>
      <w:r>
        <w:rPr>
          <w:szCs w:val="22"/>
        </w:rPr>
        <w:t xml:space="preserve"> TO THE CONTRACTING A</w:t>
      </w:r>
      <w:r w:rsidRPr="00BB4D87">
        <w:rPr>
          <w:szCs w:val="22"/>
        </w:rPr>
        <w:t>UTHORITY</w:t>
      </w:r>
      <w:bookmarkEnd w:id="7"/>
      <w:bookmarkEnd w:id="8"/>
      <w:bookmarkEnd w:id="9"/>
      <w:bookmarkEnd w:id="10"/>
    </w:p>
    <w:p w14:paraId="77C987D3" w14:textId="77777777" w:rsidR="00E20296" w:rsidRPr="00217B50" w:rsidRDefault="00E20296" w:rsidP="00015443">
      <w:pPr>
        <w:pStyle w:val="Heading2"/>
        <w:numPr>
          <w:ilvl w:val="1"/>
          <w:numId w:val="42"/>
        </w:numPr>
        <w:rPr>
          <w:szCs w:val="22"/>
          <w:lang w:val="en-US"/>
        </w:rPr>
      </w:pPr>
      <w:r w:rsidRPr="00217B50">
        <w:rPr>
          <w:szCs w:val="22"/>
          <w:lang w:val="en-US"/>
        </w:rPr>
        <w:t xml:space="preserve">As the UK government’s debt, cash and treasury manager, the </w:t>
      </w:r>
      <w:r>
        <w:rPr>
          <w:szCs w:val="22"/>
          <w:lang w:val="en-US"/>
        </w:rPr>
        <w:t>Authority</w:t>
      </w:r>
      <w:r w:rsidRPr="00217B50">
        <w:rPr>
          <w:szCs w:val="22"/>
          <w:lang w:val="en-US"/>
        </w:rPr>
        <w:t xml:space="preserve"> aims, with HM Treasury, to lead, develop and deliver the UK government’s debt and cash management objectives. </w:t>
      </w:r>
    </w:p>
    <w:p w14:paraId="096CA07E" w14:textId="77777777" w:rsidR="00E20296" w:rsidRPr="00217B50" w:rsidRDefault="00E20296" w:rsidP="00015443">
      <w:pPr>
        <w:pStyle w:val="Heading2"/>
        <w:numPr>
          <w:ilvl w:val="1"/>
          <w:numId w:val="42"/>
        </w:numPr>
        <w:rPr>
          <w:szCs w:val="22"/>
          <w:lang w:val="en-US"/>
        </w:rPr>
      </w:pPr>
      <w:r w:rsidRPr="00217B50">
        <w:rPr>
          <w:szCs w:val="22"/>
          <w:lang w:val="en-US"/>
        </w:rPr>
        <w:t xml:space="preserve">The </w:t>
      </w:r>
      <w:r>
        <w:rPr>
          <w:szCs w:val="22"/>
          <w:lang w:val="en-US"/>
        </w:rPr>
        <w:t>United Kingdom Debt Management Office</w:t>
      </w:r>
      <w:r w:rsidRPr="00217B50">
        <w:rPr>
          <w:szCs w:val="22"/>
          <w:lang w:val="en-US"/>
        </w:rPr>
        <w:t xml:space="preserve"> was established as an Executive Agency of HM Treasury in 1998 and operates at the centre of the financial markets, interacting with major financial institutions to balance the cash flows to and from government on a daily basis and transacting in </w:t>
      </w:r>
      <w:r>
        <w:rPr>
          <w:szCs w:val="22"/>
          <w:lang w:val="en-US"/>
        </w:rPr>
        <w:t>UK Gilts and Treasury bills,</w:t>
      </w:r>
      <w:r w:rsidRPr="00217B50">
        <w:rPr>
          <w:szCs w:val="22"/>
          <w:lang w:val="en-US"/>
        </w:rPr>
        <w:t xml:space="preserve"> to meet the UK government's financing </w:t>
      </w:r>
      <w:r>
        <w:rPr>
          <w:szCs w:val="22"/>
          <w:lang w:val="en-US"/>
        </w:rPr>
        <w:t xml:space="preserve">and cash flow </w:t>
      </w:r>
      <w:r w:rsidRPr="00217B50">
        <w:rPr>
          <w:szCs w:val="22"/>
          <w:lang w:val="en-US"/>
        </w:rPr>
        <w:t>requirements.</w:t>
      </w:r>
    </w:p>
    <w:p w14:paraId="2755B88C" w14:textId="77777777" w:rsidR="00E20296" w:rsidRPr="00C26F5D" w:rsidRDefault="00E20296" w:rsidP="00015443">
      <w:pPr>
        <w:pStyle w:val="Heading2"/>
        <w:numPr>
          <w:ilvl w:val="1"/>
          <w:numId w:val="42"/>
        </w:numPr>
        <w:rPr>
          <w:szCs w:val="22"/>
        </w:rPr>
      </w:pPr>
      <w:r w:rsidRPr="00C26F5D">
        <w:rPr>
          <w:szCs w:val="22"/>
        </w:rPr>
        <w:t xml:space="preserve">The </w:t>
      </w:r>
      <w:r>
        <w:rPr>
          <w:szCs w:val="22"/>
        </w:rPr>
        <w:t>Authority</w:t>
      </w:r>
      <w:r w:rsidRPr="00C26F5D">
        <w:rPr>
          <w:szCs w:val="22"/>
        </w:rPr>
        <w:t xml:space="preserve"> also lends to local authorities on behalf of the Public Works Loan Board (PWLB)</w:t>
      </w:r>
      <w:r>
        <w:rPr>
          <w:szCs w:val="22"/>
        </w:rPr>
        <w:t>,</w:t>
      </w:r>
      <w:r w:rsidRPr="00C26F5D">
        <w:rPr>
          <w:szCs w:val="22"/>
        </w:rPr>
        <w:t xml:space="preserve"> manages certain public sector funds on behalf of the Commissioners for the Reduction of the National Debt (CRND) and advise</w:t>
      </w:r>
      <w:r>
        <w:rPr>
          <w:szCs w:val="22"/>
        </w:rPr>
        <w:t>s</w:t>
      </w:r>
      <w:r w:rsidRPr="00C26F5D">
        <w:rPr>
          <w:szCs w:val="22"/>
        </w:rPr>
        <w:t xml:space="preserve"> and support</w:t>
      </w:r>
      <w:r>
        <w:rPr>
          <w:szCs w:val="22"/>
        </w:rPr>
        <w:t>s</w:t>
      </w:r>
      <w:r w:rsidRPr="00C26F5D">
        <w:rPr>
          <w:szCs w:val="22"/>
        </w:rPr>
        <w:t xml:space="preserve"> HM Treasury’s financial stability measures and initiatives aimed at helping UK small businesses</w:t>
      </w:r>
      <w:r>
        <w:rPr>
          <w:szCs w:val="22"/>
        </w:rPr>
        <w:t>.</w:t>
      </w:r>
    </w:p>
    <w:p w14:paraId="1E95A43C" w14:textId="77777777" w:rsidR="00E20296" w:rsidRPr="000A64A5" w:rsidRDefault="00E20296" w:rsidP="00015443">
      <w:pPr>
        <w:pStyle w:val="Heading2"/>
        <w:numPr>
          <w:ilvl w:val="1"/>
          <w:numId w:val="42"/>
        </w:numPr>
      </w:pPr>
      <w:r w:rsidRPr="000A64A5">
        <w:rPr>
          <w:szCs w:val="22"/>
        </w:rPr>
        <w:t xml:space="preserve">The </w:t>
      </w:r>
      <w:r>
        <w:rPr>
          <w:szCs w:val="22"/>
        </w:rPr>
        <w:t>Authority</w:t>
      </w:r>
      <w:r w:rsidRPr="000A64A5">
        <w:rPr>
          <w:szCs w:val="22"/>
        </w:rPr>
        <w:t xml:space="preserve"> aims to be a centre of excellence for HM Treasury in the provision of policy advice, the delivery of the UK government’s financing needs and to act as a key gateway for the UK government to the wholesale financial markets.</w:t>
      </w:r>
    </w:p>
    <w:p w14:paraId="6DCA4F4F" w14:textId="77777777" w:rsidR="00E20296" w:rsidRPr="00BB4D87" w:rsidRDefault="00E20296" w:rsidP="00015443">
      <w:pPr>
        <w:pStyle w:val="Heading2"/>
        <w:numPr>
          <w:ilvl w:val="1"/>
          <w:numId w:val="42"/>
        </w:numPr>
      </w:pPr>
      <w:r>
        <w:rPr>
          <w:szCs w:val="22"/>
        </w:rPr>
        <w:t xml:space="preserve">More information on the Authority can be found at: </w:t>
      </w:r>
      <w:hyperlink r:id="rId10" w:history="1">
        <w:r w:rsidRPr="00F76FE7">
          <w:rPr>
            <w:rStyle w:val="Hyperlink"/>
          </w:rPr>
          <w:t>http://www.dmo.gov.uk</w:t>
        </w:r>
      </w:hyperlink>
      <w:r>
        <w:t>.</w:t>
      </w:r>
    </w:p>
    <w:p w14:paraId="05518EC7" w14:textId="1A1971D7" w:rsidR="00E20296" w:rsidRPr="002C546C" w:rsidRDefault="00E20296" w:rsidP="00015443">
      <w:pPr>
        <w:pStyle w:val="Heading1"/>
        <w:keepNext/>
        <w:numPr>
          <w:ilvl w:val="0"/>
          <w:numId w:val="42"/>
        </w:numPr>
        <w:spacing w:before="240" w:after="120"/>
        <w:rPr>
          <w:szCs w:val="22"/>
        </w:rPr>
      </w:pPr>
      <w:bookmarkStart w:id="14" w:name="_Toc368573029"/>
      <w:bookmarkStart w:id="15" w:name="_Toc520455188"/>
      <w:bookmarkStart w:id="16" w:name="_Toc528926390"/>
      <w:bookmarkStart w:id="17" w:name="_Toc297554774"/>
      <w:bookmarkStart w:id="18" w:name="_Toc368573030"/>
      <w:bookmarkStart w:id="19" w:name="_Toc506986441"/>
      <w:bookmarkEnd w:id="11"/>
      <w:bookmarkEnd w:id="12"/>
      <w:r w:rsidRPr="00642801">
        <w:t>BACKGROUND</w:t>
      </w:r>
      <w:r>
        <w:rPr>
          <w:szCs w:val="22"/>
        </w:rPr>
        <w:t xml:space="preserve"> TO REQUIREMENT/</w:t>
      </w:r>
      <w:r w:rsidRPr="002C546C">
        <w:rPr>
          <w:szCs w:val="22"/>
        </w:rPr>
        <w:t>OVERVIEW</w:t>
      </w:r>
      <w:r>
        <w:rPr>
          <w:szCs w:val="22"/>
        </w:rPr>
        <w:t xml:space="preserve"> OF REQUIREMENT</w:t>
      </w:r>
      <w:bookmarkEnd w:id="14"/>
      <w:bookmarkEnd w:id="15"/>
      <w:bookmarkEnd w:id="16"/>
    </w:p>
    <w:p w14:paraId="24DF0C30" w14:textId="77777777" w:rsidR="00E20296" w:rsidRPr="003437EF" w:rsidRDefault="00E20296" w:rsidP="00015443">
      <w:pPr>
        <w:pStyle w:val="Heading2"/>
        <w:numPr>
          <w:ilvl w:val="1"/>
          <w:numId w:val="42"/>
        </w:numPr>
      </w:pPr>
      <w:r>
        <w:rPr>
          <w:szCs w:val="22"/>
        </w:rPr>
        <w:t>T</w:t>
      </w:r>
      <w:r w:rsidRPr="00BB4D87">
        <w:rPr>
          <w:szCs w:val="22"/>
        </w:rPr>
        <w:t xml:space="preserve">o support </w:t>
      </w:r>
      <w:r>
        <w:rPr>
          <w:szCs w:val="22"/>
        </w:rPr>
        <w:t>its</w:t>
      </w:r>
      <w:r w:rsidRPr="00BB4D87">
        <w:rPr>
          <w:szCs w:val="22"/>
        </w:rPr>
        <w:t xml:space="preserve"> operations </w:t>
      </w:r>
      <w:r>
        <w:rPr>
          <w:szCs w:val="22"/>
        </w:rPr>
        <w:t xml:space="preserve">as described above, </w:t>
      </w:r>
      <w:r w:rsidRPr="00BB4D87">
        <w:rPr>
          <w:szCs w:val="22"/>
        </w:rPr>
        <w:t xml:space="preserve">the </w:t>
      </w:r>
      <w:r>
        <w:rPr>
          <w:szCs w:val="22"/>
        </w:rPr>
        <w:t>Authority</w:t>
      </w:r>
      <w:r w:rsidRPr="00BB4D87">
        <w:rPr>
          <w:szCs w:val="22"/>
        </w:rPr>
        <w:t xml:space="preserve"> has an on-going requirement for regular legal advice on matters arising from </w:t>
      </w:r>
      <w:r w:rsidRPr="0007331C">
        <w:rPr>
          <w:szCs w:val="22"/>
          <w:lang w:val="en-US"/>
        </w:rPr>
        <w:t>its activities which are commercially complex and cover debt capital markets, money markets, derivatives</w:t>
      </w:r>
      <w:r>
        <w:rPr>
          <w:szCs w:val="22"/>
          <w:lang w:val="en-US"/>
        </w:rPr>
        <w:t>,</w:t>
      </w:r>
      <w:r w:rsidRPr="0007331C">
        <w:rPr>
          <w:szCs w:val="22"/>
          <w:lang w:val="en-US"/>
        </w:rPr>
        <w:t xml:space="preserve"> financial markets regulations</w:t>
      </w:r>
      <w:r>
        <w:rPr>
          <w:szCs w:val="22"/>
          <w:lang w:val="en-US"/>
        </w:rPr>
        <w:t xml:space="preserve">, </w:t>
      </w:r>
      <w:r w:rsidRPr="0007331C">
        <w:rPr>
          <w:szCs w:val="22"/>
          <w:lang w:val="en-US"/>
        </w:rPr>
        <w:t>tax, dispute resolution</w:t>
      </w:r>
      <w:r>
        <w:rPr>
          <w:szCs w:val="22"/>
          <w:lang w:val="en-US"/>
        </w:rPr>
        <w:t xml:space="preserve">, </w:t>
      </w:r>
      <w:r w:rsidRPr="0007331C">
        <w:rPr>
          <w:szCs w:val="22"/>
          <w:lang w:val="en-US"/>
        </w:rPr>
        <w:t>foreign law</w:t>
      </w:r>
      <w:r>
        <w:rPr>
          <w:szCs w:val="22"/>
          <w:lang w:val="en-US"/>
        </w:rPr>
        <w:t>s and other areas</w:t>
      </w:r>
      <w:r w:rsidRPr="00926C5A">
        <w:rPr>
          <w:szCs w:val="22"/>
        </w:rPr>
        <w:t>.</w:t>
      </w:r>
    </w:p>
    <w:p w14:paraId="1BE34124" w14:textId="77777777" w:rsidR="00E20296" w:rsidRDefault="00E20296" w:rsidP="00015443">
      <w:pPr>
        <w:pStyle w:val="Heading2"/>
        <w:numPr>
          <w:ilvl w:val="1"/>
          <w:numId w:val="42"/>
        </w:numPr>
      </w:pPr>
      <w:r>
        <w:t>Given the range of</w:t>
      </w:r>
      <w:r w:rsidRPr="003437EF">
        <w:t xml:space="preserve"> specialist expertise</w:t>
      </w:r>
      <w:r>
        <w:t xml:space="preserve"> and frequent requirement for advice in a short timeframe which may be required on individual matters</w:t>
      </w:r>
      <w:r w:rsidRPr="003437EF">
        <w:t xml:space="preserve">, the </w:t>
      </w:r>
      <w:r>
        <w:t>Authority</w:t>
      </w:r>
      <w:r w:rsidRPr="003437EF">
        <w:t xml:space="preserve"> </w:t>
      </w:r>
      <w:r>
        <w:t xml:space="preserve">is seeking to </w:t>
      </w:r>
      <w:r w:rsidRPr="003437EF">
        <w:t xml:space="preserve">appoint </w:t>
      </w:r>
      <w:r>
        <w:t xml:space="preserve">an </w:t>
      </w:r>
      <w:r w:rsidRPr="003437EF">
        <w:t xml:space="preserve">external legal </w:t>
      </w:r>
      <w:r>
        <w:t xml:space="preserve">services supplier </w:t>
      </w:r>
      <w:r w:rsidRPr="003437EF">
        <w:t>for a 3-year term</w:t>
      </w:r>
      <w:r>
        <w:t xml:space="preserve"> to deliver advice as and when required.</w:t>
      </w:r>
    </w:p>
    <w:p w14:paraId="7846C24A" w14:textId="77777777" w:rsidR="00E20296" w:rsidRPr="003437EF" w:rsidRDefault="00E20296" w:rsidP="00015443">
      <w:pPr>
        <w:pStyle w:val="Heading2"/>
        <w:numPr>
          <w:ilvl w:val="1"/>
          <w:numId w:val="42"/>
        </w:numPr>
      </w:pPr>
      <w:r>
        <w:t>The Authority is</w:t>
      </w:r>
      <w:r w:rsidRPr="003437EF">
        <w:t xml:space="preserve"> </w:t>
      </w:r>
      <w:r>
        <w:t xml:space="preserve">therefore </w:t>
      </w:r>
      <w:r w:rsidRPr="003437EF">
        <w:t>undertak</w:t>
      </w:r>
      <w:r>
        <w:t>ing</w:t>
      </w:r>
      <w:r w:rsidRPr="003437EF">
        <w:t xml:space="preserve"> </w:t>
      </w:r>
      <w:r>
        <w:t>this</w:t>
      </w:r>
      <w:r w:rsidRPr="003437EF">
        <w:t xml:space="preserve"> competitive procurement process under Finance and Complex Legal Services Framework</w:t>
      </w:r>
      <w:r>
        <w:t xml:space="preserve"> RM3787 to identify a suitable supplier</w:t>
      </w:r>
      <w:r w:rsidRPr="003437EF">
        <w:t>.</w:t>
      </w:r>
    </w:p>
    <w:p w14:paraId="4D988446" w14:textId="3E0D37A6" w:rsidR="00E20296" w:rsidRDefault="00E20296" w:rsidP="00015443">
      <w:pPr>
        <w:pStyle w:val="Heading1"/>
        <w:keepNext/>
        <w:numPr>
          <w:ilvl w:val="0"/>
          <w:numId w:val="42"/>
        </w:numPr>
        <w:spacing w:before="240" w:after="120"/>
        <w:rPr>
          <w:szCs w:val="22"/>
        </w:rPr>
      </w:pPr>
      <w:bookmarkStart w:id="20" w:name="_Toc520455189"/>
      <w:bookmarkStart w:id="21" w:name="_Toc528926391"/>
      <w:r w:rsidRPr="00642801">
        <w:lastRenderedPageBreak/>
        <w:t>DEFINITIONS</w:t>
      </w:r>
      <w:bookmarkEnd w:id="20"/>
      <w:bookmarkEnd w:id="21"/>
    </w:p>
    <w:p w14:paraId="6F1740C7" w14:textId="77777777" w:rsidR="00E20296" w:rsidRDefault="00E20296" w:rsidP="00015443">
      <w:pPr>
        <w:pStyle w:val="Heading2"/>
        <w:numPr>
          <w:ilvl w:val="1"/>
          <w:numId w:val="42"/>
        </w:numPr>
        <w:tabs>
          <w:tab w:val="clear" w:pos="720"/>
          <w:tab w:val="num" w:pos="862"/>
        </w:tabs>
        <w:overflowPunct w:val="0"/>
        <w:autoSpaceDE w:val="0"/>
        <w:autoSpaceDN w:val="0"/>
        <w:spacing w:after="120"/>
        <w:ind w:left="709" w:hanging="709"/>
        <w:textAlignment w:val="baseline"/>
        <w:rPr>
          <w:szCs w:val="22"/>
        </w:rPr>
      </w:pPr>
      <w:r>
        <w:rPr>
          <w:szCs w:val="22"/>
        </w:rPr>
        <w:t>Unless the context requires</w:t>
      </w:r>
      <w:r w:rsidRPr="008D5D42">
        <w:rPr>
          <w:szCs w:val="22"/>
        </w:rPr>
        <w:t xml:space="preserve"> </w:t>
      </w:r>
      <w:r>
        <w:rPr>
          <w:szCs w:val="22"/>
        </w:rPr>
        <w:t>otherwise, where used in this document each of the following terms has the meaning assigned to it below:</w:t>
      </w:r>
    </w:p>
    <w:tbl>
      <w:tblPr>
        <w:tblStyle w:val="TableGrid"/>
        <w:tblW w:w="0" w:type="auto"/>
        <w:tblInd w:w="720" w:type="dxa"/>
        <w:tblLook w:val="04A0" w:firstRow="1" w:lastRow="0" w:firstColumn="1" w:lastColumn="0" w:noHBand="0" w:noVBand="1"/>
      </w:tblPr>
      <w:tblGrid>
        <w:gridCol w:w="1827"/>
        <w:gridCol w:w="6472"/>
      </w:tblGrid>
      <w:tr w:rsidR="00E20296" w:rsidRPr="00AE7202" w14:paraId="2C987F4E" w14:textId="77777777" w:rsidTr="00797539">
        <w:tc>
          <w:tcPr>
            <w:tcW w:w="1827" w:type="dxa"/>
            <w:shd w:val="clear" w:color="auto" w:fill="FFFFFF" w:themeFill="background1"/>
          </w:tcPr>
          <w:p w14:paraId="6A1CF9D7" w14:textId="77777777" w:rsidR="00E20296" w:rsidRPr="00C51900" w:rsidRDefault="00E20296" w:rsidP="00797539">
            <w:pPr>
              <w:pStyle w:val="Heading2"/>
              <w:numPr>
                <w:ilvl w:val="0"/>
                <w:numId w:val="0"/>
              </w:numPr>
              <w:spacing w:before="120" w:after="120"/>
              <w:ind w:left="18" w:hanging="18"/>
              <w:jc w:val="left"/>
              <w:outlineLvl w:val="1"/>
            </w:pPr>
            <w:r>
              <w:t>Authority</w:t>
            </w:r>
          </w:p>
        </w:tc>
        <w:tc>
          <w:tcPr>
            <w:tcW w:w="6472" w:type="dxa"/>
            <w:shd w:val="clear" w:color="auto" w:fill="FFFFFF" w:themeFill="background1"/>
          </w:tcPr>
          <w:p w14:paraId="74A9AE81" w14:textId="77777777" w:rsidR="00E20296" w:rsidRPr="00AE7202" w:rsidRDefault="00E20296" w:rsidP="00797539">
            <w:pPr>
              <w:pStyle w:val="Heading2"/>
              <w:numPr>
                <w:ilvl w:val="0"/>
                <w:numId w:val="0"/>
              </w:numPr>
              <w:spacing w:before="120" w:after="120"/>
              <w:ind w:left="5" w:hanging="5"/>
              <w:outlineLvl w:val="1"/>
            </w:pPr>
            <w:r w:rsidRPr="00AE7202">
              <w:t>means the Lords Commissioners of Her Majesty’s Treasury acting through the United Kingdom Debt Management Office</w:t>
            </w:r>
          </w:p>
        </w:tc>
      </w:tr>
      <w:tr w:rsidR="00E20296" w14:paraId="238FDF08" w14:textId="77777777" w:rsidTr="00797539">
        <w:tc>
          <w:tcPr>
            <w:tcW w:w="1827" w:type="dxa"/>
            <w:shd w:val="clear" w:color="auto" w:fill="FFFFFF" w:themeFill="background1"/>
          </w:tcPr>
          <w:p w14:paraId="7158914D" w14:textId="77777777" w:rsidR="00E20296" w:rsidRPr="00231A0F" w:rsidRDefault="00E20296" w:rsidP="00797539">
            <w:pPr>
              <w:pStyle w:val="Heading2"/>
              <w:numPr>
                <w:ilvl w:val="0"/>
                <w:numId w:val="0"/>
              </w:numPr>
              <w:spacing w:before="120" w:after="120"/>
              <w:ind w:left="18" w:hanging="18"/>
              <w:jc w:val="left"/>
              <w:outlineLvl w:val="1"/>
            </w:pPr>
            <w:r>
              <w:t>CRND</w:t>
            </w:r>
          </w:p>
        </w:tc>
        <w:tc>
          <w:tcPr>
            <w:tcW w:w="6472" w:type="dxa"/>
            <w:shd w:val="clear" w:color="auto" w:fill="FFFFFF" w:themeFill="background1"/>
          </w:tcPr>
          <w:p w14:paraId="6DCB1920" w14:textId="77777777" w:rsidR="00E20296" w:rsidRDefault="00E20296" w:rsidP="00797539">
            <w:pPr>
              <w:pStyle w:val="Heading2"/>
              <w:numPr>
                <w:ilvl w:val="0"/>
                <w:numId w:val="0"/>
              </w:numPr>
              <w:spacing w:before="120" w:after="120"/>
              <w:ind w:left="18" w:hanging="18"/>
              <w:jc w:val="left"/>
              <w:outlineLvl w:val="1"/>
            </w:pPr>
            <w:r>
              <w:rPr>
                <w:szCs w:val="22"/>
              </w:rPr>
              <w:t xml:space="preserve">means </w:t>
            </w:r>
            <w:r w:rsidRPr="00C26F5D">
              <w:rPr>
                <w:szCs w:val="22"/>
              </w:rPr>
              <w:t>Commissioners for the Reduction of the National Debt</w:t>
            </w:r>
          </w:p>
        </w:tc>
      </w:tr>
      <w:tr w:rsidR="00E20296" w14:paraId="4D7D24C4" w14:textId="77777777" w:rsidTr="00797539">
        <w:tc>
          <w:tcPr>
            <w:tcW w:w="1827" w:type="dxa"/>
            <w:shd w:val="clear" w:color="auto" w:fill="FFFFFF" w:themeFill="background1"/>
          </w:tcPr>
          <w:p w14:paraId="616BF9DD" w14:textId="77777777" w:rsidR="00E20296" w:rsidRPr="00231A0F" w:rsidRDefault="00E20296" w:rsidP="00797539">
            <w:pPr>
              <w:pStyle w:val="Heading2"/>
              <w:numPr>
                <w:ilvl w:val="0"/>
                <w:numId w:val="0"/>
              </w:numPr>
              <w:spacing w:before="120" w:after="120"/>
              <w:ind w:left="18" w:hanging="18"/>
              <w:jc w:val="left"/>
              <w:outlineLvl w:val="1"/>
            </w:pPr>
            <w:r>
              <w:t>DMADF</w:t>
            </w:r>
          </w:p>
        </w:tc>
        <w:tc>
          <w:tcPr>
            <w:tcW w:w="6472" w:type="dxa"/>
            <w:shd w:val="clear" w:color="auto" w:fill="FFFFFF" w:themeFill="background1"/>
          </w:tcPr>
          <w:p w14:paraId="065D89D3" w14:textId="77777777" w:rsidR="00E20296" w:rsidRDefault="00E20296" w:rsidP="00797539">
            <w:pPr>
              <w:pStyle w:val="Heading2"/>
              <w:numPr>
                <w:ilvl w:val="0"/>
                <w:numId w:val="0"/>
              </w:numPr>
              <w:spacing w:before="120" w:after="120"/>
              <w:ind w:left="18" w:hanging="18"/>
              <w:jc w:val="left"/>
              <w:outlineLvl w:val="1"/>
            </w:pPr>
            <w:r>
              <w:t>means Debt Management Account Deposit Facility</w:t>
            </w:r>
          </w:p>
        </w:tc>
      </w:tr>
      <w:tr w:rsidR="00E20296" w14:paraId="08247C27" w14:textId="77777777" w:rsidTr="00797539">
        <w:tc>
          <w:tcPr>
            <w:tcW w:w="1827" w:type="dxa"/>
            <w:shd w:val="clear" w:color="auto" w:fill="FFFFFF" w:themeFill="background1"/>
          </w:tcPr>
          <w:p w14:paraId="54F8471F" w14:textId="77777777" w:rsidR="00E20296" w:rsidRDefault="00E20296" w:rsidP="00797539">
            <w:pPr>
              <w:pStyle w:val="Heading2"/>
              <w:numPr>
                <w:ilvl w:val="0"/>
                <w:numId w:val="0"/>
              </w:numPr>
              <w:spacing w:before="120" w:after="120"/>
              <w:ind w:left="18" w:hanging="18"/>
              <w:jc w:val="left"/>
              <w:outlineLvl w:val="1"/>
            </w:pPr>
            <w:r>
              <w:t>DMO</w:t>
            </w:r>
          </w:p>
        </w:tc>
        <w:tc>
          <w:tcPr>
            <w:tcW w:w="6472" w:type="dxa"/>
            <w:shd w:val="clear" w:color="auto" w:fill="FFFFFF" w:themeFill="background1"/>
          </w:tcPr>
          <w:p w14:paraId="53CD5AE2" w14:textId="77777777" w:rsidR="00E20296" w:rsidRDefault="00E20296" w:rsidP="00797539">
            <w:pPr>
              <w:pStyle w:val="Heading2"/>
              <w:numPr>
                <w:ilvl w:val="0"/>
                <w:numId w:val="0"/>
              </w:numPr>
              <w:spacing w:before="120" w:after="120"/>
              <w:ind w:left="18" w:hanging="18"/>
              <w:jc w:val="left"/>
              <w:outlineLvl w:val="1"/>
            </w:pPr>
            <w:r>
              <w:t xml:space="preserve">means </w:t>
            </w:r>
            <w:r w:rsidRPr="00AE7202">
              <w:t xml:space="preserve">the Lords Commissioners of Her Majesty’s Treasury </w:t>
            </w:r>
            <w:r>
              <w:t>acting through the United Kingdom Debt Management Office</w:t>
            </w:r>
          </w:p>
        </w:tc>
      </w:tr>
      <w:tr w:rsidR="00E20296" w14:paraId="30BAB695" w14:textId="77777777" w:rsidTr="00797539">
        <w:tc>
          <w:tcPr>
            <w:tcW w:w="1827" w:type="dxa"/>
            <w:shd w:val="clear" w:color="auto" w:fill="FFFFFF" w:themeFill="background1"/>
          </w:tcPr>
          <w:p w14:paraId="7ABB94CB" w14:textId="77777777" w:rsidR="00E20296" w:rsidRPr="00231A0F" w:rsidRDefault="00E20296" w:rsidP="00797539">
            <w:pPr>
              <w:pStyle w:val="Heading2"/>
              <w:numPr>
                <w:ilvl w:val="0"/>
                <w:numId w:val="0"/>
              </w:numPr>
              <w:spacing w:before="120" w:after="120"/>
              <w:ind w:left="18" w:hanging="18"/>
              <w:jc w:val="left"/>
              <w:outlineLvl w:val="1"/>
            </w:pPr>
            <w:r>
              <w:t>GEMM</w:t>
            </w:r>
          </w:p>
        </w:tc>
        <w:tc>
          <w:tcPr>
            <w:tcW w:w="6472" w:type="dxa"/>
            <w:shd w:val="clear" w:color="auto" w:fill="FFFFFF" w:themeFill="background1"/>
          </w:tcPr>
          <w:p w14:paraId="09482B88" w14:textId="77777777" w:rsidR="00E20296" w:rsidRDefault="00E20296" w:rsidP="00797539">
            <w:pPr>
              <w:pStyle w:val="Heading2"/>
              <w:numPr>
                <w:ilvl w:val="0"/>
                <w:numId w:val="0"/>
              </w:numPr>
              <w:spacing w:before="120" w:after="120"/>
              <w:ind w:left="18" w:hanging="18"/>
              <w:jc w:val="left"/>
              <w:outlineLvl w:val="1"/>
            </w:pPr>
            <w:r>
              <w:t>means Gilt-edged Market Makers</w:t>
            </w:r>
          </w:p>
        </w:tc>
      </w:tr>
      <w:tr w:rsidR="00E20296" w14:paraId="785C9650" w14:textId="77777777" w:rsidTr="00797539">
        <w:tc>
          <w:tcPr>
            <w:tcW w:w="1827" w:type="dxa"/>
            <w:shd w:val="clear" w:color="auto" w:fill="FFFFFF" w:themeFill="background1"/>
          </w:tcPr>
          <w:p w14:paraId="05FB321F" w14:textId="77777777" w:rsidR="00E20296" w:rsidRPr="00231A0F" w:rsidRDefault="00E20296" w:rsidP="00797539">
            <w:pPr>
              <w:pStyle w:val="Heading2"/>
              <w:numPr>
                <w:ilvl w:val="0"/>
                <w:numId w:val="0"/>
              </w:numPr>
              <w:spacing w:before="120" w:after="120"/>
              <w:ind w:left="18" w:hanging="18"/>
              <w:jc w:val="left"/>
              <w:outlineLvl w:val="1"/>
            </w:pPr>
            <w:r>
              <w:t>Gilt Information Memorandum</w:t>
            </w:r>
          </w:p>
        </w:tc>
        <w:tc>
          <w:tcPr>
            <w:tcW w:w="6472" w:type="dxa"/>
            <w:shd w:val="clear" w:color="auto" w:fill="FFFFFF" w:themeFill="background1"/>
          </w:tcPr>
          <w:p w14:paraId="10BE8763" w14:textId="77777777" w:rsidR="00E20296" w:rsidRPr="005A2255" w:rsidRDefault="00E20296" w:rsidP="00797539">
            <w:pPr>
              <w:pStyle w:val="Heading2"/>
              <w:numPr>
                <w:ilvl w:val="0"/>
                <w:numId w:val="0"/>
              </w:numPr>
              <w:spacing w:before="120" w:after="120"/>
              <w:ind w:left="18" w:hanging="18"/>
              <w:jc w:val="left"/>
              <w:outlineLvl w:val="1"/>
            </w:pPr>
            <w:r>
              <w:t xml:space="preserve">means </w:t>
            </w:r>
            <w:r w:rsidRPr="005A2255">
              <w:t>the Information Memorandum relating to the Issue, Stripping and Reconstitution of British Government Stock</w:t>
            </w:r>
          </w:p>
        </w:tc>
      </w:tr>
      <w:tr w:rsidR="00E20296" w14:paraId="7B8E1EBE" w14:textId="77777777" w:rsidTr="00797539">
        <w:tc>
          <w:tcPr>
            <w:tcW w:w="1827" w:type="dxa"/>
            <w:shd w:val="clear" w:color="auto" w:fill="FFFFFF" w:themeFill="background1"/>
          </w:tcPr>
          <w:p w14:paraId="12FF617E" w14:textId="77777777" w:rsidR="00E20296" w:rsidRPr="00231A0F" w:rsidRDefault="00E20296" w:rsidP="00797539">
            <w:pPr>
              <w:pStyle w:val="Heading2"/>
              <w:numPr>
                <w:ilvl w:val="0"/>
                <w:numId w:val="0"/>
              </w:numPr>
              <w:spacing w:before="120" w:after="120"/>
              <w:ind w:left="18" w:hanging="18"/>
              <w:jc w:val="left"/>
              <w:outlineLvl w:val="1"/>
            </w:pPr>
            <w:r w:rsidRPr="00231A0F">
              <w:t>Gilts</w:t>
            </w:r>
          </w:p>
        </w:tc>
        <w:tc>
          <w:tcPr>
            <w:tcW w:w="6472" w:type="dxa"/>
            <w:shd w:val="clear" w:color="auto" w:fill="FFFFFF" w:themeFill="background1"/>
          </w:tcPr>
          <w:p w14:paraId="6A4BDDF0" w14:textId="77777777" w:rsidR="00E20296" w:rsidRPr="00AE7202" w:rsidRDefault="00E20296" w:rsidP="00797539">
            <w:pPr>
              <w:pStyle w:val="Heading2"/>
              <w:numPr>
                <w:ilvl w:val="0"/>
                <w:numId w:val="0"/>
              </w:numPr>
              <w:spacing w:before="120" w:after="120"/>
              <w:ind w:left="18" w:hanging="18"/>
              <w:jc w:val="left"/>
              <w:outlineLvl w:val="1"/>
            </w:pPr>
            <w:r>
              <w:t>means sterling denominated UK government marketable debt instruments with maturities of greater than one year issued by Her Majesty’s Treasury</w:t>
            </w:r>
          </w:p>
        </w:tc>
      </w:tr>
      <w:tr w:rsidR="00E20296" w14:paraId="5BD8D261" w14:textId="77777777" w:rsidTr="00797539">
        <w:tc>
          <w:tcPr>
            <w:tcW w:w="1827" w:type="dxa"/>
            <w:shd w:val="clear" w:color="auto" w:fill="FFFFFF" w:themeFill="background1"/>
          </w:tcPr>
          <w:p w14:paraId="163E6812" w14:textId="77777777" w:rsidR="00E20296" w:rsidRDefault="00E20296" w:rsidP="00797539">
            <w:pPr>
              <w:pStyle w:val="Heading2"/>
              <w:numPr>
                <w:ilvl w:val="0"/>
                <w:numId w:val="0"/>
              </w:numPr>
              <w:spacing w:before="120" w:after="120"/>
              <w:ind w:left="18" w:hanging="18"/>
              <w:jc w:val="left"/>
              <w:outlineLvl w:val="1"/>
            </w:pPr>
            <w:r>
              <w:t>ICMA</w:t>
            </w:r>
          </w:p>
        </w:tc>
        <w:tc>
          <w:tcPr>
            <w:tcW w:w="6472" w:type="dxa"/>
            <w:shd w:val="clear" w:color="auto" w:fill="FFFFFF" w:themeFill="background1"/>
          </w:tcPr>
          <w:p w14:paraId="732B368E" w14:textId="77777777" w:rsidR="00E20296" w:rsidRDefault="00E20296" w:rsidP="00797539">
            <w:pPr>
              <w:pStyle w:val="Heading2"/>
              <w:numPr>
                <w:ilvl w:val="0"/>
                <w:numId w:val="0"/>
              </w:numPr>
              <w:spacing w:before="120" w:after="120"/>
              <w:ind w:left="18" w:hanging="18"/>
              <w:jc w:val="left"/>
              <w:outlineLvl w:val="1"/>
            </w:pPr>
            <w:r>
              <w:t>means International Capital Market Association</w:t>
            </w:r>
          </w:p>
        </w:tc>
      </w:tr>
      <w:tr w:rsidR="00E20296" w14:paraId="1C386408" w14:textId="77777777" w:rsidTr="00797539">
        <w:tc>
          <w:tcPr>
            <w:tcW w:w="1827" w:type="dxa"/>
            <w:shd w:val="clear" w:color="auto" w:fill="FFFFFF" w:themeFill="background1"/>
          </w:tcPr>
          <w:p w14:paraId="280BC98D" w14:textId="77777777" w:rsidR="00E20296" w:rsidRDefault="00E20296" w:rsidP="00797539">
            <w:pPr>
              <w:pStyle w:val="Heading2"/>
              <w:numPr>
                <w:ilvl w:val="0"/>
                <w:numId w:val="0"/>
              </w:numPr>
              <w:spacing w:before="120" w:after="120"/>
              <w:ind w:left="18" w:hanging="18"/>
              <w:jc w:val="left"/>
              <w:outlineLvl w:val="1"/>
            </w:pPr>
            <w:r>
              <w:t>ISDA</w:t>
            </w:r>
          </w:p>
        </w:tc>
        <w:tc>
          <w:tcPr>
            <w:tcW w:w="6472" w:type="dxa"/>
            <w:shd w:val="clear" w:color="auto" w:fill="FFFFFF" w:themeFill="background1"/>
          </w:tcPr>
          <w:p w14:paraId="673FF8CB" w14:textId="77777777" w:rsidR="00E20296" w:rsidRDefault="00E20296" w:rsidP="00797539">
            <w:pPr>
              <w:pStyle w:val="Heading2"/>
              <w:numPr>
                <w:ilvl w:val="0"/>
                <w:numId w:val="0"/>
              </w:numPr>
              <w:spacing w:before="120" w:after="120"/>
              <w:ind w:left="18" w:hanging="18"/>
              <w:jc w:val="left"/>
              <w:outlineLvl w:val="1"/>
            </w:pPr>
            <w:r>
              <w:t>means International Swaps and Derivatives Association</w:t>
            </w:r>
          </w:p>
        </w:tc>
      </w:tr>
      <w:tr w:rsidR="00E20296" w14:paraId="32A930F8" w14:textId="77777777" w:rsidTr="00797539">
        <w:tc>
          <w:tcPr>
            <w:tcW w:w="1827" w:type="dxa"/>
          </w:tcPr>
          <w:p w14:paraId="3A624A0B" w14:textId="77777777" w:rsidR="00E20296" w:rsidRDefault="00E20296" w:rsidP="00797539">
            <w:pPr>
              <w:pStyle w:val="Heading2"/>
              <w:numPr>
                <w:ilvl w:val="0"/>
                <w:numId w:val="0"/>
              </w:numPr>
              <w:spacing w:before="120" w:after="120"/>
              <w:ind w:left="18" w:hanging="18"/>
              <w:jc w:val="left"/>
              <w:outlineLvl w:val="1"/>
            </w:pPr>
            <w:r>
              <w:t>ISMA</w:t>
            </w:r>
          </w:p>
        </w:tc>
        <w:tc>
          <w:tcPr>
            <w:tcW w:w="6472" w:type="dxa"/>
          </w:tcPr>
          <w:p w14:paraId="67BF583E" w14:textId="77777777" w:rsidR="00E20296" w:rsidRDefault="00E20296" w:rsidP="00797539">
            <w:pPr>
              <w:pStyle w:val="Heading2"/>
              <w:numPr>
                <w:ilvl w:val="0"/>
                <w:numId w:val="0"/>
              </w:numPr>
              <w:spacing w:before="120" w:after="120"/>
              <w:ind w:left="18" w:hanging="18"/>
              <w:jc w:val="left"/>
              <w:outlineLvl w:val="1"/>
            </w:pPr>
            <w:r>
              <w:t>means International Securities Market Association (a predecessor to the International Capital Market Association)</w:t>
            </w:r>
          </w:p>
        </w:tc>
      </w:tr>
      <w:tr w:rsidR="00E20296" w14:paraId="3944992E" w14:textId="77777777" w:rsidTr="00797539">
        <w:tc>
          <w:tcPr>
            <w:tcW w:w="1827" w:type="dxa"/>
          </w:tcPr>
          <w:p w14:paraId="1FC869E5" w14:textId="77777777" w:rsidR="00E20296" w:rsidRDefault="00E20296" w:rsidP="00797539">
            <w:pPr>
              <w:pStyle w:val="Heading2"/>
              <w:numPr>
                <w:ilvl w:val="0"/>
                <w:numId w:val="0"/>
              </w:numPr>
              <w:spacing w:before="120" w:after="120"/>
              <w:ind w:left="18" w:hanging="18"/>
              <w:jc w:val="left"/>
              <w:outlineLvl w:val="1"/>
            </w:pPr>
            <w:r>
              <w:t>Panel Agreement</w:t>
            </w:r>
          </w:p>
        </w:tc>
        <w:tc>
          <w:tcPr>
            <w:tcW w:w="6472" w:type="dxa"/>
          </w:tcPr>
          <w:p w14:paraId="66933AD3" w14:textId="77777777" w:rsidR="00E20296" w:rsidRDefault="00E20296" w:rsidP="00797539">
            <w:pPr>
              <w:pStyle w:val="Heading2"/>
              <w:numPr>
                <w:ilvl w:val="0"/>
                <w:numId w:val="0"/>
              </w:numPr>
              <w:spacing w:before="120" w:after="120"/>
              <w:ind w:left="18" w:hanging="18"/>
              <w:jc w:val="left"/>
              <w:outlineLvl w:val="1"/>
            </w:pPr>
            <w:r>
              <w:t xml:space="preserve">means the panel agreement RM3787- Finance and Complex Legal Services </w:t>
            </w:r>
          </w:p>
        </w:tc>
      </w:tr>
      <w:tr w:rsidR="00E20296" w14:paraId="14FDC7CE" w14:textId="77777777" w:rsidTr="00797539">
        <w:tc>
          <w:tcPr>
            <w:tcW w:w="1827" w:type="dxa"/>
          </w:tcPr>
          <w:p w14:paraId="17B53C1A" w14:textId="77777777" w:rsidR="00E20296" w:rsidRDefault="00E20296" w:rsidP="00797539">
            <w:pPr>
              <w:pStyle w:val="Heading2"/>
              <w:numPr>
                <w:ilvl w:val="0"/>
                <w:numId w:val="0"/>
              </w:numPr>
              <w:spacing w:before="120" w:after="120"/>
              <w:ind w:left="18" w:hanging="18"/>
              <w:jc w:val="left"/>
              <w:outlineLvl w:val="1"/>
            </w:pPr>
            <w:r>
              <w:t>Potential Provider</w:t>
            </w:r>
          </w:p>
        </w:tc>
        <w:tc>
          <w:tcPr>
            <w:tcW w:w="6472" w:type="dxa"/>
          </w:tcPr>
          <w:p w14:paraId="1ECF6260" w14:textId="77777777" w:rsidR="00E20296" w:rsidRDefault="00E20296" w:rsidP="00797539">
            <w:pPr>
              <w:pStyle w:val="Heading2"/>
              <w:numPr>
                <w:ilvl w:val="0"/>
                <w:numId w:val="0"/>
              </w:numPr>
              <w:spacing w:before="120" w:after="120"/>
              <w:ind w:left="18" w:hanging="18"/>
              <w:jc w:val="left"/>
              <w:outlineLvl w:val="1"/>
            </w:pPr>
            <w:r>
              <w:t xml:space="preserve">means </w:t>
            </w:r>
            <w:r w:rsidRPr="007470D8">
              <w:t xml:space="preserve">an organisation (or organisations collectively) which submits a </w:t>
            </w:r>
            <w:r>
              <w:t>bid pursuant to this procurement</w:t>
            </w:r>
          </w:p>
        </w:tc>
      </w:tr>
      <w:tr w:rsidR="00E20296" w14:paraId="0B640CD4" w14:textId="77777777" w:rsidTr="00797539">
        <w:tc>
          <w:tcPr>
            <w:tcW w:w="1827" w:type="dxa"/>
          </w:tcPr>
          <w:p w14:paraId="66E6F5E3" w14:textId="77777777" w:rsidR="00E20296" w:rsidRDefault="00E20296" w:rsidP="00797539">
            <w:pPr>
              <w:pStyle w:val="Heading2"/>
              <w:numPr>
                <w:ilvl w:val="0"/>
                <w:numId w:val="0"/>
              </w:numPr>
              <w:spacing w:before="120" w:after="120"/>
              <w:ind w:left="18" w:hanging="18"/>
              <w:jc w:val="left"/>
              <w:outlineLvl w:val="1"/>
            </w:pPr>
            <w:r>
              <w:t>PSA</w:t>
            </w:r>
          </w:p>
        </w:tc>
        <w:tc>
          <w:tcPr>
            <w:tcW w:w="6472" w:type="dxa"/>
          </w:tcPr>
          <w:p w14:paraId="4573ED51" w14:textId="77777777" w:rsidR="00E20296" w:rsidRDefault="00E20296" w:rsidP="00797539">
            <w:pPr>
              <w:pStyle w:val="Heading2"/>
              <w:numPr>
                <w:ilvl w:val="0"/>
                <w:numId w:val="0"/>
              </w:numPr>
              <w:spacing w:before="120" w:after="120"/>
              <w:ind w:left="18" w:hanging="18"/>
              <w:jc w:val="left"/>
              <w:outlineLvl w:val="1"/>
            </w:pPr>
            <w:r>
              <w:t>means Public Securities Association (a predecessor to SIFMA)</w:t>
            </w:r>
          </w:p>
        </w:tc>
      </w:tr>
      <w:tr w:rsidR="00E20296" w14:paraId="2B035162" w14:textId="77777777" w:rsidTr="00797539">
        <w:tc>
          <w:tcPr>
            <w:tcW w:w="1827" w:type="dxa"/>
          </w:tcPr>
          <w:p w14:paraId="184CD0AC" w14:textId="77777777" w:rsidR="00E20296" w:rsidRDefault="00E20296" w:rsidP="00797539">
            <w:pPr>
              <w:pStyle w:val="Heading2"/>
              <w:numPr>
                <w:ilvl w:val="0"/>
                <w:numId w:val="0"/>
              </w:numPr>
              <w:spacing w:before="120" w:after="120"/>
              <w:ind w:left="18" w:hanging="18"/>
              <w:jc w:val="left"/>
              <w:outlineLvl w:val="1"/>
            </w:pPr>
            <w:r>
              <w:t>PWLB</w:t>
            </w:r>
          </w:p>
        </w:tc>
        <w:tc>
          <w:tcPr>
            <w:tcW w:w="6472" w:type="dxa"/>
          </w:tcPr>
          <w:p w14:paraId="55EE1E0A" w14:textId="77777777" w:rsidR="00E20296" w:rsidRDefault="00E20296" w:rsidP="00797539">
            <w:pPr>
              <w:pStyle w:val="Heading2"/>
              <w:numPr>
                <w:ilvl w:val="0"/>
                <w:numId w:val="0"/>
              </w:numPr>
              <w:spacing w:before="120" w:after="120"/>
              <w:ind w:left="18" w:hanging="18"/>
              <w:jc w:val="left"/>
              <w:outlineLvl w:val="1"/>
            </w:pPr>
            <w:r>
              <w:t xml:space="preserve">means </w:t>
            </w:r>
            <w:r w:rsidRPr="00C26F5D">
              <w:rPr>
                <w:szCs w:val="22"/>
              </w:rPr>
              <w:t>Public Works Loan Board</w:t>
            </w:r>
          </w:p>
        </w:tc>
      </w:tr>
      <w:tr w:rsidR="00E20296" w14:paraId="47CDE16D" w14:textId="77777777" w:rsidTr="00797539">
        <w:tc>
          <w:tcPr>
            <w:tcW w:w="1827" w:type="dxa"/>
          </w:tcPr>
          <w:p w14:paraId="3955D7B9" w14:textId="77777777" w:rsidR="00E20296" w:rsidRDefault="00E20296" w:rsidP="00797539">
            <w:pPr>
              <w:pStyle w:val="Heading2"/>
              <w:numPr>
                <w:ilvl w:val="0"/>
                <w:numId w:val="0"/>
              </w:numPr>
              <w:spacing w:before="120" w:after="120"/>
              <w:ind w:left="18" w:hanging="18"/>
              <w:jc w:val="left"/>
              <w:outlineLvl w:val="1"/>
            </w:pPr>
            <w:r>
              <w:t>SIFMA</w:t>
            </w:r>
          </w:p>
        </w:tc>
        <w:tc>
          <w:tcPr>
            <w:tcW w:w="6472" w:type="dxa"/>
          </w:tcPr>
          <w:p w14:paraId="2D4193BF" w14:textId="77777777" w:rsidR="00E20296" w:rsidRDefault="00E20296" w:rsidP="00797539">
            <w:pPr>
              <w:pStyle w:val="Heading2"/>
              <w:numPr>
                <w:ilvl w:val="0"/>
                <w:numId w:val="0"/>
              </w:numPr>
              <w:spacing w:before="120" w:after="120"/>
              <w:ind w:left="18" w:hanging="18"/>
              <w:jc w:val="left"/>
              <w:outlineLvl w:val="1"/>
            </w:pPr>
            <w:r>
              <w:t>means Securities Industry and Financial Markets Association</w:t>
            </w:r>
          </w:p>
        </w:tc>
      </w:tr>
      <w:tr w:rsidR="00E20296" w14:paraId="50F2EFFA" w14:textId="77777777" w:rsidTr="00797539">
        <w:tc>
          <w:tcPr>
            <w:tcW w:w="1827" w:type="dxa"/>
          </w:tcPr>
          <w:p w14:paraId="404DE0AC" w14:textId="77777777" w:rsidR="00E20296" w:rsidRPr="00AE7202" w:rsidRDefault="00E20296" w:rsidP="00797539">
            <w:pPr>
              <w:pStyle w:val="Heading2"/>
              <w:numPr>
                <w:ilvl w:val="0"/>
                <w:numId w:val="0"/>
              </w:numPr>
              <w:spacing w:before="120" w:after="120"/>
              <w:ind w:left="18" w:hanging="18"/>
              <w:jc w:val="left"/>
              <w:outlineLvl w:val="1"/>
            </w:pPr>
            <w:r>
              <w:t>Supplier</w:t>
            </w:r>
          </w:p>
        </w:tc>
        <w:tc>
          <w:tcPr>
            <w:tcW w:w="6472" w:type="dxa"/>
          </w:tcPr>
          <w:p w14:paraId="06B10AAB" w14:textId="77777777" w:rsidR="00E20296" w:rsidRPr="0036555C" w:rsidRDefault="00E20296" w:rsidP="00797539">
            <w:pPr>
              <w:pStyle w:val="Heading2"/>
              <w:numPr>
                <w:ilvl w:val="0"/>
                <w:numId w:val="0"/>
              </w:numPr>
              <w:spacing w:before="120" w:after="120"/>
              <w:ind w:left="18" w:hanging="18"/>
              <w:jc w:val="left"/>
              <w:outlineLvl w:val="1"/>
            </w:pPr>
            <w:r>
              <w:t>means a Potential Provider</w:t>
            </w:r>
            <w:r w:rsidRPr="00231A0F">
              <w:t xml:space="preserve"> with whom the </w:t>
            </w:r>
            <w:r>
              <w:t>Authority has concluded a Legal Services Contract following successful completion of this procurement process</w:t>
            </w:r>
          </w:p>
        </w:tc>
      </w:tr>
      <w:tr w:rsidR="00E20296" w14:paraId="5C8B1061" w14:textId="77777777" w:rsidTr="00797539">
        <w:tc>
          <w:tcPr>
            <w:tcW w:w="1827" w:type="dxa"/>
          </w:tcPr>
          <w:p w14:paraId="12ED29F5" w14:textId="77777777" w:rsidR="00E20296" w:rsidRPr="00AE7202" w:rsidRDefault="00E20296" w:rsidP="00797539">
            <w:pPr>
              <w:pStyle w:val="Heading2"/>
              <w:numPr>
                <w:ilvl w:val="0"/>
                <w:numId w:val="0"/>
              </w:numPr>
              <w:spacing w:before="120" w:after="120"/>
              <w:ind w:left="18" w:hanging="18"/>
              <w:jc w:val="left"/>
              <w:outlineLvl w:val="1"/>
            </w:pPr>
            <w:r>
              <w:t>TBMA</w:t>
            </w:r>
          </w:p>
        </w:tc>
        <w:tc>
          <w:tcPr>
            <w:tcW w:w="6472" w:type="dxa"/>
          </w:tcPr>
          <w:p w14:paraId="2F6F5134" w14:textId="77777777" w:rsidR="00E20296" w:rsidRDefault="00E20296" w:rsidP="00797539">
            <w:pPr>
              <w:pStyle w:val="Heading2"/>
              <w:numPr>
                <w:ilvl w:val="0"/>
                <w:numId w:val="0"/>
              </w:numPr>
              <w:spacing w:before="120" w:after="120"/>
              <w:ind w:left="18" w:hanging="18"/>
              <w:jc w:val="left"/>
              <w:outlineLvl w:val="1"/>
            </w:pPr>
            <w:r>
              <w:t>means The Bond Market Association (a predecessor to SIFMA)</w:t>
            </w:r>
          </w:p>
        </w:tc>
      </w:tr>
      <w:tr w:rsidR="00E20296" w14:paraId="7082089A" w14:textId="77777777" w:rsidTr="00797539">
        <w:tc>
          <w:tcPr>
            <w:tcW w:w="1827" w:type="dxa"/>
          </w:tcPr>
          <w:p w14:paraId="5E0046EF" w14:textId="77777777" w:rsidR="00E20296" w:rsidRPr="00AE7202" w:rsidRDefault="00E20296" w:rsidP="00797539">
            <w:pPr>
              <w:pStyle w:val="Heading2"/>
              <w:numPr>
                <w:ilvl w:val="0"/>
                <w:numId w:val="0"/>
              </w:numPr>
              <w:spacing w:before="120" w:after="120"/>
              <w:ind w:left="18" w:hanging="18"/>
              <w:jc w:val="left"/>
              <w:outlineLvl w:val="1"/>
            </w:pPr>
            <w:r w:rsidRPr="00AE7202">
              <w:t>Treasury bills or T-bills</w:t>
            </w:r>
          </w:p>
        </w:tc>
        <w:tc>
          <w:tcPr>
            <w:tcW w:w="6472" w:type="dxa"/>
          </w:tcPr>
          <w:p w14:paraId="4BAE15AA" w14:textId="77777777" w:rsidR="00E20296" w:rsidRPr="00AE7202" w:rsidRDefault="00E20296" w:rsidP="00797539">
            <w:pPr>
              <w:pStyle w:val="Heading2"/>
              <w:numPr>
                <w:ilvl w:val="0"/>
                <w:numId w:val="0"/>
              </w:numPr>
              <w:spacing w:before="120" w:after="120"/>
              <w:ind w:left="18" w:hanging="18"/>
              <w:jc w:val="left"/>
              <w:outlineLvl w:val="1"/>
            </w:pPr>
            <w:r>
              <w:t>m</w:t>
            </w:r>
            <w:r w:rsidRPr="0036555C">
              <w:t>eans</w:t>
            </w:r>
            <w:r>
              <w:t xml:space="preserve"> sterling denominated UK government marketable debt instruments with maturities of up to one year</w:t>
            </w:r>
          </w:p>
        </w:tc>
      </w:tr>
      <w:tr w:rsidR="00E20296" w14:paraId="46841099" w14:textId="77777777" w:rsidTr="00797539">
        <w:tc>
          <w:tcPr>
            <w:tcW w:w="1827" w:type="dxa"/>
          </w:tcPr>
          <w:p w14:paraId="4790E0B9" w14:textId="77777777" w:rsidR="00E20296" w:rsidRPr="00AE7202" w:rsidRDefault="00E20296" w:rsidP="00797539">
            <w:pPr>
              <w:pStyle w:val="Heading2"/>
              <w:numPr>
                <w:ilvl w:val="0"/>
                <w:numId w:val="0"/>
              </w:numPr>
              <w:spacing w:before="120" w:after="120"/>
              <w:ind w:left="18" w:hanging="18"/>
              <w:jc w:val="left"/>
              <w:outlineLvl w:val="1"/>
            </w:pPr>
            <w:r>
              <w:t>VFM</w:t>
            </w:r>
          </w:p>
        </w:tc>
        <w:tc>
          <w:tcPr>
            <w:tcW w:w="6472" w:type="dxa"/>
          </w:tcPr>
          <w:p w14:paraId="1C09FEE3" w14:textId="77777777" w:rsidR="00E20296" w:rsidRDefault="00E20296" w:rsidP="00797539">
            <w:pPr>
              <w:pStyle w:val="Heading2"/>
              <w:numPr>
                <w:ilvl w:val="0"/>
                <w:numId w:val="0"/>
              </w:numPr>
              <w:spacing w:before="120" w:after="120"/>
              <w:ind w:left="18" w:hanging="18"/>
              <w:jc w:val="left"/>
              <w:outlineLvl w:val="1"/>
            </w:pPr>
            <w:r>
              <w:t>means Value for Money</w:t>
            </w:r>
          </w:p>
        </w:tc>
      </w:tr>
    </w:tbl>
    <w:p w14:paraId="537D9805" w14:textId="78BAF4C0" w:rsidR="00E20296" w:rsidRDefault="00E20296" w:rsidP="00015443">
      <w:pPr>
        <w:pStyle w:val="Heading1"/>
        <w:keepNext/>
        <w:numPr>
          <w:ilvl w:val="0"/>
          <w:numId w:val="42"/>
        </w:numPr>
        <w:spacing w:before="240" w:after="120"/>
        <w:rPr>
          <w:szCs w:val="22"/>
        </w:rPr>
      </w:pPr>
      <w:bookmarkStart w:id="22" w:name="_Toc520455190"/>
      <w:bookmarkStart w:id="23" w:name="_Toc528926392"/>
      <w:r w:rsidRPr="00B9425F">
        <w:rPr>
          <w:szCs w:val="22"/>
        </w:rPr>
        <w:lastRenderedPageBreak/>
        <w:t xml:space="preserve">SCOPE </w:t>
      </w:r>
      <w:r w:rsidRPr="00642801">
        <w:t>OF</w:t>
      </w:r>
      <w:r w:rsidRPr="00B9425F">
        <w:rPr>
          <w:szCs w:val="22"/>
        </w:rPr>
        <w:t xml:space="preserve"> REQUIREMENT</w:t>
      </w:r>
      <w:bookmarkEnd w:id="17"/>
      <w:bookmarkEnd w:id="18"/>
      <w:bookmarkEnd w:id="19"/>
      <w:bookmarkEnd w:id="22"/>
      <w:bookmarkEnd w:id="23"/>
      <w:r w:rsidRPr="00B9425F">
        <w:rPr>
          <w:szCs w:val="22"/>
        </w:rPr>
        <w:t xml:space="preserve"> </w:t>
      </w:r>
      <w:bookmarkEnd w:id="13"/>
    </w:p>
    <w:p w14:paraId="143DDAE0" w14:textId="77777777" w:rsidR="00E20296" w:rsidRDefault="00E20296" w:rsidP="00015443">
      <w:pPr>
        <w:pStyle w:val="Heading2"/>
        <w:numPr>
          <w:ilvl w:val="1"/>
          <w:numId w:val="42"/>
        </w:numPr>
        <w:spacing w:after="120"/>
        <w:ind w:left="709" w:hanging="709"/>
      </w:pPr>
      <w:r w:rsidRPr="006538CF">
        <w:t xml:space="preserve">The </w:t>
      </w:r>
      <w:r>
        <w:t>Authority</w:t>
      </w:r>
      <w:r w:rsidRPr="006538CF">
        <w:t xml:space="preserve"> requires legal specialists to provide advice on an on-going basis in relation to the areas</w:t>
      </w:r>
      <w:r>
        <w:t xml:space="preserve"> of work set out under section 6</w:t>
      </w:r>
      <w:r w:rsidRPr="006538CF">
        <w:t xml:space="preserve"> (</w:t>
      </w:r>
      <w:r>
        <w:rPr>
          <w:i/>
        </w:rPr>
        <w:t>The</w:t>
      </w:r>
      <w:r w:rsidRPr="00014674">
        <w:rPr>
          <w:i/>
        </w:rPr>
        <w:t xml:space="preserve"> Requirement</w:t>
      </w:r>
      <w:r>
        <w:t>) below. The core</w:t>
      </w:r>
      <w:r w:rsidRPr="006538CF">
        <w:t xml:space="preserve"> work</w:t>
      </w:r>
      <w:r>
        <w:t xml:space="preserve"> under the Legal Services Contract is expected to fall within</w:t>
      </w:r>
      <w:r w:rsidRPr="006538CF">
        <w:t xml:space="preserve"> the following </w:t>
      </w:r>
      <w:r>
        <w:t>Mandatory S</w:t>
      </w:r>
      <w:r w:rsidRPr="006538CF">
        <w:t>pecialisms:</w:t>
      </w:r>
    </w:p>
    <w:p w14:paraId="24027BCC" w14:textId="77777777" w:rsidR="00E20296" w:rsidRDefault="00E20296" w:rsidP="00015443">
      <w:pPr>
        <w:pStyle w:val="Heading3"/>
        <w:numPr>
          <w:ilvl w:val="2"/>
          <w:numId w:val="42"/>
        </w:numPr>
      </w:pPr>
      <w:r w:rsidRPr="006538CF">
        <w:t>Debt capital markets; and</w:t>
      </w:r>
    </w:p>
    <w:p w14:paraId="0E541256" w14:textId="77777777" w:rsidR="00E20296" w:rsidRDefault="00E20296" w:rsidP="00015443">
      <w:pPr>
        <w:pStyle w:val="Heading3"/>
        <w:numPr>
          <w:ilvl w:val="2"/>
          <w:numId w:val="42"/>
        </w:numPr>
      </w:pPr>
      <w:r w:rsidRPr="006538CF">
        <w:t>Financial services, market and competition regulation,</w:t>
      </w:r>
    </w:p>
    <w:p w14:paraId="4A501CD2" w14:textId="77777777" w:rsidR="00E20296" w:rsidRDefault="00E20296" w:rsidP="00E20296">
      <w:pPr>
        <w:pStyle w:val="Heading2"/>
        <w:numPr>
          <w:ilvl w:val="0"/>
          <w:numId w:val="0"/>
        </w:numPr>
        <w:ind w:left="720"/>
      </w:pPr>
      <w:r w:rsidRPr="00457119">
        <w:t>with the possibility of requiring some advic</w:t>
      </w:r>
      <w:r>
        <w:t>e where expertise in the following Mandatory S</w:t>
      </w:r>
      <w:r w:rsidRPr="00457119">
        <w:t>pecialisms</w:t>
      </w:r>
      <w:r>
        <w:t xml:space="preserve"> would be necessary</w:t>
      </w:r>
      <w:r w:rsidRPr="00457119">
        <w:t>:</w:t>
      </w:r>
    </w:p>
    <w:p w14:paraId="7E6E8B3D" w14:textId="77777777" w:rsidR="00E20296" w:rsidRDefault="00E20296" w:rsidP="00015443">
      <w:pPr>
        <w:pStyle w:val="Heading3"/>
        <w:numPr>
          <w:ilvl w:val="2"/>
          <w:numId w:val="42"/>
        </w:numPr>
      </w:pPr>
      <w:r w:rsidRPr="00457119">
        <w:t>High value or complex transactions or disputes</w:t>
      </w:r>
      <w:r>
        <w:t>;</w:t>
      </w:r>
    </w:p>
    <w:p w14:paraId="71E09306" w14:textId="77777777" w:rsidR="00E20296" w:rsidRDefault="00E20296" w:rsidP="00015443">
      <w:pPr>
        <w:pStyle w:val="Heading3"/>
        <w:numPr>
          <w:ilvl w:val="2"/>
          <w:numId w:val="42"/>
        </w:numPr>
      </w:pPr>
      <w:r w:rsidRPr="00457119">
        <w:t>Projects of exceptional innovation and complexity</w:t>
      </w:r>
      <w:r>
        <w:t>;</w:t>
      </w:r>
    </w:p>
    <w:p w14:paraId="4F7554B9" w14:textId="77777777" w:rsidR="00E20296" w:rsidRDefault="00E20296" w:rsidP="00015443">
      <w:pPr>
        <w:pStyle w:val="Heading3"/>
        <w:numPr>
          <w:ilvl w:val="2"/>
          <w:numId w:val="42"/>
        </w:numPr>
      </w:pPr>
      <w:r w:rsidRPr="000A64A5">
        <w:t>Corporate finance</w:t>
      </w:r>
      <w:r>
        <w:t>;</w:t>
      </w:r>
    </w:p>
    <w:p w14:paraId="63402DAC" w14:textId="77777777" w:rsidR="00E20296" w:rsidRDefault="00E20296" w:rsidP="00015443">
      <w:pPr>
        <w:pStyle w:val="Heading3"/>
        <w:numPr>
          <w:ilvl w:val="2"/>
          <w:numId w:val="42"/>
        </w:numPr>
      </w:pPr>
      <w:r w:rsidRPr="000A64A5">
        <w:t>Investment and commercial banking</w:t>
      </w:r>
      <w:r>
        <w:t>;</w:t>
      </w:r>
    </w:p>
    <w:p w14:paraId="302511FA" w14:textId="77777777" w:rsidR="00E20296" w:rsidRDefault="00E20296" w:rsidP="00015443">
      <w:pPr>
        <w:pStyle w:val="Heading3"/>
        <w:numPr>
          <w:ilvl w:val="2"/>
          <w:numId w:val="42"/>
        </w:numPr>
      </w:pPr>
      <w:r w:rsidRPr="000A64A5">
        <w:t>Insurance and reinsurance</w:t>
      </w:r>
      <w:r>
        <w:t>;</w:t>
      </w:r>
    </w:p>
    <w:p w14:paraId="192F6C47" w14:textId="77777777" w:rsidR="00E20296" w:rsidRDefault="00E20296" w:rsidP="00015443">
      <w:pPr>
        <w:pStyle w:val="Heading3"/>
        <w:numPr>
          <w:ilvl w:val="2"/>
          <w:numId w:val="42"/>
        </w:numPr>
      </w:pPr>
      <w:r w:rsidRPr="000A64A5">
        <w:t>Investment and asset management</w:t>
      </w:r>
      <w:r>
        <w:t>;</w:t>
      </w:r>
    </w:p>
    <w:p w14:paraId="4B59AC12" w14:textId="77777777" w:rsidR="00E20296" w:rsidRDefault="00E20296" w:rsidP="00015443">
      <w:pPr>
        <w:pStyle w:val="Heading3"/>
        <w:numPr>
          <w:ilvl w:val="2"/>
          <w:numId w:val="42"/>
        </w:numPr>
      </w:pPr>
      <w:r w:rsidRPr="000A64A5">
        <w:t>Asset finance</w:t>
      </w:r>
      <w:r>
        <w:t>; and</w:t>
      </w:r>
    </w:p>
    <w:p w14:paraId="4A2B04EE" w14:textId="77777777" w:rsidR="00E20296" w:rsidRDefault="00E20296" w:rsidP="00015443">
      <w:pPr>
        <w:pStyle w:val="Heading3"/>
        <w:numPr>
          <w:ilvl w:val="2"/>
          <w:numId w:val="42"/>
        </w:numPr>
      </w:pPr>
      <w:r w:rsidRPr="000A64A5">
        <w:t>Rescue, restructuring &amp; insolvency</w:t>
      </w:r>
      <w:r>
        <w:t>,</w:t>
      </w:r>
    </w:p>
    <w:p w14:paraId="6F6908DB" w14:textId="77777777" w:rsidR="00E20296" w:rsidRDefault="00E20296" w:rsidP="00E20296">
      <w:pPr>
        <w:pStyle w:val="Heading2"/>
        <w:numPr>
          <w:ilvl w:val="0"/>
          <w:numId w:val="0"/>
        </w:numPr>
        <w:ind w:left="720"/>
      </w:pPr>
      <w:r w:rsidRPr="000A64A5">
        <w:t xml:space="preserve">and the possibility of requiring some advice </w:t>
      </w:r>
      <w:r>
        <w:t xml:space="preserve">where expertise </w:t>
      </w:r>
      <w:r w:rsidRPr="000A64A5">
        <w:t xml:space="preserve">falling within the following </w:t>
      </w:r>
      <w:r>
        <w:t>O</w:t>
      </w:r>
      <w:r w:rsidRPr="000A64A5">
        <w:t xml:space="preserve">ptional </w:t>
      </w:r>
      <w:r>
        <w:t>S</w:t>
      </w:r>
      <w:r w:rsidRPr="000A64A5">
        <w:t>pecialisms</w:t>
      </w:r>
      <w:r>
        <w:t xml:space="preserve"> would be necessary</w:t>
      </w:r>
      <w:r w:rsidRPr="000A64A5">
        <w:t>:</w:t>
      </w:r>
    </w:p>
    <w:p w14:paraId="2B85B711" w14:textId="77777777" w:rsidR="00E20296" w:rsidRPr="008A11F5" w:rsidRDefault="00E20296" w:rsidP="00015443">
      <w:pPr>
        <w:pStyle w:val="Heading3"/>
        <w:numPr>
          <w:ilvl w:val="2"/>
          <w:numId w:val="42"/>
        </w:numPr>
      </w:pPr>
      <w:r w:rsidRPr="008A11F5">
        <w:rPr>
          <w:szCs w:val="22"/>
        </w:rPr>
        <w:t>All aspects of law and practice relating to international trade agreements, investments and associated regulations, and to the United Kingdom’s exit from the European Union, in so far as they relate to the above projects;</w:t>
      </w:r>
    </w:p>
    <w:p w14:paraId="43CCC43E" w14:textId="77777777" w:rsidR="00E20296" w:rsidRDefault="00E20296" w:rsidP="00015443">
      <w:pPr>
        <w:pStyle w:val="Heading3"/>
        <w:numPr>
          <w:ilvl w:val="2"/>
          <w:numId w:val="42"/>
        </w:numPr>
      </w:pPr>
      <w:r w:rsidRPr="00457119">
        <w:t>Sovereign debt restructuring</w:t>
      </w:r>
      <w:r>
        <w:t xml:space="preserve"> </w:t>
      </w:r>
      <w:r w:rsidRPr="00A45D2D">
        <w:t xml:space="preserve">including international </w:t>
      </w:r>
      <w:r>
        <w:t>and EU structures and processes; and</w:t>
      </w:r>
    </w:p>
    <w:p w14:paraId="219159CA" w14:textId="77777777" w:rsidR="00E20296" w:rsidRDefault="00E20296" w:rsidP="00015443">
      <w:pPr>
        <w:pStyle w:val="Heading3"/>
        <w:numPr>
          <w:ilvl w:val="2"/>
          <w:numId w:val="42"/>
        </w:numPr>
      </w:pPr>
      <w:r>
        <w:t>International financial organisation.</w:t>
      </w:r>
    </w:p>
    <w:p w14:paraId="602E5700" w14:textId="77777777" w:rsidR="00E20296" w:rsidRDefault="00E20296" w:rsidP="00015443">
      <w:pPr>
        <w:pStyle w:val="Heading2"/>
        <w:numPr>
          <w:ilvl w:val="1"/>
          <w:numId w:val="42"/>
        </w:numPr>
      </w:pPr>
      <w:r>
        <w:t>The Supplier should therefore have capability in each of the above areas of specialism.</w:t>
      </w:r>
    </w:p>
    <w:p w14:paraId="6CCC72D0" w14:textId="0A1F00AB" w:rsidR="00E20296" w:rsidRDefault="00E20296" w:rsidP="00015443">
      <w:pPr>
        <w:pStyle w:val="Heading1"/>
        <w:keepNext/>
        <w:numPr>
          <w:ilvl w:val="0"/>
          <w:numId w:val="42"/>
        </w:numPr>
        <w:spacing w:before="240" w:after="120"/>
      </w:pPr>
      <w:bookmarkStart w:id="24" w:name="_Toc510008184"/>
      <w:bookmarkStart w:id="25" w:name="_Toc510008185"/>
      <w:bookmarkStart w:id="26" w:name="_Toc510008186"/>
      <w:bookmarkStart w:id="27" w:name="_Toc510008187"/>
      <w:bookmarkStart w:id="28" w:name="_Toc368573031"/>
      <w:bookmarkStart w:id="29" w:name="_Toc520455191"/>
      <w:bookmarkStart w:id="30" w:name="_Toc528926393"/>
      <w:bookmarkStart w:id="31" w:name="_Toc368573032"/>
      <w:bookmarkEnd w:id="24"/>
      <w:bookmarkEnd w:id="25"/>
      <w:bookmarkEnd w:id="26"/>
      <w:bookmarkEnd w:id="27"/>
      <w:r w:rsidRPr="00BE6EE0">
        <w:t>THE REQUIREMENT</w:t>
      </w:r>
      <w:bookmarkEnd w:id="28"/>
      <w:bookmarkEnd w:id="29"/>
      <w:bookmarkEnd w:id="30"/>
    </w:p>
    <w:p w14:paraId="7A5D9144" w14:textId="77777777" w:rsidR="00E20296" w:rsidRDefault="00E20296" w:rsidP="00015443">
      <w:pPr>
        <w:pStyle w:val="Heading2"/>
        <w:numPr>
          <w:ilvl w:val="1"/>
          <w:numId w:val="42"/>
        </w:numPr>
        <w:tabs>
          <w:tab w:val="clear" w:pos="720"/>
          <w:tab w:val="num" w:pos="862"/>
        </w:tabs>
        <w:overflowPunct w:val="0"/>
        <w:autoSpaceDE w:val="0"/>
        <w:autoSpaceDN w:val="0"/>
        <w:spacing w:after="120"/>
        <w:ind w:left="709" w:hanging="709"/>
        <w:textAlignment w:val="baseline"/>
      </w:pPr>
      <w:r>
        <w:t>The Authority requires legal specialists to provide advice on an on-going basis in relation to the following areas of work:</w:t>
      </w:r>
    </w:p>
    <w:p w14:paraId="729AD9B5" w14:textId="77777777" w:rsidR="00E20296" w:rsidRPr="006C3FE3" w:rsidRDefault="00E20296" w:rsidP="00015443">
      <w:pPr>
        <w:pStyle w:val="Heading3"/>
        <w:numPr>
          <w:ilvl w:val="2"/>
          <w:numId w:val="42"/>
        </w:numPr>
        <w:rPr>
          <w:i/>
        </w:rPr>
      </w:pPr>
      <w:r w:rsidRPr="006C3FE3">
        <w:rPr>
          <w:i/>
        </w:rPr>
        <w:t>Issue of Gilts</w:t>
      </w:r>
    </w:p>
    <w:p w14:paraId="399EE645" w14:textId="77777777" w:rsidR="00E20296" w:rsidRDefault="00E20296" w:rsidP="00015443">
      <w:pPr>
        <w:pStyle w:val="Heading4"/>
        <w:numPr>
          <w:ilvl w:val="3"/>
          <w:numId w:val="42"/>
        </w:numPr>
      </w:pPr>
      <w:r>
        <w:t xml:space="preserve">Reviewing revisions to the standing contractual terms of issuance of Gilts, the </w:t>
      </w:r>
      <w:r w:rsidRPr="008A7AC6">
        <w:rPr>
          <w:i/>
        </w:rPr>
        <w:t>Information Memorandum relating to the Issue, Stripping and Reconstitution of British Government Stock</w:t>
      </w:r>
      <w:r>
        <w:t xml:space="preserve"> (the “</w:t>
      </w:r>
      <w:r>
        <w:rPr>
          <w:b/>
        </w:rPr>
        <w:t xml:space="preserve">Gilt </w:t>
      </w:r>
      <w:r w:rsidRPr="006C3FE3">
        <w:rPr>
          <w:b/>
        </w:rPr>
        <w:t>I</w:t>
      </w:r>
      <w:r>
        <w:rPr>
          <w:b/>
        </w:rPr>
        <w:t xml:space="preserve">nformation </w:t>
      </w:r>
      <w:r w:rsidRPr="006C3FE3">
        <w:rPr>
          <w:b/>
        </w:rPr>
        <w:t>M</w:t>
      </w:r>
      <w:r>
        <w:rPr>
          <w:b/>
        </w:rPr>
        <w:t>emorandum</w:t>
      </w:r>
      <w:r>
        <w:t>”) published by the Authority as amended from time to time.</w:t>
      </w:r>
    </w:p>
    <w:p w14:paraId="1FF4C61A" w14:textId="77777777" w:rsidR="00E20296" w:rsidRDefault="00E20296" w:rsidP="00015443">
      <w:pPr>
        <w:pStyle w:val="Heading4"/>
        <w:numPr>
          <w:ilvl w:val="3"/>
          <w:numId w:val="42"/>
        </w:numPr>
      </w:pPr>
      <w:r>
        <w:lastRenderedPageBreak/>
        <w:t>Reviewing revisions to the contractual terms of issuance in the Prospectus relevant to each issue and subsequent issue of Gilts by means of auction (36 auctions are scheduled for 2018-19). Each Prospectus must be read in conjunction with the Gilt Information Memorandum in force at the date the Prospectus is published. Together the two documents constitute the Offering Circular relevant to each issue and subsequent issue of Gilts by means of auction.</w:t>
      </w:r>
    </w:p>
    <w:p w14:paraId="0C608F8B" w14:textId="77777777" w:rsidR="00E20296" w:rsidRDefault="00E20296" w:rsidP="00015443">
      <w:pPr>
        <w:pStyle w:val="Heading4"/>
        <w:numPr>
          <w:ilvl w:val="3"/>
          <w:numId w:val="42"/>
        </w:numPr>
      </w:pPr>
      <w:r>
        <w:t>Advising and supporting the Authority at each issue and subsequent issue of Gilts by means of a syndicated offer (</w:t>
      </w:r>
      <w:r>
        <w:rPr>
          <w:rFonts w:cs="Arial"/>
        </w:rPr>
        <w:t>four</w:t>
      </w:r>
      <w:r>
        <w:t xml:space="preserve"> syndicated offerings are anticipated for 2018-19). This will include, inter alia, reviewing and advising on the Preliminary Offering Circular, Final Offering Circular, Subscription Agreement, Memorandum of Understanding between the Authority and the Joint Lead Managers, Invitation Document, Pricing Document and the Signing and Closing Memorandum</w:t>
      </w:r>
      <w:r w:rsidRPr="00926C5A">
        <w:t xml:space="preserve"> and issuing a legal opinion on certain matters</w:t>
      </w:r>
      <w:r>
        <w:t>.</w:t>
      </w:r>
    </w:p>
    <w:p w14:paraId="6F6F6E88" w14:textId="77777777" w:rsidR="00E20296" w:rsidRDefault="00E20296" w:rsidP="00015443">
      <w:pPr>
        <w:pStyle w:val="Heading4"/>
        <w:numPr>
          <w:ilvl w:val="3"/>
          <w:numId w:val="42"/>
        </w:numPr>
      </w:pPr>
      <w:r>
        <w:t>Preparation of and arranging for execution of the Final Offering Circular and Subscription Agreement and preparation of and circulation of the “bibles” relevant to each issue and subsequent issue of Gilts by means of a syndicated offer.</w:t>
      </w:r>
    </w:p>
    <w:p w14:paraId="20F04999" w14:textId="77777777" w:rsidR="00E20296" w:rsidRDefault="00E20296" w:rsidP="00015443">
      <w:pPr>
        <w:pStyle w:val="Heading4"/>
        <w:numPr>
          <w:ilvl w:val="3"/>
          <w:numId w:val="42"/>
        </w:numPr>
      </w:pPr>
      <w:r>
        <w:t>Advising the Authority of changes in applicable law, including taxation law, and market practice affecting the issuance of Gilts and the provisions of the related documentation; responding to ad hoc queries related to applicable law.</w:t>
      </w:r>
    </w:p>
    <w:p w14:paraId="3D444587" w14:textId="77777777" w:rsidR="00E20296" w:rsidRDefault="00E20296" w:rsidP="00015443">
      <w:pPr>
        <w:pStyle w:val="Heading4"/>
        <w:numPr>
          <w:ilvl w:val="3"/>
          <w:numId w:val="42"/>
        </w:numPr>
      </w:pPr>
      <w:r>
        <w:t>Advising the Authority of changes in applicable rules affecting the admission of each issue and subsequent issue of Gilts to the Official List maintained by the United Kingdom Listing Authority at the Financial Conduct Authority.</w:t>
      </w:r>
    </w:p>
    <w:p w14:paraId="7F2C28CD" w14:textId="77777777" w:rsidR="00E20296" w:rsidRDefault="00E20296" w:rsidP="00015443">
      <w:pPr>
        <w:pStyle w:val="Heading4"/>
        <w:numPr>
          <w:ilvl w:val="3"/>
          <w:numId w:val="42"/>
        </w:numPr>
      </w:pPr>
      <w:r>
        <w:t>Advising the Authority of changes in applicable rules affecting the admission of each issue and subsequent issue of Gilts to trading on the London Stock Exchange.</w:t>
      </w:r>
    </w:p>
    <w:p w14:paraId="5C263BBA" w14:textId="77777777" w:rsidR="00E20296" w:rsidRDefault="00E20296" w:rsidP="00015443">
      <w:pPr>
        <w:pStyle w:val="Heading4"/>
        <w:numPr>
          <w:ilvl w:val="3"/>
          <w:numId w:val="42"/>
        </w:numPr>
      </w:pPr>
      <w:r>
        <w:t xml:space="preserve">Reviewing revisions to the operational procedures affecting the issuance of Gilts, the </w:t>
      </w:r>
      <w:r w:rsidRPr="00142AAE">
        <w:rPr>
          <w:i/>
        </w:rPr>
        <w:t>Official Operations in the Gilt-edged Market – An Operational Notice</w:t>
      </w:r>
      <w:r>
        <w:t xml:space="preserve">, the </w:t>
      </w:r>
      <w:r w:rsidRPr="00142AAE">
        <w:rPr>
          <w:i/>
        </w:rPr>
        <w:t>GEMM Guidebook – A Guide to the Roles of the DMO and Primary Dealers in the UK Government Bond Market</w:t>
      </w:r>
      <w:r>
        <w:t>, the T</w:t>
      </w:r>
      <w:r w:rsidRPr="00142AAE">
        <w:rPr>
          <w:i/>
        </w:rPr>
        <w:t>erms and Conditions of the Standing</w:t>
      </w:r>
      <w:r>
        <w:rPr>
          <w:i/>
        </w:rPr>
        <w:t xml:space="preserve"> </w:t>
      </w:r>
      <w:r w:rsidRPr="00142AAE">
        <w:rPr>
          <w:i/>
        </w:rPr>
        <w:t>Repo Facility</w:t>
      </w:r>
      <w:r>
        <w:t xml:space="preserve">, the </w:t>
      </w:r>
      <w:r w:rsidRPr="00142AAE">
        <w:rPr>
          <w:i/>
        </w:rPr>
        <w:t>Terms and Conditions of the Special Repo Facility</w:t>
      </w:r>
      <w:r>
        <w:t xml:space="preserve"> as amended from time to time and any other operational rules that may be published by the Authority from time to time (each available at</w:t>
      </w:r>
      <w:r w:rsidRPr="00142AAE">
        <w:t xml:space="preserve"> </w:t>
      </w:r>
      <w:hyperlink r:id="rId11" w:history="1">
        <w:r w:rsidRPr="007C641D">
          <w:rPr>
            <w:rStyle w:val="Hyperlink"/>
          </w:rPr>
          <w:t>http://dmo.gov.uk/publications/gilt-market/operational-rules/</w:t>
        </w:r>
      </w:hyperlink>
      <w:r>
        <w:t>).</w:t>
      </w:r>
    </w:p>
    <w:p w14:paraId="41CE4721" w14:textId="77777777" w:rsidR="00E20296" w:rsidRPr="006C3FE3" w:rsidRDefault="00E20296" w:rsidP="00015443">
      <w:pPr>
        <w:pStyle w:val="Heading3"/>
        <w:numPr>
          <w:ilvl w:val="2"/>
          <w:numId w:val="42"/>
        </w:numPr>
        <w:rPr>
          <w:i/>
        </w:rPr>
      </w:pPr>
      <w:r w:rsidRPr="006C3FE3">
        <w:rPr>
          <w:i/>
        </w:rPr>
        <w:t>Issue of UK Treasury Bills</w:t>
      </w:r>
    </w:p>
    <w:p w14:paraId="218BA0CC" w14:textId="77777777" w:rsidR="00E20296" w:rsidRDefault="00E20296" w:rsidP="00015443">
      <w:pPr>
        <w:pStyle w:val="Heading4"/>
        <w:numPr>
          <w:ilvl w:val="3"/>
          <w:numId w:val="42"/>
        </w:numPr>
      </w:pPr>
      <w:r>
        <w:t xml:space="preserve">Reviewing revisions to the contractual terms of issuance of Treasury bills, the </w:t>
      </w:r>
      <w:r w:rsidRPr="00142AAE">
        <w:rPr>
          <w:i/>
        </w:rPr>
        <w:t>Treasury</w:t>
      </w:r>
      <w:r>
        <w:rPr>
          <w:i/>
        </w:rPr>
        <w:t xml:space="preserve"> </w:t>
      </w:r>
      <w:r w:rsidRPr="00142AAE">
        <w:rPr>
          <w:i/>
        </w:rPr>
        <w:t>bill Information Memorandum</w:t>
      </w:r>
      <w:r>
        <w:t xml:space="preserve"> published by the Authority as part of the </w:t>
      </w:r>
      <w:r w:rsidRPr="00142AAE">
        <w:rPr>
          <w:i/>
        </w:rPr>
        <w:t xml:space="preserve">Cash Management </w:t>
      </w:r>
      <w:r w:rsidRPr="00142AAE">
        <w:rPr>
          <w:i/>
        </w:rPr>
        <w:lastRenderedPageBreak/>
        <w:t>Operational Notice and Treasury bill Information</w:t>
      </w:r>
      <w:r>
        <w:rPr>
          <w:i/>
        </w:rPr>
        <w:t xml:space="preserve"> </w:t>
      </w:r>
      <w:r w:rsidRPr="00142AAE">
        <w:rPr>
          <w:i/>
        </w:rPr>
        <w:t>Memorandum</w:t>
      </w:r>
      <w:r>
        <w:t xml:space="preserve"> as amended from time to time</w:t>
      </w:r>
      <w:r w:rsidRPr="00A873EF">
        <w:t xml:space="preserve"> </w:t>
      </w:r>
      <w:r>
        <w:t xml:space="preserve">and any other operational rules that may be published by the Authority from time to time (each available at </w:t>
      </w:r>
      <w:hyperlink r:id="rId12" w:history="1">
        <w:r w:rsidRPr="007C641D">
          <w:rPr>
            <w:rStyle w:val="Hyperlink"/>
          </w:rPr>
          <w:t>https://www.dmo.gov.uk/publications/money-markets/</w:t>
        </w:r>
      </w:hyperlink>
      <w:r>
        <w:t>).</w:t>
      </w:r>
    </w:p>
    <w:p w14:paraId="04A4637E" w14:textId="77777777" w:rsidR="00E20296" w:rsidRDefault="00E20296" w:rsidP="00015443">
      <w:pPr>
        <w:pStyle w:val="Heading4"/>
        <w:numPr>
          <w:ilvl w:val="3"/>
          <w:numId w:val="42"/>
        </w:numPr>
      </w:pPr>
      <w:r>
        <w:t>Advising the Authority of changes in applicable law, including taxation law, and market practice affecting the issuance of Treasury bills and the provisions of the related documentation; responding to ad hoc queries related to applicable law.</w:t>
      </w:r>
    </w:p>
    <w:p w14:paraId="318980C9" w14:textId="77777777" w:rsidR="00E20296" w:rsidRPr="006C3FE3" w:rsidRDefault="00E20296" w:rsidP="00015443">
      <w:pPr>
        <w:pStyle w:val="Heading3"/>
        <w:numPr>
          <w:ilvl w:val="2"/>
          <w:numId w:val="42"/>
        </w:numPr>
        <w:rPr>
          <w:i/>
        </w:rPr>
      </w:pPr>
      <w:r w:rsidRPr="006C3FE3">
        <w:rPr>
          <w:i/>
        </w:rPr>
        <w:t>Cash Management Operations</w:t>
      </w:r>
    </w:p>
    <w:p w14:paraId="031E78B6" w14:textId="77777777" w:rsidR="00E20296" w:rsidRDefault="00E20296" w:rsidP="00015443">
      <w:pPr>
        <w:pStyle w:val="Heading4"/>
        <w:numPr>
          <w:ilvl w:val="3"/>
          <w:numId w:val="42"/>
        </w:numPr>
      </w:pPr>
      <w:r>
        <w:t xml:space="preserve">Reviewing revisions to the operational procedures affecting the Authority’s cash management operations in the money markets, the </w:t>
      </w:r>
      <w:r w:rsidRPr="008A7AC6">
        <w:rPr>
          <w:i/>
        </w:rPr>
        <w:t>Cash Management</w:t>
      </w:r>
      <w:r>
        <w:rPr>
          <w:i/>
        </w:rPr>
        <w:t xml:space="preserve"> </w:t>
      </w:r>
      <w:r w:rsidRPr="008A7AC6">
        <w:rPr>
          <w:i/>
        </w:rPr>
        <w:t>Operational Notice and Treasury bill Information Memorandum</w:t>
      </w:r>
      <w:r>
        <w:t xml:space="preserve"> and the </w:t>
      </w:r>
      <w:r w:rsidRPr="008A7AC6">
        <w:rPr>
          <w:i/>
        </w:rPr>
        <w:t>DMADF Operational Notice</w:t>
      </w:r>
      <w:r>
        <w:t xml:space="preserve"> as amended from time to time (each available at </w:t>
      </w:r>
      <w:hyperlink r:id="rId13" w:history="1">
        <w:r w:rsidRPr="007C641D">
          <w:rPr>
            <w:rStyle w:val="Hyperlink"/>
          </w:rPr>
          <w:t>https://www.dmo.gov.uk/publications/money-markets/</w:t>
        </w:r>
      </w:hyperlink>
      <w:r>
        <w:t>).</w:t>
      </w:r>
    </w:p>
    <w:p w14:paraId="4309A1DA" w14:textId="77777777" w:rsidR="00E20296" w:rsidRDefault="00E20296" w:rsidP="00015443">
      <w:pPr>
        <w:pStyle w:val="Heading4"/>
        <w:numPr>
          <w:ilvl w:val="3"/>
          <w:numId w:val="42"/>
        </w:numPr>
      </w:pPr>
      <w:r>
        <w:t>Advising the Authority in its contractual negotiations with prospective counterparties in the sterling and euro repo and reverse repo markets.  The Authority uses the 2011 version SIFMA/ICMA Global Master Repurchase Agreement with a suite of various Annexes for new negotiations but issues can arise in respect of transactions entered into under an earlier version and firms should be familiar with the provisions of both the 2000 TBMA/ISMA Global Master Repurchase Agreement and the 1995 version PSA/ISMA Global Master Repurchase Agreement.  In all cases, the Annexes will have provisions specifically drafted to reflect the Authority’s status as a sovereign counterparty.</w:t>
      </w:r>
    </w:p>
    <w:p w14:paraId="639309D4" w14:textId="77777777" w:rsidR="00E20296" w:rsidRDefault="00E20296" w:rsidP="00015443">
      <w:pPr>
        <w:pStyle w:val="Heading4"/>
        <w:numPr>
          <w:ilvl w:val="3"/>
          <w:numId w:val="42"/>
        </w:numPr>
      </w:pPr>
      <w:r>
        <w:t>Advising the Authority in its contractual negotiations with prospective counterparties in the derivatives market.  The Authority uses the 1992 version ISDA Master Agreement with a 1995 version English Law Credit Support Annex for new negotiations; however, the Authority is reviewing the possibility of using the 2002 version ISDA Master Agreement with a 1995 version English Law Credit Support Annex and the successful firm should be familiar with the provisions of both the 1992 and 2002 version ISDA Master Agreements.  In both cases, the Schedules to the Master Agreements and the Elections to the Credit Support Annex will have provisions specifically drafted to reflect the Authority’s status as a sovereign counterparty.</w:t>
      </w:r>
    </w:p>
    <w:p w14:paraId="1AECEE7F" w14:textId="77777777" w:rsidR="00E20296" w:rsidRDefault="00E20296" w:rsidP="00015443">
      <w:pPr>
        <w:pStyle w:val="Heading4"/>
        <w:numPr>
          <w:ilvl w:val="3"/>
          <w:numId w:val="42"/>
        </w:numPr>
      </w:pPr>
      <w:r w:rsidRPr="003436EF">
        <w:t xml:space="preserve">Advising the </w:t>
      </w:r>
      <w:r>
        <w:t>Authority</w:t>
      </w:r>
      <w:r w:rsidRPr="003436EF">
        <w:t xml:space="preserve"> on any other cash management documentation and operations.</w:t>
      </w:r>
    </w:p>
    <w:p w14:paraId="0E8647DF" w14:textId="77777777" w:rsidR="00E20296" w:rsidRDefault="00E20296" w:rsidP="00015443">
      <w:pPr>
        <w:pStyle w:val="Heading4"/>
        <w:numPr>
          <w:ilvl w:val="3"/>
          <w:numId w:val="42"/>
        </w:numPr>
      </w:pPr>
      <w:r>
        <w:t>Advising the Authority of changes in applicable law, including taxation law, affecting its cash management operations</w:t>
      </w:r>
      <w:r w:rsidRPr="00C30673">
        <w:t xml:space="preserve"> </w:t>
      </w:r>
      <w:r>
        <w:t>and the provisions of the related documentation; responding to ad hoc queries related to applicable law.</w:t>
      </w:r>
    </w:p>
    <w:p w14:paraId="507FDF4C" w14:textId="77777777" w:rsidR="00E20296" w:rsidRPr="006C3FE3" w:rsidRDefault="00E20296" w:rsidP="00015443">
      <w:pPr>
        <w:pStyle w:val="Heading3"/>
        <w:numPr>
          <w:ilvl w:val="2"/>
          <w:numId w:val="42"/>
        </w:numPr>
        <w:rPr>
          <w:i/>
        </w:rPr>
      </w:pPr>
      <w:r w:rsidRPr="006C3FE3">
        <w:rPr>
          <w:i/>
        </w:rPr>
        <w:lastRenderedPageBreak/>
        <w:t>General Advice and Other Operations</w:t>
      </w:r>
    </w:p>
    <w:p w14:paraId="54A643AB" w14:textId="77777777" w:rsidR="00E20296" w:rsidRDefault="00E20296" w:rsidP="00015443">
      <w:pPr>
        <w:pStyle w:val="Heading4"/>
        <w:numPr>
          <w:ilvl w:val="3"/>
          <w:numId w:val="42"/>
        </w:numPr>
      </w:pPr>
      <w:r>
        <w:t>The wide ranging nature of the international capital and money markets means that a substantial number of the Authority’s counterparties are incorporated in jurisdictions other than the UK which gives rise to the possibility that questions may arise in relation to other legal systems; the successful firm should have the capability to provide advice in relation to such issues (whether through their in house capability or via links with overseas firms).</w:t>
      </w:r>
    </w:p>
    <w:p w14:paraId="097EE7E4" w14:textId="77777777" w:rsidR="00E20296" w:rsidRDefault="00E20296" w:rsidP="00015443">
      <w:pPr>
        <w:pStyle w:val="Heading4"/>
        <w:numPr>
          <w:ilvl w:val="3"/>
          <w:numId w:val="42"/>
        </w:numPr>
      </w:pPr>
      <w:r>
        <w:t>From time to time HM Treasury may call upon the Authority to assist with activities beyond its core role of debt and cash management; the successful firm shall have the depth of knowledge of the UK and international financial markets to provide advice in relation to such issues as might arise. The successful firm may also be called upon from time to time to advise the Authority of changes in applicable law affecting its other operations.</w:t>
      </w:r>
    </w:p>
    <w:p w14:paraId="6492D777" w14:textId="77777777" w:rsidR="00E20296" w:rsidRDefault="00E20296" w:rsidP="00015443">
      <w:pPr>
        <w:pStyle w:val="Heading4"/>
        <w:numPr>
          <w:ilvl w:val="3"/>
          <w:numId w:val="42"/>
        </w:numPr>
      </w:pPr>
      <w:r>
        <w:t>The successful firm may be called upon from time to time to advise on issues that may arise in relation to the interpretation of the Authority’s documentation and/or transactions a</w:t>
      </w:r>
      <w:r w:rsidRPr="003436EF">
        <w:t xml:space="preserve">nd/or any other disputes that may arise with market counterparties, investors, </w:t>
      </w:r>
      <w:r w:rsidRPr="005909FA">
        <w:t>suppliers</w:t>
      </w:r>
      <w:r w:rsidRPr="003436EF">
        <w:t xml:space="preserve"> or otherwise</w:t>
      </w:r>
      <w:r>
        <w:t xml:space="preserve"> (including, when required, the conduct of such disputes in court).</w:t>
      </w:r>
      <w:r w:rsidRPr="008F3044">
        <w:t xml:space="preserve"> </w:t>
      </w:r>
      <w:r>
        <w:t xml:space="preserve"> The successful firm will not be required to advise on disputes arising from public law issues but will be required to work with Treasury Legal Advisers where such issues overlap with commercial issues.</w:t>
      </w:r>
    </w:p>
    <w:p w14:paraId="7060CE90" w14:textId="77777777" w:rsidR="00E20296" w:rsidRDefault="00E20296" w:rsidP="00015443">
      <w:pPr>
        <w:pStyle w:val="Heading4"/>
        <w:numPr>
          <w:ilvl w:val="3"/>
          <w:numId w:val="42"/>
        </w:numPr>
      </w:pPr>
      <w:r>
        <w:t>The successful firm may be required to provide general and bespoke advice and training to the Authority’s staff</w:t>
      </w:r>
      <w:r w:rsidRPr="003436EF">
        <w:rPr>
          <w:rFonts w:asciiTheme="minorHAnsi" w:hAnsiTheme="minorHAnsi" w:cs="Arial"/>
          <w:szCs w:val="22"/>
        </w:rPr>
        <w:t xml:space="preserve"> </w:t>
      </w:r>
      <w:r w:rsidRPr="003436EF">
        <w:t>on matters such as anti-money laundering, anti-bribery and corruption and sanctions regulations</w:t>
      </w:r>
      <w:r>
        <w:t xml:space="preserve"> and best practices</w:t>
      </w:r>
      <w:r w:rsidRPr="003436EF">
        <w:t xml:space="preserve">, including in relation to the </w:t>
      </w:r>
      <w:r>
        <w:t>Authority</w:t>
      </w:r>
      <w:r w:rsidRPr="003436EF">
        <w:t>’s Gilt Purchase and Sale Service for retail investors</w:t>
      </w:r>
      <w:r>
        <w:t>.</w:t>
      </w:r>
    </w:p>
    <w:p w14:paraId="4CE15E73" w14:textId="77777777" w:rsidR="00E20296" w:rsidRDefault="00E20296" w:rsidP="00015443">
      <w:pPr>
        <w:pStyle w:val="Heading4"/>
        <w:numPr>
          <w:ilvl w:val="3"/>
          <w:numId w:val="42"/>
        </w:numPr>
      </w:pPr>
      <w:r w:rsidRPr="003436EF">
        <w:t xml:space="preserve">The </w:t>
      </w:r>
      <w:r>
        <w:t>Authority</w:t>
      </w:r>
      <w:r w:rsidRPr="003436EF">
        <w:t xml:space="preserve"> </w:t>
      </w:r>
      <w:r>
        <w:t>may</w:t>
      </w:r>
      <w:r w:rsidRPr="003436EF">
        <w:t xml:space="preserve"> require advice on the effects of regulatory changes</w:t>
      </w:r>
      <w:r>
        <w:t xml:space="preserve"> and market practice developments</w:t>
      </w:r>
      <w:r w:rsidRPr="003436EF">
        <w:t xml:space="preserve"> on its</w:t>
      </w:r>
      <w:r>
        <w:t xml:space="preserve"> </w:t>
      </w:r>
      <w:r w:rsidRPr="003436EF">
        <w:t xml:space="preserve">counterparties and the potential impact that may attach to </w:t>
      </w:r>
      <w:r>
        <w:t>the Authority’s</w:t>
      </w:r>
      <w:r w:rsidRPr="003436EF">
        <w:t xml:space="preserve"> operations</w:t>
      </w:r>
      <w:r>
        <w:t xml:space="preserve"> as a result.</w:t>
      </w:r>
    </w:p>
    <w:p w14:paraId="7CF15098" w14:textId="77777777" w:rsidR="00E20296" w:rsidRDefault="00E20296" w:rsidP="00015443">
      <w:pPr>
        <w:pStyle w:val="Heading4"/>
        <w:numPr>
          <w:ilvl w:val="3"/>
          <w:numId w:val="42"/>
        </w:numPr>
      </w:pPr>
      <w:r>
        <w:t>The successful firm may be required to advise</w:t>
      </w:r>
      <w:r w:rsidRPr="003436EF">
        <w:t xml:space="preserve"> the </w:t>
      </w:r>
      <w:r>
        <w:t>Authority</w:t>
      </w:r>
      <w:r w:rsidRPr="003436EF">
        <w:t xml:space="preserve"> on questions related to international trade and/or the impact of the UK’s exit from the EU.</w:t>
      </w:r>
    </w:p>
    <w:p w14:paraId="50ADC9DC" w14:textId="77777777" w:rsidR="00E20296" w:rsidRPr="003C4334" w:rsidRDefault="00E20296" w:rsidP="00015443">
      <w:pPr>
        <w:pStyle w:val="Heading4"/>
        <w:numPr>
          <w:ilvl w:val="3"/>
          <w:numId w:val="42"/>
        </w:numPr>
      </w:pPr>
      <w:r>
        <w:t xml:space="preserve">The successful firm may from time to time be asked to provide advice on other areas of law beyond those set out above.  However the successful firm will generally not be required to advise on public law issues but will be required to work with Treasury Legal Advisers where such issues overlap with commercial issues.  </w:t>
      </w:r>
    </w:p>
    <w:p w14:paraId="3625D377" w14:textId="7B54A1CC" w:rsidR="00E20296" w:rsidRDefault="00E20296" w:rsidP="00015443">
      <w:pPr>
        <w:pStyle w:val="Heading1"/>
        <w:keepNext/>
        <w:numPr>
          <w:ilvl w:val="0"/>
          <w:numId w:val="42"/>
        </w:numPr>
        <w:spacing w:before="240" w:after="120"/>
      </w:pPr>
      <w:bookmarkStart w:id="32" w:name="_Toc520455192"/>
      <w:bookmarkStart w:id="33" w:name="_Toc528926394"/>
      <w:r>
        <w:lastRenderedPageBreak/>
        <w:t>KEY MILESTONES</w:t>
      </w:r>
      <w:bookmarkEnd w:id="31"/>
      <w:bookmarkEnd w:id="32"/>
      <w:bookmarkEnd w:id="33"/>
    </w:p>
    <w:p w14:paraId="642E4E33" w14:textId="77777777" w:rsidR="00E20296" w:rsidRPr="00CA380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w:t>
      </w:r>
      <w:r>
        <w:rPr>
          <w:rFonts w:cs="Arial"/>
          <w:szCs w:val="22"/>
        </w:rPr>
        <w:t xml:space="preserve"> of</w:t>
      </w:r>
      <w:r w:rsidRPr="003438D3">
        <w:rPr>
          <w:rFonts w:cs="Arial"/>
          <w:szCs w:val="22"/>
        </w:rPr>
        <w:t xml:space="preserve"> </w:t>
      </w:r>
      <w:r w:rsidRPr="007D6F2B">
        <w:rPr>
          <w:rFonts w:cs="Arial"/>
          <w:szCs w:val="22"/>
        </w:rPr>
        <w:t xml:space="preserve">the core debt management advice </w:t>
      </w:r>
      <w:r w:rsidRPr="003438D3">
        <w:rPr>
          <w:rFonts w:cs="Arial"/>
          <w:szCs w:val="22"/>
        </w:rPr>
        <w:t>against:</w:t>
      </w:r>
    </w:p>
    <w:tbl>
      <w:tblPr>
        <w:tblStyle w:val="TableGrid"/>
        <w:tblW w:w="4942" w:type="pct"/>
        <w:tblInd w:w="108" w:type="dxa"/>
        <w:tblLook w:val="04A0" w:firstRow="1" w:lastRow="0" w:firstColumn="1" w:lastColumn="0" w:noHBand="0" w:noVBand="1"/>
      </w:tblPr>
      <w:tblGrid>
        <w:gridCol w:w="1513"/>
        <w:gridCol w:w="4475"/>
        <w:gridCol w:w="2926"/>
      </w:tblGrid>
      <w:tr w:rsidR="00E20296" w:rsidRPr="006538CF" w14:paraId="52117BA6" w14:textId="77777777" w:rsidTr="00797539">
        <w:tc>
          <w:tcPr>
            <w:tcW w:w="849" w:type="pct"/>
            <w:shd w:val="clear" w:color="auto" w:fill="C6D9F1" w:themeFill="text2" w:themeFillTint="33"/>
            <w:vAlign w:val="center"/>
          </w:tcPr>
          <w:p w14:paraId="5F7AEFCA" w14:textId="77777777" w:rsidR="00E20296" w:rsidRPr="006538CF" w:rsidRDefault="00E20296" w:rsidP="00797539">
            <w:pPr>
              <w:pStyle w:val="Heading3"/>
              <w:numPr>
                <w:ilvl w:val="0"/>
                <w:numId w:val="0"/>
              </w:numPr>
              <w:spacing w:before="120" w:after="120"/>
              <w:jc w:val="center"/>
              <w:outlineLvl w:val="2"/>
              <w:rPr>
                <w:b/>
                <w:szCs w:val="24"/>
              </w:rPr>
            </w:pPr>
            <w:r w:rsidRPr="006538CF">
              <w:rPr>
                <w:b/>
              </w:rPr>
              <w:t>Milestone</w:t>
            </w:r>
          </w:p>
        </w:tc>
        <w:tc>
          <w:tcPr>
            <w:tcW w:w="2510" w:type="pct"/>
            <w:shd w:val="clear" w:color="auto" w:fill="C6D9F1" w:themeFill="text2" w:themeFillTint="33"/>
            <w:vAlign w:val="center"/>
          </w:tcPr>
          <w:p w14:paraId="0A4DFC7E" w14:textId="77777777" w:rsidR="00E20296" w:rsidRPr="006538CF" w:rsidRDefault="00E20296" w:rsidP="00797539">
            <w:pPr>
              <w:pStyle w:val="Heading3"/>
              <w:numPr>
                <w:ilvl w:val="0"/>
                <w:numId w:val="0"/>
              </w:numPr>
              <w:spacing w:before="120" w:after="120"/>
              <w:jc w:val="center"/>
              <w:outlineLvl w:val="2"/>
              <w:rPr>
                <w:b/>
                <w:szCs w:val="24"/>
              </w:rPr>
            </w:pPr>
            <w:r w:rsidRPr="006538CF">
              <w:rPr>
                <w:b/>
              </w:rPr>
              <w:t>Description</w:t>
            </w:r>
          </w:p>
        </w:tc>
        <w:tc>
          <w:tcPr>
            <w:tcW w:w="1641" w:type="pct"/>
            <w:shd w:val="clear" w:color="auto" w:fill="C6D9F1" w:themeFill="text2" w:themeFillTint="33"/>
            <w:vAlign w:val="center"/>
          </w:tcPr>
          <w:p w14:paraId="6CDC14A9" w14:textId="77777777" w:rsidR="00E20296" w:rsidRPr="006538CF" w:rsidRDefault="00E20296" w:rsidP="00797539">
            <w:pPr>
              <w:pStyle w:val="Heading3"/>
              <w:numPr>
                <w:ilvl w:val="0"/>
                <w:numId w:val="0"/>
              </w:numPr>
              <w:spacing w:before="120" w:after="120"/>
              <w:jc w:val="center"/>
              <w:outlineLvl w:val="2"/>
              <w:rPr>
                <w:b/>
                <w:szCs w:val="24"/>
              </w:rPr>
            </w:pPr>
            <w:r w:rsidRPr="006538CF">
              <w:rPr>
                <w:b/>
              </w:rPr>
              <w:t>Timeframe</w:t>
            </w:r>
          </w:p>
        </w:tc>
      </w:tr>
      <w:tr w:rsidR="00E20296" w:rsidRPr="006538CF" w14:paraId="2A8E7561" w14:textId="77777777" w:rsidTr="00797539">
        <w:tc>
          <w:tcPr>
            <w:tcW w:w="849" w:type="pct"/>
            <w:vAlign w:val="center"/>
          </w:tcPr>
          <w:p w14:paraId="03C16AA5" w14:textId="77777777" w:rsidR="00E20296" w:rsidRPr="006538CF" w:rsidRDefault="00E20296" w:rsidP="00797539">
            <w:pPr>
              <w:pStyle w:val="Heading3"/>
              <w:numPr>
                <w:ilvl w:val="0"/>
                <w:numId w:val="0"/>
              </w:numPr>
              <w:spacing w:before="120" w:after="120"/>
              <w:jc w:val="center"/>
              <w:outlineLvl w:val="2"/>
              <w:rPr>
                <w:szCs w:val="24"/>
              </w:rPr>
            </w:pPr>
            <w:r w:rsidRPr="006538CF">
              <w:t>1</w:t>
            </w:r>
          </w:p>
        </w:tc>
        <w:tc>
          <w:tcPr>
            <w:tcW w:w="2510" w:type="pct"/>
            <w:vAlign w:val="center"/>
          </w:tcPr>
          <w:p w14:paraId="2E24FF87" w14:textId="77777777" w:rsidR="00E20296" w:rsidRPr="006538CF" w:rsidRDefault="00E20296" w:rsidP="00797539">
            <w:pPr>
              <w:pStyle w:val="Heading3"/>
              <w:numPr>
                <w:ilvl w:val="0"/>
                <w:numId w:val="0"/>
              </w:numPr>
              <w:spacing w:before="120" w:after="120"/>
              <w:jc w:val="left"/>
              <w:outlineLvl w:val="2"/>
              <w:rPr>
                <w:szCs w:val="24"/>
              </w:rPr>
            </w:pPr>
            <w:r>
              <w:t>Reviewing and becoming familiar with the Authority’s documentation for issuance of Gilts by means of auction and syndicated offering.</w:t>
            </w:r>
          </w:p>
        </w:tc>
        <w:tc>
          <w:tcPr>
            <w:tcW w:w="1641" w:type="pct"/>
            <w:vAlign w:val="center"/>
          </w:tcPr>
          <w:p w14:paraId="5C6BB1BD" w14:textId="77777777" w:rsidR="00E20296" w:rsidRPr="006538CF" w:rsidRDefault="00E20296" w:rsidP="00797539">
            <w:pPr>
              <w:pStyle w:val="Heading3"/>
              <w:numPr>
                <w:ilvl w:val="0"/>
                <w:numId w:val="0"/>
              </w:numPr>
              <w:spacing w:before="120" w:after="120"/>
              <w:jc w:val="left"/>
              <w:outlineLvl w:val="2"/>
              <w:rPr>
                <w:szCs w:val="24"/>
              </w:rPr>
            </w:pPr>
            <w:r w:rsidRPr="006538CF">
              <w:t xml:space="preserve">Within </w:t>
            </w:r>
            <w:r>
              <w:t xml:space="preserve">4 </w:t>
            </w:r>
            <w:r w:rsidRPr="006538CF">
              <w:t>week</w:t>
            </w:r>
            <w:r>
              <w:t>s of award of the Legal Services Contract.</w:t>
            </w:r>
          </w:p>
        </w:tc>
      </w:tr>
      <w:tr w:rsidR="00E20296" w:rsidRPr="006538CF" w14:paraId="34F9BAE7" w14:textId="77777777" w:rsidTr="00797539">
        <w:tc>
          <w:tcPr>
            <w:tcW w:w="849" w:type="pct"/>
            <w:vAlign w:val="center"/>
          </w:tcPr>
          <w:p w14:paraId="3639DC49" w14:textId="77777777" w:rsidR="00E20296" w:rsidRPr="006538CF" w:rsidRDefault="00E20296" w:rsidP="00797539">
            <w:pPr>
              <w:pStyle w:val="Heading3"/>
              <w:numPr>
                <w:ilvl w:val="0"/>
                <w:numId w:val="0"/>
              </w:numPr>
              <w:spacing w:before="120" w:after="120"/>
              <w:jc w:val="center"/>
              <w:outlineLvl w:val="2"/>
              <w:rPr>
                <w:szCs w:val="24"/>
              </w:rPr>
            </w:pPr>
            <w:r w:rsidRPr="006538CF">
              <w:t>2</w:t>
            </w:r>
          </w:p>
        </w:tc>
        <w:tc>
          <w:tcPr>
            <w:tcW w:w="2510" w:type="pct"/>
            <w:vAlign w:val="center"/>
          </w:tcPr>
          <w:p w14:paraId="64C4B263" w14:textId="77777777" w:rsidR="00E20296" w:rsidRPr="006538CF" w:rsidRDefault="00E20296" w:rsidP="00797539">
            <w:pPr>
              <w:pStyle w:val="Heading3"/>
              <w:numPr>
                <w:ilvl w:val="0"/>
                <w:numId w:val="0"/>
              </w:numPr>
              <w:spacing w:before="120" w:after="120"/>
              <w:jc w:val="left"/>
              <w:outlineLvl w:val="2"/>
              <w:rPr>
                <w:szCs w:val="24"/>
              </w:rPr>
            </w:pPr>
            <w:r>
              <w:t>Reviewing and becoming familiar with the Authority’s documentation for issuance of Gilts by other means and for issuance of Treasury bills.</w:t>
            </w:r>
          </w:p>
        </w:tc>
        <w:tc>
          <w:tcPr>
            <w:tcW w:w="1641" w:type="pct"/>
            <w:vAlign w:val="center"/>
          </w:tcPr>
          <w:p w14:paraId="68FC5FF2" w14:textId="77777777" w:rsidR="00E20296" w:rsidRPr="006538CF" w:rsidRDefault="00E20296" w:rsidP="00797539">
            <w:pPr>
              <w:pStyle w:val="Heading3"/>
              <w:numPr>
                <w:ilvl w:val="0"/>
                <w:numId w:val="0"/>
              </w:numPr>
              <w:spacing w:before="120" w:after="120"/>
              <w:jc w:val="left"/>
              <w:outlineLvl w:val="2"/>
              <w:rPr>
                <w:szCs w:val="24"/>
              </w:rPr>
            </w:pPr>
            <w:r w:rsidRPr="006538CF">
              <w:t xml:space="preserve">Within </w:t>
            </w:r>
            <w:r>
              <w:t xml:space="preserve">8 </w:t>
            </w:r>
            <w:r w:rsidRPr="006538CF">
              <w:t>week</w:t>
            </w:r>
            <w:r>
              <w:t>s</w:t>
            </w:r>
            <w:r w:rsidRPr="006538CF">
              <w:t xml:space="preserve"> of </w:t>
            </w:r>
            <w:r>
              <w:t>award of the Legal Services Contract.</w:t>
            </w:r>
          </w:p>
        </w:tc>
      </w:tr>
      <w:tr w:rsidR="00E20296" w:rsidRPr="006538CF" w14:paraId="69B98EC8" w14:textId="77777777" w:rsidTr="00797539">
        <w:tc>
          <w:tcPr>
            <w:tcW w:w="849" w:type="pct"/>
            <w:vAlign w:val="center"/>
          </w:tcPr>
          <w:p w14:paraId="6B8410A6" w14:textId="77777777" w:rsidR="00E20296" w:rsidRPr="006538CF" w:rsidRDefault="00E20296" w:rsidP="00797539">
            <w:pPr>
              <w:pStyle w:val="Heading3"/>
              <w:numPr>
                <w:ilvl w:val="0"/>
                <w:numId w:val="0"/>
              </w:numPr>
              <w:spacing w:before="120" w:after="120"/>
              <w:jc w:val="center"/>
              <w:outlineLvl w:val="2"/>
              <w:rPr>
                <w:szCs w:val="24"/>
              </w:rPr>
            </w:pPr>
            <w:r w:rsidRPr="006538CF">
              <w:t>3</w:t>
            </w:r>
          </w:p>
        </w:tc>
        <w:tc>
          <w:tcPr>
            <w:tcW w:w="2510" w:type="pct"/>
            <w:vAlign w:val="center"/>
          </w:tcPr>
          <w:p w14:paraId="447F9D40" w14:textId="77777777" w:rsidR="00E20296" w:rsidRPr="006538CF" w:rsidRDefault="00E20296" w:rsidP="00797539">
            <w:pPr>
              <w:pStyle w:val="Heading3"/>
              <w:numPr>
                <w:ilvl w:val="0"/>
                <w:numId w:val="0"/>
              </w:numPr>
              <w:spacing w:before="120" w:after="120"/>
              <w:jc w:val="left"/>
              <w:outlineLvl w:val="2"/>
              <w:rPr>
                <w:szCs w:val="24"/>
              </w:rPr>
            </w:pPr>
            <w:r>
              <w:t>Reviewing and becoming familiar with the Authority’s documentation for its cash management operations, including its documentation for repurchase and reverse repurchase transactions and hedging transactions.</w:t>
            </w:r>
          </w:p>
        </w:tc>
        <w:tc>
          <w:tcPr>
            <w:tcW w:w="1641" w:type="pct"/>
            <w:vAlign w:val="center"/>
          </w:tcPr>
          <w:p w14:paraId="6EC07E48" w14:textId="77777777" w:rsidR="00E20296" w:rsidRPr="006538CF" w:rsidRDefault="00E20296" w:rsidP="00797539">
            <w:pPr>
              <w:pStyle w:val="Heading3"/>
              <w:numPr>
                <w:ilvl w:val="0"/>
                <w:numId w:val="0"/>
              </w:numPr>
              <w:spacing w:before="120" w:after="120"/>
              <w:jc w:val="left"/>
              <w:outlineLvl w:val="2"/>
              <w:rPr>
                <w:szCs w:val="24"/>
              </w:rPr>
            </w:pPr>
            <w:r w:rsidRPr="006538CF">
              <w:t xml:space="preserve">Within </w:t>
            </w:r>
            <w:r>
              <w:t>12</w:t>
            </w:r>
            <w:r w:rsidRPr="006538CF">
              <w:t xml:space="preserve"> week</w:t>
            </w:r>
            <w:r>
              <w:t>s</w:t>
            </w:r>
            <w:r w:rsidRPr="006538CF">
              <w:t xml:space="preserve"> of </w:t>
            </w:r>
            <w:r>
              <w:t>award of the Legal Services Contract.</w:t>
            </w:r>
          </w:p>
        </w:tc>
      </w:tr>
      <w:tr w:rsidR="00E20296" w:rsidRPr="006538CF" w14:paraId="6ECF2376" w14:textId="77777777" w:rsidTr="00797539">
        <w:tc>
          <w:tcPr>
            <w:tcW w:w="849" w:type="pct"/>
            <w:vAlign w:val="center"/>
          </w:tcPr>
          <w:p w14:paraId="0EA78DF6" w14:textId="77777777" w:rsidR="00E20296" w:rsidRPr="006538CF" w:rsidRDefault="00E20296" w:rsidP="00797539">
            <w:pPr>
              <w:pStyle w:val="Heading3"/>
              <w:numPr>
                <w:ilvl w:val="0"/>
                <w:numId w:val="0"/>
              </w:numPr>
              <w:spacing w:before="120" w:after="120"/>
              <w:jc w:val="center"/>
              <w:outlineLvl w:val="2"/>
            </w:pPr>
            <w:r>
              <w:t>4</w:t>
            </w:r>
          </w:p>
        </w:tc>
        <w:tc>
          <w:tcPr>
            <w:tcW w:w="2510" w:type="pct"/>
            <w:vAlign w:val="center"/>
          </w:tcPr>
          <w:p w14:paraId="4CFDE125" w14:textId="77777777" w:rsidR="00E20296" w:rsidRDefault="00E20296" w:rsidP="00797539">
            <w:pPr>
              <w:pStyle w:val="Heading3"/>
              <w:numPr>
                <w:ilvl w:val="0"/>
                <w:numId w:val="0"/>
              </w:numPr>
              <w:spacing w:before="120" w:after="120"/>
              <w:jc w:val="left"/>
              <w:outlineLvl w:val="2"/>
            </w:pPr>
            <w:r>
              <w:t>Periodic review meeting or call between the Authority and t</w:t>
            </w:r>
            <w:r w:rsidRPr="00AD0AB0">
              <w:t>he Supplier</w:t>
            </w:r>
            <w:r>
              <w:t>’s Relationship Manager</w:t>
            </w:r>
            <w:r w:rsidRPr="00AD0AB0">
              <w:t xml:space="preserve"> to </w:t>
            </w:r>
            <w:r>
              <w:t>review</w:t>
            </w:r>
            <w:r w:rsidRPr="00AD0AB0">
              <w:t xml:space="preserve"> the performance of the Supplier, resolve any issues which have not been dealt with on a day to day basis, and discuss business opportunities, potential innovativ</w:t>
            </w:r>
            <w:r>
              <w:t>e solutions and any complaints.</w:t>
            </w:r>
            <w:r w:rsidDel="00CF4DCE">
              <w:t xml:space="preserve"> </w:t>
            </w:r>
          </w:p>
        </w:tc>
        <w:tc>
          <w:tcPr>
            <w:tcW w:w="1641" w:type="pct"/>
            <w:vAlign w:val="center"/>
          </w:tcPr>
          <w:p w14:paraId="42B32CEC" w14:textId="77777777" w:rsidR="00E20296" w:rsidRPr="006538CF" w:rsidRDefault="00E20296" w:rsidP="00797539">
            <w:pPr>
              <w:pStyle w:val="Heading3"/>
              <w:numPr>
                <w:ilvl w:val="0"/>
                <w:numId w:val="0"/>
              </w:numPr>
              <w:outlineLvl w:val="2"/>
            </w:pPr>
            <w:r>
              <w:t>Such meetings or calls will take place on a monthly basis for the first six months of the Legal Services Contract and thereafter on a quarterly basis.</w:t>
            </w:r>
          </w:p>
        </w:tc>
      </w:tr>
    </w:tbl>
    <w:p w14:paraId="1B905BE2" w14:textId="77777777" w:rsidR="00E20296" w:rsidRDefault="00E20296" w:rsidP="00E20296">
      <w:pPr>
        <w:pStyle w:val="Heading1"/>
        <w:numPr>
          <w:ilvl w:val="0"/>
          <w:numId w:val="0"/>
        </w:numPr>
        <w:overflowPunct w:val="0"/>
        <w:autoSpaceDE w:val="0"/>
        <w:autoSpaceDN w:val="0"/>
        <w:spacing w:after="120"/>
        <w:textAlignment w:val="baseline"/>
        <w:rPr>
          <w:rFonts w:cs="Arial"/>
          <w:szCs w:val="22"/>
        </w:rPr>
      </w:pPr>
    </w:p>
    <w:p w14:paraId="0C21A3E1" w14:textId="77777777" w:rsidR="00E20296" w:rsidRPr="003406C8"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color w:val="000000"/>
          <w:szCs w:val="22"/>
          <w:lang w:eastAsia="en-GB"/>
        </w:rPr>
      </w:pPr>
      <w:bookmarkStart w:id="34" w:name="_Toc368573033"/>
      <w:r>
        <w:rPr>
          <w:rFonts w:cs="Arial"/>
          <w:szCs w:val="22"/>
        </w:rPr>
        <w:t>As set out in section 16 (</w:t>
      </w:r>
      <w:r w:rsidRPr="00014674">
        <w:rPr>
          <w:rFonts w:cs="Arial"/>
          <w:i/>
          <w:szCs w:val="22"/>
        </w:rPr>
        <w:t>Service Levels and Performance</w:t>
      </w:r>
      <w:r>
        <w:rPr>
          <w:rFonts w:cs="Arial"/>
          <w:szCs w:val="22"/>
        </w:rPr>
        <w:t>) below, the Supplier and t</w:t>
      </w:r>
      <w:r w:rsidRPr="007D6F2B">
        <w:rPr>
          <w:rFonts w:cs="Arial"/>
          <w:szCs w:val="22"/>
        </w:rPr>
        <w:t xml:space="preserve">he </w:t>
      </w:r>
      <w:r>
        <w:rPr>
          <w:rFonts w:cs="Arial"/>
          <w:szCs w:val="22"/>
        </w:rPr>
        <w:t>Authority will</w:t>
      </w:r>
      <w:r w:rsidRPr="007D6F2B">
        <w:rPr>
          <w:rFonts w:cs="Arial"/>
          <w:szCs w:val="22"/>
        </w:rPr>
        <w:t xml:space="preserve"> </w:t>
      </w:r>
      <w:r>
        <w:rPr>
          <w:rFonts w:cs="Arial"/>
          <w:szCs w:val="22"/>
        </w:rPr>
        <w:t>agree a delivery plan in respect of</w:t>
      </w:r>
      <w:r w:rsidRPr="007D6F2B">
        <w:rPr>
          <w:rFonts w:cs="Arial"/>
          <w:szCs w:val="22"/>
        </w:rPr>
        <w:t xml:space="preserve"> each </w:t>
      </w:r>
      <w:r>
        <w:rPr>
          <w:rFonts w:cs="Arial"/>
          <w:szCs w:val="22"/>
        </w:rPr>
        <w:t>significant Order under the Legal Services Contrac</w:t>
      </w:r>
      <w:r w:rsidRPr="007D6F2B">
        <w:rPr>
          <w:rFonts w:cs="Arial"/>
          <w:szCs w:val="22"/>
        </w:rPr>
        <w:t>t.</w:t>
      </w:r>
      <w:r>
        <w:rPr>
          <w:rFonts w:cs="Arial"/>
          <w:szCs w:val="22"/>
        </w:rPr>
        <w:t xml:space="preserve"> The delivery plan for a significant Order </w:t>
      </w:r>
      <w:r>
        <w:rPr>
          <w:rFonts w:cs="Arial"/>
          <w:color w:val="000000"/>
          <w:szCs w:val="22"/>
          <w:lang w:eastAsia="en-GB"/>
        </w:rPr>
        <w:t xml:space="preserve">shall, if required by the Authority, include specific milestones in respect of that Order. </w:t>
      </w:r>
      <w:r>
        <w:t>For these purposes, unless agreed otherwise by the Supplier and the Authority, an Order is considered “significant” if its delivery is likely to require both (i) a timescale of more than two weeks and (ii) Charges of more than £10,000 excluding VAT.</w:t>
      </w:r>
    </w:p>
    <w:p w14:paraId="019899C0" w14:textId="199FC06F" w:rsidR="00E20296" w:rsidRDefault="00E20296" w:rsidP="00015443">
      <w:pPr>
        <w:pStyle w:val="Heading1"/>
        <w:keepNext/>
        <w:numPr>
          <w:ilvl w:val="0"/>
          <w:numId w:val="42"/>
        </w:numPr>
        <w:spacing w:before="240" w:after="120"/>
        <w:rPr>
          <w:rFonts w:cs="Arial"/>
          <w:szCs w:val="22"/>
        </w:rPr>
      </w:pPr>
      <w:bookmarkStart w:id="35" w:name="_Toc520455193"/>
      <w:bookmarkStart w:id="36" w:name="_Toc528926395"/>
      <w:r>
        <w:t>AUTHORITY</w:t>
      </w:r>
      <w:r w:rsidRPr="00642801">
        <w:t>’S</w:t>
      </w:r>
      <w:r>
        <w:rPr>
          <w:rFonts w:cs="Arial"/>
          <w:szCs w:val="22"/>
        </w:rPr>
        <w:t xml:space="preserve"> </w:t>
      </w:r>
      <w:r w:rsidRPr="00A20CFA">
        <w:t>RESPONSIBILITIES</w:t>
      </w:r>
      <w:bookmarkEnd w:id="35"/>
      <w:bookmarkEnd w:id="36"/>
    </w:p>
    <w:p w14:paraId="564F1844" w14:textId="77777777" w:rsidR="00E20296" w:rsidRDefault="00E20296" w:rsidP="00015443">
      <w:pPr>
        <w:pStyle w:val="Heading2"/>
        <w:numPr>
          <w:ilvl w:val="1"/>
          <w:numId w:val="42"/>
        </w:numPr>
      </w:pPr>
      <w:r>
        <w:t>T</w:t>
      </w:r>
      <w:r w:rsidRPr="0069492A">
        <w:t xml:space="preserve">o improve </w:t>
      </w:r>
      <w:r>
        <w:t xml:space="preserve">the Supplier’s </w:t>
      </w:r>
      <w:r w:rsidRPr="0069492A">
        <w:t>understanding and</w:t>
      </w:r>
      <w:r>
        <w:t xml:space="preserve"> the</w:t>
      </w:r>
      <w:r w:rsidRPr="0069492A">
        <w:t xml:space="preserve"> deliverability of requirements, the </w:t>
      </w:r>
      <w:r>
        <w:t>Authority will, wherever reasonably practicable, seek to:</w:t>
      </w:r>
    </w:p>
    <w:p w14:paraId="3362C76A" w14:textId="77777777" w:rsidR="00E20296" w:rsidRDefault="00E20296" w:rsidP="00015443">
      <w:pPr>
        <w:pStyle w:val="Heading3"/>
        <w:numPr>
          <w:ilvl w:val="2"/>
          <w:numId w:val="42"/>
        </w:numPr>
      </w:pPr>
      <w:r>
        <w:t xml:space="preserve">engage with the Supplier early on new Orders under the Legal Services Contract; </w:t>
      </w:r>
      <w:r w:rsidRPr="003406C8">
        <w:t xml:space="preserve">and </w:t>
      </w:r>
    </w:p>
    <w:p w14:paraId="6F890339" w14:textId="77777777" w:rsidR="00E20296" w:rsidRPr="003406C8" w:rsidRDefault="00E20296" w:rsidP="00015443">
      <w:pPr>
        <w:pStyle w:val="Heading3"/>
        <w:numPr>
          <w:ilvl w:val="2"/>
          <w:numId w:val="42"/>
        </w:numPr>
      </w:pPr>
      <w:r w:rsidRPr="003406C8">
        <w:t xml:space="preserve">answer questions </w:t>
      </w:r>
      <w:r>
        <w:t xml:space="preserve">from the Supplier </w:t>
      </w:r>
      <w:r w:rsidRPr="003406C8">
        <w:t>promptly</w:t>
      </w:r>
      <w:r>
        <w:t>.</w:t>
      </w:r>
    </w:p>
    <w:p w14:paraId="764D9A1D" w14:textId="2292FDA0" w:rsidR="00E20296" w:rsidRDefault="00E20296" w:rsidP="00015443">
      <w:pPr>
        <w:pStyle w:val="Heading1"/>
        <w:keepNext/>
        <w:numPr>
          <w:ilvl w:val="0"/>
          <w:numId w:val="42"/>
        </w:numPr>
        <w:spacing w:before="240" w:after="120"/>
        <w:rPr>
          <w:rFonts w:cs="Arial"/>
          <w:szCs w:val="22"/>
        </w:rPr>
      </w:pPr>
      <w:bookmarkStart w:id="37" w:name="_Toc520455194"/>
      <w:bookmarkStart w:id="38" w:name="_Toc528926396"/>
      <w:r w:rsidRPr="00642801">
        <w:lastRenderedPageBreak/>
        <w:t>REPORTING</w:t>
      </w:r>
      <w:bookmarkEnd w:id="34"/>
      <w:bookmarkEnd w:id="37"/>
      <w:bookmarkEnd w:id="38"/>
    </w:p>
    <w:p w14:paraId="1A1E46D8" w14:textId="77777777" w:rsidR="00E2029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color w:val="000000"/>
          <w:szCs w:val="22"/>
          <w:lang w:eastAsia="en-GB"/>
        </w:rPr>
      </w:pPr>
      <w:r>
        <w:rPr>
          <w:rFonts w:cs="Arial"/>
          <w:color w:val="000000"/>
          <w:szCs w:val="22"/>
          <w:lang w:eastAsia="en-GB"/>
        </w:rPr>
        <w:t>The Supplier will be required to proactively raise issues with the Authority and discuss with the Authority any deviations from the milestones above or the agreed delivery plan for any piece of work.</w:t>
      </w:r>
    </w:p>
    <w:p w14:paraId="16908D22" w14:textId="77777777" w:rsidR="00E2029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color w:val="000000"/>
          <w:szCs w:val="22"/>
          <w:lang w:eastAsia="en-GB"/>
        </w:rPr>
      </w:pPr>
      <w:r>
        <w:rPr>
          <w:rFonts w:cs="Arial"/>
          <w:color w:val="000000"/>
          <w:szCs w:val="22"/>
          <w:lang w:eastAsia="en-GB"/>
        </w:rPr>
        <w:t>The Supplier will be required to provide regular (monthly) updates on Charges incurred.</w:t>
      </w:r>
    </w:p>
    <w:p w14:paraId="428321D3" w14:textId="77777777" w:rsidR="00E2029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color w:val="000000"/>
          <w:szCs w:val="22"/>
          <w:lang w:eastAsia="en-GB"/>
        </w:rPr>
      </w:pPr>
      <w:r w:rsidRPr="00B61AB3">
        <w:rPr>
          <w:rFonts w:cs="Arial"/>
          <w:color w:val="000000"/>
          <w:szCs w:val="22"/>
          <w:lang w:eastAsia="en-GB"/>
        </w:rPr>
        <w:t xml:space="preserve">As part of the Supplier’s monthly invoicing, the Supplier will be </w:t>
      </w:r>
      <w:r>
        <w:rPr>
          <w:rFonts w:cs="Arial"/>
          <w:color w:val="000000"/>
          <w:szCs w:val="22"/>
          <w:lang w:eastAsia="en-GB"/>
        </w:rPr>
        <w:t>requir</w:t>
      </w:r>
      <w:r w:rsidRPr="00B61AB3">
        <w:rPr>
          <w:rFonts w:cs="Arial"/>
          <w:color w:val="000000"/>
          <w:szCs w:val="22"/>
          <w:lang w:eastAsia="en-GB"/>
        </w:rPr>
        <w:t xml:space="preserve">ed to include narratives and daily entries by fee earner, and </w:t>
      </w:r>
      <w:r>
        <w:rPr>
          <w:rFonts w:cs="Arial"/>
          <w:color w:val="000000"/>
          <w:szCs w:val="22"/>
          <w:lang w:eastAsia="en-GB"/>
        </w:rPr>
        <w:t>may</w:t>
      </w:r>
      <w:r w:rsidRPr="00B61AB3">
        <w:rPr>
          <w:rFonts w:cs="Arial"/>
          <w:color w:val="000000"/>
          <w:szCs w:val="22"/>
          <w:lang w:eastAsia="en-GB"/>
        </w:rPr>
        <w:t xml:space="preserve"> be asked to break down the invoice into sub-categories for particular categories</w:t>
      </w:r>
      <w:r>
        <w:rPr>
          <w:rFonts w:cs="Arial"/>
          <w:color w:val="000000"/>
          <w:szCs w:val="22"/>
          <w:lang w:eastAsia="en-GB"/>
        </w:rPr>
        <w:t xml:space="preserve"> of work or particular Orders.</w:t>
      </w:r>
    </w:p>
    <w:p w14:paraId="3BB578A4" w14:textId="77777777" w:rsidR="00E20296" w:rsidRPr="00B61AB3"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color w:val="000000"/>
          <w:szCs w:val="22"/>
          <w:lang w:eastAsia="en-GB"/>
        </w:rPr>
      </w:pPr>
      <w:r w:rsidRPr="00B61AB3">
        <w:rPr>
          <w:rFonts w:cs="Arial"/>
          <w:color w:val="000000"/>
          <w:szCs w:val="22"/>
          <w:lang w:eastAsia="en-GB"/>
        </w:rPr>
        <w:t>The Supplier may also be asked to provide updates at other times and/or in relation to particular pieces of work.</w:t>
      </w:r>
    </w:p>
    <w:p w14:paraId="3BE1EF04" w14:textId="575917FA" w:rsidR="00E20296" w:rsidRPr="00BE6EE0" w:rsidRDefault="00E20296" w:rsidP="00015443">
      <w:pPr>
        <w:pStyle w:val="Heading1"/>
        <w:keepNext/>
        <w:numPr>
          <w:ilvl w:val="0"/>
          <w:numId w:val="42"/>
        </w:numPr>
        <w:spacing w:before="240" w:after="120"/>
        <w:rPr>
          <w:rFonts w:cs="Arial"/>
          <w:szCs w:val="22"/>
        </w:rPr>
      </w:pPr>
      <w:bookmarkStart w:id="39" w:name="_Toc368573034"/>
      <w:bookmarkStart w:id="40" w:name="_Toc520455195"/>
      <w:bookmarkStart w:id="41" w:name="_Toc528926397"/>
      <w:r w:rsidRPr="00642801">
        <w:t>VOLUMES</w:t>
      </w:r>
      <w:bookmarkEnd w:id="39"/>
      <w:bookmarkEnd w:id="40"/>
      <w:bookmarkEnd w:id="41"/>
    </w:p>
    <w:p w14:paraId="659B3236" w14:textId="77777777" w:rsidR="00E20296" w:rsidRPr="00523F54" w:rsidRDefault="00E20296" w:rsidP="00015443">
      <w:pPr>
        <w:pStyle w:val="Heading2"/>
        <w:numPr>
          <w:ilvl w:val="1"/>
          <w:numId w:val="42"/>
        </w:numPr>
        <w:spacing w:after="120"/>
        <w:ind w:left="709" w:hanging="709"/>
      </w:pPr>
      <w:r w:rsidRPr="00523F54">
        <w:t xml:space="preserve">The </w:t>
      </w:r>
      <w:r>
        <w:t>Authority</w:t>
      </w:r>
      <w:r w:rsidRPr="00523F54">
        <w:t xml:space="preserve"> has historically required advice on a regular (at least weekly) basis in relation to the issue of Gilts and on a more ad hoc basis in relation to other </w:t>
      </w:r>
      <w:r>
        <w:t>activities</w:t>
      </w:r>
      <w:r w:rsidRPr="00523F54">
        <w:t>.</w:t>
      </w:r>
      <w:r>
        <w:t xml:space="preserve"> As this is a call-off Contract, volumes of work cannot be guaranteed.</w:t>
      </w:r>
      <w:r w:rsidRPr="00523F54">
        <w:t xml:space="preserve">  </w:t>
      </w:r>
    </w:p>
    <w:p w14:paraId="0DE21F95" w14:textId="3957FF3B" w:rsidR="00E20296" w:rsidRPr="00BE6EE0" w:rsidRDefault="00E20296" w:rsidP="00015443">
      <w:pPr>
        <w:pStyle w:val="Heading1"/>
        <w:keepNext/>
        <w:numPr>
          <w:ilvl w:val="0"/>
          <w:numId w:val="42"/>
        </w:numPr>
        <w:spacing w:before="240" w:after="120"/>
        <w:rPr>
          <w:rFonts w:cs="Arial"/>
          <w:szCs w:val="22"/>
        </w:rPr>
      </w:pPr>
      <w:bookmarkStart w:id="42" w:name="_Toc368573035"/>
      <w:bookmarkStart w:id="43" w:name="_Toc520455196"/>
      <w:bookmarkStart w:id="44" w:name="_Toc528926398"/>
      <w:r w:rsidRPr="00642801">
        <w:t>CONTINUOUS</w:t>
      </w:r>
      <w:r w:rsidRPr="00BE6EE0">
        <w:rPr>
          <w:rFonts w:cs="Arial"/>
          <w:szCs w:val="22"/>
        </w:rPr>
        <w:t xml:space="preserve"> IMPROVEMENT</w:t>
      </w:r>
      <w:bookmarkEnd w:id="42"/>
      <w:bookmarkEnd w:id="43"/>
      <w:bookmarkEnd w:id="44"/>
    </w:p>
    <w:p w14:paraId="36E24210" w14:textId="77777777" w:rsidR="00E20296" w:rsidRDefault="00E20296" w:rsidP="00015443">
      <w:pPr>
        <w:pStyle w:val="Heading2"/>
        <w:numPr>
          <w:ilvl w:val="1"/>
          <w:numId w:val="42"/>
        </w:numPr>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210D3CBA" w14:textId="77777777" w:rsidR="00E20296" w:rsidRDefault="00E20296" w:rsidP="00015443">
      <w:pPr>
        <w:pStyle w:val="Heading2"/>
        <w:numPr>
          <w:ilvl w:val="1"/>
          <w:numId w:val="42"/>
        </w:numPr>
        <w:spacing w:after="120"/>
        <w:ind w:left="709" w:hanging="709"/>
      </w:pPr>
      <w:r>
        <w:t xml:space="preserve">The Supplier is </w:t>
      </w:r>
      <w:r w:rsidRPr="005909FA">
        <w:t>encourage</w:t>
      </w:r>
      <w:r>
        <w:t>d to</w:t>
      </w:r>
      <w:r w:rsidRPr="005909FA">
        <w:t xml:space="preserve"> develop</w:t>
      </w:r>
      <w:r>
        <w:t xml:space="preserve"> and share</w:t>
      </w:r>
      <w:r w:rsidRPr="005909FA">
        <w:t xml:space="preserve"> innovative solutions, processes and approaches that improve perform</w:t>
      </w:r>
      <w:r>
        <w:t>ance and Value for Money (VfM) and bring these to the Authority’s attention.</w:t>
      </w:r>
    </w:p>
    <w:p w14:paraId="13DF680A" w14:textId="77777777" w:rsidR="00E20296" w:rsidRDefault="00E20296" w:rsidP="00015443">
      <w:pPr>
        <w:pStyle w:val="Heading2"/>
        <w:numPr>
          <w:ilvl w:val="1"/>
          <w:numId w:val="42"/>
        </w:numPr>
        <w:spacing w:after="120"/>
        <w:ind w:left="709" w:hanging="709"/>
      </w:pPr>
      <w:r>
        <w:t>Any c</w:t>
      </w:r>
      <w:r w:rsidRPr="008104E0">
        <w:t>hanges to the way in which the Services are to be delivered must be brought to the</w:t>
      </w:r>
      <w:r>
        <w:t xml:space="preserve"> Authority</w:t>
      </w:r>
      <w:r w:rsidRPr="008104E0">
        <w:t xml:space="preserve">’s attention and agreed prior to any </w:t>
      </w:r>
      <w:r>
        <w:t>changes being implemented.</w:t>
      </w:r>
    </w:p>
    <w:p w14:paraId="7CA71182" w14:textId="67374302" w:rsidR="00E20296" w:rsidRDefault="00E20296" w:rsidP="00015443">
      <w:pPr>
        <w:pStyle w:val="Heading1"/>
        <w:keepNext/>
        <w:numPr>
          <w:ilvl w:val="0"/>
          <w:numId w:val="42"/>
        </w:numPr>
        <w:spacing w:before="240" w:after="120"/>
      </w:pPr>
      <w:bookmarkStart w:id="45" w:name="_Toc520455197"/>
      <w:bookmarkStart w:id="46" w:name="_Toc528926399"/>
      <w:r>
        <w:t>SUSTAINABILITY</w:t>
      </w:r>
      <w:bookmarkEnd w:id="45"/>
      <w:bookmarkEnd w:id="46"/>
    </w:p>
    <w:p w14:paraId="3057AC2D" w14:textId="77777777" w:rsidR="00E20296" w:rsidRPr="005909FA" w:rsidRDefault="00E20296" w:rsidP="00015443">
      <w:pPr>
        <w:pStyle w:val="Heading2"/>
        <w:numPr>
          <w:ilvl w:val="1"/>
          <w:numId w:val="42"/>
        </w:numPr>
      </w:pPr>
      <w:r>
        <w:t>There are no sustainability considerations for this requirement.</w:t>
      </w:r>
    </w:p>
    <w:p w14:paraId="2E750F3E" w14:textId="3792E7E6" w:rsidR="00E20296" w:rsidRPr="00517FEF" w:rsidRDefault="00E20296" w:rsidP="00015443">
      <w:pPr>
        <w:pStyle w:val="Heading1"/>
        <w:keepNext/>
        <w:numPr>
          <w:ilvl w:val="0"/>
          <w:numId w:val="42"/>
        </w:numPr>
        <w:spacing w:before="240" w:after="120"/>
        <w:rPr>
          <w:rFonts w:cs="Arial"/>
          <w:szCs w:val="22"/>
        </w:rPr>
      </w:pPr>
      <w:bookmarkStart w:id="47" w:name="_Toc368573036"/>
      <w:bookmarkStart w:id="48" w:name="_Toc520455198"/>
      <w:bookmarkStart w:id="49" w:name="_Toc528926400"/>
      <w:r w:rsidRPr="00642801">
        <w:t>QUALITY</w:t>
      </w:r>
      <w:bookmarkEnd w:id="47"/>
      <w:bookmarkEnd w:id="48"/>
      <w:bookmarkEnd w:id="49"/>
    </w:p>
    <w:p w14:paraId="5BD68FA5" w14:textId="77777777" w:rsidR="00E20296" w:rsidRDefault="00E20296" w:rsidP="00015443">
      <w:pPr>
        <w:pStyle w:val="Heading2"/>
        <w:numPr>
          <w:ilvl w:val="1"/>
          <w:numId w:val="42"/>
        </w:numPr>
        <w:spacing w:after="120"/>
        <w:ind w:left="709" w:hanging="709"/>
      </w:pPr>
      <w:r w:rsidRPr="00A20CFA">
        <w:t xml:space="preserve">The Supplier will be </w:t>
      </w:r>
      <w:r>
        <w:t>requir</w:t>
      </w:r>
      <w:r w:rsidRPr="00A20CFA">
        <w:t>ed to comply with</w:t>
      </w:r>
      <w:r>
        <w:t xml:space="preserve"> all requirements set out in the Panel Terms and Conditions, including but not limited to compliance with</w:t>
      </w:r>
      <w:r w:rsidRPr="00A20CFA">
        <w:t xml:space="preserve"> the Standards.</w:t>
      </w:r>
    </w:p>
    <w:p w14:paraId="515189C7" w14:textId="77777777" w:rsidR="00E20296" w:rsidRPr="00CF4DCE" w:rsidRDefault="00E20296" w:rsidP="00015443">
      <w:pPr>
        <w:pStyle w:val="Heading2"/>
        <w:numPr>
          <w:ilvl w:val="1"/>
          <w:numId w:val="42"/>
        </w:numPr>
        <w:spacing w:after="137"/>
        <w:rPr>
          <w:szCs w:val="22"/>
        </w:rPr>
      </w:pPr>
      <w:r w:rsidRPr="00CC57BF">
        <w:rPr>
          <w:szCs w:val="22"/>
        </w:rPr>
        <w:t xml:space="preserve">The Supplier will </w:t>
      </w:r>
      <w:r>
        <w:rPr>
          <w:szCs w:val="22"/>
        </w:rPr>
        <w:t xml:space="preserve">be expected to </w:t>
      </w:r>
      <w:r w:rsidRPr="00CC57BF">
        <w:rPr>
          <w:szCs w:val="22"/>
        </w:rPr>
        <w:t xml:space="preserve">ensure that all Services provided are fit for purpose; that where the provision of the Services involves the drafting, review or production or modification of documentation, such documentation is technically functional; and </w:t>
      </w:r>
      <w:r w:rsidRPr="00CF4DCE">
        <w:rPr>
          <w:szCs w:val="22"/>
        </w:rPr>
        <w:t>that all Services are provided to a standard no less than would be expected of a ski</w:t>
      </w:r>
      <w:r w:rsidRPr="00836D9A">
        <w:rPr>
          <w:szCs w:val="22"/>
        </w:rPr>
        <w:t>lled and competent provider of services broadly equivalent to the Services</w:t>
      </w:r>
      <w:r>
        <w:rPr>
          <w:szCs w:val="22"/>
        </w:rPr>
        <w:t>.</w:t>
      </w:r>
    </w:p>
    <w:p w14:paraId="401F7328" w14:textId="77777777" w:rsidR="00E20296" w:rsidRPr="00CC57BF" w:rsidRDefault="00E20296" w:rsidP="00015443">
      <w:pPr>
        <w:pStyle w:val="Heading2"/>
        <w:numPr>
          <w:ilvl w:val="1"/>
          <w:numId w:val="42"/>
        </w:numPr>
      </w:pPr>
      <w:r>
        <w:t>The Supplier will be expected to be</w:t>
      </w:r>
      <w:r w:rsidRPr="00CC57BF">
        <w:t xml:space="preserve"> cognisant of the implications of their instructions and the risks of challenge that may arise, including public law and shall be able to provide ris</w:t>
      </w:r>
      <w:r>
        <w:t>k-based strategic legal advice.</w:t>
      </w:r>
    </w:p>
    <w:p w14:paraId="11919389" w14:textId="77777777" w:rsidR="00E20296" w:rsidRPr="00CC57BF" w:rsidRDefault="00E20296" w:rsidP="00015443">
      <w:pPr>
        <w:pStyle w:val="Heading2"/>
        <w:numPr>
          <w:ilvl w:val="1"/>
          <w:numId w:val="42"/>
        </w:numPr>
      </w:pPr>
      <w:r>
        <w:t xml:space="preserve">The Supplier will be expected to </w:t>
      </w:r>
      <w:r w:rsidRPr="00CC57BF">
        <w:t>apply strong business and commercial management experience including the ability to build and maintain a correctly balanced team, taking into account skills, expertise and delivery (at the appropriate level), and managing</w:t>
      </w:r>
      <w:r>
        <w:t xml:space="preserve"> out any conflicts of interest.</w:t>
      </w:r>
    </w:p>
    <w:p w14:paraId="18D5A59F" w14:textId="77777777" w:rsidR="00E20296" w:rsidRPr="00CC57BF" w:rsidRDefault="00E20296" w:rsidP="00015443">
      <w:pPr>
        <w:pStyle w:val="Heading2"/>
        <w:numPr>
          <w:ilvl w:val="1"/>
          <w:numId w:val="42"/>
        </w:numPr>
      </w:pPr>
      <w:r>
        <w:t xml:space="preserve">The Supplier will </w:t>
      </w:r>
      <w:r w:rsidRPr="00CC57BF">
        <w:t xml:space="preserve">work on </w:t>
      </w:r>
      <w:r>
        <w:t xml:space="preserve">the Authority’s matters </w:t>
      </w:r>
      <w:r w:rsidRPr="00CC57BF">
        <w:t>with a high degree of confidentiality and in line wit</w:t>
      </w:r>
      <w:r>
        <w:t>h Government Security Markings.</w:t>
      </w:r>
    </w:p>
    <w:p w14:paraId="573F76BD" w14:textId="77777777" w:rsidR="00E20296" w:rsidRPr="00BE6EE0" w:rsidRDefault="00E20296" w:rsidP="00015443">
      <w:pPr>
        <w:pStyle w:val="Heading1"/>
        <w:keepNext/>
        <w:numPr>
          <w:ilvl w:val="0"/>
          <w:numId w:val="42"/>
        </w:numPr>
        <w:spacing w:before="240" w:after="120"/>
        <w:rPr>
          <w:rFonts w:cs="Arial"/>
          <w:szCs w:val="22"/>
        </w:rPr>
      </w:pPr>
      <w:bookmarkStart w:id="50" w:name="_Toc368573037"/>
      <w:bookmarkStart w:id="51" w:name="_Toc520455199"/>
      <w:bookmarkStart w:id="52" w:name="_Toc528926401"/>
      <w:r w:rsidRPr="00642801">
        <w:lastRenderedPageBreak/>
        <w:t>PRICE</w:t>
      </w:r>
      <w:bookmarkEnd w:id="50"/>
      <w:bookmarkEnd w:id="51"/>
      <w:bookmarkEnd w:id="52"/>
    </w:p>
    <w:p w14:paraId="38BB106B" w14:textId="77777777" w:rsidR="00E20296" w:rsidRDefault="00E20296" w:rsidP="00015443">
      <w:pPr>
        <w:pStyle w:val="Heading2"/>
        <w:numPr>
          <w:ilvl w:val="1"/>
          <w:numId w:val="42"/>
        </w:numPr>
        <w:spacing w:after="120"/>
        <w:ind w:left="709" w:hanging="709"/>
      </w:pPr>
      <w:r>
        <w:t xml:space="preserve">Prices are to be submitted via </w:t>
      </w:r>
      <w:r w:rsidRPr="008A7C5A">
        <w:t xml:space="preserve">the </w:t>
      </w:r>
      <w:r w:rsidRPr="00B52168">
        <w:t>e-Sourcing Suite Appendix E</w:t>
      </w:r>
      <w:r w:rsidRPr="008A7C5A">
        <w:t xml:space="preserve"> excluding</w:t>
      </w:r>
      <w:r>
        <w:t xml:space="preserve"> VAT.</w:t>
      </w:r>
    </w:p>
    <w:p w14:paraId="7B71B7F4" w14:textId="77777777" w:rsidR="00E20296" w:rsidRDefault="00E20296" w:rsidP="00015443">
      <w:pPr>
        <w:pStyle w:val="Heading2"/>
        <w:numPr>
          <w:ilvl w:val="1"/>
          <w:numId w:val="42"/>
        </w:numPr>
        <w:spacing w:after="120"/>
        <w:ind w:left="709" w:hanging="709"/>
      </w:pPr>
      <w:r>
        <w:t>Unless expressly agreed otherwise by the Authority, the following arrangements shall apply with regard to reimbursement of expenses and disbursements:</w:t>
      </w:r>
    </w:p>
    <w:p w14:paraId="54AAF8BC" w14:textId="77777777" w:rsidR="00E20296" w:rsidRPr="00701FFF" w:rsidRDefault="00E20296" w:rsidP="00015443">
      <w:pPr>
        <w:pStyle w:val="Heading3"/>
        <w:numPr>
          <w:ilvl w:val="2"/>
          <w:numId w:val="42"/>
        </w:numPr>
      </w:pPr>
      <w:r>
        <w:t>The following Reimburs</w:t>
      </w:r>
      <w:r w:rsidRPr="00701FFF">
        <w:t>able</w:t>
      </w:r>
      <w:r>
        <w:t xml:space="preserve"> Expenses (as defined in the Panel Agreement) shall be reimbursable: Reimbursable Expenses properly and necessarily incurred </w:t>
      </w:r>
      <w:r w:rsidRPr="00701FFF">
        <w:t xml:space="preserve">for travel to and from meetings </w:t>
      </w:r>
      <w:r>
        <w:t>outside England and Wales at the Authority’s request.</w:t>
      </w:r>
    </w:p>
    <w:p w14:paraId="3E15301E" w14:textId="77777777" w:rsidR="00E20296" w:rsidRPr="00E926D6" w:rsidRDefault="00E20296" w:rsidP="00015443">
      <w:pPr>
        <w:pStyle w:val="Heading3"/>
        <w:numPr>
          <w:ilvl w:val="2"/>
          <w:numId w:val="42"/>
        </w:numPr>
      </w:pPr>
      <w:r>
        <w:t>The following Reimbursable Expenses shall n</w:t>
      </w:r>
      <w:r w:rsidRPr="00701FFF">
        <w:t>ot</w:t>
      </w:r>
      <w:r>
        <w:t xml:space="preserve"> be</w:t>
      </w:r>
      <w:r w:rsidRPr="00701FFF">
        <w:t xml:space="preserve"> </w:t>
      </w:r>
      <w:r>
        <w:t>reimburs</w:t>
      </w:r>
      <w:r w:rsidRPr="00701FFF">
        <w:t xml:space="preserve">able: </w:t>
      </w:r>
      <w:r>
        <w:t>any other</w:t>
      </w:r>
      <w:r w:rsidRPr="00E926D6">
        <w:t xml:space="preserve"> </w:t>
      </w:r>
      <w:r w:rsidRPr="00EA671F">
        <w:t xml:space="preserve">expenses, </w:t>
      </w:r>
      <w:r w:rsidRPr="00E926D6">
        <w:t>travel time, secre</w:t>
      </w:r>
      <w:r>
        <w:t>tarial support and photocopying.</w:t>
      </w:r>
    </w:p>
    <w:p w14:paraId="4DE3D759" w14:textId="77777777" w:rsidR="00E20296" w:rsidRDefault="00E20296" w:rsidP="00015443">
      <w:pPr>
        <w:pStyle w:val="Heading3"/>
        <w:numPr>
          <w:ilvl w:val="2"/>
          <w:numId w:val="42"/>
        </w:numPr>
      </w:pPr>
      <w:r w:rsidRPr="00D40F55">
        <w:t xml:space="preserve">Disbursements </w:t>
      </w:r>
      <w:r w:rsidRPr="00AE7202">
        <w:t>shall</w:t>
      </w:r>
      <w:r w:rsidRPr="00D40F55">
        <w:t xml:space="preserve"> only be payable where the </w:t>
      </w:r>
      <w:r>
        <w:t>Authority</w:t>
      </w:r>
      <w:r w:rsidRPr="00D40F55">
        <w:t xml:space="preserve"> has authorised </w:t>
      </w:r>
      <w:r>
        <w:t xml:space="preserve">incurrence </w:t>
      </w:r>
      <w:r w:rsidRPr="00D40F55">
        <w:t>in advance</w:t>
      </w:r>
      <w:r w:rsidRPr="00AD0AB0">
        <w:t xml:space="preserve"> </w:t>
      </w:r>
      <w:r>
        <w:t>and expressly confirmed that they will be reimbursable</w:t>
      </w:r>
      <w:r w:rsidRPr="00D40F55">
        <w:t>.</w:t>
      </w:r>
    </w:p>
    <w:p w14:paraId="38C9531D" w14:textId="77777777" w:rsidR="00E20296" w:rsidRDefault="00E20296" w:rsidP="00015443">
      <w:pPr>
        <w:pStyle w:val="Heading2"/>
        <w:numPr>
          <w:ilvl w:val="1"/>
          <w:numId w:val="42"/>
        </w:numPr>
      </w:pPr>
      <w:r>
        <w:t>All expenses will be paid in accordance with the Authority’s Travel and Subsistence policy.</w:t>
      </w:r>
    </w:p>
    <w:p w14:paraId="1E865AF3" w14:textId="77777777" w:rsidR="00E20296" w:rsidRPr="00BE6EE0" w:rsidRDefault="00E20296" w:rsidP="00015443">
      <w:pPr>
        <w:pStyle w:val="Heading1"/>
        <w:keepNext/>
        <w:numPr>
          <w:ilvl w:val="0"/>
          <w:numId w:val="42"/>
        </w:numPr>
        <w:tabs>
          <w:tab w:val="clear" w:pos="720"/>
          <w:tab w:val="num" w:pos="0"/>
        </w:tabs>
        <w:overflowPunct w:val="0"/>
        <w:autoSpaceDE w:val="0"/>
        <w:autoSpaceDN w:val="0"/>
        <w:spacing w:before="240" w:after="120"/>
        <w:ind w:left="709" w:hanging="709"/>
        <w:textAlignment w:val="baseline"/>
        <w:rPr>
          <w:rFonts w:cs="Arial"/>
          <w:szCs w:val="22"/>
        </w:rPr>
      </w:pPr>
      <w:bookmarkStart w:id="53" w:name="_Toc368573038"/>
      <w:bookmarkStart w:id="54" w:name="_Toc520455200"/>
      <w:bookmarkStart w:id="55" w:name="_Toc528926402"/>
      <w:r w:rsidRPr="00BE6EE0">
        <w:rPr>
          <w:rFonts w:cs="Arial"/>
          <w:szCs w:val="22"/>
        </w:rPr>
        <w:t xml:space="preserve">STAFF AND </w:t>
      </w:r>
      <w:r>
        <w:rPr>
          <w:rFonts w:cs="Arial"/>
          <w:szCs w:val="22"/>
        </w:rPr>
        <w:t>CUSTOMER</w:t>
      </w:r>
      <w:r w:rsidRPr="00BE6EE0">
        <w:rPr>
          <w:rFonts w:cs="Arial"/>
          <w:szCs w:val="22"/>
        </w:rPr>
        <w:t xml:space="preserve"> SERVICE</w:t>
      </w:r>
      <w:bookmarkEnd w:id="53"/>
      <w:bookmarkEnd w:id="54"/>
      <w:bookmarkEnd w:id="55"/>
    </w:p>
    <w:p w14:paraId="235BE6D5" w14:textId="77777777" w:rsidR="00E20296" w:rsidRDefault="00E20296" w:rsidP="00015443">
      <w:pPr>
        <w:pStyle w:val="Heading2"/>
        <w:numPr>
          <w:ilvl w:val="1"/>
          <w:numId w:val="42"/>
        </w:numPr>
        <w:spacing w:after="120"/>
        <w:ind w:left="709" w:hanging="709"/>
      </w:pPr>
      <w:r w:rsidRPr="002E7082">
        <w:t>The</w:t>
      </w:r>
      <w:r>
        <w:t xml:space="preserve"> Authority</w:t>
      </w:r>
      <w:r w:rsidRPr="002E7082">
        <w:t xml:space="preserve"> requires the </w:t>
      </w:r>
      <w:r>
        <w:t>Supplier</w:t>
      </w:r>
      <w:r w:rsidRPr="002E7082">
        <w:t xml:space="preserve"> to</w:t>
      </w:r>
      <w:r>
        <w:t xml:space="preserve"> provide a sufficient level of resource throughout the duration of the Legal Services Contract in order to consistently deliver a quality service to all Parties.</w:t>
      </w:r>
    </w:p>
    <w:p w14:paraId="17B348F5" w14:textId="77777777" w:rsidR="00E20296" w:rsidRDefault="00E20296" w:rsidP="00015443">
      <w:pPr>
        <w:pStyle w:val="Heading2"/>
        <w:numPr>
          <w:ilvl w:val="1"/>
          <w:numId w:val="42"/>
        </w:numPr>
        <w:spacing w:after="120"/>
        <w:ind w:left="709" w:hanging="709"/>
      </w:pPr>
      <w:r>
        <w:t>The Supplier’s staff assigned to the Legal Services Contract</w:t>
      </w:r>
      <w:r w:rsidRPr="002E7082">
        <w:t xml:space="preserve"> </w:t>
      </w:r>
      <w:r>
        <w:t xml:space="preserve">shall have the </w:t>
      </w:r>
      <w:r w:rsidRPr="002E7082">
        <w:t>relevant qualifications and experience to deliver</w:t>
      </w:r>
      <w:r>
        <w:t xml:space="preserve"> the Contract.</w:t>
      </w:r>
    </w:p>
    <w:p w14:paraId="54028EBB" w14:textId="77777777" w:rsidR="00E20296" w:rsidRPr="00A74FE3" w:rsidRDefault="00E20296" w:rsidP="00015443">
      <w:pPr>
        <w:pStyle w:val="Heading2"/>
        <w:numPr>
          <w:ilvl w:val="1"/>
          <w:numId w:val="42"/>
        </w:numPr>
      </w:pPr>
      <w:r>
        <w:t>The Supplier is required t</w:t>
      </w:r>
      <w:r w:rsidRPr="00FC5E50">
        <w:t xml:space="preserve">o have suitably qualified and experienced staff based in the UK (or to be able to make such staff available in the UK within 24 hours) to conduct face-to-face meetings with the </w:t>
      </w:r>
      <w:r>
        <w:t>Authority</w:t>
      </w:r>
      <w:r w:rsidRPr="00FC5E50">
        <w:t xml:space="preserve"> as required.</w:t>
      </w:r>
    </w:p>
    <w:p w14:paraId="012A90D3" w14:textId="77777777" w:rsidR="00E20296" w:rsidRDefault="00E20296" w:rsidP="00015443">
      <w:pPr>
        <w:pStyle w:val="Heading2"/>
        <w:numPr>
          <w:ilvl w:val="1"/>
          <w:numId w:val="42"/>
        </w:numPr>
        <w:spacing w:after="120"/>
        <w:ind w:left="709" w:hanging="709"/>
      </w:pPr>
      <w:r w:rsidRPr="002E7082">
        <w:t xml:space="preserve">The </w:t>
      </w:r>
      <w:r>
        <w:t>Supplie</w:t>
      </w:r>
      <w:r w:rsidRPr="002E7082">
        <w:t xml:space="preserve">r shall ensure that </w:t>
      </w:r>
      <w:r>
        <w:t>staff understand</w:t>
      </w:r>
      <w:r w:rsidRPr="002E7082">
        <w:t xml:space="preserve"> the</w:t>
      </w:r>
      <w:r>
        <w:t xml:space="preserve"> Authority</w:t>
      </w:r>
      <w:r w:rsidRPr="002E7082">
        <w:t>’s vi</w:t>
      </w:r>
      <w:r>
        <w:t>sion and objectives and shall provide</w:t>
      </w:r>
      <w:r w:rsidRPr="002E7082">
        <w:t xml:space="preserve"> excellent</w:t>
      </w:r>
      <w:r>
        <w:t xml:space="preserve"> customer</w:t>
      </w:r>
      <w:r w:rsidRPr="002E7082">
        <w:t xml:space="preserve"> service to the </w:t>
      </w:r>
      <w:r>
        <w:t>Authority</w:t>
      </w:r>
      <w:r w:rsidRPr="002E7082">
        <w:t xml:space="preserve"> throughout </w:t>
      </w:r>
      <w:r>
        <w:t>the duration of the Contract.</w:t>
      </w:r>
    </w:p>
    <w:p w14:paraId="5902AFEA" w14:textId="4BC9DE96" w:rsidR="00E20296" w:rsidRDefault="00E20296" w:rsidP="00015443">
      <w:pPr>
        <w:pStyle w:val="Heading1"/>
        <w:keepNext/>
        <w:numPr>
          <w:ilvl w:val="0"/>
          <w:numId w:val="42"/>
        </w:numPr>
        <w:tabs>
          <w:tab w:val="clear" w:pos="720"/>
          <w:tab w:val="num" w:pos="0"/>
        </w:tabs>
        <w:overflowPunct w:val="0"/>
        <w:autoSpaceDE w:val="0"/>
        <w:autoSpaceDN w:val="0"/>
        <w:spacing w:before="240" w:after="120"/>
        <w:ind w:left="709" w:hanging="709"/>
        <w:textAlignment w:val="baseline"/>
        <w:rPr>
          <w:rFonts w:cs="Arial"/>
          <w:szCs w:val="22"/>
        </w:rPr>
      </w:pPr>
      <w:bookmarkStart w:id="56" w:name="_Toc368573039"/>
      <w:bookmarkStart w:id="57" w:name="_Toc520455201"/>
      <w:bookmarkStart w:id="58" w:name="_Toc528926403"/>
      <w:r w:rsidRPr="004E1D36">
        <w:rPr>
          <w:rFonts w:cs="Arial"/>
          <w:szCs w:val="22"/>
        </w:rPr>
        <w:t>SERVICE LEVELS A</w:t>
      </w:r>
      <w:r>
        <w:rPr>
          <w:rFonts w:cs="Arial"/>
          <w:szCs w:val="22"/>
        </w:rPr>
        <w:t>ND PERFORMANCE</w:t>
      </w:r>
      <w:bookmarkEnd w:id="56"/>
      <w:bookmarkEnd w:id="57"/>
      <w:bookmarkEnd w:id="58"/>
    </w:p>
    <w:p w14:paraId="572385DD" w14:textId="77777777" w:rsidR="00E20296" w:rsidRPr="00AD0AB0" w:rsidRDefault="00E20296" w:rsidP="00015443">
      <w:pPr>
        <w:pStyle w:val="Heading2"/>
        <w:numPr>
          <w:ilvl w:val="1"/>
          <w:numId w:val="42"/>
        </w:numPr>
        <w:spacing w:after="120"/>
        <w:ind w:left="709" w:hanging="709"/>
      </w:pPr>
      <w:r w:rsidRPr="00AD0AB0">
        <w:t xml:space="preserve">The Supplier shall provide the </w:t>
      </w:r>
      <w:r>
        <w:t>Authority</w:t>
      </w:r>
      <w:r w:rsidRPr="00AD0AB0">
        <w:t xml:space="preserve"> with a nominated and appropriate representative, with relevant and appropriate experience, authorised to act as its Relationship Manager. </w:t>
      </w:r>
    </w:p>
    <w:p w14:paraId="08D35D22" w14:textId="77777777" w:rsidR="00E20296" w:rsidRPr="00AD0AB0" w:rsidRDefault="00E20296" w:rsidP="00015443">
      <w:pPr>
        <w:pStyle w:val="Heading2"/>
        <w:numPr>
          <w:ilvl w:val="1"/>
          <w:numId w:val="42"/>
        </w:numPr>
        <w:spacing w:after="120"/>
        <w:ind w:left="709" w:hanging="709"/>
      </w:pPr>
      <w:r w:rsidRPr="00AD0AB0">
        <w:t>The Supplier</w:t>
      </w:r>
      <w:r>
        <w:t>’s Relationship Manager</w:t>
      </w:r>
      <w:r w:rsidRPr="00AD0AB0">
        <w:t xml:space="preserve"> shall attend periodic review meetings </w:t>
      </w:r>
      <w:r>
        <w:t xml:space="preserve">or calls </w:t>
      </w:r>
      <w:r w:rsidRPr="00AD0AB0">
        <w:t xml:space="preserve">to </w:t>
      </w:r>
      <w:r>
        <w:t>review</w:t>
      </w:r>
      <w:r w:rsidRPr="00AD0AB0">
        <w:t xml:space="preserve"> the performance of the Supplier, resolve any issues which have not been dealt with on a day to day basis, and discuss business opportunities, potential innovativ</w:t>
      </w:r>
      <w:r>
        <w:t xml:space="preserve">e solutions and any complaints. </w:t>
      </w:r>
    </w:p>
    <w:p w14:paraId="2FA89FC5" w14:textId="77777777" w:rsidR="00E2029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pPr>
      <w:r>
        <w:t>The Supplier and the Authority shall measure the quality of the Supplier’s delivery using the following indicators:</w:t>
      </w:r>
    </w:p>
    <w:tbl>
      <w:tblPr>
        <w:tblStyle w:val="TableGrid"/>
        <w:tblW w:w="0" w:type="auto"/>
        <w:tblInd w:w="720" w:type="dxa"/>
        <w:tblLook w:val="04A0" w:firstRow="1" w:lastRow="0" w:firstColumn="1" w:lastColumn="0" w:noHBand="0" w:noVBand="1"/>
      </w:tblPr>
      <w:tblGrid>
        <w:gridCol w:w="1084"/>
        <w:gridCol w:w="1770"/>
        <w:gridCol w:w="3798"/>
        <w:gridCol w:w="1647"/>
      </w:tblGrid>
      <w:tr w:rsidR="00E20296" w:rsidRPr="00EB7A44" w14:paraId="7E69FFA6" w14:textId="77777777" w:rsidTr="00797539">
        <w:tc>
          <w:tcPr>
            <w:tcW w:w="1048" w:type="dxa"/>
            <w:shd w:val="clear" w:color="auto" w:fill="DBE5F1" w:themeFill="accent1" w:themeFillTint="33"/>
          </w:tcPr>
          <w:p w14:paraId="730607CE" w14:textId="77777777" w:rsidR="00E20296" w:rsidRPr="00EB7A44" w:rsidRDefault="00E20296" w:rsidP="00797539">
            <w:pPr>
              <w:pStyle w:val="Heading2"/>
              <w:numPr>
                <w:ilvl w:val="0"/>
                <w:numId w:val="0"/>
              </w:numPr>
              <w:spacing w:before="120" w:after="120"/>
              <w:jc w:val="center"/>
              <w:outlineLvl w:val="1"/>
              <w:rPr>
                <w:b/>
              </w:rPr>
            </w:pPr>
            <w:r w:rsidRPr="00EB7A44">
              <w:rPr>
                <w:b/>
              </w:rPr>
              <w:t>KPI/SLA</w:t>
            </w:r>
          </w:p>
        </w:tc>
        <w:tc>
          <w:tcPr>
            <w:tcW w:w="1771" w:type="dxa"/>
            <w:shd w:val="clear" w:color="auto" w:fill="DBE5F1" w:themeFill="accent1" w:themeFillTint="33"/>
          </w:tcPr>
          <w:p w14:paraId="49664F5D" w14:textId="77777777" w:rsidR="00E20296" w:rsidRPr="00EB7A44" w:rsidRDefault="00E20296" w:rsidP="00797539">
            <w:pPr>
              <w:pStyle w:val="Heading2"/>
              <w:numPr>
                <w:ilvl w:val="0"/>
                <w:numId w:val="0"/>
              </w:numPr>
              <w:spacing w:before="120" w:after="120"/>
              <w:jc w:val="center"/>
              <w:outlineLvl w:val="1"/>
              <w:rPr>
                <w:b/>
              </w:rPr>
            </w:pPr>
            <w:r w:rsidRPr="00EB7A44">
              <w:rPr>
                <w:b/>
              </w:rPr>
              <w:t>Service Area</w:t>
            </w:r>
          </w:p>
        </w:tc>
        <w:tc>
          <w:tcPr>
            <w:tcW w:w="3827" w:type="dxa"/>
            <w:shd w:val="clear" w:color="auto" w:fill="DBE5F1" w:themeFill="accent1" w:themeFillTint="33"/>
          </w:tcPr>
          <w:p w14:paraId="74FF816B" w14:textId="77777777" w:rsidR="00E20296" w:rsidRPr="00EB7A44" w:rsidRDefault="00E20296" w:rsidP="00797539">
            <w:pPr>
              <w:pStyle w:val="Heading2"/>
              <w:numPr>
                <w:ilvl w:val="0"/>
                <w:numId w:val="0"/>
              </w:numPr>
              <w:spacing w:before="120" w:after="120"/>
              <w:jc w:val="center"/>
              <w:outlineLvl w:val="1"/>
              <w:rPr>
                <w:b/>
              </w:rPr>
            </w:pPr>
            <w:r w:rsidRPr="00EB7A44">
              <w:rPr>
                <w:b/>
              </w:rPr>
              <w:t>KPI/SLA description</w:t>
            </w:r>
          </w:p>
        </w:tc>
        <w:tc>
          <w:tcPr>
            <w:tcW w:w="1653" w:type="dxa"/>
            <w:shd w:val="clear" w:color="auto" w:fill="DBE5F1" w:themeFill="accent1" w:themeFillTint="33"/>
          </w:tcPr>
          <w:p w14:paraId="0914CF86" w14:textId="77777777" w:rsidR="00E20296" w:rsidRPr="00EB7A44" w:rsidRDefault="00E20296" w:rsidP="00797539">
            <w:pPr>
              <w:pStyle w:val="Heading2"/>
              <w:numPr>
                <w:ilvl w:val="0"/>
                <w:numId w:val="0"/>
              </w:numPr>
              <w:spacing w:before="120" w:after="120"/>
              <w:jc w:val="center"/>
              <w:outlineLvl w:val="1"/>
              <w:rPr>
                <w:b/>
              </w:rPr>
            </w:pPr>
            <w:r w:rsidRPr="00EB7A44">
              <w:rPr>
                <w:b/>
              </w:rPr>
              <w:t>Target</w:t>
            </w:r>
          </w:p>
        </w:tc>
      </w:tr>
      <w:tr w:rsidR="00E20296" w14:paraId="6223C728" w14:textId="77777777" w:rsidTr="00797539">
        <w:tc>
          <w:tcPr>
            <w:tcW w:w="1048" w:type="dxa"/>
          </w:tcPr>
          <w:p w14:paraId="43817772" w14:textId="77777777" w:rsidR="00E20296" w:rsidRDefault="00E20296" w:rsidP="00797539">
            <w:pPr>
              <w:pStyle w:val="Heading2"/>
              <w:numPr>
                <w:ilvl w:val="0"/>
                <w:numId w:val="0"/>
              </w:numPr>
              <w:spacing w:before="120" w:after="120"/>
              <w:jc w:val="center"/>
              <w:outlineLvl w:val="1"/>
            </w:pPr>
            <w:r>
              <w:t>1</w:t>
            </w:r>
          </w:p>
        </w:tc>
        <w:tc>
          <w:tcPr>
            <w:tcW w:w="1771" w:type="dxa"/>
          </w:tcPr>
          <w:p w14:paraId="58D018DE" w14:textId="77777777" w:rsidR="00E20296" w:rsidRDefault="00E20296" w:rsidP="00797539">
            <w:pPr>
              <w:pStyle w:val="Heading2"/>
              <w:numPr>
                <w:ilvl w:val="0"/>
                <w:numId w:val="0"/>
              </w:numPr>
              <w:spacing w:before="120" w:after="120"/>
              <w:jc w:val="left"/>
              <w:outlineLvl w:val="1"/>
            </w:pPr>
            <w:r>
              <w:t xml:space="preserve">Delivery timescales for review of draft documentation </w:t>
            </w:r>
            <w:r>
              <w:lastRenderedPageBreak/>
              <w:t>for a particular Gilt issue by means of auction</w:t>
            </w:r>
          </w:p>
        </w:tc>
        <w:tc>
          <w:tcPr>
            <w:tcW w:w="3827" w:type="dxa"/>
          </w:tcPr>
          <w:p w14:paraId="4256EF4A" w14:textId="77777777" w:rsidR="00E20296" w:rsidRDefault="00E20296" w:rsidP="00797539">
            <w:pPr>
              <w:pStyle w:val="Heading2"/>
              <w:numPr>
                <w:ilvl w:val="0"/>
                <w:numId w:val="0"/>
              </w:numPr>
              <w:spacing w:before="120" w:after="120"/>
              <w:jc w:val="left"/>
              <w:outlineLvl w:val="1"/>
            </w:pPr>
            <w:r>
              <w:lastRenderedPageBreak/>
              <w:t xml:space="preserve">Supplier to provide comments within 2 working days from receipt of draft documentation from the Authority or, </w:t>
            </w:r>
            <w:r>
              <w:lastRenderedPageBreak/>
              <w:t>if later, by close of business on the day before the auction.</w:t>
            </w:r>
          </w:p>
          <w:p w14:paraId="1C26C047" w14:textId="77777777" w:rsidR="00E20296" w:rsidRDefault="00E20296" w:rsidP="00797539">
            <w:pPr>
              <w:pStyle w:val="Heading2"/>
              <w:numPr>
                <w:ilvl w:val="0"/>
                <w:numId w:val="0"/>
              </w:numPr>
              <w:spacing w:before="120" w:after="120"/>
              <w:jc w:val="left"/>
              <w:outlineLvl w:val="1"/>
            </w:pPr>
          </w:p>
        </w:tc>
        <w:tc>
          <w:tcPr>
            <w:tcW w:w="1653" w:type="dxa"/>
          </w:tcPr>
          <w:p w14:paraId="15AB27D5" w14:textId="77777777" w:rsidR="00E20296" w:rsidRDefault="00E20296" w:rsidP="00797539">
            <w:pPr>
              <w:pStyle w:val="Heading2"/>
              <w:numPr>
                <w:ilvl w:val="0"/>
                <w:numId w:val="0"/>
              </w:numPr>
              <w:spacing w:before="120" w:after="120"/>
              <w:outlineLvl w:val="1"/>
            </w:pPr>
            <w:r>
              <w:lastRenderedPageBreak/>
              <w:t>98%</w:t>
            </w:r>
          </w:p>
        </w:tc>
      </w:tr>
      <w:tr w:rsidR="00E20296" w14:paraId="2033401F" w14:textId="77777777" w:rsidTr="00797539">
        <w:tc>
          <w:tcPr>
            <w:tcW w:w="1048" w:type="dxa"/>
          </w:tcPr>
          <w:p w14:paraId="119C2CE4" w14:textId="77777777" w:rsidR="00E20296" w:rsidRDefault="00E20296" w:rsidP="00797539">
            <w:pPr>
              <w:pStyle w:val="Heading2"/>
              <w:numPr>
                <w:ilvl w:val="0"/>
                <w:numId w:val="0"/>
              </w:numPr>
              <w:spacing w:before="120" w:after="120"/>
              <w:jc w:val="center"/>
              <w:outlineLvl w:val="1"/>
            </w:pPr>
            <w:r>
              <w:t>2</w:t>
            </w:r>
          </w:p>
        </w:tc>
        <w:tc>
          <w:tcPr>
            <w:tcW w:w="1771" w:type="dxa"/>
          </w:tcPr>
          <w:p w14:paraId="2F72D4C3" w14:textId="77777777" w:rsidR="00E20296" w:rsidRDefault="00E20296" w:rsidP="00797539">
            <w:pPr>
              <w:pStyle w:val="Heading2"/>
              <w:numPr>
                <w:ilvl w:val="0"/>
                <w:numId w:val="0"/>
              </w:numPr>
              <w:spacing w:before="120" w:after="120"/>
              <w:jc w:val="left"/>
              <w:outlineLvl w:val="1"/>
            </w:pPr>
            <w:r>
              <w:t>Delivery timescales for review and drafting of draft documentation for a particular Gilt issue by means of syndicated offering</w:t>
            </w:r>
          </w:p>
        </w:tc>
        <w:tc>
          <w:tcPr>
            <w:tcW w:w="3827" w:type="dxa"/>
          </w:tcPr>
          <w:p w14:paraId="6358FD93" w14:textId="77777777" w:rsidR="00E20296" w:rsidRDefault="00E20296" w:rsidP="00797539">
            <w:pPr>
              <w:pStyle w:val="Heading2"/>
              <w:numPr>
                <w:ilvl w:val="0"/>
                <w:numId w:val="0"/>
              </w:numPr>
              <w:spacing w:before="120" w:after="120"/>
              <w:outlineLvl w:val="1"/>
            </w:pPr>
            <w:r>
              <w:t>Supplier to provide draft documents (or comments on draft documents) by the date specified by the Authority, such date being no earlier than 3 working days after the Supplier’s receipt of the request (or the draft documents, as applicable).</w:t>
            </w:r>
          </w:p>
        </w:tc>
        <w:tc>
          <w:tcPr>
            <w:tcW w:w="1653" w:type="dxa"/>
          </w:tcPr>
          <w:p w14:paraId="6804EE34" w14:textId="77777777" w:rsidR="00E20296" w:rsidRDefault="00E20296" w:rsidP="00797539">
            <w:pPr>
              <w:pStyle w:val="Heading2"/>
              <w:numPr>
                <w:ilvl w:val="0"/>
                <w:numId w:val="0"/>
              </w:numPr>
              <w:spacing w:before="120" w:after="120"/>
              <w:outlineLvl w:val="1"/>
            </w:pPr>
            <w:r>
              <w:t>98%</w:t>
            </w:r>
          </w:p>
        </w:tc>
      </w:tr>
      <w:tr w:rsidR="00E20296" w14:paraId="27222195" w14:textId="77777777" w:rsidTr="00797539">
        <w:tc>
          <w:tcPr>
            <w:tcW w:w="1048" w:type="dxa"/>
          </w:tcPr>
          <w:p w14:paraId="692FA912" w14:textId="77777777" w:rsidR="00E20296" w:rsidRDefault="00E20296" w:rsidP="00797539">
            <w:pPr>
              <w:pStyle w:val="Heading2"/>
              <w:numPr>
                <w:ilvl w:val="0"/>
                <w:numId w:val="0"/>
              </w:numPr>
              <w:spacing w:before="120" w:after="120"/>
              <w:jc w:val="center"/>
              <w:outlineLvl w:val="1"/>
            </w:pPr>
            <w:r>
              <w:t>3</w:t>
            </w:r>
          </w:p>
        </w:tc>
        <w:tc>
          <w:tcPr>
            <w:tcW w:w="1771" w:type="dxa"/>
          </w:tcPr>
          <w:p w14:paraId="64760023" w14:textId="77777777" w:rsidR="00E20296" w:rsidRDefault="00E20296" w:rsidP="00797539">
            <w:pPr>
              <w:pStyle w:val="Heading2"/>
              <w:numPr>
                <w:ilvl w:val="0"/>
                <w:numId w:val="0"/>
              </w:numPr>
              <w:spacing w:before="120" w:after="120"/>
              <w:jc w:val="left"/>
              <w:outlineLvl w:val="1"/>
            </w:pPr>
            <w:r>
              <w:t>Quality of review and drafting of documentation for a particular Gilt issue</w:t>
            </w:r>
          </w:p>
        </w:tc>
        <w:tc>
          <w:tcPr>
            <w:tcW w:w="3827" w:type="dxa"/>
          </w:tcPr>
          <w:p w14:paraId="1DF02E6F" w14:textId="77777777" w:rsidR="00E20296" w:rsidRDefault="00E20296" w:rsidP="00797539">
            <w:pPr>
              <w:pStyle w:val="Heading2"/>
              <w:numPr>
                <w:ilvl w:val="0"/>
                <w:numId w:val="0"/>
              </w:numPr>
              <w:spacing w:before="120" w:after="120"/>
              <w:outlineLvl w:val="1"/>
            </w:pPr>
            <w:r>
              <w:t>Supplier to carry out review and drafting activities with a view to ensuring documentation for Gilt issues that is (i) entirely free of material errors and (ii) largely free of immaterial errors (such as formatting errors).</w:t>
            </w:r>
          </w:p>
        </w:tc>
        <w:tc>
          <w:tcPr>
            <w:tcW w:w="1653" w:type="dxa"/>
          </w:tcPr>
          <w:p w14:paraId="22322B7F" w14:textId="77777777" w:rsidR="00E20296" w:rsidRDefault="00E20296" w:rsidP="00797539">
            <w:pPr>
              <w:pStyle w:val="Heading2"/>
              <w:numPr>
                <w:ilvl w:val="0"/>
                <w:numId w:val="0"/>
              </w:numPr>
              <w:spacing w:before="120" w:after="120"/>
              <w:jc w:val="left"/>
              <w:outlineLvl w:val="1"/>
            </w:pPr>
            <w:r>
              <w:t>100% in respect of material errors</w:t>
            </w:r>
          </w:p>
          <w:p w14:paraId="79BB7270" w14:textId="77777777" w:rsidR="00E20296" w:rsidRDefault="00E20296" w:rsidP="00797539">
            <w:pPr>
              <w:pStyle w:val="Heading2"/>
              <w:numPr>
                <w:ilvl w:val="0"/>
                <w:numId w:val="0"/>
              </w:numPr>
              <w:spacing w:before="120" w:after="120"/>
              <w:jc w:val="left"/>
              <w:outlineLvl w:val="1"/>
            </w:pPr>
            <w:r>
              <w:t>95% in respect of immaterial errors</w:t>
            </w:r>
          </w:p>
        </w:tc>
      </w:tr>
      <w:tr w:rsidR="00E20296" w14:paraId="583DDCD5" w14:textId="77777777" w:rsidTr="00797539">
        <w:tc>
          <w:tcPr>
            <w:tcW w:w="1048" w:type="dxa"/>
          </w:tcPr>
          <w:p w14:paraId="636F245F" w14:textId="77777777" w:rsidR="00E20296" w:rsidRDefault="00E20296" w:rsidP="00797539">
            <w:pPr>
              <w:pStyle w:val="Heading2"/>
              <w:numPr>
                <w:ilvl w:val="0"/>
                <w:numId w:val="0"/>
              </w:numPr>
              <w:spacing w:before="120" w:after="120"/>
              <w:jc w:val="center"/>
              <w:outlineLvl w:val="1"/>
            </w:pPr>
            <w:r>
              <w:t>4</w:t>
            </w:r>
          </w:p>
        </w:tc>
        <w:tc>
          <w:tcPr>
            <w:tcW w:w="1771" w:type="dxa"/>
          </w:tcPr>
          <w:p w14:paraId="39D34926" w14:textId="77777777" w:rsidR="00E20296" w:rsidRDefault="00E20296" w:rsidP="00797539">
            <w:pPr>
              <w:pStyle w:val="Heading2"/>
              <w:numPr>
                <w:ilvl w:val="0"/>
                <w:numId w:val="0"/>
              </w:numPr>
              <w:spacing w:before="120" w:after="120"/>
              <w:jc w:val="left"/>
              <w:outlineLvl w:val="1"/>
            </w:pPr>
            <w:r>
              <w:t>Delivery timescales and cost management for other significant pieces of work instructed under the Legal Services Contract</w:t>
            </w:r>
          </w:p>
        </w:tc>
        <w:tc>
          <w:tcPr>
            <w:tcW w:w="3827" w:type="dxa"/>
          </w:tcPr>
          <w:p w14:paraId="79A9FB36" w14:textId="77777777" w:rsidR="00E20296" w:rsidRDefault="00E20296" w:rsidP="00797539">
            <w:pPr>
              <w:pStyle w:val="Heading2"/>
              <w:numPr>
                <w:ilvl w:val="0"/>
                <w:numId w:val="0"/>
              </w:numPr>
              <w:spacing w:before="120" w:after="120"/>
              <w:outlineLvl w:val="1"/>
            </w:pPr>
            <w:r>
              <w:t xml:space="preserve">Supplier to proactively work with the Authority to agree a delivery plan, including timescale and estimated Charges, for delivery of any significant Order under the Legal Services Contract. </w:t>
            </w:r>
          </w:p>
          <w:p w14:paraId="0917409B" w14:textId="77777777" w:rsidR="00E20296" w:rsidRDefault="00E20296" w:rsidP="00797539">
            <w:pPr>
              <w:pStyle w:val="Heading2"/>
              <w:numPr>
                <w:ilvl w:val="0"/>
                <w:numId w:val="0"/>
              </w:numPr>
              <w:spacing w:before="120" w:after="120"/>
              <w:outlineLvl w:val="1"/>
            </w:pPr>
            <w:r>
              <w:t>Supplier to deliver in accordance with each agreed delivery plan except where the scope or expected complexity of the work required changes or where the failure is due to other factors outside the control of the Supplier.</w:t>
            </w:r>
          </w:p>
        </w:tc>
        <w:tc>
          <w:tcPr>
            <w:tcW w:w="1653" w:type="dxa"/>
          </w:tcPr>
          <w:p w14:paraId="5C1622B2" w14:textId="77777777" w:rsidR="00E20296" w:rsidRDefault="00E20296" w:rsidP="00797539">
            <w:pPr>
              <w:pStyle w:val="Heading2"/>
              <w:numPr>
                <w:ilvl w:val="0"/>
                <w:numId w:val="0"/>
              </w:numPr>
              <w:spacing w:before="120" w:after="120"/>
              <w:outlineLvl w:val="1"/>
            </w:pPr>
            <w:r>
              <w:t>98%</w:t>
            </w:r>
          </w:p>
        </w:tc>
      </w:tr>
      <w:tr w:rsidR="00E20296" w14:paraId="7C9EBA03" w14:textId="77777777" w:rsidTr="00797539">
        <w:tc>
          <w:tcPr>
            <w:tcW w:w="1048" w:type="dxa"/>
          </w:tcPr>
          <w:p w14:paraId="584DACDF" w14:textId="77777777" w:rsidR="00E20296" w:rsidRDefault="00E20296" w:rsidP="00797539">
            <w:pPr>
              <w:pStyle w:val="Heading2"/>
              <w:numPr>
                <w:ilvl w:val="0"/>
                <w:numId w:val="0"/>
              </w:numPr>
              <w:spacing w:before="120" w:after="120"/>
              <w:jc w:val="center"/>
              <w:outlineLvl w:val="1"/>
            </w:pPr>
            <w:r>
              <w:t>5</w:t>
            </w:r>
          </w:p>
        </w:tc>
        <w:tc>
          <w:tcPr>
            <w:tcW w:w="1771" w:type="dxa"/>
          </w:tcPr>
          <w:p w14:paraId="36EDCA84" w14:textId="77777777" w:rsidR="00E20296" w:rsidRDefault="00E20296" w:rsidP="00797539">
            <w:pPr>
              <w:pStyle w:val="Heading2"/>
              <w:numPr>
                <w:ilvl w:val="0"/>
                <w:numId w:val="0"/>
              </w:numPr>
              <w:spacing w:before="120" w:after="120"/>
              <w:jc w:val="left"/>
              <w:outlineLvl w:val="1"/>
            </w:pPr>
            <w:r>
              <w:t>Quality of other pieces of work</w:t>
            </w:r>
          </w:p>
        </w:tc>
        <w:tc>
          <w:tcPr>
            <w:tcW w:w="3827" w:type="dxa"/>
          </w:tcPr>
          <w:p w14:paraId="5B7F0C2F" w14:textId="77777777" w:rsidR="00E20296" w:rsidRDefault="00E20296" w:rsidP="00797539">
            <w:pPr>
              <w:pStyle w:val="Heading2"/>
              <w:numPr>
                <w:ilvl w:val="0"/>
                <w:numId w:val="0"/>
              </w:numPr>
              <w:spacing w:before="120" w:after="120"/>
              <w:outlineLvl w:val="1"/>
            </w:pPr>
            <w:r>
              <w:t>Supplier to provide all advice and documentation to a professional standard in accordance with the requirements of paragraph 13 above.</w:t>
            </w:r>
          </w:p>
        </w:tc>
        <w:tc>
          <w:tcPr>
            <w:tcW w:w="1653" w:type="dxa"/>
          </w:tcPr>
          <w:p w14:paraId="340345EF" w14:textId="77777777" w:rsidR="00E20296" w:rsidDel="00DD459C" w:rsidRDefault="00E20296" w:rsidP="00797539">
            <w:pPr>
              <w:pStyle w:val="Heading2"/>
              <w:numPr>
                <w:ilvl w:val="0"/>
                <w:numId w:val="0"/>
              </w:numPr>
              <w:spacing w:before="120" w:after="120"/>
              <w:outlineLvl w:val="1"/>
            </w:pPr>
            <w:r>
              <w:t>100%</w:t>
            </w:r>
          </w:p>
        </w:tc>
      </w:tr>
    </w:tbl>
    <w:p w14:paraId="7052FD46" w14:textId="77777777" w:rsidR="00E20296" w:rsidRDefault="00E20296" w:rsidP="00E20296">
      <w:pPr>
        <w:pStyle w:val="Default"/>
      </w:pPr>
      <w:bookmarkStart w:id="59" w:name="_Toc368573040"/>
    </w:p>
    <w:p w14:paraId="3ACB4DC2" w14:textId="77777777" w:rsidR="00E20296"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pPr>
      <w:r w:rsidRPr="00642801">
        <w:t xml:space="preserve">The Supplier shall immediately </w:t>
      </w:r>
      <w:r>
        <w:t xml:space="preserve">notify the Authority </w:t>
      </w:r>
      <w:r w:rsidRPr="00642801">
        <w:t>where service and/or performance falls below the required level.</w:t>
      </w:r>
      <w:r>
        <w:t xml:space="preserve"> As soon as reasonably practicable the Supplier shall confirm to the Authority in writing</w:t>
      </w:r>
      <w:r w:rsidRPr="00642801">
        <w:t xml:space="preserve"> the remediation measures that have been put in place to prevent a re- occurrence of such serv</w:t>
      </w:r>
      <w:r>
        <w:t>ice and/or performance failure.</w:t>
      </w:r>
    </w:p>
    <w:p w14:paraId="2472D189" w14:textId="77777777" w:rsidR="00E20296" w:rsidRPr="00642801" w:rsidRDefault="00E20296" w:rsidP="00015443">
      <w:pPr>
        <w:pStyle w:val="Heading2"/>
        <w:numPr>
          <w:ilvl w:val="1"/>
          <w:numId w:val="42"/>
        </w:numPr>
        <w:tabs>
          <w:tab w:val="clear" w:pos="720"/>
          <w:tab w:val="num" w:pos="132"/>
          <w:tab w:val="num" w:pos="862"/>
        </w:tabs>
        <w:overflowPunct w:val="0"/>
        <w:autoSpaceDE w:val="0"/>
        <w:autoSpaceDN w:val="0"/>
        <w:spacing w:after="120"/>
        <w:ind w:left="709" w:hanging="709"/>
        <w:textAlignment w:val="baseline"/>
      </w:pPr>
      <w:r>
        <w:t>The Supplier shall carry out a review annually</w:t>
      </w:r>
      <w:r w:rsidRPr="003773CC">
        <w:rPr>
          <w:rFonts w:eastAsia="Times New Roman" w:cs="Arial"/>
          <w:color w:val="000000"/>
          <w:sz w:val="24"/>
          <w:szCs w:val="24"/>
          <w:lang w:eastAsia="en-GB"/>
        </w:rPr>
        <w:t xml:space="preserve"> </w:t>
      </w:r>
      <w:r w:rsidRPr="003773CC">
        <w:t xml:space="preserve">to (i) review adherence to the </w:t>
      </w:r>
      <w:r>
        <w:t>requirements set out in this document and to the delivery plan for each significant Order</w:t>
      </w:r>
      <w:r w:rsidRPr="003773CC">
        <w:t xml:space="preserve">, and (ii) ensure optimisation of efficiency and value for money in provision of the </w:t>
      </w:r>
      <w:r>
        <w:t>Services.</w:t>
      </w:r>
    </w:p>
    <w:p w14:paraId="63DD483D" w14:textId="6458E331" w:rsidR="00E20296" w:rsidRDefault="00E20296" w:rsidP="00015443">
      <w:pPr>
        <w:pStyle w:val="Heading1"/>
        <w:keepNext/>
        <w:numPr>
          <w:ilvl w:val="0"/>
          <w:numId w:val="42"/>
        </w:numPr>
        <w:spacing w:before="240" w:after="120"/>
      </w:pPr>
      <w:bookmarkStart w:id="60" w:name="_Toc520455202"/>
      <w:bookmarkStart w:id="61" w:name="_Toc528926404"/>
      <w:r>
        <w:lastRenderedPageBreak/>
        <w:t>SECURITY REQUIREMENTS</w:t>
      </w:r>
      <w:bookmarkEnd w:id="59"/>
      <w:bookmarkEnd w:id="60"/>
      <w:bookmarkEnd w:id="61"/>
    </w:p>
    <w:p w14:paraId="3B293356" w14:textId="77777777" w:rsidR="00E20296" w:rsidRPr="00AE7202" w:rsidRDefault="00E20296" w:rsidP="00015443">
      <w:pPr>
        <w:pStyle w:val="Heading2"/>
        <w:numPr>
          <w:ilvl w:val="1"/>
          <w:numId w:val="42"/>
        </w:numPr>
        <w:rPr>
          <w:rFonts w:cs="Arial"/>
          <w:szCs w:val="22"/>
        </w:rPr>
      </w:pPr>
      <w:bookmarkStart w:id="62" w:name="_Toc368573041"/>
      <w:r>
        <w:t>There are no security requirements specific to this requirement.</w:t>
      </w:r>
    </w:p>
    <w:p w14:paraId="36A348A7" w14:textId="49897575" w:rsidR="00E20296" w:rsidRDefault="00E20296" w:rsidP="00015443">
      <w:pPr>
        <w:pStyle w:val="Heading1"/>
        <w:keepNext/>
        <w:numPr>
          <w:ilvl w:val="0"/>
          <w:numId w:val="42"/>
        </w:numPr>
        <w:spacing w:before="240" w:after="120"/>
        <w:rPr>
          <w:rFonts w:cs="Arial"/>
          <w:szCs w:val="22"/>
        </w:rPr>
      </w:pPr>
      <w:bookmarkStart w:id="63" w:name="_Toc520455203"/>
      <w:bookmarkStart w:id="64" w:name="_Toc528926405"/>
      <w:r w:rsidRPr="00642801">
        <w:t>INTELLECTUAL</w:t>
      </w:r>
      <w:r>
        <w:rPr>
          <w:rFonts w:cs="Arial"/>
          <w:szCs w:val="22"/>
        </w:rPr>
        <w:t xml:space="preserve"> PROPERTY RIGHTS (IPR)</w:t>
      </w:r>
      <w:bookmarkEnd w:id="62"/>
      <w:bookmarkEnd w:id="63"/>
      <w:bookmarkEnd w:id="64"/>
    </w:p>
    <w:p w14:paraId="3127036A" w14:textId="77777777" w:rsidR="00E20296" w:rsidRPr="00AE7202" w:rsidRDefault="00E20296" w:rsidP="00015443">
      <w:pPr>
        <w:pStyle w:val="Heading2"/>
        <w:numPr>
          <w:ilvl w:val="1"/>
          <w:numId w:val="42"/>
        </w:numPr>
        <w:rPr>
          <w:rFonts w:cs="Arial"/>
          <w:szCs w:val="22"/>
        </w:rPr>
      </w:pPr>
      <w:bookmarkStart w:id="65" w:name="_Toc506986442"/>
      <w:bookmarkStart w:id="66" w:name="_Toc302637211"/>
      <w:bookmarkStart w:id="67" w:name="_Toc368573042"/>
      <w:r>
        <w:t xml:space="preserve">There are no Intellectual Property Rights specific to this requirement. </w:t>
      </w:r>
    </w:p>
    <w:p w14:paraId="40BABDB1" w14:textId="7C8746EB" w:rsidR="00E20296" w:rsidRPr="00874062" w:rsidRDefault="00E20296" w:rsidP="00015443">
      <w:pPr>
        <w:pStyle w:val="Heading1"/>
        <w:keepNext/>
        <w:numPr>
          <w:ilvl w:val="0"/>
          <w:numId w:val="42"/>
        </w:numPr>
        <w:spacing w:before="240" w:after="120"/>
        <w:rPr>
          <w:rFonts w:cs="Arial"/>
          <w:szCs w:val="22"/>
        </w:rPr>
      </w:pPr>
      <w:bookmarkStart w:id="68" w:name="_Toc520455204"/>
      <w:bookmarkStart w:id="69" w:name="_Toc528926406"/>
      <w:r w:rsidRPr="00642801">
        <w:t>PAYMENT</w:t>
      </w:r>
      <w:bookmarkEnd w:id="65"/>
      <w:bookmarkEnd w:id="68"/>
      <w:bookmarkEnd w:id="69"/>
    </w:p>
    <w:p w14:paraId="570C1461" w14:textId="77777777" w:rsidR="00E20296" w:rsidRPr="005B17E5" w:rsidRDefault="00E20296" w:rsidP="00015443">
      <w:pPr>
        <w:pStyle w:val="Heading2"/>
        <w:numPr>
          <w:ilvl w:val="1"/>
          <w:numId w:val="42"/>
        </w:numPr>
      </w:pPr>
      <w:r>
        <w:t>Services shall be invoiced monthly in arrear.</w:t>
      </w:r>
    </w:p>
    <w:p w14:paraId="0576A85B" w14:textId="77777777" w:rsidR="00E20296" w:rsidRPr="00AE7202" w:rsidRDefault="00E20296" w:rsidP="00015443">
      <w:pPr>
        <w:pStyle w:val="Heading2"/>
        <w:numPr>
          <w:ilvl w:val="1"/>
          <w:numId w:val="42"/>
        </w:numPr>
        <w:rPr>
          <w:szCs w:val="22"/>
        </w:rPr>
      </w:pPr>
      <w:r w:rsidRPr="00AE7202">
        <w:rPr>
          <w:rFonts w:cs="Arial"/>
          <w:color w:val="000000"/>
          <w:szCs w:val="22"/>
          <w:shd w:val="clear" w:color="auto" w:fill="FFFFFF"/>
        </w:rPr>
        <w:t xml:space="preserve">Payment can only be made following satisfactory delivery of pre-agreed certified products and deliverables. </w:t>
      </w:r>
    </w:p>
    <w:p w14:paraId="342559BD" w14:textId="77777777" w:rsidR="00E20296" w:rsidRPr="00AE7202" w:rsidRDefault="00E20296" w:rsidP="00015443">
      <w:pPr>
        <w:pStyle w:val="Heading2"/>
        <w:numPr>
          <w:ilvl w:val="1"/>
          <w:numId w:val="42"/>
        </w:numPr>
        <w:rPr>
          <w:szCs w:val="22"/>
        </w:rPr>
      </w:pPr>
      <w:r w:rsidRPr="00AE7202">
        <w:rPr>
          <w:rFonts w:cs="Arial"/>
          <w:color w:val="000000"/>
          <w:szCs w:val="22"/>
          <w:shd w:val="clear" w:color="auto" w:fill="FFFFFF"/>
        </w:rPr>
        <w:t>Before payment can be considered, each invoice must include a detailed elemental breakdown of work completed and the associated co</w:t>
      </w:r>
      <w:r>
        <w:rPr>
          <w:rFonts w:cs="Arial"/>
          <w:color w:val="000000"/>
          <w:szCs w:val="22"/>
          <w:shd w:val="clear" w:color="auto" w:fill="FFFFFF"/>
        </w:rPr>
        <w:t>sts.</w:t>
      </w:r>
    </w:p>
    <w:p w14:paraId="17F087B9" w14:textId="6148F40D" w:rsidR="00E20296" w:rsidRDefault="00E20296" w:rsidP="00015443">
      <w:pPr>
        <w:pStyle w:val="Heading1"/>
        <w:keepNext/>
        <w:numPr>
          <w:ilvl w:val="0"/>
          <w:numId w:val="42"/>
        </w:numPr>
        <w:spacing w:before="240" w:after="120"/>
        <w:rPr>
          <w:rFonts w:cs="Arial"/>
          <w:szCs w:val="22"/>
        </w:rPr>
      </w:pPr>
      <w:bookmarkStart w:id="70" w:name="_Toc520455205"/>
      <w:bookmarkStart w:id="71" w:name="_Toc528926407"/>
      <w:r w:rsidRPr="00642801">
        <w:t>ADDITIONAL</w:t>
      </w:r>
      <w:r>
        <w:rPr>
          <w:rFonts w:cs="Arial"/>
          <w:szCs w:val="22"/>
        </w:rPr>
        <w:t xml:space="preserve"> INFORMATION</w:t>
      </w:r>
      <w:bookmarkEnd w:id="70"/>
      <w:bookmarkEnd w:id="71"/>
      <w:r>
        <w:rPr>
          <w:rFonts w:cs="Arial"/>
          <w:szCs w:val="22"/>
        </w:rPr>
        <w:t xml:space="preserve"> </w:t>
      </w:r>
    </w:p>
    <w:p w14:paraId="01937271" w14:textId="77777777" w:rsidR="00E20296" w:rsidRDefault="00E20296" w:rsidP="00015443">
      <w:pPr>
        <w:pStyle w:val="Heading2"/>
        <w:numPr>
          <w:ilvl w:val="1"/>
          <w:numId w:val="42"/>
        </w:numPr>
      </w:pPr>
      <w:r>
        <w:t>The Supplier will be required to conduct the following knowledge transfer exercises:</w:t>
      </w:r>
    </w:p>
    <w:p w14:paraId="109A0F4D" w14:textId="77777777" w:rsidR="00E20296" w:rsidRDefault="00E20296" w:rsidP="00015443">
      <w:pPr>
        <w:pStyle w:val="Heading3"/>
        <w:numPr>
          <w:ilvl w:val="2"/>
          <w:numId w:val="42"/>
        </w:numPr>
      </w:pPr>
      <w:r>
        <w:t xml:space="preserve">preparation of an electronic document bible upon completion of each syndicated offering of Gilts; </w:t>
      </w:r>
    </w:p>
    <w:p w14:paraId="0149C3EF" w14:textId="77777777" w:rsidR="00E20296" w:rsidRDefault="00E20296" w:rsidP="00015443">
      <w:pPr>
        <w:pStyle w:val="Heading3"/>
        <w:numPr>
          <w:ilvl w:val="2"/>
          <w:numId w:val="42"/>
        </w:numPr>
      </w:pPr>
      <w:r>
        <w:t>as may be requested by the Authority from time to time in relation to other items of work instructed under the Legal Services Contract;</w:t>
      </w:r>
      <w:r w:rsidRPr="00854C6D">
        <w:t xml:space="preserve"> </w:t>
      </w:r>
      <w:r>
        <w:t>and</w:t>
      </w:r>
    </w:p>
    <w:p w14:paraId="05EE6754" w14:textId="77777777" w:rsidR="00E20296" w:rsidRDefault="00E20296" w:rsidP="00015443">
      <w:pPr>
        <w:pStyle w:val="Heading3"/>
        <w:numPr>
          <w:ilvl w:val="2"/>
          <w:numId w:val="42"/>
        </w:numPr>
      </w:pPr>
      <w:r>
        <w:t>upon termination of the Legal Services Contract.</w:t>
      </w:r>
    </w:p>
    <w:p w14:paraId="25FEC5E4" w14:textId="77777777" w:rsidR="00E20296" w:rsidRPr="00231A0F" w:rsidRDefault="00E20296" w:rsidP="00015443">
      <w:pPr>
        <w:pStyle w:val="Heading2"/>
        <w:numPr>
          <w:ilvl w:val="1"/>
          <w:numId w:val="42"/>
        </w:numPr>
      </w:pPr>
      <w:r>
        <w:t>The Supplier will also be required to attend calls with other legal services suppliers for purposes of ensuring a smooth transition of work at the commencement or expiry of the Legal Services Contract or any individual piece of work.</w:t>
      </w:r>
    </w:p>
    <w:p w14:paraId="39FA8448" w14:textId="0C22B09A" w:rsidR="00E20296" w:rsidRPr="006B00E5" w:rsidRDefault="00E20296" w:rsidP="00015443">
      <w:pPr>
        <w:pStyle w:val="Heading1"/>
        <w:keepNext/>
        <w:numPr>
          <w:ilvl w:val="0"/>
          <w:numId w:val="42"/>
        </w:numPr>
        <w:spacing w:before="240" w:after="120"/>
      </w:pPr>
      <w:bookmarkStart w:id="72" w:name="_Toc368573043"/>
      <w:bookmarkStart w:id="73" w:name="_Toc506986443"/>
      <w:bookmarkStart w:id="74" w:name="_Toc520455206"/>
      <w:bookmarkStart w:id="75" w:name="_Toc528926408"/>
      <w:bookmarkEnd w:id="66"/>
      <w:bookmarkEnd w:id="67"/>
      <w:r w:rsidRPr="00642801">
        <w:t>LOCATION</w:t>
      </w:r>
      <w:bookmarkEnd w:id="72"/>
      <w:bookmarkEnd w:id="73"/>
      <w:bookmarkEnd w:id="74"/>
      <w:bookmarkEnd w:id="75"/>
      <w:r w:rsidRPr="006B00E5">
        <w:t xml:space="preserve"> </w:t>
      </w:r>
    </w:p>
    <w:p w14:paraId="5AB182CA" w14:textId="77777777" w:rsidR="00E20296" w:rsidRPr="00A74FE3" w:rsidRDefault="00E20296" w:rsidP="00015443">
      <w:pPr>
        <w:pStyle w:val="Heading2"/>
        <w:numPr>
          <w:ilvl w:val="1"/>
          <w:numId w:val="42"/>
        </w:numPr>
      </w:pPr>
      <w:r w:rsidRPr="006B00E5">
        <w:t xml:space="preserve">The Services </w:t>
      </w:r>
      <w:r>
        <w:t>sha</w:t>
      </w:r>
      <w:r w:rsidRPr="006B00E5">
        <w:t xml:space="preserve">ll be provided to the </w:t>
      </w:r>
      <w:r>
        <w:t>Authority which is based</w:t>
      </w:r>
      <w:r w:rsidRPr="006B00E5">
        <w:t xml:space="preserve"> in London</w:t>
      </w:r>
      <w:r>
        <w:t xml:space="preserve"> at: Eastcheap Court, 11 Philpot Lane, London EC3M 8UD, UK.  </w:t>
      </w:r>
    </w:p>
    <w:p w14:paraId="458E6120" w14:textId="77777777" w:rsidR="00E20296" w:rsidRPr="00C3320D" w:rsidRDefault="00E20296" w:rsidP="00E20296">
      <w:pPr>
        <w:pStyle w:val="MarginText"/>
        <w:spacing w:before="120" w:after="120"/>
        <w:rPr>
          <w:rFonts w:cs="Arial"/>
          <w:b/>
          <w:szCs w:val="22"/>
        </w:rPr>
        <w:sectPr w:rsidR="00E20296" w:rsidRPr="00C3320D" w:rsidSect="00A512C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p>
    <w:p w14:paraId="3AE763B5" w14:textId="77777777" w:rsidR="00E20296" w:rsidRDefault="00E20296" w:rsidP="00D40F55">
      <w:pPr>
        <w:pStyle w:val="MarginText"/>
        <w:spacing w:before="120" w:after="120"/>
        <w:jc w:val="center"/>
        <w:rPr>
          <w:rFonts w:cs="Arial"/>
          <w:b/>
          <w:szCs w:val="22"/>
        </w:rPr>
      </w:pPr>
    </w:p>
    <w:p w14:paraId="59E8D77E" w14:textId="0FFAD24C" w:rsidR="00E20296" w:rsidRPr="00E20296" w:rsidRDefault="00E20296" w:rsidP="00E20296">
      <w:pPr>
        <w:pStyle w:val="MarginText"/>
        <w:spacing w:before="120" w:after="120"/>
        <w:jc w:val="center"/>
        <w:rPr>
          <w:rFonts w:cs="Arial"/>
          <w:b/>
          <w:szCs w:val="22"/>
          <w:u w:val="single"/>
        </w:rPr>
      </w:pPr>
      <w:r w:rsidRPr="00E20296">
        <w:rPr>
          <w:rFonts w:cs="Arial"/>
          <w:b/>
          <w:szCs w:val="22"/>
          <w:u w:val="single"/>
        </w:rPr>
        <w:t>Clifford Chance LLP – Quality Response</w:t>
      </w:r>
    </w:p>
    <w:p w14:paraId="5D817062" w14:textId="61CEEF74" w:rsidR="00266D07" w:rsidRDefault="00CF3808" w:rsidP="00D40F55">
      <w:pPr>
        <w:pStyle w:val="MarginText"/>
        <w:spacing w:before="120" w:after="120"/>
        <w:jc w:val="center"/>
        <w:rPr>
          <w:rFonts w:cs="Arial"/>
          <w:b/>
          <w:szCs w:val="22"/>
        </w:rPr>
      </w:pPr>
      <w:r>
        <w:rPr>
          <w:rFonts w:cs="Arial"/>
          <w:b/>
          <w:szCs w:val="22"/>
        </w:rPr>
        <w:t>[REDACTED]</w:t>
      </w:r>
    </w:p>
    <w:p w14:paraId="49C14787" w14:textId="77777777" w:rsidR="00266D07" w:rsidRDefault="00266D07" w:rsidP="00D40F55">
      <w:pPr>
        <w:pStyle w:val="MarginText"/>
        <w:spacing w:before="120" w:after="120"/>
        <w:jc w:val="center"/>
        <w:rPr>
          <w:rFonts w:cs="Arial"/>
          <w:b/>
          <w:szCs w:val="22"/>
        </w:rPr>
      </w:pPr>
    </w:p>
    <w:p w14:paraId="16E1DD6A" w14:textId="77777777" w:rsidR="00266D07" w:rsidRDefault="00266D07" w:rsidP="00D40F55">
      <w:pPr>
        <w:pStyle w:val="MarginText"/>
        <w:spacing w:before="120" w:after="120"/>
        <w:jc w:val="center"/>
        <w:rPr>
          <w:rFonts w:cs="Arial"/>
          <w:b/>
          <w:szCs w:val="22"/>
        </w:rPr>
      </w:pPr>
    </w:p>
    <w:p w14:paraId="71F7D70A" w14:textId="77777777" w:rsidR="00266D07" w:rsidRDefault="00266D07" w:rsidP="00D40F55">
      <w:pPr>
        <w:pStyle w:val="MarginText"/>
        <w:spacing w:before="120" w:after="120"/>
        <w:jc w:val="center"/>
        <w:rPr>
          <w:rFonts w:cs="Arial"/>
          <w:b/>
          <w:szCs w:val="22"/>
        </w:rPr>
      </w:pPr>
    </w:p>
    <w:p w14:paraId="4C0188ED" w14:textId="77777777" w:rsidR="00266D07" w:rsidRDefault="00266D07" w:rsidP="00D40F55">
      <w:pPr>
        <w:pStyle w:val="MarginText"/>
        <w:spacing w:before="120" w:after="120"/>
        <w:jc w:val="center"/>
        <w:rPr>
          <w:rFonts w:cs="Arial"/>
          <w:b/>
          <w:szCs w:val="22"/>
        </w:rPr>
      </w:pPr>
    </w:p>
    <w:p w14:paraId="71EED452" w14:textId="77777777" w:rsidR="00266D07" w:rsidRDefault="00266D07" w:rsidP="00D40F55">
      <w:pPr>
        <w:pStyle w:val="MarginText"/>
        <w:spacing w:before="120" w:after="120"/>
        <w:jc w:val="center"/>
        <w:rPr>
          <w:rFonts w:cs="Arial"/>
          <w:b/>
          <w:szCs w:val="22"/>
        </w:rPr>
      </w:pPr>
    </w:p>
    <w:p w14:paraId="72544107" w14:textId="77777777" w:rsidR="00266D07" w:rsidRDefault="00266D07" w:rsidP="00D40F55">
      <w:pPr>
        <w:pStyle w:val="MarginText"/>
        <w:spacing w:before="120" w:after="120"/>
        <w:jc w:val="center"/>
        <w:rPr>
          <w:rFonts w:cs="Arial"/>
          <w:b/>
          <w:szCs w:val="22"/>
        </w:rPr>
      </w:pPr>
    </w:p>
    <w:p w14:paraId="254F9178" w14:textId="77777777" w:rsidR="00266D07" w:rsidRDefault="00266D07" w:rsidP="00D40F55">
      <w:pPr>
        <w:pStyle w:val="MarginText"/>
        <w:spacing w:before="120" w:after="120"/>
        <w:jc w:val="center"/>
        <w:rPr>
          <w:rFonts w:cs="Arial"/>
          <w:b/>
          <w:szCs w:val="22"/>
        </w:rPr>
      </w:pPr>
    </w:p>
    <w:p w14:paraId="788C8008" w14:textId="77777777" w:rsidR="00266D07" w:rsidRDefault="00266D07" w:rsidP="00D40F55">
      <w:pPr>
        <w:pStyle w:val="MarginText"/>
        <w:spacing w:before="120" w:after="120"/>
        <w:jc w:val="center"/>
        <w:rPr>
          <w:rFonts w:cs="Arial"/>
          <w:b/>
          <w:szCs w:val="22"/>
        </w:rPr>
      </w:pPr>
    </w:p>
    <w:p w14:paraId="4118B222" w14:textId="77777777" w:rsidR="00266D07" w:rsidRDefault="00266D07" w:rsidP="00D40F55">
      <w:pPr>
        <w:pStyle w:val="MarginText"/>
        <w:spacing w:before="120" w:after="120"/>
        <w:jc w:val="center"/>
        <w:rPr>
          <w:rFonts w:cs="Arial"/>
          <w:b/>
          <w:szCs w:val="22"/>
        </w:rPr>
      </w:pPr>
    </w:p>
    <w:p w14:paraId="4279041E" w14:textId="77777777" w:rsidR="00CF3808" w:rsidRDefault="00CF3808" w:rsidP="00D40F55">
      <w:pPr>
        <w:pStyle w:val="MarginText"/>
        <w:spacing w:before="120" w:after="120"/>
        <w:jc w:val="center"/>
        <w:rPr>
          <w:rFonts w:cs="Arial"/>
          <w:b/>
          <w:szCs w:val="22"/>
        </w:rPr>
      </w:pPr>
    </w:p>
    <w:p w14:paraId="379FC6BE" w14:textId="77777777" w:rsidR="00CF3808" w:rsidRDefault="00CF3808" w:rsidP="00D40F55">
      <w:pPr>
        <w:pStyle w:val="MarginText"/>
        <w:spacing w:before="120" w:after="120"/>
        <w:jc w:val="center"/>
        <w:rPr>
          <w:rFonts w:cs="Arial"/>
          <w:b/>
          <w:szCs w:val="22"/>
        </w:rPr>
      </w:pPr>
    </w:p>
    <w:p w14:paraId="07984AAF" w14:textId="77777777" w:rsidR="00CF3808" w:rsidRDefault="00CF3808" w:rsidP="00D40F55">
      <w:pPr>
        <w:pStyle w:val="MarginText"/>
        <w:spacing w:before="120" w:after="120"/>
        <w:jc w:val="center"/>
        <w:rPr>
          <w:rFonts w:cs="Arial"/>
          <w:b/>
          <w:szCs w:val="22"/>
        </w:rPr>
      </w:pPr>
    </w:p>
    <w:p w14:paraId="7875BF03" w14:textId="77777777" w:rsidR="00CF3808" w:rsidRDefault="00CF3808" w:rsidP="00D40F55">
      <w:pPr>
        <w:pStyle w:val="MarginText"/>
        <w:spacing w:before="120" w:after="120"/>
        <w:jc w:val="center"/>
        <w:rPr>
          <w:rFonts w:cs="Arial"/>
          <w:b/>
          <w:szCs w:val="22"/>
        </w:rPr>
      </w:pPr>
    </w:p>
    <w:p w14:paraId="582DD312" w14:textId="77777777" w:rsidR="00CF3808" w:rsidRDefault="00CF3808" w:rsidP="00D40F55">
      <w:pPr>
        <w:pStyle w:val="MarginText"/>
        <w:spacing w:before="120" w:after="120"/>
        <w:jc w:val="center"/>
        <w:rPr>
          <w:rFonts w:cs="Arial"/>
          <w:b/>
          <w:szCs w:val="22"/>
        </w:rPr>
      </w:pPr>
    </w:p>
    <w:p w14:paraId="7107327A" w14:textId="77777777" w:rsidR="00CF3808" w:rsidRDefault="00CF3808" w:rsidP="00D40F55">
      <w:pPr>
        <w:pStyle w:val="MarginText"/>
        <w:spacing w:before="120" w:after="120"/>
        <w:jc w:val="center"/>
        <w:rPr>
          <w:rFonts w:cs="Arial"/>
          <w:b/>
          <w:szCs w:val="22"/>
        </w:rPr>
      </w:pPr>
    </w:p>
    <w:p w14:paraId="3C286376" w14:textId="77777777" w:rsidR="00CF3808" w:rsidRDefault="00CF3808" w:rsidP="00D40F55">
      <w:pPr>
        <w:pStyle w:val="MarginText"/>
        <w:spacing w:before="120" w:after="120"/>
        <w:jc w:val="center"/>
        <w:rPr>
          <w:rFonts w:cs="Arial"/>
          <w:b/>
          <w:szCs w:val="22"/>
        </w:rPr>
      </w:pPr>
    </w:p>
    <w:p w14:paraId="747C8A7E" w14:textId="77777777" w:rsidR="00CF3808" w:rsidRDefault="00CF3808" w:rsidP="00D40F55">
      <w:pPr>
        <w:pStyle w:val="MarginText"/>
        <w:spacing w:before="120" w:after="120"/>
        <w:jc w:val="center"/>
        <w:rPr>
          <w:rFonts w:cs="Arial"/>
          <w:b/>
          <w:szCs w:val="22"/>
        </w:rPr>
      </w:pPr>
    </w:p>
    <w:p w14:paraId="68DA01CD" w14:textId="77777777" w:rsidR="00CF3808" w:rsidRDefault="00CF3808" w:rsidP="00D40F55">
      <w:pPr>
        <w:pStyle w:val="MarginText"/>
        <w:spacing w:before="120" w:after="120"/>
        <w:jc w:val="center"/>
        <w:rPr>
          <w:rFonts w:cs="Arial"/>
          <w:b/>
          <w:szCs w:val="22"/>
        </w:rPr>
      </w:pPr>
    </w:p>
    <w:p w14:paraId="0E840365" w14:textId="77777777" w:rsidR="00CF3808" w:rsidRDefault="00CF3808" w:rsidP="00D40F55">
      <w:pPr>
        <w:pStyle w:val="MarginText"/>
        <w:spacing w:before="120" w:after="120"/>
        <w:jc w:val="center"/>
        <w:rPr>
          <w:rFonts w:cs="Arial"/>
          <w:b/>
          <w:szCs w:val="22"/>
        </w:rPr>
      </w:pPr>
    </w:p>
    <w:p w14:paraId="7982FF12" w14:textId="77777777" w:rsidR="00CF3808" w:rsidRDefault="00CF3808" w:rsidP="00D40F55">
      <w:pPr>
        <w:pStyle w:val="MarginText"/>
        <w:spacing w:before="120" w:after="120"/>
        <w:jc w:val="center"/>
        <w:rPr>
          <w:rFonts w:cs="Arial"/>
          <w:b/>
          <w:szCs w:val="22"/>
        </w:rPr>
      </w:pPr>
    </w:p>
    <w:p w14:paraId="31805D63" w14:textId="77777777" w:rsidR="00CF3808" w:rsidRDefault="00CF3808" w:rsidP="00D40F55">
      <w:pPr>
        <w:pStyle w:val="MarginText"/>
        <w:spacing w:before="120" w:after="120"/>
        <w:jc w:val="center"/>
        <w:rPr>
          <w:rFonts w:cs="Arial"/>
          <w:b/>
          <w:szCs w:val="22"/>
        </w:rPr>
      </w:pPr>
    </w:p>
    <w:p w14:paraId="248B5E95" w14:textId="77777777" w:rsidR="00CF3808" w:rsidRDefault="00CF3808" w:rsidP="00D40F55">
      <w:pPr>
        <w:pStyle w:val="MarginText"/>
        <w:spacing w:before="120" w:after="120"/>
        <w:jc w:val="center"/>
        <w:rPr>
          <w:rFonts w:cs="Arial"/>
          <w:b/>
          <w:szCs w:val="22"/>
        </w:rPr>
      </w:pPr>
    </w:p>
    <w:p w14:paraId="11B835C6" w14:textId="77777777" w:rsidR="00CF3808" w:rsidRDefault="00CF3808" w:rsidP="00D40F55">
      <w:pPr>
        <w:pStyle w:val="MarginText"/>
        <w:spacing w:before="120" w:after="120"/>
        <w:jc w:val="center"/>
        <w:rPr>
          <w:rFonts w:cs="Arial"/>
          <w:b/>
          <w:szCs w:val="22"/>
        </w:rPr>
      </w:pPr>
    </w:p>
    <w:p w14:paraId="62F3B6E2" w14:textId="77777777" w:rsidR="00CF3808" w:rsidRDefault="00CF3808" w:rsidP="00D40F55">
      <w:pPr>
        <w:pStyle w:val="MarginText"/>
        <w:spacing w:before="120" w:after="120"/>
        <w:jc w:val="center"/>
        <w:rPr>
          <w:rFonts w:cs="Arial"/>
          <w:b/>
          <w:szCs w:val="22"/>
        </w:rPr>
      </w:pPr>
    </w:p>
    <w:p w14:paraId="3ABBE0A8" w14:textId="77777777" w:rsidR="00CF3808" w:rsidRDefault="00CF3808" w:rsidP="00D40F55">
      <w:pPr>
        <w:pStyle w:val="MarginText"/>
        <w:spacing w:before="120" w:after="120"/>
        <w:jc w:val="center"/>
        <w:rPr>
          <w:rFonts w:cs="Arial"/>
          <w:b/>
          <w:szCs w:val="22"/>
        </w:rPr>
      </w:pPr>
    </w:p>
    <w:p w14:paraId="54A65DBA" w14:textId="77777777" w:rsidR="00CF3808" w:rsidRDefault="00CF3808" w:rsidP="00D40F55">
      <w:pPr>
        <w:pStyle w:val="MarginText"/>
        <w:spacing w:before="120" w:after="120"/>
        <w:jc w:val="center"/>
        <w:rPr>
          <w:rFonts w:cs="Arial"/>
          <w:b/>
          <w:szCs w:val="22"/>
        </w:rPr>
      </w:pPr>
    </w:p>
    <w:p w14:paraId="0D669A77" w14:textId="77777777" w:rsidR="00CF3808" w:rsidRDefault="00CF3808" w:rsidP="00D40F55">
      <w:pPr>
        <w:pStyle w:val="MarginText"/>
        <w:spacing w:before="120" w:after="120"/>
        <w:jc w:val="center"/>
        <w:rPr>
          <w:rFonts w:cs="Arial"/>
          <w:b/>
          <w:szCs w:val="22"/>
        </w:rPr>
      </w:pPr>
    </w:p>
    <w:p w14:paraId="34407E4E" w14:textId="77777777" w:rsidR="00CF3808" w:rsidRDefault="00CF3808" w:rsidP="00D40F55">
      <w:pPr>
        <w:pStyle w:val="MarginText"/>
        <w:spacing w:before="120" w:after="120"/>
        <w:jc w:val="center"/>
        <w:rPr>
          <w:rFonts w:cs="Arial"/>
          <w:b/>
          <w:szCs w:val="22"/>
        </w:rPr>
      </w:pPr>
    </w:p>
    <w:p w14:paraId="3A4B60BD" w14:textId="77777777" w:rsidR="00CF3808" w:rsidRDefault="00CF3808" w:rsidP="00D40F55">
      <w:pPr>
        <w:pStyle w:val="MarginText"/>
        <w:spacing w:before="120" w:after="120"/>
        <w:jc w:val="center"/>
        <w:rPr>
          <w:rFonts w:cs="Arial"/>
          <w:b/>
          <w:szCs w:val="22"/>
        </w:rPr>
      </w:pPr>
    </w:p>
    <w:p w14:paraId="78CB12DD" w14:textId="77777777" w:rsidR="00CF3808" w:rsidRDefault="00CF3808" w:rsidP="00D40F55">
      <w:pPr>
        <w:pStyle w:val="MarginText"/>
        <w:spacing w:before="120" w:after="120"/>
        <w:jc w:val="center"/>
        <w:rPr>
          <w:rFonts w:cs="Arial"/>
          <w:b/>
          <w:szCs w:val="22"/>
        </w:rPr>
      </w:pPr>
    </w:p>
    <w:p w14:paraId="219FB12E" w14:textId="77777777" w:rsidR="00CF3808" w:rsidRDefault="00CF3808" w:rsidP="00D40F55">
      <w:pPr>
        <w:pStyle w:val="MarginText"/>
        <w:spacing w:before="120" w:after="120"/>
        <w:jc w:val="center"/>
        <w:rPr>
          <w:rFonts w:cs="Arial"/>
          <w:b/>
          <w:szCs w:val="22"/>
        </w:rPr>
      </w:pPr>
    </w:p>
    <w:p w14:paraId="065D0629" w14:textId="77777777" w:rsidR="00CF3808" w:rsidRDefault="00CF3808" w:rsidP="00D40F55">
      <w:pPr>
        <w:pStyle w:val="MarginText"/>
        <w:spacing w:before="120" w:after="120"/>
        <w:jc w:val="center"/>
        <w:rPr>
          <w:rFonts w:cs="Arial"/>
          <w:b/>
          <w:szCs w:val="22"/>
        </w:rPr>
      </w:pPr>
    </w:p>
    <w:p w14:paraId="39C1FB35" w14:textId="77777777" w:rsidR="00CF3808" w:rsidRDefault="00CF3808" w:rsidP="00D40F55">
      <w:pPr>
        <w:pStyle w:val="MarginText"/>
        <w:spacing w:before="120" w:after="120"/>
        <w:jc w:val="center"/>
        <w:rPr>
          <w:rFonts w:cs="Arial"/>
          <w:b/>
          <w:szCs w:val="22"/>
        </w:rPr>
      </w:pPr>
    </w:p>
    <w:p w14:paraId="293A3D38" w14:textId="77777777" w:rsidR="00CF3808" w:rsidRDefault="00CF3808" w:rsidP="00D40F55">
      <w:pPr>
        <w:pStyle w:val="MarginText"/>
        <w:spacing w:before="120" w:after="120"/>
        <w:jc w:val="center"/>
        <w:rPr>
          <w:rFonts w:cs="Arial"/>
          <w:b/>
          <w:szCs w:val="22"/>
        </w:rPr>
      </w:pPr>
    </w:p>
    <w:p w14:paraId="4916C7B7" w14:textId="77777777" w:rsidR="00797539" w:rsidRDefault="00797539" w:rsidP="00D40F55">
      <w:pPr>
        <w:pStyle w:val="MarginText"/>
        <w:spacing w:before="120" w:after="120"/>
        <w:jc w:val="center"/>
        <w:rPr>
          <w:rFonts w:cs="Arial"/>
          <w:b/>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46F0059" w14:textId="59D2B58F" w:rsidR="00051801" w:rsidRDefault="00AD21DC" w:rsidP="00051801">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p>
    <w:p w14:paraId="316D034A" w14:textId="2C078EBE" w:rsidR="00051801" w:rsidRDefault="005560B9">
      <w:pPr>
        <w:pStyle w:val="TOC1"/>
        <w:rPr>
          <w:rFonts w:asciiTheme="minorHAnsi" w:eastAsiaTheme="minorEastAsia" w:hAnsiTheme="minorHAnsi" w:cstheme="minorBidi"/>
          <w:caps w:val="0"/>
          <w:noProof/>
          <w:szCs w:val="22"/>
          <w:lang w:eastAsia="en-GB"/>
        </w:rPr>
      </w:pPr>
      <w:hyperlink w:anchor="_Toc528926415" w:history="1">
        <w:r w:rsidR="00051801">
          <w:rPr>
            <w:rStyle w:val="Hyperlink"/>
            <w:rFonts w:cs="Arial"/>
            <w:noProof/>
          </w:rPr>
          <w:t>1</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DEFINITIONS AND INTERPRETATION</w:t>
        </w:r>
        <w:r w:rsidR="00051801">
          <w:rPr>
            <w:noProof/>
          </w:rPr>
          <w:tab/>
        </w:r>
        <w:r w:rsidR="00051801">
          <w:rPr>
            <w:noProof/>
          </w:rPr>
          <w:fldChar w:fldCharType="begin"/>
        </w:r>
        <w:r w:rsidR="00051801">
          <w:rPr>
            <w:noProof/>
          </w:rPr>
          <w:instrText xml:space="preserve"> PAGEREF _Toc528926415 \h </w:instrText>
        </w:r>
        <w:r w:rsidR="00051801">
          <w:rPr>
            <w:noProof/>
          </w:rPr>
        </w:r>
        <w:r w:rsidR="00051801">
          <w:rPr>
            <w:noProof/>
          </w:rPr>
          <w:fldChar w:fldCharType="separate"/>
        </w:r>
        <w:r w:rsidR="00CF3808">
          <w:rPr>
            <w:noProof/>
          </w:rPr>
          <w:t>22</w:t>
        </w:r>
        <w:r w:rsidR="00051801">
          <w:rPr>
            <w:noProof/>
          </w:rPr>
          <w:fldChar w:fldCharType="end"/>
        </w:r>
      </w:hyperlink>
    </w:p>
    <w:p w14:paraId="3E24071F" w14:textId="259818A7" w:rsidR="00051801" w:rsidRDefault="005560B9">
      <w:pPr>
        <w:pStyle w:val="TOC1"/>
        <w:rPr>
          <w:rFonts w:asciiTheme="minorHAnsi" w:eastAsiaTheme="minorEastAsia" w:hAnsiTheme="minorHAnsi" w:cstheme="minorBidi"/>
          <w:caps w:val="0"/>
          <w:noProof/>
          <w:szCs w:val="22"/>
          <w:lang w:eastAsia="en-GB"/>
        </w:rPr>
      </w:pPr>
      <w:hyperlink w:anchor="_Toc528926416" w:history="1">
        <w:r w:rsidR="00051801">
          <w:rPr>
            <w:rStyle w:val="Hyperlink"/>
            <w:rFonts w:cs="Arial"/>
            <w:noProof/>
          </w:rPr>
          <w:t>2</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The Ordered Panel Services</w:t>
        </w:r>
        <w:r w:rsidR="00051801">
          <w:rPr>
            <w:noProof/>
          </w:rPr>
          <w:tab/>
        </w:r>
        <w:r w:rsidR="00051801">
          <w:rPr>
            <w:noProof/>
          </w:rPr>
          <w:fldChar w:fldCharType="begin"/>
        </w:r>
        <w:r w:rsidR="00051801">
          <w:rPr>
            <w:noProof/>
          </w:rPr>
          <w:instrText xml:space="preserve"> PAGEREF _Toc528926416 \h </w:instrText>
        </w:r>
        <w:r w:rsidR="00051801">
          <w:rPr>
            <w:noProof/>
          </w:rPr>
        </w:r>
        <w:r w:rsidR="00051801">
          <w:rPr>
            <w:noProof/>
          </w:rPr>
          <w:fldChar w:fldCharType="separate"/>
        </w:r>
        <w:r w:rsidR="00CF3808">
          <w:rPr>
            <w:noProof/>
          </w:rPr>
          <w:t>23</w:t>
        </w:r>
        <w:r w:rsidR="00051801">
          <w:rPr>
            <w:noProof/>
          </w:rPr>
          <w:fldChar w:fldCharType="end"/>
        </w:r>
      </w:hyperlink>
    </w:p>
    <w:p w14:paraId="073216EB" w14:textId="1C9F30B6" w:rsidR="00051801" w:rsidRDefault="005560B9">
      <w:pPr>
        <w:pStyle w:val="TOC1"/>
        <w:rPr>
          <w:rFonts w:asciiTheme="minorHAnsi" w:eastAsiaTheme="minorEastAsia" w:hAnsiTheme="minorHAnsi" w:cstheme="minorBidi"/>
          <w:caps w:val="0"/>
          <w:noProof/>
          <w:szCs w:val="22"/>
          <w:lang w:eastAsia="en-GB"/>
        </w:rPr>
      </w:pPr>
      <w:hyperlink w:anchor="_Toc528926417" w:history="1">
        <w:r w:rsidR="00051801">
          <w:rPr>
            <w:rStyle w:val="Hyperlink"/>
            <w:rFonts w:cs="Arial"/>
            <w:noProof/>
          </w:rPr>
          <w:t>3</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Delivery and management of the Ordered Panel Services</w:t>
        </w:r>
        <w:r w:rsidR="00051801">
          <w:rPr>
            <w:noProof/>
          </w:rPr>
          <w:tab/>
        </w:r>
        <w:r w:rsidR="00051801">
          <w:rPr>
            <w:noProof/>
          </w:rPr>
          <w:fldChar w:fldCharType="begin"/>
        </w:r>
        <w:r w:rsidR="00051801">
          <w:rPr>
            <w:noProof/>
          </w:rPr>
          <w:instrText xml:space="preserve"> PAGEREF _Toc528926417 \h </w:instrText>
        </w:r>
        <w:r w:rsidR="00051801">
          <w:rPr>
            <w:noProof/>
          </w:rPr>
        </w:r>
        <w:r w:rsidR="00051801">
          <w:rPr>
            <w:noProof/>
          </w:rPr>
          <w:fldChar w:fldCharType="separate"/>
        </w:r>
        <w:r w:rsidR="00CF3808">
          <w:rPr>
            <w:noProof/>
          </w:rPr>
          <w:t>23</w:t>
        </w:r>
        <w:r w:rsidR="00051801">
          <w:rPr>
            <w:noProof/>
          </w:rPr>
          <w:fldChar w:fldCharType="end"/>
        </w:r>
      </w:hyperlink>
    </w:p>
    <w:p w14:paraId="27A5E301" w14:textId="3D3FB3EA" w:rsidR="00051801" w:rsidRDefault="005560B9">
      <w:pPr>
        <w:pStyle w:val="TOC1"/>
        <w:rPr>
          <w:rFonts w:asciiTheme="minorHAnsi" w:eastAsiaTheme="minorEastAsia" w:hAnsiTheme="minorHAnsi" w:cstheme="minorBidi"/>
          <w:caps w:val="0"/>
          <w:noProof/>
          <w:szCs w:val="22"/>
          <w:lang w:eastAsia="en-GB"/>
        </w:rPr>
      </w:pPr>
      <w:hyperlink w:anchor="_Toc528926418" w:history="1">
        <w:r w:rsidR="00051801">
          <w:rPr>
            <w:rStyle w:val="Hyperlink"/>
            <w:rFonts w:cs="Arial"/>
            <w:noProof/>
          </w:rPr>
          <w:t>4</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Variation and Extension</w:t>
        </w:r>
        <w:r w:rsidR="00051801">
          <w:rPr>
            <w:noProof/>
          </w:rPr>
          <w:tab/>
        </w:r>
        <w:r w:rsidR="00051801">
          <w:rPr>
            <w:noProof/>
          </w:rPr>
          <w:fldChar w:fldCharType="begin"/>
        </w:r>
        <w:r w:rsidR="00051801">
          <w:rPr>
            <w:noProof/>
          </w:rPr>
          <w:instrText xml:space="preserve"> PAGEREF _Toc528926418 \h </w:instrText>
        </w:r>
        <w:r w:rsidR="00051801">
          <w:rPr>
            <w:noProof/>
          </w:rPr>
        </w:r>
        <w:r w:rsidR="00051801">
          <w:rPr>
            <w:noProof/>
          </w:rPr>
          <w:fldChar w:fldCharType="separate"/>
        </w:r>
        <w:r w:rsidR="00CF3808">
          <w:rPr>
            <w:noProof/>
          </w:rPr>
          <w:t>27</w:t>
        </w:r>
        <w:r w:rsidR="00051801">
          <w:rPr>
            <w:noProof/>
          </w:rPr>
          <w:fldChar w:fldCharType="end"/>
        </w:r>
      </w:hyperlink>
    </w:p>
    <w:p w14:paraId="22026898" w14:textId="16EF420B" w:rsidR="00051801" w:rsidRDefault="005560B9">
      <w:pPr>
        <w:pStyle w:val="TOC1"/>
        <w:rPr>
          <w:rFonts w:asciiTheme="minorHAnsi" w:eastAsiaTheme="minorEastAsia" w:hAnsiTheme="minorHAnsi" w:cstheme="minorBidi"/>
          <w:caps w:val="0"/>
          <w:noProof/>
          <w:szCs w:val="22"/>
          <w:lang w:eastAsia="en-GB"/>
        </w:rPr>
      </w:pPr>
      <w:hyperlink w:anchor="_Toc528926419" w:history="1">
        <w:r w:rsidR="00051801">
          <w:rPr>
            <w:rStyle w:val="Hyperlink"/>
            <w:rFonts w:cs="Arial"/>
            <w:noProof/>
          </w:rPr>
          <w:t>5</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Personnel</w:t>
        </w:r>
        <w:r w:rsidR="00051801">
          <w:rPr>
            <w:noProof/>
          </w:rPr>
          <w:tab/>
        </w:r>
        <w:r w:rsidR="00051801">
          <w:rPr>
            <w:noProof/>
          </w:rPr>
          <w:fldChar w:fldCharType="begin"/>
        </w:r>
        <w:r w:rsidR="00051801">
          <w:rPr>
            <w:noProof/>
          </w:rPr>
          <w:instrText xml:space="preserve"> PAGEREF _Toc528926419 \h </w:instrText>
        </w:r>
        <w:r w:rsidR="00051801">
          <w:rPr>
            <w:noProof/>
          </w:rPr>
        </w:r>
        <w:r w:rsidR="00051801">
          <w:rPr>
            <w:noProof/>
          </w:rPr>
          <w:fldChar w:fldCharType="separate"/>
        </w:r>
        <w:r w:rsidR="00CF3808">
          <w:rPr>
            <w:noProof/>
          </w:rPr>
          <w:t>27</w:t>
        </w:r>
        <w:r w:rsidR="00051801">
          <w:rPr>
            <w:noProof/>
          </w:rPr>
          <w:fldChar w:fldCharType="end"/>
        </w:r>
      </w:hyperlink>
    </w:p>
    <w:p w14:paraId="517350C8" w14:textId="4399AE9D" w:rsidR="00051801" w:rsidRDefault="005560B9">
      <w:pPr>
        <w:pStyle w:val="TOC1"/>
        <w:rPr>
          <w:rFonts w:asciiTheme="minorHAnsi" w:eastAsiaTheme="minorEastAsia" w:hAnsiTheme="minorHAnsi" w:cstheme="minorBidi"/>
          <w:caps w:val="0"/>
          <w:noProof/>
          <w:szCs w:val="22"/>
          <w:lang w:eastAsia="en-GB"/>
        </w:rPr>
      </w:pPr>
      <w:hyperlink w:anchor="_Toc528926420" w:history="1">
        <w:r w:rsidR="00051801">
          <w:rPr>
            <w:rStyle w:val="Hyperlink"/>
            <w:rFonts w:cs="Arial"/>
            <w:noProof/>
          </w:rPr>
          <w:t>6</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CHARGES AND INVOICING</w:t>
        </w:r>
        <w:r w:rsidR="00051801">
          <w:rPr>
            <w:noProof/>
          </w:rPr>
          <w:tab/>
        </w:r>
        <w:r w:rsidR="00051801">
          <w:rPr>
            <w:noProof/>
          </w:rPr>
          <w:fldChar w:fldCharType="begin"/>
        </w:r>
        <w:r w:rsidR="00051801">
          <w:rPr>
            <w:noProof/>
          </w:rPr>
          <w:instrText xml:space="preserve"> PAGEREF _Toc528926420 \h </w:instrText>
        </w:r>
        <w:r w:rsidR="00051801">
          <w:rPr>
            <w:noProof/>
          </w:rPr>
        </w:r>
        <w:r w:rsidR="00051801">
          <w:rPr>
            <w:noProof/>
          </w:rPr>
          <w:fldChar w:fldCharType="separate"/>
        </w:r>
        <w:r w:rsidR="00CF3808">
          <w:rPr>
            <w:noProof/>
          </w:rPr>
          <w:t>34</w:t>
        </w:r>
        <w:r w:rsidR="00051801">
          <w:rPr>
            <w:noProof/>
          </w:rPr>
          <w:fldChar w:fldCharType="end"/>
        </w:r>
      </w:hyperlink>
    </w:p>
    <w:p w14:paraId="4FEEE006" w14:textId="3A622D45" w:rsidR="00051801" w:rsidRDefault="005560B9">
      <w:pPr>
        <w:pStyle w:val="TOC1"/>
        <w:rPr>
          <w:rFonts w:asciiTheme="minorHAnsi" w:eastAsiaTheme="minorEastAsia" w:hAnsiTheme="minorHAnsi" w:cstheme="minorBidi"/>
          <w:caps w:val="0"/>
          <w:noProof/>
          <w:szCs w:val="22"/>
          <w:lang w:eastAsia="en-GB"/>
        </w:rPr>
      </w:pPr>
      <w:hyperlink w:anchor="_Toc528926421" w:history="1">
        <w:r w:rsidR="00051801">
          <w:rPr>
            <w:rStyle w:val="Hyperlink"/>
            <w:rFonts w:cs="Arial"/>
            <w:noProof/>
          </w:rPr>
          <w:t>7</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LIABILITY AND INSURANCE</w:t>
        </w:r>
        <w:r w:rsidR="00051801">
          <w:rPr>
            <w:noProof/>
          </w:rPr>
          <w:tab/>
        </w:r>
        <w:r w:rsidR="00051801">
          <w:rPr>
            <w:noProof/>
          </w:rPr>
          <w:fldChar w:fldCharType="begin"/>
        </w:r>
        <w:r w:rsidR="00051801">
          <w:rPr>
            <w:noProof/>
          </w:rPr>
          <w:instrText xml:space="preserve"> PAGEREF _Toc528926421 \h </w:instrText>
        </w:r>
        <w:r w:rsidR="00051801">
          <w:rPr>
            <w:noProof/>
          </w:rPr>
        </w:r>
        <w:r w:rsidR="00051801">
          <w:rPr>
            <w:noProof/>
          </w:rPr>
          <w:fldChar w:fldCharType="separate"/>
        </w:r>
        <w:r w:rsidR="00CF3808">
          <w:rPr>
            <w:noProof/>
          </w:rPr>
          <w:t>36</w:t>
        </w:r>
        <w:r w:rsidR="00051801">
          <w:rPr>
            <w:noProof/>
          </w:rPr>
          <w:fldChar w:fldCharType="end"/>
        </w:r>
      </w:hyperlink>
    </w:p>
    <w:p w14:paraId="1A151814" w14:textId="1A3FF43E" w:rsidR="00051801" w:rsidRDefault="005560B9">
      <w:pPr>
        <w:pStyle w:val="TOC1"/>
        <w:rPr>
          <w:rFonts w:asciiTheme="minorHAnsi" w:eastAsiaTheme="minorEastAsia" w:hAnsiTheme="minorHAnsi" w:cstheme="minorBidi"/>
          <w:caps w:val="0"/>
          <w:noProof/>
          <w:szCs w:val="22"/>
          <w:lang w:eastAsia="en-GB"/>
        </w:rPr>
      </w:pPr>
      <w:hyperlink w:anchor="_Toc528926422" w:history="1">
        <w:r w:rsidR="00051801">
          <w:rPr>
            <w:rStyle w:val="Hyperlink"/>
            <w:rFonts w:cs="Arial"/>
            <w:noProof/>
          </w:rPr>
          <w:t>8</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INTELLECTUAL PROPERTY RIGHTS</w:t>
        </w:r>
        <w:r w:rsidR="00051801">
          <w:rPr>
            <w:noProof/>
          </w:rPr>
          <w:tab/>
        </w:r>
        <w:r w:rsidR="00051801">
          <w:rPr>
            <w:noProof/>
          </w:rPr>
          <w:fldChar w:fldCharType="begin"/>
        </w:r>
        <w:r w:rsidR="00051801">
          <w:rPr>
            <w:noProof/>
          </w:rPr>
          <w:instrText xml:space="preserve"> PAGEREF _Toc528926422 \h </w:instrText>
        </w:r>
        <w:r w:rsidR="00051801">
          <w:rPr>
            <w:noProof/>
          </w:rPr>
        </w:r>
        <w:r w:rsidR="00051801">
          <w:rPr>
            <w:noProof/>
          </w:rPr>
          <w:fldChar w:fldCharType="separate"/>
        </w:r>
        <w:r w:rsidR="00CF3808">
          <w:rPr>
            <w:noProof/>
          </w:rPr>
          <w:t>38</w:t>
        </w:r>
        <w:r w:rsidR="00051801">
          <w:rPr>
            <w:noProof/>
          </w:rPr>
          <w:fldChar w:fldCharType="end"/>
        </w:r>
      </w:hyperlink>
    </w:p>
    <w:p w14:paraId="36497F33" w14:textId="1D6EDE9D" w:rsidR="00051801" w:rsidRDefault="005560B9">
      <w:pPr>
        <w:pStyle w:val="TOC1"/>
        <w:rPr>
          <w:rFonts w:asciiTheme="minorHAnsi" w:eastAsiaTheme="minorEastAsia" w:hAnsiTheme="minorHAnsi" w:cstheme="minorBidi"/>
          <w:caps w:val="0"/>
          <w:noProof/>
          <w:szCs w:val="22"/>
          <w:lang w:eastAsia="en-GB"/>
        </w:rPr>
      </w:pPr>
      <w:hyperlink w:anchor="_Toc528926423" w:history="1">
        <w:r w:rsidR="00051801">
          <w:rPr>
            <w:rStyle w:val="Hyperlink"/>
            <w:rFonts w:cs="Arial"/>
            <w:noProof/>
          </w:rPr>
          <w:t>9</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PROTECTION OF INFORMATION</w:t>
        </w:r>
        <w:r w:rsidR="00051801">
          <w:rPr>
            <w:noProof/>
          </w:rPr>
          <w:tab/>
        </w:r>
        <w:r w:rsidR="00051801">
          <w:rPr>
            <w:noProof/>
          </w:rPr>
          <w:fldChar w:fldCharType="begin"/>
        </w:r>
        <w:r w:rsidR="00051801">
          <w:rPr>
            <w:noProof/>
          </w:rPr>
          <w:instrText xml:space="preserve"> PAGEREF _Toc528926423 \h </w:instrText>
        </w:r>
        <w:r w:rsidR="00051801">
          <w:rPr>
            <w:noProof/>
          </w:rPr>
        </w:r>
        <w:r w:rsidR="00051801">
          <w:rPr>
            <w:noProof/>
          </w:rPr>
          <w:fldChar w:fldCharType="separate"/>
        </w:r>
        <w:r w:rsidR="00CF3808">
          <w:rPr>
            <w:noProof/>
          </w:rPr>
          <w:t>38</w:t>
        </w:r>
        <w:r w:rsidR="00051801">
          <w:rPr>
            <w:noProof/>
          </w:rPr>
          <w:fldChar w:fldCharType="end"/>
        </w:r>
      </w:hyperlink>
    </w:p>
    <w:p w14:paraId="3CA18964" w14:textId="78E70E4C" w:rsidR="00051801" w:rsidRDefault="005560B9">
      <w:pPr>
        <w:pStyle w:val="TOC1"/>
        <w:rPr>
          <w:rFonts w:asciiTheme="minorHAnsi" w:eastAsiaTheme="minorEastAsia" w:hAnsiTheme="minorHAnsi" w:cstheme="minorBidi"/>
          <w:caps w:val="0"/>
          <w:noProof/>
          <w:szCs w:val="22"/>
          <w:lang w:eastAsia="en-GB"/>
        </w:rPr>
      </w:pPr>
      <w:hyperlink w:anchor="_Toc528926424" w:history="1">
        <w:r w:rsidR="00051801">
          <w:rPr>
            <w:rStyle w:val="Hyperlink"/>
            <w:rFonts w:cs="Arial"/>
            <w:noProof/>
          </w:rPr>
          <w:t>10</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WARRANTIES, REPRESENTATIONS AND UNDERTAKINGS</w:t>
        </w:r>
        <w:r w:rsidR="00051801">
          <w:rPr>
            <w:noProof/>
          </w:rPr>
          <w:tab/>
        </w:r>
        <w:r w:rsidR="00051801">
          <w:rPr>
            <w:noProof/>
          </w:rPr>
          <w:fldChar w:fldCharType="begin"/>
        </w:r>
        <w:r w:rsidR="00051801">
          <w:rPr>
            <w:noProof/>
          </w:rPr>
          <w:instrText xml:space="preserve"> PAGEREF _Toc528926424 \h </w:instrText>
        </w:r>
        <w:r w:rsidR="00051801">
          <w:rPr>
            <w:noProof/>
          </w:rPr>
        </w:r>
        <w:r w:rsidR="00051801">
          <w:rPr>
            <w:noProof/>
          </w:rPr>
          <w:fldChar w:fldCharType="separate"/>
        </w:r>
        <w:r w:rsidR="00CF3808">
          <w:rPr>
            <w:noProof/>
          </w:rPr>
          <w:t>43</w:t>
        </w:r>
        <w:r w:rsidR="00051801">
          <w:rPr>
            <w:noProof/>
          </w:rPr>
          <w:fldChar w:fldCharType="end"/>
        </w:r>
      </w:hyperlink>
    </w:p>
    <w:p w14:paraId="1C208E35" w14:textId="4DDE5D12" w:rsidR="00051801" w:rsidRDefault="005560B9">
      <w:pPr>
        <w:pStyle w:val="TOC1"/>
        <w:rPr>
          <w:rFonts w:asciiTheme="minorHAnsi" w:eastAsiaTheme="minorEastAsia" w:hAnsiTheme="minorHAnsi" w:cstheme="minorBidi"/>
          <w:caps w:val="0"/>
          <w:noProof/>
          <w:szCs w:val="22"/>
          <w:lang w:eastAsia="en-GB"/>
        </w:rPr>
      </w:pPr>
      <w:hyperlink w:anchor="_Toc528926425" w:history="1">
        <w:r w:rsidR="00051801">
          <w:rPr>
            <w:rStyle w:val="Hyperlink"/>
            <w:rFonts w:cs="Arial"/>
            <w:noProof/>
          </w:rPr>
          <w:t>11</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TERMINATION</w:t>
        </w:r>
        <w:r w:rsidR="00051801">
          <w:rPr>
            <w:noProof/>
          </w:rPr>
          <w:tab/>
        </w:r>
        <w:r w:rsidR="00051801">
          <w:rPr>
            <w:noProof/>
          </w:rPr>
          <w:fldChar w:fldCharType="begin"/>
        </w:r>
        <w:r w:rsidR="00051801">
          <w:rPr>
            <w:noProof/>
          </w:rPr>
          <w:instrText xml:space="preserve"> PAGEREF _Toc528926425 \h </w:instrText>
        </w:r>
        <w:r w:rsidR="00051801">
          <w:rPr>
            <w:noProof/>
          </w:rPr>
        </w:r>
        <w:r w:rsidR="00051801">
          <w:rPr>
            <w:noProof/>
          </w:rPr>
          <w:fldChar w:fldCharType="separate"/>
        </w:r>
        <w:r w:rsidR="00CF3808">
          <w:rPr>
            <w:noProof/>
          </w:rPr>
          <w:t>45</w:t>
        </w:r>
        <w:r w:rsidR="00051801">
          <w:rPr>
            <w:noProof/>
          </w:rPr>
          <w:fldChar w:fldCharType="end"/>
        </w:r>
      </w:hyperlink>
    </w:p>
    <w:p w14:paraId="27FC48AB" w14:textId="6E8695BF" w:rsidR="00051801" w:rsidRDefault="005560B9">
      <w:pPr>
        <w:pStyle w:val="TOC1"/>
        <w:rPr>
          <w:rFonts w:asciiTheme="minorHAnsi" w:eastAsiaTheme="minorEastAsia" w:hAnsiTheme="minorHAnsi" w:cstheme="minorBidi"/>
          <w:caps w:val="0"/>
          <w:noProof/>
          <w:szCs w:val="22"/>
          <w:lang w:eastAsia="en-GB"/>
        </w:rPr>
      </w:pPr>
      <w:hyperlink w:anchor="_Toc528926426" w:history="1">
        <w:r w:rsidR="00051801">
          <w:rPr>
            <w:rStyle w:val="Hyperlink"/>
            <w:rFonts w:cs="Arial"/>
            <w:noProof/>
          </w:rPr>
          <w:t>12</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CONSEQUENCES OF EXPIRY OR TERMINATION</w:t>
        </w:r>
        <w:r w:rsidR="00051801">
          <w:rPr>
            <w:noProof/>
          </w:rPr>
          <w:tab/>
        </w:r>
        <w:r w:rsidR="00051801">
          <w:rPr>
            <w:noProof/>
          </w:rPr>
          <w:fldChar w:fldCharType="begin"/>
        </w:r>
        <w:r w:rsidR="00051801">
          <w:rPr>
            <w:noProof/>
          </w:rPr>
          <w:instrText xml:space="preserve"> PAGEREF _Toc528926426 \h </w:instrText>
        </w:r>
        <w:r w:rsidR="00051801">
          <w:rPr>
            <w:noProof/>
          </w:rPr>
        </w:r>
        <w:r w:rsidR="00051801">
          <w:rPr>
            <w:noProof/>
          </w:rPr>
          <w:fldChar w:fldCharType="separate"/>
        </w:r>
        <w:r w:rsidR="00CF3808">
          <w:rPr>
            <w:noProof/>
          </w:rPr>
          <w:t>48</w:t>
        </w:r>
        <w:r w:rsidR="00051801">
          <w:rPr>
            <w:noProof/>
          </w:rPr>
          <w:fldChar w:fldCharType="end"/>
        </w:r>
      </w:hyperlink>
    </w:p>
    <w:p w14:paraId="147C918E" w14:textId="4D61E6AA" w:rsidR="00051801" w:rsidRDefault="005560B9">
      <w:pPr>
        <w:pStyle w:val="TOC1"/>
        <w:rPr>
          <w:rFonts w:asciiTheme="minorHAnsi" w:eastAsiaTheme="minorEastAsia" w:hAnsiTheme="minorHAnsi" w:cstheme="minorBidi"/>
          <w:caps w:val="0"/>
          <w:noProof/>
          <w:szCs w:val="22"/>
          <w:lang w:eastAsia="en-GB"/>
        </w:rPr>
      </w:pPr>
      <w:hyperlink w:anchor="_Toc528926427" w:history="1">
        <w:r w:rsidR="00051801">
          <w:rPr>
            <w:rStyle w:val="Hyperlink"/>
            <w:rFonts w:cs="Arial"/>
            <w:noProof/>
          </w:rPr>
          <w:t>13</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PUBLICITY, MEDIA AND OFFICIAL ENQUIRIES</w:t>
        </w:r>
        <w:r w:rsidR="00051801">
          <w:rPr>
            <w:noProof/>
          </w:rPr>
          <w:tab/>
        </w:r>
        <w:r w:rsidR="00051801">
          <w:rPr>
            <w:noProof/>
          </w:rPr>
          <w:fldChar w:fldCharType="begin"/>
        </w:r>
        <w:r w:rsidR="00051801">
          <w:rPr>
            <w:noProof/>
          </w:rPr>
          <w:instrText xml:space="preserve"> PAGEREF _Toc528926427 \h </w:instrText>
        </w:r>
        <w:r w:rsidR="00051801">
          <w:rPr>
            <w:noProof/>
          </w:rPr>
        </w:r>
        <w:r w:rsidR="00051801">
          <w:rPr>
            <w:noProof/>
          </w:rPr>
          <w:fldChar w:fldCharType="separate"/>
        </w:r>
        <w:r w:rsidR="00CF3808">
          <w:rPr>
            <w:noProof/>
          </w:rPr>
          <w:t>50</w:t>
        </w:r>
        <w:r w:rsidR="00051801">
          <w:rPr>
            <w:noProof/>
          </w:rPr>
          <w:fldChar w:fldCharType="end"/>
        </w:r>
      </w:hyperlink>
    </w:p>
    <w:p w14:paraId="09E8A85D" w14:textId="6408C17D" w:rsidR="00051801" w:rsidRDefault="005560B9">
      <w:pPr>
        <w:pStyle w:val="TOC1"/>
        <w:rPr>
          <w:rFonts w:asciiTheme="minorHAnsi" w:eastAsiaTheme="minorEastAsia" w:hAnsiTheme="minorHAnsi" w:cstheme="minorBidi"/>
          <w:caps w:val="0"/>
          <w:noProof/>
          <w:szCs w:val="22"/>
          <w:lang w:eastAsia="en-GB"/>
        </w:rPr>
      </w:pPr>
      <w:hyperlink w:anchor="_Toc528926428" w:history="1">
        <w:r w:rsidR="00051801">
          <w:rPr>
            <w:rStyle w:val="Hyperlink"/>
            <w:rFonts w:cs="Arial"/>
            <w:noProof/>
          </w:rPr>
          <w:t>14</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PREVENTION OF FRAUD AND BRIBERY</w:t>
        </w:r>
        <w:r w:rsidR="00051801">
          <w:rPr>
            <w:noProof/>
          </w:rPr>
          <w:tab/>
        </w:r>
        <w:r w:rsidR="00051801">
          <w:rPr>
            <w:noProof/>
          </w:rPr>
          <w:fldChar w:fldCharType="begin"/>
        </w:r>
        <w:r w:rsidR="00051801">
          <w:rPr>
            <w:noProof/>
          </w:rPr>
          <w:instrText xml:space="preserve"> PAGEREF _Toc528926428 \h </w:instrText>
        </w:r>
        <w:r w:rsidR="00051801">
          <w:rPr>
            <w:noProof/>
          </w:rPr>
        </w:r>
        <w:r w:rsidR="00051801">
          <w:rPr>
            <w:noProof/>
          </w:rPr>
          <w:fldChar w:fldCharType="separate"/>
        </w:r>
        <w:r w:rsidR="00CF3808">
          <w:rPr>
            <w:noProof/>
          </w:rPr>
          <w:t>50</w:t>
        </w:r>
        <w:r w:rsidR="00051801">
          <w:rPr>
            <w:noProof/>
          </w:rPr>
          <w:fldChar w:fldCharType="end"/>
        </w:r>
      </w:hyperlink>
    </w:p>
    <w:p w14:paraId="3D8FBEF8" w14:textId="27825C0B" w:rsidR="00051801" w:rsidRDefault="005560B9">
      <w:pPr>
        <w:pStyle w:val="TOC1"/>
        <w:rPr>
          <w:rFonts w:asciiTheme="minorHAnsi" w:eastAsiaTheme="minorEastAsia" w:hAnsiTheme="minorHAnsi" w:cstheme="minorBidi"/>
          <w:caps w:val="0"/>
          <w:noProof/>
          <w:szCs w:val="22"/>
          <w:lang w:eastAsia="en-GB"/>
        </w:rPr>
      </w:pPr>
      <w:hyperlink w:anchor="_Toc528926429" w:history="1">
        <w:r w:rsidR="00051801">
          <w:rPr>
            <w:rStyle w:val="Hyperlink"/>
            <w:rFonts w:cs="Arial"/>
            <w:noProof/>
          </w:rPr>
          <w:t>15</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NON-DISCRIMINATION</w:t>
        </w:r>
        <w:r w:rsidR="00051801">
          <w:rPr>
            <w:noProof/>
          </w:rPr>
          <w:tab/>
        </w:r>
        <w:r w:rsidR="00051801">
          <w:rPr>
            <w:noProof/>
          </w:rPr>
          <w:fldChar w:fldCharType="begin"/>
        </w:r>
        <w:r w:rsidR="00051801">
          <w:rPr>
            <w:noProof/>
          </w:rPr>
          <w:instrText xml:space="preserve"> PAGEREF _Toc528926429 \h </w:instrText>
        </w:r>
        <w:r w:rsidR="00051801">
          <w:rPr>
            <w:noProof/>
          </w:rPr>
        </w:r>
        <w:r w:rsidR="00051801">
          <w:rPr>
            <w:noProof/>
          </w:rPr>
          <w:fldChar w:fldCharType="separate"/>
        </w:r>
        <w:r w:rsidR="00CF3808">
          <w:rPr>
            <w:noProof/>
          </w:rPr>
          <w:t>51</w:t>
        </w:r>
        <w:r w:rsidR="00051801">
          <w:rPr>
            <w:noProof/>
          </w:rPr>
          <w:fldChar w:fldCharType="end"/>
        </w:r>
      </w:hyperlink>
    </w:p>
    <w:p w14:paraId="4E9DF900" w14:textId="5691BDC5" w:rsidR="00051801" w:rsidRDefault="005560B9">
      <w:pPr>
        <w:pStyle w:val="TOC1"/>
        <w:rPr>
          <w:rFonts w:asciiTheme="minorHAnsi" w:eastAsiaTheme="minorEastAsia" w:hAnsiTheme="minorHAnsi" w:cstheme="minorBidi"/>
          <w:caps w:val="0"/>
          <w:noProof/>
          <w:szCs w:val="22"/>
          <w:lang w:eastAsia="en-GB"/>
        </w:rPr>
      </w:pPr>
      <w:hyperlink w:anchor="_Toc528926430" w:history="1">
        <w:r w:rsidR="00051801">
          <w:rPr>
            <w:rStyle w:val="Hyperlink"/>
            <w:rFonts w:cs="Arial"/>
            <w:noProof/>
          </w:rPr>
          <w:t>16</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ASSIGNMENT AND NOVATION</w:t>
        </w:r>
        <w:r w:rsidR="00051801">
          <w:rPr>
            <w:noProof/>
          </w:rPr>
          <w:tab/>
        </w:r>
        <w:r w:rsidR="00051801">
          <w:rPr>
            <w:noProof/>
          </w:rPr>
          <w:fldChar w:fldCharType="begin"/>
        </w:r>
        <w:r w:rsidR="00051801">
          <w:rPr>
            <w:noProof/>
          </w:rPr>
          <w:instrText xml:space="preserve"> PAGEREF _Toc528926430 \h </w:instrText>
        </w:r>
        <w:r w:rsidR="00051801">
          <w:rPr>
            <w:noProof/>
          </w:rPr>
        </w:r>
        <w:r w:rsidR="00051801">
          <w:rPr>
            <w:noProof/>
          </w:rPr>
          <w:fldChar w:fldCharType="separate"/>
        </w:r>
        <w:r w:rsidR="00CF3808">
          <w:rPr>
            <w:noProof/>
          </w:rPr>
          <w:t>52</w:t>
        </w:r>
        <w:r w:rsidR="00051801">
          <w:rPr>
            <w:noProof/>
          </w:rPr>
          <w:fldChar w:fldCharType="end"/>
        </w:r>
      </w:hyperlink>
    </w:p>
    <w:p w14:paraId="1D6644BA" w14:textId="0D12B30A" w:rsidR="00051801" w:rsidRDefault="005560B9">
      <w:pPr>
        <w:pStyle w:val="TOC1"/>
        <w:rPr>
          <w:rFonts w:asciiTheme="minorHAnsi" w:eastAsiaTheme="minorEastAsia" w:hAnsiTheme="minorHAnsi" w:cstheme="minorBidi"/>
          <w:caps w:val="0"/>
          <w:noProof/>
          <w:szCs w:val="22"/>
          <w:lang w:eastAsia="en-GB"/>
        </w:rPr>
      </w:pPr>
      <w:hyperlink w:anchor="_Toc528926431" w:history="1">
        <w:r w:rsidR="00051801">
          <w:rPr>
            <w:rStyle w:val="Hyperlink"/>
            <w:rFonts w:cs="Arial"/>
            <w:noProof/>
          </w:rPr>
          <w:t>17</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WAIVER AND CUMULATIVE REMEDIES</w:t>
        </w:r>
        <w:r w:rsidR="00051801">
          <w:rPr>
            <w:noProof/>
          </w:rPr>
          <w:tab/>
        </w:r>
        <w:r w:rsidR="00051801">
          <w:rPr>
            <w:noProof/>
          </w:rPr>
          <w:fldChar w:fldCharType="begin"/>
        </w:r>
        <w:r w:rsidR="00051801">
          <w:rPr>
            <w:noProof/>
          </w:rPr>
          <w:instrText xml:space="preserve"> PAGEREF _Toc528926431 \h </w:instrText>
        </w:r>
        <w:r w:rsidR="00051801">
          <w:rPr>
            <w:noProof/>
          </w:rPr>
        </w:r>
        <w:r w:rsidR="00051801">
          <w:rPr>
            <w:noProof/>
          </w:rPr>
          <w:fldChar w:fldCharType="separate"/>
        </w:r>
        <w:r w:rsidR="00CF3808">
          <w:rPr>
            <w:noProof/>
          </w:rPr>
          <w:t>53</w:t>
        </w:r>
        <w:r w:rsidR="00051801">
          <w:rPr>
            <w:noProof/>
          </w:rPr>
          <w:fldChar w:fldCharType="end"/>
        </w:r>
      </w:hyperlink>
    </w:p>
    <w:p w14:paraId="7767513C" w14:textId="38328C3A" w:rsidR="00051801" w:rsidRDefault="005560B9">
      <w:pPr>
        <w:pStyle w:val="TOC1"/>
        <w:rPr>
          <w:rFonts w:asciiTheme="minorHAnsi" w:eastAsiaTheme="minorEastAsia" w:hAnsiTheme="minorHAnsi" w:cstheme="minorBidi"/>
          <w:caps w:val="0"/>
          <w:noProof/>
          <w:szCs w:val="22"/>
          <w:lang w:eastAsia="en-GB"/>
        </w:rPr>
      </w:pPr>
      <w:hyperlink w:anchor="_Toc528926432" w:history="1">
        <w:r w:rsidR="00051801">
          <w:rPr>
            <w:rStyle w:val="Hyperlink"/>
            <w:rFonts w:cs="Arial"/>
            <w:noProof/>
          </w:rPr>
          <w:t>18</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FURTHER ASSURANCES</w:t>
        </w:r>
        <w:r w:rsidR="00051801">
          <w:rPr>
            <w:noProof/>
          </w:rPr>
          <w:tab/>
        </w:r>
        <w:r w:rsidR="00051801">
          <w:rPr>
            <w:noProof/>
          </w:rPr>
          <w:fldChar w:fldCharType="begin"/>
        </w:r>
        <w:r w:rsidR="00051801">
          <w:rPr>
            <w:noProof/>
          </w:rPr>
          <w:instrText xml:space="preserve"> PAGEREF _Toc528926432 \h </w:instrText>
        </w:r>
        <w:r w:rsidR="00051801">
          <w:rPr>
            <w:noProof/>
          </w:rPr>
        </w:r>
        <w:r w:rsidR="00051801">
          <w:rPr>
            <w:noProof/>
          </w:rPr>
          <w:fldChar w:fldCharType="separate"/>
        </w:r>
        <w:r w:rsidR="00CF3808">
          <w:rPr>
            <w:noProof/>
          </w:rPr>
          <w:t>53</w:t>
        </w:r>
        <w:r w:rsidR="00051801">
          <w:rPr>
            <w:noProof/>
          </w:rPr>
          <w:fldChar w:fldCharType="end"/>
        </w:r>
      </w:hyperlink>
    </w:p>
    <w:p w14:paraId="51A45771" w14:textId="483222ED" w:rsidR="00051801" w:rsidRDefault="005560B9">
      <w:pPr>
        <w:pStyle w:val="TOC1"/>
        <w:rPr>
          <w:rFonts w:asciiTheme="minorHAnsi" w:eastAsiaTheme="minorEastAsia" w:hAnsiTheme="minorHAnsi" w:cstheme="minorBidi"/>
          <w:caps w:val="0"/>
          <w:noProof/>
          <w:szCs w:val="22"/>
          <w:lang w:eastAsia="en-GB"/>
        </w:rPr>
      </w:pPr>
      <w:hyperlink w:anchor="_Toc528926433" w:history="1">
        <w:r w:rsidR="00051801">
          <w:rPr>
            <w:rStyle w:val="Hyperlink"/>
            <w:rFonts w:cs="Arial"/>
            <w:noProof/>
          </w:rPr>
          <w:t>19</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SEVERABILITY</w:t>
        </w:r>
        <w:r w:rsidR="00051801">
          <w:rPr>
            <w:noProof/>
          </w:rPr>
          <w:tab/>
        </w:r>
        <w:r w:rsidR="00051801">
          <w:rPr>
            <w:noProof/>
          </w:rPr>
          <w:fldChar w:fldCharType="begin"/>
        </w:r>
        <w:r w:rsidR="00051801">
          <w:rPr>
            <w:noProof/>
          </w:rPr>
          <w:instrText xml:space="preserve"> PAGEREF _Toc528926433 \h </w:instrText>
        </w:r>
        <w:r w:rsidR="00051801">
          <w:rPr>
            <w:noProof/>
          </w:rPr>
        </w:r>
        <w:r w:rsidR="00051801">
          <w:rPr>
            <w:noProof/>
          </w:rPr>
          <w:fldChar w:fldCharType="separate"/>
        </w:r>
        <w:r w:rsidR="00CF3808">
          <w:rPr>
            <w:noProof/>
          </w:rPr>
          <w:t>53</w:t>
        </w:r>
        <w:r w:rsidR="00051801">
          <w:rPr>
            <w:noProof/>
          </w:rPr>
          <w:fldChar w:fldCharType="end"/>
        </w:r>
      </w:hyperlink>
    </w:p>
    <w:p w14:paraId="28BB7294" w14:textId="79531FAA" w:rsidR="00051801" w:rsidRDefault="005560B9">
      <w:pPr>
        <w:pStyle w:val="TOC1"/>
        <w:rPr>
          <w:rFonts w:asciiTheme="minorHAnsi" w:eastAsiaTheme="minorEastAsia" w:hAnsiTheme="minorHAnsi" w:cstheme="minorBidi"/>
          <w:caps w:val="0"/>
          <w:noProof/>
          <w:szCs w:val="22"/>
          <w:lang w:eastAsia="en-GB"/>
        </w:rPr>
      </w:pPr>
      <w:hyperlink w:anchor="_Toc528926434" w:history="1">
        <w:r w:rsidR="00051801">
          <w:rPr>
            <w:rStyle w:val="Hyperlink"/>
            <w:rFonts w:cs="Arial"/>
            <w:noProof/>
          </w:rPr>
          <w:t>20</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RELATIONSHIP OF THE PARTIES</w:t>
        </w:r>
        <w:r w:rsidR="00051801">
          <w:rPr>
            <w:noProof/>
          </w:rPr>
          <w:tab/>
        </w:r>
        <w:r w:rsidR="00051801">
          <w:rPr>
            <w:noProof/>
          </w:rPr>
          <w:fldChar w:fldCharType="begin"/>
        </w:r>
        <w:r w:rsidR="00051801">
          <w:rPr>
            <w:noProof/>
          </w:rPr>
          <w:instrText xml:space="preserve"> PAGEREF _Toc528926434 \h </w:instrText>
        </w:r>
        <w:r w:rsidR="00051801">
          <w:rPr>
            <w:noProof/>
          </w:rPr>
        </w:r>
        <w:r w:rsidR="00051801">
          <w:rPr>
            <w:noProof/>
          </w:rPr>
          <w:fldChar w:fldCharType="separate"/>
        </w:r>
        <w:r w:rsidR="00CF3808">
          <w:rPr>
            <w:noProof/>
          </w:rPr>
          <w:t>53</w:t>
        </w:r>
        <w:r w:rsidR="00051801">
          <w:rPr>
            <w:noProof/>
          </w:rPr>
          <w:fldChar w:fldCharType="end"/>
        </w:r>
      </w:hyperlink>
    </w:p>
    <w:p w14:paraId="3A275A27" w14:textId="4D82A731" w:rsidR="00051801" w:rsidRDefault="005560B9">
      <w:pPr>
        <w:pStyle w:val="TOC1"/>
        <w:rPr>
          <w:rFonts w:asciiTheme="minorHAnsi" w:eastAsiaTheme="minorEastAsia" w:hAnsiTheme="minorHAnsi" w:cstheme="minorBidi"/>
          <w:caps w:val="0"/>
          <w:noProof/>
          <w:szCs w:val="22"/>
          <w:lang w:eastAsia="en-GB"/>
        </w:rPr>
      </w:pPr>
      <w:hyperlink w:anchor="_Toc528926435" w:history="1">
        <w:r w:rsidR="00051801">
          <w:rPr>
            <w:rStyle w:val="Hyperlink"/>
            <w:rFonts w:cs="Arial"/>
            <w:noProof/>
          </w:rPr>
          <w:t>21</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ENTIRE AGREEMENT</w:t>
        </w:r>
        <w:r w:rsidR="00051801">
          <w:rPr>
            <w:noProof/>
          </w:rPr>
          <w:tab/>
        </w:r>
        <w:r w:rsidR="00051801">
          <w:rPr>
            <w:noProof/>
          </w:rPr>
          <w:fldChar w:fldCharType="begin"/>
        </w:r>
        <w:r w:rsidR="00051801">
          <w:rPr>
            <w:noProof/>
          </w:rPr>
          <w:instrText xml:space="preserve"> PAGEREF _Toc528926435 \h </w:instrText>
        </w:r>
        <w:r w:rsidR="00051801">
          <w:rPr>
            <w:noProof/>
          </w:rPr>
        </w:r>
        <w:r w:rsidR="00051801">
          <w:rPr>
            <w:noProof/>
          </w:rPr>
          <w:fldChar w:fldCharType="separate"/>
        </w:r>
        <w:r w:rsidR="00CF3808">
          <w:rPr>
            <w:noProof/>
          </w:rPr>
          <w:t>54</w:t>
        </w:r>
        <w:r w:rsidR="00051801">
          <w:rPr>
            <w:noProof/>
          </w:rPr>
          <w:fldChar w:fldCharType="end"/>
        </w:r>
      </w:hyperlink>
    </w:p>
    <w:p w14:paraId="12BA6176" w14:textId="25FD502B" w:rsidR="00051801" w:rsidRDefault="005560B9">
      <w:pPr>
        <w:pStyle w:val="TOC1"/>
        <w:rPr>
          <w:rFonts w:asciiTheme="minorHAnsi" w:eastAsiaTheme="minorEastAsia" w:hAnsiTheme="minorHAnsi" w:cstheme="minorBidi"/>
          <w:caps w:val="0"/>
          <w:noProof/>
          <w:szCs w:val="22"/>
          <w:lang w:eastAsia="en-GB"/>
        </w:rPr>
      </w:pPr>
      <w:hyperlink w:anchor="_Toc528926436" w:history="1">
        <w:r w:rsidR="00051801">
          <w:rPr>
            <w:rStyle w:val="Hyperlink"/>
            <w:rFonts w:cs="Arial"/>
            <w:noProof/>
          </w:rPr>
          <w:t>22</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CONTRACTS (RIGHTS OF THIRD PARTIES) ACT</w:t>
        </w:r>
        <w:r w:rsidR="00051801">
          <w:rPr>
            <w:noProof/>
          </w:rPr>
          <w:tab/>
        </w:r>
        <w:r w:rsidR="00051801">
          <w:rPr>
            <w:noProof/>
          </w:rPr>
          <w:fldChar w:fldCharType="begin"/>
        </w:r>
        <w:r w:rsidR="00051801">
          <w:rPr>
            <w:noProof/>
          </w:rPr>
          <w:instrText xml:space="preserve"> PAGEREF _Toc528926436 \h </w:instrText>
        </w:r>
        <w:r w:rsidR="00051801">
          <w:rPr>
            <w:noProof/>
          </w:rPr>
        </w:r>
        <w:r w:rsidR="00051801">
          <w:rPr>
            <w:noProof/>
          </w:rPr>
          <w:fldChar w:fldCharType="separate"/>
        </w:r>
        <w:r w:rsidR="00CF3808">
          <w:rPr>
            <w:noProof/>
          </w:rPr>
          <w:t>54</w:t>
        </w:r>
        <w:r w:rsidR="00051801">
          <w:rPr>
            <w:noProof/>
          </w:rPr>
          <w:fldChar w:fldCharType="end"/>
        </w:r>
      </w:hyperlink>
    </w:p>
    <w:p w14:paraId="1339B6CC" w14:textId="3A2859DB" w:rsidR="00051801" w:rsidRDefault="005560B9">
      <w:pPr>
        <w:pStyle w:val="TOC1"/>
        <w:rPr>
          <w:rFonts w:asciiTheme="minorHAnsi" w:eastAsiaTheme="minorEastAsia" w:hAnsiTheme="minorHAnsi" w:cstheme="minorBidi"/>
          <w:caps w:val="0"/>
          <w:noProof/>
          <w:szCs w:val="22"/>
          <w:lang w:eastAsia="en-GB"/>
        </w:rPr>
      </w:pPr>
      <w:hyperlink w:anchor="_Toc528926437" w:history="1">
        <w:r w:rsidR="00051801">
          <w:rPr>
            <w:rStyle w:val="Hyperlink"/>
            <w:rFonts w:cs="Arial"/>
            <w:noProof/>
          </w:rPr>
          <w:t>23</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NOTICES</w:t>
        </w:r>
        <w:r w:rsidR="00051801">
          <w:rPr>
            <w:noProof/>
          </w:rPr>
          <w:tab/>
        </w:r>
        <w:r w:rsidR="00051801">
          <w:rPr>
            <w:noProof/>
          </w:rPr>
          <w:fldChar w:fldCharType="begin"/>
        </w:r>
        <w:r w:rsidR="00051801">
          <w:rPr>
            <w:noProof/>
          </w:rPr>
          <w:instrText xml:space="preserve"> PAGEREF _Toc528926437 \h </w:instrText>
        </w:r>
        <w:r w:rsidR="00051801">
          <w:rPr>
            <w:noProof/>
          </w:rPr>
        </w:r>
        <w:r w:rsidR="00051801">
          <w:rPr>
            <w:noProof/>
          </w:rPr>
          <w:fldChar w:fldCharType="separate"/>
        </w:r>
        <w:r w:rsidR="00CF3808">
          <w:rPr>
            <w:noProof/>
          </w:rPr>
          <w:t>54</w:t>
        </w:r>
        <w:r w:rsidR="00051801">
          <w:rPr>
            <w:noProof/>
          </w:rPr>
          <w:fldChar w:fldCharType="end"/>
        </w:r>
      </w:hyperlink>
    </w:p>
    <w:p w14:paraId="28267C2A" w14:textId="0D9C60E0" w:rsidR="00051801" w:rsidRDefault="005560B9">
      <w:pPr>
        <w:pStyle w:val="TOC1"/>
        <w:rPr>
          <w:rFonts w:asciiTheme="minorHAnsi" w:eastAsiaTheme="minorEastAsia" w:hAnsiTheme="minorHAnsi" w:cstheme="minorBidi"/>
          <w:caps w:val="0"/>
          <w:noProof/>
          <w:szCs w:val="22"/>
          <w:lang w:eastAsia="en-GB"/>
        </w:rPr>
      </w:pPr>
      <w:hyperlink w:anchor="_Toc528926438" w:history="1">
        <w:r w:rsidR="00051801">
          <w:rPr>
            <w:rStyle w:val="Hyperlink"/>
            <w:rFonts w:cs="Arial"/>
            <w:noProof/>
          </w:rPr>
          <w:t>24</w:t>
        </w:r>
        <w:r w:rsidR="00051801" w:rsidRPr="000C2285">
          <w:rPr>
            <w:rStyle w:val="Hyperlink"/>
            <w:rFonts w:cs="Arial"/>
            <w:noProof/>
          </w:rPr>
          <w:t>.</w:t>
        </w:r>
        <w:r w:rsidR="00051801">
          <w:rPr>
            <w:rFonts w:asciiTheme="minorHAnsi" w:eastAsiaTheme="minorEastAsia" w:hAnsiTheme="minorHAnsi" w:cstheme="minorBidi"/>
            <w:caps w:val="0"/>
            <w:noProof/>
            <w:szCs w:val="22"/>
            <w:lang w:eastAsia="en-GB"/>
          </w:rPr>
          <w:tab/>
        </w:r>
        <w:r w:rsidR="00051801" w:rsidRPr="000C2285">
          <w:rPr>
            <w:rStyle w:val="Hyperlink"/>
            <w:rFonts w:cs="Arial"/>
            <w:noProof/>
          </w:rPr>
          <w:t>DISPUTES AND LAW</w:t>
        </w:r>
        <w:r w:rsidR="00051801">
          <w:rPr>
            <w:noProof/>
          </w:rPr>
          <w:tab/>
        </w:r>
        <w:r w:rsidR="00051801">
          <w:rPr>
            <w:noProof/>
          </w:rPr>
          <w:fldChar w:fldCharType="begin"/>
        </w:r>
        <w:r w:rsidR="00051801">
          <w:rPr>
            <w:noProof/>
          </w:rPr>
          <w:instrText xml:space="preserve"> PAGEREF _Toc528926438 \h </w:instrText>
        </w:r>
        <w:r w:rsidR="00051801">
          <w:rPr>
            <w:noProof/>
          </w:rPr>
        </w:r>
        <w:r w:rsidR="00051801">
          <w:rPr>
            <w:noProof/>
          </w:rPr>
          <w:fldChar w:fldCharType="separate"/>
        </w:r>
        <w:r w:rsidR="00CF3808">
          <w:rPr>
            <w:noProof/>
          </w:rPr>
          <w:t>55</w:t>
        </w:r>
        <w:r w:rsidR="00051801">
          <w:rPr>
            <w:noProof/>
          </w:rPr>
          <w:fldChar w:fldCharType="end"/>
        </w:r>
      </w:hyperlink>
    </w:p>
    <w:p w14:paraId="677618BE" w14:textId="707E0282" w:rsidR="00051801" w:rsidRDefault="005560B9">
      <w:pPr>
        <w:pStyle w:val="TOC1"/>
        <w:rPr>
          <w:rFonts w:asciiTheme="minorHAnsi" w:eastAsiaTheme="minorEastAsia" w:hAnsiTheme="minorHAnsi" w:cstheme="minorBidi"/>
          <w:caps w:val="0"/>
          <w:noProof/>
          <w:szCs w:val="22"/>
          <w:lang w:eastAsia="en-GB"/>
        </w:rPr>
      </w:pPr>
      <w:hyperlink w:anchor="_Toc528926439" w:history="1">
        <w:r w:rsidR="00051801" w:rsidRPr="000C2285">
          <w:rPr>
            <w:rStyle w:val="Hyperlink"/>
            <w:rFonts w:cs="Arial"/>
            <w:noProof/>
          </w:rPr>
          <w:t>CONTRACT SCHEDULE 1: DEFINITIONS</w:t>
        </w:r>
        <w:r w:rsidR="00051801">
          <w:rPr>
            <w:noProof/>
          </w:rPr>
          <w:tab/>
        </w:r>
        <w:r w:rsidR="00051801">
          <w:rPr>
            <w:noProof/>
          </w:rPr>
          <w:fldChar w:fldCharType="begin"/>
        </w:r>
        <w:r w:rsidR="00051801">
          <w:rPr>
            <w:noProof/>
          </w:rPr>
          <w:instrText xml:space="preserve"> PAGEREF _Toc528926439 \h </w:instrText>
        </w:r>
        <w:r w:rsidR="00051801">
          <w:rPr>
            <w:noProof/>
          </w:rPr>
        </w:r>
        <w:r w:rsidR="00051801">
          <w:rPr>
            <w:noProof/>
          </w:rPr>
          <w:fldChar w:fldCharType="separate"/>
        </w:r>
        <w:r w:rsidR="00CF3808">
          <w:rPr>
            <w:noProof/>
          </w:rPr>
          <w:t>57</w:t>
        </w:r>
        <w:r w:rsidR="00051801">
          <w:rPr>
            <w:noProof/>
          </w:rPr>
          <w:fldChar w:fldCharType="end"/>
        </w:r>
      </w:hyperlink>
    </w:p>
    <w:p w14:paraId="38A027C9" w14:textId="1D93315F" w:rsidR="00051801" w:rsidRDefault="005560B9">
      <w:pPr>
        <w:pStyle w:val="TOC1"/>
        <w:rPr>
          <w:rFonts w:asciiTheme="minorHAnsi" w:eastAsiaTheme="minorEastAsia" w:hAnsiTheme="minorHAnsi" w:cstheme="minorBidi"/>
          <w:caps w:val="0"/>
          <w:noProof/>
          <w:szCs w:val="22"/>
          <w:lang w:eastAsia="en-GB"/>
        </w:rPr>
      </w:pPr>
      <w:hyperlink w:anchor="_Toc528926440" w:history="1">
        <w:r w:rsidR="00051801" w:rsidRPr="000C2285">
          <w:rPr>
            <w:rStyle w:val="Hyperlink"/>
            <w:rFonts w:cs="Arial"/>
            <w:noProof/>
          </w:rPr>
          <w:t>CONTRACT SCHEDULE 2: EXIT MANAGEMENT</w:t>
        </w:r>
        <w:r w:rsidR="00051801">
          <w:rPr>
            <w:noProof/>
          </w:rPr>
          <w:tab/>
        </w:r>
        <w:r w:rsidR="00051801">
          <w:rPr>
            <w:noProof/>
          </w:rPr>
          <w:fldChar w:fldCharType="begin"/>
        </w:r>
        <w:r w:rsidR="00051801">
          <w:rPr>
            <w:noProof/>
          </w:rPr>
          <w:instrText xml:space="preserve"> PAGEREF _Toc528926440 \h </w:instrText>
        </w:r>
        <w:r w:rsidR="00051801">
          <w:rPr>
            <w:noProof/>
          </w:rPr>
        </w:r>
        <w:r w:rsidR="00051801">
          <w:rPr>
            <w:noProof/>
          </w:rPr>
          <w:fldChar w:fldCharType="separate"/>
        </w:r>
        <w:r w:rsidR="00CF3808">
          <w:rPr>
            <w:noProof/>
          </w:rPr>
          <w:t>68</w:t>
        </w:r>
        <w:r w:rsidR="00051801">
          <w:rPr>
            <w:noProof/>
          </w:rPr>
          <w:fldChar w:fldCharType="end"/>
        </w:r>
      </w:hyperlink>
    </w:p>
    <w:p w14:paraId="73232009" w14:textId="65F7AA4C" w:rsidR="00051801" w:rsidRDefault="005560B9">
      <w:pPr>
        <w:pStyle w:val="TOC1"/>
        <w:rPr>
          <w:rFonts w:asciiTheme="minorHAnsi" w:eastAsiaTheme="minorEastAsia" w:hAnsiTheme="minorHAnsi" w:cstheme="minorBidi"/>
          <w:caps w:val="0"/>
          <w:noProof/>
          <w:szCs w:val="22"/>
          <w:lang w:eastAsia="en-GB"/>
        </w:rPr>
      </w:pPr>
      <w:hyperlink w:anchor="_Toc528926441" w:history="1">
        <w:r w:rsidR="00051801" w:rsidRPr="000C2285">
          <w:rPr>
            <w:rStyle w:val="Hyperlink"/>
            <w:rFonts w:cs="Arial"/>
            <w:noProof/>
          </w:rPr>
          <w:t>CONTRACT SCHEDULE 3: STAFF TRANSFER</w:t>
        </w:r>
        <w:r w:rsidR="00051801">
          <w:rPr>
            <w:noProof/>
          </w:rPr>
          <w:tab/>
        </w:r>
        <w:r w:rsidR="00051801">
          <w:rPr>
            <w:noProof/>
          </w:rPr>
          <w:fldChar w:fldCharType="begin"/>
        </w:r>
        <w:r w:rsidR="00051801">
          <w:rPr>
            <w:noProof/>
          </w:rPr>
          <w:instrText xml:space="preserve"> PAGEREF _Toc528926441 \h </w:instrText>
        </w:r>
        <w:r w:rsidR="00051801">
          <w:rPr>
            <w:noProof/>
          </w:rPr>
        </w:r>
        <w:r w:rsidR="00051801">
          <w:rPr>
            <w:noProof/>
          </w:rPr>
          <w:fldChar w:fldCharType="separate"/>
        </w:r>
        <w:r w:rsidR="00CF3808">
          <w:rPr>
            <w:noProof/>
          </w:rPr>
          <w:t>79</w:t>
        </w:r>
        <w:r w:rsidR="00051801">
          <w:rPr>
            <w:noProof/>
          </w:rPr>
          <w:fldChar w:fldCharType="end"/>
        </w:r>
      </w:hyperlink>
    </w:p>
    <w:p w14:paraId="2590E731" w14:textId="4B580048" w:rsidR="00051801" w:rsidRDefault="005560B9">
      <w:pPr>
        <w:pStyle w:val="TOC1"/>
        <w:rPr>
          <w:rFonts w:asciiTheme="minorHAnsi" w:eastAsiaTheme="minorEastAsia" w:hAnsiTheme="minorHAnsi" w:cstheme="minorBidi"/>
          <w:caps w:val="0"/>
          <w:noProof/>
          <w:szCs w:val="22"/>
          <w:lang w:eastAsia="en-GB"/>
        </w:rPr>
      </w:pPr>
      <w:hyperlink w:anchor="_Toc528926442" w:history="1">
        <w:r w:rsidR="00051801" w:rsidRPr="000C2285">
          <w:rPr>
            <w:rStyle w:val="Hyperlink"/>
            <w:rFonts w:cs="Arial"/>
            <w:noProof/>
          </w:rPr>
          <w:t>CONTRACT SCHEDULE 4: TRANSPARENCY REPORTS</w:t>
        </w:r>
        <w:r w:rsidR="00051801">
          <w:rPr>
            <w:noProof/>
          </w:rPr>
          <w:tab/>
        </w:r>
        <w:r w:rsidR="00051801">
          <w:rPr>
            <w:noProof/>
          </w:rPr>
          <w:fldChar w:fldCharType="begin"/>
        </w:r>
        <w:r w:rsidR="00051801">
          <w:rPr>
            <w:noProof/>
          </w:rPr>
          <w:instrText xml:space="preserve"> PAGEREF _Toc528926442 \h </w:instrText>
        </w:r>
        <w:r w:rsidR="00051801">
          <w:rPr>
            <w:noProof/>
          </w:rPr>
        </w:r>
        <w:r w:rsidR="00051801">
          <w:rPr>
            <w:noProof/>
          </w:rPr>
          <w:fldChar w:fldCharType="separate"/>
        </w:r>
        <w:r w:rsidR="00CF3808">
          <w:rPr>
            <w:noProof/>
          </w:rPr>
          <w:t>112</w:t>
        </w:r>
        <w:r w:rsidR="00051801">
          <w:rPr>
            <w:noProof/>
          </w:rPr>
          <w:fldChar w:fldCharType="end"/>
        </w:r>
      </w:hyperlink>
    </w:p>
    <w:p w14:paraId="4D20371C" w14:textId="4B055644"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76" w:name="TOCField"/>
      <w:bookmarkEnd w:id="76"/>
      <w:r w:rsidRPr="00C3320D">
        <w:rPr>
          <w:rFonts w:cs="Arial"/>
          <w:b/>
          <w:szCs w:val="22"/>
        </w:rPr>
        <w:lastRenderedPageBreak/>
        <w:t>RECITALS</w:t>
      </w:r>
    </w:p>
    <w:p w14:paraId="14283023" w14:textId="689E5618" w:rsidR="00415BB5" w:rsidRPr="00C3320D" w:rsidRDefault="008B0862" w:rsidP="00015443">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77" w:name="_Toc303802818"/>
      <w:bookmarkStart w:id="78" w:name="_Toc430879909"/>
      <w:bookmarkStart w:id="79" w:name="_Toc430880107"/>
      <w:bookmarkStart w:id="80" w:name="_Toc430880393"/>
      <w:bookmarkStart w:id="81" w:name="_Toc430880538"/>
      <w:bookmarkStart w:id="82" w:name="_Toc430880794"/>
      <w:bookmarkStart w:id="83" w:name="_Toc430941298"/>
      <w:bookmarkStart w:id="84" w:name="_Toc431551111"/>
      <w:bookmarkStart w:id="85" w:name="_Toc303802819"/>
      <w:bookmarkStart w:id="86" w:name="_Toc430879910"/>
      <w:bookmarkStart w:id="87" w:name="_Toc430880108"/>
      <w:bookmarkStart w:id="88" w:name="_Toc430880394"/>
      <w:bookmarkStart w:id="89" w:name="_Toc430880539"/>
      <w:bookmarkStart w:id="90" w:name="_Toc430880795"/>
      <w:bookmarkStart w:id="91" w:name="_Toc430941299"/>
      <w:bookmarkStart w:id="92"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77"/>
      <w:bookmarkEnd w:id="78"/>
      <w:bookmarkEnd w:id="79"/>
      <w:bookmarkEnd w:id="80"/>
      <w:bookmarkEnd w:id="81"/>
      <w:bookmarkEnd w:id="82"/>
      <w:bookmarkEnd w:id="83"/>
      <w:bookmarkEnd w:id="84"/>
    </w:p>
    <w:p w14:paraId="64CB6509" w14:textId="2EF2A9AA" w:rsidR="00415BB5" w:rsidRPr="00C3320D" w:rsidRDefault="00415BB5" w:rsidP="00015443">
      <w:pPr>
        <w:pStyle w:val="GPSSectionHeading"/>
        <w:numPr>
          <w:ilvl w:val="0"/>
          <w:numId w:val="25"/>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 Panel Servi</w:t>
      </w:r>
      <w:r w:rsidR="00F81F89">
        <w:rPr>
          <w:rFonts w:cs="Arial"/>
          <w:b w:val="0"/>
          <w:caps w:val="0"/>
          <w:color w:val="auto"/>
          <w:u w:val="none"/>
        </w:rPr>
        <w:t>ces on 31</w:t>
      </w:r>
      <w:r w:rsidR="00F81F89" w:rsidRPr="00F81F89">
        <w:rPr>
          <w:rFonts w:cs="Arial"/>
          <w:b w:val="0"/>
          <w:caps w:val="0"/>
          <w:color w:val="auto"/>
          <w:u w:val="none"/>
          <w:vertAlign w:val="superscript"/>
        </w:rPr>
        <w:t>st</w:t>
      </w:r>
      <w:r w:rsidR="00F81F89">
        <w:rPr>
          <w:rFonts w:cs="Arial"/>
          <w:b w:val="0"/>
          <w:caps w:val="0"/>
          <w:color w:val="auto"/>
          <w:u w:val="none"/>
        </w:rPr>
        <w:t xml:space="preserve"> July 2018</w:t>
      </w:r>
      <w:r w:rsidRPr="00C3320D">
        <w:rPr>
          <w:rFonts w:cs="Arial"/>
          <w:b w:val="0"/>
          <w:i/>
          <w:caps w:val="0"/>
          <w:color w:val="auto"/>
          <w:u w:val="none"/>
        </w:rPr>
        <w:t>.</w:t>
      </w:r>
      <w:bookmarkEnd w:id="85"/>
      <w:bookmarkEnd w:id="86"/>
      <w:bookmarkEnd w:id="87"/>
      <w:bookmarkEnd w:id="88"/>
      <w:bookmarkEnd w:id="89"/>
      <w:bookmarkEnd w:id="90"/>
      <w:bookmarkEnd w:id="91"/>
      <w:bookmarkEnd w:id="92"/>
    </w:p>
    <w:p w14:paraId="69EFFE8E" w14:textId="00E3F57E" w:rsidR="00415BB5" w:rsidRPr="00C3320D" w:rsidRDefault="00415BB5" w:rsidP="00015443">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93" w:name="_Toc303802820"/>
      <w:bookmarkStart w:id="94" w:name="_Toc430879911"/>
      <w:bookmarkStart w:id="95" w:name="_Toc430880109"/>
      <w:bookmarkStart w:id="96" w:name="_Toc430880395"/>
      <w:bookmarkStart w:id="97" w:name="_Toc430880540"/>
      <w:bookmarkStart w:id="98" w:name="_Toc430880796"/>
      <w:bookmarkStart w:id="99" w:name="_Toc430941300"/>
      <w:bookmarkStart w:id="100" w:name="_Toc431551113"/>
      <w:r w:rsidRPr="00C3320D">
        <w:rPr>
          <w:rFonts w:cs="Arial"/>
          <w:b w:val="0"/>
          <w:caps w:val="0"/>
          <w:color w:val="auto"/>
          <w:u w:val="none"/>
        </w:rPr>
        <w:t>In response to the Statement of Requirements the Supplier submitted a Tender to t</w:t>
      </w:r>
      <w:r w:rsidR="00F81F89">
        <w:rPr>
          <w:rFonts w:cs="Arial"/>
          <w:b w:val="0"/>
          <w:caps w:val="0"/>
          <w:color w:val="auto"/>
          <w:u w:val="none"/>
        </w:rPr>
        <w:t>he Customer on the 14</w:t>
      </w:r>
      <w:r w:rsidR="00F81F89" w:rsidRPr="00F81F89">
        <w:rPr>
          <w:rFonts w:cs="Arial"/>
          <w:b w:val="0"/>
          <w:caps w:val="0"/>
          <w:color w:val="auto"/>
          <w:u w:val="none"/>
          <w:vertAlign w:val="superscript"/>
        </w:rPr>
        <w:t>th</w:t>
      </w:r>
      <w:r w:rsidR="00F81F89">
        <w:rPr>
          <w:rFonts w:cs="Arial"/>
          <w:b w:val="0"/>
          <w:caps w:val="0"/>
          <w:color w:val="auto"/>
          <w:u w:val="none"/>
        </w:rPr>
        <w:t xml:space="preserve"> August 2018</w:t>
      </w:r>
      <w:r w:rsidRPr="00C3320D">
        <w:rPr>
          <w:rFonts w:cs="Arial"/>
          <w:b w:val="0"/>
          <w:caps w:val="0"/>
          <w:color w:val="auto"/>
          <w:u w:val="none"/>
        </w:rPr>
        <w:t xml:space="preserve"> through which it provided to the Customer its solution for providing the Ordered Panel Services.</w:t>
      </w:r>
      <w:bookmarkEnd w:id="93"/>
      <w:bookmarkEnd w:id="94"/>
      <w:bookmarkEnd w:id="95"/>
      <w:bookmarkEnd w:id="96"/>
      <w:bookmarkEnd w:id="97"/>
      <w:bookmarkEnd w:id="98"/>
      <w:bookmarkEnd w:id="99"/>
      <w:bookmarkEnd w:id="100"/>
    </w:p>
    <w:p w14:paraId="37058A31" w14:textId="33176FBF" w:rsidR="00415BB5" w:rsidRPr="00C3320D" w:rsidRDefault="00415BB5" w:rsidP="00015443">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101" w:name="_Toc303802821"/>
      <w:bookmarkStart w:id="102" w:name="_Toc430879912"/>
      <w:bookmarkStart w:id="103" w:name="_Toc430880110"/>
      <w:bookmarkStart w:id="104" w:name="_Toc430880396"/>
      <w:bookmarkStart w:id="105" w:name="_Toc430880541"/>
      <w:bookmarkStart w:id="106" w:name="_Toc430880797"/>
      <w:bookmarkStart w:id="107" w:name="_Toc430941301"/>
      <w:bookmarkStart w:id="108"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101"/>
      <w:bookmarkEnd w:id="102"/>
      <w:bookmarkEnd w:id="103"/>
      <w:bookmarkEnd w:id="104"/>
      <w:bookmarkEnd w:id="105"/>
      <w:bookmarkEnd w:id="106"/>
      <w:bookmarkEnd w:id="107"/>
      <w:bookmarkEnd w:id="108"/>
      <w:r w:rsidR="00F81F89">
        <w:rPr>
          <w:rFonts w:cs="Arial"/>
          <w:b w:val="0"/>
          <w:caps w:val="0"/>
          <w:color w:val="auto"/>
          <w:u w:val="none"/>
        </w:rPr>
        <w:t>.</w:t>
      </w: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109" w:name="_Toc528926415"/>
      <w:r w:rsidRPr="00C3320D">
        <w:rPr>
          <w:rFonts w:cs="Arial"/>
          <w:szCs w:val="22"/>
        </w:rPr>
        <w:t>DEFINITIONS AND INTERPRETATION</w:t>
      </w:r>
      <w:bookmarkEnd w:id="10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11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11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111" w:name="_Toc528926416"/>
      <w:r w:rsidRPr="00C3320D">
        <w:rPr>
          <w:rFonts w:cs="Arial"/>
          <w:szCs w:val="22"/>
        </w:rPr>
        <w:t>The Ordered Panel Services</w:t>
      </w:r>
      <w:bookmarkEnd w:id="11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112" w:name="_Toc528926417"/>
      <w:r w:rsidRPr="00C3320D">
        <w:rPr>
          <w:rFonts w:cs="Arial"/>
          <w:szCs w:val="22"/>
        </w:rPr>
        <w:t xml:space="preserve">Delivery and management of </w:t>
      </w:r>
      <w:r w:rsidR="00F60EC1" w:rsidRPr="00C3320D">
        <w:rPr>
          <w:rFonts w:cs="Arial"/>
          <w:szCs w:val="22"/>
        </w:rPr>
        <w:t>the Ordered Panel Services</w:t>
      </w:r>
      <w:bookmarkEnd w:id="11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11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113"/>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11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11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11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11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11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16"/>
    </w:p>
    <w:p w14:paraId="6F7B83E1" w14:textId="77777777" w:rsidR="00C901FE" w:rsidRPr="00C3320D" w:rsidRDefault="00C901FE" w:rsidP="00D40F55">
      <w:pPr>
        <w:pStyle w:val="Heading1"/>
        <w:spacing w:before="120" w:after="120"/>
        <w:rPr>
          <w:rFonts w:cs="Arial"/>
          <w:szCs w:val="22"/>
        </w:rPr>
      </w:pPr>
      <w:bookmarkStart w:id="117" w:name="_Toc461109632"/>
      <w:bookmarkStart w:id="118" w:name="_Toc461109633"/>
      <w:bookmarkStart w:id="119" w:name="_Toc528926418"/>
      <w:bookmarkEnd w:id="117"/>
      <w:bookmarkEnd w:id="11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1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2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20"/>
    </w:p>
    <w:p w14:paraId="344FC365" w14:textId="77777777" w:rsidR="00F6759D" w:rsidRPr="00C3320D" w:rsidRDefault="00F6759D" w:rsidP="00D40F55">
      <w:pPr>
        <w:pStyle w:val="Heading1"/>
        <w:spacing w:before="120" w:after="120"/>
        <w:rPr>
          <w:rFonts w:cs="Arial"/>
          <w:szCs w:val="22"/>
        </w:rPr>
      </w:pPr>
      <w:bookmarkStart w:id="121" w:name="_Toc528926419"/>
      <w:r w:rsidRPr="00C3320D">
        <w:rPr>
          <w:rFonts w:cs="Arial"/>
          <w:szCs w:val="22"/>
        </w:rPr>
        <w:t>Personnel</w:t>
      </w:r>
      <w:bookmarkEnd w:id="12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22" w:name="_Ref363736216"/>
      <w:r w:rsidRPr="00C3320D">
        <w:rPr>
          <w:rFonts w:cs="Arial"/>
          <w:szCs w:val="22"/>
        </w:rPr>
        <w:t>The Supplier shall:</w:t>
      </w:r>
      <w:bookmarkEnd w:id="12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23" w:name="_Ref358297649"/>
      <w:r w:rsidRPr="00C3320D">
        <w:rPr>
          <w:rFonts w:cs="Arial"/>
          <w:szCs w:val="22"/>
        </w:rPr>
        <w:t>The Parties agree that</w:t>
      </w:r>
      <w:r w:rsidR="00FA30C4" w:rsidRPr="00C3320D">
        <w:rPr>
          <w:rFonts w:cs="Arial"/>
          <w:szCs w:val="22"/>
        </w:rPr>
        <w:t>:</w:t>
      </w:r>
      <w:bookmarkEnd w:id="123"/>
    </w:p>
    <w:p w14:paraId="513D7722" w14:textId="14E84AA8" w:rsidR="00FA30C4" w:rsidRPr="00C3320D" w:rsidRDefault="00FA30C4" w:rsidP="00D40F55">
      <w:pPr>
        <w:pStyle w:val="Heading3"/>
        <w:spacing w:before="120" w:after="120"/>
        <w:rPr>
          <w:rFonts w:cs="Arial"/>
          <w:szCs w:val="22"/>
        </w:rPr>
      </w:pPr>
      <w:bookmarkStart w:id="12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25" w:name="_Ref358300369"/>
      <w:bookmarkEnd w:id="12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2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26" w:name="_Ref359425071"/>
      <w:r w:rsidRPr="00C3320D">
        <w:rPr>
          <w:rFonts w:cs="Arial"/>
          <w:szCs w:val="22"/>
        </w:rPr>
        <w:lastRenderedPageBreak/>
        <w:t>Prior to sub-contacting any of its obligations under this Legal Services Contract, the Supplier shall notify the Customer and provide the Customer with:</w:t>
      </w:r>
      <w:bookmarkEnd w:id="12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2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2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015443">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015443">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015443">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015443">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015443">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015443">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015443">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2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28"/>
    </w:p>
    <w:p w14:paraId="01A870A0" w14:textId="77777777" w:rsidR="00A904F4" w:rsidRPr="00C3320D" w:rsidRDefault="00A904F4" w:rsidP="00D40F55">
      <w:pPr>
        <w:pStyle w:val="Heading3"/>
        <w:spacing w:before="120" w:after="120"/>
        <w:rPr>
          <w:rFonts w:cs="Arial"/>
          <w:szCs w:val="22"/>
        </w:rPr>
      </w:pPr>
      <w:bookmarkStart w:id="129"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12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30" w:name="_Ref359339111"/>
      <w:r w:rsidRPr="00C3320D">
        <w:rPr>
          <w:rFonts w:cs="Arial"/>
          <w:szCs w:val="22"/>
        </w:rPr>
        <w:t>The Supplier shall</w:t>
      </w:r>
      <w:bookmarkEnd w:id="13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31" w:name="_Ref379548295"/>
      <w:r w:rsidRPr="00C3320D">
        <w:rPr>
          <w:rFonts w:cs="Arial"/>
          <w:szCs w:val="22"/>
        </w:rPr>
        <w:t>The Customer may require the Supplier to terminate:</w:t>
      </w:r>
      <w:bookmarkEnd w:id="13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015443">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015443">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015443">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015443">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3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32"/>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33" w:name="_Toc528926420"/>
      <w:r w:rsidRPr="00C3320D">
        <w:rPr>
          <w:rFonts w:cs="Arial"/>
          <w:szCs w:val="22"/>
        </w:rPr>
        <w:t>CHARGES</w:t>
      </w:r>
      <w:r w:rsidR="00A34A70" w:rsidRPr="00C3320D">
        <w:rPr>
          <w:rFonts w:cs="Arial"/>
          <w:szCs w:val="22"/>
        </w:rPr>
        <w:t xml:space="preserve"> AND INVOICING</w:t>
      </w:r>
      <w:bookmarkEnd w:id="13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1D9E6F1B" w:rsidR="00E56DC7" w:rsidRPr="00F81F89" w:rsidRDefault="007562F7" w:rsidP="00D40F55">
      <w:pPr>
        <w:pStyle w:val="Heading3"/>
        <w:spacing w:before="120" w:after="120"/>
        <w:rPr>
          <w:rFonts w:cs="Arial"/>
          <w:szCs w:val="22"/>
        </w:rPr>
      </w:pPr>
      <w:r w:rsidRPr="00F81F89">
        <w:rPr>
          <w:rFonts w:cs="Arial"/>
          <w:szCs w:val="22"/>
        </w:rPr>
        <w:t xml:space="preserve">In consideration of the </w:t>
      </w:r>
      <w:r w:rsidR="00151B56" w:rsidRPr="00F81F89">
        <w:rPr>
          <w:rFonts w:cs="Arial"/>
          <w:szCs w:val="22"/>
        </w:rPr>
        <w:t>Supplier</w:t>
      </w:r>
      <w:r w:rsidRPr="00F81F89">
        <w:rPr>
          <w:rFonts w:cs="Arial"/>
          <w:szCs w:val="22"/>
        </w:rPr>
        <w:t xml:space="preserve">'s performance of its obligations under </w:t>
      </w:r>
      <w:r w:rsidR="002479FD" w:rsidRPr="00F81F89">
        <w:rPr>
          <w:rFonts w:cs="Arial"/>
          <w:szCs w:val="22"/>
        </w:rPr>
        <w:t>this</w:t>
      </w:r>
      <w:r w:rsidR="00A34A70" w:rsidRPr="00F81F89">
        <w:rPr>
          <w:rFonts w:cs="Arial"/>
          <w:szCs w:val="22"/>
        </w:rPr>
        <w:t xml:space="preserve"> </w:t>
      </w:r>
      <w:r w:rsidR="008C689D" w:rsidRPr="00F81F89">
        <w:rPr>
          <w:rFonts w:cs="Arial"/>
          <w:szCs w:val="22"/>
        </w:rPr>
        <w:t>Legal Services Contract</w:t>
      </w:r>
      <w:r w:rsidRPr="00F81F89">
        <w:rPr>
          <w:rFonts w:cs="Arial"/>
          <w:szCs w:val="22"/>
        </w:rPr>
        <w:t xml:space="preserve">, the </w:t>
      </w:r>
      <w:r w:rsidR="00C158E8" w:rsidRPr="00F81F89">
        <w:rPr>
          <w:rFonts w:cs="Arial"/>
          <w:szCs w:val="22"/>
        </w:rPr>
        <w:t>Customer</w:t>
      </w:r>
      <w:r w:rsidRPr="00F81F89">
        <w:rPr>
          <w:rFonts w:cs="Arial"/>
          <w:szCs w:val="22"/>
        </w:rPr>
        <w:t xml:space="preserve"> shall pay the</w:t>
      </w:r>
      <w:r w:rsidR="00A34A70" w:rsidRPr="00F81F89">
        <w:rPr>
          <w:rFonts w:cs="Arial"/>
          <w:szCs w:val="22"/>
        </w:rPr>
        <w:t xml:space="preserve"> undisputed</w:t>
      </w:r>
      <w:r w:rsidRPr="00F81F89">
        <w:rPr>
          <w:rFonts w:cs="Arial"/>
          <w:szCs w:val="22"/>
        </w:rPr>
        <w:t xml:space="preserve"> </w:t>
      </w:r>
      <w:r w:rsidR="00AB51E9" w:rsidRPr="00F81F89">
        <w:rPr>
          <w:rFonts w:cs="Arial"/>
          <w:szCs w:val="22"/>
        </w:rPr>
        <w:t>Charges</w:t>
      </w:r>
      <w:r w:rsidRPr="00F81F89">
        <w:rPr>
          <w:rFonts w:cs="Arial"/>
          <w:szCs w:val="22"/>
        </w:rPr>
        <w:t xml:space="preserve"> in accordance with </w:t>
      </w:r>
      <w:r w:rsidR="00304EEF" w:rsidRPr="00F81F89">
        <w:rPr>
          <w:rFonts w:cs="Arial"/>
          <w:szCs w:val="22"/>
        </w:rPr>
        <w:t xml:space="preserve">this </w:t>
      </w:r>
      <w:r w:rsidR="00E6002D" w:rsidRPr="00F81F89">
        <w:rPr>
          <w:rFonts w:cs="Arial"/>
          <w:szCs w:val="22"/>
        </w:rPr>
        <w:t>Clause </w:t>
      </w:r>
      <w:r w:rsidR="00304EEF" w:rsidRPr="00F81F89">
        <w:rPr>
          <w:rFonts w:cs="Arial"/>
          <w:szCs w:val="22"/>
        </w:rPr>
        <w:t>6</w:t>
      </w:r>
      <w:r w:rsidR="00AC4EAD" w:rsidRPr="00F81F89">
        <w:rPr>
          <w:rFonts w:cs="Arial"/>
          <w:szCs w:val="22"/>
        </w:rPr>
        <w:t xml:space="preserve"> </w:t>
      </w:r>
      <w:r w:rsidRPr="00F81F89">
        <w:rPr>
          <w:rFonts w:cs="Arial"/>
          <w:szCs w:val="22"/>
        </w:rPr>
        <w:t>(</w:t>
      </w:r>
      <w:r w:rsidR="00A34A70" w:rsidRPr="00F81F89">
        <w:rPr>
          <w:rFonts w:cs="Arial"/>
          <w:szCs w:val="22"/>
        </w:rPr>
        <w:t>Charges and Invoicing)</w:t>
      </w:r>
      <w:r w:rsidRPr="00F81F89">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3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3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3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3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3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3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37" w:name="_Ref313370178"/>
      <w:r w:rsidRPr="00C3320D">
        <w:rPr>
          <w:rFonts w:cs="Arial"/>
          <w:b/>
          <w:szCs w:val="22"/>
        </w:rPr>
        <w:t>Recovery of Sums Due</w:t>
      </w:r>
      <w:bookmarkEnd w:id="13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38" w:name="_Toc528926421"/>
      <w:bookmarkStart w:id="139" w:name="_Ref313371594"/>
      <w:r w:rsidRPr="00C3320D">
        <w:rPr>
          <w:rFonts w:cs="Arial"/>
          <w:szCs w:val="22"/>
        </w:rPr>
        <w:lastRenderedPageBreak/>
        <w:t>LIABILITY</w:t>
      </w:r>
      <w:r w:rsidR="003C6C6B" w:rsidRPr="00C3320D">
        <w:rPr>
          <w:rFonts w:cs="Arial"/>
          <w:szCs w:val="22"/>
        </w:rPr>
        <w:t xml:space="preserve"> AND INSURANCE</w:t>
      </w:r>
      <w:bookmarkEnd w:id="13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40" w:name="_Ref311654936"/>
      <w:r w:rsidRPr="00C3320D">
        <w:rPr>
          <w:rFonts w:cs="Arial"/>
          <w:szCs w:val="22"/>
        </w:rPr>
        <w:t>Neither Party excludes or limits its liability for:</w:t>
      </w:r>
      <w:bookmarkEnd w:id="14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8355CCC"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81F89">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4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4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42" w:name="_Ref313366946"/>
      <w:bookmarkStart w:id="143" w:name="_Toc528926422"/>
      <w:bookmarkEnd w:id="139"/>
      <w:r w:rsidRPr="00C3320D">
        <w:rPr>
          <w:rFonts w:cs="Arial"/>
          <w:szCs w:val="22"/>
        </w:rPr>
        <w:t>INTELLECTUAL PROPERTY RIGHTS</w:t>
      </w:r>
      <w:bookmarkEnd w:id="142"/>
      <w:bookmarkEnd w:id="143"/>
    </w:p>
    <w:p w14:paraId="2AEA58D8" w14:textId="340AD279" w:rsidR="00F14CCD" w:rsidRPr="00C3320D" w:rsidRDefault="0025590B" w:rsidP="00D40F55">
      <w:pPr>
        <w:pStyle w:val="Heading2"/>
        <w:tabs>
          <w:tab w:val="num" w:pos="720"/>
        </w:tabs>
        <w:spacing w:before="120" w:after="120"/>
        <w:ind w:left="720"/>
        <w:rPr>
          <w:rFonts w:cs="Arial"/>
          <w:szCs w:val="22"/>
        </w:rPr>
      </w:pPr>
      <w:bookmarkStart w:id="14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4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4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4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46" w:name="_Ref313367870"/>
      <w:bookmarkStart w:id="147" w:name="_Toc528926423"/>
      <w:r w:rsidRPr="00C3320D">
        <w:rPr>
          <w:rFonts w:cs="Arial"/>
          <w:szCs w:val="22"/>
        </w:rPr>
        <w:t>PROTECTION OF INFORMATION</w:t>
      </w:r>
      <w:bookmarkEnd w:id="146"/>
      <w:bookmarkEnd w:id="14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48" w:name="_Ref313367297"/>
      <w:r w:rsidRPr="00C3320D">
        <w:rPr>
          <w:rFonts w:cs="Arial"/>
          <w:b/>
          <w:szCs w:val="22"/>
        </w:rPr>
        <w:t>Protection of Personal Data</w:t>
      </w:r>
      <w:bookmarkEnd w:id="14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49" w:name="_Ref313367753"/>
      <w:r w:rsidRPr="00C3320D">
        <w:rPr>
          <w:rFonts w:cs="Arial"/>
          <w:b/>
          <w:szCs w:val="22"/>
        </w:rPr>
        <w:t>Confidentiality</w:t>
      </w:r>
      <w:bookmarkEnd w:id="149"/>
    </w:p>
    <w:p w14:paraId="1EED7F04" w14:textId="77777777" w:rsidR="00F807DC" w:rsidRPr="00C3320D" w:rsidRDefault="007562F7" w:rsidP="00D40F55">
      <w:pPr>
        <w:pStyle w:val="Heading3"/>
        <w:keepNext/>
        <w:spacing w:before="120" w:after="120"/>
        <w:rPr>
          <w:rFonts w:cs="Arial"/>
          <w:szCs w:val="22"/>
        </w:rPr>
      </w:pPr>
      <w:bookmarkStart w:id="15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5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5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5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5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5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5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5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54" w:name="_Ref313369975"/>
      <w:r w:rsidRPr="00C3320D">
        <w:rPr>
          <w:rFonts w:cs="Arial"/>
          <w:b/>
          <w:szCs w:val="22"/>
        </w:rPr>
        <w:t>Freedom of Information</w:t>
      </w:r>
      <w:bookmarkEnd w:id="15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5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5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0C72393C"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w:t>
      </w:r>
      <w:r w:rsidR="001A0F4C">
        <w:t>01/17</w:t>
      </w:r>
      <w:r w:rsidR="001A0F4C" w:rsidRPr="00C3320D">
        <w:rPr>
          <w:rFonts w:cs="Arial"/>
          <w:szCs w:val="22"/>
        </w:rPr>
        <w:t xml:space="preserve"> </w:t>
      </w:r>
      <w:hyperlink r:id="rId20" w:history="1">
        <w:r w:rsidR="001A0F4C" w:rsidRPr="00363A48">
          <w:rPr>
            <w:rStyle w:val="Hyperlink"/>
          </w:rPr>
          <w:t>https://www.gov.uk/government/uploads/system/uploads/attachment_data/file/592358/TransparencyPrinciplesFebruary2017.pdf</w:t>
        </w:r>
      </w:hyperlink>
      <w:r w:rsidR="001A0F4C">
        <w:rPr>
          <w:rStyle w:val="Hyperlink"/>
        </w:rPr>
        <w:t xml:space="preserve"> </w:t>
      </w:r>
      <w:r w:rsidR="000A4ADA" w:rsidRPr="00C3320D">
        <w:rPr>
          <w:rFonts w:cs="Arial"/>
          <w:szCs w:val="22"/>
        </w:rPr>
        <w:t>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56" w:name="_Ref313372170"/>
      <w:bookmarkStart w:id="157" w:name="_Toc528926424"/>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56"/>
      <w:r w:rsidR="00A14D96" w:rsidRPr="00C3320D">
        <w:rPr>
          <w:rFonts w:cs="Arial"/>
          <w:szCs w:val="22"/>
        </w:rPr>
        <w:t xml:space="preserve"> AND UNDERTAKINGS</w:t>
      </w:r>
      <w:bookmarkEnd w:id="15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5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5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5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60" w:name="_Ref313373896"/>
      <w:bookmarkStart w:id="161" w:name="_Toc528926425"/>
      <w:r w:rsidRPr="00C3320D">
        <w:rPr>
          <w:rFonts w:cs="Arial"/>
          <w:szCs w:val="22"/>
        </w:rPr>
        <w:t>TERMINATION</w:t>
      </w:r>
      <w:bookmarkEnd w:id="160"/>
      <w:bookmarkEnd w:id="16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62" w:name="_Ref313371016"/>
      <w:r w:rsidRPr="00C3320D">
        <w:rPr>
          <w:rFonts w:cs="Arial"/>
          <w:b/>
          <w:szCs w:val="22"/>
        </w:rPr>
        <w:t>Termination on Insolvency</w:t>
      </w:r>
      <w:bookmarkEnd w:id="16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63" w:name="_Ref313369326"/>
      <w:r w:rsidRPr="00C3320D">
        <w:rPr>
          <w:rFonts w:cs="Arial"/>
          <w:b/>
          <w:szCs w:val="22"/>
        </w:rPr>
        <w:t xml:space="preserve">Termination on </w:t>
      </w:r>
      <w:bookmarkEnd w:id="16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6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6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65" w:name="_Ref313371033"/>
      <w:bookmarkStart w:id="166" w:name="_Ref313369604"/>
      <w:r w:rsidRPr="00C3320D">
        <w:rPr>
          <w:rFonts w:cs="Arial"/>
          <w:b/>
          <w:szCs w:val="22"/>
        </w:rPr>
        <w:t>Termination on Change of Control</w:t>
      </w:r>
      <w:bookmarkEnd w:id="165"/>
    </w:p>
    <w:p w14:paraId="383040C0" w14:textId="77777777" w:rsidR="00BB527F" w:rsidRPr="00C3320D" w:rsidRDefault="00BB527F" w:rsidP="00D40F55">
      <w:pPr>
        <w:pStyle w:val="Heading3"/>
        <w:spacing w:before="120" w:after="120"/>
        <w:rPr>
          <w:rFonts w:cs="Arial"/>
          <w:szCs w:val="22"/>
        </w:rPr>
      </w:pPr>
      <w:bookmarkStart w:id="16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6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6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68" w:name="_Ref313370007"/>
      <w:bookmarkStart w:id="169" w:name="_Toc528926426"/>
      <w:r w:rsidRPr="00C3320D">
        <w:rPr>
          <w:rFonts w:cs="Arial"/>
          <w:szCs w:val="22"/>
        </w:rPr>
        <w:t>CONSEQUENCES OF EXPIRY OR TERMINATION</w:t>
      </w:r>
      <w:bookmarkEnd w:id="168"/>
      <w:bookmarkEnd w:id="16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7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7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7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7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7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7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73" w:name="_Ref313373915"/>
      <w:bookmarkStart w:id="174" w:name="_Toc528926427"/>
      <w:r w:rsidRPr="00C3320D">
        <w:rPr>
          <w:rFonts w:cs="Arial"/>
          <w:szCs w:val="22"/>
        </w:rPr>
        <w:t>PUBLICITY, MEDIA AND OFFICIAL ENQUIRIES</w:t>
      </w:r>
      <w:bookmarkEnd w:id="173"/>
      <w:bookmarkEnd w:id="174"/>
    </w:p>
    <w:p w14:paraId="7B2B5338" w14:textId="77777777" w:rsidR="00F807DC" w:rsidRPr="00C3320D" w:rsidRDefault="007562F7" w:rsidP="00D40F55">
      <w:pPr>
        <w:pStyle w:val="Heading2"/>
        <w:tabs>
          <w:tab w:val="num" w:pos="720"/>
        </w:tabs>
        <w:spacing w:before="120" w:after="120"/>
        <w:ind w:left="720"/>
        <w:rPr>
          <w:rFonts w:cs="Arial"/>
          <w:szCs w:val="22"/>
        </w:rPr>
      </w:pPr>
      <w:bookmarkStart w:id="17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7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76" w:name="_Ref313370019"/>
      <w:bookmarkStart w:id="177" w:name="_Toc528926428"/>
      <w:r w:rsidRPr="00C3320D">
        <w:rPr>
          <w:rFonts w:cs="Arial"/>
          <w:szCs w:val="22"/>
        </w:rPr>
        <w:t xml:space="preserve">PREVENTION OF </w:t>
      </w:r>
      <w:bookmarkEnd w:id="176"/>
      <w:r w:rsidR="00325324" w:rsidRPr="00C3320D">
        <w:rPr>
          <w:rFonts w:cs="Arial"/>
          <w:szCs w:val="22"/>
        </w:rPr>
        <w:t>FRAUD AND BRIBERY</w:t>
      </w:r>
      <w:bookmarkEnd w:id="177"/>
    </w:p>
    <w:p w14:paraId="1F2281DA" w14:textId="77777777" w:rsidR="00DC5B63" w:rsidRPr="00C3320D" w:rsidRDefault="00DC5B63" w:rsidP="00D40F55">
      <w:pPr>
        <w:pStyle w:val="Heading2"/>
        <w:tabs>
          <w:tab w:val="num" w:pos="720"/>
        </w:tabs>
        <w:spacing w:before="120" w:after="120"/>
        <w:ind w:left="720"/>
        <w:rPr>
          <w:rFonts w:cs="Arial"/>
          <w:szCs w:val="22"/>
        </w:rPr>
      </w:pPr>
      <w:bookmarkStart w:id="178" w:name="_Ref360700144"/>
      <w:r w:rsidRPr="00C3320D">
        <w:rPr>
          <w:rFonts w:cs="Arial"/>
          <w:szCs w:val="22"/>
        </w:rPr>
        <w:t>The Supplier represents and warrants that neither it, nor to the best of its knowledge any Supplier Personnel, have at any time prior to the Commencement Date:</w:t>
      </w:r>
      <w:bookmarkEnd w:id="17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7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79"/>
    </w:p>
    <w:p w14:paraId="42343349" w14:textId="77777777" w:rsidR="00DC5B63" w:rsidRPr="00C3320D" w:rsidRDefault="00DC5B63" w:rsidP="00D40F55">
      <w:pPr>
        <w:pStyle w:val="Heading3"/>
        <w:spacing w:before="120" w:after="120"/>
        <w:rPr>
          <w:rFonts w:cs="Arial"/>
          <w:szCs w:val="22"/>
        </w:rPr>
      </w:pPr>
      <w:bookmarkStart w:id="18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8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8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8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8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8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83" w:name="_Toc528926429"/>
      <w:r w:rsidRPr="00C3320D">
        <w:rPr>
          <w:rFonts w:cs="Arial"/>
          <w:szCs w:val="22"/>
        </w:rPr>
        <w:t>NON-DISCRIMINATION</w:t>
      </w:r>
      <w:bookmarkEnd w:id="18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8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85" w:name="_Toc461102337"/>
      <w:bookmarkStart w:id="186" w:name="_Toc461102400"/>
      <w:bookmarkStart w:id="187" w:name="_Toc461102479"/>
      <w:bookmarkStart w:id="188" w:name="_Toc461109646"/>
      <w:bookmarkStart w:id="189" w:name="_Toc461102338"/>
      <w:bookmarkStart w:id="190" w:name="_Toc461102401"/>
      <w:bookmarkStart w:id="191" w:name="_Toc461102480"/>
      <w:bookmarkStart w:id="192" w:name="_Toc461109647"/>
      <w:bookmarkStart w:id="193" w:name="_Toc461102339"/>
      <w:bookmarkStart w:id="194" w:name="_Toc461102402"/>
      <w:bookmarkStart w:id="195" w:name="_Toc461102481"/>
      <w:bookmarkStart w:id="196" w:name="_Toc461109648"/>
      <w:bookmarkStart w:id="197" w:name="_Toc461102340"/>
      <w:bookmarkStart w:id="198" w:name="_Toc461102403"/>
      <w:bookmarkStart w:id="199" w:name="_Toc461102482"/>
      <w:bookmarkStart w:id="200" w:name="_Toc461109649"/>
      <w:bookmarkStart w:id="201" w:name="_Toc461102341"/>
      <w:bookmarkStart w:id="202" w:name="_Toc461102404"/>
      <w:bookmarkStart w:id="203" w:name="_Toc461102483"/>
      <w:bookmarkStart w:id="204" w:name="_Toc461109650"/>
      <w:bookmarkStart w:id="205" w:name="_Toc461102342"/>
      <w:bookmarkStart w:id="206" w:name="_Toc461102405"/>
      <w:bookmarkStart w:id="207" w:name="_Toc461102484"/>
      <w:bookmarkStart w:id="208" w:name="_Toc461109651"/>
      <w:bookmarkStart w:id="209" w:name="_Toc461102343"/>
      <w:bookmarkStart w:id="210" w:name="_Toc461102406"/>
      <w:bookmarkStart w:id="211" w:name="_Toc461102485"/>
      <w:bookmarkStart w:id="212" w:name="_Toc461109652"/>
      <w:bookmarkStart w:id="213" w:name="_Toc461102344"/>
      <w:bookmarkStart w:id="214" w:name="_Toc461102407"/>
      <w:bookmarkStart w:id="215" w:name="_Toc461102486"/>
      <w:bookmarkStart w:id="216" w:name="_Toc461109653"/>
      <w:bookmarkStart w:id="217" w:name="_Toc461102345"/>
      <w:bookmarkStart w:id="218" w:name="_Toc461102408"/>
      <w:bookmarkStart w:id="219" w:name="_Toc461102487"/>
      <w:bookmarkStart w:id="220" w:name="_Toc461109654"/>
      <w:bookmarkStart w:id="221" w:name="_Toc461102346"/>
      <w:bookmarkStart w:id="222" w:name="_Toc461102409"/>
      <w:bookmarkStart w:id="223" w:name="_Toc461102488"/>
      <w:bookmarkStart w:id="224" w:name="_Toc461109655"/>
      <w:bookmarkStart w:id="225" w:name="_Toc461102347"/>
      <w:bookmarkStart w:id="226" w:name="_Toc461102410"/>
      <w:bookmarkStart w:id="227" w:name="_Toc461102489"/>
      <w:bookmarkStart w:id="228" w:name="_Toc461109656"/>
      <w:bookmarkStart w:id="229" w:name="_Toc461102348"/>
      <w:bookmarkStart w:id="230" w:name="_Toc461102411"/>
      <w:bookmarkStart w:id="231" w:name="_Toc461102490"/>
      <w:bookmarkStart w:id="232" w:name="_Toc461109657"/>
      <w:bookmarkStart w:id="233" w:name="_Toc461102349"/>
      <w:bookmarkStart w:id="234" w:name="_Toc461102412"/>
      <w:bookmarkStart w:id="235" w:name="_Toc461102491"/>
      <w:bookmarkStart w:id="236" w:name="_Toc461109658"/>
      <w:bookmarkStart w:id="237" w:name="_Toc528926430"/>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C3320D">
        <w:rPr>
          <w:rFonts w:cs="Arial"/>
          <w:szCs w:val="22"/>
        </w:rPr>
        <w:t>ASSIGNMENT AND NOVATION</w:t>
      </w:r>
      <w:bookmarkEnd w:id="23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3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3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3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3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40" w:name="_Toc528926431"/>
      <w:r w:rsidRPr="00C3320D">
        <w:rPr>
          <w:rFonts w:cs="Arial"/>
          <w:szCs w:val="22"/>
        </w:rPr>
        <w:t>WAIVER</w:t>
      </w:r>
      <w:r w:rsidR="00312EB4" w:rsidRPr="00C3320D">
        <w:rPr>
          <w:rFonts w:cs="Arial"/>
          <w:szCs w:val="22"/>
        </w:rPr>
        <w:t xml:space="preserve"> AND CUMULATIVE REMEDIES</w:t>
      </w:r>
      <w:bookmarkEnd w:id="24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41" w:name="_Toc461102352"/>
      <w:bookmarkStart w:id="242" w:name="_Toc461102415"/>
      <w:bookmarkStart w:id="243" w:name="_Toc461102494"/>
      <w:bookmarkStart w:id="244" w:name="_Toc461109661"/>
      <w:bookmarkStart w:id="245" w:name="_Toc461102353"/>
      <w:bookmarkStart w:id="246" w:name="_Toc461102416"/>
      <w:bookmarkStart w:id="247" w:name="_Toc461102495"/>
      <w:bookmarkStart w:id="248" w:name="_Toc461109662"/>
      <w:bookmarkStart w:id="249" w:name="_Toc461102354"/>
      <w:bookmarkStart w:id="250" w:name="_Toc461102417"/>
      <w:bookmarkStart w:id="251" w:name="_Toc461102496"/>
      <w:bookmarkStart w:id="252" w:name="_Toc461109663"/>
      <w:bookmarkStart w:id="253" w:name="_Toc461102355"/>
      <w:bookmarkStart w:id="254" w:name="_Toc461102418"/>
      <w:bookmarkStart w:id="255" w:name="_Toc461102497"/>
      <w:bookmarkStart w:id="256" w:name="_Toc461109664"/>
      <w:bookmarkStart w:id="257" w:name="_Toc461102356"/>
      <w:bookmarkStart w:id="258" w:name="_Toc461102419"/>
      <w:bookmarkStart w:id="259" w:name="_Toc461102498"/>
      <w:bookmarkStart w:id="260" w:name="_Toc461109665"/>
      <w:bookmarkStart w:id="261" w:name="_Toc528926432"/>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C3320D">
        <w:rPr>
          <w:rFonts w:cs="Arial"/>
          <w:szCs w:val="22"/>
        </w:rPr>
        <w:t>FURTHER ASSURANCES</w:t>
      </w:r>
      <w:bookmarkEnd w:id="26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62" w:name="_Toc528926433"/>
      <w:r w:rsidRPr="00C3320D">
        <w:rPr>
          <w:rFonts w:cs="Arial"/>
          <w:szCs w:val="22"/>
        </w:rPr>
        <w:t>SEVERABILITY</w:t>
      </w:r>
      <w:bookmarkEnd w:id="26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63" w:name="_Toc528926434"/>
      <w:r w:rsidRPr="00C3320D">
        <w:rPr>
          <w:rFonts w:cs="Arial"/>
          <w:szCs w:val="22"/>
        </w:rPr>
        <w:t>RELATIONSHIP OF THE PARTIES</w:t>
      </w:r>
      <w:bookmarkEnd w:id="26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64" w:name="_Toc528926435"/>
      <w:r w:rsidRPr="00C3320D">
        <w:rPr>
          <w:rFonts w:cs="Arial"/>
          <w:szCs w:val="22"/>
        </w:rPr>
        <w:lastRenderedPageBreak/>
        <w:t>ENTIRE AGREEMENT</w:t>
      </w:r>
      <w:bookmarkEnd w:id="264"/>
    </w:p>
    <w:p w14:paraId="1B57DF5A" w14:textId="77777777" w:rsidR="00F807DC" w:rsidRPr="00C3320D" w:rsidRDefault="00837B0E" w:rsidP="00D40F55">
      <w:pPr>
        <w:pStyle w:val="Heading2"/>
        <w:spacing w:before="120" w:after="120"/>
        <w:rPr>
          <w:rFonts w:cs="Arial"/>
          <w:szCs w:val="22"/>
        </w:rPr>
      </w:pPr>
      <w:bookmarkStart w:id="26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65"/>
    </w:p>
    <w:p w14:paraId="15204E5F" w14:textId="77777777" w:rsidR="00F807DC" w:rsidRPr="00C3320D" w:rsidRDefault="007562F7" w:rsidP="00D40F55">
      <w:pPr>
        <w:pStyle w:val="Heading2"/>
        <w:spacing w:before="120" w:after="120"/>
        <w:rPr>
          <w:rFonts w:cs="Arial"/>
          <w:szCs w:val="22"/>
        </w:rPr>
      </w:pPr>
      <w:bookmarkStart w:id="26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6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67" w:name="_Toc461102361"/>
      <w:bookmarkStart w:id="268" w:name="_Toc461102424"/>
      <w:bookmarkStart w:id="269" w:name="_Toc461102503"/>
      <w:bookmarkStart w:id="270" w:name="_Toc461109670"/>
      <w:bookmarkStart w:id="271" w:name="_Toc461102362"/>
      <w:bookmarkStart w:id="272" w:name="_Toc461102425"/>
      <w:bookmarkStart w:id="273" w:name="_Toc461102504"/>
      <w:bookmarkStart w:id="274" w:name="_Toc461109671"/>
      <w:bookmarkStart w:id="275" w:name="_Ref313370095"/>
      <w:bookmarkStart w:id="276" w:name="_Toc528926436"/>
      <w:bookmarkEnd w:id="267"/>
      <w:bookmarkEnd w:id="268"/>
      <w:bookmarkEnd w:id="269"/>
      <w:bookmarkEnd w:id="270"/>
      <w:bookmarkEnd w:id="271"/>
      <w:bookmarkEnd w:id="272"/>
      <w:bookmarkEnd w:id="273"/>
      <w:bookmarkEnd w:id="274"/>
      <w:r w:rsidRPr="00C3320D">
        <w:rPr>
          <w:rFonts w:cs="Arial"/>
          <w:szCs w:val="22"/>
        </w:rPr>
        <w:t>CONTRACTS (RIGHTS OF THIRD PARTIES) ACT</w:t>
      </w:r>
      <w:bookmarkEnd w:id="275"/>
      <w:bookmarkEnd w:id="27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7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78" w:name="_Toc528926437"/>
      <w:r w:rsidRPr="00C3320D">
        <w:rPr>
          <w:rFonts w:cs="Arial"/>
          <w:szCs w:val="22"/>
        </w:rPr>
        <w:t>NOTICES</w:t>
      </w:r>
      <w:bookmarkEnd w:id="277"/>
      <w:bookmarkEnd w:id="27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7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79"/>
    </w:p>
    <w:p w14:paraId="28A053EE" w14:textId="77777777" w:rsidR="00F807DC" w:rsidRPr="00C3320D" w:rsidRDefault="007562F7" w:rsidP="00D40F55">
      <w:pPr>
        <w:pStyle w:val="Heading2"/>
        <w:spacing w:before="120" w:after="120"/>
        <w:rPr>
          <w:rFonts w:cs="Arial"/>
          <w:szCs w:val="22"/>
        </w:rPr>
      </w:pPr>
      <w:bookmarkStart w:id="28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8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81" w:name="_Toc461102365"/>
      <w:bookmarkStart w:id="282" w:name="_Toc461102428"/>
      <w:bookmarkStart w:id="283" w:name="_Toc461102507"/>
      <w:bookmarkStart w:id="284" w:name="_Toc461109674"/>
      <w:bookmarkStart w:id="285" w:name="_Toc314810842"/>
      <w:bookmarkStart w:id="286" w:name="_Toc528926438"/>
      <w:bookmarkEnd w:id="281"/>
      <w:bookmarkEnd w:id="282"/>
      <w:bookmarkEnd w:id="283"/>
      <w:bookmarkEnd w:id="284"/>
      <w:r w:rsidRPr="00C3320D">
        <w:rPr>
          <w:rFonts w:cs="Arial"/>
          <w:szCs w:val="22"/>
        </w:rPr>
        <w:t>DISPUTES AND LAW</w:t>
      </w:r>
      <w:bookmarkEnd w:id="285"/>
      <w:bookmarkEnd w:id="286"/>
    </w:p>
    <w:p w14:paraId="5958DD30" w14:textId="77777777" w:rsidR="00185555" w:rsidRPr="00C3320D" w:rsidRDefault="00185555" w:rsidP="00D40F55">
      <w:pPr>
        <w:pStyle w:val="Heading2"/>
        <w:keepNext/>
        <w:spacing w:before="120" w:after="120"/>
        <w:rPr>
          <w:rFonts w:cs="Arial"/>
          <w:szCs w:val="22"/>
        </w:rPr>
      </w:pPr>
      <w:bookmarkStart w:id="287" w:name="_Ref313370109"/>
      <w:r w:rsidRPr="00C3320D">
        <w:rPr>
          <w:rFonts w:cs="Arial"/>
          <w:szCs w:val="22"/>
        </w:rPr>
        <w:t>Governing Law and Jurisdiction</w:t>
      </w:r>
      <w:bookmarkEnd w:id="28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88" w:name="_Ref313372098"/>
      <w:r w:rsidRPr="00C3320D">
        <w:rPr>
          <w:rFonts w:cs="Arial"/>
          <w:szCs w:val="22"/>
        </w:rPr>
        <w:t>Dispute Resolution</w:t>
      </w:r>
      <w:bookmarkEnd w:id="288"/>
    </w:p>
    <w:p w14:paraId="2F12A5E2" w14:textId="77777777" w:rsidR="00185555" w:rsidRPr="00C3320D" w:rsidRDefault="00185555" w:rsidP="00D40F55">
      <w:pPr>
        <w:pStyle w:val="Heading3"/>
        <w:spacing w:before="120" w:after="120"/>
        <w:rPr>
          <w:rFonts w:cs="Arial"/>
          <w:szCs w:val="22"/>
        </w:rPr>
      </w:pPr>
      <w:bookmarkStart w:id="28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8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90" w:name="_Ref313371432"/>
      <w:r w:rsidRPr="00C3320D">
        <w:rPr>
          <w:rFonts w:cs="Arial"/>
          <w:szCs w:val="22"/>
        </w:rPr>
        <w:t>The procedure for mediation is as follows:</w:t>
      </w:r>
      <w:bookmarkEnd w:id="29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9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9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92" w:name="_Toc127759065"/>
      <w:bookmarkStart w:id="293" w:name="_Toc139080105"/>
      <w:bookmarkStart w:id="294" w:name="_Toc296514644"/>
      <w:bookmarkStart w:id="295" w:name="_Toc297577110"/>
      <w:bookmarkStart w:id="296" w:name="_Toc297577509"/>
      <w:bookmarkStart w:id="297" w:name="_Toc297624436"/>
    </w:p>
    <w:bookmarkEnd w:id="292"/>
    <w:bookmarkEnd w:id="293"/>
    <w:bookmarkEnd w:id="294"/>
    <w:bookmarkEnd w:id="295"/>
    <w:bookmarkEnd w:id="296"/>
    <w:bookmarkEnd w:id="297"/>
    <w:p w14:paraId="5DB68827" w14:textId="77777777" w:rsidR="00F807DC" w:rsidRPr="00C3320D" w:rsidRDefault="00F807DC" w:rsidP="00D40F55">
      <w:pPr>
        <w:pStyle w:val="Heading4"/>
        <w:spacing w:before="120" w:after="120"/>
        <w:rPr>
          <w:rFonts w:cs="Arial"/>
          <w:szCs w:val="22"/>
        </w:rPr>
        <w:sectPr w:rsidR="00F807DC" w:rsidRPr="00C3320D" w:rsidSect="00A512CA">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98" w:name="_Toc431551184"/>
      <w:bookmarkStart w:id="299" w:name="_Toc528926439"/>
      <w:bookmarkStart w:id="300" w:name="bmCompoundReference"/>
      <w:r w:rsidRPr="00C3320D">
        <w:rPr>
          <w:rFonts w:cs="Arial"/>
          <w:szCs w:val="22"/>
        </w:rPr>
        <w:lastRenderedPageBreak/>
        <w:t xml:space="preserve">CONTRACT </w:t>
      </w:r>
      <w:r w:rsidR="00D02ECD" w:rsidRPr="00C3320D">
        <w:rPr>
          <w:rFonts w:cs="Arial"/>
          <w:szCs w:val="22"/>
        </w:rPr>
        <w:t>SCHEDULE 1: DEFINITIONS</w:t>
      </w:r>
      <w:bookmarkEnd w:id="298"/>
      <w:bookmarkEnd w:id="299"/>
    </w:p>
    <w:p w14:paraId="0A0481F9" w14:textId="77777777" w:rsidR="005C28AA" w:rsidRPr="00C3320D" w:rsidRDefault="00D02ECD" w:rsidP="00015443">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015443">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3F6A86B6"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0D0596">
              <w:rPr>
                <w:rFonts w:cs="Arial"/>
                <w:color w:val="000000" w:themeColor="text1"/>
                <w:szCs w:val="22"/>
              </w:rPr>
              <w:t>FaCLS 24/08/2017</w:t>
            </w:r>
            <w:r w:rsidRPr="000D0596">
              <w:rPr>
                <w:rFonts w:cs="Arial"/>
                <w:color w:val="000000" w:themeColor="text1"/>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301" w:author="Sharmin Takin" w:date="2018-10-31T18:30: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015443">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01544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01544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01544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A512CA">
          <w:headerReference w:type="even" r:id="rId21"/>
          <w:headerReference w:type="default" r:id="rId22"/>
          <w:footerReference w:type="even" r:id="rId23"/>
          <w:head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302" w:name="_Ref313382840"/>
      <w:bookmarkStart w:id="303" w:name="_Toc314810852"/>
      <w:bookmarkStart w:id="304" w:name="_Ref349134118"/>
      <w:bookmarkStart w:id="305" w:name="_Toc350503094"/>
      <w:bookmarkStart w:id="306" w:name="_Toc350504084"/>
      <w:bookmarkStart w:id="307" w:name="_Toc351710926"/>
      <w:bookmarkStart w:id="308" w:name="_Toc358671836"/>
      <w:bookmarkStart w:id="309" w:name="_Toc431551203"/>
      <w:bookmarkStart w:id="310" w:name="_Toc528926440"/>
      <w:bookmarkEnd w:id="300"/>
      <w:r w:rsidRPr="00C3320D">
        <w:rPr>
          <w:rFonts w:cs="Arial"/>
          <w:szCs w:val="22"/>
        </w:rPr>
        <w:t xml:space="preserve">CONTRACT </w:t>
      </w:r>
      <w:r w:rsidR="00EE4546" w:rsidRPr="00C3320D">
        <w:rPr>
          <w:rFonts w:cs="Arial"/>
          <w:szCs w:val="22"/>
        </w:rPr>
        <w:t>SCHEDULE 2: EXIT MANAGEMENT</w:t>
      </w:r>
      <w:bookmarkEnd w:id="302"/>
      <w:bookmarkEnd w:id="303"/>
      <w:bookmarkEnd w:id="304"/>
      <w:bookmarkEnd w:id="305"/>
      <w:bookmarkEnd w:id="306"/>
      <w:bookmarkEnd w:id="307"/>
      <w:bookmarkEnd w:id="308"/>
      <w:bookmarkEnd w:id="309"/>
      <w:bookmarkEnd w:id="310"/>
    </w:p>
    <w:p w14:paraId="21C64077" w14:textId="77777777" w:rsidR="00EE4546" w:rsidRPr="00C3320D" w:rsidRDefault="00EE4546" w:rsidP="00015443">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311" w:name="_Ref364241015"/>
      <w:r w:rsidRPr="00C3320D">
        <w:rPr>
          <w:rFonts w:ascii="Arial" w:hAnsi="Arial"/>
        </w:rPr>
        <w:t>create and maintain a Register of all:</w:t>
      </w:r>
      <w:bookmarkEnd w:id="31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31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31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31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31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31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314"/>
    </w:p>
    <w:p w14:paraId="54A9E6BF"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31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1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31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31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31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318" w:name="_Ref364270026"/>
      <w:r w:rsidRPr="00C3320D">
        <w:rPr>
          <w:rFonts w:ascii="Arial" w:hAnsi="Arial"/>
        </w:rPr>
        <w:t>Unless otherwise specified by the Customer or Approved, the Exit Plan shall set out, as a minimum:</w:t>
      </w:r>
      <w:bookmarkEnd w:id="31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17"/>
    <w:p w14:paraId="0A7104E2"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31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31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32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32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32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21"/>
    </w:p>
    <w:p w14:paraId="6D3D33C3" w14:textId="77777777" w:rsidR="00EE4546" w:rsidRPr="00C3320D" w:rsidRDefault="00EE4546" w:rsidP="00D40F55">
      <w:pPr>
        <w:pStyle w:val="GPSL3numberedclause"/>
        <w:rPr>
          <w:rFonts w:ascii="Arial" w:hAnsi="Arial"/>
        </w:rPr>
      </w:pPr>
      <w:bookmarkStart w:id="32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22"/>
    </w:p>
    <w:p w14:paraId="3A36C9B8" w14:textId="77777777" w:rsidR="00EE4546" w:rsidRPr="00C3320D" w:rsidRDefault="00EE4546" w:rsidP="00D40F55">
      <w:pPr>
        <w:pStyle w:val="GPSL3numberedclause"/>
        <w:rPr>
          <w:rFonts w:ascii="Arial" w:hAnsi="Arial"/>
        </w:rPr>
      </w:pPr>
      <w:bookmarkStart w:id="323" w:name="_Ref27372751"/>
      <w:bookmarkStart w:id="324" w:name="_Ref127426020"/>
      <w:r w:rsidRPr="00C3320D">
        <w:rPr>
          <w:rFonts w:ascii="Arial" w:hAnsi="Arial"/>
        </w:rPr>
        <w:t>at the Customer's request and on reasonable notice, deliver up-to-date Registers to the</w:t>
      </w:r>
      <w:bookmarkEnd w:id="323"/>
      <w:r w:rsidRPr="00C3320D">
        <w:rPr>
          <w:rFonts w:ascii="Arial" w:hAnsi="Arial"/>
        </w:rPr>
        <w:t xml:space="preserve"> Customer.</w:t>
      </w:r>
      <w:bookmarkEnd w:id="32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25" w:name="_Ref127352385"/>
      <w:r w:rsidRPr="00C3320D">
        <w:rPr>
          <w:rFonts w:ascii="Arial" w:hAnsi="Arial"/>
        </w:rPr>
        <w:t>The Supplier shall comply with all of its obligations contained in the Exit Plan.</w:t>
      </w:r>
      <w:bookmarkEnd w:id="325"/>
    </w:p>
    <w:p w14:paraId="06A3AE66" w14:textId="77777777" w:rsidR="00EE4546" w:rsidRPr="00C3320D" w:rsidRDefault="00EE4546" w:rsidP="00D40F55">
      <w:pPr>
        <w:pStyle w:val="GPSL2numberedclause"/>
        <w:rPr>
          <w:rFonts w:ascii="Arial" w:hAnsi="Arial"/>
        </w:rPr>
      </w:pPr>
      <w:bookmarkStart w:id="32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2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27" w:name="_DV_M565"/>
      <w:bookmarkEnd w:id="32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2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2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2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29"/>
    </w:p>
    <w:p w14:paraId="0B2342CC" w14:textId="77777777" w:rsidR="00EE4546" w:rsidRPr="00C3320D" w:rsidRDefault="00EE4546" w:rsidP="00015443">
      <w:pPr>
        <w:pStyle w:val="GPSL1SCHEDULEHeading"/>
        <w:numPr>
          <w:ilvl w:val="0"/>
          <w:numId w:val="18"/>
        </w:numPr>
        <w:spacing w:before="120" w:after="120"/>
        <w:rPr>
          <w:rFonts w:ascii="Arial" w:hAnsi="Arial"/>
        </w:rPr>
      </w:pPr>
      <w:bookmarkStart w:id="330" w:name="_Ref127425445"/>
      <w:r w:rsidRPr="00C3320D">
        <w:rPr>
          <w:rFonts w:ascii="Arial" w:hAnsi="Arial"/>
        </w:rPr>
        <w:t xml:space="preserve">ASSETS and SUB-CONTRACTS </w:t>
      </w:r>
      <w:bookmarkEnd w:id="330"/>
    </w:p>
    <w:p w14:paraId="62C6516B" w14:textId="77777777" w:rsidR="00EE4546" w:rsidRPr="00C3320D" w:rsidRDefault="00EE4546" w:rsidP="00D40F55">
      <w:pPr>
        <w:pStyle w:val="GPSL2numberedclause"/>
        <w:rPr>
          <w:rFonts w:ascii="Arial" w:hAnsi="Arial"/>
        </w:rPr>
      </w:pPr>
      <w:bookmarkStart w:id="331" w:name="_Ref127425768"/>
      <w:r w:rsidRPr="00C3320D">
        <w:rPr>
          <w:rFonts w:ascii="Arial" w:hAnsi="Arial"/>
        </w:rPr>
        <w:t>Following notice of termination of this Contract  and during the Termination Assistance Period, the Supplier shall not, without the Customer's prior written consent:</w:t>
      </w:r>
      <w:bookmarkEnd w:id="33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3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32"/>
    </w:p>
    <w:p w14:paraId="70E3987E" w14:textId="77777777" w:rsidR="00EE4546" w:rsidRPr="00C3320D" w:rsidRDefault="00EE4546" w:rsidP="00D40F55">
      <w:pPr>
        <w:pStyle w:val="GPSL3numberedclause"/>
        <w:rPr>
          <w:rFonts w:ascii="Arial" w:hAnsi="Arial"/>
        </w:rPr>
      </w:pPr>
      <w:bookmarkStart w:id="333" w:name="_Ref364352534"/>
      <w:bookmarkStart w:id="33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33"/>
      <w:r w:rsidRPr="00C3320D">
        <w:rPr>
          <w:rFonts w:ascii="Arial" w:hAnsi="Arial"/>
        </w:rPr>
        <w:t xml:space="preserve"> </w:t>
      </w:r>
      <w:bookmarkEnd w:id="334"/>
    </w:p>
    <w:p w14:paraId="665E12EE" w14:textId="77777777" w:rsidR="00EE4546" w:rsidRPr="00C3320D" w:rsidRDefault="00EE4546" w:rsidP="00D40F55">
      <w:pPr>
        <w:pStyle w:val="GPSL3numberedclause"/>
        <w:rPr>
          <w:rFonts w:ascii="Arial" w:hAnsi="Arial"/>
        </w:rPr>
      </w:pPr>
      <w:bookmarkStart w:id="335" w:name="a301038"/>
      <w:bookmarkStart w:id="336" w:name="_Ref364350801"/>
      <w:bookmarkStart w:id="337" w:name="_Ref127958943"/>
      <w:bookmarkEnd w:id="335"/>
      <w:r w:rsidRPr="00C3320D">
        <w:rPr>
          <w:rFonts w:ascii="Arial" w:hAnsi="Arial"/>
        </w:rPr>
        <w:t>which, if any, of:</w:t>
      </w:r>
      <w:bookmarkEnd w:id="33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3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37"/>
      <w:bookmarkEnd w:id="33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3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3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4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41" w:name="_Ref127426673"/>
      <w:bookmarkEnd w:id="34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41"/>
    </w:p>
    <w:p w14:paraId="22A18A65" w14:textId="77777777" w:rsidR="00EE4546" w:rsidRPr="00C3320D" w:rsidRDefault="00EE4546" w:rsidP="00D40F55">
      <w:pPr>
        <w:pStyle w:val="GPSL2numberedclause"/>
        <w:rPr>
          <w:rFonts w:ascii="Arial" w:hAnsi="Arial"/>
        </w:rPr>
      </w:pPr>
      <w:bookmarkStart w:id="34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4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4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43"/>
    </w:p>
    <w:p w14:paraId="74833E86" w14:textId="77777777" w:rsidR="00EE4546" w:rsidRPr="00C3320D" w:rsidRDefault="00EE4546" w:rsidP="00015443">
      <w:pPr>
        <w:pStyle w:val="GPSL1SCHEDULEHeading"/>
        <w:numPr>
          <w:ilvl w:val="0"/>
          <w:numId w:val="18"/>
        </w:numPr>
        <w:spacing w:before="120" w:after="120"/>
        <w:rPr>
          <w:rFonts w:ascii="Arial" w:hAnsi="Arial"/>
        </w:rPr>
      </w:pPr>
      <w:bookmarkStart w:id="344" w:name="_DV_M564"/>
      <w:bookmarkStart w:id="345" w:name="_DV_M566"/>
      <w:bookmarkStart w:id="346" w:name="_DV_M567"/>
      <w:bookmarkEnd w:id="344"/>
      <w:bookmarkEnd w:id="345"/>
      <w:bookmarkEnd w:id="34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015443">
      <w:pPr>
        <w:pStyle w:val="GPSL1SCHEDULEHeading"/>
        <w:numPr>
          <w:ilvl w:val="0"/>
          <w:numId w:val="18"/>
        </w:numPr>
        <w:spacing w:before="120" w:after="120"/>
        <w:rPr>
          <w:rFonts w:ascii="Arial" w:hAnsi="Arial"/>
        </w:rPr>
      </w:pPr>
      <w:bookmarkStart w:id="347" w:name="_Ref127425458"/>
      <w:r w:rsidRPr="00C3320D">
        <w:rPr>
          <w:rFonts w:ascii="Arial" w:hAnsi="Arial"/>
        </w:rPr>
        <w:t xml:space="preserve">CHARGES </w:t>
      </w:r>
      <w:bookmarkEnd w:id="34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015443">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4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49" w:name="_Ref127426852"/>
      <w:r w:rsidRPr="00C3320D">
        <w:rPr>
          <w:rFonts w:ascii="Arial" w:hAnsi="Arial"/>
        </w:rPr>
        <w:t>) as follows:</w:t>
      </w:r>
      <w:bookmarkEnd w:id="348"/>
      <w:bookmarkEnd w:id="34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50" w:name="_Toc431551204"/>
      <w:bookmarkStart w:id="351" w:name="_Toc528926441"/>
      <w:r w:rsidRPr="00C3320D">
        <w:rPr>
          <w:rFonts w:cs="Arial"/>
          <w:szCs w:val="22"/>
        </w:rPr>
        <w:lastRenderedPageBreak/>
        <w:t>CONTRACT SCHEDULE 3: STAFF TRANSFER</w:t>
      </w:r>
      <w:bookmarkEnd w:id="350"/>
      <w:bookmarkEnd w:id="351"/>
    </w:p>
    <w:p w14:paraId="30C43DC8" w14:textId="77777777" w:rsidR="00FA30C4" w:rsidRPr="00C3320D" w:rsidRDefault="00FA30C4" w:rsidP="00015443">
      <w:pPr>
        <w:pStyle w:val="GPSL1CLAUSEHEADING"/>
        <w:numPr>
          <w:ilvl w:val="0"/>
          <w:numId w:val="34"/>
        </w:numPr>
        <w:spacing w:before="120" w:after="120"/>
        <w:rPr>
          <w:rFonts w:ascii="Arial" w:hAnsi="Arial"/>
        </w:rPr>
      </w:pPr>
      <w:bookmarkStart w:id="352" w:name="_Ref384036770"/>
      <w:r w:rsidRPr="00C3320D">
        <w:rPr>
          <w:rFonts w:ascii="Arial" w:hAnsi="Arial"/>
        </w:rPr>
        <w:t>DEFINITIONS</w:t>
      </w:r>
      <w:bookmarkEnd w:id="35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01544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5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53"/>
    </w:p>
    <w:p w14:paraId="6E6E0EFF" w14:textId="77777777" w:rsidR="00FA30C4" w:rsidRPr="00C3320D" w:rsidRDefault="00FA30C4" w:rsidP="00D40F55">
      <w:pPr>
        <w:pStyle w:val="GPSL2numberedclause"/>
        <w:rPr>
          <w:rFonts w:ascii="Arial" w:hAnsi="Arial"/>
        </w:rPr>
      </w:pPr>
      <w:bookmarkStart w:id="35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5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55" w:name="_Toc431551205"/>
      <w:r w:rsidRPr="00C3320D">
        <w:rPr>
          <w:rFonts w:ascii="Arial" w:hAnsi="Arial" w:cs="Arial"/>
        </w:rPr>
        <w:lastRenderedPageBreak/>
        <w:t>ANNEX TO PART A: PENSIONS</w:t>
      </w:r>
      <w:bookmarkEnd w:id="355"/>
    </w:p>
    <w:p w14:paraId="7F1EC1C8" w14:textId="77777777" w:rsidR="00FA30C4" w:rsidRPr="00884ACC" w:rsidRDefault="00FA30C4" w:rsidP="00015443">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5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5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015443">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57" w:name="_Toc431551206"/>
      <w:r w:rsidRPr="00C3320D">
        <w:rPr>
          <w:rFonts w:ascii="Arial" w:hAnsi="Arial" w:cs="Arial"/>
        </w:rPr>
        <w:lastRenderedPageBreak/>
        <w:t>ANNEX TO PART B: Pensions</w:t>
      </w:r>
      <w:bookmarkEnd w:id="357"/>
    </w:p>
    <w:p w14:paraId="5EE2FF19" w14:textId="77777777" w:rsidR="00FA30C4" w:rsidRPr="00DB297D" w:rsidRDefault="00FA30C4" w:rsidP="00015443">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5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5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015443">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015443">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015443">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5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59"/>
    </w:p>
    <w:p w14:paraId="150A7198" w14:textId="77777777" w:rsidR="00A512CA" w:rsidRDefault="00A512CA" w:rsidP="000D0596">
      <w:pPr>
        <w:overflowPunct/>
        <w:autoSpaceDE/>
        <w:autoSpaceDN/>
        <w:adjustRightInd/>
        <w:spacing w:before="120" w:after="120" w:line="240" w:lineRule="auto"/>
        <w:jc w:val="center"/>
        <w:textAlignment w:val="auto"/>
        <w:rPr>
          <w:rFonts w:cs="Arial"/>
          <w:b/>
          <w:szCs w:val="22"/>
        </w:rPr>
      </w:pPr>
    </w:p>
    <w:p w14:paraId="6D9CBF12" w14:textId="74BEBC32" w:rsidR="007F2EC5" w:rsidRPr="00C3320D" w:rsidRDefault="000D0596" w:rsidP="000D0596">
      <w:pPr>
        <w:overflowPunct/>
        <w:autoSpaceDE/>
        <w:autoSpaceDN/>
        <w:adjustRightInd/>
        <w:spacing w:before="120" w:after="120" w:line="240" w:lineRule="auto"/>
        <w:jc w:val="center"/>
        <w:textAlignment w:val="auto"/>
        <w:rPr>
          <w:rFonts w:cs="Arial"/>
          <w:b/>
          <w:szCs w:val="22"/>
          <w:lang w:eastAsia="en-GB"/>
        </w:rPr>
      </w:pPr>
      <w:r>
        <w:rPr>
          <w:rFonts w:cs="Arial"/>
          <w:b/>
          <w:szCs w:val="22"/>
        </w:rPr>
        <w:t>Not applicable.</w:t>
      </w:r>
      <w:r w:rsidR="007F2EC5"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60" w:name="_Toc431551210"/>
      <w:bookmarkStart w:id="361" w:name="_Toc528926442"/>
      <w:r w:rsidRPr="00C3320D">
        <w:rPr>
          <w:rFonts w:cs="Arial"/>
          <w:szCs w:val="22"/>
        </w:rPr>
        <w:lastRenderedPageBreak/>
        <w:t>CONTRACT SCHEDULE 4: TRANSPARENCY REPORTS</w:t>
      </w:r>
      <w:bookmarkEnd w:id="360"/>
      <w:bookmarkEnd w:id="361"/>
    </w:p>
    <w:p w14:paraId="0C8680FC" w14:textId="77777777" w:rsidR="007F2EC5" w:rsidRPr="00C3320D" w:rsidRDefault="005A3C1B" w:rsidP="00015443">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62" w:name="_Toc431551211"/>
      <w:r w:rsidRPr="00C3320D">
        <w:rPr>
          <w:rFonts w:ascii="Arial" w:hAnsi="Arial" w:cs="Arial"/>
        </w:rPr>
        <w:lastRenderedPageBreak/>
        <w:t>ANNEX 1: LIST OF TRANSPARENCY REPORTS</w:t>
      </w:r>
      <w:bookmarkEnd w:id="36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FB414C0"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3A8CFE1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DFD7BD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1084069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33FDF73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3101FE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3498E80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690AEB9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62FC50B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04B1BFB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3215C38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07F9D96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1716C87F"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601675D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8B2D04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5EED2F9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4C46F6F0"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597C3B8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E04FB9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035B81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A512CA">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4E439" w14:textId="77777777" w:rsidR="005560B9" w:rsidRDefault="005560B9">
      <w:pPr>
        <w:spacing w:after="0" w:line="20" w:lineRule="exact"/>
      </w:pPr>
    </w:p>
  </w:endnote>
  <w:endnote w:type="continuationSeparator" w:id="0">
    <w:p w14:paraId="42B5F949" w14:textId="77777777" w:rsidR="005560B9" w:rsidRDefault="005560B9">
      <w:pPr>
        <w:spacing w:after="0" w:line="20" w:lineRule="exact"/>
      </w:pPr>
    </w:p>
  </w:endnote>
  <w:endnote w:type="continuationNotice" w:id="1">
    <w:p w14:paraId="79DB3053" w14:textId="77777777" w:rsidR="005560B9" w:rsidRDefault="005560B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1554AC" w:rsidRDefault="001554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554AC" w:rsidRDefault="001554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554AC" w:rsidRDefault="001554A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316DCED8" w:rsidR="001554AC" w:rsidRPr="00E54326" w:rsidRDefault="001554AC" w:rsidP="00D35C2B">
    <w:pPr>
      <w:pStyle w:val="Footer"/>
      <w:jc w:val="left"/>
      <w:rPr>
        <w:sz w:val="16"/>
        <w:szCs w:val="16"/>
      </w:rPr>
    </w:pPr>
    <w:r w:rsidRPr="00E54326">
      <w:rPr>
        <w:sz w:val="16"/>
        <w:szCs w:val="16"/>
      </w:rPr>
      <w:t xml:space="preserve">RM3787 Panel – Version 1 </w:t>
    </w:r>
  </w:p>
  <w:p w14:paraId="4259A12B" w14:textId="438A39B7" w:rsidR="001554AC" w:rsidRPr="00E54326" w:rsidRDefault="001554AC" w:rsidP="00D35C2B">
    <w:pPr>
      <w:pStyle w:val="Footer"/>
      <w:jc w:val="left"/>
      <w:rPr>
        <w:sz w:val="16"/>
        <w:szCs w:val="16"/>
      </w:rPr>
    </w:pPr>
    <w:r w:rsidRPr="00E54326">
      <w:rPr>
        <w:sz w:val="16"/>
        <w:szCs w:val="16"/>
      </w:rPr>
      <w:t>Attachment 8 Panel Agreement Schedule 4 – Finance and Complex Legal Services Contract and Order Form</w:t>
    </w:r>
  </w:p>
  <w:p w14:paraId="0388C5B1" w14:textId="3519B28A" w:rsidR="001554AC" w:rsidRPr="00E54326" w:rsidRDefault="001554AC" w:rsidP="00D35C2B">
    <w:pPr>
      <w:pStyle w:val="Footer"/>
      <w:jc w:val="left"/>
      <w:rPr>
        <w:sz w:val="16"/>
        <w:szCs w:val="16"/>
      </w:rPr>
    </w:pPr>
    <w:r w:rsidRPr="00E54326">
      <w:rPr>
        <w:sz w:val="16"/>
        <w:szCs w:val="16"/>
      </w:rPr>
      <w:t xml:space="preserve">CCLL18A06 – The Provision of Specialist Legal Advice on Complex Financial Activities for Her Majesty’s Treasury </w:t>
    </w:r>
  </w:p>
  <w:p w14:paraId="70F2FF03" w14:textId="624A7F86" w:rsidR="001554AC" w:rsidRPr="00D35C2B" w:rsidRDefault="001554AC" w:rsidP="00D35C2B">
    <w:pPr>
      <w:pStyle w:val="Footer"/>
      <w:jc w:val="left"/>
      <w:rPr>
        <w:rFonts w:cs="Arial"/>
        <w:sz w:val="16"/>
        <w:szCs w:val="19"/>
        <w:shd w:val="clear" w:color="auto" w:fill="FFFFFF"/>
      </w:rPr>
    </w:pPr>
    <w:r w:rsidRPr="00E54326">
      <w:rPr>
        <w:rFonts w:cs="Arial"/>
        <w:sz w:val="16"/>
        <w:szCs w:val="19"/>
        <w:shd w:val="clear" w:color="auto" w:fill="FFFFFF"/>
      </w:rPr>
      <w:t>© Crown copyright 2017</w:t>
    </w:r>
  </w:p>
  <w:p w14:paraId="6B8871A6" w14:textId="54A2BBEC" w:rsidR="001554AC" w:rsidRDefault="005560B9" w:rsidP="00D35C2B">
    <w:pPr>
      <w:pStyle w:val="Footer"/>
      <w:jc w:val="center"/>
    </w:pPr>
    <w:sdt>
      <w:sdtPr>
        <w:id w:val="-1144888219"/>
        <w:docPartObj>
          <w:docPartGallery w:val="Page Numbers (Bottom of Page)"/>
          <w:docPartUnique/>
        </w:docPartObj>
      </w:sdtPr>
      <w:sdtEndPr>
        <w:rPr>
          <w:noProof/>
        </w:rPr>
      </w:sdtEndPr>
      <w:sdtContent>
        <w:r w:rsidR="001554AC">
          <w:fldChar w:fldCharType="begin"/>
        </w:r>
        <w:r w:rsidR="001554AC">
          <w:instrText xml:space="preserve"> PAGE   \* MERGEFORMAT </w:instrText>
        </w:r>
        <w:r w:rsidR="001554AC">
          <w:fldChar w:fldCharType="separate"/>
        </w:r>
        <w:r w:rsidR="006E2019">
          <w:rPr>
            <w:noProof/>
          </w:rPr>
          <w:t>23</w:t>
        </w:r>
        <w:r w:rsidR="001554A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1554AC" w:rsidRPr="00D35C2B" w:rsidRDefault="001554AC"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554AC" w:rsidRPr="00D35C2B" w:rsidRDefault="001554AC"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554AC" w:rsidRPr="00D35C2B" w:rsidRDefault="001554AC"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554AC" w:rsidRPr="00D35C2B" w:rsidRDefault="001554AC"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554AC" w:rsidRDefault="005560B9" w:rsidP="00353A2B">
    <w:pPr>
      <w:pStyle w:val="Footer"/>
      <w:jc w:val="center"/>
    </w:pPr>
    <w:sdt>
      <w:sdtPr>
        <w:id w:val="1363323381"/>
        <w:docPartObj>
          <w:docPartGallery w:val="Page Numbers (Bottom of Page)"/>
          <w:docPartUnique/>
        </w:docPartObj>
      </w:sdtPr>
      <w:sdtEndPr>
        <w:rPr>
          <w:noProof/>
        </w:rPr>
      </w:sdtEndPr>
      <w:sdtContent>
        <w:r w:rsidR="001554AC">
          <w:fldChar w:fldCharType="begin"/>
        </w:r>
        <w:r w:rsidR="001554AC">
          <w:instrText xml:space="preserve"> PAGE   \* MERGEFORMAT </w:instrText>
        </w:r>
        <w:r w:rsidR="001554AC">
          <w:fldChar w:fldCharType="separate"/>
        </w:r>
        <w:r w:rsidR="001554AC">
          <w:rPr>
            <w:noProof/>
          </w:rPr>
          <w:t>48</w:t>
        </w:r>
        <w:r w:rsidR="001554AC">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1554AC" w:rsidRDefault="001554A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554AC" w:rsidRDefault="001554A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554AC" w:rsidRDefault="001554AC"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A6212" w14:textId="77777777" w:rsidR="005560B9" w:rsidRDefault="005560B9">
      <w:pPr>
        <w:spacing w:after="0" w:line="240" w:lineRule="auto"/>
      </w:pPr>
      <w:r>
        <w:separator/>
      </w:r>
    </w:p>
  </w:footnote>
  <w:footnote w:type="continuationSeparator" w:id="0">
    <w:p w14:paraId="0B72FE70" w14:textId="77777777" w:rsidR="005560B9" w:rsidRDefault="005560B9">
      <w:pPr>
        <w:spacing w:after="0" w:line="240" w:lineRule="auto"/>
      </w:pPr>
      <w:r>
        <w:continuationSeparator/>
      </w:r>
    </w:p>
  </w:footnote>
  <w:footnote w:type="continuationNotice" w:id="1">
    <w:p w14:paraId="3BA723EB" w14:textId="77777777" w:rsidR="005560B9" w:rsidRDefault="005560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1554AC" w:rsidRDefault="001554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1554AC" w:rsidRDefault="001554AC"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1554AC" w:rsidRDefault="001554AC"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1554AC" w:rsidRDefault="001554A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1554AC" w:rsidRDefault="001554AC"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1554AC" w:rsidRDefault="001554AC"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05B60F6"/>
    <w:multiLevelType w:val="hybridMultilevel"/>
    <w:tmpl w:val="34A4CFA2"/>
    <w:lvl w:ilvl="0" w:tplc="F416AE9A">
      <w:start w:val="1"/>
      <w:numFmt w:val="bullet"/>
      <w:lvlText w:val="•"/>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27EC0">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98F9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8E4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4406">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088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F0C51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8C904">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F8F102">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C43A7C"/>
    <w:multiLevelType w:val="hybridMultilevel"/>
    <w:tmpl w:val="B0D09672"/>
    <w:lvl w:ilvl="0" w:tplc="0C5A14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89B4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8E4A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6CCFF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CAB5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0E480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25CD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C4D2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3C96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D40F4E"/>
    <w:multiLevelType w:val="hybridMultilevel"/>
    <w:tmpl w:val="B5980408"/>
    <w:lvl w:ilvl="0" w:tplc="FA366E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7811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056E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48CE5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A4F3E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7EF62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860F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38B33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60B26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0"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D6789"/>
    <w:multiLevelType w:val="hybridMultilevel"/>
    <w:tmpl w:val="8A623C04"/>
    <w:lvl w:ilvl="0" w:tplc="DB06184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8D102">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0CD2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243E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068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04CF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0F61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4E3A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6ABF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66433C9"/>
    <w:multiLevelType w:val="hybridMultilevel"/>
    <w:tmpl w:val="E7C2B468"/>
    <w:lvl w:ilvl="0" w:tplc="6EB0C8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CC94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66AC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80562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C31C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845B9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8981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CF80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D47B0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7" w15:restartNumberingAfterBreak="0">
    <w:nsid w:val="1B6D6BDB"/>
    <w:multiLevelType w:val="hybridMultilevel"/>
    <w:tmpl w:val="FAA8BE36"/>
    <w:lvl w:ilvl="0" w:tplc="AEBAABB8">
      <w:start w:val="1"/>
      <w:numFmt w:val="bullet"/>
      <w:lvlText w:val="•"/>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46C42">
      <w:start w:val="1"/>
      <w:numFmt w:val="bullet"/>
      <w:lvlText w:val="o"/>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4A992">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0295A4">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8197A">
      <w:start w:val="1"/>
      <w:numFmt w:val="bullet"/>
      <w:lvlText w:val="o"/>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E6D2DC">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0E7BCE">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263AC">
      <w:start w:val="1"/>
      <w:numFmt w:val="bullet"/>
      <w:lvlText w:val="o"/>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F83472">
      <w:start w:val="1"/>
      <w:numFmt w:val="bullet"/>
      <w:lvlText w:val="▪"/>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3854AC"/>
    <w:multiLevelType w:val="hybridMultilevel"/>
    <w:tmpl w:val="2FC4D09A"/>
    <w:lvl w:ilvl="0" w:tplc="2EA49E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C473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62CA0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3A458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AB3B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4CC78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4CFEE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C8D13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CE74D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1466F1"/>
    <w:multiLevelType w:val="hybridMultilevel"/>
    <w:tmpl w:val="093814FA"/>
    <w:lvl w:ilvl="0" w:tplc="F75C167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2F206">
      <w:start w:val="1"/>
      <w:numFmt w:val="bullet"/>
      <w:lvlText w:val="o"/>
      <w:lvlJc w:val="left"/>
      <w:pPr>
        <w:ind w:left="1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B4741A">
      <w:start w:val="1"/>
      <w:numFmt w:val="bullet"/>
      <w:lvlText w:val="▪"/>
      <w:lvlJc w:val="left"/>
      <w:pPr>
        <w:ind w:left="1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453DE">
      <w:start w:val="1"/>
      <w:numFmt w:val="bullet"/>
      <w:lvlText w:val="•"/>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1A00D6">
      <w:start w:val="1"/>
      <w:numFmt w:val="bullet"/>
      <w:lvlText w:val="o"/>
      <w:lvlJc w:val="left"/>
      <w:pPr>
        <w:ind w:left="3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2EC336">
      <w:start w:val="1"/>
      <w:numFmt w:val="bullet"/>
      <w:lvlText w:val="▪"/>
      <w:lvlJc w:val="left"/>
      <w:pPr>
        <w:ind w:left="4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B67146">
      <w:start w:val="1"/>
      <w:numFmt w:val="bullet"/>
      <w:lvlText w:val="•"/>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1439CE">
      <w:start w:val="1"/>
      <w:numFmt w:val="bullet"/>
      <w:lvlText w:val="o"/>
      <w:lvlJc w:val="left"/>
      <w:pPr>
        <w:ind w:left="5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1A13E6">
      <w:start w:val="1"/>
      <w:numFmt w:val="bullet"/>
      <w:lvlText w:val="▪"/>
      <w:lvlJc w:val="left"/>
      <w:pPr>
        <w:ind w:left="6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EA36C08"/>
    <w:multiLevelType w:val="hybridMultilevel"/>
    <w:tmpl w:val="953A421C"/>
    <w:lvl w:ilvl="0" w:tplc="A162995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E8AF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2CD88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A830C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A684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6D66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58A05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0652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B898D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25423D"/>
    <w:multiLevelType w:val="hybridMultilevel"/>
    <w:tmpl w:val="C2862F5E"/>
    <w:lvl w:ilvl="0" w:tplc="6F5EFED8">
      <w:start w:val="1"/>
      <w:numFmt w:val="upperRoman"/>
      <w:lvlText w:val="%1."/>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67000">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867A8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A413A2">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F8C7A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5EC2E0">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683EE">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AA6BA">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C4AF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5" w15:restartNumberingAfterBreak="0">
    <w:nsid w:val="30530BD8"/>
    <w:multiLevelType w:val="hybridMultilevel"/>
    <w:tmpl w:val="FFD42770"/>
    <w:lvl w:ilvl="0" w:tplc="7D604806">
      <w:start w:val="1"/>
      <w:numFmt w:val="bullet"/>
      <w:lvlText w:val="•"/>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C07F4">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3626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E911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EF040">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F0B2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4B90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290A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8AC12C">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D03E08"/>
    <w:multiLevelType w:val="hybridMultilevel"/>
    <w:tmpl w:val="CED8E1FE"/>
    <w:lvl w:ilvl="0" w:tplc="49B2C51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252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E0C0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06C8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8A2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26E8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2DB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8A72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CE61C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FD3EE6"/>
    <w:multiLevelType w:val="hybridMultilevel"/>
    <w:tmpl w:val="85A80B5C"/>
    <w:lvl w:ilvl="0" w:tplc="4AA4F1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C06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4A2B2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00F62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8230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7AE5C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FC833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6DEB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26BDB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A27B79"/>
    <w:multiLevelType w:val="hybridMultilevel"/>
    <w:tmpl w:val="6B1A5350"/>
    <w:lvl w:ilvl="0" w:tplc="8E1C593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25A7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03A1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0A909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CE71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40714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CF7A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B73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B64E3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2" w15:restartNumberingAfterBreak="0">
    <w:nsid w:val="438F7B5C"/>
    <w:multiLevelType w:val="hybridMultilevel"/>
    <w:tmpl w:val="773813A6"/>
    <w:lvl w:ilvl="0" w:tplc="2C5AE31E">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E3D3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5411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B46BC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64D0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891C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FA7E1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AA93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12C21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63B1B1E"/>
    <w:multiLevelType w:val="hybridMultilevel"/>
    <w:tmpl w:val="1A6ADA88"/>
    <w:lvl w:ilvl="0" w:tplc="165413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781B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672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A50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A68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74E3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AB1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39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B649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8"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9" w15:restartNumberingAfterBreak="0">
    <w:nsid w:val="5D2C2092"/>
    <w:multiLevelType w:val="hybridMultilevel"/>
    <w:tmpl w:val="7F44B26C"/>
    <w:lvl w:ilvl="0" w:tplc="6EAC1A5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C834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C2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A1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E15C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32A14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E8A5A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603D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ABCCE">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2" w15:restartNumberingAfterBreak="0">
    <w:nsid w:val="60DB024D"/>
    <w:multiLevelType w:val="hybridMultilevel"/>
    <w:tmpl w:val="DFA6A396"/>
    <w:lvl w:ilvl="0" w:tplc="50F67BF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427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E469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E074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AF2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382D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847F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438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E8A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1665B57"/>
    <w:multiLevelType w:val="hybridMultilevel"/>
    <w:tmpl w:val="C9EE292A"/>
    <w:lvl w:ilvl="0" w:tplc="94A286B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3E0B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2B0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D691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029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D8A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0E45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ACD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0AD4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4042DDB"/>
    <w:multiLevelType w:val="hybridMultilevel"/>
    <w:tmpl w:val="E05264B2"/>
    <w:lvl w:ilvl="0" w:tplc="82325F2E">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18D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9046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653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40F4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D879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0C2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4B9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5608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2B6793"/>
    <w:multiLevelType w:val="hybridMultilevel"/>
    <w:tmpl w:val="9D4C1040"/>
    <w:lvl w:ilvl="0" w:tplc="BCF21090">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C231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5EEBA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C6F0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EC45BC">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68136">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D687E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8932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233A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AC453A"/>
    <w:multiLevelType w:val="hybridMultilevel"/>
    <w:tmpl w:val="EC8C7B72"/>
    <w:lvl w:ilvl="0" w:tplc="320AF5B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E07A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FE40B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5A925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8A41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8707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1EAD00">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4DB4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F8FEF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B42E5B"/>
    <w:multiLevelType w:val="hybridMultilevel"/>
    <w:tmpl w:val="045C91B4"/>
    <w:lvl w:ilvl="0" w:tplc="217255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63B8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4E1F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0E2E0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0EC7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AF28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2CE7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AF6B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0D95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8B63089"/>
    <w:multiLevelType w:val="hybridMultilevel"/>
    <w:tmpl w:val="83E456B2"/>
    <w:lvl w:ilvl="0" w:tplc="4CC451E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28AE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98D45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D8970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54A53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1ADFB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C2C3B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2A11C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8E1B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5"/>
  </w:num>
  <w:num w:numId="3">
    <w:abstractNumId w:val="24"/>
  </w:num>
  <w:num w:numId="4">
    <w:abstractNumId w:val="16"/>
  </w:num>
  <w:num w:numId="5">
    <w:abstractNumId w:val="5"/>
  </w:num>
  <w:num w:numId="6">
    <w:abstractNumId w:val="41"/>
  </w:num>
  <w:num w:numId="7">
    <w:abstractNumId w:val="31"/>
  </w:num>
  <w:num w:numId="8">
    <w:abstractNumId w:val="9"/>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0"/>
  </w:num>
  <w:num w:numId="16">
    <w:abstractNumId w:val="14"/>
  </w:num>
  <w:num w:numId="17">
    <w:abstractNumId w:val="37"/>
  </w:num>
  <w:num w:numId="18">
    <w:abstractNumId w:val="50"/>
  </w:num>
  <w:num w:numId="19">
    <w:abstractNumId w:val="19"/>
  </w:num>
  <w:num w:numId="20">
    <w:abstractNumId w:val="47"/>
  </w:num>
  <w:num w:numId="21">
    <w:abstractNumId w:val="5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7"/>
  </w:num>
  <w:num w:numId="25">
    <w:abstractNumId w:val="51"/>
  </w:num>
  <w:num w:numId="26">
    <w:abstractNumId w:val="44"/>
  </w:num>
  <w:num w:numId="27">
    <w:abstractNumId w:val="11"/>
  </w:num>
  <w:num w:numId="28">
    <w:abstractNumId w:val="34"/>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2"/>
  </w:num>
  <w:num w:numId="44">
    <w:abstractNumId w:val="39"/>
  </w:num>
  <w:num w:numId="45">
    <w:abstractNumId w:val="46"/>
  </w:num>
  <w:num w:numId="46">
    <w:abstractNumId w:val="52"/>
  </w:num>
  <w:num w:numId="47">
    <w:abstractNumId w:val="15"/>
  </w:num>
  <w:num w:numId="48">
    <w:abstractNumId w:val="13"/>
  </w:num>
  <w:num w:numId="49">
    <w:abstractNumId w:val="33"/>
  </w:num>
  <w:num w:numId="50">
    <w:abstractNumId w:val="42"/>
  </w:num>
  <w:num w:numId="51">
    <w:abstractNumId w:val="45"/>
  </w:num>
  <w:num w:numId="52">
    <w:abstractNumId w:val="43"/>
  </w:num>
  <w:num w:numId="53">
    <w:abstractNumId w:val="20"/>
  </w:num>
  <w:num w:numId="54">
    <w:abstractNumId w:val="29"/>
  </w:num>
  <w:num w:numId="55">
    <w:abstractNumId w:val="21"/>
  </w:num>
  <w:num w:numId="56">
    <w:abstractNumId w:val="48"/>
  </w:num>
  <w:num w:numId="57">
    <w:abstractNumId w:val="26"/>
  </w:num>
  <w:num w:numId="58">
    <w:abstractNumId w:val="6"/>
  </w:num>
  <w:num w:numId="59">
    <w:abstractNumId w:val="25"/>
  </w:num>
  <w:num w:numId="60">
    <w:abstractNumId w:val="17"/>
  </w:num>
  <w:num w:numId="61">
    <w:abstractNumId w:val="32"/>
  </w:num>
  <w:num w:numId="62">
    <w:abstractNumId w:val="23"/>
  </w:num>
  <w:num w:numId="63">
    <w:abstractNumId w:val="8"/>
  </w:num>
  <w:num w:numId="64">
    <w:abstractNumId w:val="7"/>
  </w:num>
  <w:num w:numId="65">
    <w:abstractNumId w:val="49"/>
  </w:num>
  <w:num w:numId="66">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15443"/>
    <w:rsid w:val="00020AA9"/>
    <w:rsid w:val="00021D24"/>
    <w:rsid w:val="00023EAE"/>
    <w:rsid w:val="00024671"/>
    <w:rsid w:val="000326BE"/>
    <w:rsid w:val="00035EDD"/>
    <w:rsid w:val="000407CD"/>
    <w:rsid w:val="00043FF7"/>
    <w:rsid w:val="0004608A"/>
    <w:rsid w:val="00050B79"/>
    <w:rsid w:val="00051801"/>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0596"/>
    <w:rsid w:val="000D3316"/>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554AC"/>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0F4C"/>
    <w:rsid w:val="001A35D3"/>
    <w:rsid w:val="001B18A6"/>
    <w:rsid w:val="001B19F4"/>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276FD"/>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6D07"/>
    <w:rsid w:val="00267E7F"/>
    <w:rsid w:val="002750B7"/>
    <w:rsid w:val="002817E8"/>
    <w:rsid w:val="00281958"/>
    <w:rsid w:val="00281A57"/>
    <w:rsid w:val="00282BAC"/>
    <w:rsid w:val="00283258"/>
    <w:rsid w:val="0028365E"/>
    <w:rsid w:val="0028447A"/>
    <w:rsid w:val="00285594"/>
    <w:rsid w:val="00290BBA"/>
    <w:rsid w:val="002A3CE4"/>
    <w:rsid w:val="002A459F"/>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24D4"/>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0B9"/>
    <w:rsid w:val="00556C97"/>
    <w:rsid w:val="00557327"/>
    <w:rsid w:val="00557C0A"/>
    <w:rsid w:val="00562F14"/>
    <w:rsid w:val="00567164"/>
    <w:rsid w:val="00574287"/>
    <w:rsid w:val="00577AD8"/>
    <w:rsid w:val="00585E76"/>
    <w:rsid w:val="00585F0F"/>
    <w:rsid w:val="00587CC9"/>
    <w:rsid w:val="00591381"/>
    <w:rsid w:val="005916DD"/>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47D8B"/>
    <w:rsid w:val="00657F73"/>
    <w:rsid w:val="00660859"/>
    <w:rsid w:val="0066431A"/>
    <w:rsid w:val="00664DA6"/>
    <w:rsid w:val="006668C6"/>
    <w:rsid w:val="006675DA"/>
    <w:rsid w:val="00667CA8"/>
    <w:rsid w:val="00670316"/>
    <w:rsid w:val="00672E4A"/>
    <w:rsid w:val="00673FCF"/>
    <w:rsid w:val="006754E6"/>
    <w:rsid w:val="00676C61"/>
    <w:rsid w:val="00676DF3"/>
    <w:rsid w:val="0068141A"/>
    <w:rsid w:val="00681AFA"/>
    <w:rsid w:val="00684A6E"/>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019"/>
    <w:rsid w:val="006E2D22"/>
    <w:rsid w:val="006E6177"/>
    <w:rsid w:val="006F2A29"/>
    <w:rsid w:val="006F449C"/>
    <w:rsid w:val="00701646"/>
    <w:rsid w:val="00703DAB"/>
    <w:rsid w:val="00704545"/>
    <w:rsid w:val="0070559B"/>
    <w:rsid w:val="007064FA"/>
    <w:rsid w:val="00706BB4"/>
    <w:rsid w:val="007103EA"/>
    <w:rsid w:val="00710BA7"/>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97539"/>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13A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52D4"/>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6CAD"/>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6A90"/>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2CA"/>
    <w:rsid w:val="00A5137B"/>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6E0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0215"/>
    <w:rsid w:val="00BC6D91"/>
    <w:rsid w:val="00BD18CB"/>
    <w:rsid w:val="00BD196F"/>
    <w:rsid w:val="00BD4249"/>
    <w:rsid w:val="00BD51EE"/>
    <w:rsid w:val="00BE0F08"/>
    <w:rsid w:val="00BE4A7F"/>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5A40"/>
    <w:rsid w:val="00C66F03"/>
    <w:rsid w:val="00C70018"/>
    <w:rsid w:val="00C70928"/>
    <w:rsid w:val="00C741B5"/>
    <w:rsid w:val="00C74DBB"/>
    <w:rsid w:val="00C80CF5"/>
    <w:rsid w:val="00C84E27"/>
    <w:rsid w:val="00C86D98"/>
    <w:rsid w:val="00C901FE"/>
    <w:rsid w:val="00C9147E"/>
    <w:rsid w:val="00C916CB"/>
    <w:rsid w:val="00C93116"/>
    <w:rsid w:val="00C93E36"/>
    <w:rsid w:val="00C943EE"/>
    <w:rsid w:val="00C9591C"/>
    <w:rsid w:val="00C959B0"/>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24BA"/>
    <w:rsid w:val="00CE382C"/>
    <w:rsid w:val="00CE695E"/>
    <w:rsid w:val="00CF141A"/>
    <w:rsid w:val="00CF17A5"/>
    <w:rsid w:val="00CF2032"/>
    <w:rsid w:val="00CF3808"/>
    <w:rsid w:val="00CF486B"/>
    <w:rsid w:val="00CF5051"/>
    <w:rsid w:val="00CF624F"/>
    <w:rsid w:val="00D02ECD"/>
    <w:rsid w:val="00D0322C"/>
    <w:rsid w:val="00D03649"/>
    <w:rsid w:val="00D04218"/>
    <w:rsid w:val="00D116DA"/>
    <w:rsid w:val="00D17E9D"/>
    <w:rsid w:val="00D22FEA"/>
    <w:rsid w:val="00D2634C"/>
    <w:rsid w:val="00D35C2B"/>
    <w:rsid w:val="00D40F55"/>
    <w:rsid w:val="00D438A8"/>
    <w:rsid w:val="00D43DAE"/>
    <w:rsid w:val="00D60F10"/>
    <w:rsid w:val="00D6139B"/>
    <w:rsid w:val="00D619A8"/>
    <w:rsid w:val="00D633AC"/>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2588"/>
    <w:rsid w:val="00DA3265"/>
    <w:rsid w:val="00DA459C"/>
    <w:rsid w:val="00DA6CF2"/>
    <w:rsid w:val="00DA7C65"/>
    <w:rsid w:val="00DB0EF7"/>
    <w:rsid w:val="00DB1177"/>
    <w:rsid w:val="00DB297D"/>
    <w:rsid w:val="00DB3DDB"/>
    <w:rsid w:val="00DB69B6"/>
    <w:rsid w:val="00DB6AA1"/>
    <w:rsid w:val="00DC0285"/>
    <w:rsid w:val="00DC07AB"/>
    <w:rsid w:val="00DC14FB"/>
    <w:rsid w:val="00DC538C"/>
    <w:rsid w:val="00DC5B63"/>
    <w:rsid w:val="00DC77FB"/>
    <w:rsid w:val="00DD17E4"/>
    <w:rsid w:val="00DE0C34"/>
    <w:rsid w:val="00DE6596"/>
    <w:rsid w:val="00DE7E2F"/>
    <w:rsid w:val="00DF0945"/>
    <w:rsid w:val="00DF678C"/>
    <w:rsid w:val="00E013A7"/>
    <w:rsid w:val="00E04FE6"/>
    <w:rsid w:val="00E10094"/>
    <w:rsid w:val="00E100C3"/>
    <w:rsid w:val="00E10F3C"/>
    <w:rsid w:val="00E13980"/>
    <w:rsid w:val="00E17C21"/>
    <w:rsid w:val="00E20296"/>
    <w:rsid w:val="00E22CE8"/>
    <w:rsid w:val="00E27721"/>
    <w:rsid w:val="00E27A80"/>
    <w:rsid w:val="00E32EE6"/>
    <w:rsid w:val="00E3495B"/>
    <w:rsid w:val="00E35350"/>
    <w:rsid w:val="00E4177A"/>
    <w:rsid w:val="00E42361"/>
    <w:rsid w:val="00E42515"/>
    <w:rsid w:val="00E477FF"/>
    <w:rsid w:val="00E51AEE"/>
    <w:rsid w:val="00E54326"/>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1E2B"/>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1F89"/>
    <w:rsid w:val="00F82FF9"/>
    <w:rsid w:val="00F861D6"/>
    <w:rsid w:val="00F90EDE"/>
    <w:rsid w:val="00F91B81"/>
    <w:rsid w:val="00F93BF1"/>
    <w:rsid w:val="00F9433E"/>
    <w:rsid w:val="00F944DA"/>
    <w:rsid w:val="00F94552"/>
    <w:rsid w:val="00F945EE"/>
    <w:rsid w:val="00F94D5A"/>
    <w:rsid w:val="00F9513C"/>
    <w:rsid w:val="00F95A31"/>
    <w:rsid w:val="00FA1D8C"/>
    <w:rsid w:val="00FA1DA6"/>
    <w:rsid w:val="00FA30C4"/>
    <w:rsid w:val="00FA32F3"/>
    <w:rsid w:val="00FA506B"/>
    <w:rsid w:val="00FA540F"/>
    <w:rsid w:val="00FB0D94"/>
    <w:rsid w:val="00FB269A"/>
    <w:rsid w:val="00FB5BA8"/>
    <w:rsid w:val="00FB7902"/>
    <w:rsid w:val="00FC7F80"/>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86FA17EB-EBE8-414A-A370-8ABF170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Default">
    <w:name w:val="Default"/>
    <w:rsid w:val="00E20296"/>
    <w:pPr>
      <w:autoSpaceDE w:val="0"/>
      <w:autoSpaceDN w:val="0"/>
      <w:adjustRightInd w:val="0"/>
    </w:pPr>
    <w:rPr>
      <w:rFonts w:ascii="Arial" w:hAnsi="Arial" w:cs="Arial"/>
      <w:color w:val="000000"/>
      <w:sz w:val="24"/>
      <w:szCs w:val="24"/>
    </w:rPr>
  </w:style>
  <w:style w:type="table" w:customStyle="1" w:styleId="TableGrid0">
    <w:name w:val="TableGrid"/>
    <w:rsid w:val="0079753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314699">
      <w:bodyDiv w:val="1"/>
      <w:marLeft w:val="0"/>
      <w:marRight w:val="0"/>
      <w:marTop w:val="0"/>
      <w:marBottom w:val="0"/>
      <w:divBdr>
        <w:top w:val="none" w:sz="0" w:space="0" w:color="auto"/>
        <w:left w:val="none" w:sz="0" w:space="0" w:color="auto"/>
        <w:bottom w:val="none" w:sz="0" w:space="0" w:color="auto"/>
        <w:right w:val="none" w:sz="0" w:space="0" w:color="auto"/>
      </w:divBdr>
    </w:div>
    <w:div w:id="388311387">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91723175">
      <w:bodyDiv w:val="1"/>
      <w:marLeft w:val="0"/>
      <w:marRight w:val="0"/>
      <w:marTop w:val="0"/>
      <w:marBottom w:val="0"/>
      <w:divBdr>
        <w:top w:val="none" w:sz="0" w:space="0" w:color="auto"/>
        <w:left w:val="none" w:sz="0" w:space="0" w:color="auto"/>
        <w:bottom w:val="none" w:sz="0" w:space="0" w:color="auto"/>
        <w:right w:val="none" w:sz="0" w:space="0" w:color="auto"/>
      </w:divBdr>
    </w:div>
    <w:div w:id="1401557371">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2051952191">
      <w:bodyDiv w:val="1"/>
      <w:marLeft w:val="0"/>
      <w:marRight w:val="0"/>
      <w:marTop w:val="0"/>
      <w:marBottom w:val="0"/>
      <w:divBdr>
        <w:top w:val="none" w:sz="0" w:space="0" w:color="auto"/>
        <w:left w:val="none" w:sz="0" w:space="0" w:color="auto"/>
        <w:bottom w:val="none" w:sz="0" w:space="0" w:color="auto"/>
        <w:right w:val="none" w:sz="0" w:space="0" w:color="auto"/>
      </w:divBdr>
    </w:div>
    <w:div w:id="21157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mo.gov.uk/publications/money-market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dmo.gov.uk/publications/money-marke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92358/TransparencyPrinciplesFebruary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mo.gov.uk/publications/gilt-market/operational-rules/"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dmo.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Tel:020"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520BDB56-1EB8-4E38-ABF2-D924BEB5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40533</Words>
  <Characters>231039</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2</cp:revision>
  <cp:lastPrinted>2016-09-15T13:40:00Z</cp:lastPrinted>
  <dcterms:created xsi:type="dcterms:W3CDTF">2018-11-22T14:28:00Z</dcterms:created>
  <dcterms:modified xsi:type="dcterms:W3CDTF">2018-11-22T14:28:00Z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