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CDC" w:rsidRDefault="00DF2CDC"/>
    <w:tbl>
      <w:tblPr>
        <w:tblStyle w:val="TableGrid"/>
        <w:tblW w:w="0" w:type="auto"/>
        <w:tblLook w:val="04A0" w:firstRow="1" w:lastRow="0" w:firstColumn="1" w:lastColumn="0" w:noHBand="0" w:noVBand="1"/>
      </w:tblPr>
      <w:tblGrid>
        <w:gridCol w:w="9017"/>
      </w:tblGrid>
      <w:tr w:rsidR="00DF2CDC" w:rsidTr="00671DDA">
        <w:trPr>
          <w:trHeight w:val="3145"/>
        </w:trPr>
        <w:tc>
          <w:tcPr>
            <w:tcW w:w="9017" w:type="dxa"/>
          </w:tcPr>
          <w:p w:rsidR="00DF2CDC" w:rsidRDefault="00DF2CDC" w:rsidP="00DF2CDC">
            <w:pPr>
              <w:jc w:val="center"/>
              <w:rPr>
                <w:sz w:val="48"/>
                <w:szCs w:val="48"/>
              </w:rPr>
            </w:pPr>
          </w:p>
          <w:p w:rsidR="00DF2CDC" w:rsidRDefault="00DF2CDC" w:rsidP="00DF2CDC">
            <w:pPr>
              <w:jc w:val="center"/>
              <w:rPr>
                <w:sz w:val="48"/>
                <w:szCs w:val="48"/>
              </w:rPr>
            </w:pPr>
            <w:r w:rsidRPr="00DF2CDC">
              <w:rPr>
                <w:sz w:val="48"/>
                <w:szCs w:val="48"/>
              </w:rPr>
              <w:t>Planning for measures to control wat</w:t>
            </w:r>
            <w:r>
              <w:rPr>
                <w:sz w:val="48"/>
                <w:szCs w:val="48"/>
              </w:rPr>
              <w:t>er quality agricultural impacts</w:t>
            </w:r>
          </w:p>
          <w:p w:rsidR="00DF2CDC" w:rsidRDefault="00DF2CDC" w:rsidP="00DF2CDC">
            <w:pPr>
              <w:jc w:val="center"/>
              <w:rPr>
                <w:sz w:val="48"/>
                <w:szCs w:val="48"/>
              </w:rPr>
            </w:pPr>
          </w:p>
          <w:p w:rsidR="00DF2CDC" w:rsidRDefault="00DF2CDC" w:rsidP="00DF2CDC">
            <w:pPr>
              <w:jc w:val="center"/>
              <w:rPr>
                <w:sz w:val="48"/>
                <w:szCs w:val="48"/>
              </w:rPr>
            </w:pPr>
            <w:r>
              <w:rPr>
                <w:sz w:val="48"/>
                <w:szCs w:val="48"/>
              </w:rPr>
              <w:t>(for discussion)</w:t>
            </w:r>
          </w:p>
          <w:p w:rsidR="00DF2CDC" w:rsidRPr="00DF2CDC" w:rsidRDefault="00DF2CDC" w:rsidP="00DF2CDC">
            <w:pPr>
              <w:jc w:val="center"/>
              <w:rPr>
                <w:sz w:val="48"/>
                <w:szCs w:val="48"/>
              </w:rPr>
            </w:pPr>
          </w:p>
          <w:p w:rsidR="00DF2CDC" w:rsidRDefault="00DF2CDC">
            <w:pPr>
              <w:rPr>
                <w:color w:val="2E74B5" w:themeColor="accent1" w:themeShade="BF"/>
                <w:sz w:val="32"/>
                <w:szCs w:val="32"/>
              </w:rPr>
            </w:pPr>
          </w:p>
        </w:tc>
      </w:tr>
    </w:tbl>
    <w:p w:rsidR="00671DDA" w:rsidRDefault="00671DDA">
      <w:pPr>
        <w:rPr>
          <w:color w:val="2E74B5" w:themeColor="accent1" w:themeShade="BF"/>
          <w:sz w:val="32"/>
          <w:szCs w:val="32"/>
        </w:rPr>
      </w:pPr>
    </w:p>
    <w:p w:rsidR="00671DDA" w:rsidRDefault="00EB682C" w:rsidP="00671DDA">
      <w:pPr>
        <w:jc w:val="center"/>
        <w:rPr>
          <w:color w:val="2E74B5" w:themeColor="accent1" w:themeShade="BF"/>
          <w:sz w:val="32"/>
          <w:szCs w:val="32"/>
        </w:rPr>
      </w:pPr>
      <w:r>
        <w:rPr>
          <w:noProof/>
          <w:color w:val="2E74B5" w:themeColor="accent1" w:themeShade="BF"/>
          <w:sz w:val="32"/>
          <w:szCs w:val="32"/>
          <w:lang w:eastAsia="en-GB"/>
        </w:rPr>
        <w:drawing>
          <wp:inline distT="0" distB="0" distL="0" distR="0">
            <wp:extent cx="3394191" cy="429721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882" cy="42993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9"/>
      </w:tblGrid>
      <w:tr w:rsidR="00671DDA" w:rsidTr="00671DDA">
        <w:tc>
          <w:tcPr>
            <w:tcW w:w="4508" w:type="dxa"/>
          </w:tcPr>
          <w:p w:rsidR="00671DDA" w:rsidRDefault="00671DDA" w:rsidP="00671DDA">
            <w:pPr>
              <w:jc w:val="center"/>
              <w:rPr>
                <w:color w:val="2E74B5" w:themeColor="accent1" w:themeShade="BF"/>
                <w:sz w:val="32"/>
                <w:szCs w:val="32"/>
              </w:rPr>
            </w:pPr>
            <w:r>
              <w:rPr>
                <w:color w:val="2E74B5" w:themeColor="accent1" w:themeShade="BF"/>
                <w:sz w:val="32"/>
                <w:szCs w:val="32"/>
              </w:rPr>
              <w:t>N Murdoch E&amp;B</w:t>
            </w:r>
          </w:p>
        </w:tc>
        <w:tc>
          <w:tcPr>
            <w:tcW w:w="4509" w:type="dxa"/>
          </w:tcPr>
          <w:p w:rsidR="00671DDA" w:rsidRDefault="00EB682C" w:rsidP="00671DDA">
            <w:pPr>
              <w:jc w:val="center"/>
              <w:rPr>
                <w:color w:val="2E74B5" w:themeColor="accent1" w:themeShade="BF"/>
                <w:sz w:val="32"/>
                <w:szCs w:val="32"/>
              </w:rPr>
            </w:pPr>
            <w:r>
              <w:rPr>
                <w:color w:val="2E74B5" w:themeColor="accent1" w:themeShade="BF"/>
                <w:sz w:val="32"/>
                <w:szCs w:val="32"/>
              </w:rPr>
              <w:t>May</w:t>
            </w:r>
            <w:r w:rsidR="00671DDA">
              <w:rPr>
                <w:color w:val="2E74B5" w:themeColor="accent1" w:themeShade="BF"/>
                <w:sz w:val="32"/>
                <w:szCs w:val="32"/>
              </w:rPr>
              <w:t xml:space="preserve"> 2018</w:t>
            </w:r>
          </w:p>
        </w:tc>
      </w:tr>
    </w:tbl>
    <w:p w:rsidR="00671DDA" w:rsidRDefault="00DF2CDC" w:rsidP="00671DDA">
      <w:pPr>
        <w:rPr>
          <w:color w:val="2E74B5" w:themeColor="accent1" w:themeShade="BF"/>
          <w:sz w:val="32"/>
          <w:szCs w:val="32"/>
        </w:rPr>
      </w:pPr>
      <w:r>
        <w:rPr>
          <w:color w:val="2E74B5" w:themeColor="accent1" w:themeShade="BF"/>
          <w:sz w:val="32"/>
          <w:szCs w:val="32"/>
        </w:rPr>
        <w:br w:type="page"/>
      </w:r>
    </w:p>
    <w:sdt>
      <w:sdtPr>
        <w:rPr>
          <w:rFonts w:asciiTheme="minorHAnsi" w:eastAsiaTheme="minorHAnsi" w:hAnsiTheme="minorHAnsi" w:cstheme="minorBidi"/>
          <w:color w:val="auto"/>
          <w:sz w:val="22"/>
          <w:szCs w:val="22"/>
          <w:lang w:val="en-GB"/>
        </w:rPr>
        <w:id w:val="-1847547656"/>
        <w:docPartObj>
          <w:docPartGallery w:val="Table of Contents"/>
          <w:docPartUnique/>
        </w:docPartObj>
      </w:sdtPr>
      <w:sdtEndPr>
        <w:rPr>
          <w:b/>
          <w:bCs/>
          <w:noProof/>
        </w:rPr>
      </w:sdtEndPr>
      <w:sdtContent>
        <w:p w:rsidR="00671DDA" w:rsidRDefault="00671DDA">
          <w:pPr>
            <w:pStyle w:val="TOCHeading"/>
          </w:pPr>
          <w:r>
            <w:t>Contents</w:t>
          </w:r>
        </w:p>
        <w:p w:rsidR="00671DDA" w:rsidRDefault="00671DDA">
          <w:pPr>
            <w:pStyle w:val="TOC1"/>
            <w:tabs>
              <w:tab w:val="left" w:pos="440"/>
              <w:tab w:val="right" w:leader="dot" w:pos="9017"/>
            </w:tabs>
            <w:rPr>
              <w:noProof/>
            </w:rPr>
          </w:pPr>
          <w:r>
            <w:fldChar w:fldCharType="begin"/>
          </w:r>
          <w:r>
            <w:instrText xml:space="preserve"> TOC \o "1-3" \h \z \u </w:instrText>
          </w:r>
          <w:r>
            <w:fldChar w:fldCharType="separate"/>
          </w:r>
          <w:hyperlink w:anchor="_Toc504659724" w:history="1">
            <w:r w:rsidRPr="00D57D3B">
              <w:rPr>
                <w:rStyle w:val="Hyperlink"/>
                <w:noProof/>
              </w:rPr>
              <w:t>1.</w:t>
            </w:r>
            <w:r>
              <w:rPr>
                <w:noProof/>
              </w:rPr>
              <w:tab/>
            </w:r>
            <w:r w:rsidRPr="00D57D3B">
              <w:rPr>
                <w:rStyle w:val="Hyperlink"/>
                <w:noProof/>
              </w:rPr>
              <w:t>Purpose</w:t>
            </w:r>
            <w:r>
              <w:rPr>
                <w:noProof/>
                <w:webHidden/>
              </w:rPr>
              <w:tab/>
            </w:r>
            <w:r>
              <w:rPr>
                <w:noProof/>
                <w:webHidden/>
              </w:rPr>
              <w:fldChar w:fldCharType="begin"/>
            </w:r>
            <w:r>
              <w:rPr>
                <w:noProof/>
                <w:webHidden/>
              </w:rPr>
              <w:instrText xml:space="preserve"> PAGEREF _Toc504659724 \h </w:instrText>
            </w:r>
            <w:r>
              <w:rPr>
                <w:noProof/>
                <w:webHidden/>
              </w:rPr>
            </w:r>
            <w:r>
              <w:rPr>
                <w:noProof/>
                <w:webHidden/>
              </w:rPr>
              <w:fldChar w:fldCharType="separate"/>
            </w:r>
            <w:r>
              <w:rPr>
                <w:noProof/>
                <w:webHidden/>
              </w:rPr>
              <w:t>3</w:t>
            </w:r>
            <w:r>
              <w:rPr>
                <w:noProof/>
                <w:webHidden/>
              </w:rPr>
              <w:fldChar w:fldCharType="end"/>
            </w:r>
          </w:hyperlink>
        </w:p>
        <w:p w:rsidR="00671DDA" w:rsidRDefault="00EB682C">
          <w:pPr>
            <w:pStyle w:val="TOC1"/>
            <w:tabs>
              <w:tab w:val="left" w:pos="440"/>
              <w:tab w:val="right" w:leader="dot" w:pos="9017"/>
            </w:tabs>
            <w:rPr>
              <w:noProof/>
            </w:rPr>
          </w:pPr>
          <w:hyperlink w:anchor="_Toc504659725" w:history="1">
            <w:r w:rsidR="00671DDA" w:rsidRPr="00D57D3B">
              <w:rPr>
                <w:rStyle w:val="Hyperlink"/>
                <w:noProof/>
              </w:rPr>
              <w:t>2.</w:t>
            </w:r>
            <w:r w:rsidR="00671DDA">
              <w:rPr>
                <w:noProof/>
              </w:rPr>
              <w:tab/>
            </w:r>
            <w:r w:rsidR="00671DDA" w:rsidRPr="00D57D3B">
              <w:rPr>
                <w:rStyle w:val="Hyperlink"/>
                <w:noProof/>
              </w:rPr>
              <w:t>Scope</w:t>
            </w:r>
            <w:r w:rsidR="00671DDA">
              <w:rPr>
                <w:noProof/>
                <w:webHidden/>
              </w:rPr>
              <w:tab/>
            </w:r>
            <w:r w:rsidR="00671DDA">
              <w:rPr>
                <w:noProof/>
                <w:webHidden/>
              </w:rPr>
              <w:fldChar w:fldCharType="begin"/>
            </w:r>
            <w:r w:rsidR="00671DDA">
              <w:rPr>
                <w:noProof/>
                <w:webHidden/>
              </w:rPr>
              <w:instrText xml:space="preserve"> PAGEREF _Toc504659725 \h </w:instrText>
            </w:r>
            <w:r w:rsidR="00671DDA">
              <w:rPr>
                <w:noProof/>
                <w:webHidden/>
              </w:rPr>
            </w:r>
            <w:r w:rsidR="00671DDA">
              <w:rPr>
                <w:noProof/>
                <w:webHidden/>
              </w:rPr>
              <w:fldChar w:fldCharType="separate"/>
            </w:r>
            <w:r w:rsidR="00671DDA">
              <w:rPr>
                <w:noProof/>
                <w:webHidden/>
              </w:rPr>
              <w:t>3</w:t>
            </w:r>
            <w:r w:rsidR="00671DDA">
              <w:rPr>
                <w:noProof/>
                <w:webHidden/>
              </w:rPr>
              <w:fldChar w:fldCharType="end"/>
            </w:r>
          </w:hyperlink>
        </w:p>
        <w:p w:rsidR="00671DDA" w:rsidRDefault="00EB682C">
          <w:pPr>
            <w:pStyle w:val="TOC1"/>
            <w:tabs>
              <w:tab w:val="left" w:pos="440"/>
              <w:tab w:val="right" w:leader="dot" w:pos="9017"/>
            </w:tabs>
            <w:rPr>
              <w:noProof/>
            </w:rPr>
          </w:pPr>
          <w:hyperlink w:anchor="_Toc504659726" w:history="1">
            <w:r w:rsidR="00671DDA" w:rsidRPr="00D57D3B">
              <w:rPr>
                <w:rStyle w:val="Hyperlink"/>
                <w:noProof/>
              </w:rPr>
              <w:t>3</w:t>
            </w:r>
            <w:r w:rsidR="00671DDA">
              <w:rPr>
                <w:noProof/>
              </w:rPr>
              <w:tab/>
            </w:r>
            <w:r w:rsidR="00671DDA" w:rsidRPr="00D57D3B">
              <w:rPr>
                <w:rStyle w:val="Hyperlink"/>
                <w:noProof/>
              </w:rPr>
              <w:t>Determining Reductions</w:t>
            </w:r>
            <w:r w:rsidR="00671DDA">
              <w:rPr>
                <w:noProof/>
                <w:webHidden/>
              </w:rPr>
              <w:tab/>
            </w:r>
            <w:r w:rsidR="00671DDA">
              <w:rPr>
                <w:noProof/>
                <w:webHidden/>
              </w:rPr>
              <w:fldChar w:fldCharType="begin"/>
            </w:r>
            <w:r w:rsidR="00671DDA">
              <w:rPr>
                <w:noProof/>
                <w:webHidden/>
              </w:rPr>
              <w:instrText xml:space="preserve"> PAGEREF _Toc504659726 \h </w:instrText>
            </w:r>
            <w:r w:rsidR="00671DDA">
              <w:rPr>
                <w:noProof/>
                <w:webHidden/>
              </w:rPr>
            </w:r>
            <w:r w:rsidR="00671DDA">
              <w:rPr>
                <w:noProof/>
                <w:webHidden/>
              </w:rPr>
              <w:fldChar w:fldCharType="separate"/>
            </w:r>
            <w:r w:rsidR="00671DDA">
              <w:rPr>
                <w:noProof/>
                <w:webHidden/>
              </w:rPr>
              <w:t>3</w:t>
            </w:r>
            <w:r w:rsidR="00671DDA">
              <w:rPr>
                <w:noProof/>
                <w:webHidden/>
              </w:rPr>
              <w:fldChar w:fldCharType="end"/>
            </w:r>
          </w:hyperlink>
        </w:p>
        <w:p w:rsidR="00671DDA" w:rsidRDefault="00EB682C">
          <w:pPr>
            <w:pStyle w:val="TOC2"/>
            <w:tabs>
              <w:tab w:val="left" w:pos="880"/>
              <w:tab w:val="right" w:leader="dot" w:pos="9017"/>
            </w:tabs>
            <w:rPr>
              <w:noProof/>
            </w:rPr>
          </w:pPr>
          <w:hyperlink w:anchor="_Toc504659727" w:history="1">
            <w:r w:rsidR="00671DDA" w:rsidRPr="00D57D3B">
              <w:rPr>
                <w:rStyle w:val="Hyperlink"/>
                <w:noProof/>
              </w:rPr>
              <w:t>3.1</w:t>
            </w:r>
            <w:r w:rsidR="00671DDA">
              <w:rPr>
                <w:noProof/>
              </w:rPr>
              <w:tab/>
            </w:r>
            <w:r w:rsidR="00671DDA" w:rsidRPr="00D57D3B">
              <w:rPr>
                <w:rStyle w:val="Hyperlink"/>
                <w:noProof/>
              </w:rPr>
              <w:t>Modelling</w:t>
            </w:r>
            <w:r w:rsidR="00671DDA">
              <w:rPr>
                <w:noProof/>
                <w:webHidden/>
              </w:rPr>
              <w:tab/>
            </w:r>
            <w:r w:rsidR="00671DDA">
              <w:rPr>
                <w:noProof/>
                <w:webHidden/>
              </w:rPr>
              <w:fldChar w:fldCharType="begin"/>
            </w:r>
            <w:r w:rsidR="00671DDA">
              <w:rPr>
                <w:noProof/>
                <w:webHidden/>
              </w:rPr>
              <w:instrText xml:space="preserve"> PAGEREF _Toc504659727 \h </w:instrText>
            </w:r>
            <w:r w:rsidR="00671DDA">
              <w:rPr>
                <w:noProof/>
                <w:webHidden/>
              </w:rPr>
            </w:r>
            <w:r w:rsidR="00671DDA">
              <w:rPr>
                <w:noProof/>
                <w:webHidden/>
              </w:rPr>
              <w:fldChar w:fldCharType="separate"/>
            </w:r>
            <w:r w:rsidR="00671DDA">
              <w:rPr>
                <w:noProof/>
                <w:webHidden/>
              </w:rPr>
              <w:t>3</w:t>
            </w:r>
            <w:r w:rsidR="00671DDA">
              <w:rPr>
                <w:noProof/>
                <w:webHidden/>
              </w:rPr>
              <w:fldChar w:fldCharType="end"/>
            </w:r>
          </w:hyperlink>
        </w:p>
        <w:p w:rsidR="00671DDA" w:rsidRDefault="00EB682C">
          <w:pPr>
            <w:pStyle w:val="TOC2"/>
            <w:tabs>
              <w:tab w:val="left" w:pos="880"/>
              <w:tab w:val="right" w:leader="dot" w:pos="9017"/>
            </w:tabs>
            <w:rPr>
              <w:noProof/>
            </w:rPr>
          </w:pPr>
          <w:hyperlink w:anchor="_Toc504659728" w:history="1">
            <w:r w:rsidR="00671DDA" w:rsidRPr="00D57D3B">
              <w:rPr>
                <w:rStyle w:val="Hyperlink"/>
                <w:noProof/>
              </w:rPr>
              <w:t>3.2</w:t>
            </w:r>
            <w:r w:rsidR="00671DDA">
              <w:rPr>
                <w:noProof/>
              </w:rPr>
              <w:tab/>
            </w:r>
            <w:r w:rsidR="00671DDA" w:rsidRPr="00D57D3B">
              <w:rPr>
                <w:rStyle w:val="Hyperlink"/>
                <w:noProof/>
              </w:rPr>
              <w:t>Model Outputs</w:t>
            </w:r>
            <w:r w:rsidR="00671DDA">
              <w:rPr>
                <w:noProof/>
                <w:webHidden/>
              </w:rPr>
              <w:tab/>
            </w:r>
            <w:r w:rsidR="00671DDA">
              <w:rPr>
                <w:noProof/>
                <w:webHidden/>
              </w:rPr>
              <w:fldChar w:fldCharType="begin"/>
            </w:r>
            <w:r w:rsidR="00671DDA">
              <w:rPr>
                <w:noProof/>
                <w:webHidden/>
              </w:rPr>
              <w:instrText xml:space="preserve"> PAGEREF _Toc504659728 \h </w:instrText>
            </w:r>
            <w:r w:rsidR="00671DDA">
              <w:rPr>
                <w:noProof/>
                <w:webHidden/>
              </w:rPr>
            </w:r>
            <w:r w:rsidR="00671DDA">
              <w:rPr>
                <w:noProof/>
                <w:webHidden/>
              </w:rPr>
              <w:fldChar w:fldCharType="separate"/>
            </w:r>
            <w:r w:rsidR="00671DDA">
              <w:rPr>
                <w:noProof/>
                <w:webHidden/>
              </w:rPr>
              <w:t>4</w:t>
            </w:r>
            <w:r w:rsidR="00671DDA">
              <w:rPr>
                <w:noProof/>
                <w:webHidden/>
              </w:rPr>
              <w:fldChar w:fldCharType="end"/>
            </w:r>
          </w:hyperlink>
        </w:p>
        <w:p w:rsidR="00671DDA" w:rsidRDefault="00EB682C">
          <w:pPr>
            <w:pStyle w:val="TOC1"/>
            <w:tabs>
              <w:tab w:val="left" w:pos="440"/>
              <w:tab w:val="right" w:leader="dot" w:pos="9017"/>
            </w:tabs>
            <w:rPr>
              <w:noProof/>
            </w:rPr>
          </w:pPr>
          <w:hyperlink w:anchor="_Toc504659729" w:history="1">
            <w:r w:rsidR="00671DDA" w:rsidRPr="00D57D3B">
              <w:rPr>
                <w:rStyle w:val="Hyperlink"/>
                <w:noProof/>
              </w:rPr>
              <w:t>4</w:t>
            </w:r>
            <w:r w:rsidR="00671DDA">
              <w:rPr>
                <w:noProof/>
              </w:rPr>
              <w:tab/>
            </w:r>
            <w:r w:rsidR="00671DDA" w:rsidRPr="00D57D3B">
              <w:rPr>
                <w:rStyle w:val="Hyperlink"/>
                <w:noProof/>
              </w:rPr>
              <w:t>Determining Measures</w:t>
            </w:r>
            <w:r w:rsidR="00671DDA">
              <w:rPr>
                <w:noProof/>
                <w:webHidden/>
              </w:rPr>
              <w:tab/>
            </w:r>
            <w:r w:rsidR="00671DDA">
              <w:rPr>
                <w:noProof/>
                <w:webHidden/>
              </w:rPr>
              <w:fldChar w:fldCharType="begin"/>
            </w:r>
            <w:r w:rsidR="00671DDA">
              <w:rPr>
                <w:noProof/>
                <w:webHidden/>
              </w:rPr>
              <w:instrText xml:space="preserve"> PAGEREF _Toc504659729 \h </w:instrText>
            </w:r>
            <w:r w:rsidR="00671DDA">
              <w:rPr>
                <w:noProof/>
                <w:webHidden/>
              </w:rPr>
            </w:r>
            <w:r w:rsidR="00671DDA">
              <w:rPr>
                <w:noProof/>
                <w:webHidden/>
              </w:rPr>
              <w:fldChar w:fldCharType="separate"/>
            </w:r>
            <w:r w:rsidR="00671DDA">
              <w:rPr>
                <w:noProof/>
                <w:webHidden/>
              </w:rPr>
              <w:t>4</w:t>
            </w:r>
            <w:r w:rsidR="00671DDA">
              <w:rPr>
                <w:noProof/>
                <w:webHidden/>
              </w:rPr>
              <w:fldChar w:fldCharType="end"/>
            </w:r>
          </w:hyperlink>
        </w:p>
        <w:p w:rsidR="00671DDA" w:rsidRDefault="00EB682C">
          <w:pPr>
            <w:pStyle w:val="TOC1"/>
            <w:tabs>
              <w:tab w:val="left" w:pos="440"/>
              <w:tab w:val="right" w:leader="dot" w:pos="9017"/>
            </w:tabs>
            <w:rPr>
              <w:noProof/>
            </w:rPr>
          </w:pPr>
          <w:hyperlink w:anchor="_Toc504659730" w:history="1">
            <w:r w:rsidR="00671DDA" w:rsidRPr="00D57D3B">
              <w:rPr>
                <w:rStyle w:val="Hyperlink"/>
                <w:noProof/>
              </w:rPr>
              <w:t>5</w:t>
            </w:r>
            <w:r w:rsidR="00671DDA">
              <w:rPr>
                <w:noProof/>
              </w:rPr>
              <w:tab/>
            </w:r>
            <w:r w:rsidR="00671DDA" w:rsidRPr="00D57D3B">
              <w:rPr>
                <w:rStyle w:val="Hyperlink"/>
                <w:noProof/>
              </w:rPr>
              <w:t>Making Decisions</w:t>
            </w:r>
            <w:r w:rsidR="00671DDA">
              <w:rPr>
                <w:noProof/>
                <w:webHidden/>
              </w:rPr>
              <w:tab/>
            </w:r>
            <w:r w:rsidR="00671DDA">
              <w:rPr>
                <w:noProof/>
                <w:webHidden/>
              </w:rPr>
              <w:fldChar w:fldCharType="begin"/>
            </w:r>
            <w:r w:rsidR="00671DDA">
              <w:rPr>
                <w:noProof/>
                <w:webHidden/>
              </w:rPr>
              <w:instrText xml:space="preserve"> PAGEREF _Toc504659730 \h </w:instrText>
            </w:r>
            <w:r w:rsidR="00671DDA">
              <w:rPr>
                <w:noProof/>
                <w:webHidden/>
              </w:rPr>
            </w:r>
            <w:r w:rsidR="00671DDA">
              <w:rPr>
                <w:noProof/>
                <w:webHidden/>
              </w:rPr>
              <w:fldChar w:fldCharType="separate"/>
            </w:r>
            <w:r w:rsidR="00671DDA">
              <w:rPr>
                <w:noProof/>
                <w:webHidden/>
              </w:rPr>
              <w:t>4</w:t>
            </w:r>
            <w:r w:rsidR="00671DDA">
              <w:rPr>
                <w:noProof/>
                <w:webHidden/>
              </w:rPr>
              <w:fldChar w:fldCharType="end"/>
            </w:r>
          </w:hyperlink>
        </w:p>
        <w:p w:rsidR="00671DDA" w:rsidRDefault="00EB682C">
          <w:pPr>
            <w:pStyle w:val="TOC1"/>
            <w:tabs>
              <w:tab w:val="right" w:leader="dot" w:pos="9017"/>
            </w:tabs>
            <w:rPr>
              <w:noProof/>
            </w:rPr>
          </w:pPr>
          <w:hyperlink w:anchor="_Toc504659731" w:history="1">
            <w:r w:rsidR="00671DDA" w:rsidRPr="00D57D3B">
              <w:rPr>
                <w:rStyle w:val="Hyperlink"/>
                <w:noProof/>
              </w:rPr>
              <w:t>Appendix 1 Fair Share</w:t>
            </w:r>
            <w:r w:rsidR="00671DDA">
              <w:rPr>
                <w:noProof/>
                <w:webHidden/>
              </w:rPr>
              <w:tab/>
            </w:r>
            <w:r w:rsidR="00671DDA">
              <w:rPr>
                <w:noProof/>
                <w:webHidden/>
              </w:rPr>
              <w:fldChar w:fldCharType="begin"/>
            </w:r>
            <w:r w:rsidR="00671DDA">
              <w:rPr>
                <w:noProof/>
                <w:webHidden/>
              </w:rPr>
              <w:instrText xml:space="preserve"> PAGEREF _Toc504659731 \h </w:instrText>
            </w:r>
            <w:r w:rsidR="00671DDA">
              <w:rPr>
                <w:noProof/>
                <w:webHidden/>
              </w:rPr>
            </w:r>
            <w:r w:rsidR="00671DDA">
              <w:rPr>
                <w:noProof/>
                <w:webHidden/>
              </w:rPr>
              <w:fldChar w:fldCharType="separate"/>
            </w:r>
            <w:r w:rsidR="00671DDA">
              <w:rPr>
                <w:noProof/>
                <w:webHidden/>
              </w:rPr>
              <w:t>5</w:t>
            </w:r>
            <w:r w:rsidR="00671DDA">
              <w:rPr>
                <w:noProof/>
                <w:webHidden/>
              </w:rPr>
              <w:fldChar w:fldCharType="end"/>
            </w:r>
          </w:hyperlink>
        </w:p>
        <w:p w:rsidR="00671DDA" w:rsidRDefault="00EB682C">
          <w:pPr>
            <w:pStyle w:val="TOC1"/>
            <w:tabs>
              <w:tab w:val="right" w:leader="dot" w:pos="9017"/>
            </w:tabs>
            <w:rPr>
              <w:noProof/>
            </w:rPr>
          </w:pPr>
          <w:hyperlink w:anchor="_Toc504659732" w:history="1">
            <w:r w:rsidR="00671DDA" w:rsidRPr="00D57D3B">
              <w:rPr>
                <w:rStyle w:val="Hyperlink"/>
                <w:noProof/>
              </w:rPr>
              <w:t>Appendix 2 Impact and related maps (from SAGIS_SIMCAT)</w:t>
            </w:r>
            <w:r w:rsidR="00671DDA">
              <w:rPr>
                <w:noProof/>
                <w:webHidden/>
              </w:rPr>
              <w:tab/>
            </w:r>
            <w:r w:rsidR="00671DDA">
              <w:rPr>
                <w:noProof/>
                <w:webHidden/>
              </w:rPr>
              <w:fldChar w:fldCharType="begin"/>
            </w:r>
            <w:r w:rsidR="00671DDA">
              <w:rPr>
                <w:noProof/>
                <w:webHidden/>
              </w:rPr>
              <w:instrText xml:space="preserve"> PAGEREF _Toc504659732 \h </w:instrText>
            </w:r>
            <w:r w:rsidR="00671DDA">
              <w:rPr>
                <w:noProof/>
                <w:webHidden/>
              </w:rPr>
            </w:r>
            <w:r w:rsidR="00671DDA">
              <w:rPr>
                <w:noProof/>
                <w:webHidden/>
              </w:rPr>
              <w:fldChar w:fldCharType="separate"/>
            </w:r>
            <w:r w:rsidR="00671DDA">
              <w:rPr>
                <w:noProof/>
                <w:webHidden/>
              </w:rPr>
              <w:t>8</w:t>
            </w:r>
            <w:r w:rsidR="00671DDA">
              <w:rPr>
                <w:noProof/>
                <w:webHidden/>
              </w:rPr>
              <w:fldChar w:fldCharType="end"/>
            </w:r>
          </w:hyperlink>
        </w:p>
        <w:p w:rsidR="00671DDA" w:rsidRDefault="00671DDA">
          <w:r>
            <w:rPr>
              <w:b/>
              <w:bCs/>
              <w:noProof/>
            </w:rPr>
            <w:fldChar w:fldCharType="end"/>
          </w:r>
        </w:p>
      </w:sdtContent>
    </w:sdt>
    <w:p w:rsidR="00DF2CDC" w:rsidRDefault="00DF2CDC" w:rsidP="00671DDA">
      <w:pPr>
        <w:rPr>
          <w:color w:val="2E74B5" w:themeColor="accent1" w:themeShade="BF"/>
          <w:sz w:val="32"/>
          <w:szCs w:val="32"/>
        </w:rPr>
      </w:pPr>
      <w:r>
        <w:rPr>
          <w:color w:val="2E74B5" w:themeColor="accent1" w:themeShade="BF"/>
          <w:sz w:val="32"/>
          <w:szCs w:val="32"/>
        </w:rPr>
        <w:br w:type="page"/>
      </w:r>
    </w:p>
    <w:p w:rsidR="00DF2CDC" w:rsidRDefault="00DF2CDC">
      <w:pPr>
        <w:rPr>
          <w:color w:val="2E74B5" w:themeColor="accent1" w:themeShade="BF"/>
          <w:sz w:val="32"/>
          <w:szCs w:val="32"/>
        </w:rPr>
      </w:pPr>
    </w:p>
    <w:p w:rsidR="00C129EF" w:rsidRDefault="006B789F" w:rsidP="006B789F">
      <w:pPr>
        <w:pStyle w:val="Heading1"/>
      </w:pPr>
      <w:bookmarkStart w:id="0" w:name="_Toc504659724"/>
      <w:r>
        <w:t>1.</w:t>
      </w:r>
      <w:r>
        <w:tab/>
      </w:r>
      <w:r w:rsidR="00C129EF">
        <w:t>Purpose</w:t>
      </w:r>
      <w:bookmarkEnd w:id="0"/>
    </w:p>
    <w:p w:rsidR="006B789F" w:rsidRPr="006B789F" w:rsidRDefault="006B789F" w:rsidP="006B789F"/>
    <w:p w:rsidR="00C129EF" w:rsidRDefault="00CD47B6">
      <w:r>
        <w:t xml:space="preserve">The purpose </w:t>
      </w:r>
      <w:r w:rsidR="00C129EF">
        <w:t xml:space="preserve">of this </w:t>
      </w:r>
      <w:r w:rsidR="006B789F">
        <w:t>note</w:t>
      </w:r>
      <w:r w:rsidR="00C129EF">
        <w:t xml:space="preserve"> is to describe:</w:t>
      </w:r>
    </w:p>
    <w:p w:rsidR="00CD47B6" w:rsidRDefault="00CD47B6" w:rsidP="00C129EF">
      <w:pPr>
        <w:pStyle w:val="ListParagraph"/>
        <w:numPr>
          <w:ilvl w:val="0"/>
          <w:numId w:val="1"/>
        </w:numPr>
      </w:pPr>
      <w:r>
        <w:t xml:space="preserve">how to </w:t>
      </w:r>
      <w:r w:rsidR="00C129EF">
        <w:t>determine the required agricultural impact reductions to meet a water quality target</w:t>
      </w:r>
    </w:p>
    <w:p w:rsidR="00C129EF" w:rsidRDefault="00C129EF" w:rsidP="00C129EF">
      <w:pPr>
        <w:pStyle w:val="ListParagraph"/>
        <w:numPr>
          <w:ilvl w:val="0"/>
          <w:numId w:val="1"/>
        </w:numPr>
      </w:pPr>
      <w:r>
        <w:t>how to decide which measures to apply to secure this reduction</w:t>
      </w:r>
    </w:p>
    <w:p w:rsidR="00C129EF" w:rsidRDefault="00272EEC" w:rsidP="00C129EF">
      <w:pPr>
        <w:pStyle w:val="ListParagraph"/>
        <w:numPr>
          <w:ilvl w:val="0"/>
          <w:numId w:val="1"/>
        </w:numPr>
      </w:pPr>
      <w:proofErr w:type="gramStart"/>
      <w:r>
        <w:t>o</w:t>
      </w:r>
      <w:r w:rsidR="00C129EF">
        <w:t>r</w:t>
      </w:r>
      <w:proofErr w:type="gramEnd"/>
      <w:r w:rsidR="00C129EF">
        <w:t xml:space="preserve"> if measures are not available (for reasons consistent with the regulatory context </w:t>
      </w:r>
      <w:proofErr w:type="spellStart"/>
      <w:r w:rsidR="00C129EF">
        <w:t>eg</w:t>
      </w:r>
      <w:proofErr w:type="spellEnd"/>
      <w:r w:rsidR="00C129EF">
        <w:t xml:space="preserve"> technical feasibility, affordability) what actions to take.</w:t>
      </w:r>
    </w:p>
    <w:p w:rsidR="00CD47B6" w:rsidRDefault="006B789F" w:rsidP="006B789F">
      <w:pPr>
        <w:pStyle w:val="Heading1"/>
      </w:pPr>
      <w:bookmarkStart w:id="1" w:name="_Toc504659725"/>
      <w:r>
        <w:t>2.</w:t>
      </w:r>
      <w:r>
        <w:tab/>
      </w:r>
      <w:r w:rsidR="00752A3A">
        <w:t>Scope</w:t>
      </w:r>
      <w:bookmarkEnd w:id="1"/>
    </w:p>
    <w:p w:rsidR="006B789F" w:rsidRPr="006B789F" w:rsidRDefault="006B789F" w:rsidP="006B789F"/>
    <w:p w:rsidR="00836663" w:rsidRDefault="00836663">
      <w:r>
        <w:t xml:space="preserve">The </w:t>
      </w:r>
      <w:r w:rsidR="00752A3A">
        <w:t>scope</w:t>
      </w:r>
      <w:r>
        <w:t xml:space="preserve"> is the Water Framework Directive and River Basin Management Plans, for the pollutant, Phosphorus. </w:t>
      </w:r>
    </w:p>
    <w:p w:rsidR="00836663" w:rsidRDefault="00836663">
      <w:r>
        <w:t>Much of the approach may be applicable to other areas; differences will arise with regard to sector apportionment and related fair share issues, and what to do in the event of remedial measures being unavailable.</w:t>
      </w:r>
    </w:p>
    <w:p w:rsidR="00836663" w:rsidRDefault="006B789F" w:rsidP="006B789F">
      <w:pPr>
        <w:pStyle w:val="Heading1"/>
      </w:pPr>
      <w:bookmarkStart w:id="2" w:name="_Toc504659726"/>
      <w:r>
        <w:t>3</w:t>
      </w:r>
      <w:r>
        <w:tab/>
      </w:r>
      <w:r w:rsidR="00947D19">
        <w:t>Determining Reductions</w:t>
      </w:r>
      <w:bookmarkEnd w:id="2"/>
    </w:p>
    <w:p w:rsidR="006B789F" w:rsidRPr="006B789F" w:rsidRDefault="006B789F" w:rsidP="006B789F"/>
    <w:p w:rsidR="00947D19" w:rsidRDefault="00947D19">
      <w:r>
        <w:t xml:space="preserve">Environmental Quality Standards (EQS) are used to specify the target water quality. This target is then compared with monitored (or inferred) water quality. </w:t>
      </w:r>
      <w:r w:rsidR="00BA7BBF">
        <w:t xml:space="preserve">Where the latter exceeds the target, reductions in inputs will be </w:t>
      </w:r>
      <w:r w:rsidR="0080177A">
        <w:t>considered</w:t>
      </w:r>
      <w:r w:rsidR="00BA7BBF">
        <w:t>.</w:t>
      </w:r>
    </w:p>
    <w:p w:rsidR="00BA7BBF" w:rsidRDefault="00BA7BBF">
      <w:r>
        <w:t xml:space="preserve">Where a number of sectors, </w:t>
      </w:r>
      <w:proofErr w:type="spellStart"/>
      <w:r>
        <w:t>eg</w:t>
      </w:r>
      <w:proofErr w:type="spellEnd"/>
      <w:r>
        <w:t xml:space="preserve"> Water Industry and Agricultural, are involved a means to apportion the reductions across sectors is needed. For WFD, this is based on the fair share principle (see </w:t>
      </w:r>
      <w:r w:rsidR="00272EEC">
        <w:t>appendix 1</w:t>
      </w:r>
      <w:r>
        <w:t>).</w:t>
      </w:r>
    </w:p>
    <w:p w:rsidR="00E8228C" w:rsidRDefault="006B789F" w:rsidP="006B789F">
      <w:pPr>
        <w:pStyle w:val="Heading2"/>
      </w:pPr>
      <w:bookmarkStart w:id="3" w:name="_Toc504659727"/>
      <w:r>
        <w:t>3.1</w:t>
      </w:r>
      <w:r>
        <w:tab/>
      </w:r>
      <w:r w:rsidR="00E8228C">
        <w:t>Modelling</w:t>
      </w:r>
      <w:bookmarkEnd w:id="3"/>
    </w:p>
    <w:p w:rsidR="006B789F" w:rsidRPr="006B789F" w:rsidRDefault="006B789F" w:rsidP="006B789F"/>
    <w:p w:rsidR="00BA7BBF" w:rsidRDefault="00BA7BBF">
      <w:r>
        <w:t>Modelling is used to calculate the impact of each sector and its target share.</w:t>
      </w:r>
      <w:r w:rsidR="00752A3A">
        <w:t xml:space="preserve"> Here impact means concentration, specifically annual mean concentration f</w:t>
      </w:r>
      <w:r w:rsidR="00A86D38">
        <w:t>or</w:t>
      </w:r>
      <w:r w:rsidR="00752A3A">
        <w:t xml:space="preserve"> phosphorus.</w:t>
      </w:r>
      <w:r>
        <w:t xml:space="preserve"> By comparing its current impact</w:t>
      </w:r>
      <w:r w:rsidR="00752A3A">
        <w:t xml:space="preserve"> </w:t>
      </w:r>
      <w:r>
        <w:t xml:space="preserve">with target share, the required reduction is identified. </w:t>
      </w:r>
      <w:r w:rsidR="000F4CB2">
        <w:t xml:space="preserve">This reduction may be expressed as </w:t>
      </w:r>
      <w:r w:rsidR="0080177A">
        <w:t xml:space="preserve">a </w:t>
      </w:r>
      <w:r w:rsidR="000F4CB2">
        <w:t>percentage of the current concentration. The reduction factor so calculated applies equally to loads; a 20% reduction in impact concentration will occur if there is a 20% reduction in input loads.</w:t>
      </w:r>
    </w:p>
    <w:p w:rsidR="00E8228C" w:rsidRDefault="00E8228C">
      <w:r>
        <w:t xml:space="preserve">The modelling </w:t>
      </w:r>
      <w:r w:rsidR="00B915EF">
        <w:t>system used is SAGIS-SIMCAT. It takes sector loads as inputs and computes their combined impact in river systems, going from headwaters to coast. River flow data are derived from Low Flow statistics and calibrated at gauging stations, of which there are approximately 1000 across England. River sample data (from approximately 5000 sites) are used to calibrate the models for water quality.  Inputs and outputs are expressed statistically, allowing comparison with EQS.</w:t>
      </w:r>
    </w:p>
    <w:p w:rsidR="006B789F" w:rsidRDefault="006B789F">
      <w:pPr>
        <w:rPr>
          <w:rFonts w:asciiTheme="majorHAnsi" w:eastAsiaTheme="majorEastAsia" w:hAnsiTheme="majorHAnsi" w:cstheme="majorBidi"/>
          <w:color w:val="2E74B5" w:themeColor="accent1" w:themeShade="BF"/>
          <w:sz w:val="26"/>
          <w:szCs w:val="26"/>
        </w:rPr>
      </w:pPr>
      <w:r>
        <w:br w:type="page"/>
      </w:r>
    </w:p>
    <w:p w:rsidR="004A1F09" w:rsidRDefault="006B789F" w:rsidP="006B789F">
      <w:pPr>
        <w:pStyle w:val="Heading2"/>
      </w:pPr>
      <w:bookmarkStart w:id="4" w:name="_Toc504659728"/>
      <w:r>
        <w:t>3.2</w:t>
      </w:r>
      <w:r>
        <w:tab/>
      </w:r>
      <w:r w:rsidR="004A1F09">
        <w:t>Model Outputs</w:t>
      </w:r>
      <w:bookmarkEnd w:id="4"/>
    </w:p>
    <w:p w:rsidR="008169EF" w:rsidRDefault="008169EF"/>
    <w:p w:rsidR="004A1F09" w:rsidRDefault="004A1F09">
      <w:r>
        <w:t>Outputs are available at the following scales:</w:t>
      </w:r>
    </w:p>
    <w:p w:rsidR="004A1F09" w:rsidRDefault="004A1F09" w:rsidP="004A1F09">
      <w:pPr>
        <w:pStyle w:val="ListParagraph"/>
        <w:numPr>
          <w:ilvl w:val="0"/>
          <w:numId w:val="2"/>
        </w:numPr>
      </w:pPr>
      <w:r>
        <w:t>Point (every 1 kilometre)</w:t>
      </w:r>
    </w:p>
    <w:p w:rsidR="004A1F09" w:rsidRDefault="004A1F09" w:rsidP="004A1F09">
      <w:pPr>
        <w:pStyle w:val="ListParagraph"/>
        <w:numPr>
          <w:ilvl w:val="0"/>
          <w:numId w:val="2"/>
        </w:numPr>
      </w:pPr>
      <w:r>
        <w:t>Water Body</w:t>
      </w:r>
    </w:p>
    <w:p w:rsidR="004A1F09" w:rsidRPr="004A1F09" w:rsidRDefault="004A1F09" w:rsidP="004A1F09">
      <w:pPr>
        <w:pStyle w:val="ListParagraph"/>
        <w:numPr>
          <w:ilvl w:val="0"/>
          <w:numId w:val="2"/>
        </w:numPr>
        <w:rPr>
          <w:b/>
        </w:rPr>
      </w:pPr>
      <w:r w:rsidRPr="004A1F09">
        <w:rPr>
          <w:b/>
        </w:rPr>
        <w:t xml:space="preserve">Operational catchment </w:t>
      </w:r>
    </w:p>
    <w:p w:rsidR="004A1F09" w:rsidRDefault="004A1F09" w:rsidP="004A1F09">
      <w:pPr>
        <w:pStyle w:val="ListParagraph"/>
        <w:numPr>
          <w:ilvl w:val="0"/>
          <w:numId w:val="2"/>
        </w:numPr>
      </w:pPr>
      <w:r>
        <w:t>DEFRA Management Catchment</w:t>
      </w:r>
    </w:p>
    <w:p w:rsidR="000F4CB2" w:rsidRDefault="004A1F09" w:rsidP="004A1F09">
      <w:pPr>
        <w:pStyle w:val="ListParagraph"/>
        <w:numPr>
          <w:ilvl w:val="0"/>
          <w:numId w:val="2"/>
        </w:numPr>
      </w:pPr>
      <w:r>
        <w:t>(River Basin and National summary statistics may also be derived</w:t>
      </w:r>
      <w:r w:rsidR="00831A2E">
        <w:t>.)</w:t>
      </w:r>
    </w:p>
    <w:p w:rsidR="004A1F09" w:rsidRDefault="004A1F09" w:rsidP="004A1F09">
      <w:pPr>
        <w:pStyle w:val="ListParagraph"/>
        <w:ind w:left="0"/>
      </w:pPr>
    </w:p>
    <w:p w:rsidR="004A1F09" w:rsidRDefault="00CC0A04" w:rsidP="004A1F09">
      <w:pPr>
        <w:pStyle w:val="ListParagraph"/>
        <w:ind w:left="0"/>
      </w:pPr>
      <w:r>
        <w:t>There are a number of issues to consider when deciding appropriate scale at which to work. These issues are:</w:t>
      </w:r>
    </w:p>
    <w:p w:rsidR="00CC0A04" w:rsidRDefault="00CC0A04" w:rsidP="004A1F09">
      <w:pPr>
        <w:pStyle w:val="ListParagraph"/>
        <w:ind w:left="0"/>
      </w:pPr>
    </w:p>
    <w:p w:rsidR="00CC0A04" w:rsidRDefault="00CC0A04" w:rsidP="00CC0A04">
      <w:pPr>
        <w:pStyle w:val="ListParagraph"/>
        <w:numPr>
          <w:ilvl w:val="0"/>
          <w:numId w:val="4"/>
        </w:numPr>
      </w:pPr>
      <w:r>
        <w:t>Modelling uncertainty</w:t>
      </w:r>
    </w:p>
    <w:p w:rsidR="00CC0A04" w:rsidRDefault="00CC0A04" w:rsidP="00CC0A04">
      <w:pPr>
        <w:pStyle w:val="ListParagraph"/>
        <w:numPr>
          <w:ilvl w:val="0"/>
          <w:numId w:val="4"/>
        </w:numPr>
      </w:pPr>
      <w:r>
        <w:t>Catchment homogeneity</w:t>
      </w:r>
    </w:p>
    <w:p w:rsidR="00CC0A04" w:rsidRDefault="00CC0A04" w:rsidP="00CC0A04">
      <w:pPr>
        <w:pStyle w:val="ListParagraph"/>
        <w:numPr>
          <w:ilvl w:val="0"/>
          <w:numId w:val="4"/>
        </w:numPr>
      </w:pPr>
      <w:r>
        <w:t>Treating all farmers equally</w:t>
      </w:r>
    </w:p>
    <w:p w:rsidR="00CC0A04" w:rsidRDefault="00CC0A04" w:rsidP="00CC0A04">
      <w:pPr>
        <w:pStyle w:val="ListParagraph"/>
        <w:numPr>
          <w:ilvl w:val="0"/>
          <w:numId w:val="4"/>
        </w:numPr>
      </w:pPr>
      <w:r>
        <w:t>Practicality</w:t>
      </w:r>
    </w:p>
    <w:p w:rsidR="00CC0A04" w:rsidRDefault="00CC0A04" w:rsidP="004A1F09">
      <w:pPr>
        <w:pStyle w:val="ListParagraph"/>
        <w:ind w:left="0"/>
      </w:pPr>
    </w:p>
    <w:p w:rsidR="00CC0A04" w:rsidRDefault="00CC0A04" w:rsidP="004A1F09">
      <w:pPr>
        <w:pStyle w:val="ListParagraph"/>
        <w:ind w:left="0"/>
      </w:pPr>
      <w:r>
        <w:t>Consideration of these suggest that:</w:t>
      </w:r>
    </w:p>
    <w:p w:rsidR="00CC0A04" w:rsidRDefault="00CC0A04" w:rsidP="00CC0A04">
      <w:pPr>
        <w:pStyle w:val="ListParagraph"/>
        <w:numPr>
          <w:ilvl w:val="0"/>
          <w:numId w:val="3"/>
        </w:numPr>
      </w:pPr>
      <w:r>
        <w:t>Farmer target share should be computed at operational catchment scale. This reduces modelling uncertainty, treats all farmers in the catchment equally (as they have the same target) and is practical, not over complex. Also operational catchments are reasonably homogeneous, unlike the larger DEFRA Management Catchments.</w:t>
      </w:r>
    </w:p>
    <w:p w:rsidR="00CC0A04" w:rsidRDefault="00CC0A04" w:rsidP="00CC0A04">
      <w:pPr>
        <w:pStyle w:val="ListParagraph"/>
        <w:numPr>
          <w:ilvl w:val="0"/>
          <w:numId w:val="3"/>
        </w:numPr>
      </w:pPr>
      <w:r>
        <w:t>The same required reduction can be applied to all farmers. This may be refined by looking at the agricultural concentrations at water body scale to identify hot spots.</w:t>
      </w:r>
    </w:p>
    <w:p w:rsidR="006B789F" w:rsidRDefault="008169EF" w:rsidP="006B789F">
      <w:r>
        <w:t>National m</w:t>
      </w:r>
      <w:r w:rsidR="006B789F">
        <w:t>odel output maps for:</w:t>
      </w:r>
    </w:p>
    <w:p w:rsidR="008169EF" w:rsidRDefault="008169EF" w:rsidP="008169EF">
      <w:pPr>
        <w:pStyle w:val="ListParagraph"/>
        <w:numPr>
          <w:ilvl w:val="0"/>
          <w:numId w:val="5"/>
        </w:numPr>
      </w:pPr>
      <w:r>
        <w:t>Current diffuse concentrations</w:t>
      </w:r>
    </w:p>
    <w:p w:rsidR="008169EF" w:rsidRDefault="008169EF" w:rsidP="008169EF">
      <w:pPr>
        <w:pStyle w:val="ListParagraph"/>
        <w:numPr>
          <w:ilvl w:val="0"/>
          <w:numId w:val="5"/>
        </w:numPr>
      </w:pPr>
      <w:r>
        <w:t>Required reductions</w:t>
      </w:r>
    </w:p>
    <w:p w:rsidR="008169EF" w:rsidRDefault="008169EF" w:rsidP="006B789F">
      <w:proofErr w:type="gramStart"/>
      <w:r>
        <w:t>are</w:t>
      </w:r>
      <w:proofErr w:type="gramEnd"/>
      <w:r>
        <w:t xml:space="preserve"> appended.</w:t>
      </w:r>
    </w:p>
    <w:p w:rsidR="008169EF" w:rsidRDefault="008169EF" w:rsidP="006B789F">
      <w:r>
        <w:t>Note that for large parts of the country, the required reductions is high, in excess of 50%.</w:t>
      </w:r>
    </w:p>
    <w:p w:rsidR="006B789F" w:rsidRDefault="00523B03" w:rsidP="006B789F">
      <w:r>
        <w:t>(Models developed by River Basin Management Services.)</w:t>
      </w:r>
    </w:p>
    <w:p w:rsidR="00CC0A04" w:rsidRDefault="006B789F" w:rsidP="006B789F">
      <w:pPr>
        <w:pStyle w:val="Heading1"/>
      </w:pPr>
      <w:bookmarkStart w:id="5" w:name="_Toc504659729"/>
      <w:r>
        <w:t>4</w:t>
      </w:r>
      <w:r>
        <w:tab/>
      </w:r>
      <w:r w:rsidR="00CC0A04">
        <w:t>Determining Measures</w:t>
      </w:r>
      <w:bookmarkEnd w:id="5"/>
    </w:p>
    <w:p w:rsidR="006B789F" w:rsidRPr="006B789F" w:rsidRDefault="006B789F" w:rsidP="006B789F"/>
    <w:p w:rsidR="00B6354F" w:rsidRDefault="00CC0A04" w:rsidP="00CC0A04">
      <w:r>
        <w:t xml:space="preserve">Having determined the required reductions as defined above, </w:t>
      </w:r>
      <w:proofErr w:type="spellStart"/>
      <w:r>
        <w:t>FarmScoper</w:t>
      </w:r>
      <w:proofErr w:type="spellEnd"/>
      <w:r>
        <w:t xml:space="preserve"> can be used to identify </w:t>
      </w:r>
      <w:r w:rsidR="00B6354F">
        <w:t>the measures to provide these reductions.</w:t>
      </w:r>
      <w:r w:rsidR="00752A3A">
        <w:t xml:space="preserve"> As mentioned above the percentage found for the required reductions may be applied to the </w:t>
      </w:r>
      <w:proofErr w:type="spellStart"/>
      <w:r w:rsidR="00752A3A">
        <w:t>FarmScoper</w:t>
      </w:r>
      <w:proofErr w:type="spellEnd"/>
      <w:r w:rsidR="00752A3A">
        <w:t xml:space="preserve"> loads. </w:t>
      </w:r>
    </w:p>
    <w:p w:rsidR="006B789F" w:rsidRDefault="006B789F" w:rsidP="006B789F">
      <w:pPr>
        <w:pStyle w:val="Heading1"/>
      </w:pPr>
      <w:bookmarkStart w:id="6" w:name="_Toc504659730"/>
      <w:r>
        <w:t>5</w:t>
      </w:r>
      <w:r>
        <w:tab/>
        <w:t>Making Decisions</w:t>
      </w:r>
      <w:bookmarkEnd w:id="6"/>
    </w:p>
    <w:p w:rsidR="006B789F" w:rsidRDefault="006B789F" w:rsidP="00CC0A04">
      <w:r>
        <w:t xml:space="preserve">The above approach determines possible measures. </w:t>
      </w:r>
    </w:p>
    <w:p w:rsidR="00947D19" w:rsidRDefault="006B789F">
      <w:r>
        <w:t>For River Basin Planning, these measures would then be cost-benefit analysed and if necessary alternative objectives set.  From this the chosen measures can be decided upon.</w:t>
      </w:r>
    </w:p>
    <w:p w:rsidR="00B3096C" w:rsidRPr="002A4D65" w:rsidRDefault="00745AAC" w:rsidP="002A4D65">
      <w:pPr>
        <w:pStyle w:val="Heading1"/>
      </w:pPr>
      <w:r>
        <w:br w:type="page"/>
      </w:r>
      <w:bookmarkStart w:id="7" w:name="_Toc504659731"/>
      <w:r w:rsidR="00B3096C" w:rsidRPr="002A4D65">
        <w:t>Appendix 1 Fair Share</w:t>
      </w:r>
      <w:bookmarkEnd w:id="7"/>
    </w:p>
    <w:p w:rsidR="00B3096C" w:rsidRPr="00DA2A4B" w:rsidRDefault="00B3096C" w:rsidP="00B3096C">
      <w:pPr>
        <w:rPr>
          <w:sz w:val="20"/>
          <w:szCs w:val="20"/>
        </w:rPr>
      </w:pPr>
      <w:r w:rsidRPr="00DA2A4B">
        <w:rPr>
          <w:sz w:val="20"/>
          <w:szCs w:val="20"/>
          <w:u w:val="single"/>
        </w:rPr>
        <w:t>Targeting action on a fair share basis</w:t>
      </w:r>
    </w:p>
    <w:p w:rsidR="00B3096C" w:rsidRPr="00DA2A4B" w:rsidRDefault="00B3096C" w:rsidP="00B3096C">
      <w:pPr>
        <w:rPr>
          <w:sz w:val="20"/>
          <w:szCs w:val="20"/>
        </w:rPr>
      </w:pPr>
      <w:r w:rsidRPr="00DA2A4B">
        <w:rPr>
          <w:sz w:val="20"/>
          <w:szCs w:val="20"/>
        </w:rPr>
        <w:t>When determining what action should be taken to improve or to prevent deterioration of the water environment, consideration should be given to the proportion each sector, business or individual contributes to the problem. Action to reduce pollutants should be targeted on a ‘fair share’ basis, whereby each sector, business or individual deals with its proportional contribution. This approach is rooted in the ‘polluter pays’ principle.</w:t>
      </w:r>
    </w:p>
    <w:p w:rsidR="00B3096C" w:rsidRPr="00DA2A4B" w:rsidRDefault="00B3096C" w:rsidP="00B3096C">
      <w:pPr>
        <w:rPr>
          <w:sz w:val="20"/>
          <w:szCs w:val="20"/>
        </w:rPr>
      </w:pPr>
      <w:r w:rsidRPr="00DA2A4B">
        <w:rPr>
          <w:sz w:val="20"/>
          <w:szCs w:val="20"/>
        </w:rPr>
        <w:t>Individual sectors, businesses or individuals are able to do more than their fair share if they are willing to do so and this additional burden is supported, where relevant, by their customers. When a sector cannot achieve its fair share reduction, on grounds of technical infeasibility, we should work with other sectors to identify alternative measures to deal with the problem that are both technically feasible and cost-effective. Any additional obligation imposed on a sector, business or individual, to offset inaction by others, should not compromise its ability to deal with its own fair share.</w:t>
      </w:r>
    </w:p>
    <w:p w:rsidR="00B3096C" w:rsidRPr="00DA2A4B" w:rsidRDefault="00B3096C" w:rsidP="00B3096C">
      <w:pPr>
        <w:rPr>
          <w:sz w:val="20"/>
          <w:szCs w:val="20"/>
        </w:rPr>
      </w:pPr>
      <w:r w:rsidRPr="00DA2A4B">
        <w:rPr>
          <w:sz w:val="20"/>
          <w:szCs w:val="20"/>
        </w:rPr>
        <w:t xml:space="preserve">This ‘fair share’ approach should be applied when developing programmes of measures for protected areas </w:t>
      </w:r>
      <w:r w:rsidRPr="002A4D65">
        <w:rPr>
          <w:sz w:val="20"/>
          <w:szCs w:val="20"/>
        </w:rPr>
        <w:t>and catchments.</w:t>
      </w:r>
      <w:r w:rsidRPr="00DA2A4B">
        <w:rPr>
          <w:sz w:val="20"/>
          <w:szCs w:val="20"/>
        </w:rPr>
        <w:t xml:space="preserve">  </w:t>
      </w:r>
    </w:p>
    <w:p w:rsidR="00B3096C" w:rsidRPr="00DA2A4B" w:rsidRDefault="00B3096C" w:rsidP="00B3096C">
      <w:pPr>
        <w:rPr>
          <w:rFonts w:cs="Arial"/>
          <w:b/>
          <w:sz w:val="20"/>
          <w:szCs w:val="20"/>
        </w:rPr>
      </w:pPr>
      <w:r w:rsidRPr="00DA2A4B">
        <w:rPr>
          <w:rFonts w:cs="Arial"/>
          <w:b/>
          <w:sz w:val="20"/>
          <w:szCs w:val="20"/>
        </w:rPr>
        <w:t>Fair share approach for water quality.</w:t>
      </w:r>
    </w:p>
    <w:p w:rsidR="00B3096C" w:rsidRPr="00DA2A4B" w:rsidRDefault="00B3096C" w:rsidP="00B3096C">
      <w:pPr>
        <w:rPr>
          <w:rFonts w:cs="Arial"/>
          <w:b/>
          <w:sz w:val="20"/>
          <w:szCs w:val="20"/>
        </w:rPr>
      </w:pPr>
      <w:r w:rsidRPr="00DA2A4B">
        <w:rPr>
          <w:rFonts w:cs="Arial"/>
          <w:b/>
          <w:sz w:val="20"/>
          <w:szCs w:val="20"/>
        </w:rPr>
        <w:t>Setting the baseline</w:t>
      </w:r>
    </w:p>
    <w:p w:rsidR="00B3096C" w:rsidRPr="00DA2A4B" w:rsidRDefault="00B3096C" w:rsidP="00B3096C">
      <w:pPr>
        <w:rPr>
          <w:sz w:val="20"/>
          <w:szCs w:val="20"/>
        </w:rPr>
      </w:pPr>
      <w:r w:rsidRPr="00DA2A4B">
        <w:rPr>
          <w:sz w:val="20"/>
          <w:szCs w:val="20"/>
        </w:rPr>
        <w:t xml:space="preserve">In PR09 and PR14 action to improve water bodies under the environment programme drivers was on a strict fair share basis based on the polluter pays principle, unless water companies volunteered to go further. It was assumed that other sectors would also do their share to ensure that objectives were achieved. The baseline for fair share must, therefore, be set to 2009 so that there is no further requirement for sectors that have already reduced their pollution load in line with fair share to have to go further. </w:t>
      </w:r>
      <w:r w:rsidRPr="002A4D65">
        <w:rPr>
          <w:sz w:val="20"/>
          <w:szCs w:val="20"/>
        </w:rPr>
        <w:t>The establishment of new standards i.e. revised Common Standards Monitoring Guidance targets do not reset the baseline. This means that work carried out by any sector already is not ignored.</w:t>
      </w:r>
    </w:p>
    <w:p w:rsidR="00B3096C" w:rsidRPr="00DA2A4B" w:rsidRDefault="00B3096C" w:rsidP="00B3096C">
      <w:pPr>
        <w:rPr>
          <w:rFonts w:cs="Arial"/>
          <w:b/>
          <w:sz w:val="20"/>
          <w:szCs w:val="20"/>
        </w:rPr>
      </w:pPr>
      <w:r w:rsidRPr="00DA2A4B">
        <w:rPr>
          <w:rFonts w:cs="Arial"/>
          <w:b/>
          <w:sz w:val="20"/>
          <w:szCs w:val="20"/>
        </w:rPr>
        <w:t>Consideration of technical feasibility</w:t>
      </w:r>
    </w:p>
    <w:p w:rsidR="00B3096C" w:rsidRPr="00DA2A4B" w:rsidRDefault="00B3096C" w:rsidP="00B3096C">
      <w:pPr>
        <w:rPr>
          <w:rFonts w:cs="Arial"/>
          <w:b/>
          <w:sz w:val="20"/>
          <w:szCs w:val="20"/>
        </w:rPr>
      </w:pPr>
      <w:r w:rsidRPr="00DA2A4B">
        <w:rPr>
          <w:sz w:val="20"/>
          <w:szCs w:val="20"/>
        </w:rPr>
        <w:t>Before we will ask other sectors to do more than their fair share there should be evidence available to confirm that measures for some sectors are truly not technically feasible.</w:t>
      </w:r>
      <w:r w:rsidRPr="00DA2A4B">
        <w:rPr>
          <w:rFonts w:cs="Arial"/>
          <w:b/>
          <w:sz w:val="20"/>
          <w:szCs w:val="20"/>
        </w:rPr>
        <w:t xml:space="preserve"> </w:t>
      </w:r>
    </w:p>
    <w:p w:rsidR="00B3096C" w:rsidRPr="00DA2A4B" w:rsidRDefault="00B3096C" w:rsidP="00B3096C">
      <w:pPr>
        <w:rPr>
          <w:rFonts w:cs="Arial"/>
          <w:b/>
          <w:sz w:val="20"/>
          <w:szCs w:val="20"/>
        </w:rPr>
      </w:pPr>
      <w:r w:rsidRPr="00DA2A4B">
        <w:rPr>
          <w:rFonts w:cs="Arial"/>
          <w:b/>
          <w:sz w:val="20"/>
          <w:szCs w:val="20"/>
        </w:rPr>
        <w:t>Establishing the scale</w:t>
      </w:r>
    </w:p>
    <w:p w:rsidR="00B3096C" w:rsidRPr="00DA2A4B" w:rsidRDefault="00B3096C" w:rsidP="00B3096C">
      <w:pPr>
        <w:rPr>
          <w:sz w:val="20"/>
          <w:szCs w:val="20"/>
        </w:rPr>
      </w:pPr>
      <w:r w:rsidRPr="00DA2A4B">
        <w:rPr>
          <w:sz w:val="20"/>
          <w:szCs w:val="20"/>
        </w:rPr>
        <w:t>The Water Framework Directive is based around a catchment approach to planning. A catchment planning approach can, in the right circumstances, do more for the environment following the ‘polluter pays’ principle.</w:t>
      </w:r>
    </w:p>
    <w:p w:rsidR="00B3096C" w:rsidRDefault="00B3096C" w:rsidP="00B3096C">
      <w:pPr>
        <w:rPr>
          <w:b/>
          <w:sz w:val="20"/>
          <w:szCs w:val="20"/>
        </w:rPr>
      </w:pPr>
      <w:r w:rsidRPr="0050566D">
        <w:rPr>
          <w:b/>
          <w:sz w:val="20"/>
          <w:szCs w:val="20"/>
        </w:rPr>
        <w:t>Confirmed approach</w:t>
      </w:r>
    </w:p>
    <w:p w:rsidR="00B3096C" w:rsidRDefault="00B3096C" w:rsidP="00B3096C">
      <w:pPr>
        <w:rPr>
          <w:sz w:val="20"/>
          <w:szCs w:val="20"/>
        </w:rPr>
      </w:pPr>
      <w:r>
        <w:rPr>
          <w:sz w:val="20"/>
          <w:szCs w:val="20"/>
        </w:rPr>
        <w:t>Sector shares are determined by their proportion of baseline river concentration at assessment points.</w:t>
      </w:r>
    </w:p>
    <w:p w:rsidR="00B3096C" w:rsidRDefault="00B3096C" w:rsidP="00B3096C">
      <w:pPr>
        <w:rPr>
          <w:sz w:val="20"/>
          <w:szCs w:val="20"/>
        </w:rPr>
      </w:pPr>
    </w:p>
    <w:p w:rsidR="00B3096C" w:rsidRPr="007C1CFB" w:rsidRDefault="00B3096C" w:rsidP="00B3096C">
      <w:pPr>
        <w:rPr>
          <w:rFonts w:eastAsiaTheme="minorEastAsia"/>
          <w:sz w:val="20"/>
          <w:szCs w:val="20"/>
        </w:rPr>
      </w:pPr>
      <m:oMathPara>
        <m:oMath>
          <m:r>
            <w:rPr>
              <w:rFonts w:ascii="Cambria Math" w:hAnsi="Cambria Math"/>
              <w:sz w:val="20"/>
              <w:szCs w:val="20"/>
            </w:rPr>
            <m:t xml:space="preserve">sector share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sector concentration</m:t>
              </m:r>
            </m:num>
            <m:den>
              <m:r>
                <w:rPr>
                  <w:rFonts w:ascii="Cambria Math" w:hAnsi="Cambria Math"/>
                  <w:sz w:val="20"/>
                  <w:szCs w:val="20"/>
                </w:rPr>
                <m:t>total concentration</m:t>
              </m:r>
            </m:den>
          </m:f>
          <m:r>
            <w:rPr>
              <w:rFonts w:ascii="Cambria Math" w:hAnsi="Cambria Math"/>
              <w:sz w:val="20"/>
              <w:szCs w:val="20"/>
            </w:rPr>
            <m:t>*100</m:t>
          </m:r>
        </m:oMath>
      </m:oMathPara>
    </w:p>
    <w:p w:rsidR="00B3096C" w:rsidRDefault="00B3096C" w:rsidP="00B3096C">
      <w:pPr>
        <w:rPr>
          <w:sz w:val="20"/>
          <w:szCs w:val="20"/>
        </w:rPr>
      </w:pPr>
      <w:r>
        <w:rPr>
          <w:sz w:val="20"/>
          <w:szCs w:val="20"/>
        </w:rPr>
        <w:t>Assessment points will depend on the nature of the catchment and will be determined by examination by the interested parties. Assessment points will typically be discharge points, monitoring points, water body entry points and water body exit points. They are selected with a view to maximising compliance, and where there is evidence of eutrophication. Discharge points are the preferred assessment points, but if reasonable, others may be used.</w:t>
      </w:r>
    </w:p>
    <w:p w:rsidR="00B3096C" w:rsidRDefault="00B3096C" w:rsidP="00B3096C">
      <w:pPr>
        <w:rPr>
          <w:sz w:val="20"/>
          <w:szCs w:val="20"/>
        </w:rPr>
      </w:pPr>
      <w:r>
        <w:rPr>
          <w:sz w:val="20"/>
          <w:szCs w:val="20"/>
        </w:rPr>
        <w:t>For point sources, their sector share at assessment point is their baseline cumulative (</w:t>
      </w:r>
      <w:proofErr w:type="spellStart"/>
      <w:r>
        <w:rPr>
          <w:sz w:val="20"/>
          <w:szCs w:val="20"/>
        </w:rPr>
        <w:t>ie</w:t>
      </w:r>
      <w:proofErr w:type="spellEnd"/>
      <w:r>
        <w:rPr>
          <w:sz w:val="20"/>
          <w:szCs w:val="20"/>
        </w:rPr>
        <w:t xml:space="preserve"> sum of all upstream discharge contributions) concentration divided by the baseline river concentration. Our Proportional Catchment Reduction Tool can be used to calculate this from baseline catchment model outputs.</w:t>
      </w:r>
    </w:p>
    <w:p w:rsidR="00B3096C" w:rsidRDefault="00B3096C" w:rsidP="00B3096C">
      <w:pPr>
        <w:rPr>
          <w:sz w:val="20"/>
          <w:szCs w:val="20"/>
        </w:rPr>
      </w:pPr>
      <w:r>
        <w:rPr>
          <w:sz w:val="20"/>
          <w:szCs w:val="20"/>
        </w:rPr>
        <w:t>For the diffuse sector it is preferable, for reasons of equity and practicality, to have a single share value. Otherwise some operators will be treated differently, hence unfairly, compared to others. A single diffuse sector share value is calculated from the assessment point values (via a form of averaging) thus:</w:t>
      </w:r>
    </w:p>
    <w:p w:rsidR="00B3096C" w:rsidRDefault="00B3096C" w:rsidP="00B3096C">
      <w:pPr>
        <w:rPr>
          <w:sz w:val="20"/>
          <w:szCs w:val="20"/>
        </w:rPr>
      </w:pPr>
      <m:oMathPara>
        <m:oMath>
          <m:r>
            <w:rPr>
              <w:rFonts w:ascii="Cambria Math" w:hAnsi="Cambria Math"/>
              <w:sz w:val="20"/>
              <w:szCs w:val="20"/>
            </w:rPr>
            <m:t>diffuse sector share</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diffuse concentration</m:t>
                  </m:r>
                </m:e>
              </m:nary>
            </m:num>
            <m:den>
              <m:nary>
                <m:naryPr>
                  <m:chr m:val="∑"/>
                  <m:limLoc m:val="undOvr"/>
                  <m:subHide m:val="1"/>
                  <m:supHide m:val="1"/>
                  <m:ctrlPr>
                    <w:rPr>
                      <w:rFonts w:ascii="Cambria Math" w:hAnsi="Cambria Math"/>
                      <w:i/>
                      <w:sz w:val="20"/>
                      <w:szCs w:val="20"/>
                    </w:rPr>
                  </m:ctrlPr>
                </m:naryPr>
                <m:sub/>
                <m:sup/>
                <m:e>
                  <m:r>
                    <w:rPr>
                      <w:rFonts w:ascii="Cambria Math" w:hAnsi="Cambria Math"/>
                      <w:sz w:val="20"/>
                      <w:szCs w:val="20"/>
                    </w:rPr>
                    <m:t>total concentration</m:t>
                  </m:r>
                </m:e>
              </m:nary>
            </m:den>
          </m:f>
          <m:r>
            <w:rPr>
              <w:rFonts w:ascii="Cambria Math" w:hAnsi="Cambria Math"/>
              <w:sz w:val="20"/>
              <w:szCs w:val="20"/>
            </w:rPr>
            <m:t>*100</m:t>
          </m:r>
        </m:oMath>
      </m:oMathPara>
    </w:p>
    <w:p w:rsidR="00B3096C" w:rsidRDefault="00B3096C" w:rsidP="00B3096C">
      <w:pPr>
        <w:rPr>
          <w:sz w:val="20"/>
          <w:szCs w:val="20"/>
        </w:rPr>
      </w:pPr>
      <w:r>
        <w:rPr>
          <w:sz w:val="20"/>
          <w:szCs w:val="20"/>
        </w:rPr>
        <w:t xml:space="preserve"> </w:t>
      </w:r>
      <w:proofErr w:type="gramStart"/>
      <w:r>
        <w:rPr>
          <w:sz w:val="20"/>
          <w:szCs w:val="20"/>
        </w:rPr>
        <w:t>where</w:t>
      </w:r>
      <w:proofErr w:type="gramEnd"/>
      <w:r>
        <w:rPr>
          <w:sz w:val="20"/>
          <w:szCs w:val="20"/>
        </w:rPr>
        <w:t xml:space="preserve"> the summation is over the assessment points.</w:t>
      </w:r>
    </w:p>
    <w:p w:rsidR="00B3096C" w:rsidRDefault="00B3096C" w:rsidP="00B3096C">
      <w:pPr>
        <w:rPr>
          <w:sz w:val="20"/>
          <w:szCs w:val="20"/>
        </w:rPr>
      </w:pPr>
      <w:r>
        <w:rPr>
          <w:sz w:val="20"/>
          <w:szCs w:val="20"/>
        </w:rPr>
        <w:t xml:space="preserve">A similar single catchment share figure may be derived for the point sources. This may be used, as an alternative to the above, for calculating the point source solution, providing the potential for compliance is not compromised. A single share figure may simplify the application of </w:t>
      </w:r>
      <w:r w:rsidR="00A86D38">
        <w:rPr>
          <w:sz w:val="20"/>
          <w:szCs w:val="20"/>
        </w:rPr>
        <w:t>the catchment permitting option</w:t>
      </w:r>
      <w:r w:rsidR="002A4D65">
        <w:rPr>
          <w:sz w:val="20"/>
          <w:szCs w:val="20"/>
        </w:rPr>
        <w:t>.</w:t>
      </w:r>
    </w:p>
    <w:p w:rsidR="002A4D65" w:rsidRDefault="00B3096C" w:rsidP="00B3096C">
      <w:pPr>
        <w:rPr>
          <w:sz w:val="20"/>
          <w:szCs w:val="20"/>
        </w:rPr>
      </w:pPr>
      <w:r>
        <w:rPr>
          <w:sz w:val="20"/>
          <w:szCs w:val="20"/>
        </w:rPr>
        <w:t>Here share means the share of the target (EQS) allotted to each sector.</w:t>
      </w:r>
    </w:p>
    <w:p w:rsidR="00A86D38" w:rsidRDefault="00A86D38" w:rsidP="00B3096C">
      <w:pPr>
        <w:rPr>
          <w:sz w:val="20"/>
          <w:szCs w:val="20"/>
        </w:rPr>
      </w:pPr>
    </w:p>
    <w:p w:rsidR="008C17AE" w:rsidRDefault="008C17AE">
      <w:pPr>
        <w:rPr>
          <w:sz w:val="20"/>
          <w:szCs w:val="20"/>
        </w:rPr>
      </w:pPr>
      <w:r>
        <w:rPr>
          <w:sz w:val="20"/>
          <w:szCs w:val="20"/>
        </w:rPr>
        <w:br w:type="page"/>
      </w:r>
    </w:p>
    <w:p w:rsidR="00A86D38" w:rsidRPr="00C06F03" w:rsidRDefault="001240FA" w:rsidP="00B3096C">
      <w:pPr>
        <w:rPr>
          <w:color w:val="2E74B5" w:themeColor="accent1" w:themeShade="BF"/>
          <w:sz w:val="28"/>
          <w:szCs w:val="28"/>
        </w:rPr>
      </w:pPr>
      <w:r w:rsidRPr="00C06F03">
        <w:rPr>
          <w:color w:val="2E74B5" w:themeColor="accent1" w:themeShade="BF"/>
          <w:sz w:val="28"/>
          <w:szCs w:val="28"/>
        </w:rPr>
        <w:t xml:space="preserve">Additional note: </w:t>
      </w:r>
      <w:r w:rsidRPr="00C06F03">
        <w:rPr>
          <w:color w:val="2E74B5" w:themeColor="accent1" w:themeShade="BF"/>
          <w:sz w:val="28"/>
          <w:szCs w:val="28"/>
        </w:rPr>
        <w:tab/>
        <w:t>Applying Fair Share for diff</w:t>
      </w:r>
      <w:r w:rsidR="00C06F03" w:rsidRPr="00C06F03">
        <w:rPr>
          <w:color w:val="2E74B5" w:themeColor="accent1" w:themeShade="BF"/>
          <w:sz w:val="28"/>
          <w:szCs w:val="28"/>
        </w:rPr>
        <w:t>use sector at Operational Scale</w:t>
      </w:r>
    </w:p>
    <w:p w:rsidR="008C17AE" w:rsidRDefault="008C17AE" w:rsidP="00763568">
      <w:pPr>
        <w:pStyle w:val="ListParagraph"/>
        <w:numPr>
          <w:ilvl w:val="0"/>
          <w:numId w:val="6"/>
        </w:numPr>
        <w:rPr>
          <w:sz w:val="20"/>
          <w:szCs w:val="20"/>
        </w:rPr>
      </w:pPr>
      <w:r w:rsidRPr="00763568">
        <w:rPr>
          <w:sz w:val="20"/>
          <w:szCs w:val="20"/>
        </w:rPr>
        <w:t>Sector target share will be proportional to sector share at baseline year. The greater the sector share at baseline the greater the target share.</w:t>
      </w:r>
    </w:p>
    <w:p w:rsidR="00763568" w:rsidRPr="00763568" w:rsidRDefault="00763568" w:rsidP="00763568">
      <w:pPr>
        <w:pStyle w:val="ListParagraph"/>
        <w:rPr>
          <w:sz w:val="20"/>
          <w:szCs w:val="20"/>
        </w:rPr>
      </w:pPr>
    </w:p>
    <w:p w:rsidR="00693329" w:rsidRDefault="00763568" w:rsidP="00693329">
      <w:pPr>
        <w:pStyle w:val="ListParagraph"/>
        <w:numPr>
          <w:ilvl w:val="0"/>
          <w:numId w:val="6"/>
        </w:numPr>
        <w:rPr>
          <w:sz w:val="20"/>
          <w:szCs w:val="20"/>
        </w:rPr>
      </w:pPr>
      <w:r>
        <w:rPr>
          <w:sz w:val="20"/>
          <w:szCs w:val="20"/>
        </w:rPr>
        <w:t>The</w:t>
      </w:r>
      <w:r w:rsidR="001240FA" w:rsidRPr="00763568">
        <w:rPr>
          <w:sz w:val="20"/>
          <w:szCs w:val="20"/>
        </w:rPr>
        <w:t xml:space="preserve"> mean diffuse concentration in the operational catchment is obtained from the SAGIS-SIMCAT models and selecting type’6’ features; which are plotting points every kilometre</w:t>
      </w:r>
      <w:r>
        <w:rPr>
          <w:sz w:val="20"/>
          <w:szCs w:val="20"/>
        </w:rPr>
        <w:t>.</w:t>
      </w:r>
    </w:p>
    <w:p w:rsidR="00693329" w:rsidRPr="00693329" w:rsidRDefault="00693329" w:rsidP="00693329">
      <w:pPr>
        <w:pStyle w:val="ListParagraph"/>
        <w:rPr>
          <w:sz w:val="20"/>
          <w:szCs w:val="20"/>
        </w:rPr>
      </w:pPr>
    </w:p>
    <w:p w:rsidR="00693329" w:rsidRPr="00693329" w:rsidRDefault="00693329" w:rsidP="00693329">
      <w:pPr>
        <w:pStyle w:val="ListParagraph"/>
        <w:numPr>
          <w:ilvl w:val="0"/>
          <w:numId w:val="6"/>
        </w:numPr>
        <w:rPr>
          <w:sz w:val="20"/>
          <w:szCs w:val="20"/>
        </w:rPr>
      </w:pPr>
      <w:r>
        <w:rPr>
          <w:sz w:val="20"/>
          <w:szCs w:val="20"/>
        </w:rPr>
        <w:t>The national average diffuse concentration is 0.071 mg/l.</w:t>
      </w:r>
      <w:r w:rsidR="00714B9C">
        <w:rPr>
          <w:sz w:val="20"/>
          <w:szCs w:val="20"/>
        </w:rPr>
        <w:t xml:space="preserve"> (Arable 0.015mg/l, Livestock 0.35 mg/l, Urban 0.020 mg/l)</w:t>
      </w:r>
    </w:p>
    <w:p w:rsidR="00763568" w:rsidRPr="00763568" w:rsidRDefault="00763568" w:rsidP="00763568">
      <w:pPr>
        <w:pStyle w:val="ListParagraph"/>
        <w:rPr>
          <w:sz w:val="20"/>
          <w:szCs w:val="20"/>
        </w:rPr>
      </w:pPr>
    </w:p>
    <w:p w:rsidR="001240FA" w:rsidRPr="00763568" w:rsidRDefault="00763568" w:rsidP="00763568">
      <w:pPr>
        <w:pStyle w:val="ListParagraph"/>
        <w:numPr>
          <w:ilvl w:val="0"/>
          <w:numId w:val="6"/>
        </w:numPr>
        <w:rPr>
          <w:sz w:val="20"/>
          <w:szCs w:val="20"/>
        </w:rPr>
      </w:pPr>
      <w:r>
        <w:rPr>
          <w:sz w:val="20"/>
          <w:szCs w:val="20"/>
        </w:rPr>
        <w:t>There are a number of ways t</w:t>
      </w:r>
      <w:r w:rsidR="001240FA" w:rsidRPr="00763568">
        <w:rPr>
          <w:sz w:val="20"/>
          <w:szCs w:val="20"/>
        </w:rPr>
        <w:t xml:space="preserve">o </w:t>
      </w:r>
      <w:r>
        <w:rPr>
          <w:sz w:val="20"/>
          <w:szCs w:val="20"/>
        </w:rPr>
        <w:t xml:space="preserve">calculate </w:t>
      </w:r>
      <w:r w:rsidR="001240FA" w:rsidRPr="00763568">
        <w:rPr>
          <w:sz w:val="20"/>
          <w:szCs w:val="20"/>
        </w:rPr>
        <w:t xml:space="preserve">the point concentration </w:t>
      </w:r>
      <w:r>
        <w:rPr>
          <w:sz w:val="20"/>
          <w:szCs w:val="20"/>
        </w:rPr>
        <w:t>for the operational catchment. These are:</w:t>
      </w:r>
      <w:r w:rsidR="0099277C" w:rsidRPr="0099277C">
        <w:rPr>
          <w:noProof/>
          <w:lang w:eastAsia="en-GB"/>
        </w:rPr>
        <w:t xml:space="preserve"> </w:t>
      </w:r>
    </w:p>
    <w:p w:rsidR="001240FA" w:rsidRPr="00763568" w:rsidRDefault="001240FA" w:rsidP="00763568">
      <w:pPr>
        <w:pStyle w:val="ListParagraph"/>
        <w:numPr>
          <w:ilvl w:val="1"/>
          <w:numId w:val="6"/>
        </w:numPr>
        <w:rPr>
          <w:sz w:val="20"/>
          <w:szCs w:val="20"/>
        </w:rPr>
      </w:pPr>
      <w:r w:rsidRPr="00763568">
        <w:rPr>
          <w:sz w:val="20"/>
          <w:szCs w:val="20"/>
        </w:rPr>
        <w:t>Option 1 – monitoring points</w:t>
      </w:r>
    </w:p>
    <w:p w:rsidR="001240FA" w:rsidRPr="00763568" w:rsidRDefault="001240FA" w:rsidP="00763568">
      <w:pPr>
        <w:pStyle w:val="ListParagraph"/>
        <w:numPr>
          <w:ilvl w:val="1"/>
          <w:numId w:val="6"/>
        </w:numPr>
        <w:rPr>
          <w:sz w:val="20"/>
          <w:szCs w:val="20"/>
        </w:rPr>
      </w:pPr>
      <w:r w:rsidRPr="00763568">
        <w:rPr>
          <w:sz w:val="20"/>
          <w:szCs w:val="20"/>
        </w:rPr>
        <w:t>Option 2 – downstream discharge points</w:t>
      </w:r>
    </w:p>
    <w:p w:rsidR="001240FA" w:rsidRPr="00763568" w:rsidRDefault="001240FA" w:rsidP="00763568">
      <w:pPr>
        <w:pStyle w:val="ListParagraph"/>
        <w:numPr>
          <w:ilvl w:val="1"/>
          <w:numId w:val="6"/>
        </w:numPr>
        <w:rPr>
          <w:sz w:val="20"/>
          <w:szCs w:val="20"/>
        </w:rPr>
      </w:pPr>
      <w:r w:rsidRPr="00763568">
        <w:rPr>
          <w:sz w:val="20"/>
          <w:szCs w:val="20"/>
        </w:rPr>
        <w:t xml:space="preserve">Option 3 – all points </w:t>
      </w:r>
    </w:p>
    <w:p w:rsidR="001240FA" w:rsidRDefault="001240FA" w:rsidP="00763568">
      <w:pPr>
        <w:pStyle w:val="ListParagraph"/>
        <w:numPr>
          <w:ilvl w:val="1"/>
          <w:numId w:val="6"/>
        </w:numPr>
        <w:rPr>
          <w:sz w:val="20"/>
          <w:szCs w:val="20"/>
        </w:rPr>
      </w:pPr>
      <w:r w:rsidRPr="00763568">
        <w:rPr>
          <w:sz w:val="20"/>
          <w:szCs w:val="20"/>
        </w:rPr>
        <w:t xml:space="preserve">Option 4 </w:t>
      </w:r>
      <w:r w:rsidR="008C17AE" w:rsidRPr="00763568">
        <w:rPr>
          <w:sz w:val="20"/>
          <w:szCs w:val="20"/>
        </w:rPr>
        <w:t>–</w:t>
      </w:r>
      <w:r w:rsidRPr="00763568">
        <w:rPr>
          <w:sz w:val="20"/>
          <w:szCs w:val="20"/>
        </w:rPr>
        <w:t xml:space="preserve"> </w:t>
      </w:r>
      <w:r w:rsidR="008C17AE" w:rsidRPr="00763568">
        <w:rPr>
          <w:sz w:val="20"/>
          <w:szCs w:val="20"/>
        </w:rPr>
        <w:t>8</w:t>
      </w:r>
      <w:r w:rsidR="00DF11D9">
        <w:rPr>
          <w:sz w:val="20"/>
          <w:szCs w:val="20"/>
        </w:rPr>
        <w:t>5</w:t>
      </w:r>
      <w:r w:rsidR="008C17AE" w:rsidRPr="00763568">
        <w:rPr>
          <w:sz w:val="20"/>
          <w:szCs w:val="20"/>
          <w:vertAlign w:val="superscript"/>
        </w:rPr>
        <w:t>th</w:t>
      </w:r>
      <w:r w:rsidR="008C17AE" w:rsidRPr="00763568">
        <w:rPr>
          <w:sz w:val="20"/>
          <w:szCs w:val="20"/>
        </w:rPr>
        <w:t xml:space="preserve"> percentile of all points</w:t>
      </w:r>
    </w:p>
    <w:p w:rsidR="00763568" w:rsidRPr="00763568" w:rsidRDefault="00763568" w:rsidP="00763568">
      <w:pPr>
        <w:pStyle w:val="ListParagraph"/>
        <w:ind w:left="1440"/>
        <w:rPr>
          <w:sz w:val="20"/>
          <w:szCs w:val="20"/>
        </w:rPr>
      </w:pPr>
    </w:p>
    <w:p w:rsidR="008C17AE" w:rsidRDefault="008C17AE" w:rsidP="00763568">
      <w:pPr>
        <w:pStyle w:val="ListParagraph"/>
        <w:numPr>
          <w:ilvl w:val="0"/>
          <w:numId w:val="6"/>
        </w:numPr>
        <w:rPr>
          <w:sz w:val="20"/>
          <w:szCs w:val="20"/>
        </w:rPr>
      </w:pPr>
      <w:r w:rsidRPr="00763568">
        <w:rPr>
          <w:sz w:val="20"/>
          <w:szCs w:val="20"/>
        </w:rPr>
        <w:t>These options give different estimates of the point source contribution. On a national scale they are:</w:t>
      </w:r>
    </w:p>
    <w:p w:rsidR="00763568" w:rsidRPr="00763568" w:rsidRDefault="00763568" w:rsidP="00763568">
      <w:pPr>
        <w:pStyle w:val="ListParagraph"/>
        <w:rPr>
          <w:sz w:val="20"/>
          <w:szCs w:val="20"/>
        </w:rPr>
      </w:pPr>
    </w:p>
    <w:tbl>
      <w:tblPr>
        <w:tblStyle w:val="TableGrid"/>
        <w:tblW w:w="0" w:type="auto"/>
        <w:tblInd w:w="1696" w:type="dxa"/>
        <w:tblLook w:val="04A0" w:firstRow="1" w:lastRow="0" w:firstColumn="1" w:lastColumn="0" w:noHBand="0" w:noVBand="1"/>
      </w:tblPr>
      <w:tblGrid>
        <w:gridCol w:w="2127"/>
        <w:gridCol w:w="2551"/>
      </w:tblGrid>
      <w:tr w:rsidR="008C17AE" w:rsidTr="008C17AE">
        <w:tc>
          <w:tcPr>
            <w:tcW w:w="2127" w:type="dxa"/>
            <w:shd w:val="clear" w:color="auto" w:fill="BDD6EE" w:themeFill="accent1" w:themeFillTint="66"/>
          </w:tcPr>
          <w:p w:rsidR="008C17AE" w:rsidRPr="00763568" w:rsidRDefault="008C17AE" w:rsidP="00763568">
            <w:pPr>
              <w:jc w:val="center"/>
              <w:rPr>
                <w:sz w:val="20"/>
                <w:szCs w:val="20"/>
              </w:rPr>
            </w:pPr>
            <w:r w:rsidRPr="00763568">
              <w:rPr>
                <w:sz w:val="20"/>
                <w:szCs w:val="20"/>
              </w:rPr>
              <w:t>Option</w:t>
            </w:r>
          </w:p>
        </w:tc>
        <w:tc>
          <w:tcPr>
            <w:tcW w:w="2551" w:type="dxa"/>
            <w:shd w:val="clear" w:color="auto" w:fill="BDD6EE" w:themeFill="accent1" w:themeFillTint="66"/>
          </w:tcPr>
          <w:p w:rsidR="008C17AE" w:rsidRPr="00763568" w:rsidRDefault="008C17AE" w:rsidP="00763568">
            <w:pPr>
              <w:jc w:val="center"/>
              <w:rPr>
                <w:sz w:val="20"/>
                <w:szCs w:val="20"/>
              </w:rPr>
            </w:pPr>
            <w:r w:rsidRPr="00763568">
              <w:rPr>
                <w:sz w:val="20"/>
                <w:szCs w:val="20"/>
              </w:rPr>
              <w:t>Concentration (mg/l)</w:t>
            </w:r>
          </w:p>
        </w:tc>
      </w:tr>
      <w:tr w:rsidR="008C17AE" w:rsidTr="008C17AE">
        <w:tc>
          <w:tcPr>
            <w:tcW w:w="2127" w:type="dxa"/>
          </w:tcPr>
          <w:p w:rsidR="008C17AE" w:rsidRPr="00763568" w:rsidRDefault="008C17AE" w:rsidP="00763568">
            <w:pPr>
              <w:jc w:val="center"/>
              <w:rPr>
                <w:sz w:val="20"/>
                <w:szCs w:val="20"/>
              </w:rPr>
            </w:pPr>
            <w:r w:rsidRPr="00763568">
              <w:rPr>
                <w:sz w:val="20"/>
                <w:szCs w:val="20"/>
              </w:rPr>
              <w:t>1</w:t>
            </w:r>
          </w:p>
        </w:tc>
        <w:tc>
          <w:tcPr>
            <w:tcW w:w="2551" w:type="dxa"/>
          </w:tcPr>
          <w:p w:rsidR="008C17AE" w:rsidRPr="00763568" w:rsidRDefault="008C17AE" w:rsidP="00E8413E">
            <w:pPr>
              <w:jc w:val="center"/>
              <w:rPr>
                <w:sz w:val="20"/>
                <w:szCs w:val="20"/>
              </w:rPr>
            </w:pPr>
            <w:r w:rsidRPr="00763568">
              <w:rPr>
                <w:sz w:val="20"/>
                <w:szCs w:val="20"/>
              </w:rPr>
              <w:t>0.18</w:t>
            </w:r>
            <w:r w:rsidR="00E8413E">
              <w:rPr>
                <w:sz w:val="20"/>
                <w:szCs w:val="20"/>
              </w:rPr>
              <w:t>4</w:t>
            </w:r>
          </w:p>
        </w:tc>
      </w:tr>
      <w:tr w:rsidR="008C17AE" w:rsidTr="008C17AE">
        <w:tc>
          <w:tcPr>
            <w:tcW w:w="2127" w:type="dxa"/>
          </w:tcPr>
          <w:p w:rsidR="008C17AE" w:rsidRPr="00763568" w:rsidRDefault="008C17AE" w:rsidP="00763568">
            <w:pPr>
              <w:jc w:val="center"/>
              <w:rPr>
                <w:sz w:val="20"/>
                <w:szCs w:val="20"/>
              </w:rPr>
            </w:pPr>
            <w:r w:rsidRPr="00763568">
              <w:rPr>
                <w:sz w:val="20"/>
                <w:szCs w:val="20"/>
              </w:rPr>
              <w:t>2</w:t>
            </w:r>
          </w:p>
        </w:tc>
        <w:tc>
          <w:tcPr>
            <w:tcW w:w="2551" w:type="dxa"/>
          </w:tcPr>
          <w:p w:rsidR="008C17AE" w:rsidRPr="00763568" w:rsidRDefault="008C17AE" w:rsidP="00E8413E">
            <w:pPr>
              <w:jc w:val="center"/>
              <w:rPr>
                <w:sz w:val="20"/>
                <w:szCs w:val="20"/>
              </w:rPr>
            </w:pPr>
            <w:r w:rsidRPr="00763568">
              <w:rPr>
                <w:sz w:val="20"/>
                <w:szCs w:val="20"/>
              </w:rPr>
              <w:t>0.</w:t>
            </w:r>
            <w:r w:rsidR="00E8413E">
              <w:rPr>
                <w:sz w:val="20"/>
                <w:szCs w:val="20"/>
              </w:rPr>
              <w:t>398</w:t>
            </w:r>
          </w:p>
        </w:tc>
      </w:tr>
      <w:tr w:rsidR="008C17AE" w:rsidTr="008C17AE">
        <w:tc>
          <w:tcPr>
            <w:tcW w:w="2127" w:type="dxa"/>
          </w:tcPr>
          <w:p w:rsidR="008C17AE" w:rsidRPr="00763568" w:rsidRDefault="008C17AE" w:rsidP="00763568">
            <w:pPr>
              <w:jc w:val="center"/>
              <w:rPr>
                <w:sz w:val="20"/>
                <w:szCs w:val="20"/>
              </w:rPr>
            </w:pPr>
            <w:r w:rsidRPr="00763568">
              <w:rPr>
                <w:sz w:val="20"/>
                <w:szCs w:val="20"/>
              </w:rPr>
              <w:t>3</w:t>
            </w:r>
          </w:p>
        </w:tc>
        <w:tc>
          <w:tcPr>
            <w:tcW w:w="2551" w:type="dxa"/>
          </w:tcPr>
          <w:p w:rsidR="008C17AE" w:rsidRPr="00763568" w:rsidRDefault="00E8413E" w:rsidP="00763568">
            <w:pPr>
              <w:jc w:val="center"/>
              <w:rPr>
                <w:sz w:val="20"/>
                <w:szCs w:val="20"/>
              </w:rPr>
            </w:pPr>
            <w:r>
              <w:rPr>
                <w:sz w:val="20"/>
                <w:szCs w:val="20"/>
              </w:rPr>
              <w:t>0.101</w:t>
            </w:r>
          </w:p>
        </w:tc>
      </w:tr>
      <w:tr w:rsidR="008C17AE" w:rsidTr="008C17AE">
        <w:tc>
          <w:tcPr>
            <w:tcW w:w="2127" w:type="dxa"/>
          </w:tcPr>
          <w:p w:rsidR="008C17AE" w:rsidRPr="00763568" w:rsidRDefault="008C17AE" w:rsidP="00763568">
            <w:pPr>
              <w:jc w:val="center"/>
              <w:rPr>
                <w:sz w:val="20"/>
                <w:szCs w:val="20"/>
              </w:rPr>
            </w:pPr>
            <w:r w:rsidRPr="00763568">
              <w:rPr>
                <w:sz w:val="20"/>
                <w:szCs w:val="20"/>
              </w:rPr>
              <w:t>4</w:t>
            </w:r>
          </w:p>
        </w:tc>
        <w:tc>
          <w:tcPr>
            <w:tcW w:w="2551" w:type="dxa"/>
          </w:tcPr>
          <w:p w:rsidR="008C17AE" w:rsidRPr="00763568" w:rsidRDefault="008C17AE" w:rsidP="00763568">
            <w:pPr>
              <w:jc w:val="center"/>
              <w:rPr>
                <w:sz w:val="20"/>
                <w:szCs w:val="20"/>
              </w:rPr>
            </w:pPr>
            <w:r w:rsidRPr="00763568">
              <w:rPr>
                <w:sz w:val="20"/>
                <w:szCs w:val="20"/>
              </w:rPr>
              <w:t>0.395</w:t>
            </w:r>
          </w:p>
        </w:tc>
      </w:tr>
    </w:tbl>
    <w:p w:rsidR="006225B5" w:rsidRDefault="006225B5" w:rsidP="00B3096C">
      <w:pPr>
        <w:rPr>
          <w:sz w:val="20"/>
          <w:szCs w:val="20"/>
        </w:rPr>
      </w:pPr>
    </w:p>
    <w:p w:rsidR="008C17AE" w:rsidRDefault="006225B5" w:rsidP="00763568">
      <w:pPr>
        <w:pStyle w:val="ListParagraph"/>
        <w:numPr>
          <w:ilvl w:val="0"/>
          <w:numId w:val="6"/>
        </w:numPr>
        <w:rPr>
          <w:sz w:val="20"/>
          <w:szCs w:val="20"/>
        </w:rPr>
      </w:pPr>
      <w:r w:rsidRPr="00763568">
        <w:rPr>
          <w:sz w:val="20"/>
          <w:szCs w:val="20"/>
        </w:rPr>
        <w:t>Traditionally fair share has been calculated at downstream discharge points (option 2) for point sources. Clearly an all points (option 3) calculation would much diminish the point source target share. This is because point source impacts are impulsive rat</w:t>
      </w:r>
      <w:r w:rsidR="00C06F03">
        <w:rPr>
          <w:sz w:val="20"/>
          <w:szCs w:val="20"/>
        </w:rPr>
        <w:t>her than evenly distributed as (</w:t>
      </w:r>
      <w:r w:rsidRPr="00763568">
        <w:rPr>
          <w:sz w:val="20"/>
          <w:szCs w:val="20"/>
        </w:rPr>
        <w:t>relatively speaking) for diffuse. This impulsive characteristic has been reflected in choosing the discharge points as assessment points. Option 4 is an alternative way to take account of the spatially impulsive nature of point source impacts. The advantage with option 4, which is close to option 2 in value, is that it avoids situations where a single discharge in a catchment has a large local</w:t>
      </w:r>
      <w:r w:rsidR="00763568" w:rsidRPr="00763568">
        <w:rPr>
          <w:sz w:val="20"/>
          <w:szCs w:val="20"/>
        </w:rPr>
        <w:t>, but not catchment wide effect, which would otherwise result in a unrealistic low share for diffuse.</w:t>
      </w:r>
    </w:p>
    <w:p w:rsidR="00763568" w:rsidRPr="00763568" w:rsidRDefault="00763568" w:rsidP="00763568">
      <w:pPr>
        <w:pStyle w:val="ListParagraph"/>
        <w:rPr>
          <w:sz w:val="20"/>
          <w:szCs w:val="20"/>
        </w:rPr>
      </w:pPr>
    </w:p>
    <w:p w:rsidR="00763568" w:rsidRDefault="00763568" w:rsidP="00763568">
      <w:pPr>
        <w:pStyle w:val="ListParagraph"/>
        <w:numPr>
          <w:ilvl w:val="0"/>
          <w:numId w:val="6"/>
        </w:numPr>
        <w:rPr>
          <w:sz w:val="20"/>
          <w:szCs w:val="20"/>
        </w:rPr>
      </w:pPr>
      <w:r w:rsidRPr="00763568">
        <w:rPr>
          <w:sz w:val="20"/>
          <w:szCs w:val="20"/>
        </w:rPr>
        <w:t xml:space="preserve">Option 4 will be consistent with the </w:t>
      </w:r>
      <w:r>
        <w:rPr>
          <w:sz w:val="20"/>
          <w:szCs w:val="20"/>
        </w:rPr>
        <w:t>PR19 approach for point source</w:t>
      </w:r>
      <w:r w:rsidR="00C06F03">
        <w:rPr>
          <w:sz w:val="20"/>
          <w:szCs w:val="20"/>
        </w:rPr>
        <w:t xml:space="preserve">s, and is recommended </w:t>
      </w:r>
      <w:r w:rsidR="00693329">
        <w:rPr>
          <w:sz w:val="20"/>
          <w:szCs w:val="20"/>
        </w:rPr>
        <w:t>for calculati</w:t>
      </w:r>
      <w:r>
        <w:rPr>
          <w:sz w:val="20"/>
          <w:szCs w:val="20"/>
        </w:rPr>
        <w:t>ng the diffuse share.</w:t>
      </w:r>
    </w:p>
    <w:p w:rsidR="00693329" w:rsidRPr="00693329" w:rsidRDefault="00693329" w:rsidP="00693329">
      <w:pPr>
        <w:pStyle w:val="ListParagraph"/>
        <w:rPr>
          <w:sz w:val="20"/>
          <w:szCs w:val="20"/>
        </w:rPr>
      </w:pPr>
    </w:p>
    <w:p w:rsidR="00693329" w:rsidRPr="00763568" w:rsidRDefault="00693329" w:rsidP="00693329">
      <w:pPr>
        <w:pStyle w:val="ListParagraph"/>
        <w:rPr>
          <w:sz w:val="20"/>
          <w:szCs w:val="20"/>
        </w:rPr>
      </w:pPr>
    </w:p>
    <w:p w:rsidR="001240FA" w:rsidRPr="00763568" w:rsidRDefault="00763568" w:rsidP="00763568">
      <w:pPr>
        <w:pStyle w:val="ListParagraph"/>
        <w:numPr>
          <w:ilvl w:val="0"/>
          <w:numId w:val="6"/>
        </w:numPr>
        <w:rPr>
          <w:sz w:val="20"/>
          <w:szCs w:val="20"/>
        </w:rPr>
      </w:pPr>
      <w:r w:rsidRPr="00763568">
        <w:rPr>
          <w:sz w:val="20"/>
          <w:szCs w:val="20"/>
        </w:rPr>
        <w:t>Below comparisons between option 2 and option 4 are presented.</w:t>
      </w:r>
    </w:p>
    <w:p w:rsidR="001240FA" w:rsidRDefault="001240FA" w:rsidP="00B3096C">
      <w:pPr>
        <w:rPr>
          <w:sz w:val="20"/>
          <w:szCs w:val="20"/>
        </w:rPr>
      </w:pPr>
    </w:p>
    <w:p w:rsidR="002A4D65" w:rsidRDefault="002A4D65">
      <w:pPr>
        <w:rPr>
          <w:sz w:val="20"/>
          <w:szCs w:val="20"/>
        </w:rPr>
      </w:pPr>
    </w:p>
    <w:p w:rsidR="0099277C" w:rsidRDefault="0099277C" w:rsidP="00443771">
      <w:pPr>
        <w:pStyle w:val="Heading1"/>
        <w:sectPr w:rsidR="0099277C" w:rsidSect="00001672">
          <w:headerReference w:type="default" r:id="rId9"/>
          <w:pgSz w:w="11907" w:h="16839" w:code="9"/>
          <w:pgMar w:top="1440" w:right="1440" w:bottom="1440" w:left="1440" w:header="720" w:footer="720" w:gutter="0"/>
          <w:cols w:space="720"/>
          <w:noEndnote/>
          <w:docGrid w:linePitch="299"/>
        </w:sectPr>
      </w:pPr>
    </w:p>
    <w:p w:rsidR="0099277C" w:rsidRDefault="0099277C" w:rsidP="00DF2CDC">
      <w:pPr>
        <w:pStyle w:val="Heading1"/>
        <w:jc w:val="center"/>
        <w:rPr>
          <w:noProof/>
          <w:lang w:eastAsia="en-GB"/>
        </w:rPr>
      </w:pPr>
      <w:bookmarkStart w:id="8" w:name="_Toc504659732"/>
      <w:r>
        <w:t>A</w:t>
      </w:r>
      <w:r w:rsidR="002A4D65">
        <w:t xml:space="preserve">ppendix 2 </w:t>
      </w:r>
      <w:r w:rsidR="00272EEC">
        <w:t>Impact and related</w:t>
      </w:r>
      <w:r w:rsidR="002A4D65">
        <w:t xml:space="preserve"> maps (from SAGIS_SIMCAT)</w:t>
      </w:r>
      <w:bookmarkEnd w:id="8"/>
    </w:p>
    <w:p w:rsidR="00E8413E" w:rsidRDefault="00E8413E" w:rsidP="006E077C">
      <w:pPr>
        <w:jc w:val="center"/>
      </w:pPr>
      <w:r>
        <w:rPr>
          <w:noProof/>
          <w:lang w:eastAsia="en-GB"/>
        </w:rPr>
        <w:drawing>
          <wp:inline distT="0" distB="0" distL="0" distR="0">
            <wp:extent cx="3315600" cy="4680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b13_WB_concs_diffuse.png"/>
                    <pic:cNvPicPr/>
                  </pic:nvPicPr>
                  <pic:blipFill>
                    <a:blip r:embed="rId10">
                      <a:extLst>
                        <a:ext uri="{28A0092B-C50C-407E-A947-70E740481C1C}">
                          <a14:useLocalDpi xmlns:a14="http://schemas.microsoft.com/office/drawing/2010/main" val="0"/>
                        </a:ext>
                      </a:extLst>
                    </a:blip>
                    <a:stretch>
                      <a:fillRect/>
                    </a:stretch>
                  </pic:blipFill>
                  <pic:spPr>
                    <a:xfrm>
                      <a:off x="0" y="0"/>
                      <a:ext cx="3315600" cy="4680000"/>
                    </a:xfrm>
                    <a:prstGeom prst="rect">
                      <a:avLst/>
                    </a:prstGeom>
                  </pic:spPr>
                </pic:pic>
              </a:graphicData>
            </a:graphic>
          </wp:inline>
        </w:drawing>
      </w:r>
      <w:r>
        <w:rPr>
          <w:noProof/>
          <w:lang w:eastAsia="en-GB"/>
        </w:rPr>
        <w:drawing>
          <wp:inline distT="0" distB="0" distL="0" distR="0">
            <wp:extent cx="3312000" cy="4680000"/>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b13_OP_concs_diffuse.png"/>
                    <pic:cNvPicPr/>
                  </pic:nvPicPr>
                  <pic:blipFill>
                    <a:blip r:embed="rId11">
                      <a:extLst>
                        <a:ext uri="{28A0092B-C50C-407E-A947-70E740481C1C}">
                          <a14:useLocalDpi xmlns:a14="http://schemas.microsoft.com/office/drawing/2010/main" val="0"/>
                        </a:ext>
                      </a:extLst>
                    </a:blip>
                    <a:stretch>
                      <a:fillRect/>
                    </a:stretch>
                  </pic:blipFill>
                  <pic:spPr>
                    <a:xfrm>
                      <a:off x="0" y="0"/>
                      <a:ext cx="3312000" cy="4680000"/>
                    </a:xfrm>
                    <a:prstGeom prst="rect">
                      <a:avLst/>
                    </a:prstGeom>
                  </pic:spPr>
                </pic:pic>
              </a:graphicData>
            </a:graphic>
          </wp:inline>
        </w:drawing>
      </w:r>
    </w:p>
    <w:p w:rsidR="002D1036" w:rsidRDefault="006E077C" w:rsidP="006E077C">
      <w:pPr>
        <w:jc w:val="center"/>
      </w:pPr>
      <w:r>
        <w:t>Fi</w:t>
      </w:r>
      <w:r w:rsidR="002D1036">
        <w:t>g</w:t>
      </w:r>
      <w:r w:rsidR="00693329">
        <w:t>ure 1</w:t>
      </w:r>
      <w:r>
        <w:t>. Diffuse concentrations</w:t>
      </w:r>
    </w:p>
    <w:p w:rsidR="00DC241B" w:rsidRDefault="00DC241B" w:rsidP="00DD7B0F"/>
    <w:p w:rsidR="00F36CF0" w:rsidRDefault="00E8413E" w:rsidP="00E8413E">
      <w:r>
        <w:rPr>
          <w:noProof/>
          <w:lang w:eastAsia="en-GB"/>
        </w:rPr>
        <w:drawing>
          <wp:inline distT="0" distB="0" distL="0" distR="0" wp14:anchorId="31F26A1E" wp14:editId="3BDDC515">
            <wp:extent cx="2800800" cy="396000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b13_WB_concs_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800" cy="3960000"/>
                    </a:xfrm>
                    <a:prstGeom prst="rect">
                      <a:avLst/>
                    </a:prstGeom>
                  </pic:spPr>
                </pic:pic>
              </a:graphicData>
            </a:graphic>
          </wp:inline>
        </w:drawing>
      </w:r>
      <w:r w:rsidR="00F36CF0">
        <w:rPr>
          <w:noProof/>
          <w:lang w:eastAsia="en-GB"/>
        </w:rPr>
        <w:drawing>
          <wp:inline distT="0" distB="0" distL="0" distR="0" wp14:anchorId="1605279B" wp14:editId="5ECD3435">
            <wp:extent cx="2800800" cy="39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b13_Sample_concs_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800" cy="3960000"/>
                    </a:xfrm>
                    <a:prstGeom prst="rect">
                      <a:avLst/>
                    </a:prstGeom>
                  </pic:spPr>
                </pic:pic>
              </a:graphicData>
            </a:graphic>
          </wp:inline>
        </w:drawing>
      </w:r>
      <w:r w:rsidR="00F36CF0">
        <w:rPr>
          <w:noProof/>
          <w:lang w:eastAsia="en-GB"/>
        </w:rPr>
        <w:drawing>
          <wp:inline distT="0" distB="0" distL="0" distR="0" wp14:anchorId="64A4ABE9" wp14:editId="1C63F40C">
            <wp:extent cx="2804400" cy="39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b13_OP_concs_a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400" cy="3960000"/>
                    </a:xfrm>
                    <a:prstGeom prst="rect">
                      <a:avLst/>
                    </a:prstGeom>
                  </pic:spPr>
                </pic:pic>
              </a:graphicData>
            </a:graphic>
          </wp:inline>
        </w:drawing>
      </w:r>
    </w:p>
    <w:p w:rsidR="00F36CF0" w:rsidRDefault="00F36CF0" w:rsidP="00E8413E"/>
    <w:p w:rsidR="00F36CF0" w:rsidRDefault="00F36CF0" w:rsidP="00E8413E"/>
    <w:p w:rsidR="00DC241B" w:rsidRDefault="00DC241B" w:rsidP="00F36CF0">
      <w:pPr>
        <w:jc w:val="center"/>
      </w:pPr>
      <w:r>
        <w:t>Figure 2. All sources concentrations</w:t>
      </w:r>
      <w:r w:rsidR="00443771">
        <w:br w:type="page"/>
      </w:r>
    </w:p>
    <w:p w:rsidR="00DC241B" w:rsidRDefault="00F36CF0" w:rsidP="00BB40C3">
      <w:pPr>
        <w:jc w:val="center"/>
      </w:pPr>
      <w:r>
        <w:rPr>
          <w:noProof/>
          <w:lang w:eastAsia="en-GB"/>
        </w:rPr>
        <w:drawing>
          <wp:inline distT="0" distB="0" distL="0" distR="0">
            <wp:extent cx="3567600" cy="504000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b13_Diffuse_share_OP_Opt 2.png"/>
                    <pic:cNvPicPr/>
                  </pic:nvPicPr>
                  <pic:blipFill>
                    <a:blip r:embed="rId15">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eb13_Diffuse_share_OP_Opt 4.png"/>
                    <pic:cNvPicPr/>
                  </pic:nvPicPr>
                  <pic:blipFill>
                    <a:blip r:embed="rId16">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BB40C3" w:rsidRDefault="00BB40C3" w:rsidP="00BB40C3">
      <w:pPr>
        <w:jc w:val="center"/>
      </w:pPr>
      <w:r>
        <w:t>Figure 3. Diffuse Share estimates (mean 2</w:t>
      </w:r>
      <w:r w:rsidR="0015221F">
        <w:t>4</w:t>
      </w:r>
      <w:r>
        <w:t xml:space="preserve">% by option 2, </w:t>
      </w:r>
      <w:r w:rsidR="0015221F">
        <w:t>34</w:t>
      </w:r>
      <w:r>
        <w:t>% by option 4).</w:t>
      </w:r>
    </w:p>
    <w:p w:rsidR="006E077C" w:rsidRDefault="00F36CF0" w:rsidP="00AE454D">
      <w:pPr>
        <w:jc w:val="center"/>
      </w:pPr>
      <w:r>
        <w:rPr>
          <w:noProof/>
          <w:lang w:eastAsia="en-GB"/>
        </w:rPr>
        <w:drawing>
          <wp:inline distT="0" distB="0" distL="0" distR="0">
            <wp:extent cx="3567600" cy="5040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eb13_Diffuse_Red_OP_Opt 2.png"/>
                    <pic:cNvPicPr/>
                  </pic:nvPicPr>
                  <pic:blipFill>
                    <a:blip r:embed="rId17">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b13_Diffuse_Red_OP_Opt 4.png"/>
                    <pic:cNvPicPr/>
                  </pic:nvPicPr>
                  <pic:blipFill>
                    <a:blip r:embed="rId18">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635009" w:rsidRDefault="00635009" w:rsidP="00635009">
      <w:pPr>
        <w:jc w:val="center"/>
      </w:pPr>
      <w:r>
        <w:t>Figure 4. Diffuse reduction estimates, to achieve ‘good’ status.</w:t>
      </w:r>
    </w:p>
    <w:p w:rsidR="00635009" w:rsidRDefault="00635009" w:rsidP="00635009">
      <w:pPr>
        <w:jc w:val="center"/>
      </w:pPr>
      <w:r>
        <w:br w:type="page"/>
      </w:r>
      <w:r w:rsidR="00F36CF0">
        <w:rPr>
          <w:noProof/>
          <w:lang w:eastAsia="en-GB"/>
        </w:rPr>
        <w:drawing>
          <wp:inline distT="0" distB="0" distL="0" distR="0">
            <wp:extent cx="3567600" cy="504000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eb13_Diffuse_Red_Mod_OP_Opt 2.png"/>
                    <pic:cNvPicPr/>
                  </pic:nvPicPr>
                  <pic:blipFill>
                    <a:blip r:embed="rId19">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sidR="00F36CF0">
        <w:rPr>
          <w:noProof/>
          <w:lang w:eastAsia="en-GB"/>
        </w:rPr>
        <w:drawing>
          <wp:inline distT="0" distB="0" distL="0" distR="0">
            <wp:extent cx="3567600" cy="504000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eb13_Diffuse_Red_Mod_OP_Opt_4.png"/>
                    <pic:cNvPicPr/>
                  </pic:nvPicPr>
                  <pic:blipFill>
                    <a:blip r:embed="rId20">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BB40C3" w:rsidRDefault="00635009" w:rsidP="00635009">
      <w:pPr>
        <w:jc w:val="center"/>
      </w:pPr>
      <w:r>
        <w:t>Figure 5. Diffuse reduction estimates, to achieve ‘moderate’ status.</w:t>
      </w:r>
    </w:p>
    <w:p w:rsidR="00BB40C3" w:rsidRDefault="00F36CF0" w:rsidP="00DF2CDC">
      <w:pPr>
        <w:jc w:val="center"/>
      </w:pPr>
      <w:r>
        <w:rPr>
          <w:noProof/>
          <w:lang w:eastAsia="en-GB"/>
        </w:rPr>
        <w:drawing>
          <wp:inline distT="0" distB="0" distL="0" distR="0">
            <wp:extent cx="3567600" cy="5040000"/>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eb13_Targets_Good.png"/>
                    <pic:cNvPicPr/>
                  </pic:nvPicPr>
                  <pic:blipFill>
                    <a:blip r:embed="rId21">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eb13_Targets_Moderate.png"/>
                    <pic:cNvPicPr/>
                  </pic:nvPicPr>
                  <pic:blipFill>
                    <a:blip r:embed="rId22">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055912" w:rsidRDefault="00DF2CDC" w:rsidP="00DF2CDC">
      <w:pPr>
        <w:jc w:val="center"/>
      </w:pPr>
      <w:r>
        <w:t>Figure 6. WFD status targets. For P.</w:t>
      </w:r>
    </w:p>
    <w:p w:rsidR="00055912" w:rsidRDefault="00055912">
      <w:r>
        <w:br w:type="page"/>
      </w:r>
    </w:p>
    <w:p w:rsidR="00DF2CDC" w:rsidRDefault="00F36CF0" w:rsidP="00DF2CDC">
      <w:pPr>
        <w:jc w:val="center"/>
      </w:pPr>
      <w:r>
        <w:rPr>
          <w:noProof/>
          <w:lang w:eastAsia="en-GB"/>
        </w:rPr>
        <w:drawing>
          <wp:inline distT="0" distB="0" distL="0" distR="0">
            <wp:extent cx="3567600" cy="504000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eb14_Loads_livestock.png"/>
                    <pic:cNvPicPr/>
                  </pic:nvPicPr>
                  <pic:blipFill>
                    <a:blip r:embed="rId23">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eb14_Loads_arable.png"/>
                    <pic:cNvPicPr/>
                  </pic:nvPicPr>
                  <pic:blipFill>
                    <a:blip r:embed="rId24">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055912" w:rsidRDefault="00055912" w:rsidP="00DF2CDC">
      <w:pPr>
        <w:jc w:val="center"/>
      </w:pPr>
      <w:r>
        <w:t>Figure 7 Agricultural loads input to rivers.</w:t>
      </w:r>
    </w:p>
    <w:p w:rsidR="00055912" w:rsidRDefault="00055912">
      <w:r>
        <w:br w:type="page"/>
      </w:r>
    </w:p>
    <w:p w:rsidR="00055912" w:rsidRDefault="00F36CF0" w:rsidP="00DF2CDC">
      <w:pPr>
        <w:jc w:val="center"/>
      </w:pPr>
      <w:r>
        <w:rPr>
          <w:noProof/>
          <w:lang w:eastAsia="en-GB"/>
        </w:rPr>
        <w:drawing>
          <wp:inline distT="0" distB="0" distL="0" distR="0">
            <wp:extent cx="3567600" cy="504000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eb14_Loads_urban.png"/>
                    <pic:cNvPicPr/>
                  </pic:nvPicPr>
                  <pic:blipFill>
                    <a:blip r:embed="rId25">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eb14_Loads_septick.png"/>
                    <pic:cNvPicPr/>
                  </pic:nvPicPr>
                  <pic:blipFill>
                    <a:blip r:embed="rId26">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055912" w:rsidRDefault="00055912" w:rsidP="00DF2CDC">
      <w:pPr>
        <w:jc w:val="center"/>
      </w:pPr>
      <w:r>
        <w:t>Figure 8 Urban and septic tank/small discharge loads, input to river system.</w:t>
      </w:r>
    </w:p>
    <w:p w:rsidR="00F97613" w:rsidRDefault="00F97613" w:rsidP="00DF2CDC">
      <w:pPr>
        <w:jc w:val="center"/>
      </w:pPr>
    </w:p>
    <w:p w:rsidR="00F97613" w:rsidRDefault="00F97613" w:rsidP="00DF2CDC">
      <w:pPr>
        <w:jc w:val="center"/>
      </w:pPr>
      <w:r>
        <w:rPr>
          <w:noProof/>
          <w:lang w:eastAsia="en-GB"/>
        </w:rPr>
        <w:drawing>
          <wp:inline distT="0" distB="0" distL="0" distR="0" wp14:anchorId="16549776" wp14:editId="46435312">
            <wp:extent cx="3567600" cy="50400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09_Arable loads km2.png"/>
                    <pic:cNvPicPr/>
                  </pic:nvPicPr>
                  <pic:blipFill>
                    <a:blip r:embed="rId27">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14:anchorId="241BC48D" wp14:editId="58502A57">
            <wp:extent cx="3567600" cy="50400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b09_Arable conc km2.png"/>
                    <pic:cNvPicPr/>
                  </pic:nvPicPr>
                  <pic:blipFill>
                    <a:blip r:embed="rId28">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FA7D68" w:rsidRDefault="00F97613" w:rsidP="00DF2CDC">
      <w:pPr>
        <w:jc w:val="center"/>
      </w:pPr>
      <w:r>
        <w:t>Figure 9. Comparison of arable loads and concentrations.</w:t>
      </w:r>
    </w:p>
    <w:p w:rsidR="00FA7D68" w:rsidRDefault="00FA7D68">
      <w:r>
        <w:br w:type="page"/>
      </w:r>
    </w:p>
    <w:p w:rsidR="00F97613" w:rsidRDefault="00FA7D68" w:rsidP="00DF2CDC">
      <w:pPr>
        <w:jc w:val="center"/>
      </w:pPr>
      <w:r>
        <w:rPr>
          <w:noProof/>
          <w:lang w:eastAsia="en-GB"/>
        </w:rPr>
        <w:drawing>
          <wp:inline distT="0" distB="0" distL="0" distR="0">
            <wp:extent cx="3567600" cy="50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b09_STW influence.png"/>
                    <pic:cNvPicPr/>
                  </pic:nvPicPr>
                  <pic:blipFill>
                    <a:blip r:embed="rId29">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sidR="00CF26A2">
        <w:rPr>
          <w:noProof/>
          <w:lang w:eastAsia="en-GB"/>
        </w:rPr>
        <w:drawing>
          <wp:inline distT="0" distB="0" distL="0" distR="0" wp14:anchorId="13CAACE4" wp14:editId="615769BD">
            <wp:extent cx="3567600" cy="50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_23_Diffuse over target.png"/>
                    <pic:cNvPicPr/>
                  </pic:nvPicPr>
                  <pic:blipFill>
                    <a:blip r:embed="rId30">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DF11D9" w:rsidRDefault="00FA7D68" w:rsidP="00CF26A2">
      <w:pPr>
        <w:ind w:left="720" w:firstLine="720"/>
      </w:pPr>
      <w:r>
        <w:t>Figure 10. Percentage of catchment influenced by STWs.</w:t>
      </w:r>
      <w:r w:rsidR="00CF26A2">
        <w:tab/>
      </w:r>
      <w:r w:rsidR="00CF26A2">
        <w:tab/>
        <w:t>Figure 11. Diffuse concentration, normalised by Good Target.</w:t>
      </w:r>
    </w:p>
    <w:p w:rsidR="00DF11D9" w:rsidRDefault="00DF11D9">
      <w:r>
        <w:br w:type="page"/>
      </w:r>
    </w:p>
    <w:p w:rsidR="00FA7D68" w:rsidRDefault="00DF11D9" w:rsidP="00CF26A2">
      <w:pPr>
        <w:ind w:left="720" w:firstLine="720"/>
      </w:pPr>
      <w:r>
        <w:rPr>
          <w:noProof/>
          <w:lang w:eastAsia="en-GB"/>
        </w:rPr>
        <w:drawing>
          <wp:inline distT="0" distB="0" distL="0" distR="0">
            <wp:extent cx="3567600" cy="50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able-conc_OP.png"/>
                    <pic:cNvPicPr/>
                  </pic:nvPicPr>
                  <pic:blipFill>
                    <a:blip r:embed="rId31">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estock-conc_OP.png"/>
                    <pic:cNvPicPr/>
                  </pic:nvPicPr>
                  <pic:blipFill>
                    <a:blip r:embed="rId32">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DF11D9" w:rsidRDefault="00DF11D9" w:rsidP="00DF11D9">
      <w:pPr>
        <w:ind w:left="720" w:firstLine="720"/>
      </w:pPr>
      <w:r>
        <w:t>Figure 12 Arable concentrations, by Operational catchment.</w:t>
      </w:r>
      <w:r>
        <w:tab/>
        <w:t>Figure 13 Livestock concentrations, by Operational catchment.</w:t>
      </w:r>
    </w:p>
    <w:p w:rsidR="009D395E" w:rsidRDefault="009D395E">
      <w:r>
        <w:br w:type="page"/>
      </w:r>
    </w:p>
    <w:p w:rsidR="009D395E" w:rsidRDefault="009D395E" w:rsidP="00DF11D9">
      <w:pPr>
        <w:ind w:left="720" w:firstLine="720"/>
      </w:pPr>
      <w:r>
        <w:rPr>
          <w:noProof/>
          <w:lang w:eastAsia="en-GB"/>
        </w:rPr>
        <w:drawing>
          <wp:inline distT="0" distB="0" distL="0" distR="0">
            <wp:extent cx="3567600" cy="50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tor Concs Op same scale.png"/>
                    <pic:cNvPicPr/>
                  </pic:nvPicPr>
                  <pic:blipFill>
                    <a:blip r:embed="rId33">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r>
        <w:rPr>
          <w:noProof/>
          <w:lang w:eastAsia="en-GB"/>
        </w:rPr>
        <w:drawing>
          <wp:inline distT="0" distB="0" distL="0" distR="0">
            <wp:extent cx="3567600" cy="50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tor Concs Op.png"/>
                    <pic:cNvPicPr/>
                  </pic:nvPicPr>
                  <pic:blipFill>
                    <a:blip r:embed="rId34">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9D395E" w:rsidRDefault="009D395E" w:rsidP="00DF11D9">
      <w:pPr>
        <w:ind w:left="720" w:firstLine="720"/>
      </w:pPr>
      <w:r>
        <w:t xml:space="preserve">Figure 14. Sector concentrations, by OP. </w:t>
      </w:r>
      <w:r>
        <w:tab/>
      </w:r>
      <w:r>
        <w:tab/>
      </w:r>
      <w:r>
        <w:tab/>
        <w:t>Figure 15. Sector concentrations, scaled by size, by OP.</w:t>
      </w:r>
    </w:p>
    <w:p w:rsidR="009D395E" w:rsidRDefault="009D395E">
      <w:r>
        <w:br w:type="page"/>
      </w:r>
    </w:p>
    <w:p w:rsidR="009D395E" w:rsidRDefault="00275FD8" w:rsidP="00DF11D9">
      <w:pPr>
        <w:ind w:left="720" w:firstLine="720"/>
      </w:pPr>
      <w:bookmarkStart w:id="9" w:name="_GoBack"/>
      <w:r>
        <w:rPr>
          <w:noProof/>
          <w:lang w:eastAsia="en-GB"/>
        </w:rPr>
        <w:drawing>
          <wp:inline distT="0" distB="0" distL="0" distR="0" wp14:anchorId="33626ABA" wp14:editId="61A52E12">
            <wp:extent cx="3567600" cy="50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or Sw example.png"/>
                    <pic:cNvPicPr/>
                  </pic:nvPicPr>
                  <pic:blipFill>
                    <a:blip r:embed="rId35">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bookmarkEnd w:id="9"/>
      <w:r>
        <w:rPr>
          <w:noProof/>
          <w:lang w:eastAsia="en-GB"/>
        </w:rPr>
        <w:drawing>
          <wp:inline distT="0" distB="0" distL="0" distR="0">
            <wp:extent cx="3567600" cy="50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torMidlands example.png"/>
                    <pic:cNvPicPr/>
                  </pic:nvPicPr>
                  <pic:blipFill>
                    <a:blip r:embed="rId36">
                      <a:extLst>
                        <a:ext uri="{28A0092B-C50C-407E-A947-70E740481C1C}">
                          <a14:useLocalDpi xmlns:a14="http://schemas.microsoft.com/office/drawing/2010/main" val="0"/>
                        </a:ext>
                      </a:extLst>
                    </a:blip>
                    <a:stretch>
                      <a:fillRect/>
                    </a:stretch>
                  </pic:blipFill>
                  <pic:spPr>
                    <a:xfrm>
                      <a:off x="0" y="0"/>
                      <a:ext cx="3567600" cy="5040000"/>
                    </a:xfrm>
                    <a:prstGeom prst="rect">
                      <a:avLst/>
                    </a:prstGeom>
                  </pic:spPr>
                </pic:pic>
              </a:graphicData>
            </a:graphic>
          </wp:inline>
        </w:drawing>
      </w:r>
    </w:p>
    <w:p w:rsidR="000501BA" w:rsidRDefault="00275FD8" w:rsidP="00DF11D9">
      <w:pPr>
        <w:ind w:left="720" w:firstLine="720"/>
      </w:pPr>
      <w:r>
        <w:t>Figure 16. SW sector apportionment.</w:t>
      </w:r>
      <w:r>
        <w:tab/>
      </w:r>
      <w:r>
        <w:tab/>
      </w:r>
      <w:r>
        <w:tab/>
      </w:r>
      <w:r>
        <w:tab/>
        <w:t>Figure 17. Midlands sector apportionment (same scale as figure16).</w:t>
      </w:r>
    </w:p>
    <w:p w:rsidR="000501BA" w:rsidRDefault="000501BA">
      <w:r>
        <w:br w:type="page"/>
      </w:r>
    </w:p>
    <w:p w:rsidR="00275FD8" w:rsidRDefault="000501BA" w:rsidP="000501BA">
      <w:pPr>
        <w:jc w:val="center"/>
      </w:pPr>
      <w:r>
        <w:rPr>
          <w:noProof/>
          <w:lang w:eastAsia="en-GB"/>
        </w:rPr>
        <w:drawing>
          <wp:inline distT="0" distB="0" distL="0" distR="0">
            <wp:extent cx="2804400" cy="39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ffuse_Red_Mod_w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4400" cy="3960000"/>
                    </a:xfrm>
                    <a:prstGeom prst="rect">
                      <a:avLst/>
                    </a:prstGeom>
                  </pic:spPr>
                </pic:pic>
              </a:graphicData>
            </a:graphic>
          </wp:inline>
        </w:drawing>
      </w:r>
      <w:r>
        <w:rPr>
          <w:noProof/>
          <w:lang w:eastAsia="en-GB"/>
        </w:rPr>
        <w:drawing>
          <wp:inline distT="0" distB="0" distL="0" distR="0">
            <wp:extent cx="2800800" cy="39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fuse_Red_Good_w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0800" cy="3960000"/>
                    </a:xfrm>
                    <a:prstGeom prst="rect">
                      <a:avLst/>
                    </a:prstGeom>
                  </pic:spPr>
                </pic:pic>
              </a:graphicData>
            </a:graphic>
          </wp:inline>
        </w:drawing>
      </w:r>
      <w:r>
        <w:rPr>
          <w:noProof/>
          <w:lang w:eastAsia="en-GB"/>
        </w:rPr>
        <w:drawing>
          <wp:inline distT="0" distB="0" distL="0" distR="0">
            <wp:extent cx="2804400" cy="3960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ffuse_Red_High_w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4400" cy="3960000"/>
                    </a:xfrm>
                    <a:prstGeom prst="rect">
                      <a:avLst/>
                    </a:prstGeom>
                  </pic:spPr>
                </pic:pic>
              </a:graphicData>
            </a:graphic>
          </wp:inline>
        </w:drawing>
      </w:r>
    </w:p>
    <w:p w:rsidR="00DF11D9" w:rsidRDefault="000501BA" w:rsidP="000501BA">
      <w:pPr>
        <w:jc w:val="center"/>
      </w:pPr>
      <w:r>
        <w:t>Figure 18. Diffuse reduction requirements for moderate, good and high status.</w:t>
      </w:r>
    </w:p>
    <w:sectPr w:rsidR="00DF11D9" w:rsidSect="0099277C">
      <w:headerReference w:type="default" r:id="rId40"/>
      <w:pgSz w:w="16839" w:h="11907" w:orient="landscape"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B9C" w:rsidRDefault="00714B9C" w:rsidP="00B3096C">
      <w:pPr>
        <w:spacing w:after="0" w:line="240" w:lineRule="auto"/>
      </w:pPr>
      <w:r>
        <w:separator/>
      </w:r>
    </w:p>
  </w:endnote>
  <w:endnote w:type="continuationSeparator" w:id="0">
    <w:p w:rsidR="00714B9C" w:rsidRDefault="00714B9C" w:rsidP="00B3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B9C" w:rsidRDefault="00714B9C" w:rsidP="00B3096C">
      <w:pPr>
        <w:spacing w:after="0" w:line="240" w:lineRule="auto"/>
      </w:pPr>
      <w:r>
        <w:separator/>
      </w:r>
    </w:p>
  </w:footnote>
  <w:footnote w:type="continuationSeparator" w:id="0">
    <w:p w:rsidR="00714B9C" w:rsidRDefault="00714B9C" w:rsidP="00B309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B9C" w:rsidRDefault="00714B9C">
    <w:pPr>
      <w:pStyle w:val="Header"/>
      <w:rPr>
        <w:noProof/>
      </w:rPr>
    </w:pPr>
    <w:r>
      <w:t xml:space="preserve">WQ Agriculture </w:t>
    </w:r>
    <w:r>
      <w:tab/>
    </w:r>
    <w:r>
      <w:fldChar w:fldCharType="begin"/>
    </w:r>
    <w:r>
      <w:instrText xml:space="preserve"> PAGE   \* MERGEFORMAT </w:instrText>
    </w:r>
    <w:r>
      <w:fldChar w:fldCharType="separate"/>
    </w:r>
    <w:r w:rsidR="00EB682C">
      <w:rPr>
        <w:noProof/>
      </w:rPr>
      <w:t>7</w:t>
    </w:r>
    <w:r>
      <w:rPr>
        <w:noProof/>
      </w:rPr>
      <w:fldChar w:fldCharType="end"/>
    </w:r>
    <w:r>
      <w:rPr>
        <w:noProof/>
      </w:rPr>
      <w:tab/>
    </w:r>
    <w:r w:rsidR="00EB682C">
      <w:rPr>
        <w:noProof/>
      </w:rPr>
      <w:t>May-</w:t>
    </w:r>
    <w:r>
      <w:rPr>
        <w:noProof/>
      </w:rPr>
      <w:t>18</w:t>
    </w:r>
  </w:p>
  <w:p w:rsidR="00714B9C" w:rsidRDefault="00714B9C">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95885</wp:posOffset>
              </wp:positionV>
              <wp:extent cx="6070600" cy="12700"/>
              <wp:effectExtent l="0" t="0" r="25400" b="25400"/>
              <wp:wrapNone/>
              <wp:docPr id="23" name="Straight Connector 23"/>
              <wp:cNvGraphicFramePr/>
              <a:graphic xmlns:a="http://schemas.openxmlformats.org/drawingml/2006/main">
                <a:graphicData uri="http://schemas.microsoft.com/office/word/2010/wordprocessingShape">
                  <wps:wsp>
                    <wps:cNvCnPr/>
                    <wps:spPr>
                      <a:xfrm flipV="1">
                        <a:off x="0" y="0"/>
                        <a:ext cx="60706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0C9E5"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pt,7.55pt" to="4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rDxQEAANMDAAAOAAAAZHJzL2Uyb0RvYy54bWysU02P0zAQvSPtf7B83yYtUhdFTffQFVxW&#10;ULGwd68zbiz5S2PTpP+esZMGtCAkEBfL9sx7M+95vLsfrWFnwKi9a/l6VXMGTvpOu1PLv355f/uO&#10;s5iE64TxDlp+gcjv9zdvdkNoYON7bzpARiQuNkNoeZ9SaKoqyh6siCsfwFFQebQi0RFPVYdiIHZr&#10;qk1db6vBYxfQS4iRbh+mIN8XfqVApk9KRUjMtJx6S2XFsr7ktdrvRHNCEXot5zbEP3RhhXZUdKF6&#10;EEmwb6h/obJaoo9epZX0tvJKaQlFA6lZ16/UPPUiQNFC5sSw2BT/H638eD4i013LN285c8LSGz0l&#10;FPrUJ3bwzpGDHhkFyakhxIYAB3fE+RTDEbPsUaFlyujwTENQjCBpbCw+XxafYUxM0uW2vqu3NT2H&#10;pNh6c0db4qsmmkwXMKYP4C3Lm5Yb7bINohHnx5im1GsK4XJbUyNlly4GcrJxn0GRNCo4tVSGCg4G&#10;2VnQOAgpwaX1XLpkZ5jSxizAupT9I3DOz1AoA/c34AVRKnuXFrDVzuPvqqfx2rKa8q8OTLqzBS++&#10;u5QnKtbQ5BRz5ynPo/nzucB//MX9dwAAAP//AwBQSwMEFAAGAAgAAAAhACoyB0feAAAACAEAAA8A&#10;AABkcnMvZG93bnJldi54bWxMj8FOwzAQRO9I/IO1SFxQ66RSC4Q4FULAoZxaqFRum3hJosbrKHbT&#10;8PcsJzjum9HsTL6eXKdGGkLr2UA6T0ARV962XBv4eH+Z3YEKEdli55kMfFOAdXF5kWNm/Zm3NO5i&#10;rSSEQ4YGmhj7TOtQNeQwzH1PLNqXHxxGOYda2wHPEu46vUiSlXbYsnxosKenhqrj7uQMfAYfnveb&#10;cnw9bjcT3rzFxaGyxlxfTY8PoCJN8c8Mv/WlOhTSqfQntkF1BmYrmRKFL1NQot8vEwGlgNsUdJHr&#10;/wOKHwAAAP//AwBQSwECLQAUAAYACAAAACEAtoM4kv4AAADhAQAAEwAAAAAAAAAAAAAAAAAAAAAA&#10;W0NvbnRlbnRfVHlwZXNdLnhtbFBLAQItABQABgAIAAAAIQA4/SH/1gAAAJQBAAALAAAAAAAAAAAA&#10;AAAAAC8BAABfcmVscy8ucmVsc1BLAQItABQABgAIAAAAIQCDJdrDxQEAANMDAAAOAAAAAAAAAAAA&#10;AAAAAC4CAABkcnMvZTJvRG9jLnhtbFBLAQItABQABgAIAAAAIQAqMgdH3gAAAAgBAAAPAAAAAAAA&#10;AAAAAAAAAB8EAABkcnMvZG93bnJldi54bWxQSwUGAAAAAAQABADzAAAAKgUAAAAA&#10;" strokecolor="#5b9bd5 [3204]" strokeweight=".5pt">
              <v:stroke joinstyle="miter"/>
            </v:line>
          </w:pict>
        </mc:Fallback>
      </mc:AlternateContent>
    </w:r>
  </w:p>
  <w:p w:rsidR="00714B9C" w:rsidRDefault="00714B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B9C" w:rsidRDefault="00714B9C">
    <w:pPr>
      <w:pStyle w:val="Header"/>
      <w:rPr>
        <w:noProof/>
      </w:rPr>
    </w:pPr>
    <w:r>
      <w:t>WQ Agriculture</w:t>
    </w:r>
    <w:r>
      <w:tab/>
      <w:t xml:space="preserve">                                                                                                       </w:t>
    </w:r>
    <w:r>
      <w:fldChar w:fldCharType="begin"/>
    </w:r>
    <w:r>
      <w:instrText xml:space="preserve"> PAGE   \* MERGEFORMAT </w:instrText>
    </w:r>
    <w:r>
      <w:fldChar w:fldCharType="separate"/>
    </w:r>
    <w:r w:rsidR="00EB682C">
      <w:rPr>
        <w:noProof/>
      </w:rPr>
      <w:t>19</w:t>
    </w:r>
    <w:r>
      <w:rPr>
        <w:noProof/>
      </w:rPr>
      <w:fldChar w:fldCharType="end"/>
    </w:r>
    <w:r>
      <w:rPr>
        <w:noProof/>
      </w:rPr>
      <w:tab/>
    </w:r>
    <w:r>
      <w:rPr>
        <w:noProof/>
      </w:rPr>
      <w:tab/>
    </w:r>
    <w:r>
      <w:rPr>
        <w:noProof/>
      </w:rPr>
      <w:tab/>
    </w:r>
    <w:r>
      <w:rPr>
        <w:noProof/>
      </w:rPr>
      <w:tab/>
    </w:r>
    <w:r>
      <w:rPr>
        <w:noProof/>
      </w:rPr>
      <w:tab/>
    </w:r>
    <w:r>
      <w:rPr>
        <w:noProof/>
      </w:rPr>
      <w:tab/>
    </w:r>
    <w:r>
      <w:rPr>
        <w:noProof/>
      </w:rPr>
      <w:tab/>
      <w:t>Jan-18</w:t>
    </w:r>
  </w:p>
  <w:p w:rsidR="00714B9C" w:rsidRDefault="00714B9C">
    <w:pPr>
      <w:pStyle w:val="Header"/>
    </w:pPr>
    <w:r>
      <w:rPr>
        <w:noProof/>
        <w:lang w:eastAsia="en-GB"/>
      </w:rPr>
      <mc:AlternateContent>
        <mc:Choice Requires="wps">
          <w:drawing>
            <wp:anchor distT="0" distB="0" distL="114300" distR="114300" simplePos="0" relativeHeight="251661312" behindDoc="0" locked="0" layoutInCell="1" allowOverlap="1" wp14:anchorId="73AC15F7" wp14:editId="2BD39786">
              <wp:simplePos x="0" y="0"/>
              <wp:positionH relativeFrom="margin">
                <wp:align>left</wp:align>
              </wp:positionH>
              <wp:positionV relativeFrom="paragraph">
                <wp:posOffset>81669</wp:posOffset>
              </wp:positionV>
              <wp:extent cx="8841096" cy="40943"/>
              <wp:effectExtent l="0" t="0" r="36830" b="35560"/>
              <wp:wrapNone/>
              <wp:docPr id="24" name="Straight Connector 24"/>
              <wp:cNvGraphicFramePr/>
              <a:graphic xmlns:a="http://schemas.openxmlformats.org/drawingml/2006/main">
                <a:graphicData uri="http://schemas.microsoft.com/office/word/2010/wordprocessingShape">
                  <wps:wsp>
                    <wps:cNvCnPr/>
                    <wps:spPr>
                      <a:xfrm flipV="1">
                        <a:off x="0" y="0"/>
                        <a:ext cx="8841096" cy="40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CEA92" id="Straight Connector 24"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5pt" to="696.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mUxQEAANMDAAAOAAAAZHJzL2Uyb0RvYy54bWysU02P0zAQvSPxHyzfadJSrbpR0z10BRcE&#10;FQvcvc64seQvjU2T/nvGThoQICQQF8v2zHsz73m8fxitYRfAqL1r+XpVcwZO+k67c8s/f3rzasdZ&#10;TMJ1wngHLb9C5A+Hly/2Q2hg43tvOkBGJC42Q2h5n1JoqirKHqyIKx/AUVB5tCLREc9Vh2Igdmuq&#10;TV3fVYPHLqCXECPdPk5Bfij8SoFMH5SKkJhpOfWWyoplfc5rddiL5owi9FrObYh/6MIK7ajoQvUo&#10;kmBfUf9CZbVEH71KK+lt5ZXSEooGUrOuf1Lz1IsARQuZE8NiU/x/tPL95YRMdy3fbDlzwtIbPSUU&#10;+twndvTOkYMeGQXJqSHEhgBHd8L5FMMJs+xRoWXK6PCFhqAYQdLYWHy+Lj7DmJiky91uu67v7ziT&#10;FNvW99vXmb2aaDJdwJjegrcsb1putMs2iEZc3sU0pd5SCJfbmhopu3Q1kJON+wiKpFHBqaUyVHA0&#10;yC6CxkFICS6t59IlO8OUNmYB1qXsH4FzfoZCGbi/AS+IUtm7tICtdh5/Vz2Nt5bVlH9zYNKdLXj2&#10;3bU8UbGGJqeYO095Hs0fzwX+/S8evgEAAP//AwBQSwMEFAAGAAgAAAAhADXAYXPdAAAABwEAAA8A&#10;AABkcnMvZG93bnJldi54bWxMj0FPwzAMhe9I/IfISFwQS2klREvTCSHgME4bIMHNbUxbrXGqJuvK&#10;v8c7wc3Pz3rvc7le3KBmmkLv2cDNKgFF3Hjbc2vg/e35+g5UiMgWB89k4IcCrKvzsxIL64+8pXkX&#10;WyUhHAo00MU4FlqHpiOHYeVHYvG+/eQwipxabSc8SrgbdJokt9phz9LQ4UiPHTX73cEZ+Ao+PH1s&#10;6vllv90sePUa08/GGnN5sTzcg4q0xL9jOOELOlTCVPsD26AGA/JIlG2agzq5WZ5moGqZ8gx0Ver/&#10;/NUvAAAA//8DAFBLAQItABQABgAIAAAAIQC2gziS/gAAAOEBAAATAAAAAAAAAAAAAAAAAAAAAABb&#10;Q29udGVudF9UeXBlc10ueG1sUEsBAi0AFAAGAAgAAAAhADj9If/WAAAAlAEAAAsAAAAAAAAAAAAA&#10;AAAALwEAAF9yZWxzLy5yZWxzUEsBAi0AFAAGAAgAAAAhAH1TGZTFAQAA0wMAAA4AAAAAAAAAAAAA&#10;AAAALgIAAGRycy9lMm9Eb2MueG1sUEsBAi0AFAAGAAgAAAAhADXAYXPdAAAABwEAAA8AAAAAAAAA&#10;AAAAAAAAHwQAAGRycy9kb3ducmV2LnhtbFBLBQYAAAAABAAEAPMAAAApBQAAAAA=&#10;" strokecolor="#5b9bd5 [3204]" strokeweight=".5pt">
              <v:stroke joinstyle="miter"/>
              <w10:wrap anchorx="margin"/>
            </v:line>
          </w:pict>
        </mc:Fallback>
      </mc:AlternateContent>
    </w:r>
  </w:p>
  <w:p w:rsidR="00714B9C" w:rsidRDefault="00714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5B23"/>
    <w:multiLevelType w:val="hybridMultilevel"/>
    <w:tmpl w:val="4710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721C2"/>
    <w:multiLevelType w:val="hybridMultilevel"/>
    <w:tmpl w:val="9482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5559C"/>
    <w:multiLevelType w:val="hybridMultilevel"/>
    <w:tmpl w:val="146CC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62FF2"/>
    <w:multiLevelType w:val="hybridMultilevel"/>
    <w:tmpl w:val="205E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53636E"/>
    <w:multiLevelType w:val="hybridMultilevel"/>
    <w:tmpl w:val="6D8E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6659C7"/>
    <w:multiLevelType w:val="hybridMultilevel"/>
    <w:tmpl w:val="029E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7B6"/>
    <w:rsid w:val="00001672"/>
    <w:rsid w:val="000501BA"/>
    <w:rsid w:val="00055912"/>
    <w:rsid w:val="000F4CB2"/>
    <w:rsid w:val="001240FA"/>
    <w:rsid w:val="0015221F"/>
    <w:rsid w:val="00272EEC"/>
    <w:rsid w:val="00275FD8"/>
    <w:rsid w:val="002A4D65"/>
    <w:rsid w:val="002D1036"/>
    <w:rsid w:val="00443771"/>
    <w:rsid w:val="004A1F09"/>
    <w:rsid w:val="00523B03"/>
    <w:rsid w:val="005C43B4"/>
    <w:rsid w:val="006225B5"/>
    <w:rsid w:val="00635009"/>
    <w:rsid w:val="00671DDA"/>
    <w:rsid w:val="00693329"/>
    <w:rsid w:val="006B789F"/>
    <w:rsid w:val="006E077C"/>
    <w:rsid w:val="006E0A46"/>
    <w:rsid w:val="00714B9C"/>
    <w:rsid w:val="00745AAC"/>
    <w:rsid w:val="00752A3A"/>
    <w:rsid w:val="00763568"/>
    <w:rsid w:val="0080177A"/>
    <w:rsid w:val="008169EF"/>
    <w:rsid w:val="00831A2E"/>
    <w:rsid w:val="00836663"/>
    <w:rsid w:val="008C17AE"/>
    <w:rsid w:val="00947D19"/>
    <w:rsid w:val="00954332"/>
    <w:rsid w:val="0099277C"/>
    <w:rsid w:val="009D395E"/>
    <w:rsid w:val="00A86D38"/>
    <w:rsid w:val="00AE454D"/>
    <w:rsid w:val="00B3096C"/>
    <w:rsid w:val="00B30DFA"/>
    <w:rsid w:val="00B6354F"/>
    <w:rsid w:val="00B90BCA"/>
    <w:rsid w:val="00B915EF"/>
    <w:rsid w:val="00BA7BBF"/>
    <w:rsid w:val="00BB40C3"/>
    <w:rsid w:val="00C06F03"/>
    <w:rsid w:val="00C129EF"/>
    <w:rsid w:val="00CC0A04"/>
    <w:rsid w:val="00CD47B6"/>
    <w:rsid w:val="00CF26A2"/>
    <w:rsid w:val="00DA657F"/>
    <w:rsid w:val="00DC241B"/>
    <w:rsid w:val="00DD7B0F"/>
    <w:rsid w:val="00DF11D9"/>
    <w:rsid w:val="00DF2CDC"/>
    <w:rsid w:val="00E8228C"/>
    <w:rsid w:val="00E8413E"/>
    <w:rsid w:val="00EB682C"/>
    <w:rsid w:val="00F36CF0"/>
    <w:rsid w:val="00F97613"/>
    <w:rsid w:val="00FA7D68"/>
    <w:rsid w:val="00FE17EC"/>
    <w:rsid w:val="00FE2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D7ED5181-1690-43C0-A5BC-5DAECF15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78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78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9EF"/>
    <w:pPr>
      <w:ind w:left="720"/>
      <w:contextualSpacing/>
    </w:pPr>
  </w:style>
  <w:style w:type="character" w:customStyle="1" w:styleId="Heading1Char">
    <w:name w:val="Heading 1 Char"/>
    <w:basedOn w:val="DefaultParagraphFont"/>
    <w:link w:val="Heading1"/>
    <w:uiPriority w:val="9"/>
    <w:rsid w:val="006B789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789F"/>
    <w:rPr>
      <w:rFonts w:asciiTheme="majorHAnsi" w:eastAsiaTheme="majorEastAsia" w:hAnsiTheme="majorHAnsi" w:cstheme="majorBidi"/>
      <w:color w:val="2E74B5" w:themeColor="accent1" w:themeShade="BF"/>
      <w:sz w:val="26"/>
      <w:szCs w:val="26"/>
    </w:rPr>
  </w:style>
  <w:style w:type="paragraph" w:customStyle="1" w:styleId="Default">
    <w:name w:val="Default"/>
    <w:rsid w:val="00745AA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30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96C"/>
  </w:style>
  <w:style w:type="paragraph" w:styleId="Footer">
    <w:name w:val="footer"/>
    <w:basedOn w:val="Normal"/>
    <w:link w:val="FooterChar"/>
    <w:uiPriority w:val="99"/>
    <w:unhideWhenUsed/>
    <w:rsid w:val="00B30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96C"/>
  </w:style>
  <w:style w:type="character" w:styleId="CommentReference">
    <w:name w:val="annotation reference"/>
    <w:basedOn w:val="DefaultParagraphFont"/>
    <w:uiPriority w:val="99"/>
    <w:semiHidden/>
    <w:unhideWhenUsed/>
    <w:rsid w:val="00B3096C"/>
    <w:rPr>
      <w:sz w:val="16"/>
      <w:szCs w:val="16"/>
    </w:rPr>
  </w:style>
  <w:style w:type="paragraph" w:styleId="CommentText">
    <w:name w:val="annotation text"/>
    <w:basedOn w:val="Normal"/>
    <w:link w:val="CommentTextChar"/>
    <w:uiPriority w:val="99"/>
    <w:semiHidden/>
    <w:unhideWhenUsed/>
    <w:rsid w:val="00B3096C"/>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B3096C"/>
    <w:rPr>
      <w:rFonts w:ascii="Arial" w:hAnsi="Arial"/>
      <w:sz w:val="20"/>
      <w:szCs w:val="20"/>
    </w:rPr>
  </w:style>
  <w:style w:type="paragraph" w:styleId="BalloonText">
    <w:name w:val="Balloon Text"/>
    <w:basedOn w:val="Normal"/>
    <w:link w:val="BalloonTextChar"/>
    <w:uiPriority w:val="99"/>
    <w:semiHidden/>
    <w:unhideWhenUsed/>
    <w:rsid w:val="00B30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9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3096C"/>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B3096C"/>
    <w:rPr>
      <w:rFonts w:ascii="Arial" w:hAnsi="Arial"/>
      <w:b/>
      <w:bCs/>
      <w:sz w:val="20"/>
      <w:szCs w:val="20"/>
    </w:rPr>
  </w:style>
  <w:style w:type="table" w:styleId="TableGrid">
    <w:name w:val="Table Grid"/>
    <w:basedOn w:val="TableNormal"/>
    <w:uiPriority w:val="39"/>
    <w:rsid w:val="008C1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71DDA"/>
    <w:pPr>
      <w:outlineLvl w:val="9"/>
    </w:pPr>
    <w:rPr>
      <w:lang w:val="en-US"/>
    </w:rPr>
  </w:style>
  <w:style w:type="paragraph" w:styleId="TOC1">
    <w:name w:val="toc 1"/>
    <w:basedOn w:val="Normal"/>
    <w:next w:val="Normal"/>
    <w:autoRedefine/>
    <w:uiPriority w:val="39"/>
    <w:unhideWhenUsed/>
    <w:rsid w:val="00671DDA"/>
    <w:pPr>
      <w:spacing w:after="100"/>
    </w:pPr>
  </w:style>
  <w:style w:type="paragraph" w:styleId="TOC2">
    <w:name w:val="toc 2"/>
    <w:basedOn w:val="Normal"/>
    <w:next w:val="Normal"/>
    <w:autoRedefine/>
    <w:uiPriority w:val="39"/>
    <w:unhideWhenUsed/>
    <w:rsid w:val="00671DDA"/>
    <w:pPr>
      <w:spacing w:after="100"/>
      <w:ind w:left="220"/>
    </w:pPr>
  </w:style>
  <w:style w:type="character" w:styleId="Hyperlink">
    <w:name w:val="Hyperlink"/>
    <w:basedOn w:val="DefaultParagraphFont"/>
    <w:uiPriority w:val="99"/>
    <w:unhideWhenUsed/>
    <w:rsid w:val="00671D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94B82-128E-4485-B755-7ECFEC72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81A23716.dotm</Template>
  <TotalTime>10</TotalTime>
  <Pages>21</Pages>
  <Words>1815</Words>
  <Characters>10350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Murdoch, Neil</dc:creator>
  <cp:keywords/>
  <dc:description/>
  <cp:lastModifiedBy>Murdoch, Neil</cp:lastModifiedBy>
  <cp:revision>4</cp:revision>
  <cp:lastPrinted>2018-01-23T09:35:00Z</cp:lastPrinted>
  <dcterms:created xsi:type="dcterms:W3CDTF">2018-05-24T09:23:00Z</dcterms:created>
  <dcterms:modified xsi:type="dcterms:W3CDTF">2018-05-24T09:45:00Z</dcterms:modified>
</cp:coreProperties>
</file>