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23</wp:posOffset>
            </wp:positionH>
            <wp:positionV relativeFrom="paragraph">
              <wp:posOffset>0</wp:posOffset>
            </wp:positionV>
            <wp:extent cx="876300" cy="7239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1 (1a -1o)</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8"/>
          <w:szCs w:val="28"/>
          <w:rtl w:val="0"/>
        </w:rPr>
        <w:t xml:space="preserve"> Liquid Fuel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RM6305– National Fuels 3</w:t>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when providing Deliverables as described within </w:t>
      </w:r>
      <w:r w:rsidDel="00000000" w:rsidR="00000000" w:rsidRPr="00000000">
        <w:rPr>
          <w:rFonts w:ascii="Arial" w:cs="Arial" w:eastAsia="Arial" w:hAnsi="Arial"/>
          <w:b w:val="1"/>
          <w:rtl w:val="0"/>
        </w:rPr>
        <w:t xml:space="preserve">Lot 1 (1a -1o) – Liquid Fuel.</w:t>
      </w:r>
      <w:r w:rsidDel="00000000" w:rsidR="00000000" w:rsidRPr="00000000">
        <w:rPr>
          <w:rFonts w:ascii="Arial" w:cs="Arial" w:eastAsia="Arial" w:hAnsi="Arial"/>
          <w:rtl w:val="0"/>
        </w:rPr>
        <w:t xml:space="preserve"> For the assessment of your Technical and Professional ability the relevant Services are listed within Section A of this Certificate of Technical and Professional ability (COTPA) . You are required to submit Two (2) Certificates of Technical and Professional ability (COTPA) for Lot 1 Liquid Fuel; these will be applicable to all regional Lots under Lot 1 (Lots 1a to 1o).  </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your </w:t>
      </w:r>
      <w:r w:rsidDel="00000000" w:rsidR="00000000" w:rsidRPr="00000000">
        <w:rPr>
          <w:rFonts w:ascii="Arial" w:cs="Arial" w:eastAsia="Arial" w:hAnsi="Arial"/>
          <w:rtl w:val="0"/>
        </w:rPr>
        <w:t xml:space="preserve">two completed COTPAs for Lot 1 </w:t>
      </w:r>
      <w:r w:rsidDel="00000000" w:rsidR="00000000" w:rsidRPr="00000000">
        <w:rPr>
          <w:rFonts w:ascii="Arial" w:cs="Arial" w:eastAsia="Arial" w:hAnsi="Arial"/>
          <w:sz w:val="24"/>
          <w:szCs w:val="24"/>
          <w:rtl w:val="0"/>
        </w:rPr>
        <w:t xml:space="preserve">(1a -1o) </w:t>
      </w:r>
      <w:r w:rsidDel="00000000" w:rsidR="00000000" w:rsidRPr="00000000">
        <w:rPr>
          <w:rFonts w:ascii="Arial" w:cs="Arial" w:eastAsia="Arial" w:hAnsi="Arial"/>
          <w:rtl w:val="0"/>
        </w:rPr>
        <w:t xml:space="preserve">by uploading this file to question 1.26.3 for COPTA 1 and 1.26.4 for COPTA 2 within the online Selection Questionnaire (Qualification Envelope).</w:t>
      </w:r>
    </w:p>
    <w:p w:rsidR="00000000" w:rsidDel="00000000" w:rsidP="00000000" w:rsidRDefault="00000000" w:rsidRPr="00000000" w14:paraId="00000012">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3">
      <w:pPr>
        <w:spacing w:after="120" w:before="240" w:lineRule="auto"/>
        <w:rPr>
          <w:rFonts w:ascii="Arial" w:cs="Arial" w:eastAsia="Arial" w:hAnsi="Arial"/>
        </w:rPr>
      </w:pPr>
      <w:r w:rsidDel="00000000" w:rsidR="00000000" w:rsidRPr="00000000">
        <w:rPr>
          <w:rFonts w:ascii="Arial" w:cs="Arial" w:eastAsia="Arial" w:hAnsi="Arial"/>
          <w:b w:val="1"/>
          <w:rtl w:val="0"/>
        </w:rPr>
        <w:t xml:space="preserve">Mandatory requirements: </w:t>
      </w:r>
      <w:r w:rsidDel="00000000" w:rsidR="00000000" w:rsidRPr="00000000">
        <w:rPr>
          <w:rtl w:val="0"/>
        </w:rPr>
      </w:r>
    </w:p>
    <w:p w:rsidR="00000000" w:rsidDel="00000000" w:rsidP="00000000" w:rsidRDefault="00000000" w:rsidRPr="00000000" w14:paraId="00000014">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contract that you have delivered in the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years prior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rtl w:val="0"/>
        </w:rPr>
        <w:t xml:space="preserve">six months</w:t>
      </w:r>
      <w:r w:rsidDel="00000000" w:rsidR="00000000" w:rsidRPr="00000000">
        <w:rPr>
          <w:rtl w:val="0"/>
        </w:rPr>
      </w:r>
    </w:p>
    <w:p w:rsidR="00000000" w:rsidDel="00000000" w:rsidP="00000000" w:rsidRDefault="00000000" w:rsidRPr="00000000" w14:paraId="00000015">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color w:val="000000"/>
          <w:rtl w:val="0"/>
        </w:rPr>
        <w:t xml:space="preserve">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6">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Projects only need to have been completed within the time limit stated above. It is acceptable for the project to have commenced prior to</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01/12/2020</w:t>
      </w:r>
      <w:r w:rsidDel="00000000" w:rsidR="00000000" w:rsidRPr="00000000">
        <w:rPr>
          <w:rtl w:val="0"/>
        </w:rPr>
      </w:r>
    </w:p>
    <w:p w:rsidR="00000000" w:rsidDel="00000000" w:rsidP="00000000" w:rsidRDefault="00000000" w:rsidRPr="00000000" w14:paraId="00000017">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implementation and mobilisation and have become operational</w:t>
      </w:r>
    </w:p>
    <w:p w:rsidR="00000000" w:rsidDel="00000000" w:rsidP="00000000" w:rsidRDefault="00000000" w:rsidRPr="00000000" w14:paraId="00000018">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p>
    <w:p w:rsidR="00000000" w:rsidDel="00000000" w:rsidP="00000000" w:rsidRDefault="00000000" w:rsidRPr="00000000" w14:paraId="00000019">
      <w:pPr>
        <w:numPr>
          <w:ilvl w:val="0"/>
          <w:numId w:val="1"/>
        </w:numPr>
        <w:spacing w:after="0" w:lineRule="auto"/>
        <w:ind w:left="720" w:right="-620" w:hanging="360"/>
        <w:rPr>
          <w:rFonts w:ascii="Arial" w:cs="Arial" w:eastAsia="Arial" w:hAnsi="Arial"/>
          <w:highlight w:val="white"/>
        </w:rPr>
      </w:pPr>
      <w:bookmarkStart w:colFirst="0" w:colLast="0" w:name="_heading=h.1fob9te" w:id="1"/>
      <w:bookmarkEnd w:id="1"/>
      <w:r w:rsidDel="00000000" w:rsidR="00000000" w:rsidRPr="00000000">
        <w:rPr>
          <w:rFonts w:ascii="Arial" w:cs="Arial" w:eastAsia="Arial" w:hAnsi="Arial"/>
          <w:rtl w:val="0"/>
        </w:rPr>
        <w:t xml:space="preserve">Contracts must demonstrate at least </w:t>
      </w:r>
      <w:r w:rsidDel="00000000" w:rsidR="00000000" w:rsidRPr="00000000">
        <w:rPr>
          <w:rFonts w:ascii="Arial" w:cs="Arial" w:eastAsia="Arial" w:hAnsi="Arial"/>
          <w:highlight w:val="white"/>
          <w:rtl w:val="0"/>
        </w:rPr>
        <w:t xml:space="preserve">two (2) </w:t>
      </w:r>
      <w:r w:rsidDel="00000000" w:rsidR="00000000" w:rsidRPr="00000000">
        <w:rPr>
          <w:rFonts w:ascii="Arial" w:cs="Arial" w:eastAsia="Arial" w:hAnsi="Arial"/>
          <w:rtl w:val="0"/>
        </w:rPr>
        <w:t xml:space="preserve">of the Services listed in Section A. </w:t>
      </w:r>
      <w:r w:rsidDel="00000000" w:rsidR="00000000" w:rsidRPr="00000000">
        <w:rPr>
          <w:rtl w:val="0"/>
        </w:rPr>
      </w:r>
    </w:p>
    <w:p w:rsidR="00000000" w:rsidDel="00000000" w:rsidP="00000000" w:rsidRDefault="00000000" w:rsidRPr="00000000" w14:paraId="0000001A">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1B">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C">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D">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w:t>
      </w:r>
      <w:r w:rsidDel="00000000" w:rsidR="00000000" w:rsidRPr="00000000">
        <w:rPr>
          <w:rFonts w:ascii="Arial" w:cs="Arial" w:eastAsia="Arial" w:hAnsi="Arial"/>
          <w:rtl w:val="0"/>
        </w:rPr>
        <w:t xml:space="preserve">key subcontractor or part of a consortium. 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1E">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1F">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20">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1">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2">
      <w:pPr>
        <w:spacing w:after="0" w:lineRule="auto"/>
        <w:ind w:left="720" w:right="-620" w:firstLine="0"/>
        <w:rPr>
          <w:rFonts w:ascii="Arial" w:cs="Arial" w:eastAsia="Arial" w:hAnsi="Arial"/>
        </w:rPr>
      </w:pPr>
      <w:r w:rsidDel="00000000" w:rsidR="00000000" w:rsidRPr="00000000">
        <w:rPr>
          <w:rtl w:val="0"/>
        </w:rPr>
      </w:r>
    </w:p>
    <w:p w:rsidR="00000000" w:rsidDel="00000000" w:rsidP="00000000" w:rsidRDefault="00000000" w:rsidRPr="00000000" w14:paraId="00000023">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4">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3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5">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6">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boxes to confirm that you have provided the Services as detailed within Section A. </w:t>
      </w:r>
    </w:p>
    <w:p w:rsidR="00000000" w:rsidDel="00000000" w:rsidP="00000000" w:rsidRDefault="00000000" w:rsidRPr="00000000" w14:paraId="00000027">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8">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9">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A">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3 – Technical and Professional Capability of the Selection Questionnaire we will notify you and tell you the reasons for this. </w:t>
      </w:r>
    </w:p>
    <w:p w:rsidR="00000000" w:rsidDel="00000000" w:rsidP="00000000" w:rsidRDefault="00000000" w:rsidRPr="00000000" w14:paraId="0000002B">
      <w:pPr>
        <w:ind w:hanging="56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C">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RM6305 – National Fuels 3 – Lot 1 (1a -1o) Liquid Fuel</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2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4">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6">
            <w:pPr>
              <w:spacing w:after="80" w:before="8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8">
            <w:pPr>
              <w:spacing w:after="80" w:before="8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9">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B">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3D">
            <w:pPr>
              <w:spacing w:after="80" w:before="8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3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2">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5">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boxes below to confirm which Services you provided to the Customer under this contract.</w:t>
            </w:r>
          </w:p>
          <w:p w:rsidR="00000000" w:rsidDel="00000000" w:rsidP="00000000" w:rsidRDefault="00000000" w:rsidRPr="00000000" w14:paraId="00000046">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 ticks against </w:t>
            </w:r>
            <w:r w:rsidDel="00000000" w:rsidR="00000000" w:rsidRPr="00000000">
              <w:rPr>
                <w:rFonts w:ascii="Arial" w:cs="Arial" w:eastAsia="Arial" w:hAnsi="Arial"/>
                <w:highlight w:val="white"/>
                <w:rtl w:val="0"/>
              </w:rPr>
              <w:t xml:space="preserve">two (2) </w:t>
            </w:r>
            <w:r w:rsidDel="00000000" w:rsidR="00000000" w:rsidRPr="00000000">
              <w:rPr>
                <w:rFonts w:ascii="Arial" w:cs="Arial" w:eastAsia="Arial" w:hAnsi="Arial"/>
                <w:rtl w:val="0"/>
              </w:rPr>
              <w:t xml:space="preserve">or more of the Services listed below.</w:t>
            </w:r>
          </w:p>
          <w:p w:rsidR="00000000" w:rsidDel="00000000" w:rsidP="00000000" w:rsidRDefault="00000000" w:rsidRPr="00000000" w14:paraId="00000047">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4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9">
            <w:pPr>
              <w:widowControl w:val="0"/>
              <w:ind w:right="158"/>
              <w:rPr>
                <w:rFonts w:ascii="Arial" w:cs="Arial" w:eastAsia="Arial" w:hAnsi="Arial"/>
                <w:color w:val="222222"/>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Account Management </w:t>
            </w:r>
          </w:p>
          <w:p w:rsidR="00000000" w:rsidDel="00000000" w:rsidP="00000000" w:rsidRDefault="00000000" w:rsidRPr="00000000" w14:paraId="0000004A">
            <w:pPr>
              <w:widowControl w:val="0"/>
              <w:shd w:fill="ffffff" w:val="clear"/>
              <w:spacing w:after="200" w:before="200" w:lineRule="auto"/>
              <w:ind w:left="708.6614173228347" w:firstLine="0"/>
              <w:rPr>
                <w:rFonts w:ascii="Arial" w:cs="Arial" w:eastAsia="Arial" w:hAnsi="Arial"/>
                <w:color w:val="222222"/>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Placing Orders</w:t>
            </w:r>
          </w:p>
          <w:p w:rsidR="00000000" w:rsidDel="00000000" w:rsidP="00000000" w:rsidRDefault="00000000" w:rsidRPr="00000000" w14:paraId="0000004B">
            <w:pPr>
              <w:widowControl w:val="0"/>
              <w:shd w:fill="ffffff" w:val="clear"/>
              <w:spacing w:after="200" w:before="200" w:lineRule="auto"/>
              <w:ind w:left="708.6614173228347" w:firstLine="0"/>
              <w:rPr>
                <w:rFonts w:ascii="Arial" w:cs="Arial" w:eastAsia="Arial" w:hAnsi="Arial"/>
                <w:color w:val="222222"/>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Delivery</w:t>
            </w:r>
          </w:p>
          <w:p w:rsidR="00000000" w:rsidDel="00000000" w:rsidP="00000000" w:rsidRDefault="00000000" w:rsidRPr="00000000" w14:paraId="0000004C">
            <w:pPr>
              <w:widowControl w:val="0"/>
              <w:shd w:fill="ffffff" w:val="clear"/>
              <w:spacing w:after="200" w:before="200" w:lineRule="auto"/>
              <w:ind w:left="708.6614173228347" w:firstLine="0"/>
              <w:rPr>
                <w:rFonts w:ascii="Arial" w:cs="Arial" w:eastAsia="Arial" w:hAnsi="Arial"/>
                <w:color w:val="222222"/>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Security</w:t>
            </w:r>
          </w:p>
          <w:p w:rsidR="00000000" w:rsidDel="00000000" w:rsidP="00000000" w:rsidRDefault="00000000" w:rsidRPr="00000000" w14:paraId="0000004D">
            <w:pPr>
              <w:widowControl w:val="0"/>
              <w:shd w:fill="ffffff" w:val="clear"/>
              <w:spacing w:after="200" w:before="200" w:lineRule="auto"/>
              <w:ind w:left="708.6614173228347" w:firstLine="0"/>
              <w:rPr>
                <w:rFonts w:ascii="Arial" w:cs="Arial" w:eastAsia="Arial" w:hAnsi="Arial"/>
                <w:color w:val="222222"/>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Complaints Handling</w:t>
            </w:r>
          </w:p>
          <w:p w:rsidR="00000000" w:rsidDel="00000000" w:rsidP="00000000" w:rsidRDefault="00000000" w:rsidRPr="00000000" w14:paraId="0000004E">
            <w:pPr>
              <w:widowControl w:val="0"/>
              <w:ind w:right="158"/>
              <w:rPr/>
            </w:pPr>
            <w:r w:rsidDel="00000000" w:rsidR="00000000" w:rsidRPr="00000000">
              <w:rPr>
                <w:rtl w:val="0"/>
              </w:rPr>
              <w:t xml:space="preserve">     </w:t>
            </w:r>
          </w:p>
          <w:p w:rsidR="00000000" w:rsidDel="00000000" w:rsidP="00000000" w:rsidRDefault="00000000" w:rsidRPr="00000000" w14:paraId="0000004F">
            <w:pPr>
              <w:widowControl w:val="0"/>
              <w:ind w:left="510" w:right="158" w:firstLine="0"/>
              <w:rPr/>
            </w:pPr>
            <w:r w:rsidDel="00000000" w:rsidR="00000000" w:rsidRPr="00000000">
              <w:rPr>
                <w:rtl w:val="0"/>
              </w:rPr>
            </w:r>
          </w:p>
          <w:p w:rsidR="00000000" w:rsidDel="00000000" w:rsidP="00000000" w:rsidRDefault="00000000" w:rsidRPr="00000000" w14:paraId="00000050">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2">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2">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3">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Fonts w:ascii="Arial" w:cs="Arial" w:eastAsia="Arial" w:hAnsi="Arial"/>
              </w:rPr>
              <w:drawing>
                <wp:inline distB="0" distT="0" distL="114300" distR="114300">
                  <wp:extent cx="2438400" cy="1219200"/>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spacing w:after="80" w:before="80" w:lineRule="auto"/>
              <w:rPr>
                <w:rFonts w:ascii="Arial" w:cs="Arial" w:eastAsia="Arial" w:hAnsi="Arial"/>
                <w:b w:val="1"/>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A">
            <w:pPr>
              <w:spacing w:after="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B">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C">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6E">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w:t>
    </w:r>
    <w:r w:rsidDel="00000000" w:rsidR="00000000" w:rsidRPr="00000000">
      <w:rPr>
        <w:rFonts w:ascii="Arial" w:cs="Arial" w:eastAsia="Arial" w:hAnsi="Arial"/>
        <w:sz w:val="16"/>
        <w:szCs w:val="16"/>
        <w:rtl w:val="0"/>
      </w:rPr>
      <w:t xml:space="preserve">6305</w:t>
    </w:r>
    <w:r w:rsidDel="00000000" w:rsidR="00000000" w:rsidRPr="00000000">
      <w:rPr>
        <w:rFonts w:ascii="Arial" w:cs="Arial" w:eastAsia="Arial" w:hAnsi="Arial"/>
        <w:color w:val="000000"/>
        <w:sz w:val="16"/>
        <w:szCs w:val="16"/>
        <w:rtl w:val="0"/>
      </w:rPr>
      <w:t xml:space="preserve"> – </w:t>
    </w:r>
    <w:r w:rsidDel="00000000" w:rsidR="00000000" w:rsidRPr="00000000">
      <w:rPr>
        <w:rFonts w:ascii="Arial" w:cs="Arial" w:eastAsia="Arial" w:hAnsi="Arial"/>
        <w:sz w:val="16"/>
        <w:szCs w:val="16"/>
        <w:rtl w:val="0"/>
      </w:rPr>
      <w:t xml:space="preserve">National Fuels 3</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 Certificate of Technical and Professional Ability v1.0</w:t>
    </w:r>
  </w:p>
  <w:p w:rsidR="00000000" w:rsidDel="00000000" w:rsidP="00000000" w:rsidRDefault="00000000" w:rsidRPr="00000000" w14:paraId="0000007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F2758D"/>
    <w:rPr>
      <w:sz w:val="16"/>
      <w:szCs w:val="16"/>
    </w:rPr>
  </w:style>
  <w:style w:type="paragraph" w:styleId="CommentText">
    <w:name w:val="annotation text"/>
    <w:basedOn w:val="Normal"/>
    <w:link w:val="CommentTextChar"/>
    <w:uiPriority w:val="99"/>
    <w:semiHidden w:val="1"/>
    <w:unhideWhenUsed w:val="1"/>
    <w:rsid w:val="00F2758D"/>
    <w:pPr>
      <w:spacing w:line="240" w:lineRule="auto"/>
    </w:pPr>
    <w:rPr>
      <w:sz w:val="20"/>
      <w:szCs w:val="20"/>
    </w:rPr>
  </w:style>
  <w:style w:type="character" w:styleId="CommentTextChar" w:customStyle="1">
    <w:name w:val="Comment Text Char"/>
    <w:basedOn w:val="DefaultParagraphFont"/>
    <w:link w:val="CommentText"/>
    <w:uiPriority w:val="99"/>
    <w:semiHidden w:val="1"/>
    <w:rsid w:val="00F2758D"/>
    <w:rPr>
      <w:sz w:val="20"/>
      <w:szCs w:val="20"/>
    </w:rPr>
  </w:style>
  <w:style w:type="paragraph" w:styleId="CommentSubject">
    <w:name w:val="annotation subject"/>
    <w:basedOn w:val="CommentText"/>
    <w:next w:val="CommentText"/>
    <w:link w:val="CommentSubjectChar"/>
    <w:uiPriority w:val="99"/>
    <w:semiHidden w:val="1"/>
    <w:unhideWhenUsed w:val="1"/>
    <w:rsid w:val="00F2758D"/>
    <w:rPr>
      <w:b w:val="1"/>
      <w:bCs w:val="1"/>
    </w:rPr>
  </w:style>
  <w:style w:type="character" w:styleId="CommentSubjectChar" w:customStyle="1">
    <w:name w:val="Comment Subject Char"/>
    <w:basedOn w:val="CommentTextChar"/>
    <w:link w:val="CommentSubject"/>
    <w:uiPriority w:val="99"/>
    <w:semiHidden w:val="1"/>
    <w:rsid w:val="00F2758D"/>
    <w:rPr>
      <w:b w:val="1"/>
      <w:bCs w:val="1"/>
      <w:sz w:val="20"/>
      <w:szCs w:val="20"/>
    </w:rPr>
  </w:style>
  <w:style w:type="paragraph" w:styleId="BalloonText">
    <w:name w:val="Balloon Text"/>
    <w:basedOn w:val="Normal"/>
    <w:link w:val="BalloonTextChar"/>
    <w:uiPriority w:val="99"/>
    <w:semiHidden w:val="1"/>
    <w:unhideWhenUsed w:val="1"/>
    <w:rsid w:val="00F2758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2758D"/>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YyuD4IxTYk7NYgyGoGOnfnJSA==">CgMxLjAyCGguZ2pkZ3hzMgloLjFmb2I5dGUyCWguMzBqMHpsbDgAciExdG5QTUdTb1NqdzFCUkM2WXZreUkxeXJkNTRjOUd1V1k=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2024-01-24T11:36:00Z</dcterms:created>
  <dc:creator>Patricia Byrne</dc:creator>
</cp:coreProperties>
</file>