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2931" w:rsidR="00894822" w:rsidP="00B2673F" w:rsidRDefault="00B2673F" w14:paraId="526695C4" w14:textId="28148531">
      <w:pPr>
        <w:pStyle w:val="Schedule1"/>
        <w:rPr>
          <w:rFonts w:cs="Arial"/>
        </w:rPr>
      </w:pPr>
      <w:r w:rsidRPr="00022931">
        <w:rPr>
          <w:rFonts w:cs="Arial"/>
        </w:rPr>
        <w:t xml:space="preserve">Schedule </w:t>
      </w:r>
      <w:r w:rsidRPr="00022931" w:rsidR="00B818F5">
        <w:rPr>
          <w:rFonts w:cs="Arial"/>
        </w:rPr>
        <w:t>4</w:t>
      </w:r>
    </w:p>
    <w:p w:rsidRPr="00022931" w:rsidR="002741EC" w:rsidP="002741EC" w:rsidRDefault="002741EC" w14:paraId="4E54356D" w14:textId="4D88C98E">
      <w:pPr>
        <w:pStyle w:val="BodyText"/>
        <w:jc w:val="center"/>
        <w:rPr>
          <w:rFonts w:cs="Arial"/>
        </w:rPr>
      </w:pPr>
      <w:r w:rsidRPr="00022931">
        <w:rPr>
          <w:rFonts w:cs="Arial"/>
        </w:rPr>
        <w:t xml:space="preserve">PAYMENT PERFORMANCE AND </w:t>
      </w:r>
      <w:r w:rsidR="00FB66BD">
        <w:rPr>
          <w:rFonts w:cs="Arial"/>
        </w:rPr>
        <w:t>INCENTIVISATION</w:t>
      </w:r>
      <w:r w:rsidRPr="00022931" w:rsidR="00C16149">
        <w:rPr>
          <w:rFonts w:cs="Arial"/>
        </w:rPr>
        <w:t xml:space="preserve"> </w:t>
      </w:r>
      <w:r w:rsidRPr="00022931">
        <w:rPr>
          <w:rFonts w:cs="Arial"/>
        </w:rPr>
        <w:t>MECHANISM</w:t>
      </w:r>
    </w:p>
    <w:p w:rsidRPr="00022931" w:rsidR="00D4772A" w:rsidP="009C6FB6" w:rsidRDefault="009C6FB6" w14:paraId="5AEDC10F" w14:textId="77777777">
      <w:pPr>
        <w:pStyle w:val="Heading1"/>
        <w:rPr>
          <w:szCs w:val="20"/>
        </w:rPr>
      </w:pPr>
      <w:r w:rsidRPr="00022931">
        <w:rPr>
          <w:szCs w:val="20"/>
        </w:rPr>
        <w:t>Definitions</w:t>
      </w:r>
    </w:p>
    <w:tbl>
      <w:tblPr>
        <w:tblStyle w:val="TableGrid"/>
        <w:tblW w:w="8358" w:type="dxa"/>
        <w:tblInd w:w="709" w:type="dxa"/>
        <w:tblLayout w:type="fixed"/>
        <w:tblLook w:val="04A0" w:firstRow="1" w:lastRow="0" w:firstColumn="1" w:lastColumn="0" w:noHBand="0" w:noVBand="1"/>
      </w:tblPr>
      <w:tblGrid>
        <w:gridCol w:w="2547"/>
        <w:gridCol w:w="5811"/>
      </w:tblGrid>
      <w:tr w:rsidRPr="00022931" w:rsidR="00D4772A" w:rsidTr="23CD1BAD" w14:paraId="7F4C68B0" w14:textId="77777777">
        <w:tc>
          <w:tcPr>
            <w:tcW w:w="2547" w:type="dxa"/>
            <w:shd w:val="clear" w:color="auto" w:fill="F2F2F2" w:themeFill="background1" w:themeFillShade="F2"/>
            <w:tcMar/>
          </w:tcPr>
          <w:p w:rsidRPr="00022931" w:rsidR="00D4772A" w:rsidP="00415DD4" w:rsidRDefault="00D4772A" w14:paraId="6E14402D" w14:textId="77777777">
            <w:pPr>
              <w:pStyle w:val="BodyText"/>
              <w:spacing w:before="120" w:after="120" w:line="240" w:lineRule="atLeast"/>
              <w:rPr>
                <w:rFonts w:cs="Arial"/>
                <w:b/>
              </w:rPr>
            </w:pPr>
            <w:r w:rsidRPr="00022931">
              <w:rPr>
                <w:rFonts w:cs="Arial"/>
                <w:b/>
              </w:rPr>
              <w:t>Term</w:t>
            </w:r>
          </w:p>
        </w:tc>
        <w:tc>
          <w:tcPr>
            <w:tcW w:w="5811" w:type="dxa"/>
            <w:shd w:val="clear" w:color="auto" w:fill="F2F2F2" w:themeFill="background1" w:themeFillShade="F2"/>
            <w:tcMar/>
          </w:tcPr>
          <w:p w:rsidRPr="00022931" w:rsidR="00D4772A" w:rsidP="00415DD4" w:rsidRDefault="00D4772A" w14:paraId="19EEF57C" w14:textId="77777777">
            <w:pPr>
              <w:pStyle w:val="BodyText"/>
              <w:spacing w:before="120" w:after="120" w:line="240" w:lineRule="atLeast"/>
              <w:jc w:val="left"/>
              <w:rPr>
                <w:rFonts w:cs="Arial"/>
                <w:b/>
              </w:rPr>
            </w:pPr>
            <w:r w:rsidRPr="00022931">
              <w:rPr>
                <w:rFonts w:cs="Arial"/>
                <w:b/>
              </w:rPr>
              <w:t>Definition</w:t>
            </w:r>
          </w:p>
        </w:tc>
      </w:tr>
      <w:tr w:rsidRPr="00022931" w:rsidR="00194555" w:rsidTr="23CD1BAD" w14:paraId="4AA0E5CA" w14:textId="77777777">
        <w:tc>
          <w:tcPr>
            <w:tcW w:w="2547" w:type="dxa"/>
            <w:shd w:val="clear" w:color="auto" w:fill="F2F2F2" w:themeFill="background1" w:themeFillShade="F2"/>
            <w:tcMar/>
          </w:tcPr>
          <w:p w:rsidRPr="00022931" w:rsidR="00194555" w:rsidP="00A91A72" w:rsidRDefault="00194555" w14:paraId="4D51CC49" w14:textId="12F0FCFB">
            <w:pPr>
              <w:pStyle w:val="Default"/>
              <w:spacing w:before="120" w:after="120" w:line="240" w:lineRule="atLeast"/>
              <w:rPr>
                <w:rFonts w:ascii="Arial" w:hAnsi="Arial" w:cs="Arial"/>
                <w:sz w:val="20"/>
                <w:szCs w:val="20"/>
              </w:rPr>
            </w:pPr>
            <w:r>
              <w:rPr>
                <w:rFonts w:ascii="Arial" w:hAnsi="Arial" w:cs="Arial"/>
                <w:sz w:val="20"/>
                <w:szCs w:val="20"/>
              </w:rPr>
              <w:t>AAR Guidance</w:t>
            </w:r>
          </w:p>
        </w:tc>
        <w:tc>
          <w:tcPr>
            <w:tcW w:w="5811" w:type="dxa"/>
            <w:tcMar/>
          </w:tcPr>
          <w:p w:rsidRPr="00194555" w:rsidR="00194555" w:rsidP="00B818F5" w:rsidRDefault="00194555" w14:paraId="5616FAD0" w14:textId="6AF5E0EE">
            <w:pPr>
              <w:pStyle w:val="Default"/>
              <w:spacing w:before="120" w:after="120" w:line="240" w:lineRule="atLeast"/>
              <w:rPr>
                <w:rFonts w:ascii="Arial" w:hAnsi="Arial" w:cs="Arial"/>
                <w:sz w:val="20"/>
                <w:szCs w:val="20"/>
              </w:rPr>
            </w:pPr>
            <w:r>
              <w:rPr>
                <w:rFonts w:ascii="Arial" w:hAnsi="Arial" w:cs="Arial"/>
                <w:sz w:val="20"/>
                <w:szCs w:val="20"/>
              </w:rPr>
              <w:t>means the guidance with respect to costs incurred by contractors providing services to the Authority, to determine categories of costs that are "</w:t>
            </w:r>
            <w:r>
              <w:rPr>
                <w:rFonts w:ascii="Arial" w:hAnsi="Arial" w:cs="Arial"/>
                <w:i/>
                <w:sz w:val="20"/>
                <w:szCs w:val="20"/>
              </w:rPr>
              <w:t>appropriate</w:t>
            </w:r>
            <w:r>
              <w:rPr>
                <w:rFonts w:ascii="Arial" w:hAnsi="Arial" w:cs="Arial"/>
                <w:sz w:val="20"/>
                <w:szCs w:val="20"/>
              </w:rPr>
              <w:t>", "</w:t>
            </w:r>
            <w:r>
              <w:rPr>
                <w:rFonts w:ascii="Arial" w:hAnsi="Arial" w:cs="Arial"/>
                <w:i/>
                <w:sz w:val="20"/>
                <w:szCs w:val="20"/>
              </w:rPr>
              <w:t>attributable to the contract</w:t>
            </w:r>
            <w:r>
              <w:rPr>
                <w:rFonts w:ascii="Arial" w:hAnsi="Arial" w:cs="Arial"/>
                <w:sz w:val="20"/>
                <w:szCs w:val="20"/>
              </w:rPr>
              <w:t>" and "</w:t>
            </w:r>
            <w:r>
              <w:rPr>
                <w:rFonts w:ascii="Arial" w:hAnsi="Arial" w:cs="Arial"/>
                <w:i/>
                <w:sz w:val="20"/>
                <w:szCs w:val="20"/>
              </w:rPr>
              <w:t>reasonable in the circumstances</w:t>
            </w:r>
            <w:r>
              <w:rPr>
                <w:rFonts w:ascii="Arial" w:hAnsi="Arial" w:cs="Arial"/>
                <w:sz w:val="20"/>
                <w:szCs w:val="20"/>
              </w:rPr>
              <w:t>", pursuant to the Single Source</w:t>
            </w:r>
            <w:r w:rsidR="00456DE2">
              <w:rPr>
                <w:rFonts w:ascii="Arial" w:hAnsi="Arial" w:cs="Arial"/>
                <w:sz w:val="20"/>
                <w:szCs w:val="20"/>
              </w:rPr>
              <w:t xml:space="preserve"> Contract Regulations 2014.</w:t>
            </w:r>
          </w:p>
        </w:tc>
      </w:tr>
      <w:tr w:rsidRPr="00022931" w:rsidR="00140440" w:rsidTr="23CD1BAD" w14:paraId="588C397A" w14:textId="77777777">
        <w:tc>
          <w:tcPr>
            <w:tcW w:w="2547" w:type="dxa"/>
            <w:shd w:val="clear" w:color="auto" w:fill="F2F2F2" w:themeFill="background1" w:themeFillShade="F2"/>
            <w:tcMar/>
          </w:tcPr>
          <w:p w:rsidRPr="00022931" w:rsidR="00140440" w:rsidP="00A91A72" w:rsidRDefault="00140440" w14:paraId="23BCD55F" w14:textId="2FCFFC18">
            <w:pPr>
              <w:pStyle w:val="Default"/>
              <w:spacing w:before="120" w:after="120" w:line="240" w:lineRule="atLeast"/>
              <w:jc w:val="left"/>
              <w:rPr>
                <w:rFonts w:ascii="Arial" w:hAnsi="Arial" w:cs="Arial"/>
                <w:sz w:val="20"/>
                <w:szCs w:val="20"/>
              </w:rPr>
            </w:pPr>
            <w:r w:rsidRPr="00022931">
              <w:rPr>
                <w:rFonts w:ascii="Arial" w:hAnsi="Arial" w:cs="Arial"/>
                <w:sz w:val="20"/>
                <w:szCs w:val="20"/>
              </w:rPr>
              <w:t>Actual Volume</w:t>
            </w:r>
          </w:p>
        </w:tc>
        <w:tc>
          <w:tcPr>
            <w:tcW w:w="5811" w:type="dxa"/>
            <w:tcMar/>
          </w:tcPr>
          <w:p w:rsidRPr="00022931" w:rsidR="00140440" w:rsidP="00B64BE5" w:rsidRDefault="001D05B2" w14:paraId="1E525B7B" w14:textId="534C9CBB">
            <w:pPr>
              <w:pStyle w:val="Default"/>
              <w:spacing w:before="120" w:after="120" w:line="240" w:lineRule="atLeast"/>
              <w:jc w:val="left"/>
              <w:rPr>
                <w:rFonts w:ascii="Arial" w:hAnsi="Arial" w:cs="Arial"/>
                <w:sz w:val="20"/>
                <w:szCs w:val="20"/>
              </w:rPr>
            </w:pPr>
            <w:r w:rsidRPr="00022931">
              <w:rPr>
                <w:rFonts w:ascii="Arial" w:hAnsi="Arial" w:cs="Arial"/>
                <w:sz w:val="20"/>
                <w:szCs w:val="20"/>
              </w:rPr>
              <w:t>means t</w:t>
            </w:r>
            <w:r w:rsidRPr="00022931" w:rsidR="00140440">
              <w:rPr>
                <w:rFonts w:ascii="Arial" w:hAnsi="Arial" w:cs="Arial"/>
                <w:sz w:val="20"/>
                <w:szCs w:val="20"/>
              </w:rPr>
              <w:t xml:space="preserve">he actual number of Tasks requested by the Authority </w:t>
            </w:r>
            <w:r w:rsidRPr="00022931" w:rsidR="001E32E7">
              <w:rPr>
                <w:rFonts w:ascii="Arial" w:hAnsi="Arial" w:cs="Arial"/>
                <w:sz w:val="20"/>
                <w:szCs w:val="20"/>
              </w:rPr>
              <w:t xml:space="preserve">in accordance with Schedule </w:t>
            </w:r>
            <w:r w:rsidRPr="00022931" w:rsidR="00B818F5">
              <w:rPr>
                <w:rFonts w:ascii="Arial" w:hAnsi="Arial" w:cs="Arial"/>
                <w:sz w:val="20"/>
                <w:szCs w:val="20"/>
              </w:rPr>
              <w:t>2</w:t>
            </w:r>
            <w:r w:rsidR="00C16149">
              <w:rPr>
                <w:rFonts w:ascii="Arial" w:hAnsi="Arial" w:cs="Arial"/>
                <w:sz w:val="20"/>
                <w:szCs w:val="20"/>
              </w:rPr>
              <w:t xml:space="preserve"> </w:t>
            </w:r>
            <w:r w:rsidRPr="00022931" w:rsidR="001E32E7">
              <w:rPr>
                <w:rFonts w:ascii="Arial" w:hAnsi="Arial" w:cs="Arial"/>
                <w:sz w:val="20"/>
                <w:szCs w:val="20"/>
              </w:rPr>
              <w:t>(</w:t>
            </w:r>
            <w:r w:rsidRPr="00022931" w:rsidR="001E32E7">
              <w:rPr>
                <w:rFonts w:ascii="Arial" w:hAnsi="Arial" w:cs="Arial"/>
                <w:i/>
                <w:sz w:val="20"/>
                <w:szCs w:val="20"/>
              </w:rPr>
              <w:t>Statement of Requirement</w:t>
            </w:r>
            <w:r w:rsidRPr="00022931" w:rsidR="001E32E7">
              <w:rPr>
                <w:rFonts w:ascii="Arial" w:hAnsi="Arial" w:cs="Arial"/>
                <w:sz w:val="20"/>
                <w:szCs w:val="20"/>
              </w:rPr>
              <w:t xml:space="preserve">) in a given </w:t>
            </w:r>
            <w:r w:rsidRPr="00022931" w:rsidR="00245FA6">
              <w:rPr>
                <w:rFonts w:ascii="Arial" w:hAnsi="Arial" w:cs="Arial"/>
                <w:sz w:val="20"/>
                <w:szCs w:val="20"/>
              </w:rPr>
              <w:t>Contract Year</w:t>
            </w:r>
            <w:r w:rsidRPr="00022931" w:rsidR="001E32E7">
              <w:rPr>
                <w:rFonts w:ascii="Arial" w:hAnsi="Arial" w:cs="Arial"/>
                <w:sz w:val="20"/>
                <w:szCs w:val="20"/>
              </w:rPr>
              <w:t>.</w:t>
            </w:r>
          </w:p>
        </w:tc>
      </w:tr>
      <w:tr w:rsidRPr="00022931" w:rsidR="00AA7A5A" w:rsidDel="00140440" w:rsidTr="23CD1BAD" w14:paraId="20D6B2DB" w14:textId="77777777">
        <w:tc>
          <w:tcPr>
            <w:tcW w:w="2547" w:type="dxa"/>
            <w:shd w:val="clear" w:color="auto" w:fill="F2F2F2" w:themeFill="background1" w:themeFillShade="F2"/>
            <w:tcMar/>
          </w:tcPr>
          <w:p w:rsidRPr="00022931" w:rsidR="00AA7A5A" w:rsidP="00AA7A5A" w:rsidRDefault="00AA7A5A" w14:paraId="2F05F508" w14:textId="4FCB913A">
            <w:pPr>
              <w:pStyle w:val="Default"/>
              <w:spacing w:before="120" w:after="120" w:line="240" w:lineRule="atLeast"/>
              <w:rPr>
                <w:rFonts w:ascii="Arial" w:hAnsi="Arial" w:cs="Arial"/>
                <w:sz w:val="20"/>
                <w:szCs w:val="20"/>
              </w:rPr>
            </w:pPr>
            <w:r w:rsidRPr="00022931">
              <w:rPr>
                <w:rFonts w:ascii="Arial" w:hAnsi="Arial" w:cs="Arial"/>
                <w:sz w:val="20"/>
                <w:szCs w:val="20"/>
              </w:rPr>
              <w:t xml:space="preserve">Annual Adjustment or AA </w:t>
            </w:r>
          </w:p>
        </w:tc>
        <w:tc>
          <w:tcPr>
            <w:tcW w:w="5811" w:type="dxa"/>
            <w:tcMar/>
          </w:tcPr>
          <w:p w:rsidRPr="00022931" w:rsidR="00AA7A5A" w:rsidP="00AA7A5A" w:rsidRDefault="00AA7A5A" w14:paraId="129608A7" w14:textId="70C86406" w14:noSpellErr="1">
            <w:pPr>
              <w:pStyle w:val="Default"/>
              <w:spacing w:before="120" w:after="120" w:line="240" w:lineRule="atLeast"/>
              <w:rPr>
                <w:rFonts w:ascii="Arial" w:hAnsi="Arial" w:cs="Arial"/>
                <w:sz w:val="20"/>
                <w:szCs w:val="20"/>
              </w:rPr>
            </w:pPr>
            <w:r w:rsidRPr="00AF24F8" w:rsidR="139D1A11">
              <w:rPr>
                <w:rFonts w:ascii="Arial" w:hAnsi="Arial" w:cs="Arial"/>
                <w:sz w:val="20"/>
                <w:szCs w:val="20"/>
              </w:rPr>
              <w:t xml:space="preserve">has the meaning given to it in Paragrap</w:t>
            </w:r>
            <w:r w:rsidRPr="00AF24F8" w:rsidR="139D1A11">
              <w:rPr>
                <w:rFonts w:ascii="Arial" w:hAnsi="Arial" w:cs="Arial"/>
                <w:sz w:val="20"/>
                <w:szCs w:val="20"/>
              </w:rPr>
              <w:t xml:space="preserve">h</w:t>
            </w:r>
            <w:r w:rsidRPr="00AF24F8" w:rsidR="139D1A11">
              <w:rPr>
                <w:rFonts w:ascii="Arial" w:hAnsi="Arial" w:cs="Arial"/>
                <w:sz w:val="20"/>
                <w:szCs w:val="20"/>
              </w:rPr>
              <w:t xml:space="preserve"> </w:t>
            </w:r>
            <w:r w:rsidRPr="00AF24F8">
              <w:rPr>
                <w:rFonts w:ascii="Arial" w:hAnsi="Arial" w:cs="Arial"/>
                <w:sz w:val="20"/>
                <w:szCs w:val="20"/>
              </w:rPr>
              <w:fldChar w:fldCharType="begin"/>
            </w:r>
            <w:r w:rsidRPr="00AF24F8">
              <w:rPr>
                <w:rFonts w:ascii="Arial" w:hAnsi="Arial" w:cs="Arial"/>
                <w:sz w:val="20"/>
                <w:szCs w:val="20"/>
              </w:rPr>
              <w:instrText xml:space="preserve"> REF _Ref87644270 \r \h </w:instrText>
            </w:r>
            <w:r w:rsidRPr="00AF24F8" w:rsidR="00022931">
              <w:rPr>
                <w:rFonts w:ascii="Arial" w:hAnsi="Arial" w:cs="Arial"/>
                <w:sz w:val="20"/>
                <w:szCs w:val="20"/>
              </w:rPr>
              <w:instrText xml:space="preserve"> \* MERGEFORMAT </w:instrText>
            </w:r>
            <w:r w:rsidRPr="00AF24F8">
              <w:rPr>
                <w:rFonts w:ascii="Arial" w:hAnsi="Arial" w:cs="Arial"/>
                <w:sz w:val="20"/>
                <w:szCs w:val="20"/>
              </w:rPr>
            </w:r>
            <w:r w:rsidRPr="00AF24F8">
              <w:rPr>
                <w:rFonts w:ascii="Arial" w:hAnsi="Arial" w:cs="Arial"/>
                <w:sz w:val="20"/>
                <w:szCs w:val="20"/>
              </w:rPr>
              <w:fldChar w:fldCharType="separate"/>
            </w:r>
            <w:r w:rsidR="004458E3">
              <w:rPr>
                <w:rFonts w:ascii="Arial" w:hAnsi="Arial" w:cs="Arial"/>
                <w:sz w:val="20"/>
                <w:szCs w:val="20"/>
              </w:rPr>
              <w:t>2.6</w:t>
            </w:r>
            <w:r w:rsidRPr="00AF24F8">
              <w:rPr>
                <w:rFonts w:ascii="Arial" w:hAnsi="Arial" w:cs="Arial"/>
                <w:sz w:val="20"/>
                <w:szCs w:val="20"/>
              </w:rPr>
              <w:fldChar w:fldCharType="end"/>
            </w:r>
            <w:r w:rsidRPr="00AF24F8" w:rsidR="139D1A11">
              <w:rPr>
                <w:rFonts w:ascii="Arial" w:hAnsi="Arial" w:cs="Arial"/>
                <w:sz w:val="20"/>
                <w:szCs w:val="20"/>
              </w:rPr>
              <w:t xml:space="preserve"> </w:t>
            </w:r>
            <w:r w:rsidRPr="00AF24F8" w:rsidR="139D1A11">
              <w:rPr>
                <w:rFonts w:ascii="Arial" w:hAnsi="Arial" w:cs="Arial"/>
                <w:sz w:val="20"/>
                <w:szCs w:val="20"/>
              </w:rPr>
              <w:t xml:space="preserve">(</w:t>
            </w:r>
            <w:r w:rsidRPr="23CD1BAD" w:rsidR="139D1A11">
              <w:rPr>
                <w:rFonts w:ascii="Arial" w:hAnsi="Arial" w:cs="Arial"/>
                <w:i w:val="1"/>
                <w:iCs w:val="1"/>
                <w:sz w:val="20"/>
                <w:szCs w:val="20"/>
              </w:rPr>
              <w:t xml:space="preserve">T</w:t>
            </w:r>
            <w:r w:rsidRPr="23CD1BAD" w:rsidR="139D1A11">
              <w:rPr>
                <w:rFonts w:ascii="Arial" w:hAnsi="Arial" w:cs="Arial"/>
                <w:i w:val="1"/>
                <w:iCs w:val="1"/>
                <w:sz w:val="20"/>
                <w:szCs w:val="20"/>
              </w:rPr>
              <w:t xml:space="preserve">ask Volume and Annual Rectification </w:t>
            </w:r>
            <w:r w:rsidRPr="23CD1BAD" w:rsidR="139D1A11">
              <w:rPr>
                <w:rFonts w:ascii="Arial" w:hAnsi="Arial" w:cs="Arial"/>
                <w:i w:val="1"/>
                <w:iCs w:val="1"/>
                <w:sz w:val="20"/>
                <w:szCs w:val="20"/>
              </w:rPr>
              <w:t>Process</w:t>
            </w:r>
            <w:r w:rsidRPr="00AF24F8" w:rsidR="139D1A11">
              <w:rPr>
                <w:rFonts w:ascii="Arial" w:hAnsi="Arial" w:cs="Arial"/>
                <w:sz w:val="20"/>
                <w:szCs w:val="20"/>
              </w:rPr>
              <w:t>).</w:t>
            </w:r>
          </w:p>
        </w:tc>
      </w:tr>
      <w:tr w:rsidRPr="00022931" w:rsidR="00AA7A5A" w:rsidDel="00140440" w:rsidTr="23CD1BAD" w14:paraId="0E5D8566" w14:textId="77777777">
        <w:tc>
          <w:tcPr>
            <w:tcW w:w="2547" w:type="dxa"/>
            <w:shd w:val="clear" w:color="auto" w:fill="F2F2F2" w:themeFill="background1" w:themeFillShade="F2"/>
            <w:tcMar/>
          </w:tcPr>
          <w:p w:rsidRPr="00022931" w:rsidR="00AA7A5A" w:rsidP="00AA7A5A" w:rsidRDefault="00AA7A5A" w14:paraId="69042B8A" w14:textId="449474FD">
            <w:pPr>
              <w:pStyle w:val="Default"/>
              <w:spacing w:before="120" w:after="120" w:line="240" w:lineRule="atLeast"/>
              <w:rPr>
                <w:rFonts w:ascii="Arial" w:hAnsi="Arial" w:cs="Arial"/>
                <w:sz w:val="20"/>
                <w:szCs w:val="20"/>
              </w:rPr>
            </w:pPr>
            <w:r w:rsidRPr="00022931">
              <w:rPr>
                <w:rFonts w:ascii="Arial" w:hAnsi="Arial" w:cs="Arial"/>
                <w:sz w:val="20"/>
                <w:szCs w:val="20"/>
              </w:rPr>
              <w:t>Annual Charge or AC</w:t>
            </w:r>
          </w:p>
        </w:tc>
        <w:tc>
          <w:tcPr>
            <w:tcW w:w="5811" w:type="dxa"/>
            <w:tcMar/>
          </w:tcPr>
          <w:p w:rsidRPr="00022931" w:rsidR="00AA7A5A" w:rsidP="00B43C67" w:rsidRDefault="00AA7A5A" w14:paraId="60072D30" w14:textId="178E14C6">
            <w:pPr>
              <w:pStyle w:val="Default"/>
              <w:spacing w:before="120" w:after="120" w:line="240" w:lineRule="atLeast"/>
              <w:rPr>
                <w:rFonts w:ascii="Arial" w:hAnsi="Arial" w:cs="Arial"/>
                <w:sz w:val="20"/>
                <w:szCs w:val="20"/>
              </w:rPr>
            </w:pPr>
            <w:r w:rsidRPr="00AF24F8">
              <w:rPr>
                <w:rFonts w:ascii="Arial" w:hAnsi="Arial" w:cs="Arial"/>
                <w:sz w:val="20"/>
                <w:szCs w:val="20"/>
              </w:rPr>
              <w:t xml:space="preserve">means the amount payable in each Contract </w:t>
            </w:r>
            <w:r w:rsidR="004F6FF1">
              <w:rPr>
                <w:rFonts w:ascii="Arial" w:hAnsi="Arial" w:cs="Arial"/>
                <w:sz w:val="20"/>
                <w:szCs w:val="20"/>
              </w:rPr>
              <w:t xml:space="preserve">Year in consideration for the Contractor's delivery of the Services, as calculated in accordance with Paragraph </w:t>
            </w:r>
            <w:r w:rsidR="004F6FF1">
              <w:rPr>
                <w:rFonts w:ascii="Arial" w:hAnsi="Arial" w:cs="Arial"/>
                <w:sz w:val="20"/>
                <w:szCs w:val="20"/>
              </w:rPr>
              <w:fldChar w:fldCharType="begin"/>
            </w:r>
            <w:r w:rsidR="004F6FF1">
              <w:rPr>
                <w:rFonts w:ascii="Arial" w:hAnsi="Arial" w:cs="Arial"/>
                <w:sz w:val="20"/>
                <w:szCs w:val="20"/>
              </w:rPr>
              <w:instrText xml:space="preserve"> REF _Ref108788374 \r \h </w:instrText>
            </w:r>
            <w:r w:rsidR="004F6FF1">
              <w:rPr>
                <w:rFonts w:ascii="Arial" w:hAnsi="Arial" w:cs="Arial"/>
                <w:sz w:val="20"/>
                <w:szCs w:val="20"/>
              </w:rPr>
            </w:r>
            <w:r w:rsidR="004F6FF1">
              <w:rPr>
                <w:rFonts w:ascii="Arial" w:hAnsi="Arial" w:cs="Arial"/>
                <w:sz w:val="20"/>
                <w:szCs w:val="20"/>
              </w:rPr>
              <w:fldChar w:fldCharType="separate"/>
            </w:r>
            <w:r w:rsidR="004458E3">
              <w:rPr>
                <w:rFonts w:ascii="Arial" w:hAnsi="Arial" w:cs="Arial"/>
                <w:sz w:val="20"/>
                <w:szCs w:val="20"/>
              </w:rPr>
              <w:t>2.4</w:t>
            </w:r>
            <w:r w:rsidR="004F6FF1">
              <w:rPr>
                <w:rFonts w:ascii="Arial" w:hAnsi="Arial" w:cs="Arial"/>
                <w:sz w:val="20"/>
                <w:szCs w:val="20"/>
              </w:rPr>
              <w:fldChar w:fldCharType="end"/>
            </w:r>
            <w:r w:rsidR="004F6FF1">
              <w:rPr>
                <w:rFonts w:ascii="Arial" w:hAnsi="Arial" w:cs="Arial"/>
                <w:sz w:val="20"/>
                <w:szCs w:val="20"/>
              </w:rPr>
              <w:t xml:space="preserve"> (</w:t>
            </w:r>
            <w:r w:rsidR="004F6FF1">
              <w:rPr>
                <w:rFonts w:ascii="Arial" w:hAnsi="Arial" w:cs="Arial"/>
                <w:i/>
                <w:sz w:val="20"/>
                <w:szCs w:val="20"/>
              </w:rPr>
              <w:t>Calculation of the Annual Charge for each Contract Year</w:t>
            </w:r>
            <w:r w:rsidR="004F6FF1">
              <w:rPr>
                <w:rFonts w:ascii="Arial" w:hAnsi="Arial" w:cs="Arial"/>
                <w:sz w:val="20"/>
                <w:szCs w:val="20"/>
              </w:rPr>
              <w:t>).</w:t>
            </w:r>
            <w:r w:rsidR="00F02619">
              <w:rPr>
                <w:rFonts w:ascii="Arial" w:hAnsi="Arial" w:cs="Arial"/>
                <w:sz w:val="20"/>
                <w:szCs w:val="20"/>
              </w:rPr>
              <w:t xml:space="preserve"> </w:t>
            </w:r>
          </w:p>
        </w:tc>
      </w:tr>
      <w:tr w:rsidRPr="00022931" w:rsidR="00AA7A5A" w:rsidDel="00140440" w:rsidTr="23CD1BAD" w14:paraId="67BF20DA" w14:textId="77777777">
        <w:tc>
          <w:tcPr>
            <w:tcW w:w="2547" w:type="dxa"/>
            <w:shd w:val="clear" w:color="auto" w:fill="F2F2F2" w:themeFill="background1" w:themeFillShade="F2"/>
            <w:tcMar/>
          </w:tcPr>
          <w:p w:rsidRPr="00022931" w:rsidR="00AA7A5A" w:rsidP="00AA7A5A" w:rsidRDefault="00AA7A5A" w14:paraId="7D1105CB" w14:textId="1F8AD336">
            <w:pPr>
              <w:pStyle w:val="Default"/>
              <w:spacing w:before="120" w:after="120" w:line="240" w:lineRule="atLeast"/>
              <w:rPr>
                <w:rFonts w:ascii="Arial" w:hAnsi="Arial" w:cs="Arial"/>
                <w:sz w:val="20"/>
                <w:szCs w:val="20"/>
              </w:rPr>
            </w:pPr>
            <w:r w:rsidRPr="00022931">
              <w:rPr>
                <w:rFonts w:ascii="Arial" w:hAnsi="Arial" w:cs="Arial"/>
                <w:sz w:val="20"/>
                <w:szCs w:val="20"/>
              </w:rPr>
              <w:t>Annual Charge Pricing Table or AC Pricing Table</w:t>
            </w:r>
          </w:p>
        </w:tc>
        <w:tc>
          <w:tcPr>
            <w:tcW w:w="5811" w:type="dxa"/>
            <w:tcMar/>
          </w:tcPr>
          <w:p w:rsidRPr="00022931" w:rsidR="00AA7A5A" w:rsidP="00AA7A5A" w:rsidRDefault="00A30AD0" w14:paraId="11182E91" w14:textId="08B3091D">
            <w:pPr>
              <w:pStyle w:val="Default"/>
              <w:spacing w:before="120" w:after="120" w:line="240" w:lineRule="atLeast"/>
              <w:rPr>
                <w:rFonts w:ascii="Arial" w:hAnsi="Arial" w:cs="Arial"/>
                <w:sz w:val="20"/>
                <w:szCs w:val="20"/>
              </w:rPr>
            </w:pPr>
            <w:r>
              <w:rPr>
                <w:rFonts w:ascii="Arial" w:hAnsi="Arial" w:cs="Arial"/>
                <w:sz w:val="20"/>
                <w:szCs w:val="20"/>
              </w:rPr>
              <w:t>m</w:t>
            </w:r>
            <w:r w:rsidR="00F02619">
              <w:rPr>
                <w:rFonts w:ascii="Arial" w:hAnsi="Arial" w:cs="Arial"/>
                <w:sz w:val="20"/>
                <w:szCs w:val="20"/>
              </w:rPr>
              <w:t xml:space="preserve">eans </w:t>
            </w:r>
            <w:r w:rsidRPr="00AF24F8" w:rsidR="00AA7A5A">
              <w:rPr>
                <w:rFonts w:ascii="Arial" w:hAnsi="Arial" w:cs="Arial"/>
                <w:sz w:val="20"/>
                <w:szCs w:val="20"/>
              </w:rPr>
              <w:t>the pricing table</w:t>
            </w:r>
            <w:r w:rsidR="00994074">
              <w:rPr>
                <w:rFonts w:ascii="Arial" w:hAnsi="Arial" w:cs="Arial"/>
                <w:sz w:val="20"/>
                <w:szCs w:val="20"/>
              </w:rPr>
              <w:t xml:space="preserve"> for each SDA</w:t>
            </w:r>
            <w:r w:rsidRPr="00AF24F8" w:rsidR="00AA7A5A">
              <w:rPr>
                <w:rFonts w:ascii="Arial" w:hAnsi="Arial" w:cs="Arial"/>
                <w:sz w:val="20"/>
                <w:szCs w:val="20"/>
              </w:rPr>
              <w:t xml:space="preserve"> prepared by the Contractor set out in Annex 1 (</w:t>
            </w:r>
            <w:r w:rsidRPr="00AF24F8" w:rsidR="00AA7A5A">
              <w:rPr>
                <w:rFonts w:ascii="Arial" w:hAnsi="Arial" w:cs="Arial"/>
                <w:i/>
                <w:sz w:val="20"/>
                <w:szCs w:val="20"/>
              </w:rPr>
              <w:t>Form of</w:t>
            </w:r>
            <w:r w:rsidRPr="00AF24F8" w:rsidR="00AA7A5A">
              <w:rPr>
                <w:rFonts w:ascii="Arial" w:hAnsi="Arial" w:cs="Arial"/>
                <w:sz w:val="20"/>
                <w:szCs w:val="20"/>
              </w:rPr>
              <w:t xml:space="preserve"> </w:t>
            </w:r>
            <w:r w:rsidRPr="00AF24F8" w:rsidR="00AA7A5A">
              <w:rPr>
                <w:rFonts w:ascii="Arial" w:hAnsi="Arial" w:cs="Arial"/>
                <w:i/>
                <w:sz w:val="20"/>
                <w:szCs w:val="20"/>
              </w:rPr>
              <w:t>AC Pricing Tables</w:t>
            </w:r>
            <w:r w:rsidRPr="00AF24F8" w:rsidR="00AA7A5A">
              <w:rPr>
                <w:rFonts w:ascii="Arial" w:hAnsi="Arial" w:cs="Arial"/>
                <w:sz w:val="20"/>
                <w:szCs w:val="20"/>
              </w:rPr>
              <w:t>).</w:t>
            </w:r>
          </w:p>
        </w:tc>
      </w:tr>
      <w:tr w:rsidRPr="00022931" w:rsidR="00140440" w:rsidDel="00140440" w:rsidTr="23CD1BAD" w14:paraId="32ACDB46" w14:textId="77777777">
        <w:tc>
          <w:tcPr>
            <w:tcW w:w="2547" w:type="dxa"/>
            <w:shd w:val="clear" w:color="auto" w:fill="F2F2F2" w:themeFill="background1" w:themeFillShade="F2"/>
            <w:tcMar/>
          </w:tcPr>
          <w:p w:rsidRPr="00022931" w:rsidR="00140440" w:rsidDel="00140440" w:rsidP="00140440" w:rsidRDefault="00140440" w14:paraId="4EFB2219" w14:textId="47ABDD35">
            <w:pPr>
              <w:pStyle w:val="Default"/>
              <w:spacing w:before="120" w:after="120" w:line="240" w:lineRule="atLeast"/>
              <w:jc w:val="left"/>
              <w:rPr>
                <w:rFonts w:ascii="Arial" w:hAnsi="Arial" w:cs="Arial"/>
                <w:sz w:val="20"/>
                <w:szCs w:val="20"/>
              </w:rPr>
            </w:pPr>
            <w:r w:rsidRPr="00022931">
              <w:rPr>
                <w:rFonts w:ascii="Arial" w:hAnsi="Arial" w:cs="Arial"/>
                <w:sz w:val="20"/>
                <w:szCs w:val="20"/>
              </w:rPr>
              <w:t>Annual Reconciliation Process</w:t>
            </w:r>
          </w:p>
        </w:tc>
        <w:tc>
          <w:tcPr>
            <w:tcW w:w="5811" w:type="dxa"/>
            <w:tcMar/>
          </w:tcPr>
          <w:p w:rsidRPr="00022931" w:rsidR="00140440" w:rsidDel="00140440" w:rsidP="00C14F53" w:rsidRDefault="008B7936" w14:paraId="13580462" w14:textId="11D5CB00">
            <w:pPr>
              <w:pStyle w:val="Default"/>
              <w:spacing w:before="120" w:after="120" w:line="240" w:lineRule="atLeast"/>
              <w:jc w:val="left"/>
              <w:rPr>
                <w:rFonts w:ascii="Arial" w:hAnsi="Arial" w:cs="Arial"/>
                <w:sz w:val="20"/>
                <w:szCs w:val="20"/>
              </w:rPr>
            </w:pPr>
            <w:r>
              <w:rPr>
                <w:rFonts w:ascii="Arial" w:hAnsi="Arial" w:cs="Arial"/>
                <w:sz w:val="20"/>
                <w:szCs w:val="20"/>
              </w:rPr>
              <w:t>m</w:t>
            </w:r>
            <w:r w:rsidRPr="00022931" w:rsidR="00981B2F">
              <w:rPr>
                <w:rFonts w:ascii="Arial" w:hAnsi="Arial" w:cs="Arial"/>
                <w:sz w:val="20"/>
                <w:szCs w:val="20"/>
              </w:rPr>
              <w:t xml:space="preserve">eans the process set out in </w:t>
            </w:r>
            <w:r w:rsidRPr="00022931" w:rsidR="00A6245B">
              <w:rPr>
                <w:rFonts w:ascii="Arial" w:hAnsi="Arial" w:cs="Arial"/>
                <w:sz w:val="20"/>
                <w:szCs w:val="20"/>
              </w:rPr>
              <w:t>Paragraph</w:t>
            </w:r>
            <w:r w:rsidRPr="00022931" w:rsidR="00CC7DA1">
              <w:rPr>
                <w:rFonts w:ascii="Arial" w:hAnsi="Arial" w:cs="Arial"/>
                <w:sz w:val="20"/>
                <w:szCs w:val="20"/>
              </w:rPr>
              <w:t xml:space="preserve"> </w:t>
            </w:r>
            <w:r w:rsidRPr="00022931" w:rsidR="00C14F53">
              <w:rPr>
                <w:rFonts w:ascii="Arial" w:hAnsi="Arial" w:cs="Arial"/>
                <w:sz w:val="20"/>
                <w:szCs w:val="20"/>
              </w:rPr>
              <w:fldChar w:fldCharType="begin"/>
            </w:r>
            <w:r w:rsidRPr="00022931" w:rsidR="00C14F53">
              <w:rPr>
                <w:rFonts w:ascii="Arial" w:hAnsi="Arial" w:cs="Arial"/>
                <w:sz w:val="20"/>
                <w:szCs w:val="20"/>
              </w:rPr>
              <w:instrText xml:space="preserve"> REF _Ref87644270 \r \h </w:instrText>
            </w:r>
            <w:r w:rsidR="00022931">
              <w:rPr>
                <w:rFonts w:ascii="Arial" w:hAnsi="Arial" w:cs="Arial"/>
                <w:sz w:val="20"/>
                <w:szCs w:val="20"/>
              </w:rPr>
              <w:instrText xml:space="preserve"> \* MERGEFORMAT </w:instrText>
            </w:r>
            <w:r w:rsidRPr="00022931" w:rsidR="00C14F53">
              <w:rPr>
                <w:rFonts w:ascii="Arial" w:hAnsi="Arial" w:cs="Arial"/>
                <w:sz w:val="20"/>
                <w:szCs w:val="20"/>
              </w:rPr>
            </w:r>
            <w:r w:rsidRPr="00022931" w:rsidR="00C14F53">
              <w:rPr>
                <w:rFonts w:ascii="Arial" w:hAnsi="Arial" w:cs="Arial"/>
                <w:sz w:val="20"/>
                <w:szCs w:val="20"/>
              </w:rPr>
              <w:fldChar w:fldCharType="separate"/>
            </w:r>
            <w:r w:rsidR="004458E3">
              <w:rPr>
                <w:rFonts w:ascii="Arial" w:hAnsi="Arial" w:cs="Arial"/>
                <w:sz w:val="20"/>
                <w:szCs w:val="20"/>
              </w:rPr>
              <w:t>2.6</w:t>
            </w:r>
            <w:r w:rsidRPr="00022931" w:rsidR="00C14F53">
              <w:rPr>
                <w:rFonts w:ascii="Arial" w:hAnsi="Arial" w:cs="Arial"/>
                <w:sz w:val="20"/>
                <w:szCs w:val="20"/>
              </w:rPr>
              <w:fldChar w:fldCharType="end"/>
            </w:r>
            <w:r w:rsidRPr="00022931" w:rsidR="00CC2ED5">
              <w:rPr>
                <w:rFonts w:ascii="Arial" w:hAnsi="Arial" w:cs="Arial"/>
                <w:sz w:val="20"/>
                <w:szCs w:val="20"/>
              </w:rPr>
              <w:t xml:space="preserve"> (</w:t>
            </w:r>
            <w:r w:rsidR="00993720">
              <w:rPr>
                <w:rFonts w:ascii="Arial" w:hAnsi="Arial" w:cs="Arial"/>
                <w:i/>
                <w:sz w:val="20"/>
                <w:szCs w:val="20"/>
              </w:rPr>
              <w:t xml:space="preserve">Task </w:t>
            </w:r>
            <w:r w:rsidRPr="00AF24F8" w:rsidR="00993720">
              <w:rPr>
                <w:rFonts w:ascii="Arial" w:hAnsi="Arial" w:cs="Arial"/>
                <w:i/>
                <w:sz w:val="20"/>
                <w:szCs w:val="20"/>
              </w:rPr>
              <w:t>Volume</w:t>
            </w:r>
            <w:r w:rsidR="00993720">
              <w:rPr>
                <w:rFonts w:ascii="Arial" w:hAnsi="Arial" w:cs="Arial"/>
                <w:i/>
                <w:sz w:val="20"/>
                <w:szCs w:val="20"/>
              </w:rPr>
              <w:t>s</w:t>
            </w:r>
            <w:r w:rsidRPr="00AF24F8" w:rsidR="00993720">
              <w:rPr>
                <w:rFonts w:ascii="Arial" w:hAnsi="Arial" w:cs="Arial"/>
                <w:i/>
                <w:sz w:val="20"/>
                <w:szCs w:val="20"/>
              </w:rPr>
              <w:t xml:space="preserve"> and the Annual Rectification Process</w:t>
            </w:r>
            <w:r w:rsidRPr="00022931" w:rsidR="00CC2ED5">
              <w:rPr>
                <w:rFonts w:ascii="Arial" w:hAnsi="Arial" w:cs="Arial"/>
                <w:sz w:val="20"/>
                <w:szCs w:val="20"/>
              </w:rPr>
              <w:t>)</w:t>
            </w:r>
            <w:r w:rsidRPr="00022931" w:rsidR="00C14F53">
              <w:rPr>
                <w:rFonts w:ascii="Arial" w:hAnsi="Arial" w:cs="Arial"/>
                <w:sz w:val="20"/>
                <w:szCs w:val="20"/>
              </w:rPr>
              <w:t>.</w:t>
            </w:r>
          </w:p>
        </w:tc>
      </w:tr>
      <w:tr w:rsidRPr="00022931" w:rsidR="00140440" w:rsidDel="00140440" w:rsidTr="23CD1BAD" w14:paraId="4F486548" w14:textId="77777777">
        <w:tc>
          <w:tcPr>
            <w:tcW w:w="2547" w:type="dxa"/>
            <w:shd w:val="clear" w:color="auto" w:fill="F2F2F2" w:themeFill="background1" w:themeFillShade="F2"/>
            <w:tcMar/>
          </w:tcPr>
          <w:p w:rsidRPr="00022931" w:rsidR="00140440" w:rsidDel="00140440" w:rsidP="00140440" w:rsidRDefault="00140440" w14:paraId="49C29A58" w14:textId="78E50D1F">
            <w:pPr>
              <w:pStyle w:val="Default"/>
              <w:spacing w:before="120" w:after="120" w:line="240" w:lineRule="atLeast"/>
              <w:jc w:val="left"/>
              <w:rPr>
                <w:rFonts w:ascii="Arial" w:hAnsi="Arial" w:cs="Arial"/>
                <w:sz w:val="20"/>
                <w:szCs w:val="20"/>
              </w:rPr>
            </w:pPr>
            <w:r w:rsidRPr="00022931">
              <w:rPr>
                <w:rFonts w:ascii="Arial" w:hAnsi="Arial" w:cs="Arial"/>
                <w:sz w:val="20"/>
                <w:szCs w:val="20"/>
              </w:rPr>
              <w:t>Annual Tasking Volume Report</w:t>
            </w:r>
            <w:r w:rsidRPr="00022931" w:rsidR="0026554C">
              <w:rPr>
                <w:rFonts w:ascii="Arial" w:hAnsi="Arial" w:cs="Arial"/>
                <w:sz w:val="20"/>
                <w:szCs w:val="20"/>
              </w:rPr>
              <w:t xml:space="preserve"> or ATVR</w:t>
            </w:r>
          </w:p>
        </w:tc>
        <w:tc>
          <w:tcPr>
            <w:tcW w:w="5811" w:type="dxa"/>
            <w:tcMar/>
          </w:tcPr>
          <w:p w:rsidRPr="00022931" w:rsidR="00140440" w:rsidDel="00140440" w:rsidP="00876C49" w:rsidRDefault="00F02619" w14:paraId="49A80EB0" w14:textId="206248F7">
            <w:pPr>
              <w:pStyle w:val="Default"/>
              <w:spacing w:before="120" w:after="120" w:line="240" w:lineRule="atLeast"/>
              <w:jc w:val="left"/>
              <w:rPr>
                <w:rFonts w:ascii="Arial" w:hAnsi="Arial" w:cs="Arial"/>
                <w:sz w:val="20"/>
                <w:szCs w:val="20"/>
              </w:rPr>
            </w:pPr>
            <w:r>
              <w:rPr>
                <w:rFonts w:ascii="Arial" w:hAnsi="Arial" w:cs="Arial"/>
                <w:sz w:val="20"/>
                <w:szCs w:val="20"/>
              </w:rPr>
              <w:t>h</w:t>
            </w:r>
            <w:r w:rsidRPr="00022931" w:rsidR="0026554C">
              <w:rPr>
                <w:rFonts w:ascii="Arial" w:hAnsi="Arial" w:cs="Arial"/>
                <w:sz w:val="20"/>
                <w:szCs w:val="20"/>
              </w:rPr>
              <w:t xml:space="preserve">as the meaning given to it in </w:t>
            </w:r>
            <w:r w:rsidRPr="00022931" w:rsidR="00A6245B">
              <w:rPr>
                <w:rFonts w:ascii="Arial" w:hAnsi="Arial" w:cs="Arial"/>
                <w:sz w:val="20"/>
                <w:szCs w:val="20"/>
              </w:rPr>
              <w:t>Paragraph</w:t>
            </w:r>
            <w:r w:rsidRPr="00022931" w:rsidR="0026554C">
              <w:rPr>
                <w:rFonts w:ascii="Arial" w:hAnsi="Arial" w:cs="Arial"/>
                <w:sz w:val="20"/>
                <w:szCs w:val="20"/>
              </w:rPr>
              <w:t xml:space="preserve"> </w:t>
            </w:r>
            <w:r w:rsidRPr="00022931" w:rsidR="0026554C">
              <w:rPr>
                <w:rFonts w:ascii="Arial" w:hAnsi="Arial" w:cs="Arial"/>
                <w:sz w:val="20"/>
                <w:szCs w:val="20"/>
              </w:rPr>
              <w:fldChar w:fldCharType="begin"/>
            </w:r>
            <w:r w:rsidRPr="00022931" w:rsidR="0026554C">
              <w:rPr>
                <w:rFonts w:ascii="Arial" w:hAnsi="Arial" w:cs="Arial"/>
                <w:sz w:val="20"/>
                <w:szCs w:val="20"/>
              </w:rPr>
              <w:instrText xml:space="preserve"> REF _Ref87644270 \r \h  \* MERGEFORMAT </w:instrText>
            </w:r>
            <w:r w:rsidRPr="00022931" w:rsidR="0026554C">
              <w:rPr>
                <w:rFonts w:ascii="Arial" w:hAnsi="Arial" w:cs="Arial"/>
                <w:sz w:val="20"/>
                <w:szCs w:val="20"/>
              </w:rPr>
            </w:r>
            <w:r w:rsidRPr="00022931" w:rsidR="0026554C">
              <w:rPr>
                <w:rFonts w:ascii="Arial" w:hAnsi="Arial" w:cs="Arial"/>
                <w:sz w:val="20"/>
                <w:szCs w:val="20"/>
              </w:rPr>
              <w:fldChar w:fldCharType="separate"/>
            </w:r>
            <w:r w:rsidR="004458E3">
              <w:rPr>
                <w:rFonts w:ascii="Arial" w:hAnsi="Arial" w:cs="Arial"/>
                <w:sz w:val="20"/>
                <w:szCs w:val="20"/>
              </w:rPr>
              <w:t>2.6</w:t>
            </w:r>
            <w:r w:rsidRPr="00022931" w:rsidR="0026554C">
              <w:rPr>
                <w:rFonts w:ascii="Arial" w:hAnsi="Arial" w:cs="Arial"/>
                <w:sz w:val="20"/>
                <w:szCs w:val="20"/>
              </w:rPr>
              <w:fldChar w:fldCharType="end"/>
            </w:r>
            <w:r w:rsidRPr="00022931" w:rsidR="00CC2ED5">
              <w:rPr>
                <w:rFonts w:ascii="Arial" w:hAnsi="Arial" w:cs="Arial"/>
                <w:sz w:val="20"/>
                <w:szCs w:val="20"/>
              </w:rPr>
              <w:t xml:space="preserve"> (</w:t>
            </w:r>
            <w:r w:rsidR="00993720">
              <w:rPr>
                <w:rFonts w:ascii="Arial" w:hAnsi="Arial" w:cs="Arial"/>
                <w:i/>
                <w:sz w:val="20"/>
                <w:szCs w:val="20"/>
              </w:rPr>
              <w:t xml:space="preserve">Task </w:t>
            </w:r>
            <w:r w:rsidRPr="00AF24F8" w:rsidR="00993720">
              <w:rPr>
                <w:rFonts w:ascii="Arial" w:hAnsi="Arial" w:cs="Arial"/>
                <w:i/>
                <w:sz w:val="20"/>
                <w:szCs w:val="20"/>
              </w:rPr>
              <w:t>Volume</w:t>
            </w:r>
            <w:r w:rsidR="00993720">
              <w:rPr>
                <w:rFonts w:ascii="Arial" w:hAnsi="Arial" w:cs="Arial"/>
                <w:i/>
                <w:sz w:val="20"/>
                <w:szCs w:val="20"/>
              </w:rPr>
              <w:t>s</w:t>
            </w:r>
            <w:r w:rsidRPr="00AF24F8" w:rsidR="00993720">
              <w:rPr>
                <w:rFonts w:ascii="Arial" w:hAnsi="Arial" w:cs="Arial"/>
                <w:i/>
                <w:sz w:val="20"/>
                <w:szCs w:val="20"/>
              </w:rPr>
              <w:t xml:space="preserve"> and the Annual Rectification </w:t>
            </w:r>
            <w:proofErr w:type="gramStart"/>
            <w:r w:rsidRPr="00AF24F8" w:rsidR="00993720">
              <w:rPr>
                <w:rFonts w:ascii="Arial" w:hAnsi="Arial" w:cs="Arial"/>
                <w:i/>
                <w:sz w:val="20"/>
                <w:szCs w:val="20"/>
              </w:rPr>
              <w:t>Process</w:t>
            </w:r>
            <w:r w:rsidRPr="00022931" w:rsidR="00CC2ED5">
              <w:rPr>
                <w:rFonts w:ascii="Arial" w:hAnsi="Arial" w:cs="Arial"/>
                <w:sz w:val="20"/>
                <w:szCs w:val="20"/>
              </w:rPr>
              <w:t>)</w:t>
            </w:r>
            <w:r w:rsidRPr="00022931" w:rsidR="0026554C">
              <w:rPr>
                <w:rFonts w:ascii="Arial" w:hAnsi="Arial" w:cs="Arial"/>
                <w:sz w:val="20"/>
                <w:szCs w:val="20"/>
              </w:rPr>
              <w:t>.</w:t>
            </w:r>
            <w:proofErr w:type="gramEnd"/>
          </w:p>
        </w:tc>
      </w:tr>
      <w:tr w:rsidRPr="00022931" w:rsidR="0037092A" w:rsidDel="00140440" w:rsidTr="23CD1BAD" w14:paraId="0072E2CB" w14:textId="77777777">
        <w:tc>
          <w:tcPr>
            <w:tcW w:w="2547" w:type="dxa"/>
            <w:shd w:val="clear" w:color="auto" w:fill="F2F2F2" w:themeFill="background1" w:themeFillShade="F2"/>
            <w:tcMar/>
          </w:tcPr>
          <w:p w:rsidRPr="00022931" w:rsidR="0037092A" w:rsidP="00140440" w:rsidRDefault="0037092A" w14:paraId="54871676" w14:textId="244A4008">
            <w:pPr>
              <w:pStyle w:val="Default"/>
              <w:spacing w:before="120" w:after="120" w:line="240" w:lineRule="atLeast"/>
              <w:rPr>
                <w:rFonts w:ascii="Arial" w:hAnsi="Arial" w:cs="Arial"/>
                <w:sz w:val="20"/>
                <w:szCs w:val="20"/>
              </w:rPr>
            </w:pPr>
            <w:r>
              <w:rPr>
                <w:rFonts w:ascii="Arial" w:hAnsi="Arial" w:cs="Arial"/>
                <w:sz w:val="20"/>
                <w:szCs w:val="20"/>
              </w:rPr>
              <w:t>Baseline</w:t>
            </w:r>
          </w:p>
        </w:tc>
        <w:tc>
          <w:tcPr>
            <w:tcW w:w="5811" w:type="dxa"/>
            <w:tcMar/>
          </w:tcPr>
          <w:p w:rsidR="0037092A" w:rsidP="00B64BE5" w:rsidRDefault="0037092A" w14:paraId="5D7584C2" w14:textId="3D258C39">
            <w:pPr>
              <w:pStyle w:val="Default"/>
              <w:spacing w:before="120" w:after="120" w:line="240" w:lineRule="atLeast"/>
              <w:rPr>
                <w:rFonts w:ascii="Arial" w:hAnsi="Arial" w:cs="Arial"/>
                <w:sz w:val="20"/>
                <w:szCs w:val="20"/>
              </w:rPr>
            </w:pPr>
            <w:r>
              <w:rPr>
                <w:rFonts w:ascii="Arial" w:hAnsi="Arial" w:cs="Arial"/>
                <w:sz w:val="20"/>
                <w:szCs w:val="20"/>
              </w:rPr>
              <w:t xml:space="preserve">means the </w:t>
            </w:r>
            <w:r w:rsidR="00B64BE5">
              <w:rPr>
                <w:rFonts w:ascii="Arial" w:hAnsi="Arial" w:cs="Arial"/>
                <w:sz w:val="20"/>
                <w:szCs w:val="20"/>
              </w:rPr>
              <w:t xml:space="preserve">baseline </w:t>
            </w:r>
            <w:r>
              <w:rPr>
                <w:rFonts w:ascii="Arial" w:hAnsi="Arial" w:cs="Arial"/>
                <w:sz w:val="20"/>
                <w:szCs w:val="20"/>
              </w:rPr>
              <w:t xml:space="preserve">volume </w:t>
            </w:r>
            <w:r w:rsidR="00B64BE5">
              <w:rPr>
                <w:rFonts w:ascii="Arial" w:hAnsi="Arial" w:cs="Arial"/>
                <w:sz w:val="20"/>
                <w:szCs w:val="20"/>
              </w:rPr>
              <w:t xml:space="preserve">for a Task in SDA 7, as </w:t>
            </w:r>
            <w:r>
              <w:rPr>
                <w:rFonts w:ascii="Arial" w:hAnsi="Arial" w:cs="Arial"/>
                <w:sz w:val="20"/>
                <w:szCs w:val="20"/>
              </w:rPr>
              <w:t xml:space="preserve">defined in </w:t>
            </w:r>
            <w:r w:rsidRPr="00022931">
              <w:rPr>
                <w:rFonts w:ascii="Arial" w:hAnsi="Arial" w:cs="Arial"/>
                <w:sz w:val="20"/>
                <w:szCs w:val="20"/>
              </w:rPr>
              <w:t>Schedule 2</w:t>
            </w:r>
            <w:r>
              <w:rPr>
                <w:rFonts w:ascii="Arial" w:hAnsi="Arial" w:cs="Arial"/>
                <w:sz w:val="20"/>
                <w:szCs w:val="20"/>
              </w:rPr>
              <w:t xml:space="preserve"> </w:t>
            </w:r>
            <w:r w:rsidRPr="00022931">
              <w:rPr>
                <w:rFonts w:ascii="Arial" w:hAnsi="Arial" w:cs="Arial"/>
                <w:sz w:val="20"/>
                <w:szCs w:val="20"/>
              </w:rPr>
              <w:t>(</w:t>
            </w:r>
            <w:r w:rsidRPr="00022931">
              <w:rPr>
                <w:rFonts w:ascii="Arial" w:hAnsi="Arial" w:cs="Arial"/>
                <w:i/>
                <w:sz w:val="20"/>
                <w:szCs w:val="20"/>
              </w:rPr>
              <w:t>Statement of Requirement</w:t>
            </w:r>
            <w:r w:rsidRPr="00022931">
              <w:rPr>
                <w:rFonts w:ascii="Arial" w:hAnsi="Arial" w:cs="Arial"/>
                <w:sz w:val="20"/>
                <w:szCs w:val="20"/>
              </w:rPr>
              <w:t>)</w:t>
            </w:r>
            <w:r w:rsidR="00B64BE5">
              <w:rPr>
                <w:rFonts w:ascii="Arial" w:hAnsi="Arial" w:cs="Arial"/>
                <w:sz w:val="20"/>
                <w:szCs w:val="20"/>
              </w:rPr>
              <w:t>.</w:t>
            </w:r>
          </w:p>
        </w:tc>
      </w:tr>
      <w:tr w:rsidRPr="00022931" w:rsidR="00A52354" w:rsidTr="23CD1BAD" w14:paraId="0860840E" w14:textId="78FB9AD0">
        <w:tc>
          <w:tcPr>
            <w:tcW w:w="2547" w:type="dxa"/>
            <w:shd w:val="clear" w:color="auto" w:fill="F2F2F2" w:themeFill="background1" w:themeFillShade="F2"/>
            <w:tcMar/>
          </w:tcPr>
          <w:p w:rsidRPr="00022931" w:rsidR="00A52354" w:rsidP="00415DD4" w:rsidRDefault="00A52354" w14:paraId="445E8691" w14:textId="3F7398D3">
            <w:pPr>
              <w:pStyle w:val="Default"/>
              <w:spacing w:before="120" w:after="120" w:line="240" w:lineRule="atLeast"/>
              <w:rPr>
                <w:rFonts w:ascii="Arial" w:hAnsi="Arial" w:cs="Arial"/>
                <w:sz w:val="20"/>
                <w:szCs w:val="20"/>
              </w:rPr>
            </w:pPr>
            <w:r w:rsidRPr="00022931">
              <w:rPr>
                <w:rFonts w:ascii="Arial" w:hAnsi="Arial" w:cs="Arial"/>
                <w:sz w:val="20"/>
                <w:szCs w:val="20"/>
              </w:rPr>
              <w:t>Earn-Back Mechanism</w:t>
            </w:r>
          </w:p>
        </w:tc>
        <w:tc>
          <w:tcPr>
            <w:tcW w:w="5811" w:type="dxa"/>
            <w:tcMar/>
          </w:tcPr>
          <w:p w:rsidRPr="00022931" w:rsidR="00A52354" w:rsidP="004A768D" w:rsidRDefault="00A52354" w14:paraId="795D38FF" w14:textId="14B7425D">
            <w:pPr>
              <w:pStyle w:val="Default"/>
              <w:spacing w:before="120" w:after="120" w:line="240" w:lineRule="atLeast"/>
              <w:rPr>
                <w:rFonts w:ascii="Arial" w:hAnsi="Arial" w:cs="Arial"/>
                <w:sz w:val="20"/>
                <w:szCs w:val="20"/>
              </w:rPr>
            </w:pPr>
            <w:r w:rsidRPr="00022931">
              <w:rPr>
                <w:rFonts w:ascii="Arial" w:hAnsi="Arial" w:cs="Arial"/>
                <w:sz w:val="20"/>
                <w:szCs w:val="20"/>
              </w:rPr>
              <w:t xml:space="preserve">has the meaning given to it in </w:t>
            </w:r>
            <w:r w:rsidRPr="00022931" w:rsidR="00A6245B">
              <w:rPr>
                <w:rFonts w:ascii="Arial" w:hAnsi="Arial" w:cs="Arial"/>
                <w:sz w:val="20"/>
                <w:szCs w:val="20"/>
              </w:rPr>
              <w:t>Paragraph</w:t>
            </w:r>
            <w:r w:rsidRPr="00AF24F8" w:rsidR="00D17296">
              <w:rPr>
                <w:rFonts w:ascii="Arial" w:hAnsi="Arial" w:cs="Arial"/>
              </w:rPr>
              <w:t xml:space="preserve"> </w:t>
            </w:r>
            <w:r w:rsidRPr="00022931" w:rsidR="004A768D">
              <w:rPr>
                <w:rFonts w:ascii="Arial" w:hAnsi="Arial" w:cs="Arial"/>
                <w:sz w:val="20"/>
                <w:szCs w:val="20"/>
              </w:rPr>
              <w:fldChar w:fldCharType="begin"/>
            </w:r>
            <w:r w:rsidRPr="00022931" w:rsidR="004A768D">
              <w:rPr>
                <w:rFonts w:ascii="Arial" w:hAnsi="Arial" w:cs="Arial"/>
                <w:sz w:val="20"/>
                <w:szCs w:val="20"/>
              </w:rPr>
              <w:instrText xml:space="preserve"> REF _Ref89420910 \r \h </w:instrText>
            </w:r>
            <w:r w:rsidRPr="00022931" w:rsidR="00734DB8">
              <w:rPr>
                <w:rFonts w:ascii="Arial" w:hAnsi="Arial" w:cs="Arial"/>
                <w:sz w:val="20"/>
                <w:szCs w:val="20"/>
              </w:rPr>
              <w:instrText xml:space="preserve"> \* MERGEFORMAT </w:instrText>
            </w:r>
            <w:r w:rsidRPr="00022931" w:rsidR="004A768D">
              <w:rPr>
                <w:rFonts w:ascii="Arial" w:hAnsi="Arial" w:cs="Arial"/>
                <w:sz w:val="20"/>
                <w:szCs w:val="20"/>
              </w:rPr>
            </w:r>
            <w:r w:rsidRPr="00022931" w:rsidR="004A768D">
              <w:rPr>
                <w:rFonts w:ascii="Arial" w:hAnsi="Arial" w:cs="Arial"/>
                <w:sz w:val="20"/>
                <w:szCs w:val="20"/>
              </w:rPr>
              <w:fldChar w:fldCharType="separate"/>
            </w:r>
            <w:r w:rsidR="004458E3">
              <w:rPr>
                <w:rFonts w:ascii="Arial" w:hAnsi="Arial" w:cs="Arial"/>
                <w:sz w:val="20"/>
                <w:szCs w:val="20"/>
              </w:rPr>
              <w:t>4.2</w:t>
            </w:r>
            <w:r w:rsidRPr="00022931" w:rsidR="004A768D">
              <w:rPr>
                <w:rFonts w:ascii="Arial" w:hAnsi="Arial" w:cs="Arial"/>
                <w:sz w:val="20"/>
                <w:szCs w:val="20"/>
              </w:rPr>
              <w:fldChar w:fldCharType="end"/>
            </w:r>
            <w:r w:rsidRPr="00022931" w:rsidR="004A768D">
              <w:rPr>
                <w:rFonts w:ascii="Arial" w:hAnsi="Arial" w:cs="Arial"/>
                <w:sz w:val="20"/>
              </w:rPr>
              <w:t xml:space="preserve"> (</w:t>
            </w:r>
            <w:r w:rsidRPr="00022931" w:rsidR="004A768D">
              <w:rPr>
                <w:rFonts w:ascii="Arial" w:hAnsi="Arial" w:cs="Arial"/>
                <w:i/>
                <w:sz w:val="20"/>
              </w:rPr>
              <w:t>Earn Back Mechanism</w:t>
            </w:r>
            <w:r w:rsidRPr="00022931" w:rsidR="004A768D">
              <w:rPr>
                <w:rFonts w:ascii="Arial" w:hAnsi="Arial" w:cs="Arial"/>
                <w:sz w:val="20"/>
              </w:rPr>
              <w:t>)</w:t>
            </w:r>
            <w:r w:rsidRPr="00022931" w:rsidR="004A768D">
              <w:rPr>
                <w:rFonts w:ascii="Arial" w:hAnsi="Arial" w:cs="Arial"/>
                <w:i/>
                <w:sz w:val="20"/>
              </w:rPr>
              <w:t xml:space="preserve"> </w:t>
            </w:r>
          </w:p>
        </w:tc>
      </w:tr>
      <w:tr w:rsidRPr="00022931" w:rsidR="00D4772A" w:rsidTr="23CD1BAD" w14:paraId="5A80258F" w14:textId="77777777">
        <w:tc>
          <w:tcPr>
            <w:tcW w:w="2547" w:type="dxa"/>
            <w:shd w:val="clear" w:color="auto" w:fill="F2F2F2" w:themeFill="background1" w:themeFillShade="F2"/>
            <w:tcMar/>
          </w:tcPr>
          <w:p w:rsidRPr="00022931" w:rsidR="00D4772A" w:rsidP="00415DD4" w:rsidRDefault="00F5331B" w14:paraId="1776FB59"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Effective Margin </w:t>
            </w:r>
          </w:p>
        </w:tc>
        <w:tc>
          <w:tcPr>
            <w:tcW w:w="5811" w:type="dxa"/>
            <w:tcMar/>
          </w:tcPr>
          <w:p w:rsidRPr="00022931" w:rsidR="00D4772A" w:rsidP="002F31D4" w:rsidRDefault="006C1589" w14:paraId="4A953E34" w14:textId="452682ED">
            <w:pPr>
              <w:pStyle w:val="Default"/>
              <w:spacing w:before="120" w:after="120" w:line="240" w:lineRule="atLeast"/>
              <w:jc w:val="left"/>
              <w:rPr>
                <w:rFonts w:ascii="Arial" w:hAnsi="Arial" w:cs="Arial"/>
                <w:sz w:val="20"/>
                <w:szCs w:val="20"/>
              </w:rPr>
            </w:pPr>
            <w:r w:rsidRPr="00022931">
              <w:rPr>
                <w:rFonts w:ascii="Arial" w:hAnsi="Arial" w:cs="Arial"/>
                <w:sz w:val="20"/>
                <w:szCs w:val="20"/>
              </w:rPr>
              <w:t>mea</w:t>
            </w:r>
            <w:r w:rsidRPr="00022931" w:rsidR="00BC6FFF">
              <w:rPr>
                <w:rFonts w:ascii="Arial" w:hAnsi="Arial" w:cs="Arial"/>
                <w:sz w:val="20"/>
                <w:szCs w:val="20"/>
              </w:rPr>
              <w:t>n</w:t>
            </w:r>
            <w:r w:rsidRPr="00022931">
              <w:rPr>
                <w:rFonts w:ascii="Arial" w:hAnsi="Arial" w:cs="Arial"/>
                <w:sz w:val="20"/>
                <w:szCs w:val="20"/>
              </w:rPr>
              <w:t xml:space="preserve">s the </w:t>
            </w:r>
            <w:r w:rsidRPr="00022931" w:rsidR="00F5331B">
              <w:rPr>
                <w:rFonts w:ascii="Arial" w:hAnsi="Arial" w:cs="Arial"/>
                <w:sz w:val="20"/>
                <w:szCs w:val="20"/>
              </w:rPr>
              <w:t xml:space="preserve">actual outturn </w:t>
            </w:r>
            <w:r w:rsidRPr="00022931" w:rsidR="00AF14D1">
              <w:rPr>
                <w:rFonts w:ascii="Arial" w:hAnsi="Arial" w:cs="Arial"/>
                <w:sz w:val="20"/>
                <w:szCs w:val="20"/>
              </w:rPr>
              <w:t>P</w:t>
            </w:r>
            <w:r w:rsidRPr="00022931" w:rsidR="00F5331B">
              <w:rPr>
                <w:rFonts w:ascii="Arial" w:hAnsi="Arial" w:cs="Arial"/>
                <w:sz w:val="20"/>
                <w:szCs w:val="20"/>
              </w:rPr>
              <w:t xml:space="preserve">rofit </w:t>
            </w:r>
            <w:r w:rsidRPr="00022931" w:rsidR="00AF14D1">
              <w:rPr>
                <w:rFonts w:ascii="Arial" w:hAnsi="Arial" w:cs="Arial"/>
                <w:sz w:val="20"/>
                <w:szCs w:val="20"/>
              </w:rPr>
              <w:t>M</w:t>
            </w:r>
            <w:r w:rsidRPr="00022931" w:rsidR="00F5331B">
              <w:rPr>
                <w:rFonts w:ascii="Arial" w:hAnsi="Arial" w:cs="Arial"/>
                <w:sz w:val="20"/>
                <w:szCs w:val="20"/>
              </w:rPr>
              <w:t xml:space="preserve">argin in any </w:t>
            </w:r>
            <w:r w:rsidRPr="00AF24F8" w:rsidR="00245FA6">
              <w:rPr>
                <w:rFonts w:ascii="Arial" w:hAnsi="Arial" w:cs="Arial"/>
                <w:sz w:val="20"/>
                <w:szCs w:val="20"/>
              </w:rPr>
              <w:t>Contract Year</w:t>
            </w:r>
            <w:r w:rsidRPr="00022931" w:rsidR="00F5331B">
              <w:rPr>
                <w:rFonts w:ascii="Arial" w:hAnsi="Arial" w:cs="Arial"/>
                <w:sz w:val="20"/>
                <w:szCs w:val="20"/>
              </w:rPr>
              <w:t xml:space="preserve"> prior to the</w:t>
            </w:r>
            <w:r w:rsidRPr="00022931">
              <w:rPr>
                <w:rFonts w:ascii="Arial" w:hAnsi="Arial" w:cs="Arial"/>
                <w:sz w:val="20"/>
                <w:szCs w:val="20"/>
              </w:rPr>
              <w:t xml:space="preserve"> application of the</w:t>
            </w:r>
            <w:r w:rsidRPr="00022931" w:rsidR="00F5331B">
              <w:rPr>
                <w:rFonts w:ascii="Arial" w:hAnsi="Arial" w:cs="Arial"/>
                <w:sz w:val="20"/>
                <w:szCs w:val="20"/>
              </w:rPr>
              <w:t xml:space="preserve"> </w:t>
            </w:r>
            <w:r w:rsidRPr="00022931" w:rsidR="002F31D4">
              <w:rPr>
                <w:rFonts w:ascii="Arial" w:hAnsi="Arial" w:cs="Arial"/>
                <w:sz w:val="20"/>
                <w:szCs w:val="20"/>
              </w:rPr>
              <w:t xml:space="preserve">Profit Share </w:t>
            </w:r>
            <w:r w:rsidRPr="00022931" w:rsidR="00F5331B">
              <w:rPr>
                <w:rFonts w:ascii="Arial" w:hAnsi="Arial" w:cs="Arial"/>
                <w:sz w:val="20"/>
                <w:szCs w:val="20"/>
              </w:rPr>
              <w:t>Mechanism</w:t>
            </w:r>
          </w:p>
        </w:tc>
      </w:tr>
      <w:tr w:rsidRPr="00022931" w:rsidR="00D4772A" w:rsidTr="23CD1BAD" w14:paraId="17B3A320" w14:textId="77777777">
        <w:tc>
          <w:tcPr>
            <w:tcW w:w="2547" w:type="dxa"/>
            <w:shd w:val="clear" w:color="auto" w:fill="F2F2F2" w:themeFill="background1" w:themeFillShade="F2"/>
            <w:tcMar/>
          </w:tcPr>
          <w:p w:rsidRPr="00022931" w:rsidR="00D4772A" w:rsidP="00415DD4" w:rsidRDefault="00F5331B" w14:paraId="07AE6D5F"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Excess Margin</w:t>
            </w:r>
          </w:p>
        </w:tc>
        <w:tc>
          <w:tcPr>
            <w:tcW w:w="5811" w:type="dxa"/>
            <w:tcMar/>
          </w:tcPr>
          <w:p w:rsidRPr="00022931" w:rsidR="00D4772A" w:rsidP="00415DD4" w:rsidRDefault="006C1589" w14:paraId="49A69BCB" w14:textId="159748C9">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means the </w:t>
            </w:r>
            <w:r w:rsidRPr="00022931" w:rsidR="00F5331B">
              <w:rPr>
                <w:rFonts w:ascii="Arial" w:hAnsi="Arial" w:cs="Arial"/>
                <w:sz w:val="20"/>
                <w:szCs w:val="20"/>
              </w:rPr>
              <w:t>amount by which the Effective Margin exceeds the Profit Share Thresholds</w:t>
            </w:r>
            <w:r w:rsidRPr="00022931" w:rsidR="00534049">
              <w:rPr>
                <w:rFonts w:ascii="Arial" w:hAnsi="Arial" w:cs="Arial"/>
                <w:sz w:val="20"/>
                <w:szCs w:val="20"/>
              </w:rPr>
              <w:t>.</w:t>
            </w:r>
          </w:p>
        </w:tc>
      </w:tr>
      <w:tr w:rsidRPr="00022931" w:rsidR="00456DE2" w:rsidTr="23CD1BAD" w14:paraId="3E72956D" w14:textId="77777777">
        <w:tc>
          <w:tcPr>
            <w:tcW w:w="2547" w:type="dxa"/>
            <w:shd w:val="clear" w:color="auto" w:fill="F2F2F2" w:themeFill="background1" w:themeFillShade="F2"/>
            <w:tcMar/>
          </w:tcPr>
          <w:p w:rsidRPr="00022931" w:rsidR="00456DE2" w:rsidP="00415DD4" w:rsidRDefault="00456DE2" w14:paraId="10F3C829" w14:textId="702D7514">
            <w:pPr>
              <w:pStyle w:val="Default"/>
              <w:spacing w:before="120" w:after="120" w:line="240" w:lineRule="atLeast"/>
              <w:rPr>
                <w:rFonts w:ascii="Arial" w:hAnsi="Arial" w:cs="Arial"/>
                <w:sz w:val="20"/>
                <w:szCs w:val="20"/>
              </w:rPr>
            </w:pPr>
            <w:r>
              <w:rPr>
                <w:rFonts w:ascii="Arial" w:hAnsi="Arial" w:cs="Arial"/>
                <w:sz w:val="20"/>
                <w:szCs w:val="20"/>
              </w:rPr>
              <w:t>Final Retention</w:t>
            </w:r>
          </w:p>
        </w:tc>
        <w:tc>
          <w:tcPr>
            <w:tcW w:w="5811" w:type="dxa"/>
            <w:tcMar/>
          </w:tcPr>
          <w:p w:rsidRPr="00456DE2" w:rsidR="00456DE2" w:rsidP="00415DD4" w:rsidRDefault="00456DE2" w14:paraId="73527C2C" w14:textId="38280744">
            <w:pPr>
              <w:pStyle w:val="Default"/>
              <w:spacing w:before="120" w:after="120" w:line="240" w:lineRule="atLeast"/>
              <w:rPr>
                <w:rFonts w:ascii="Arial" w:hAnsi="Arial" w:cs="Arial"/>
                <w:sz w:val="20"/>
                <w:szCs w:val="20"/>
              </w:rPr>
            </w:pPr>
            <w:r>
              <w:rPr>
                <w:rFonts w:ascii="Arial" w:hAnsi="Arial" w:cs="Arial"/>
                <w:sz w:val="20"/>
                <w:szCs w:val="20"/>
              </w:rPr>
              <w:t xml:space="preserve">has the meaning given to it in Paragraph </w:t>
            </w:r>
            <w:r>
              <w:rPr>
                <w:rFonts w:ascii="Arial" w:hAnsi="Arial" w:cs="Arial"/>
                <w:sz w:val="20"/>
                <w:szCs w:val="20"/>
              </w:rPr>
              <w:fldChar w:fldCharType="begin"/>
            </w:r>
            <w:r>
              <w:rPr>
                <w:rFonts w:ascii="Arial" w:hAnsi="Arial" w:cs="Arial"/>
                <w:sz w:val="20"/>
                <w:szCs w:val="20"/>
              </w:rPr>
              <w:instrText xml:space="preserve"> REF _Ref109050079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4.4</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 xml:space="preserve">Retentions in the Final Two Months of the Contract </w:t>
            </w:r>
            <w:proofErr w:type="gramStart"/>
            <w:r>
              <w:rPr>
                <w:rFonts w:ascii="Arial" w:hAnsi="Arial" w:cs="Arial"/>
                <w:i/>
                <w:sz w:val="20"/>
                <w:szCs w:val="20"/>
              </w:rPr>
              <w:t>Term</w:t>
            </w:r>
            <w:r>
              <w:rPr>
                <w:rFonts w:ascii="Arial" w:hAnsi="Arial" w:cs="Arial"/>
                <w:sz w:val="20"/>
                <w:szCs w:val="20"/>
              </w:rPr>
              <w:t>).</w:t>
            </w:r>
            <w:proofErr w:type="gramEnd"/>
          </w:p>
        </w:tc>
      </w:tr>
      <w:tr w:rsidRPr="00022931" w:rsidR="00772182" w:rsidTr="23CD1BAD" w14:paraId="5663AD62" w14:textId="77777777">
        <w:tc>
          <w:tcPr>
            <w:tcW w:w="2547" w:type="dxa"/>
            <w:shd w:val="clear" w:color="auto" w:fill="F2F2F2" w:themeFill="background1" w:themeFillShade="F2"/>
            <w:tcMar/>
          </w:tcPr>
          <w:p w:rsidR="00772182" w:rsidP="00772182" w:rsidRDefault="00772182" w14:paraId="689867B2" w14:textId="77EC38BC">
            <w:pPr>
              <w:pStyle w:val="Default"/>
              <w:spacing w:before="120" w:after="120" w:line="240" w:lineRule="atLeast"/>
              <w:rPr>
                <w:rFonts w:ascii="Arial" w:hAnsi="Arial" w:cs="Arial"/>
                <w:sz w:val="20"/>
                <w:szCs w:val="20"/>
              </w:rPr>
            </w:pPr>
            <w:r>
              <w:rPr>
                <w:rFonts w:ascii="Arial" w:hAnsi="Arial" w:cs="Arial"/>
                <w:sz w:val="20"/>
                <w:szCs w:val="20"/>
              </w:rPr>
              <w:t>Firm Price Period</w:t>
            </w:r>
          </w:p>
        </w:tc>
        <w:tc>
          <w:tcPr>
            <w:tcW w:w="5811" w:type="dxa"/>
            <w:tcMar/>
          </w:tcPr>
          <w:p w:rsidR="00772182" w:rsidP="00772182" w:rsidRDefault="00772182" w14:paraId="39CF079C" w14:textId="41F15C10">
            <w:pPr>
              <w:pStyle w:val="Default"/>
              <w:spacing w:before="120" w:after="120" w:line="240" w:lineRule="atLeast"/>
              <w:rPr>
                <w:rFonts w:ascii="Arial" w:hAnsi="Arial" w:cs="Arial"/>
                <w:sz w:val="20"/>
                <w:szCs w:val="20"/>
              </w:rPr>
            </w:pPr>
            <w:r>
              <w:rPr>
                <w:rFonts w:ascii="Arial" w:hAnsi="Arial" w:cs="Arial"/>
                <w:sz w:val="20"/>
                <w:szCs w:val="20"/>
              </w:rPr>
              <w:t>means the period from the Base Date until the final day of the first Contract Year.</w:t>
            </w:r>
          </w:p>
        </w:tc>
      </w:tr>
      <w:tr w:rsidRPr="00022931" w:rsidR="00772182" w:rsidTr="23CD1BAD" w14:paraId="533C45D6" w14:textId="77777777">
        <w:tc>
          <w:tcPr>
            <w:tcW w:w="2547" w:type="dxa"/>
            <w:shd w:val="clear" w:color="auto" w:fill="F2F2F2" w:themeFill="background1" w:themeFillShade="F2"/>
            <w:tcMar/>
          </w:tcPr>
          <w:p w:rsidR="00772182" w:rsidP="00772182" w:rsidRDefault="00772182" w14:paraId="50767C67" w14:textId="36AE1E1A">
            <w:pPr>
              <w:pStyle w:val="Default"/>
              <w:spacing w:before="120" w:after="120" w:line="240" w:lineRule="atLeast"/>
              <w:rPr>
                <w:rFonts w:ascii="Arial" w:hAnsi="Arial" w:cs="Arial"/>
                <w:sz w:val="20"/>
                <w:szCs w:val="20"/>
              </w:rPr>
            </w:pPr>
            <w:r>
              <w:rPr>
                <w:rFonts w:ascii="Arial" w:hAnsi="Arial" w:cs="Arial"/>
                <w:sz w:val="20"/>
                <w:szCs w:val="20"/>
              </w:rPr>
              <w:t>Fixed Price Period</w:t>
            </w:r>
          </w:p>
        </w:tc>
        <w:tc>
          <w:tcPr>
            <w:tcW w:w="5811" w:type="dxa"/>
            <w:tcMar/>
          </w:tcPr>
          <w:p w:rsidR="00772182" w:rsidP="00772182" w:rsidRDefault="00772182" w14:paraId="6C8F5EFF" w14:textId="63659B64">
            <w:pPr>
              <w:pStyle w:val="Default"/>
              <w:spacing w:before="120" w:after="120" w:line="240" w:lineRule="atLeast"/>
              <w:rPr>
                <w:rFonts w:ascii="Arial" w:hAnsi="Arial" w:cs="Arial"/>
                <w:sz w:val="20"/>
                <w:szCs w:val="20"/>
              </w:rPr>
            </w:pPr>
            <w:r>
              <w:rPr>
                <w:rFonts w:ascii="Arial" w:hAnsi="Arial" w:cs="Arial"/>
                <w:sz w:val="20"/>
                <w:szCs w:val="20"/>
              </w:rPr>
              <w:t>means the period from the expiry of the Firm Price Period until the end of the Contract Term.</w:t>
            </w:r>
          </w:p>
        </w:tc>
      </w:tr>
      <w:tr w:rsidRPr="00022931" w:rsidR="00121117" w:rsidDel="00121117" w:rsidTr="23CD1BAD" w14:paraId="21DF2D8E" w14:textId="77777777">
        <w:tc>
          <w:tcPr>
            <w:tcW w:w="2547" w:type="dxa"/>
            <w:shd w:val="clear" w:color="auto" w:fill="F2F2F2" w:themeFill="background1" w:themeFillShade="F2"/>
            <w:tcMar/>
          </w:tcPr>
          <w:p w:rsidRPr="00022931" w:rsidR="00121117" w:rsidDel="00121117" w:rsidP="00A91A72" w:rsidRDefault="00121117" w14:paraId="3F520EF7" w14:textId="5906FCFC">
            <w:pPr>
              <w:pStyle w:val="Default"/>
              <w:spacing w:before="120" w:after="120" w:line="240" w:lineRule="atLeast"/>
              <w:jc w:val="left"/>
              <w:rPr>
                <w:rFonts w:ascii="Arial" w:hAnsi="Arial" w:cs="Arial"/>
                <w:sz w:val="20"/>
                <w:szCs w:val="20"/>
              </w:rPr>
            </w:pPr>
            <w:r w:rsidRPr="00022931">
              <w:rPr>
                <w:rFonts w:ascii="Arial" w:hAnsi="Arial" w:cs="Arial"/>
                <w:sz w:val="20"/>
                <w:szCs w:val="20"/>
              </w:rPr>
              <w:lastRenderedPageBreak/>
              <w:t>Forecast Volume</w:t>
            </w:r>
          </w:p>
        </w:tc>
        <w:tc>
          <w:tcPr>
            <w:tcW w:w="5811" w:type="dxa"/>
            <w:tcMar/>
          </w:tcPr>
          <w:p w:rsidRPr="00022931" w:rsidR="00121117" w:rsidDel="00121117" w:rsidP="00757663" w:rsidRDefault="00757663" w14:paraId="4A14FA9D" w14:textId="3D32B48C">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has the meaning given to it in Paragraph </w:t>
            </w:r>
            <w:r w:rsidRPr="00022931">
              <w:rPr>
                <w:rFonts w:ascii="Arial" w:hAnsi="Arial" w:cs="Arial"/>
                <w:sz w:val="20"/>
                <w:szCs w:val="20"/>
              </w:rPr>
              <w:fldChar w:fldCharType="begin"/>
            </w:r>
            <w:r w:rsidRPr="00022931">
              <w:rPr>
                <w:rFonts w:ascii="Arial" w:hAnsi="Arial" w:cs="Arial"/>
                <w:sz w:val="20"/>
                <w:szCs w:val="20"/>
              </w:rPr>
              <w:instrText xml:space="preserve"> REF _Ref90662040 \r \h </w:instrText>
            </w:r>
            <w:r w:rsidR="00022931">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2.3(a)</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 xml:space="preserve">Annual Pricing </w:t>
            </w:r>
            <w:proofErr w:type="gramStart"/>
            <w:r w:rsidRPr="00022931">
              <w:rPr>
                <w:rFonts w:ascii="Arial" w:hAnsi="Arial" w:cs="Arial"/>
                <w:i/>
                <w:sz w:val="20"/>
                <w:szCs w:val="20"/>
              </w:rPr>
              <w:t>Process</w:t>
            </w:r>
            <w:r w:rsidRPr="00022931">
              <w:rPr>
                <w:rFonts w:ascii="Arial" w:hAnsi="Arial" w:cs="Arial"/>
                <w:sz w:val="20"/>
                <w:szCs w:val="20"/>
              </w:rPr>
              <w:t>).</w:t>
            </w:r>
            <w:proofErr w:type="gramEnd"/>
            <w:r w:rsidRPr="00022931" w:rsidDel="00121117">
              <w:rPr>
                <w:rFonts w:ascii="Arial" w:hAnsi="Arial" w:cs="Arial"/>
                <w:sz w:val="20"/>
                <w:szCs w:val="20"/>
              </w:rPr>
              <w:t xml:space="preserve"> </w:t>
            </w:r>
          </w:p>
        </w:tc>
      </w:tr>
      <w:tr w:rsidRPr="00022931" w:rsidR="00121117" w:rsidDel="00121117" w:rsidTr="23CD1BAD" w14:paraId="0240DFE6" w14:textId="77777777">
        <w:tc>
          <w:tcPr>
            <w:tcW w:w="2547" w:type="dxa"/>
            <w:shd w:val="clear" w:color="auto" w:fill="F2F2F2" w:themeFill="background1" w:themeFillShade="F2"/>
            <w:tcMar/>
          </w:tcPr>
          <w:p w:rsidRPr="00022931" w:rsidR="00121117" w:rsidDel="00121117" w:rsidP="00121117" w:rsidRDefault="00121117" w14:paraId="63BDFB94" w14:textId="67842C47">
            <w:pPr>
              <w:pStyle w:val="Default"/>
              <w:spacing w:before="120" w:after="120" w:line="240" w:lineRule="atLeast"/>
              <w:jc w:val="left"/>
              <w:rPr>
                <w:rFonts w:ascii="Arial" w:hAnsi="Arial" w:cs="Arial"/>
                <w:sz w:val="20"/>
                <w:szCs w:val="20"/>
              </w:rPr>
            </w:pPr>
            <w:r w:rsidRPr="00022931">
              <w:rPr>
                <w:rFonts w:ascii="Arial" w:hAnsi="Arial" w:cs="Arial"/>
                <w:sz w:val="20"/>
                <w:szCs w:val="20"/>
              </w:rPr>
              <w:t>Fuel Charge</w:t>
            </w:r>
          </w:p>
        </w:tc>
        <w:tc>
          <w:tcPr>
            <w:tcW w:w="5811" w:type="dxa"/>
            <w:tcMar/>
          </w:tcPr>
          <w:p w:rsidRPr="00022931" w:rsidR="00121117" w:rsidDel="00121117" w:rsidP="00993720" w:rsidRDefault="00194158" w14:paraId="0A693C74" w14:textId="40DF9C41">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means </w:t>
            </w:r>
            <w:r w:rsidRPr="00022931" w:rsidR="00E43187">
              <w:rPr>
                <w:rFonts w:ascii="Arial" w:hAnsi="Arial" w:cs="Arial"/>
                <w:sz w:val="20"/>
                <w:szCs w:val="20"/>
              </w:rPr>
              <w:t>t</w:t>
            </w:r>
            <w:r w:rsidRPr="00022931" w:rsidR="00121117">
              <w:rPr>
                <w:rFonts w:ascii="Arial" w:hAnsi="Arial" w:cs="Arial"/>
                <w:sz w:val="20"/>
                <w:szCs w:val="20"/>
              </w:rPr>
              <w:t>he pass</w:t>
            </w:r>
            <w:r w:rsidRPr="00022931" w:rsidR="001E32E7">
              <w:rPr>
                <w:rFonts w:ascii="Arial" w:hAnsi="Arial" w:cs="Arial"/>
                <w:sz w:val="20"/>
                <w:szCs w:val="20"/>
              </w:rPr>
              <w:t>-</w:t>
            </w:r>
            <w:r w:rsidRPr="00022931" w:rsidR="00121117">
              <w:rPr>
                <w:rFonts w:ascii="Arial" w:hAnsi="Arial" w:cs="Arial"/>
                <w:sz w:val="20"/>
                <w:szCs w:val="20"/>
              </w:rPr>
              <w:t xml:space="preserve">through charge for </w:t>
            </w:r>
            <w:r w:rsidRPr="00022931" w:rsidR="0083232D">
              <w:rPr>
                <w:rFonts w:ascii="Arial" w:hAnsi="Arial" w:cs="Arial"/>
                <w:sz w:val="20"/>
                <w:szCs w:val="20"/>
              </w:rPr>
              <w:t xml:space="preserve">Services Fuel </w:t>
            </w:r>
            <w:r w:rsidRPr="00022931" w:rsidR="00121117">
              <w:rPr>
                <w:rFonts w:ascii="Arial" w:hAnsi="Arial" w:cs="Arial"/>
                <w:sz w:val="20"/>
                <w:szCs w:val="20"/>
              </w:rPr>
              <w:t>consumed in the provision of the Services</w:t>
            </w:r>
            <w:r w:rsidRPr="00022931" w:rsidR="00036F67">
              <w:rPr>
                <w:rFonts w:ascii="Arial" w:hAnsi="Arial" w:cs="Arial"/>
                <w:sz w:val="20"/>
                <w:szCs w:val="20"/>
              </w:rPr>
              <w:t xml:space="preserve"> without mark-up or any other costs applied by the Contractor</w:t>
            </w:r>
            <w:r w:rsidR="00FE0B92">
              <w:rPr>
                <w:rFonts w:ascii="Arial" w:hAnsi="Arial" w:cs="Arial"/>
                <w:sz w:val="20"/>
                <w:szCs w:val="20"/>
              </w:rPr>
              <w:t xml:space="preserve">, as further set out in </w:t>
            </w:r>
            <w:r w:rsidR="00993720">
              <w:rPr>
                <w:rFonts w:ascii="Arial" w:hAnsi="Arial" w:cs="Arial"/>
                <w:sz w:val="20"/>
                <w:szCs w:val="20"/>
              </w:rPr>
              <w:t xml:space="preserve">Paragraph </w:t>
            </w:r>
            <w:r w:rsidR="00FE0B92">
              <w:rPr>
                <w:rFonts w:ascii="Arial" w:hAnsi="Arial" w:cs="Arial"/>
                <w:sz w:val="20"/>
                <w:szCs w:val="20"/>
              </w:rPr>
              <w:fldChar w:fldCharType="begin"/>
            </w:r>
            <w:r w:rsidR="00FE0B92">
              <w:rPr>
                <w:rFonts w:ascii="Arial" w:hAnsi="Arial" w:cs="Arial"/>
                <w:sz w:val="20"/>
                <w:szCs w:val="20"/>
              </w:rPr>
              <w:instrText xml:space="preserve"> REF _Ref85870988 \r \h </w:instrText>
            </w:r>
            <w:r w:rsidR="00FE0B92">
              <w:rPr>
                <w:rFonts w:ascii="Arial" w:hAnsi="Arial" w:cs="Arial"/>
                <w:sz w:val="20"/>
                <w:szCs w:val="20"/>
              </w:rPr>
            </w:r>
            <w:r w:rsidR="00FE0B92">
              <w:rPr>
                <w:rFonts w:ascii="Arial" w:hAnsi="Arial" w:cs="Arial"/>
                <w:sz w:val="20"/>
                <w:szCs w:val="20"/>
              </w:rPr>
              <w:fldChar w:fldCharType="separate"/>
            </w:r>
            <w:r w:rsidR="004458E3">
              <w:rPr>
                <w:rFonts w:ascii="Arial" w:hAnsi="Arial" w:cs="Arial"/>
                <w:sz w:val="20"/>
                <w:szCs w:val="20"/>
              </w:rPr>
              <w:t>2.7</w:t>
            </w:r>
            <w:r w:rsidR="00FE0B92">
              <w:rPr>
                <w:rFonts w:ascii="Arial" w:hAnsi="Arial" w:cs="Arial"/>
                <w:sz w:val="20"/>
                <w:szCs w:val="20"/>
              </w:rPr>
              <w:fldChar w:fldCharType="end"/>
            </w:r>
            <w:r w:rsidR="00FE0B92">
              <w:rPr>
                <w:rFonts w:ascii="Arial" w:hAnsi="Arial" w:cs="Arial"/>
                <w:sz w:val="20"/>
                <w:szCs w:val="20"/>
              </w:rPr>
              <w:t xml:space="preserve"> (</w:t>
            </w:r>
            <w:r w:rsidR="00FE0B92">
              <w:rPr>
                <w:rFonts w:ascii="Arial" w:hAnsi="Arial" w:cs="Arial"/>
                <w:i/>
                <w:sz w:val="20"/>
                <w:szCs w:val="20"/>
              </w:rPr>
              <w:t>Use of Fuel</w:t>
            </w:r>
            <w:r w:rsidR="00FE0B92">
              <w:rPr>
                <w:rFonts w:ascii="Arial" w:hAnsi="Arial" w:cs="Arial"/>
                <w:sz w:val="20"/>
                <w:szCs w:val="20"/>
              </w:rPr>
              <w:t>)</w:t>
            </w:r>
            <w:r w:rsidRPr="00022931" w:rsidR="00491EE3">
              <w:rPr>
                <w:rFonts w:ascii="Arial" w:hAnsi="Arial" w:cs="Arial"/>
                <w:sz w:val="20"/>
                <w:szCs w:val="20"/>
              </w:rPr>
              <w:t>.</w:t>
            </w:r>
          </w:p>
        </w:tc>
      </w:tr>
      <w:tr w:rsidRPr="00022931" w:rsidR="00141084" w:rsidDel="00121117" w:rsidTr="23CD1BAD" w14:paraId="19C13C6C" w14:textId="77777777">
        <w:tc>
          <w:tcPr>
            <w:tcW w:w="2547" w:type="dxa"/>
            <w:shd w:val="clear" w:color="auto" w:fill="F2F2F2" w:themeFill="background1" w:themeFillShade="F2"/>
            <w:tcMar/>
          </w:tcPr>
          <w:p w:rsidRPr="00022931" w:rsidR="00141084" w:rsidP="00121117" w:rsidRDefault="00141084" w14:paraId="22B44383" w14:textId="1EA50E68">
            <w:pPr>
              <w:pStyle w:val="Default"/>
              <w:spacing w:before="120" w:after="120" w:line="240" w:lineRule="atLeast"/>
              <w:rPr>
                <w:rFonts w:ascii="Arial" w:hAnsi="Arial" w:cs="Arial"/>
                <w:sz w:val="20"/>
                <w:szCs w:val="20"/>
              </w:rPr>
            </w:pPr>
            <w:r>
              <w:rPr>
                <w:rFonts w:ascii="Arial" w:hAnsi="Arial" w:cs="Arial"/>
                <w:sz w:val="20"/>
                <w:szCs w:val="20"/>
              </w:rPr>
              <w:t>Fuel Deduction</w:t>
            </w:r>
          </w:p>
        </w:tc>
        <w:tc>
          <w:tcPr>
            <w:tcW w:w="5811" w:type="dxa"/>
            <w:tcMar/>
          </w:tcPr>
          <w:p w:rsidRPr="00141084" w:rsidR="00141084" w:rsidP="00993720" w:rsidRDefault="00141084" w14:paraId="788ECFA7" w14:textId="379FBD9F">
            <w:pPr>
              <w:pStyle w:val="Default"/>
              <w:spacing w:before="120" w:after="120" w:line="240" w:lineRule="atLeast"/>
              <w:rPr>
                <w:rFonts w:ascii="Arial" w:hAnsi="Arial" w:cs="Arial"/>
                <w:sz w:val="20"/>
                <w:szCs w:val="20"/>
              </w:rPr>
            </w:pPr>
            <w:r>
              <w:rPr>
                <w:rFonts w:ascii="Arial" w:hAnsi="Arial" w:cs="Arial"/>
                <w:sz w:val="20"/>
                <w:szCs w:val="20"/>
              </w:rPr>
              <w:t xml:space="preserve">means the amount which the Authority may deduct from the MC in any Month pursuant to Paragraph </w:t>
            </w:r>
            <w:r>
              <w:rPr>
                <w:rFonts w:ascii="Arial" w:hAnsi="Arial" w:cs="Arial"/>
                <w:sz w:val="20"/>
                <w:szCs w:val="20"/>
              </w:rPr>
              <w:fldChar w:fldCharType="begin"/>
            </w:r>
            <w:r>
              <w:rPr>
                <w:rFonts w:ascii="Arial" w:hAnsi="Arial" w:cs="Arial"/>
                <w:sz w:val="20"/>
                <w:szCs w:val="20"/>
              </w:rPr>
              <w:instrText xml:space="preserve"> REF _Ref109071611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2.7(b)</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Use of Fuel</w:t>
            </w:r>
            <w:r>
              <w:rPr>
                <w:rFonts w:ascii="Arial" w:hAnsi="Arial" w:cs="Arial"/>
                <w:sz w:val="20"/>
                <w:szCs w:val="20"/>
              </w:rPr>
              <w:t>).</w:t>
            </w:r>
          </w:p>
        </w:tc>
      </w:tr>
      <w:tr w:rsidRPr="00022931" w:rsidR="00456DE2" w:rsidDel="00121117" w:rsidTr="23CD1BAD" w14:paraId="18316F60" w14:textId="77777777">
        <w:tc>
          <w:tcPr>
            <w:tcW w:w="2547" w:type="dxa"/>
            <w:shd w:val="clear" w:color="auto" w:fill="F2F2F2" w:themeFill="background1" w:themeFillShade="F2"/>
            <w:tcMar/>
          </w:tcPr>
          <w:p w:rsidRPr="00022931" w:rsidR="00456DE2" w:rsidP="00121117" w:rsidRDefault="00456DE2" w14:paraId="0E8BAE98" w14:textId="0E7AF261">
            <w:pPr>
              <w:pStyle w:val="Default"/>
              <w:spacing w:before="120" w:after="120" w:line="240" w:lineRule="atLeast"/>
              <w:rPr>
                <w:rFonts w:ascii="Arial" w:hAnsi="Arial" w:cs="Arial"/>
                <w:sz w:val="20"/>
                <w:szCs w:val="20"/>
              </w:rPr>
            </w:pPr>
            <w:r>
              <w:rPr>
                <w:rFonts w:ascii="Arial" w:hAnsi="Arial" w:cs="Arial"/>
                <w:sz w:val="20"/>
                <w:szCs w:val="20"/>
              </w:rPr>
              <w:t>Governance Meetings</w:t>
            </w:r>
          </w:p>
        </w:tc>
        <w:tc>
          <w:tcPr>
            <w:tcW w:w="5811" w:type="dxa"/>
            <w:tcMar/>
          </w:tcPr>
          <w:p w:rsidRPr="00456DE2" w:rsidR="00456DE2" w:rsidP="00DC42DD" w:rsidRDefault="00456DE2" w14:paraId="1FB5B019" w14:textId="07C2B934">
            <w:pPr>
              <w:pStyle w:val="Default"/>
              <w:spacing w:before="120" w:after="120" w:line="240" w:lineRule="atLeast"/>
              <w:rPr>
                <w:rFonts w:ascii="Arial" w:hAnsi="Arial" w:cs="Arial"/>
                <w:sz w:val="20"/>
                <w:szCs w:val="20"/>
              </w:rPr>
            </w:pPr>
            <w:r>
              <w:rPr>
                <w:rFonts w:ascii="Arial" w:hAnsi="Arial" w:cs="Arial"/>
                <w:sz w:val="20"/>
                <w:szCs w:val="20"/>
              </w:rPr>
              <w:t xml:space="preserve">means the meetings set out in Part </w:t>
            </w:r>
            <w:r w:rsidR="00DC42DD">
              <w:rPr>
                <w:rFonts w:ascii="Arial" w:hAnsi="Arial" w:cs="Arial"/>
                <w:sz w:val="20"/>
                <w:szCs w:val="20"/>
              </w:rPr>
              <w:t>1.3</w:t>
            </w:r>
            <w:r>
              <w:rPr>
                <w:rFonts w:ascii="Arial" w:hAnsi="Arial" w:cs="Arial"/>
                <w:sz w:val="20"/>
                <w:szCs w:val="20"/>
              </w:rPr>
              <w:t xml:space="preserve"> of Schedule 6 (</w:t>
            </w:r>
            <w:r>
              <w:rPr>
                <w:rFonts w:ascii="Arial" w:hAnsi="Arial" w:cs="Arial"/>
                <w:i/>
                <w:sz w:val="20"/>
                <w:szCs w:val="20"/>
              </w:rPr>
              <w:t>Governance, Management Information, Reports, Records and Audit</w:t>
            </w:r>
            <w:r>
              <w:rPr>
                <w:rFonts w:ascii="Arial" w:hAnsi="Arial" w:cs="Arial"/>
                <w:sz w:val="20"/>
                <w:szCs w:val="20"/>
              </w:rPr>
              <w:t>).</w:t>
            </w:r>
          </w:p>
        </w:tc>
      </w:tr>
      <w:tr w:rsidRPr="00022931" w:rsidR="00B64BE5" w:rsidDel="00121117" w:rsidTr="23CD1BAD" w14:paraId="155E772E" w14:textId="77777777">
        <w:tc>
          <w:tcPr>
            <w:tcW w:w="2547" w:type="dxa"/>
            <w:shd w:val="clear" w:color="auto" w:fill="F2F2F2" w:themeFill="background1" w:themeFillShade="F2"/>
            <w:tcMar/>
          </w:tcPr>
          <w:p w:rsidR="00B64BE5" w:rsidP="00B64BE5" w:rsidRDefault="00B64BE5" w14:paraId="6D0F9329" w14:textId="4BCCB3FA">
            <w:pPr>
              <w:pStyle w:val="Default"/>
              <w:spacing w:before="120" w:after="120" w:line="240" w:lineRule="atLeast"/>
              <w:rPr>
                <w:rFonts w:ascii="Arial" w:hAnsi="Arial" w:cs="Arial"/>
                <w:sz w:val="20"/>
                <w:szCs w:val="20"/>
              </w:rPr>
            </w:pPr>
            <w:r>
              <w:rPr>
                <w:rFonts w:ascii="Arial" w:hAnsi="Arial" w:cs="Arial"/>
                <w:sz w:val="20"/>
                <w:szCs w:val="20"/>
              </w:rPr>
              <w:t>Maximum</w:t>
            </w:r>
          </w:p>
        </w:tc>
        <w:tc>
          <w:tcPr>
            <w:tcW w:w="5811" w:type="dxa"/>
            <w:tcMar/>
          </w:tcPr>
          <w:p w:rsidR="00B64BE5" w:rsidP="00B64BE5" w:rsidRDefault="00B64BE5" w14:paraId="098D861B" w14:textId="6F7F0CED">
            <w:pPr>
              <w:pStyle w:val="Default"/>
              <w:spacing w:before="120" w:after="120" w:line="240" w:lineRule="atLeast"/>
              <w:rPr>
                <w:rFonts w:ascii="Arial" w:hAnsi="Arial" w:cs="Arial"/>
                <w:sz w:val="20"/>
                <w:szCs w:val="20"/>
              </w:rPr>
            </w:pPr>
            <w:r>
              <w:rPr>
                <w:rFonts w:ascii="Arial" w:hAnsi="Arial" w:cs="Arial"/>
                <w:sz w:val="20"/>
                <w:szCs w:val="20"/>
              </w:rPr>
              <w:t xml:space="preserve">means the maximum volume for a Task in SDA 7, as defined in </w:t>
            </w:r>
            <w:r w:rsidRPr="00022931">
              <w:rPr>
                <w:rFonts w:ascii="Arial" w:hAnsi="Arial" w:cs="Arial"/>
                <w:sz w:val="20"/>
                <w:szCs w:val="20"/>
              </w:rPr>
              <w:t>Schedule 2</w:t>
            </w:r>
            <w:r>
              <w:rPr>
                <w:rFonts w:ascii="Arial" w:hAnsi="Arial" w:cs="Arial"/>
                <w:sz w:val="20"/>
                <w:szCs w:val="20"/>
              </w:rPr>
              <w:t xml:space="preserve"> </w:t>
            </w:r>
            <w:r w:rsidRPr="00022931">
              <w:rPr>
                <w:rFonts w:ascii="Arial" w:hAnsi="Arial" w:cs="Arial"/>
                <w:sz w:val="20"/>
                <w:szCs w:val="20"/>
              </w:rPr>
              <w:t>(</w:t>
            </w:r>
            <w:r>
              <w:rPr>
                <w:rFonts w:ascii="Arial" w:hAnsi="Arial" w:cs="Arial"/>
                <w:i/>
                <w:sz w:val="20"/>
                <w:szCs w:val="20"/>
              </w:rPr>
              <w:t>Statement of Requirement</w:t>
            </w:r>
            <w:r w:rsidRPr="00022931">
              <w:rPr>
                <w:rFonts w:ascii="Arial" w:hAnsi="Arial" w:cs="Arial"/>
                <w:sz w:val="20"/>
                <w:szCs w:val="20"/>
              </w:rPr>
              <w:t>)</w:t>
            </w:r>
            <w:r>
              <w:rPr>
                <w:rFonts w:ascii="Arial" w:hAnsi="Arial" w:cs="Arial"/>
                <w:sz w:val="20"/>
                <w:szCs w:val="20"/>
              </w:rPr>
              <w:t>.</w:t>
            </w:r>
          </w:p>
        </w:tc>
      </w:tr>
      <w:tr w:rsidRPr="00022931" w:rsidR="00B64BE5" w:rsidTr="23CD1BAD" w14:paraId="6BD63E4D" w14:textId="28C0F5D7">
        <w:tc>
          <w:tcPr>
            <w:tcW w:w="2547" w:type="dxa"/>
            <w:shd w:val="clear" w:color="auto" w:fill="F2F2F2" w:themeFill="background1" w:themeFillShade="F2"/>
            <w:tcMar/>
          </w:tcPr>
          <w:p w:rsidRPr="00022931" w:rsidR="00B64BE5" w:rsidP="00B64BE5" w:rsidRDefault="00B64BE5" w14:paraId="19D2340F" w14:textId="0E95E9B2">
            <w:pPr>
              <w:pStyle w:val="Default"/>
              <w:spacing w:before="120" w:after="120" w:line="240" w:lineRule="atLeast"/>
              <w:jc w:val="left"/>
              <w:rPr>
                <w:rFonts w:ascii="Arial" w:hAnsi="Arial" w:cs="Arial"/>
                <w:sz w:val="20"/>
                <w:szCs w:val="20"/>
              </w:rPr>
            </w:pPr>
            <w:r w:rsidRPr="00022931">
              <w:rPr>
                <w:rFonts w:ascii="Arial" w:hAnsi="Arial" w:cs="Arial"/>
                <w:sz w:val="20"/>
                <w:szCs w:val="20"/>
              </w:rPr>
              <w:t>Meeting Attendance Criteria</w:t>
            </w:r>
          </w:p>
        </w:tc>
        <w:tc>
          <w:tcPr>
            <w:tcW w:w="5811" w:type="dxa"/>
            <w:tcMar/>
          </w:tcPr>
          <w:p w:rsidRPr="00022931" w:rsidR="00B64BE5" w:rsidP="00B64BE5" w:rsidRDefault="00B64BE5" w14:paraId="3023E35D" w14:textId="0747218D">
            <w:pPr>
              <w:pStyle w:val="Default"/>
              <w:spacing w:before="120" w:after="120" w:line="240" w:lineRule="atLeast"/>
              <w:rPr>
                <w:rFonts w:ascii="Arial" w:hAnsi="Arial" w:cs="Arial"/>
                <w:sz w:val="20"/>
                <w:szCs w:val="20"/>
              </w:rPr>
            </w:pPr>
            <w:r w:rsidRPr="00022931">
              <w:rPr>
                <w:rFonts w:ascii="Arial" w:hAnsi="Arial" w:cs="Arial"/>
                <w:sz w:val="20"/>
                <w:szCs w:val="20"/>
              </w:rPr>
              <w:t xml:space="preserve">has the meaning given to it in Paragraph </w:t>
            </w:r>
            <w:r w:rsidRPr="00022931">
              <w:rPr>
                <w:rFonts w:ascii="Arial" w:hAnsi="Arial" w:cs="Arial"/>
                <w:sz w:val="20"/>
                <w:szCs w:val="20"/>
              </w:rPr>
              <w:fldChar w:fldCharType="begin"/>
            </w:r>
            <w:r w:rsidRPr="00022931">
              <w:rPr>
                <w:rFonts w:ascii="Arial" w:hAnsi="Arial" w:cs="Arial"/>
                <w:sz w:val="20"/>
                <w:szCs w:val="20"/>
              </w:rPr>
              <w:instrText xml:space="preserve"> REF _Ref89420957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3.6</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Management Information KPI (KPI 2) – Definition and Measurement</w:t>
            </w:r>
            <w:r w:rsidRPr="00022931">
              <w:rPr>
                <w:rFonts w:ascii="Arial" w:hAnsi="Arial" w:cs="Arial"/>
                <w:sz w:val="20"/>
                <w:szCs w:val="20"/>
              </w:rPr>
              <w:t xml:space="preserve">) </w:t>
            </w:r>
          </w:p>
        </w:tc>
      </w:tr>
      <w:tr w:rsidRPr="00022931" w:rsidR="00B64BE5" w:rsidTr="23CD1BAD" w14:paraId="6BC9C4CF" w14:textId="77777777">
        <w:tc>
          <w:tcPr>
            <w:tcW w:w="2547" w:type="dxa"/>
            <w:shd w:val="clear" w:color="auto" w:fill="F2F2F2" w:themeFill="background1" w:themeFillShade="F2"/>
            <w:tcMar/>
          </w:tcPr>
          <w:p w:rsidRPr="00022931" w:rsidR="00B64BE5" w:rsidP="00B64BE5" w:rsidRDefault="00B64BE5" w14:paraId="16CA5860"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Management Information KPI</w:t>
            </w:r>
          </w:p>
        </w:tc>
        <w:tc>
          <w:tcPr>
            <w:tcW w:w="5811" w:type="dxa"/>
            <w:tcMar/>
          </w:tcPr>
          <w:p w:rsidRPr="00022931" w:rsidR="00B64BE5" w:rsidP="00B64BE5" w:rsidRDefault="00B64BE5" w14:paraId="6BAD20A2" w14:textId="56AC3FDA">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means the performance indicators with respect to Management Information described in Paragraph </w:t>
            </w:r>
            <w:r w:rsidRPr="00022931">
              <w:rPr>
                <w:rFonts w:ascii="Arial" w:hAnsi="Arial" w:cs="Arial"/>
                <w:sz w:val="20"/>
                <w:szCs w:val="20"/>
              </w:rPr>
              <w:fldChar w:fldCharType="begin"/>
            </w:r>
            <w:r w:rsidRPr="00022931">
              <w:rPr>
                <w:rFonts w:ascii="Arial" w:hAnsi="Arial" w:cs="Arial"/>
                <w:sz w:val="20"/>
                <w:szCs w:val="20"/>
              </w:rPr>
              <w:instrText xml:space="preserve"> REF _Ref89420957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3.6</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Management Information KPI (KPI 2) – Definition and Measurement</w:t>
            </w:r>
            <w:r w:rsidRPr="00022931">
              <w:rPr>
                <w:rFonts w:ascii="Arial" w:hAnsi="Arial" w:cs="Arial"/>
                <w:sz w:val="20"/>
                <w:szCs w:val="20"/>
              </w:rPr>
              <w:t>)</w:t>
            </w:r>
          </w:p>
        </w:tc>
      </w:tr>
      <w:tr w:rsidRPr="00022931" w:rsidR="00B64BE5" w:rsidTr="23CD1BAD" w14:paraId="3F8035DD" w14:textId="77777777">
        <w:tc>
          <w:tcPr>
            <w:tcW w:w="2547" w:type="dxa"/>
            <w:shd w:val="clear" w:color="auto" w:fill="F2F2F2" w:themeFill="background1" w:themeFillShade="F2"/>
            <w:tcMar/>
          </w:tcPr>
          <w:p w:rsidRPr="00022931" w:rsidR="00B64BE5" w:rsidP="00B64BE5" w:rsidRDefault="00B64BE5" w14:paraId="36903103" w14:textId="726D4FA9">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Minor Non-Performance </w:t>
            </w:r>
          </w:p>
        </w:tc>
        <w:tc>
          <w:tcPr>
            <w:tcW w:w="5811" w:type="dxa"/>
            <w:tcMar/>
          </w:tcPr>
          <w:p w:rsidRPr="00022931" w:rsidR="00B64BE5" w:rsidP="00B64BE5" w:rsidRDefault="00B64BE5" w14:paraId="174568E5" w14:textId="32E093E8">
            <w:pPr>
              <w:pStyle w:val="Default"/>
              <w:spacing w:before="120" w:after="120" w:line="240" w:lineRule="atLeast"/>
              <w:jc w:val="left"/>
              <w:rPr>
                <w:rFonts w:ascii="Arial" w:hAnsi="Arial" w:cs="Arial"/>
                <w:sz w:val="20"/>
                <w:szCs w:val="20"/>
              </w:rPr>
            </w:pPr>
            <w:r w:rsidRPr="00022931">
              <w:rPr>
                <w:rFonts w:ascii="Arial" w:hAnsi="Arial" w:cs="Arial"/>
                <w:sz w:val="20"/>
                <w:szCs w:val="20"/>
              </w:rPr>
              <w:t>means any Non-Performance:</w:t>
            </w:r>
          </w:p>
          <w:p w:rsidRPr="00022931" w:rsidR="00B64BE5" w:rsidP="00B64BE5" w:rsidRDefault="00B64BE5" w14:paraId="416FD549" w14:textId="28FDFCFF">
            <w:pPr>
              <w:pStyle w:val="Heading3"/>
              <w:numPr>
                <w:ilvl w:val="2"/>
                <w:numId w:val="17"/>
              </w:numPr>
              <w:outlineLvl w:val="2"/>
            </w:pPr>
            <w:r w:rsidRPr="00022931">
              <w:t>where the failure relates to the Timing Criteria</w:t>
            </w:r>
            <w:r>
              <w:t xml:space="preserve"> and </w:t>
            </w:r>
            <w:r w:rsidRPr="00022931">
              <w:t xml:space="preserve">the Contractor </w:t>
            </w:r>
            <w:r w:rsidRPr="00022931">
              <w:rPr>
                <w:szCs w:val="20"/>
              </w:rPr>
              <w:t>has</w:t>
            </w:r>
            <w:r w:rsidRPr="00022931">
              <w:t xml:space="preserve"> agreed in writing with the relevant End User that the training outcomes of the relevant Task were achieved, and has provided such confirmation in the relevant </w:t>
            </w:r>
            <w:r>
              <w:t>Month</w:t>
            </w:r>
            <w:r w:rsidRPr="00022931">
              <w:t>ly Performance and Activity Report; and</w:t>
            </w:r>
          </w:p>
          <w:p w:rsidR="00B64BE5" w:rsidP="00B64BE5" w:rsidRDefault="00B64BE5" w14:paraId="6DF31C3F" w14:textId="77777777">
            <w:pPr>
              <w:pStyle w:val="Heading3"/>
              <w:outlineLvl w:val="2"/>
            </w:pPr>
            <w:r w:rsidRPr="00022931">
              <w:t xml:space="preserve">where the failures </w:t>
            </w:r>
            <w:proofErr w:type="gramStart"/>
            <w:r w:rsidRPr="00022931">
              <w:t>relates</w:t>
            </w:r>
            <w:proofErr w:type="gramEnd"/>
            <w:r w:rsidRPr="00022931">
              <w:t xml:space="preserve"> to the Quality Criteria</w:t>
            </w:r>
            <w:r>
              <w:t xml:space="preserve"> and </w:t>
            </w:r>
            <w:r w:rsidRPr="00022931">
              <w:t xml:space="preserve">the Contractor has agreed in writing with the End User that the training </w:t>
            </w:r>
            <w:r w:rsidRPr="00022931">
              <w:rPr>
                <w:szCs w:val="20"/>
              </w:rPr>
              <w:t>outcomes</w:t>
            </w:r>
            <w:r w:rsidRPr="00022931">
              <w:t xml:space="preserve"> of the relevant Task have been achieved and has provided such confirmation in the relevant </w:t>
            </w:r>
            <w:r>
              <w:t>Month</w:t>
            </w:r>
            <w:r w:rsidRPr="00022931">
              <w:t>ly Performance and Activity Report</w:t>
            </w:r>
            <w:r>
              <w:t>,</w:t>
            </w:r>
          </w:p>
          <w:p w:rsidRPr="00022931" w:rsidR="00B64BE5" w:rsidP="00B64BE5" w:rsidRDefault="00B64BE5" w14:paraId="54B504A6" w14:textId="3EB502A1">
            <w:pPr>
              <w:pStyle w:val="Heading3"/>
              <w:numPr>
                <w:ilvl w:val="0"/>
                <w:numId w:val="0"/>
              </w:numPr>
              <w:outlineLvl w:val="2"/>
            </w:pPr>
            <w:r>
              <w:t xml:space="preserve">provided that no Minor Non-Performance may apply in respect of a failure relating to the Quality Criteria and/or the Safety Criteria. </w:t>
            </w:r>
          </w:p>
        </w:tc>
      </w:tr>
      <w:tr w:rsidRPr="00022931" w:rsidR="00B64BE5" w:rsidTr="23CD1BAD" w14:paraId="027D0A1A" w14:textId="77777777">
        <w:tc>
          <w:tcPr>
            <w:tcW w:w="2547" w:type="dxa"/>
            <w:shd w:val="clear" w:color="auto" w:fill="F2F2F2" w:themeFill="background1" w:themeFillShade="F2"/>
            <w:tcMar/>
          </w:tcPr>
          <w:p w:rsidRPr="00022931" w:rsidR="00B64BE5" w:rsidP="00B64BE5" w:rsidRDefault="00B64BE5" w14:paraId="2CE95B7A" w14:textId="781DEEA9">
            <w:pPr>
              <w:pStyle w:val="Default"/>
              <w:spacing w:before="120" w:after="120" w:line="240" w:lineRule="atLeast"/>
              <w:rPr>
                <w:rFonts w:ascii="Arial" w:hAnsi="Arial" w:cs="Arial"/>
                <w:sz w:val="20"/>
                <w:szCs w:val="20"/>
              </w:rPr>
            </w:pPr>
            <w:r w:rsidRPr="00022931">
              <w:rPr>
                <w:rFonts w:ascii="Arial" w:hAnsi="Arial" w:cs="Arial"/>
                <w:sz w:val="20"/>
                <w:szCs w:val="20"/>
              </w:rPr>
              <w:t>Mitigated Non-Performance</w:t>
            </w:r>
          </w:p>
        </w:tc>
        <w:tc>
          <w:tcPr>
            <w:tcW w:w="5811" w:type="dxa"/>
            <w:tcMar/>
          </w:tcPr>
          <w:p w:rsidRPr="00022931" w:rsidR="00B64BE5" w:rsidP="00B64BE5" w:rsidRDefault="00B64BE5" w14:paraId="0F672181" w14:textId="76076813">
            <w:pPr>
              <w:pStyle w:val="Default"/>
              <w:spacing w:before="120" w:after="120" w:line="240" w:lineRule="atLeast"/>
              <w:rPr>
                <w:rFonts w:ascii="Arial" w:hAnsi="Arial" w:cs="Arial"/>
                <w:sz w:val="20"/>
                <w:szCs w:val="20"/>
              </w:rPr>
            </w:pPr>
            <w:r w:rsidRPr="00022931">
              <w:rPr>
                <w:rFonts w:ascii="Arial" w:hAnsi="Arial" w:cs="Arial"/>
                <w:sz w:val="20"/>
                <w:szCs w:val="20"/>
              </w:rPr>
              <w:t xml:space="preserve">has the meaning given to it in Paragraph </w:t>
            </w:r>
            <w:r w:rsidRPr="00022931">
              <w:rPr>
                <w:rFonts w:ascii="Arial" w:hAnsi="Arial" w:cs="Arial"/>
                <w:sz w:val="20"/>
                <w:szCs w:val="20"/>
              </w:rPr>
              <w:fldChar w:fldCharType="begin"/>
            </w:r>
            <w:r w:rsidRPr="00022931">
              <w:rPr>
                <w:rFonts w:ascii="Arial" w:hAnsi="Arial" w:cs="Arial"/>
                <w:sz w:val="20"/>
                <w:szCs w:val="20"/>
              </w:rPr>
              <w:instrText xml:space="preserve"> REF _Ref89458408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3.5(b)</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 xml:space="preserve">Failure against KPI 1 and </w:t>
            </w:r>
            <w:proofErr w:type="gramStart"/>
            <w:r w:rsidRPr="00022931">
              <w:rPr>
                <w:rFonts w:ascii="Arial" w:hAnsi="Arial" w:cs="Arial"/>
                <w:i/>
                <w:sz w:val="20"/>
                <w:szCs w:val="20"/>
              </w:rPr>
              <w:t>NPPs</w:t>
            </w:r>
            <w:r w:rsidRPr="00022931">
              <w:rPr>
                <w:rFonts w:ascii="Arial" w:hAnsi="Arial" w:cs="Arial"/>
                <w:sz w:val="20"/>
                <w:szCs w:val="20"/>
              </w:rPr>
              <w:t>).</w:t>
            </w:r>
            <w:proofErr w:type="gramEnd"/>
            <w:r w:rsidRPr="00022931">
              <w:rPr>
                <w:rFonts w:ascii="Arial" w:hAnsi="Arial" w:cs="Arial"/>
                <w:sz w:val="20"/>
                <w:szCs w:val="20"/>
              </w:rPr>
              <w:t xml:space="preserve"> </w:t>
            </w:r>
          </w:p>
        </w:tc>
      </w:tr>
      <w:tr w:rsidRPr="00022931" w:rsidR="00B64BE5" w:rsidTr="23CD1BAD" w14:paraId="7E207C0F" w14:textId="77777777">
        <w:tc>
          <w:tcPr>
            <w:tcW w:w="2547" w:type="dxa"/>
            <w:shd w:val="clear" w:color="auto" w:fill="F2F2F2" w:themeFill="background1" w:themeFillShade="F2"/>
            <w:tcMar/>
          </w:tcPr>
          <w:p w:rsidR="00B64BE5" w:rsidP="00B64BE5" w:rsidRDefault="00B64BE5" w14:paraId="3A6EA3F4" w14:textId="598E57AA">
            <w:pPr>
              <w:pStyle w:val="Default"/>
              <w:spacing w:before="120" w:after="120" w:line="240" w:lineRule="atLeast"/>
              <w:rPr>
                <w:rFonts w:ascii="Arial" w:hAnsi="Arial" w:cs="Arial"/>
                <w:sz w:val="20"/>
                <w:szCs w:val="20"/>
              </w:rPr>
            </w:pPr>
            <w:r>
              <w:rPr>
                <w:rFonts w:ascii="Arial" w:hAnsi="Arial" w:cs="Arial"/>
                <w:sz w:val="20"/>
                <w:szCs w:val="20"/>
              </w:rPr>
              <w:t>Month M</w:t>
            </w:r>
          </w:p>
        </w:tc>
        <w:tc>
          <w:tcPr>
            <w:tcW w:w="5811" w:type="dxa"/>
            <w:tcMar/>
          </w:tcPr>
          <w:p w:rsidR="00B64BE5" w:rsidP="00B64BE5" w:rsidRDefault="00B64BE5" w14:paraId="4194A23B" w14:textId="5DB125CA">
            <w:pPr>
              <w:pStyle w:val="Default"/>
              <w:spacing w:before="120" w:after="120" w:line="240" w:lineRule="atLeast"/>
              <w:rPr>
                <w:rFonts w:ascii="Arial" w:hAnsi="Arial" w:cs="Arial"/>
                <w:sz w:val="20"/>
                <w:szCs w:val="20"/>
              </w:rPr>
            </w:pPr>
            <w:r>
              <w:rPr>
                <w:rFonts w:ascii="Arial" w:hAnsi="Arial" w:cs="Arial"/>
                <w:sz w:val="20"/>
                <w:szCs w:val="20"/>
              </w:rPr>
              <w:t xml:space="preserve">means a month in respect of which the Monthly Payment is to be calculated. </w:t>
            </w:r>
          </w:p>
        </w:tc>
      </w:tr>
      <w:tr w:rsidRPr="00022931" w:rsidR="00B64BE5" w:rsidTr="23CD1BAD" w14:paraId="40049B6D" w14:textId="77777777">
        <w:tc>
          <w:tcPr>
            <w:tcW w:w="2547" w:type="dxa"/>
            <w:shd w:val="clear" w:color="auto" w:fill="F2F2F2" w:themeFill="background1" w:themeFillShade="F2"/>
            <w:tcMar/>
          </w:tcPr>
          <w:p w:rsidRPr="00022931" w:rsidR="00B64BE5" w:rsidP="00B64BE5" w:rsidRDefault="00B64BE5" w14:paraId="161C87D5" w14:textId="4A524245">
            <w:pPr>
              <w:pStyle w:val="Default"/>
              <w:spacing w:before="120" w:after="120" w:line="240" w:lineRule="atLeast"/>
              <w:rPr>
                <w:rFonts w:ascii="Arial" w:hAnsi="Arial" w:cs="Arial"/>
                <w:sz w:val="20"/>
                <w:szCs w:val="20"/>
              </w:rPr>
            </w:pPr>
            <w:r>
              <w:rPr>
                <w:rFonts w:ascii="Arial" w:hAnsi="Arial" w:cs="Arial"/>
                <w:sz w:val="20"/>
                <w:szCs w:val="20"/>
              </w:rPr>
              <w:lastRenderedPageBreak/>
              <w:t>Month M-2</w:t>
            </w:r>
          </w:p>
        </w:tc>
        <w:tc>
          <w:tcPr>
            <w:tcW w:w="5811" w:type="dxa"/>
            <w:tcMar/>
          </w:tcPr>
          <w:p w:rsidRPr="00022931" w:rsidR="00B64BE5" w:rsidP="00B64BE5" w:rsidRDefault="00B64BE5" w14:paraId="5F93B145" w14:textId="5380FF19">
            <w:pPr>
              <w:pStyle w:val="Default"/>
              <w:spacing w:before="120" w:after="120" w:line="240" w:lineRule="atLeast"/>
              <w:rPr>
                <w:rFonts w:ascii="Arial" w:hAnsi="Arial" w:cs="Arial"/>
                <w:sz w:val="20"/>
                <w:szCs w:val="20"/>
              </w:rPr>
            </w:pPr>
            <w:r>
              <w:rPr>
                <w:rFonts w:ascii="Arial" w:hAnsi="Arial" w:cs="Arial"/>
                <w:sz w:val="20"/>
                <w:szCs w:val="20"/>
              </w:rPr>
              <w:t>means, with respect to any Month M, the Month falling two (2) Months prior to Month M.</w:t>
            </w:r>
          </w:p>
        </w:tc>
      </w:tr>
      <w:tr w:rsidRPr="00022931" w:rsidR="00B64BE5" w:rsidTr="23CD1BAD" w14:paraId="3DE50AB6" w14:textId="77777777">
        <w:tc>
          <w:tcPr>
            <w:tcW w:w="2547" w:type="dxa"/>
            <w:shd w:val="clear" w:color="auto" w:fill="F2F2F2" w:themeFill="background1" w:themeFillShade="F2"/>
            <w:tcMar/>
          </w:tcPr>
          <w:p w:rsidR="00B64BE5" w:rsidP="00B64BE5" w:rsidRDefault="00B64BE5" w14:paraId="68966849" w14:textId="6A956115">
            <w:pPr>
              <w:pStyle w:val="Default"/>
              <w:spacing w:before="120" w:after="120" w:line="240" w:lineRule="atLeast"/>
              <w:rPr>
                <w:rFonts w:ascii="Arial" w:hAnsi="Arial" w:cs="Arial"/>
                <w:sz w:val="20"/>
                <w:szCs w:val="20"/>
              </w:rPr>
            </w:pPr>
            <w:r>
              <w:rPr>
                <w:rFonts w:ascii="Arial" w:hAnsi="Arial" w:cs="Arial"/>
                <w:sz w:val="20"/>
                <w:szCs w:val="20"/>
              </w:rPr>
              <w:t>Month M + 1</w:t>
            </w:r>
          </w:p>
        </w:tc>
        <w:tc>
          <w:tcPr>
            <w:tcW w:w="5811" w:type="dxa"/>
            <w:tcMar/>
          </w:tcPr>
          <w:p w:rsidRPr="00FF45AD" w:rsidR="00B64BE5" w:rsidP="00B64BE5" w:rsidRDefault="00B64BE5" w14:paraId="6D2BA1A4" w14:textId="09AC2518">
            <w:pPr>
              <w:pStyle w:val="Default"/>
              <w:spacing w:before="120" w:after="120" w:line="240" w:lineRule="atLeast"/>
              <w:rPr>
                <w:rFonts w:ascii="Arial" w:hAnsi="Arial" w:cs="Arial"/>
                <w:sz w:val="20"/>
              </w:rPr>
            </w:pPr>
            <w:r>
              <w:rPr>
                <w:rFonts w:ascii="Arial" w:hAnsi="Arial" w:cs="Arial"/>
                <w:sz w:val="20"/>
              </w:rPr>
              <w:t xml:space="preserve">has the meaning given to it in Paragraph </w:t>
            </w:r>
            <w:r>
              <w:rPr>
                <w:rFonts w:ascii="Arial" w:hAnsi="Arial" w:cs="Arial"/>
                <w:sz w:val="20"/>
              </w:rPr>
              <w:fldChar w:fldCharType="begin"/>
            </w:r>
            <w:r>
              <w:rPr>
                <w:rFonts w:ascii="Arial" w:hAnsi="Arial" w:cs="Arial"/>
                <w:sz w:val="20"/>
              </w:rPr>
              <w:instrText xml:space="preserve"> REF _Ref89421649 \r \h </w:instrText>
            </w:r>
            <w:r>
              <w:rPr>
                <w:rFonts w:ascii="Arial" w:hAnsi="Arial" w:cs="Arial"/>
                <w:sz w:val="20"/>
              </w:rPr>
            </w:r>
            <w:r>
              <w:rPr>
                <w:rFonts w:ascii="Arial" w:hAnsi="Arial" w:cs="Arial"/>
                <w:sz w:val="20"/>
              </w:rPr>
              <w:fldChar w:fldCharType="separate"/>
            </w:r>
            <w:r w:rsidR="004458E3">
              <w:rPr>
                <w:rFonts w:ascii="Arial" w:hAnsi="Arial" w:cs="Arial"/>
                <w:sz w:val="20"/>
              </w:rPr>
              <w:t>4.2(b)</w:t>
            </w:r>
            <w:r>
              <w:rPr>
                <w:rFonts w:ascii="Arial" w:hAnsi="Arial" w:cs="Arial"/>
                <w:sz w:val="20"/>
              </w:rPr>
              <w:fldChar w:fldCharType="end"/>
            </w:r>
            <w:r>
              <w:rPr>
                <w:rFonts w:ascii="Arial" w:hAnsi="Arial" w:cs="Arial"/>
                <w:sz w:val="20"/>
              </w:rPr>
              <w:t xml:space="preserve"> (</w:t>
            </w:r>
            <w:r>
              <w:rPr>
                <w:rFonts w:ascii="Arial" w:hAnsi="Arial" w:cs="Arial"/>
                <w:i/>
                <w:sz w:val="20"/>
              </w:rPr>
              <w:t xml:space="preserve">Earn Back </w:t>
            </w:r>
            <w:proofErr w:type="gramStart"/>
            <w:r>
              <w:rPr>
                <w:rFonts w:ascii="Arial" w:hAnsi="Arial" w:cs="Arial"/>
                <w:i/>
                <w:sz w:val="20"/>
              </w:rPr>
              <w:t>Mechanism</w:t>
            </w:r>
            <w:r>
              <w:rPr>
                <w:rFonts w:ascii="Arial" w:hAnsi="Arial" w:cs="Arial"/>
                <w:sz w:val="20"/>
              </w:rPr>
              <w:t>).</w:t>
            </w:r>
            <w:proofErr w:type="gramEnd"/>
            <w:r>
              <w:rPr>
                <w:rFonts w:ascii="Arial" w:hAnsi="Arial" w:cs="Arial"/>
                <w:sz w:val="20"/>
              </w:rPr>
              <w:t xml:space="preserve"> </w:t>
            </w:r>
          </w:p>
        </w:tc>
      </w:tr>
      <w:tr w:rsidRPr="00022931" w:rsidR="00B64BE5" w:rsidTr="23CD1BAD" w14:paraId="294120C7" w14:textId="77777777">
        <w:tc>
          <w:tcPr>
            <w:tcW w:w="2547" w:type="dxa"/>
            <w:shd w:val="clear" w:color="auto" w:fill="F2F2F2" w:themeFill="background1" w:themeFillShade="F2"/>
            <w:tcMar/>
          </w:tcPr>
          <w:p w:rsidRPr="00022931" w:rsidR="00B64BE5" w:rsidP="00B64BE5" w:rsidRDefault="00B64BE5" w14:paraId="2A3CF5C3" w14:textId="67AC2D5C">
            <w:pPr>
              <w:pStyle w:val="Default"/>
              <w:spacing w:before="120" w:after="120" w:line="240" w:lineRule="atLeast"/>
              <w:rPr>
                <w:rFonts w:ascii="Arial" w:hAnsi="Arial" w:cs="Arial"/>
                <w:sz w:val="20"/>
                <w:szCs w:val="20"/>
              </w:rPr>
            </w:pPr>
            <w:r>
              <w:rPr>
                <w:rFonts w:ascii="Arial" w:hAnsi="Arial" w:cs="Arial"/>
                <w:sz w:val="20"/>
                <w:szCs w:val="20"/>
              </w:rPr>
              <w:t>Month</w:t>
            </w:r>
            <w:r w:rsidRPr="00022931">
              <w:rPr>
                <w:rFonts w:ascii="Arial" w:hAnsi="Arial" w:cs="Arial"/>
                <w:sz w:val="20"/>
                <w:szCs w:val="20"/>
              </w:rPr>
              <w:t>ly Charge or MC</w:t>
            </w:r>
          </w:p>
        </w:tc>
        <w:tc>
          <w:tcPr>
            <w:tcW w:w="5811" w:type="dxa"/>
            <w:tcMar/>
          </w:tcPr>
          <w:p w:rsidRPr="00022931" w:rsidR="00B64BE5" w:rsidP="00B64BE5" w:rsidRDefault="00B64BE5" w14:paraId="7FACF508" w14:textId="26A50E9F">
            <w:pPr>
              <w:pStyle w:val="Default"/>
              <w:spacing w:before="120" w:after="120" w:line="240" w:lineRule="atLeast"/>
              <w:rPr>
                <w:rFonts w:ascii="Arial" w:hAnsi="Arial" w:cs="Arial"/>
                <w:sz w:val="20"/>
                <w:szCs w:val="20"/>
              </w:rPr>
            </w:pPr>
            <w:r w:rsidRPr="00AF24F8">
              <w:rPr>
                <w:rFonts w:ascii="Arial" w:hAnsi="Arial" w:cs="Arial"/>
                <w:sz w:val="20"/>
              </w:rPr>
              <w:t xml:space="preserve">means the amount payable by the Authority to the Contractor for its </w:t>
            </w:r>
            <w:r w:rsidRPr="00F131B6">
              <w:rPr>
                <w:rFonts w:ascii="Arial" w:hAnsi="Arial" w:cs="Arial"/>
                <w:sz w:val="20"/>
              </w:rPr>
              <w:t>delivery</w:t>
            </w:r>
            <w:r w:rsidRPr="00F131B6">
              <w:rPr>
                <w:rFonts w:ascii="Arial" w:hAnsi="Arial" w:cs="Arial"/>
                <w:sz w:val="16"/>
              </w:rPr>
              <w:t xml:space="preserve"> </w:t>
            </w:r>
            <w:r w:rsidRPr="00AF24F8">
              <w:rPr>
                <w:rFonts w:ascii="Arial" w:hAnsi="Arial" w:cs="Arial"/>
                <w:sz w:val="20"/>
              </w:rPr>
              <w:t xml:space="preserve">of the Services in a given </w:t>
            </w:r>
            <w:r>
              <w:rPr>
                <w:rFonts w:ascii="Arial" w:hAnsi="Arial" w:cs="Arial"/>
                <w:sz w:val="20"/>
              </w:rPr>
              <w:t>Month</w:t>
            </w:r>
            <w:r w:rsidRPr="00AF24F8">
              <w:rPr>
                <w:rFonts w:ascii="Arial" w:hAnsi="Arial" w:cs="Arial"/>
                <w:sz w:val="20"/>
              </w:rPr>
              <w:t xml:space="preserve"> of any Contract Year, to be calculated as set out in Paragraph </w:t>
            </w:r>
            <w:r w:rsidRPr="00AF24F8">
              <w:rPr>
                <w:rFonts w:ascii="Arial" w:hAnsi="Arial" w:cs="Arial"/>
                <w:sz w:val="20"/>
              </w:rPr>
              <w:fldChar w:fldCharType="begin"/>
            </w:r>
            <w:r w:rsidRPr="00AF24F8">
              <w:rPr>
                <w:rFonts w:ascii="Arial" w:hAnsi="Arial" w:cs="Arial"/>
                <w:sz w:val="20"/>
              </w:rPr>
              <w:instrText xml:space="preserve"> REF _Ref82777711 \r \h  \* MERGEFORMAT </w:instrText>
            </w:r>
            <w:r w:rsidRPr="00AF24F8">
              <w:rPr>
                <w:rFonts w:ascii="Arial" w:hAnsi="Arial" w:cs="Arial"/>
                <w:sz w:val="20"/>
              </w:rPr>
            </w:r>
            <w:r w:rsidRPr="00AF24F8">
              <w:rPr>
                <w:rFonts w:ascii="Arial" w:hAnsi="Arial" w:cs="Arial"/>
                <w:sz w:val="20"/>
              </w:rPr>
              <w:fldChar w:fldCharType="separate"/>
            </w:r>
            <w:r w:rsidR="004458E3">
              <w:rPr>
                <w:rFonts w:ascii="Arial" w:hAnsi="Arial" w:cs="Arial"/>
                <w:sz w:val="20"/>
              </w:rPr>
              <w:t>2.4</w:t>
            </w:r>
            <w:r w:rsidRPr="00AF24F8">
              <w:rPr>
                <w:rFonts w:ascii="Arial" w:hAnsi="Arial" w:cs="Arial"/>
                <w:sz w:val="20"/>
              </w:rPr>
              <w:fldChar w:fldCharType="end"/>
            </w:r>
            <w:r w:rsidRPr="00AF24F8">
              <w:rPr>
                <w:rFonts w:ascii="Arial" w:hAnsi="Arial" w:cs="Arial"/>
                <w:sz w:val="20"/>
              </w:rPr>
              <w:t xml:space="preserve"> (</w:t>
            </w:r>
            <w:r w:rsidRPr="00AF24F8">
              <w:rPr>
                <w:rFonts w:ascii="Arial" w:hAnsi="Arial" w:cs="Arial"/>
                <w:i/>
                <w:sz w:val="20"/>
              </w:rPr>
              <w:t xml:space="preserve">Calculation of the </w:t>
            </w:r>
            <w:r>
              <w:rPr>
                <w:rFonts w:ascii="Arial" w:hAnsi="Arial" w:cs="Arial"/>
                <w:i/>
                <w:sz w:val="20"/>
              </w:rPr>
              <w:t>Annual Charge</w:t>
            </w:r>
            <w:r w:rsidRPr="00AF24F8">
              <w:rPr>
                <w:rFonts w:ascii="Arial" w:hAnsi="Arial" w:cs="Arial"/>
                <w:i/>
                <w:sz w:val="20"/>
              </w:rPr>
              <w:t xml:space="preserve"> for each </w:t>
            </w:r>
            <w:r w:rsidRPr="00AF24F8">
              <w:rPr>
                <w:rFonts w:ascii="Arial" w:hAnsi="Arial" w:cs="Arial"/>
                <w:sz w:val="20"/>
              </w:rPr>
              <w:t>Contract Year).</w:t>
            </w:r>
          </w:p>
        </w:tc>
      </w:tr>
      <w:tr w:rsidRPr="00022931" w:rsidR="00B64BE5" w:rsidTr="23CD1BAD" w14:paraId="7F67E9C4" w14:textId="77777777">
        <w:tc>
          <w:tcPr>
            <w:tcW w:w="2547" w:type="dxa"/>
            <w:shd w:val="clear" w:color="auto" w:fill="F2F2F2" w:themeFill="background1" w:themeFillShade="F2"/>
            <w:tcMar/>
          </w:tcPr>
          <w:p w:rsidRPr="00022931" w:rsidR="00B64BE5" w:rsidP="00B64BE5" w:rsidRDefault="00B64BE5" w14:paraId="046184EA" w14:textId="026EF933">
            <w:pPr>
              <w:pStyle w:val="Default"/>
              <w:spacing w:before="120" w:after="120" w:line="240" w:lineRule="atLeast"/>
              <w:jc w:val="left"/>
              <w:rPr>
                <w:rFonts w:ascii="Arial" w:hAnsi="Arial" w:cs="Arial"/>
                <w:sz w:val="20"/>
                <w:szCs w:val="20"/>
              </w:rPr>
            </w:pPr>
            <w:r>
              <w:rPr>
                <w:rFonts w:ascii="Arial" w:hAnsi="Arial" w:cs="Arial"/>
                <w:sz w:val="20"/>
                <w:szCs w:val="20"/>
              </w:rPr>
              <w:t>Month</w:t>
            </w:r>
            <w:r w:rsidRPr="00022931">
              <w:rPr>
                <w:rFonts w:ascii="Arial" w:hAnsi="Arial" w:cs="Arial"/>
                <w:sz w:val="20"/>
                <w:szCs w:val="20"/>
              </w:rPr>
              <w:t>ly Performance and Activity Report</w:t>
            </w:r>
          </w:p>
        </w:tc>
        <w:tc>
          <w:tcPr>
            <w:tcW w:w="5811" w:type="dxa"/>
            <w:tcMar/>
          </w:tcPr>
          <w:p w:rsidRPr="00022931" w:rsidR="00B64BE5" w:rsidP="00B64BE5" w:rsidRDefault="00B64BE5" w14:paraId="2C34C4A0" w14:textId="765AD0E5">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means the </w:t>
            </w:r>
            <w:r>
              <w:rPr>
                <w:rFonts w:ascii="Arial" w:hAnsi="Arial" w:cs="Arial"/>
                <w:sz w:val="20"/>
                <w:szCs w:val="20"/>
              </w:rPr>
              <w:t>Month</w:t>
            </w:r>
            <w:r w:rsidRPr="00022931">
              <w:rPr>
                <w:rFonts w:ascii="Arial" w:hAnsi="Arial" w:cs="Arial"/>
                <w:sz w:val="20"/>
                <w:szCs w:val="20"/>
              </w:rPr>
              <w:t>ly report to be submitted by the Contractor to the Authority setting out the information set out in Schedule 6 (</w:t>
            </w:r>
            <w:r w:rsidRPr="00022931">
              <w:rPr>
                <w:rFonts w:ascii="Arial" w:hAnsi="Arial" w:cs="Arial"/>
                <w:i/>
                <w:sz w:val="20"/>
                <w:szCs w:val="20"/>
              </w:rPr>
              <w:t>Governance and Management Information, Reports, Records and Audit</w:t>
            </w:r>
            <w:r w:rsidRPr="00022931">
              <w:rPr>
                <w:rFonts w:ascii="Arial" w:hAnsi="Arial" w:cs="Arial"/>
                <w:sz w:val="20"/>
                <w:szCs w:val="20"/>
              </w:rPr>
              <w:t>).</w:t>
            </w:r>
          </w:p>
        </w:tc>
      </w:tr>
      <w:tr w:rsidRPr="00022931" w:rsidR="00B64BE5" w:rsidTr="23CD1BAD" w14:paraId="508EA99D" w14:textId="77777777">
        <w:tc>
          <w:tcPr>
            <w:tcW w:w="2547" w:type="dxa"/>
            <w:shd w:val="clear" w:color="auto" w:fill="F2F2F2" w:themeFill="background1" w:themeFillShade="F2"/>
            <w:tcMar/>
          </w:tcPr>
          <w:p w:rsidRPr="00022931" w:rsidR="00B64BE5" w:rsidP="00B64BE5" w:rsidRDefault="00B64BE5" w14:paraId="11271891"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Non-Performance</w:t>
            </w:r>
          </w:p>
        </w:tc>
        <w:tc>
          <w:tcPr>
            <w:tcW w:w="5811" w:type="dxa"/>
            <w:tcMar/>
          </w:tcPr>
          <w:p w:rsidRPr="008A277C" w:rsidR="00B64BE5" w:rsidP="00B64BE5" w:rsidRDefault="00B64BE5" w14:paraId="7CD4F1CC" w14:textId="3FD179E7">
            <w:pPr>
              <w:pStyle w:val="Default"/>
              <w:spacing w:before="120" w:after="120" w:line="240" w:lineRule="atLeast"/>
              <w:jc w:val="left"/>
              <w:rPr>
                <w:rFonts w:ascii="Arial" w:hAnsi="Arial" w:cs="Arial"/>
                <w:i/>
                <w:sz w:val="20"/>
                <w:szCs w:val="20"/>
              </w:rPr>
            </w:pPr>
            <w:r>
              <w:rPr>
                <w:rFonts w:ascii="Arial" w:hAnsi="Arial" w:cs="Arial"/>
                <w:sz w:val="20"/>
                <w:szCs w:val="20"/>
              </w:rPr>
              <w:t xml:space="preserve">means the occurrence of the events or circumstances set out in Paragraph </w:t>
            </w:r>
            <w:r>
              <w:rPr>
                <w:rFonts w:ascii="Arial" w:hAnsi="Arial" w:cs="Arial"/>
                <w:sz w:val="20"/>
                <w:szCs w:val="20"/>
              </w:rPr>
              <w:fldChar w:fldCharType="begin"/>
            </w:r>
            <w:r>
              <w:rPr>
                <w:rFonts w:ascii="Arial" w:hAnsi="Arial" w:cs="Arial"/>
                <w:sz w:val="20"/>
                <w:szCs w:val="20"/>
              </w:rPr>
              <w:instrText xml:space="preserve"> REF _Ref89352684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3.5</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Failure Against KPI 1 and NPPs</w:t>
            </w:r>
            <w:r>
              <w:rPr>
                <w:rFonts w:ascii="Arial" w:hAnsi="Arial" w:cs="Arial"/>
                <w:sz w:val="20"/>
                <w:szCs w:val="20"/>
              </w:rPr>
              <w:t xml:space="preserve">) with respect to KPI 1 or Paragraph </w:t>
            </w:r>
            <w:r>
              <w:rPr>
                <w:rFonts w:ascii="Arial" w:hAnsi="Arial" w:cs="Arial"/>
                <w:sz w:val="20"/>
                <w:szCs w:val="20"/>
              </w:rPr>
              <w:fldChar w:fldCharType="begin"/>
            </w:r>
            <w:r>
              <w:rPr>
                <w:rFonts w:ascii="Arial" w:hAnsi="Arial" w:cs="Arial"/>
                <w:sz w:val="20"/>
                <w:szCs w:val="20"/>
              </w:rPr>
              <w:instrText xml:space="preserve"> REF _Ref90299220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3.7</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Failure Against KPI 2 and NPPs</w:t>
            </w:r>
            <w:r>
              <w:rPr>
                <w:rFonts w:ascii="Arial" w:hAnsi="Arial" w:cs="Arial"/>
                <w:sz w:val="20"/>
                <w:szCs w:val="20"/>
              </w:rPr>
              <w:t>) with respect to KPI 2 and, with respect to KPI 1 only, means either:</w:t>
            </w:r>
          </w:p>
          <w:p w:rsidRPr="00022931" w:rsidR="00B64BE5" w:rsidP="00B64BE5" w:rsidRDefault="00B64BE5" w14:paraId="104D2828" w14:textId="77777777">
            <w:pPr>
              <w:pStyle w:val="Heading3"/>
              <w:numPr>
                <w:ilvl w:val="2"/>
                <w:numId w:val="8"/>
              </w:numPr>
              <w:outlineLvl w:val="2"/>
              <w:rPr>
                <w:szCs w:val="20"/>
              </w:rPr>
            </w:pPr>
            <w:r w:rsidRPr="00022931">
              <w:rPr>
                <w:szCs w:val="20"/>
              </w:rPr>
              <w:t>a Significant Non-Performance; or</w:t>
            </w:r>
          </w:p>
          <w:p w:rsidRPr="00022931" w:rsidR="00B64BE5" w:rsidP="00B64BE5" w:rsidRDefault="00B64BE5" w14:paraId="23E62E65" w14:textId="1A53A4C2">
            <w:pPr>
              <w:pStyle w:val="Heading3"/>
              <w:numPr>
                <w:ilvl w:val="2"/>
                <w:numId w:val="8"/>
              </w:numPr>
              <w:outlineLvl w:val="2"/>
              <w:rPr>
                <w:szCs w:val="20"/>
              </w:rPr>
            </w:pPr>
            <w:r w:rsidRPr="00022931">
              <w:rPr>
                <w:szCs w:val="20"/>
              </w:rPr>
              <w:t>a Minor Non-</w:t>
            </w:r>
            <w:r w:rsidRPr="00022931">
              <w:t>Performance</w:t>
            </w:r>
            <w:r w:rsidRPr="00022931">
              <w:rPr>
                <w:szCs w:val="20"/>
              </w:rPr>
              <w:t>.</w:t>
            </w:r>
          </w:p>
        </w:tc>
      </w:tr>
      <w:tr w:rsidRPr="00022931" w:rsidR="00B64BE5" w:rsidTr="23CD1BAD" w14:paraId="620FB020" w14:textId="77777777">
        <w:tc>
          <w:tcPr>
            <w:tcW w:w="2547" w:type="dxa"/>
            <w:shd w:val="clear" w:color="auto" w:fill="F2F2F2" w:themeFill="background1" w:themeFillShade="F2"/>
            <w:tcMar/>
          </w:tcPr>
          <w:p w:rsidRPr="00022931" w:rsidR="00B64BE5" w:rsidP="00B64BE5" w:rsidRDefault="00B64BE5" w14:paraId="0C0DCC79" w14:textId="27C464F8">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Non-Performance </w:t>
            </w:r>
            <w:proofErr w:type="gramStart"/>
            <w:r w:rsidRPr="00022931">
              <w:rPr>
                <w:rFonts w:ascii="Arial" w:hAnsi="Arial" w:cs="Arial"/>
                <w:sz w:val="20"/>
                <w:szCs w:val="20"/>
              </w:rPr>
              <w:t>Points  or</w:t>
            </w:r>
            <w:proofErr w:type="gramEnd"/>
            <w:r w:rsidRPr="00022931">
              <w:rPr>
                <w:rFonts w:ascii="Arial" w:hAnsi="Arial" w:cs="Arial"/>
                <w:sz w:val="20"/>
                <w:szCs w:val="20"/>
              </w:rPr>
              <w:t xml:space="preserve"> NPPs</w:t>
            </w:r>
          </w:p>
        </w:tc>
        <w:tc>
          <w:tcPr>
            <w:tcW w:w="5811" w:type="dxa"/>
            <w:tcMar/>
          </w:tcPr>
          <w:p w:rsidRPr="001D079D" w:rsidR="00B64BE5" w:rsidP="00B64BE5" w:rsidRDefault="00B64BE5" w14:paraId="0869E8AB" w14:textId="07857FA7">
            <w:pPr>
              <w:pStyle w:val="Default"/>
              <w:spacing w:before="120" w:after="120" w:line="240" w:lineRule="atLeast"/>
              <w:jc w:val="left"/>
              <w:rPr>
                <w:rFonts w:ascii="Arial" w:hAnsi="Arial" w:cs="Arial"/>
                <w:sz w:val="20"/>
                <w:szCs w:val="20"/>
              </w:rPr>
            </w:pPr>
            <w:r w:rsidRPr="00022931">
              <w:rPr>
                <w:rFonts w:ascii="Arial" w:hAnsi="Arial" w:cs="Arial"/>
                <w:sz w:val="20"/>
                <w:szCs w:val="20"/>
              </w:rPr>
              <w:t>means points accrued for Non-Performances against KPI 1 and / or KPI 2</w:t>
            </w:r>
            <w:r>
              <w:rPr>
                <w:rFonts w:ascii="Arial" w:hAnsi="Arial" w:cs="Arial"/>
                <w:sz w:val="20"/>
                <w:szCs w:val="20"/>
              </w:rPr>
              <w:t xml:space="preserve">, as set out in Paragraph </w:t>
            </w:r>
            <w:r>
              <w:rPr>
                <w:rFonts w:ascii="Arial" w:hAnsi="Arial" w:cs="Arial"/>
                <w:sz w:val="20"/>
                <w:szCs w:val="20"/>
              </w:rPr>
              <w:fldChar w:fldCharType="begin"/>
            </w:r>
            <w:r>
              <w:rPr>
                <w:rFonts w:ascii="Arial" w:hAnsi="Arial" w:cs="Arial"/>
                <w:sz w:val="20"/>
                <w:szCs w:val="20"/>
              </w:rPr>
              <w:instrText xml:space="preserve"> REF _Ref89352684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3.5</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Failure Against KPI 1 and NPPs</w:t>
            </w:r>
            <w:r>
              <w:rPr>
                <w:rFonts w:ascii="Arial" w:hAnsi="Arial" w:cs="Arial"/>
                <w:sz w:val="20"/>
                <w:szCs w:val="20"/>
              </w:rPr>
              <w:t xml:space="preserve">) with respect to KPI 1 and Paragraph </w:t>
            </w:r>
            <w:r>
              <w:rPr>
                <w:rFonts w:ascii="Arial" w:hAnsi="Arial" w:cs="Arial"/>
                <w:sz w:val="20"/>
                <w:szCs w:val="20"/>
              </w:rPr>
              <w:fldChar w:fldCharType="begin"/>
            </w:r>
            <w:r>
              <w:rPr>
                <w:rFonts w:ascii="Arial" w:hAnsi="Arial" w:cs="Arial"/>
                <w:sz w:val="20"/>
                <w:szCs w:val="20"/>
              </w:rPr>
              <w:instrText xml:space="preserve"> REF _Ref90299220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3.7</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Failure Against KPI 2 and NPPs</w:t>
            </w:r>
            <w:r>
              <w:rPr>
                <w:rFonts w:ascii="Arial" w:hAnsi="Arial" w:cs="Arial"/>
                <w:sz w:val="20"/>
                <w:szCs w:val="20"/>
              </w:rPr>
              <w:t>).</w:t>
            </w:r>
          </w:p>
        </w:tc>
      </w:tr>
      <w:tr w:rsidRPr="00022931" w:rsidR="00B64BE5" w:rsidTr="23CD1BAD" w14:paraId="64D3A525" w14:textId="77777777">
        <w:tc>
          <w:tcPr>
            <w:tcW w:w="2547" w:type="dxa"/>
            <w:shd w:val="clear" w:color="auto" w:fill="F2F2F2" w:themeFill="background1" w:themeFillShade="F2"/>
            <w:tcMar/>
          </w:tcPr>
          <w:p w:rsidRPr="00022931" w:rsidR="00B64BE5" w:rsidP="00B64BE5" w:rsidRDefault="00B64BE5" w14:paraId="0EE4AAD2" w14:textId="5206FDE2">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Non-Performance Point </w:t>
            </w:r>
            <w:proofErr w:type="gramStart"/>
            <w:r w:rsidRPr="00022931">
              <w:rPr>
                <w:rFonts w:ascii="Arial" w:hAnsi="Arial" w:cs="Arial"/>
                <w:sz w:val="20"/>
                <w:szCs w:val="20"/>
              </w:rPr>
              <w:t>Band  or</w:t>
            </w:r>
            <w:proofErr w:type="gramEnd"/>
            <w:r w:rsidRPr="00022931">
              <w:rPr>
                <w:rFonts w:ascii="Arial" w:hAnsi="Arial" w:cs="Arial"/>
                <w:sz w:val="20"/>
                <w:szCs w:val="20"/>
              </w:rPr>
              <w:t xml:space="preserve"> NPP Band</w:t>
            </w:r>
          </w:p>
        </w:tc>
        <w:tc>
          <w:tcPr>
            <w:tcW w:w="5811" w:type="dxa"/>
            <w:tcMar/>
          </w:tcPr>
          <w:p w:rsidRPr="00022931" w:rsidR="00B64BE5" w:rsidP="00B64BE5" w:rsidRDefault="00B64BE5" w14:paraId="757A030B" w14:textId="2B85D90E">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means the band in which performance falls in any </w:t>
            </w:r>
            <w:r>
              <w:rPr>
                <w:rFonts w:ascii="Arial" w:hAnsi="Arial" w:cs="Arial"/>
                <w:sz w:val="20"/>
              </w:rPr>
              <w:t>Month</w:t>
            </w:r>
            <w:r w:rsidRPr="00022931">
              <w:rPr>
                <w:rFonts w:ascii="Arial" w:hAnsi="Arial" w:cs="Arial"/>
                <w:sz w:val="20"/>
                <w:szCs w:val="20"/>
              </w:rPr>
              <w:t xml:space="preserve"> which shall determine the Service Credit applied against the MC, as set out in the Non-Performance Points Deduction Table.</w:t>
            </w:r>
          </w:p>
        </w:tc>
      </w:tr>
      <w:tr w:rsidRPr="00022931" w:rsidR="00B64BE5" w:rsidTr="23CD1BAD" w14:paraId="3C7DB1A2" w14:textId="77777777">
        <w:tc>
          <w:tcPr>
            <w:tcW w:w="2547" w:type="dxa"/>
            <w:shd w:val="clear" w:color="auto" w:fill="F2F2F2" w:themeFill="background1" w:themeFillShade="F2"/>
            <w:tcMar/>
          </w:tcPr>
          <w:p w:rsidRPr="00022931" w:rsidR="00B64BE5" w:rsidP="00B64BE5" w:rsidRDefault="00B64BE5" w14:paraId="2388AED5" w14:textId="10A0A874">
            <w:pPr>
              <w:pStyle w:val="Default"/>
              <w:spacing w:before="120" w:after="120" w:line="240" w:lineRule="atLeast"/>
              <w:rPr>
                <w:rFonts w:ascii="Arial" w:hAnsi="Arial" w:cs="Arial"/>
                <w:sz w:val="20"/>
                <w:szCs w:val="20"/>
              </w:rPr>
            </w:pPr>
            <w:r w:rsidRPr="00022931">
              <w:rPr>
                <w:rFonts w:ascii="Arial" w:hAnsi="Arial" w:cs="Arial"/>
                <w:sz w:val="20"/>
                <w:szCs w:val="20"/>
              </w:rPr>
              <w:t>Non-Performance Points Deduction Table</w:t>
            </w:r>
          </w:p>
        </w:tc>
        <w:tc>
          <w:tcPr>
            <w:tcW w:w="5811" w:type="dxa"/>
            <w:tcMar/>
          </w:tcPr>
          <w:p w:rsidRPr="00022931" w:rsidR="00B64BE5" w:rsidP="00B64BE5" w:rsidRDefault="00B64BE5" w14:paraId="4DA7E15E" w14:textId="474499A4">
            <w:pPr>
              <w:pStyle w:val="Default"/>
              <w:spacing w:before="120" w:after="120" w:line="240" w:lineRule="atLeast"/>
              <w:rPr>
                <w:rFonts w:ascii="Arial" w:hAnsi="Arial" w:cs="Arial"/>
                <w:sz w:val="20"/>
                <w:szCs w:val="20"/>
              </w:rPr>
            </w:pPr>
            <w:r w:rsidRPr="00022931">
              <w:rPr>
                <w:rFonts w:ascii="Arial" w:hAnsi="Arial" w:cs="Arial"/>
                <w:sz w:val="20"/>
                <w:szCs w:val="20"/>
              </w:rPr>
              <w:t xml:space="preserve">means the table set out in Paragraph </w:t>
            </w:r>
            <w:r w:rsidRPr="00022931">
              <w:rPr>
                <w:rFonts w:ascii="Arial" w:hAnsi="Arial" w:cs="Arial"/>
                <w:sz w:val="20"/>
                <w:szCs w:val="20"/>
              </w:rPr>
              <w:fldChar w:fldCharType="begin"/>
            </w:r>
            <w:r w:rsidRPr="00022931">
              <w:rPr>
                <w:rFonts w:ascii="Arial" w:hAnsi="Arial" w:cs="Arial"/>
                <w:sz w:val="20"/>
                <w:szCs w:val="20"/>
              </w:rPr>
              <w:instrText xml:space="preserve"> REF _Ref89421598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4.1</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NPPs Accrual</w:t>
            </w:r>
            <w:r w:rsidRPr="00022931">
              <w:rPr>
                <w:rFonts w:ascii="Arial" w:hAnsi="Arial" w:cs="Arial"/>
                <w:sz w:val="20"/>
                <w:szCs w:val="20"/>
              </w:rPr>
              <w:t xml:space="preserve">). </w:t>
            </w:r>
          </w:p>
        </w:tc>
      </w:tr>
      <w:tr w:rsidRPr="00022931" w:rsidR="00B64BE5" w:rsidTr="23CD1BAD" w14:paraId="39808675" w14:textId="77777777">
        <w:tc>
          <w:tcPr>
            <w:tcW w:w="2547" w:type="dxa"/>
            <w:shd w:val="clear" w:color="auto" w:fill="F2F2F2" w:themeFill="background1" w:themeFillShade="F2"/>
            <w:tcMar/>
          </w:tcPr>
          <w:p w:rsidRPr="00022931" w:rsidR="00B64BE5" w:rsidP="00B64BE5" w:rsidRDefault="00B64BE5" w14:paraId="611BDD4A" w14:textId="739CB56A">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On Time in Full </w:t>
            </w:r>
          </w:p>
        </w:tc>
        <w:tc>
          <w:tcPr>
            <w:tcW w:w="5811" w:type="dxa"/>
            <w:tcMar/>
          </w:tcPr>
          <w:p w:rsidRPr="00022931" w:rsidR="00B64BE5" w:rsidP="00B64BE5" w:rsidRDefault="00B64BE5" w14:paraId="05055AFE" w14:textId="47E826B4">
            <w:pPr>
              <w:pStyle w:val="Default"/>
              <w:spacing w:before="120" w:after="120" w:line="240" w:lineRule="atLeast"/>
              <w:jc w:val="left"/>
              <w:rPr>
                <w:rFonts w:ascii="Arial" w:hAnsi="Arial" w:cs="Arial"/>
                <w:sz w:val="20"/>
                <w:szCs w:val="20"/>
              </w:rPr>
            </w:pPr>
            <w:r>
              <w:rPr>
                <w:rFonts w:ascii="Arial" w:hAnsi="Arial" w:cs="Arial"/>
                <w:sz w:val="20"/>
                <w:szCs w:val="20"/>
              </w:rPr>
              <w:t xml:space="preserve">has the meaning given to it in Paragraph </w:t>
            </w:r>
            <w:r>
              <w:rPr>
                <w:rFonts w:ascii="Arial" w:hAnsi="Arial" w:cs="Arial"/>
                <w:sz w:val="20"/>
                <w:szCs w:val="20"/>
              </w:rPr>
              <w:fldChar w:fldCharType="begin"/>
            </w:r>
            <w:r>
              <w:rPr>
                <w:rFonts w:ascii="Arial" w:hAnsi="Arial" w:cs="Arial"/>
                <w:sz w:val="20"/>
                <w:szCs w:val="20"/>
              </w:rPr>
              <w:instrText xml:space="preserve"> REF _Ref108170485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3.2(a)</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 xml:space="preserve">Services Availability KPI 1 (KPI 1) Definition and </w:t>
            </w:r>
            <w:proofErr w:type="gramStart"/>
            <w:r>
              <w:rPr>
                <w:rFonts w:ascii="Arial" w:hAnsi="Arial" w:cs="Arial"/>
                <w:i/>
                <w:sz w:val="20"/>
                <w:szCs w:val="20"/>
              </w:rPr>
              <w:t>Measurement</w:t>
            </w:r>
            <w:r>
              <w:rPr>
                <w:rFonts w:ascii="Arial" w:hAnsi="Arial" w:cs="Arial"/>
                <w:sz w:val="20"/>
                <w:szCs w:val="20"/>
              </w:rPr>
              <w:t>).</w:t>
            </w:r>
            <w:proofErr w:type="gramEnd"/>
            <w:r>
              <w:rPr>
                <w:rFonts w:ascii="Arial" w:hAnsi="Arial" w:cs="Arial"/>
                <w:sz w:val="20"/>
                <w:szCs w:val="20"/>
              </w:rPr>
              <w:t xml:space="preserve"> </w:t>
            </w:r>
          </w:p>
        </w:tc>
      </w:tr>
      <w:tr w:rsidRPr="00022931" w:rsidR="00B64BE5" w:rsidTr="23CD1BAD" w14:paraId="0F558516" w14:textId="77777777">
        <w:tc>
          <w:tcPr>
            <w:tcW w:w="2547" w:type="dxa"/>
            <w:shd w:val="clear" w:color="auto" w:fill="F2F2F2" w:themeFill="background1" w:themeFillShade="F2"/>
            <w:tcMar/>
          </w:tcPr>
          <w:p w:rsidRPr="00022931" w:rsidR="00B64BE5" w:rsidP="00B64BE5" w:rsidRDefault="00B64BE5" w14:paraId="6952AC60" w14:textId="44169CC9">
            <w:pPr>
              <w:pStyle w:val="Default"/>
              <w:spacing w:before="120" w:after="120" w:line="240" w:lineRule="atLeast"/>
              <w:rPr>
                <w:rFonts w:ascii="Arial" w:hAnsi="Arial" w:cs="Arial"/>
                <w:sz w:val="20"/>
                <w:szCs w:val="20"/>
              </w:rPr>
            </w:pPr>
            <w:r w:rsidRPr="00022931">
              <w:rPr>
                <w:rFonts w:ascii="Arial" w:hAnsi="Arial" w:cs="Arial"/>
                <w:sz w:val="20"/>
                <w:szCs w:val="20"/>
              </w:rPr>
              <w:t>Pricing Band</w:t>
            </w:r>
          </w:p>
        </w:tc>
        <w:tc>
          <w:tcPr>
            <w:tcW w:w="5811" w:type="dxa"/>
            <w:tcMar/>
          </w:tcPr>
          <w:p w:rsidRPr="00022931" w:rsidR="00B64BE5" w:rsidP="00B64BE5" w:rsidRDefault="00B64BE5" w14:paraId="23ABC29B" w14:textId="19CD1BE5">
            <w:pPr>
              <w:pStyle w:val="Default"/>
              <w:spacing w:before="120" w:after="120" w:line="240" w:lineRule="atLeast"/>
              <w:rPr>
                <w:rFonts w:ascii="Arial" w:hAnsi="Arial" w:cs="Arial"/>
                <w:sz w:val="20"/>
                <w:szCs w:val="20"/>
              </w:rPr>
            </w:pPr>
            <w:r w:rsidRPr="00022931">
              <w:rPr>
                <w:rFonts w:ascii="Arial" w:hAnsi="Arial" w:cs="Arial"/>
                <w:sz w:val="20"/>
                <w:szCs w:val="20"/>
              </w:rPr>
              <w:t xml:space="preserve">means the pricing bands set out in the AC Annual Pricing Table for </w:t>
            </w:r>
            <w:r>
              <w:rPr>
                <w:rFonts w:ascii="Arial" w:hAnsi="Arial" w:cs="Arial"/>
                <w:sz w:val="20"/>
                <w:szCs w:val="20"/>
              </w:rPr>
              <w:t>SDA 7</w:t>
            </w:r>
            <w:r w:rsidRPr="00022931">
              <w:rPr>
                <w:rFonts w:ascii="Arial" w:hAnsi="Arial" w:cs="Arial"/>
                <w:sz w:val="20"/>
                <w:szCs w:val="20"/>
              </w:rPr>
              <w:t xml:space="preserve"> which will determine the AC payable for </w:t>
            </w:r>
            <w:r>
              <w:rPr>
                <w:rFonts w:ascii="Arial" w:hAnsi="Arial" w:cs="Arial"/>
                <w:sz w:val="20"/>
                <w:szCs w:val="20"/>
              </w:rPr>
              <w:t>SDA 7</w:t>
            </w:r>
            <w:r w:rsidRPr="00022931">
              <w:rPr>
                <w:rFonts w:ascii="Arial" w:hAnsi="Arial" w:cs="Arial"/>
                <w:sz w:val="20"/>
                <w:szCs w:val="20"/>
              </w:rPr>
              <w:t xml:space="preserve"> for a particular Contract Year.</w:t>
            </w:r>
          </w:p>
        </w:tc>
      </w:tr>
      <w:tr w:rsidRPr="00022931" w:rsidR="00B64BE5" w:rsidTr="23CD1BAD" w14:paraId="58F47942" w14:textId="7357F254">
        <w:tc>
          <w:tcPr>
            <w:tcW w:w="2547" w:type="dxa"/>
            <w:shd w:val="clear" w:color="auto" w:fill="F2F2F2" w:themeFill="background1" w:themeFillShade="F2"/>
            <w:tcMar/>
          </w:tcPr>
          <w:p w:rsidRPr="00022931" w:rsidR="00B64BE5" w:rsidP="00B64BE5" w:rsidRDefault="00B64BE5" w14:paraId="5DBB2933" w14:textId="14FB3A1F">
            <w:pPr>
              <w:pStyle w:val="Default"/>
              <w:spacing w:before="120" w:after="120" w:line="240" w:lineRule="atLeast"/>
              <w:rPr>
                <w:rFonts w:ascii="Arial" w:hAnsi="Arial" w:cs="Arial"/>
                <w:sz w:val="20"/>
                <w:szCs w:val="20"/>
              </w:rPr>
            </w:pPr>
            <w:r w:rsidRPr="00022931">
              <w:rPr>
                <w:rFonts w:ascii="Arial" w:hAnsi="Arial" w:cs="Arial"/>
                <w:sz w:val="20"/>
                <w:szCs w:val="20"/>
              </w:rPr>
              <w:t>Potential Termination Triggers</w:t>
            </w:r>
          </w:p>
        </w:tc>
        <w:tc>
          <w:tcPr>
            <w:tcW w:w="5811" w:type="dxa"/>
            <w:tcMar/>
          </w:tcPr>
          <w:p w:rsidRPr="00022931" w:rsidR="00B64BE5" w:rsidP="00B64BE5" w:rsidRDefault="00B64BE5" w14:paraId="70286696" w14:textId="180A6564">
            <w:pPr>
              <w:pStyle w:val="Default"/>
              <w:spacing w:before="120" w:after="120" w:line="240" w:lineRule="atLeast"/>
              <w:rPr>
                <w:rFonts w:ascii="Arial" w:hAnsi="Arial" w:cs="Arial"/>
                <w:sz w:val="20"/>
                <w:szCs w:val="20"/>
              </w:rPr>
            </w:pPr>
            <w:r w:rsidRPr="00022931">
              <w:rPr>
                <w:rFonts w:ascii="Arial" w:hAnsi="Arial" w:cs="Arial"/>
                <w:sz w:val="20"/>
                <w:szCs w:val="20"/>
              </w:rPr>
              <w:t xml:space="preserve">has the meaning given to it in Paragraph </w:t>
            </w:r>
            <w:r w:rsidRPr="00022931">
              <w:rPr>
                <w:rFonts w:ascii="Arial" w:hAnsi="Arial" w:cs="Arial"/>
                <w:sz w:val="20"/>
                <w:szCs w:val="20"/>
              </w:rPr>
              <w:fldChar w:fldCharType="begin"/>
            </w:r>
            <w:r w:rsidRPr="00022931">
              <w:rPr>
                <w:rFonts w:ascii="Arial" w:hAnsi="Arial" w:cs="Arial"/>
                <w:sz w:val="20"/>
                <w:szCs w:val="20"/>
              </w:rPr>
              <w:instrText xml:space="preserve"> REF _Ref87616698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6.4(a)</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Persistent Non-Performance Leading to Termination</w:t>
            </w:r>
            <w:proofErr w:type="gramStart"/>
            <w:r w:rsidRPr="00022931">
              <w:rPr>
                <w:rFonts w:ascii="Arial" w:hAnsi="Arial" w:cs="Arial"/>
                <w:sz w:val="20"/>
                <w:szCs w:val="20"/>
              </w:rPr>
              <w:t>).</w:t>
            </w:r>
            <w:proofErr w:type="gramEnd"/>
          </w:p>
        </w:tc>
      </w:tr>
      <w:tr w:rsidRPr="00022931" w:rsidR="00B64BE5" w:rsidTr="23CD1BAD" w14:paraId="2BF119A3" w14:textId="77777777">
        <w:tc>
          <w:tcPr>
            <w:tcW w:w="2547" w:type="dxa"/>
            <w:shd w:val="clear" w:color="auto" w:fill="F2F2F2" w:themeFill="background1" w:themeFillShade="F2"/>
            <w:tcMar/>
          </w:tcPr>
          <w:p w:rsidRPr="00022931" w:rsidR="00B64BE5" w:rsidP="00B64BE5" w:rsidRDefault="00B64BE5" w14:paraId="2F9029F4" w14:textId="6C6240D3">
            <w:pPr>
              <w:pStyle w:val="Default"/>
              <w:spacing w:before="120" w:after="120" w:line="240" w:lineRule="atLeast"/>
              <w:rPr>
                <w:rFonts w:ascii="Arial" w:hAnsi="Arial" w:cs="Arial"/>
                <w:sz w:val="20"/>
                <w:szCs w:val="20"/>
              </w:rPr>
            </w:pPr>
            <w:r w:rsidRPr="00022931">
              <w:rPr>
                <w:rFonts w:ascii="Arial" w:hAnsi="Arial" w:cs="Arial"/>
                <w:sz w:val="20"/>
                <w:szCs w:val="20"/>
              </w:rPr>
              <w:t>Profit Margin</w:t>
            </w:r>
          </w:p>
        </w:tc>
        <w:tc>
          <w:tcPr>
            <w:tcW w:w="5811" w:type="dxa"/>
            <w:tcMar/>
          </w:tcPr>
          <w:p w:rsidRPr="00022931" w:rsidR="00B64BE5" w:rsidP="0024502D" w:rsidRDefault="00B64BE5" w14:paraId="48A6394D" w14:textId="727B45AB">
            <w:pPr>
              <w:pStyle w:val="Default"/>
              <w:spacing w:before="120" w:after="120" w:line="240" w:lineRule="atLeast"/>
              <w:rPr>
                <w:rFonts w:ascii="Arial" w:hAnsi="Arial" w:cs="Arial"/>
                <w:sz w:val="20"/>
                <w:szCs w:val="20"/>
              </w:rPr>
            </w:pPr>
            <w:r w:rsidRPr="00022931">
              <w:rPr>
                <w:rFonts w:ascii="Arial" w:hAnsi="Arial" w:cs="Arial"/>
                <w:sz w:val="20"/>
                <w:szCs w:val="20"/>
              </w:rPr>
              <w:t xml:space="preserve">has the meaning given to it in the </w:t>
            </w:r>
            <w:r w:rsidR="0024502D">
              <w:rPr>
                <w:rFonts w:ascii="Arial" w:hAnsi="Arial" w:cs="Arial"/>
                <w:sz w:val="20"/>
                <w:szCs w:val="20"/>
              </w:rPr>
              <w:t xml:space="preserve">Monthly Financial Model provided as part of each Annual Financial </w:t>
            </w:r>
            <w:proofErr w:type="gramStart"/>
            <w:r w:rsidR="0024502D">
              <w:rPr>
                <w:rFonts w:ascii="Arial" w:hAnsi="Arial" w:cs="Arial"/>
                <w:sz w:val="20"/>
                <w:szCs w:val="20"/>
              </w:rPr>
              <w:t>Report.</w:t>
            </w:r>
            <w:proofErr w:type="gramEnd"/>
            <w:r w:rsidRPr="00022931">
              <w:rPr>
                <w:rFonts w:ascii="Arial" w:hAnsi="Arial" w:cs="Arial"/>
                <w:sz w:val="20"/>
                <w:szCs w:val="20"/>
              </w:rPr>
              <w:t xml:space="preserve"> </w:t>
            </w:r>
          </w:p>
        </w:tc>
      </w:tr>
      <w:tr w:rsidRPr="00022931" w:rsidR="00B64BE5" w:rsidTr="23CD1BAD" w14:paraId="11531DAA" w14:textId="77777777">
        <w:tc>
          <w:tcPr>
            <w:tcW w:w="2547" w:type="dxa"/>
            <w:shd w:val="clear" w:color="auto" w:fill="F2F2F2" w:themeFill="background1" w:themeFillShade="F2"/>
            <w:tcMar/>
          </w:tcPr>
          <w:p w:rsidRPr="00022931" w:rsidR="00B64BE5" w:rsidP="00B64BE5" w:rsidRDefault="00B64BE5" w14:paraId="1751528F" w14:textId="58A63329">
            <w:pPr>
              <w:pStyle w:val="Default"/>
              <w:spacing w:before="120" w:after="120" w:line="240" w:lineRule="atLeast"/>
              <w:rPr>
                <w:rFonts w:ascii="Arial" w:hAnsi="Arial" w:cs="Arial"/>
                <w:sz w:val="20"/>
                <w:szCs w:val="20"/>
              </w:rPr>
            </w:pPr>
            <w:r w:rsidRPr="00022931">
              <w:rPr>
                <w:rFonts w:ascii="Arial" w:hAnsi="Arial" w:cs="Arial"/>
                <w:sz w:val="20"/>
                <w:szCs w:val="20"/>
              </w:rPr>
              <w:t>Profit Share</w:t>
            </w:r>
          </w:p>
        </w:tc>
        <w:tc>
          <w:tcPr>
            <w:tcW w:w="5811" w:type="dxa"/>
            <w:tcMar/>
          </w:tcPr>
          <w:p w:rsidRPr="00022931" w:rsidR="00B64BE5" w:rsidP="00B64BE5" w:rsidRDefault="00B64BE5" w14:paraId="25D902F4" w14:textId="706376CA">
            <w:pPr>
              <w:pStyle w:val="Default"/>
              <w:spacing w:before="120" w:after="120" w:line="240" w:lineRule="atLeast"/>
              <w:rPr>
                <w:rFonts w:ascii="Arial" w:hAnsi="Arial" w:cs="Arial"/>
                <w:sz w:val="20"/>
                <w:szCs w:val="20"/>
              </w:rPr>
            </w:pPr>
            <w:r w:rsidRPr="00022931">
              <w:rPr>
                <w:rFonts w:ascii="Arial" w:hAnsi="Arial" w:cs="Arial"/>
                <w:sz w:val="20"/>
                <w:szCs w:val="20"/>
              </w:rPr>
              <w:t xml:space="preserve">means any amount due to the Authority </w:t>
            </w:r>
            <w:proofErr w:type="gramStart"/>
            <w:r w:rsidRPr="00022931">
              <w:rPr>
                <w:rFonts w:ascii="Arial" w:hAnsi="Arial" w:cs="Arial"/>
                <w:sz w:val="20"/>
                <w:szCs w:val="20"/>
              </w:rPr>
              <w:t>as a result of</w:t>
            </w:r>
            <w:proofErr w:type="gramEnd"/>
            <w:r w:rsidRPr="00022931">
              <w:rPr>
                <w:rFonts w:ascii="Arial" w:hAnsi="Arial" w:cs="Arial"/>
                <w:sz w:val="20"/>
                <w:szCs w:val="20"/>
              </w:rPr>
              <w:t xml:space="preserve"> the Profit Share Mechanism.</w:t>
            </w:r>
          </w:p>
        </w:tc>
      </w:tr>
      <w:tr w:rsidRPr="00022931" w:rsidR="00B64BE5" w:rsidTr="23CD1BAD" w14:paraId="0310E7AD" w14:textId="77777777">
        <w:tc>
          <w:tcPr>
            <w:tcW w:w="2547" w:type="dxa"/>
            <w:shd w:val="clear" w:color="auto" w:fill="F2F2F2" w:themeFill="background1" w:themeFillShade="F2"/>
            <w:tcMar/>
          </w:tcPr>
          <w:p w:rsidRPr="00022931" w:rsidR="00B64BE5" w:rsidP="00B64BE5" w:rsidRDefault="00B64BE5" w14:paraId="4C648DD4" w14:textId="1E4CEA72">
            <w:pPr>
              <w:pStyle w:val="Default"/>
              <w:spacing w:before="120" w:after="120" w:line="240" w:lineRule="atLeast"/>
              <w:rPr>
                <w:rFonts w:ascii="Arial" w:hAnsi="Arial" w:cs="Arial"/>
                <w:sz w:val="20"/>
                <w:szCs w:val="20"/>
              </w:rPr>
            </w:pPr>
            <w:r w:rsidRPr="00022931">
              <w:rPr>
                <w:rFonts w:ascii="Arial" w:hAnsi="Arial" w:cs="Arial"/>
                <w:sz w:val="20"/>
                <w:szCs w:val="20"/>
              </w:rPr>
              <w:lastRenderedPageBreak/>
              <w:t>Profit Share Mechanism</w:t>
            </w:r>
          </w:p>
        </w:tc>
        <w:tc>
          <w:tcPr>
            <w:tcW w:w="5811" w:type="dxa"/>
            <w:tcMar/>
          </w:tcPr>
          <w:p w:rsidRPr="00022931" w:rsidR="00B64BE5" w:rsidP="00B64BE5" w:rsidRDefault="00B64BE5" w14:paraId="48A1D262" w14:textId="76D7BD0D">
            <w:pPr>
              <w:pStyle w:val="Default"/>
              <w:spacing w:before="120" w:after="120" w:line="240" w:lineRule="atLeast"/>
              <w:rPr>
                <w:rFonts w:ascii="Arial" w:hAnsi="Arial" w:cs="Arial"/>
                <w:sz w:val="20"/>
                <w:szCs w:val="20"/>
              </w:rPr>
            </w:pPr>
            <w:r w:rsidRPr="00022931">
              <w:rPr>
                <w:rFonts w:ascii="Arial" w:hAnsi="Arial" w:cs="Arial"/>
                <w:sz w:val="20"/>
                <w:szCs w:val="20"/>
              </w:rPr>
              <w:t xml:space="preserve">means the mechanism pursuant to which Excess Margin is to be shared between the Authority and the Contractor as described in Paragraph </w:t>
            </w:r>
            <w:r w:rsidRPr="00022931">
              <w:rPr>
                <w:rFonts w:ascii="Arial" w:hAnsi="Arial" w:cs="Arial"/>
                <w:sz w:val="20"/>
                <w:szCs w:val="20"/>
              </w:rPr>
              <w:fldChar w:fldCharType="begin"/>
            </w:r>
            <w:r w:rsidRPr="00022931">
              <w:rPr>
                <w:rFonts w:ascii="Arial" w:hAnsi="Arial" w:cs="Arial"/>
                <w:sz w:val="20"/>
                <w:szCs w:val="20"/>
              </w:rPr>
              <w:instrText xml:space="preserve"> REF _Ref82690709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7.1</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Profit Share Mechanism</w:t>
            </w:r>
            <w:r w:rsidRPr="00022931">
              <w:rPr>
                <w:rFonts w:ascii="Arial" w:hAnsi="Arial" w:cs="Arial"/>
                <w:sz w:val="20"/>
                <w:szCs w:val="20"/>
              </w:rPr>
              <w:t>).</w:t>
            </w:r>
          </w:p>
        </w:tc>
      </w:tr>
      <w:tr w:rsidRPr="00022931" w:rsidR="00B64BE5" w:rsidTr="23CD1BAD" w14:paraId="2BDF345A" w14:textId="77777777">
        <w:tc>
          <w:tcPr>
            <w:tcW w:w="2547" w:type="dxa"/>
            <w:shd w:val="clear" w:color="auto" w:fill="F2F2F2" w:themeFill="background1" w:themeFillShade="F2"/>
            <w:tcMar/>
          </w:tcPr>
          <w:p w:rsidRPr="00022931" w:rsidR="00B64BE5" w:rsidP="00B64BE5" w:rsidRDefault="00B64BE5" w14:paraId="3BC40836"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Profit Share Percentages</w:t>
            </w:r>
          </w:p>
        </w:tc>
        <w:tc>
          <w:tcPr>
            <w:tcW w:w="5811" w:type="dxa"/>
            <w:tcMar/>
          </w:tcPr>
          <w:p w:rsidRPr="00022931" w:rsidR="00B64BE5" w:rsidP="00B64BE5" w:rsidRDefault="00B64BE5" w14:paraId="6A7BD675" w14:textId="32D122E9">
            <w:pPr>
              <w:pStyle w:val="Default"/>
              <w:spacing w:before="120" w:after="120" w:line="240" w:lineRule="atLeast"/>
              <w:jc w:val="left"/>
              <w:rPr>
                <w:rFonts w:ascii="Arial" w:hAnsi="Arial" w:cs="Arial"/>
                <w:sz w:val="20"/>
                <w:szCs w:val="20"/>
              </w:rPr>
            </w:pPr>
            <w:r w:rsidRPr="00022931">
              <w:rPr>
                <w:rFonts w:ascii="Arial" w:hAnsi="Arial" w:cs="Arial"/>
                <w:sz w:val="20"/>
                <w:szCs w:val="20"/>
              </w:rPr>
              <w:t>means the profit share percentages which will determine the Profit Share under the Profit Share Mechanism</w:t>
            </w:r>
          </w:p>
        </w:tc>
      </w:tr>
      <w:tr w:rsidRPr="00022931" w:rsidR="00B64BE5" w:rsidTr="23CD1BAD" w14:paraId="1841BE11" w14:textId="77777777">
        <w:tc>
          <w:tcPr>
            <w:tcW w:w="2547" w:type="dxa"/>
            <w:shd w:val="clear" w:color="auto" w:fill="F2F2F2" w:themeFill="background1" w:themeFillShade="F2"/>
            <w:tcMar/>
          </w:tcPr>
          <w:p w:rsidRPr="00022931" w:rsidR="00B64BE5" w:rsidP="00B64BE5" w:rsidRDefault="00B64BE5" w14:paraId="2CE81F1D"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Profit Share Table</w:t>
            </w:r>
          </w:p>
        </w:tc>
        <w:tc>
          <w:tcPr>
            <w:tcW w:w="5811" w:type="dxa"/>
            <w:tcMar/>
          </w:tcPr>
          <w:p w:rsidRPr="00AF24F8" w:rsidR="00B64BE5" w:rsidP="00B64BE5" w:rsidRDefault="00B64BE5" w14:paraId="3BED4375" w14:textId="3D0FABF5">
            <w:pPr>
              <w:pStyle w:val="Default"/>
              <w:spacing w:before="120" w:after="120" w:line="240" w:lineRule="atLeast"/>
              <w:jc w:val="left"/>
              <w:rPr>
                <w:rFonts w:ascii="Arial" w:hAnsi="Arial" w:cs="Arial"/>
              </w:rPr>
            </w:pPr>
            <w:r w:rsidRPr="00022931">
              <w:rPr>
                <w:rFonts w:ascii="Arial" w:hAnsi="Arial" w:cs="Arial"/>
                <w:sz w:val="20"/>
                <w:szCs w:val="20"/>
              </w:rPr>
              <w:t xml:space="preserve">means the table setting out the Profit Share Thresholds and Profit Share Percentages as set out in Paragraph </w:t>
            </w:r>
            <w:r w:rsidRPr="00022931">
              <w:rPr>
                <w:rFonts w:ascii="Arial" w:hAnsi="Arial" w:cs="Arial"/>
                <w:sz w:val="20"/>
                <w:szCs w:val="20"/>
              </w:rPr>
              <w:fldChar w:fldCharType="begin"/>
            </w:r>
            <w:r w:rsidRPr="00022931">
              <w:rPr>
                <w:rFonts w:ascii="Arial" w:hAnsi="Arial" w:cs="Arial"/>
                <w:sz w:val="20"/>
                <w:szCs w:val="20"/>
              </w:rPr>
              <w:instrText xml:space="preserve"> REF _Ref87617020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7.3(a)</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Profit Thresholds</w:t>
            </w:r>
            <w:r w:rsidRPr="00022931">
              <w:rPr>
                <w:rFonts w:ascii="Arial" w:hAnsi="Arial" w:cs="Arial"/>
                <w:sz w:val="20"/>
                <w:szCs w:val="20"/>
              </w:rPr>
              <w:t>).</w:t>
            </w:r>
          </w:p>
        </w:tc>
      </w:tr>
      <w:tr w:rsidRPr="00022931" w:rsidR="00B64BE5" w:rsidTr="23CD1BAD" w14:paraId="5B925718" w14:textId="77777777">
        <w:tc>
          <w:tcPr>
            <w:tcW w:w="2547" w:type="dxa"/>
            <w:shd w:val="clear" w:color="auto" w:fill="F2F2F2" w:themeFill="background1" w:themeFillShade="F2"/>
            <w:tcMar/>
          </w:tcPr>
          <w:p w:rsidRPr="00022931" w:rsidR="00B64BE5" w:rsidP="00B64BE5" w:rsidRDefault="00B64BE5" w14:paraId="2D254E7F"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Profit Share Thresholds</w:t>
            </w:r>
          </w:p>
        </w:tc>
        <w:tc>
          <w:tcPr>
            <w:tcW w:w="5811" w:type="dxa"/>
            <w:tcMar/>
          </w:tcPr>
          <w:p w:rsidRPr="00022931" w:rsidR="00B64BE5" w:rsidP="00B64BE5" w:rsidRDefault="00B64BE5" w14:paraId="0B411A15" w14:textId="79532B59">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means the amounts set out in the table in Paragraph </w:t>
            </w:r>
            <w:r w:rsidRPr="00022931">
              <w:rPr>
                <w:rFonts w:ascii="Arial" w:hAnsi="Arial" w:cs="Arial"/>
                <w:sz w:val="20"/>
                <w:szCs w:val="20"/>
              </w:rPr>
              <w:fldChar w:fldCharType="begin"/>
            </w:r>
            <w:r w:rsidRPr="00022931">
              <w:rPr>
                <w:rFonts w:ascii="Arial" w:hAnsi="Arial" w:cs="Arial"/>
                <w:sz w:val="20"/>
                <w:szCs w:val="20"/>
              </w:rPr>
              <w:instrText xml:space="preserve"> REF _Ref82722967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7.2(e)</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Profit Thresholds</w:t>
            </w:r>
            <w:r w:rsidRPr="00022931">
              <w:rPr>
                <w:rFonts w:ascii="Arial" w:hAnsi="Arial" w:cs="Arial"/>
                <w:sz w:val="20"/>
                <w:szCs w:val="20"/>
              </w:rPr>
              <w:t>).</w:t>
            </w:r>
          </w:p>
        </w:tc>
      </w:tr>
      <w:tr w:rsidRPr="00022931" w:rsidR="00B64BE5" w:rsidTr="23CD1BAD" w14:paraId="194DC340" w14:textId="77777777">
        <w:tc>
          <w:tcPr>
            <w:tcW w:w="2547" w:type="dxa"/>
            <w:shd w:val="clear" w:color="auto" w:fill="F2F2F2" w:themeFill="background1" w:themeFillShade="F2"/>
            <w:tcMar/>
          </w:tcPr>
          <w:p w:rsidRPr="00022931" w:rsidR="00B64BE5" w:rsidP="00B64BE5" w:rsidRDefault="00B64BE5" w14:paraId="7F17B8CF" w14:textId="71E7A7D2">
            <w:pPr>
              <w:pStyle w:val="BodyText"/>
              <w:spacing w:before="120" w:after="120" w:line="240" w:lineRule="atLeast"/>
              <w:jc w:val="left"/>
              <w:rPr>
                <w:rFonts w:cs="Arial"/>
              </w:rPr>
            </w:pPr>
            <w:r w:rsidRPr="00022931">
              <w:rPr>
                <w:rFonts w:cs="Arial"/>
              </w:rPr>
              <w:t xml:space="preserve">Quality Management Plan </w:t>
            </w:r>
          </w:p>
        </w:tc>
        <w:tc>
          <w:tcPr>
            <w:tcW w:w="5811" w:type="dxa"/>
            <w:tcMar/>
          </w:tcPr>
          <w:p w:rsidRPr="00022931" w:rsidR="00B64BE5" w:rsidDel="00810562" w:rsidP="00B64BE5" w:rsidRDefault="00B64BE5" w14:paraId="4C19EAB3" w14:textId="2B35B9C2">
            <w:pPr>
              <w:pStyle w:val="Default"/>
              <w:spacing w:before="120" w:after="120" w:line="240" w:lineRule="atLeast"/>
              <w:jc w:val="left"/>
              <w:rPr>
                <w:rFonts w:ascii="Arial" w:hAnsi="Arial" w:cs="Arial"/>
                <w:sz w:val="20"/>
                <w:szCs w:val="20"/>
              </w:rPr>
            </w:pPr>
            <w:r>
              <w:rPr>
                <w:rFonts w:ascii="Arial" w:hAnsi="Arial" w:cs="Arial"/>
                <w:sz w:val="20"/>
                <w:szCs w:val="20"/>
              </w:rPr>
              <w:t>means the plan prepared and implemented by the Contractor as part of Schedule 3 (</w:t>
            </w:r>
            <w:r>
              <w:rPr>
                <w:rFonts w:ascii="Arial" w:hAnsi="Arial" w:cs="Arial"/>
                <w:i/>
                <w:sz w:val="20"/>
                <w:szCs w:val="20"/>
              </w:rPr>
              <w:t>Service Delivery Plan</w:t>
            </w:r>
            <w:r>
              <w:rPr>
                <w:rFonts w:ascii="Arial" w:hAnsi="Arial" w:cs="Arial"/>
                <w:sz w:val="20"/>
                <w:szCs w:val="20"/>
              </w:rPr>
              <w:t>) for the maintenance of the quality of its delivery of the Services.</w:t>
            </w:r>
          </w:p>
        </w:tc>
      </w:tr>
      <w:tr w:rsidRPr="00022931" w:rsidR="00B64BE5" w:rsidTr="23CD1BAD" w14:paraId="288738E1" w14:textId="3BA628B0">
        <w:tc>
          <w:tcPr>
            <w:tcW w:w="2547" w:type="dxa"/>
            <w:shd w:val="clear" w:color="auto" w:fill="F2F2F2" w:themeFill="background1" w:themeFillShade="F2"/>
            <w:tcMar/>
          </w:tcPr>
          <w:p w:rsidRPr="00022931" w:rsidR="00B64BE5" w:rsidP="00B64BE5" w:rsidRDefault="00B64BE5" w14:paraId="623A5FBB" w14:textId="478DB04E">
            <w:pPr>
              <w:pStyle w:val="Default"/>
              <w:spacing w:before="120" w:after="120" w:line="240" w:lineRule="atLeast"/>
              <w:rPr>
                <w:rFonts w:ascii="Arial" w:hAnsi="Arial" w:cs="Arial"/>
                <w:sz w:val="20"/>
                <w:szCs w:val="20"/>
              </w:rPr>
            </w:pPr>
            <w:r w:rsidRPr="00022931">
              <w:rPr>
                <w:rFonts w:ascii="Arial" w:hAnsi="Arial" w:cs="Arial"/>
                <w:sz w:val="20"/>
                <w:szCs w:val="20"/>
              </w:rPr>
              <w:t>Quality Element</w:t>
            </w:r>
          </w:p>
        </w:tc>
        <w:tc>
          <w:tcPr>
            <w:tcW w:w="5811" w:type="dxa"/>
            <w:tcMar/>
          </w:tcPr>
          <w:p w:rsidRPr="00022931" w:rsidR="00B64BE5" w:rsidP="00B64BE5" w:rsidRDefault="00B64BE5" w14:paraId="7477871C" w14:textId="16DC24A0">
            <w:pPr>
              <w:pStyle w:val="Default"/>
              <w:spacing w:before="120" w:after="120" w:line="240" w:lineRule="atLeast"/>
              <w:rPr>
                <w:rFonts w:ascii="Arial" w:hAnsi="Arial" w:cs="Arial"/>
                <w:sz w:val="20"/>
                <w:szCs w:val="20"/>
              </w:rPr>
            </w:pPr>
            <w:r w:rsidRPr="00022931">
              <w:rPr>
                <w:rFonts w:ascii="Arial" w:hAnsi="Arial" w:cs="Arial"/>
                <w:sz w:val="20"/>
                <w:szCs w:val="20"/>
              </w:rPr>
              <w:t xml:space="preserve">has the meaning given to it in Paragraph </w:t>
            </w:r>
            <w:r w:rsidRPr="00022931">
              <w:rPr>
                <w:rFonts w:ascii="Arial" w:hAnsi="Arial" w:cs="Arial"/>
                <w:sz w:val="20"/>
                <w:szCs w:val="20"/>
              </w:rPr>
              <w:fldChar w:fldCharType="begin"/>
            </w:r>
            <w:r w:rsidRPr="00022931">
              <w:rPr>
                <w:rFonts w:ascii="Arial" w:hAnsi="Arial" w:cs="Arial"/>
                <w:sz w:val="20"/>
                <w:szCs w:val="20"/>
              </w:rPr>
              <w:instrText xml:space="preserve"> REF _Ref89421180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3.6(a)(ii)</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Management Information KPI (KPI 2) – Definition and Measurement</w:t>
            </w:r>
            <w:r w:rsidRPr="00022931">
              <w:rPr>
                <w:rFonts w:ascii="Arial" w:hAnsi="Arial" w:cs="Arial"/>
                <w:sz w:val="20"/>
                <w:szCs w:val="20"/>
              </w:rPr>
              <w:t xml:space="preserve">) </w:t>
            </w:r>
          </w:p>
        </w:tc>
      </w:tr>
      <w:tr w:rsidRPr="00022931" w:rsidR="00B64BE5" w:rsidTr="23CD1BAD" w14:paraId="2A994239" w14:textId="60AE45EC">
        <w:tc>
          <w:tcPr>
            <w:tcW w:w="2547" w:type="dxa"/>
            <w:shd w:val="clear" w:color="auto" w:fill="F2F2F2" w:themeFill="background1" w:themeFillShade="F2"/>
            <w:tcMar/>
          </w:tcPr>
          <w:p w:rsidRPr="00022931" w:rsidR="00B64BE5" w:rsidP="00B64BE5" w:rsidRDefault="00B64BE5" w14:paraId="58CDBA6D" w14:textId="4AD42A9A">
            <w:pPr>
              <w:pStyle w:val="Default"/>
              <w:spacing w:before="120" w:after="120" w:line="240" w:lineRule="atLeast"/>
              <w:rPr>
                <w:rFonts w:ascii="Arial" w:hAnsi="Arial" w:cs="Arial"/>
                <w:sz w:val="20"/>
                <w:szCs w:val="20"/>
              </w:rPr>
            </w:pPr>
            <w:r w:rsidRPr="00022931">
              <w:rPr>
                <w:rFonts w:ascii="Arial" w:hAnsi="Arial" w:cs="Arial"/>
                <w:sz w:val="20"/>
                <w:szCs w:val="20"/>
              </w:rPr>
              <w:t xml:space="preserve">Quality Criteria </w:t>
            </w:r>
          </w:p>
        </w:tc>
        <w:tc>
          <w:tcPr>
            <w:tcW w:w="5811" w:type="dxa"/>
            <w:tcMar/>
          </w:tcPr>
          <w:p w:rsidRPr="00022931" w:rsidR="00B64BE5" w:rsidP="00B64BE5" w:rsidRDefault="00B64BE5" w14:paraId="61741114" w14:textId="781D0985">
            <w:pPr>
              <w:pStyle w:val="Default"/>
              <w:spacing w:before="120" w:after="120" w:line="240" w:lineRule="atLeast"/>
              <w:rPr>
                <w:rFonts w:ascii="Arial" w:hAnsi="Arial" w:cs="Arial"/>
                <w:sz w:val="20"/>
                <w:szCs w:val="20"/>
              </w:rPr>
            </w:pPr>
            <w:r>
              <w:rPr>
                <w:rFonts w:ascii="Arial" w:hAnsi="Arial" w:cs="Arial"/>
                <w:sz w:val="20"/>
                <w:szCs w:val="20"/>
              </w:rPr>
              <w:t>means that the Contractor:</w:t>
            </w:r>
          </w:p>
          <w:p w:rsidRPr="00AF24F8" w:rsidR="00B64BE5" w:rsidP="00B64BE5" w:rsidRDefault="00B64BE5" w14:paraId="614A778D" w14:textId="3158B159">
            <w:pPr>
              <w:pStyle w:val="Heading3"/>
              <w:numPr>
                <w:ilvl w:val="2"/>
                <w:numId w:val="46"/>
              </w:numPr>
              <w:outlineLvl w:val="2"/>
            </w:pPr>
            <w:r>
              <w:t xml:space="preserve">completes Tasks </w:t>
            </w:r>
            <w:r w:rsidRPr="00AF24F8">
              <w:t xml:space="preserve">in accordance with the Quality Management </w:t>
            </w:r>
            <w:proofErr w:type="gramStart"/>
            <w:r w:rsidRPr="00AF24F8">
              <w:t>Plan;</w:t>
            </w:r>
            <w:proofErr w:type="gramEnd"/>
            <w:r>
              <w:t xml:space="preserve"> </w:t>
            </w:r>
          </w:p>
          <w:p w:rsidR="00B64BE5" w:rsidP="00B64BE5" w:rsidRDefault="00B64BE5" w14:paraId="6B7B91C8" w14:textId="32986D10">
            <w:pPr>
              <w:pStyle w:val="Heading3"/>
              <w:numPr>
                <w:ilvl w:val="2"/>
                <w:numId w:val="8"/>
              </w:numPr>
              <w:outlineLvl w:val="2"/>
              <w:rPr>
                <w:szCs w:val="20"/>
              </w:rPr>
            </w:pPr>
            <w:r>
              <w:rPr>
                <w:szCs w:val="20"/>
              </w:rPr>
              <w:t>completes Tasks</w:t>
            </w:r>
            <w:r w:rsidRPr="00AF24F8">
              <w:rPr>
                <w:szCs w:val="20"/>
              </w:rPr>
              <w:t xml:space="preserve"> in accordance with the </w:t>
            </w:r>
            <w:r w:rsidRPr="00141084">
              <w:rPr>
                <w:szCs w:val="20"/>
              </w:rPr>
              <w:t>Tasking Procedures</w:t>
            </w:r>
            <w:r>
              <w:rPr>
                <w:szCs w:val="20"/>
              </w:rPr>
              <w:t>; and</w:t>
            </w:r>
          </w:p>
          <w:p w:rsidRPr="00F131B6" w:rsidR="00B64BE5" w:rsidP="00B64BE5" w:rsidRDefault="00B64BE5" w14:paraId="6775BB24" w14:textId="40151129">
            <w:pPr>
              <w:pStyle w:val="Heading3"/>
              <w:numPr>
                <w:ilvl w:val="2"/>
                <w:numId w:val="8"/>
              </w:numPr>
              <w:outlineLvl w:val="2"/>
            </w:pPr>
            <w:r w:rsidRPr="007E47FA">
              <w:rPr>
                <w:szCs w:val="20"/>
              </w:rPr>
              <w:t>complies</w:t>
            </w:r>
            <w:r>
              <w:t xml:space="preserve"> with its obligations under Paragraph </w:t>
            </w:r>
            <w:r>
              <w:fldChar w:fldCharType="begin"/>
            </w:r>
            <w:r>
              <w:instrText xml:space="preserve"> REF _Ref108791762 \r \h </w:instrText>
            </w:r>
            <w:r>
              <w:fldChar w:fldCharType="separate"/>
            </w:r>
            <w:r w:rsidR="004458E3">
              <w:t>3.3</w:t>
            </w:r>
            <w:r>
              <w:fldChar w:fldCharType="end"/>
            </w:r>
            <w:r>
              <w:t xml:space="preserve"> (</w:t>
            </w:r>
            <w:r>
              <w:rPr>
                <w:i/>
              </w:rPr>
              <w:t>Feedback from End Users</w:t>
            </w:r>
            <w:r>
              <w:t>).</w:t>
            </w:r>
          </w:p>
        </w:tc>
      </w:tr>
      <w:tr w:rsidRPr="00022931" w:rsidR="00B64BE5" w:rsidTr="23CD1BAD" w14:paraId="5E4FB09F" w14:textId="77777777">
        <w:tc>
          <w:tcPr>
            <w:tcW w:w="2547" w:type="dxa"/>
            <w:shd w:val="clear" w:color="auto" w:fill="F2F2F2" w:themeFill="background1" w:themeFillShade="F2"/>
            <w:tcMar/>
          </w:tcPr>
          <w:p w:rsidRPr="00022931" w:rsidR="00B64BE5" w:rsidP="00B64BE5" w:rsidRDefault="00B64BE5" w14:paraId="7C005759" w14:textId="427449DA">
            <w:pPr>
              <w:pStyle w:val="Default"/>
              <w:spacing w:before="120" w:after="120" w:line="240" w:lineRule="atLeast"/>
              <w:rPr>
                <w:rFonts w:ascii="Arial" w:hAnsi="Arial" w:cs="Arial"/>
                <w:sz w:val="20"/>
                <w:szCs w:val="20"/>
              </w:rPr>
            </w:pPr>
            <w:r w:rsidRPr="00022931">
              <w:rPr>
                <w:rFonts w:ascii="Arial" w:hAnsi="Arial" w:cs="Arial"/>
                <w:sz w:val="20"/>
                <w:szCs w:val="20"/>
              </w:rPr>
              <w:t>Safety Criteria</w:t>
            </w:r>
          </w:p>
        </w:tc>
        <w:tc>
          <w:tcPr>
            <w:tcW w:w="5811" w:type="dxa"/>
            <w:tcMar/>
          </w:tcPr>
          <w:p w:rsidRPr="00022931" w:rsidR="00B64BE5" w:rsidP="00B64BE5" w:rsidRDefault="00B64BE5" w14:paraId="6915D527" w14:textId="16A2D342">
            <w:pPr>
              <w:pStyle w:val="Default"/>
              <w:spacing w:before="120" w:after="120" w:line="240" w:lineRule="atLeast"/>
              <w:rPr>
                <w:rFonts w:ascii="Arial" w:hAnsi="Arial" w:cs="Arial"/>
                <w:sz w:val="20"/>
                <w:szCs w:val="20"/>
              </w:rPr>
            </w:pPr>
            <w:r w:rsidRPr="00022931">
              <w:rPr>
                <w:rFonts w:ascii="Arial" w:hAnsi="Arial" w:cs="Arial"/>
                <w:sz w:val="20"/>
                <w:szCs w:val="20"/>
              </w:rPr>
              <w:t>means, with respect to any Task that:</w:t>
            </w:r>
          </w:p>
          <w:p w:rsidRPr="00022931" w:rsidR="00B64BE5" w:rsidP="00B64BE5" w:rsidRDefault="00B64BE5" w14:paraId="7CDDF193" w14:textId="6B1EB1DD">
            <w:pPr>
              <w:pStyle w:val="Heading3"/>
              <w:numPr>
                <w:ilvl w:val="2"/>
                <w:numId w:val="19"/>
              </w:numPr>
              <w:outlineLvl w:val="2"/>
              <w:rPr>
                <w:szCs w:val="20"/>
              </w:rPr>
            </w:pPr>
            <w:r w:rsidRPr="00022931">
              <w:rPr>
                <w:szCs w:val="20"/>
              </w:rPr>
              <w:t xml:space="preserve">it is completed in accordance with the </w:t>
            </w:r>
            <w:r w:rsidRPr="00141084">
              <w:rPr>
                <w:szCs w:val="20"/>
              </w:rPr>
              <w:t xml:space="preserve">Heath, Safety and Environmental Protection </w:t>
            </w:r>
            <w:proofErr w:type="gramStart"/>
            <w:r w:rsidRPr="00141084">
              <w:rPr>
                <w:szCs w:val="20"/>
              </w:rPr>
              <w:t>Plan</w:t>
            </w:r>
            <w:r w:rsidRPr="00022931">
              <w:rPr>
                <w:szCs w:val="20"/>
              </w:rPr>
              <w:t>;</w:t>
            </w:r>
            <w:proofErr w:type="gramEnd"/>
            <w:r w:rsidRPr="00022931">
              <w:rPr>
                <w:szCs w:val="20"/>
              </w:rPr>
              <w:t xml:space="preserve"> </w:t>
            </w:r>
          </w:p>
          <w:p w:rsidR="00B64BE5" w:rsidP="00B64BE5" w:rsidRDefault="00B64BE5" w14:paraId="562C0D8C" w14:textId="77777777">
            <w:pPr>
              <w:pStyle w:val="Heading3"/>
              <w:numPr>
                <w:ilvl w:val="2"/>
                <w:numId w:val="8"/>
              </w:numPr>
              <w:outlineLvl w:val="2"/>
              <w:rPr>
                <w:szCs w:val="20"/>
              </w:rPr>
            </w:pPr>
            <w:r w:rsidRPr="00022931">
              <w:rPr>
                <w:szCs w:val="20"/>
              </w:rPr>
              <w:t>it is completed in accordance with applicable Laws and Standards</w:t>
            </w:r>
            <w:r>
              <w:rPr>
                <w:szCs w:val="20"/>
              </w:rPr>
              <w:t>; and</w:t>
            </w:r>
          </w:p>
          <w:p w:rsidRPr="00022931" w:rsidR="00B64BE5" w:rsidP="00B64BE5" w:rsidRDefault="00B64BE5" w14:paraId="3423D92F" w14:textId="139A534A">
            <w:pPr>
              <w:pStyle w:val="Heading3"/>
              <w:numPr>
                <w:ilvl w:val="2"/>
                <w:numId w:val="8"/>
              </w:numPr>
              <w:outlineLvl w:val="2"/>
              <w:rPr>
                <w:szCs w:val="20"/>
              </w:rPr>
            </w:pPr>
            <w:r w:rsidRPr="00AF24F8">
              <w:rPr>
                <w:szCs w:val="20"/>
              </w:rPr>
              <w:t xml:space="preserve">it is completed in accordance with the Safety </w:t>
            </w:r>
            <w:r w:rsidRPr="00AF24F8">
              <w:t>Management</w:t>
            </w:r>
            <w:r w:rsidRPr="00AF24F8">
              <w:rPr>
                <w:szCs w:val="20"/>
              </w:rPr>
              <w:t xml:space="preserve"> System</w:t>
            </w:r>
          </w:p>
        </w:tc>
      </w:tr>
      <w:tr w:rsidRPr="00022931" w:rsidR="00B64BE5" w:rsidDel="00AE0843" w:rsidTr="23CD1BAD" w14:paraId="76D47CD4" w14:textId="77777777">
        <w:tc>
          <w:tcPr>
            <w:tcW w:w="2547" w:type="dxa"/>
            <w:shd w:val="clear" w:color="auto" w:fill="F2F2F2" w:themeFill="background1" w:themeFillShade="F2"/>
            <w:tcMar/>
          </w:tcPr>
          <w:p w:rsidRPr="00022931" w:rsidR="00B64BE5" w:rsidP="00B64BE5" w:rsidRDefault="00B64BE5" w14:paraId="1F2CB27F" w14:textId="3BBADAC2">
            <w:pPr>
              <w:pStyle w:val="Default"/>
              <w:spacing w:before="120" w:after="120" w:line="240" w:lineRule="atLeast"/>
              <w:rPr>
                <w:rFonts w:ascii="Arial" w:hAnsi="Arial" w:cs="Arial"/>
                <w:sz w:val="20"/>
                <w:szCs w:val="20"/>
              </w:rPr>
            </w:pPr>
            <w:r>
              <w:rPr>
                <w:rFonts w:ascii="Arial" w:hAnsi="Arial" w:cs="Arial"/>
                <w:sz w:val="20"/>
                <w:szCs w:val="20"/>
              </w:rPr>
              <w:t xml:space="preserve">SDA 7 AC Due </w:t>
            </w:r>
          </w:p>
        </w:tc>
        <w:tc>
          <w:tcPr>
            <w:tcW w:w="5811" w:type="dxa"/>
            <w:tcMar/>
          </w:tcPr>
          <w:p w:rsidRPr="00022931" w:rsidR="00B64BE5" w:rsidP="00B64BE5" w:rsidRDefault="00B64BE5" w14:paraId="10C87F9E" w14:textId="4CE69EFB">
            <w:pPr>
              <w:pStyle w:val="Default"/>
              <w:spacing w:before="120" w:after="120" w:line="240" w:lineRule="atLeast"/>
              <w:rPr>
                <w:rFonts w:ascii="Arial" w:hAnsi="Arial" w:cs="Arial"/>
                <w:sz w:val="20"/>
                <w:szCs w:val="20"/>
              </w:rPr>
            </w:pPr>
            <w:r w:rsidRPr="00AF24F8">
              <w:rPr>
                <w:rFonts w:ascii="Arial" w:hAnsi="Arial" w:cs="Arial"/>
                <w:sz w:val="20"/>
                <w:szCs w:val="20"/>
              </w:rPr>
              <w:t xml:space="preserve">has the meaning given to it in Paragraph </w:t>
            </w:r>
            <w:r w:rsidRPr="00AF24F8">
              <w:rPr>
                <w:rFonts w:ascii="Arial" w:hAnsi="Arial" w:cs="Arial"/>
                <w:sz w:val="20"/>
                <w:szCs w:val="20"/>
              </w:rPr>
              <w:fldChar w:fldCharType="begin"/>
            </w:r>
            <w:r w:rsidRPr="00AF24F8">
              <w:rPr>
                <w:rFonts w:ascii="Arial" w:hAnsi="Arial" w:cs="Arial"/>
                <w:sz w:val="20"/>
                <w:szCs w:val="20"/>
              </w:rPr>
              <w:instrText xml:space="preserve"> REF _Ref90663036 \r \h </w:instrText>
            </w:r>
            <w:r w:rsidRPr="008B7936">
              <w:rPr>
                <w:rFonts w:ascii="Arial" w:hAnsi="Arial" w:cs="Arial"/>
                <w:sz w:val="20"/>
                <w:szCs w:val="20"/>
              </w:rPr>
              <w:instrText xml:space="preserve"> \* MERGEFORMAT </w:instrText>
            </w:r>
            <w:r w:rsidRPr="00AF24F8">
              <w:rPr>
                <w:rFonts w:ascii="Arial" w:hAnsi="Arial" w:cs="Arial"/>
                <w:sz w:val="20"/>
                <w:szCs w:val="20"/>
              </w:rPr>
            </w:r>
            <w:r w:rsidRPr="00AF24F8">
              <w:rPr>
                <w:rFonts w:ascii="Arial" w:hAnsi="Arial" w:cs="Arial"/>
                <w:sz w:val="20"/>
                <w:szCs w:val="20"/>
              </w:rPr>
              <w:fldChar w:fldCharType="separate"/>
            </w:r>
            <w:r w:rsidR="004458E3">
              <w:rPr>
                <w:rFonts w:ascii="Arial" w:hAnsi="Arial" w:cs="Arial"/>
                <w:sz w:val="20"/>
                <w:szCs w:val="20"/>
              </w:rPr>
              <w:t>2.6(a)(iv)</w:t>
            </w:r>
            <w:r w:rsidRPr="00AF24F8">
              <w:rPr>
                <w:rFonts w:ascii="Arial" w:hAnsi="Arial" w:cs="Arial"/>
                <w:sz w:val="20"/>
                <w:szCs w:val="20"/>
              </w:rPr>
              <w:fldChar w:fldCharType="end"/>
            </w:r>
            <w:r w:rsidRPr="00AF24F8">
              <w:rPr>
                <w:rFonts w:ascii="Arial" w:hAnsi="Arial" w:cs="Arial"/>
                <w:sz w:val="20"/>
                <w:szCs w:val="20"/>
              </w:rPr>
              <w:t>(</w:t>
            </w:r>
            <w:r>
              <w:rPr>
                <w:rFonts w:ascii="Arial" w:hAnsi="Arial" w:cs="Arial"/>
                <w:i/>
                <w:sz w:val="20"/>
                <w:szCs w:val="20"/>
              </w:rPr>
              <w:t xml:space="preserve">Task </w:t>
            </w:r>
            <w:r w:rsidRPr="00AF24F8">
              <w:rPr>
                <w:rFonts w:ascii="Arial" w:hAnsi="Arial" w:cs="Arial"/>
                <w:i/>
                <w:sz w:val="20"/>
                <w:szCs w:val="20"/>
              </w:rPr>
              <w:t>Volume</w:t>
            </w:r>
            <w:r>
              <w:rPr>
                <w:rFonts w:ascii="Arial" w:hAnsi="Arial" w:cs="Arial"/>
                <w:i/>
                <w:sz w:val="20"/>
                <w:szCs w:val="20"/>
              </w:rPr>
              <w:t>s</w:t>
            </w:r>
            <w:r w:rsidRPr="00AF24F8">
              <w:rPr>
                <w:rFonts w:ascii="Arial" w:hAnsi="Arial" w:cs="Arial"/>
                <w:i/>
                <w:sz w:val="20"/>
                <w:szCs w:val="20"/>
              </w:rPr>
              <w:t xml:space="preserve"> and the Annual Rectification </w:t>
            </w:r>
            <w:proofErr w:type="gramStart"/>
            <w:r w:rsidRPr="00AF24F8">
              <w:rPr>
                <w:rFonts w:ascii="Arial" w:hAnsi="Arial" w:cs="Arial"/>
                <w:i/>
                <w:sz w:val="20"/>
                <w:szCs w:val="20"/>
              </w:rPr>
              <w:t>Process</w:t>
            </w:r>
            <w:r w:rsidRPr="00AF24F8">
              <w:rPr>
                <w:rFonts w:ascii="Arial" w:hAnsi="Arial" w:cs="Arial"/>
                <w:sz w:val="20"/>
                <w:szCs w:val="20"/>
              </w:rPr>
              <w:t>).</w:t>
            </w:r>
            <w:proofErr w:type="gramEnd"/>
          </w:p>
        </w:tc>
      </w:tr>
      <w:tr w:rsidRPr="00022931" w:rsidR="00B64BE5" w:rsidDel="00AE0843" w:rsidTr="23CD1BAD" w14:paraId="367E4D3B" w14:textId="77777777">
        <w:tc>
          <w:tcPr>
            <w:tcW w:w="2547" w:type="dxa"/>
            <w:shd w:val="clear" w:color="auto" w:fill="F2F2F2" w:themeFill="background1" w:themeFillShade="F2"/>
            <w:tcMar/>
          </w:tcPr>
          <w:p w:rsidR="00B64BE5" w:rsidP="00B64BE5" w:rsidRDefault="00B64BE5" w14:paraId="4DA3BD2D" w14:textId="18B5F6C2">
            <w:pPr>
              <w:pStyle w:val="Default"/>
              <w:spacing w:before="120" w:after="120" w:line="240" w:lineRule="atLeast"/>
              <w:rPr>
                <w:rFonts w:ascii="Arial" w:hAnsi="Arial" w:cs="Arial"/>
                <w:sz w:val="20"/>
                <w:szCs w:val="20"/>
              </w:rPr>
            </w:pPr>
            <w:r>
              <w:rPr>
                <w:rFonts w:ascii="Arial" w:hAnsi="Arial" w:cs="Arial"/>
                <w:sz w:val="20"/>
                <w:szCs w:val="20"/>
              </w:rPr>
              <w:t xml:space="preserve">SDA 7 AC Paid </w:t>
            </w:r>
          </w:p>
        </w:tc>
        <w:tc>
          <w:tcPr>
            <w:tcW w:w="5811" w:type="dxa"/>
            <w:tcMar/>
          </w:tcPr>
          <w:p w:rsidRPr="00AF24F8" w:rsidR="00B64BE5" w:rsidP="00B64BE5" w:rsidRDefault="00B64BE5" w14:paraId="1D9D4C21" w14:textId="0126A7F4">
            <w:pPr>
              <w:pStyle w:val="Default"/>
              <w:spacing w:before="120" w:after="120" w:line="240" w:lineRule="atLeast"/>
              <w:rPr>
                <w:rFonts w:ascii="Arial" w:hAnsi="Arial" w:cs="Arial"/>
                <w:sz w:val="20"/>
                <w:szCs w:val="20"/>
              </w:rPr>
            </w:pPr>
            <w:r w:rsidRPr="00AF24F8">
              <w:rPr>
                <w:rFonts w:ascii="Arial" w:hAnsi="Arial" w:cs="Arial"/>
                <w:sz w:val="20"/>
                <w:szCs w:val="20"/>
              </w:rPr>
              <w:t xml:space="preserve">has the meaning given to it in Paragraph </w:t>
            </w:r>
            <w:r w:rsidRPr="00AF24F8">
              <w:rPr>
                <w:rFonts w:ascii="Arial" w:hAnsi="Arial" w:cs="Arial"/>
                <w:sz w:val="20"/>
                <w:szCs w:val="20"/>
              </w:rPr>
              <w:fldChar w:fldCharType="begin"/>
            </w:r>
            <w:r w:rsidRPr="00AF24F8">
              <w:rPr>
                <w:rFonts w:ascii="Arial" w:hAnsi="Arial" w:cs="Arial"/>
                <w:sz w:val="20"/>
                <w:szCs w:val="20"/>
              </w:rPr>
              <w:instrText xml:space="preserve"> REF _Ref90663036 \r \h </w:instrText>
            </w:r>
            <w:r w:rsidRPr="008B7936">
              <w:rPr>
                <w:rFonts w:ascii="Arial" w:hAnsi="Arial" w:cs="Arial"/>
                <w:sz w:val="20"/>
                <w:szCs w:val="20"/>
              </w:rPr>
              <w:instrText xml:space="preserve"> \* MERGEFORMAT </w:instrText>
            </w:r>
            <w:r w:rsidRPr="00AF24F8">
              <w:rPr>
                <w:rFonts w:ascii="Arial" w:hAnsi="Arial" w:cs="Arial"/>
                <w:sz w:val="20"/>
                <w:szCs w:val="20"/>
              </w:rPr>
            </w:r>
            <w:r w:rsidRPr="00AF24F8">
              <w:rPr>
                <w:rFonts w:ascii="Arial" w:hAnsi="Arial" w:cs="Arial"/>
                <w:sz w:val="20"/>
                <w:szCs w:val="20"/>
              </w:rPr>
              <w:fldChar w:fldCharType="separate"/>
            </w:r>
            <w:r w:rsidR="004458E3">
              <w:rPr>
                <w:rFonts w:ascii="Arial" w:hAnsi="Arial" w:cs="Arial"/>
                <w:sz w:val="20"/>
                <w:szCs w:val="20"/>
              </w:rPr>
              <w:t>2.6(a)(iv)</w:t>
            </w:r>
            <w:r w:rsidRPr="00AF24F8">
              <w:rPr>
                <w:rFonts w:ascii="Arial" w:hAnsi="Arial" w:cs="Arial"/>
                <w:sz w:val="20"/>
                <w:szCs w:val="20"/>
              </w:rPr>
              <w:fldChar w:fldCharType="end"/>
            </w:r>
            <w:r w:rsidRPr="00AF24F8">
              <w:rPr>
                <w:rFonts w:ascii="Arial" w:hAnsi="Arial" w:cs="Arial"/>
                <w:sz w:val="20"/>
                <w:szCs w:val="20"/>
              </w:rPr>
              <w:t>(</w:t>
            </w:r>
            <w:r>
              <w:rPr>
                <w:rFonts w:ascii="Arial" w:hAnsi="Arial" w:cs="Arial"/>
                <w:i/>
                <w:sz w:val="20"/>
                <w:szCs w:val="20"/>
              </w:rPr>
              <w:t xml:space="preserve">Task </w:t>
            </w:r>
            <w:r w:rsidRPr="00AF24F8">
              <w:rPr>
                <w:rFonts w:ascii="Arial" w:hAnsi="Arial" w:cs="Arial"/>
                <w:i/>
                <w:sz w:val="20"/>
                <w:szCs w:val="20"/>
              </w:rPr>
              <w:t>Volume</w:t>
            </w:r>
            <w:r>
              <w:rPr>
                <w:rFonts w:ascii="Arial" w:hAnsi="Arial" w:cs="Arial"/>
                <w:i/>
                <w:sz w:val="20"/>
                <w:szCs w:val="20"/>
              </w:rPr>
              <w:t>s</w:t>
            </w:r>
            <w:r w:rsidRPr="00AF24F8">
              <w:rPr>
                <w:rFonts w:ascii="Arial" w:hAnsi="Arial" w:cs="Arial"/>
                <w:i/>
                <w:sz w:val="20"/>
                <w:szCs w:val="20"/>
              </w:rPr>
              <w:t xml:space="preserve"> and the Annual Rectification </w:t>
            </w:r>
            <w:proofErr w:type="gramStart"/>
            <w:r w:rsidRPr="00AF24F8">
              <w:rPr>
                <w:rFonts w:ascii="Arial" w:hAnsi="Arial" w:cs="Arial"/>
                <w:i/>
                <w:sz w:val="20"/>
                <w:szCs w:val="20"/>
              </w:rPr>
              <w:t>Process</w:t>
            </w:r>
            <w:r w:rsidRPr="00AF24F8">
              <w:rPr>
                <w:rFonts w:ascii="Arial" w:hAnsi="Arial" w:cs="Arial"/>
                <w:sz w:val="20"/>
                <w:szCs w:val="20"/>
              </w:rPr>
              <w:t>).</w:t>
            </w:r>
            <w:proofErr w:type="gramEnd"/>
          </w:p>
        </w:tc>
      </w:tr>
      <w:tr w:rsidRPr="00022931" w:rsidR="00B64BE5" w:rsidTr="23CD1BAD" w14:paraId="1555A4E4" w14:textId="77777777">
        <w:tc>
          <w:tcPr>
            <w:tcW w:w="2547" w:type="dxa"/>
            <w:shd w:val="clear" w:color="auto" w:fill="F2F2F2" w:themeFill="background1" w:themeFillShade="F2"/>
            <w:tcMar/>
          </w:tcPr>
          <w:p w:rsidRPr="00022931" w:rsidR="00B64BE5" w:rsidP="00B64BE5" w:rsidRDefault="00B64BE5" w14:paraId="189E4695" w14:textId="1984B311">
            <w:pPr>
              <w:pStyle w:val="Default"/>
              <w:spacing w:before="120" w:after="120" w:line="240" w:lineRule="atLeast"/>
              <w:rPr>
                <w:rFonts w:ascii="Arial" w:hAnsi="Arial" w:cs="Arial"/>
                <w:sz w:val="20"/>
                <w:szCs w:val="20"/>
              </w:rPr>
            </w:pPr>
            <w:r>
              <w:rPr>
                <w:rFonts w:ascii="Arial" w:hAnsi="Arial" w:cs="Arial"/>
                <w:sz w:val="20"/>
                <w:szCs w:val="20"/>
              </w:rPr>
              <w:t>SDA 7 Pricing Table</w:t>
            </w:r>
          </w:p>
        </w:tc>
        <w:tc>
          <w:tcPr>
            <w:tcW w:w="5811" w:type="dxa"/>
            <w:tcMar/>
          </w:tcPr>
          <w:p w:rsidRPr="00AF24F8" w:rsidR="00B64BE5" w:rsidP="00B64BE5" w:rsidRDefault="00B64BE5" w14:paraId="0B068CD6" w14:textId="4B567ED5">
            <w:pPr>
              <w:pStyle w:val="Body5"/>
              <w:ind w:left="0"/>
              <w:rPr>
                <w:rFonts w:cs="Arial"/>
              </w:rPr>
            </w:pPr>
            <w:r>
              <w:rPr>
                <w:rFonts w:cs="Arial"/>
              </w:rPr>
              <w:t xml:space="preserve">means the tables set out in Annex 1. </w:t>
            </w:r>
          </w:p>
        </w:tc>
      </w:tr>
      <w:tr w:rsidRPr="00022931" w:rsidR="00B64BE5" w:rsidTr="23CD1BAD" w14:paraId="4400721A" w14:textId="77777777">
        <w:tc>
          <w:tcPr>
            <w:tcW w:w="2547" w:type="dxa"/>
            <w:shd w:val="clear" w:color="auto" w:fill="F2F2F2" w:themeFill="background1" w:themeFillShade="F2"/>
            <w:tcMar/>
          </w:tcPr>
          <w:p w:rsidRPr="00022931" w:rsidR="00B64BE5" w:rsidP="00B64BE5" w:rsidRDefault="00B64BE5" w14:paraId="73803BF6" w14:textId="4372FE8D">
            <w:pPr>
              <w:pStyle w:val="Default"/>
              <w:spacing w:before="120" w:after="120" w:line="240" w:lineRule="atLeast"/>
              <w:rPr>
                <w:rFonts w:ascii="Arial" w:hAnsi="Arial" w:cs="Arial"/>
                <w:sz w:val="20"/>
                <w:szCs w:val="20"/>
              </w:rPr>
            </w:pPr>
            <w:r w:rsidRPr="00022931">
              <w:rPr>
                <w:rFonts w:ascii="Arial" w:hAnsi="Arial" w:cs="Arial"/>
                <w:sz w:val="20"/>
                <w:szCs w:val="20"/>
              </w:rPr>
              <w:lastRenderedPageBreak/>
              <w:t>Service Credit</w:t>
            </w:r>
          </w:p>
        </w:tc>
        <w:tc>
          <w:tcPr>
            <w:tcW w:w="5811" w:type="dxa"/>
            <w:tcMar/>
          </w:tcPr>
          <w:p w:rsidRPr="00AF24F8" w:rsidR="00B64BE5" w:rsidP="00B64BE5" w:rsidRDefault="00B64BE5" w14:paraId="1989514B" w14:textId="06F43908">
            <w:pPr>
              <w:pStyle w:val="Body5"/>
              <w:ind w:left="0"/>
              <w:rPr>
                <w:rFonts w:cs="Arial"/>
              </w:rPr>
            </w:pPr>
            <w:r w:rsidRPr="00AF24F8">
              <w:rPr>
                <w:rFonts w:cs="Arial"/>
              </w:rPr>
              <w:t>means the retention</w:t>
            </w:r>
            <w:r>
              <w:rPr>
                <w:rFonts w:cs="Arial"/>
              </w:rPr>
              <w:t xml:space="preserve"> or financial deduction</w:t>
            </w:r>
            <w:r w:rsidRPr="00AF24F8">
              <w:rPr>
                <w:rFonts w:cs="Arial"/>
              </w:rPr>
              <w:t xml:space="preserve"> applied to the </w:t>
            </w:r>
            <w:r w:rsidRPr="00022931">
              <w:rPr>
                <w:rFonts w:cs="Arial"/>
              </w:rPr>
              <w:t>MC</w:t>
            </w:r>
            <w:r w:rsidRPr="00AF24F8">
              <w:rPr>
                <w:rFonts w:cs="Arial"/>
              </w:rPr>
              <w:t xml:space="preserve"> in any </w:t>
            </w:r>
            <w:r>
              <w:rPr>
                <w:rFonts w:cs="Arial"/>
              </w:rPr>
              <w:t>Month</w:t>
            </w:r>
            <w:r w:rsidRPr="00AF24F8" w:rsidDel="00501B5F">
              <w:rPr>
                <w:rFonts w:cs="Arial"/>
              </w:rPr>
              <w:t xml:space="preserve"> </w:t>
            </w:r>
            <w:proofErr w:type="gramStart"/>
            <w:r w:rsidRPr="00AF24F8">
              <w:rPr>
                <w:rFonts w:cs="Arial"/>
              </w:rPr>
              <w:t>as a result of</w:t>
            </w:r>
            <w:proofErr w:type="gramEnd"/>
            <w:r w:rsidRPr="00AF24F8">
              <w:rPr>
                <w:rFonts w:cs="Arial"/>
              </w:rPr>
              <w:t xml:space="preserve"> Total </w:t>
            </w:r>
            <w:r>
              <w:rPr>
                <w:rFonts w:cs="Arial"/>
              </w:rPr>
              <w:t>NPPs</w:t>
            </w:r>
            <w:r w:rsidRPr="00AF24F8">
              <w:rPr>
                <w:rFonts w:cs="Arial"/>
              </w:rPr>
              <w:t>.</w:t>
            </w:r>
          </w:p>
        </w:tc>
      </w:tr>
      <w:tr w:rsidRPr="00022931" w:rsidR="00B64BE5" w:rsidTr="23CD1BAD" w14:paraId="1BDC7DBB" w14:textId="77777777">
        <w:tc>
          <w:tcPr>
            <w:tcW w:w="2547" w:type="dxa"/>
            <w:shd w:val="clear" w:color="auto" w:fill="F2F2F2" w:themeFill="background1" w:themeFillShade="F2"/>
            <w:tcMar/>
          </w:tcPr>
          <w:p w:rsidRPr="00022931" w:rsidR="00B64BE5" w:rsidP="00B64BE5" w:rsidRDefault="00B64BE5" w14:paraId="256C2D9A" w14:textId="06244B9D">
            <w:pPr>
              <w:pStyle w:val="Default"/>
              <w:spacing w:before="120" w:after="120" w:line="240" w:lineRule="atLeast"/>
              <w:rPr>
                <w:rFonts w:ascii="Arial" w:hAnsi="Arial" w:cs="Arial"/>
                <w:sz w:val="20"/>
                <w:szCs w:val="20"/>
              </w:rPr>
            </w:pPr>
            <w:r>
              <w:rPr>
                <w:rFonts w:ascii="Arial" w:hAnsi="Arial" w:cs="Arial"/>
                <w:sz w:val="20"/>
                <w:szCs w:val="20"/>
              </w:rPr>
              <w:t>Service Credit Retention Release</w:t>
            </w:r>
          </w:p>
        </w:tc>
        <w:tc>
          <w:tcPr>
            <w:tcW w:w="5811" w:type="dxa"/>
            <w:tcMar/>
          </w:tcPr>
          <w:p w:rsidRPr="00AF24F8" w:rsidR="00B64BE5" w:rsidP="00B64BE5" w:rsidRDefault="00B64BE5" w14:paraId="421E34CD" w14:textId="6B2DC379">
            <w:pPr>
              <w:pStyle w:val="Body5"/>
              <w:ind w:left="0"/>
              <w:rPr>
                <w:rFonts w:cs="Arial"/>
              </w:rPr>
            </w:pPr>
            <w:r>
              <w:rPr>
                <w:rFonts w:cs="Arial"/>
              </w:rPr>
              <w:t>means the amounts due to the Contractor from the Authority following the completion of the Earn Back Mechanism.</w:t>
            </w:r>
          </w:p>
        </w:tc>
      </w:tr>
      <w:tr w:rsidRPr="00022931" w:rsidR="00B64BE5" w:rsidTr="23CD1BAD" w14:paraId="33A63DE7" w14:textId="77777777">
        <w:tc>
          <w:tcPr>
            <w:tcW w:w="2547" w:type="dxa"/>
            <w:shd w:val="clear" w:color="auto" w:fill="F2F2F2" w:themeFill="background1" w:themeFillShade="F2"/>
            <w:tcMar/>
          </w:tcPr>
          <w:p w:rsidRPr="00022931" w:rsidR="00B64BE5" w:rsidP="00B64BE5" w:rsidRDefault="00B64BE5" w14:paraId="613E6530" w14:textId="31281C88">
            <w:pPr>
              <w:pStyle w:val="Default"/>
              <w:spacing w:before="120" w:after="120" w:line="240" w:lineRule="atLeast"/>
              <w:rPr>
                <w:rFonts w:ascii="Arial" w:hAnsi="Arial" w:cs="Arial"/>
                <w:sz w:val="20"/>
                <w:szCs w:val="20"/>
              </w:rPr>
            </w:pPr>
            <w:r w:rsidRPr="00022931">
              <w:rPr>
                <w:rFonts w:ascii="Arial" w:hAnsi="Arial" w:cs="Arial"/>
                <w:sz w:val="20"/>
                <w:szCs w:val="20"/>
              </w:rPr>
              <w:t>Services Availability KPI or KPI 1</w:t>
            </w:r>
          </w:p>
        </w:tc>
        <w:tc>
          <w:tcPr>
            <w:tcW w:w="5811" w:type="dxa"/>
            <w:tcMar/>
          </w:tcPr>
          <w:p w:rsidRPr="00AF24F8" w:rsidR="00B64BE5" w:rsidP="00B64BE5" w:rsidRDefault="00B64BE5" w14:paraId="31BCD0E2" w14:textId="530CC217">
            <w:pPr>
              <w:pStyle w:val="Body5"/>
              <w:ind w:left="0"/>
              <w:rPr>
                <w:rFonts w:cs="Arial"/>
              </w:rPr>
            </w:pPr>
            <w:r w:rsidRPr="00022931">
              <w:rPr>
                <w:rFonts w:cs="Arial"/>
              </w:rPr>
              <w:t xml:space="preserve">has the meaning given to it in Paragraph </w:t>
            </w:r>
            <w:r>
              <w:rPr>
                <w:rFonts w:cs="Arial"/>
              </w:rPr>
              <w:fldChar w:fldCharType="begin"/>
            </w:r>
            <w:r>
              <w:rPr>
                <w:rFonts w:cs="Arial"/>
              </w:rPr>
              <w:instrText xml:space="preserve"> REF _Ref108171138 \r \h </w:instrText>
            </w:r>
            <w:r>
              <w:rPr>
                <w:rFonts w:cs="Arial"/>
              </w:rPr>
            </w:r>
            <w:r>
              <w:rPr>
                <w:rFonts w:cs="Arial"/>
              </w:rPr>
              <w:fldChar w:fldCharType="separate"/>
            </w:r>
            <w:r w:rsidR="004458E3">
              <w:rPr>
                <w:rFonts w:cs="Arial"/>
              </w:rPr>
              <w:t>3.2</w:t>
            </w:r>
            <w:r>
              <w:rPr>
                <w:rFonts w:cs="Arial"/>
              </w:rPr>
              <w:fldChar w:fldCharType="end"/>
            </w:r>
            <w:r w:rsidRPr="00022931">
              <w:rPr>
                <w:rFonts w:cs="Arial"/>
              </w:rPr>
              <w:t xml:space="preserve"> (</w:t>
            </w:r>
            <w:r w:rsidRPr="00022931">
              <w:rPr>
                <w:rFonts w:cs="Arial"/>
                <w:i/>
              </w:rPr>
              <w:t xml:space="preserve">Services Availability KPI (KPI 1) – Definition and </w:t>
            </w:r>
            <w:proofErr w:type="gramStart"/>
            <w:r w:rsidRPr="00022931">
              <w:rPr>
                <w:rFonts w:cs="Arial"/>
                <w:i/>
              </w:rPr>
              <w:t>Measurement</w:t>
            </w:r>
            <w:r w:rsidRPr="00022931">
              <w:rPr>
                <w:rFonts w:cs="Arial"/>
              </w:rPr>
              <w:t>).</w:t>
            </w:r>
            <w:proofErr w:type="gramEnd"/>
          </w:p>
        </w:tc>
      </w:tr>
      <w:tr w:rsidRPr="00022931" w:rsidR="00B64BE5" w:rsidTr="23CD1BAD" w14:paraId="7A72BE45" w14:textId="77777777">
        <w:tc>
          <w:tcPr>
            <w:tcW w:w="2547" w:type="dxa"/>
            <w:shd w:val="clear" w:color="auto" w:fill="F2F2F2" w:themeFill="background1" w:themeFillShade="F2"/>
            <w:tcMar/>
          </w:tcPr>
          <w:p w:rsidRPr="00022931" w:rsidR="00B64BE5" w:rsidP="00B64BE5" w:rsidRDefault="00B64BE5" w14:paraId="4E2B5A5E"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Significant Non-Performance (SNP)</w:t>
            </w:r>
          </w:p>
        </w:tc>
        <w:tc>
          <w:tcPr>
            <w:tcW w:w="5811" w:type="dxa"/>
            <w:tcMar/>
          </w:tcPr>
          <w:p w:rsidRPr="00AF24F8" w:rsidR="00B64BE5" w:rsidP="00B64BE5" w:rsidRDefault="00B64BE5" w14:paraId="70369EB0" w14:textId="40285487">
            <w:pPr>
              <w:pStyle w:val="Body5"/>
              <w:ind w:left="0"/>
              <w:rPr>
                <w:rFonts w:cs="Arial"/>
              </w:rPr>
            </w:pPr>
            <w:r w:rsidRPr="00AF24F8">
              <w:rPr>
                <w:rFonts w:cs="Arial"/>
              </w:rPr>
              <w:t xml:space="preserve">means any Non-Performance arising out of a Task not being completed On Time in </w:t>
            </w:r>
            <w:proofErr w:type="gramStart"/>
            <w:r w:rsidRPr="00AF24F8">
              <w:rPr>
                <w:rFonts w:cs="Arial"/>
              </w:rPr>
              <w:t>Full, unless</w:t>
            </w:r>
            <w:proofErr w:type="gramEnd"/>
            <w:r w:rsidRPr="00AF24F8">
              <w:rPr>
                <w:rFonts w:cs="Arial"/>
              </w:rPr>
              <w:t xml:space="preserve"> it qualifies as a Minor Non-Performance. </w:t>
            </w:r>
          </w:p>
        </w:tc>
      </w:tr>
      <w:tr w:rsidRPr="00022931" w:rsidR="00B64BE5" w:rsidTr="23CD1BAD" w14:paraId="280EE32A" w14:textId="77777777">
        <w:tc>
          <w:tcPr>
            <w:tcW w:w="2547" w:type="dxa"/>
            <w:shd w:val="clear" w:color="auto" w:fill="F2F2F2" w:themeFill="background1" w:themeFillShade="F2"/>
            <w:tcMar/>
          </w:tcPr>
          <w:p w:rsidRPr="00022931" w:rsidR="00B64BE5" w:rsidP="00B64BE5" w:rsidRDefault="00B64BE5" w14:paraId="3B5CD591" w14:textId="6E92763A">
            <w:pPr>
              <w:pStyle w:val="Default"/>
              <w:spacing w:before="120" w:after="120" w:line="240" w:lineRule="atLeast"/>
              <w:rPr>
                <w:rFonts w:ascii="Arial" w:hAnsi="Arial" w:cs="Arial"/>
                <w:sz w:val="20"/>
                <w:szCs w:val="20"/>
              </w:rPr>
            </w:pPr>
            <w:r w:rsidRPr="00022931">
              <w:rPr>
                <w:rFonts w:ascii="Arial" w:hAnsi="Arial" w:cs="Arial"/>
                <w:sz w:val="20"/>
                <w:szCs w:val="20"/>
              </w:rPr>
              <w:t>Task End Time</w:t>
            </w:r>
          </w:p>
        </w:tc>
        <w:tc>
          <w:tcPr>
            <w:tcW w:w="5811" w:type="dxa"/>
            <w:tcMar/>
          </w:tcPr>
          <w:p w:rsidRPr="00AF24F8" w:rsidR="00B64BE5" w:rsidP="00B64BE5" w:rsidRDefault="00B64BE5" w14:paraId="7379F091" w14:textId="2279F5DB">
            <w:pPr>
              <w:pStyle w:val="Body5"/>
              <w:ind w:left="0"/>
              <w:rPr>
                <w:rFonts w:cs="Arial"/>
              </w:rPr>
            </w:pPr>
            <w:r w:rsidRPr="00AF24F8">
              <w:rPr>
                <w:rFonts w:cs="Arial"/>
              </w:rPr>
              <w:t xml:space="preserve">means the time by which a Task must be completed, as set out in the </w:t>
            </w:r>
            <w:r>
              <w:rPr>
                <w:rFonts w:cs="Arial"/>
              </w:rPr>
              <w:t>Tasking Procedures</w:t>
            </w:r>
            <w:r w:rsidRPr="00AF24F8">
              <w:rPr>
                <w:rFonts w:cs="Arial"/>
              </w:rPr>
              <w:t>.</w:t>
            </w:r>
          </w:p>
        </w:tc>
      </w:tr>
      <w:tr w:rsidRPr="00022931" w:rsidR="00B64BE5" w:rsidTr="23CD1BAD" w14:paraId="14E06B61" w14:textId="77777777">
        <w:tc>
          <w:tcPr>
            <w:tcW w:w="2547" w:type="dxa"/>
            <w:shd w:val="clear" w:color="auto" w:fill="F2F2F2" w:themeFill="background1" w:themeFillShade="F2"/>
            <w:tcMar/>
          </w:tcPr>
          <w:p w:rsidRPr="00022931" w:rsidR="00B64BE5" w:rsidP="00B64BE5" w:rsidRDefault="00B64BE5" w14:paraId="65AAE9C3" w14:textId="149DB474">
            <w:pPr>
              <w:pStyle w:val="Default"/>
              <w:spacing w:before="120" w:after="120" w:line="240" w:lineRule="atLeast"/>
              <w:rPr>
                <w:rFonts w:ascii="Arial" w:hAnsi="Arial" w:cs="Arial"/>
                <w:sz w:val="20"/>
                <w:szCs w:val="20"/>
              </w:rPr>
            </w:pPr>
            <w:r w:rsidRPr="00022931">
              <w:rPr>
                <w:rFonts w:ascii="Arial" w:hAnsi="Arial" w:cs="Arial"/>
                <w:sz w:val="20"/>
                <w:szCs w:val="20"/>
              </w:rPr>
              <w:t>Task Start Time</w:t>
            </w:r>
          </w:p>
        </w:tc>
        <w:tc>
          <w:tcPr>
            <w:tcW w:w="5811" w:type="dxa"/>
            <w:tcMar/>
          </w:tcPr>
          <w:p w:rsidRPr="00AF24F8" w:rsidR="00B64BE5" w:rsidP="00B64BE5" w:rsidRDefault="00B64BE5" w14:paraId="68D6D619" w14:textId="3BD9A056">
            <w:pPr>
              <w:pStyle w:val="Body5"/>
              <w:ind w:left="0"/>
              <w:rPr>
                <w:rFonts w:cs="Arial"/>
              </w:rPr>
            </w:pPr>
            <w:r w:rsidRPr="00AF24F8">
              <w:rPr>
                <w:rFonts w:cs="Arial"/>
              </w:rPr>
              <w:t xml:space="preserve">means the time at which a Task must commence, as set out in the </w:t>
            </w:r>
            <w:r>
              <w:rPr>
                <w:rFonts w:cs="Arial"/>
              </w:rPr>
              <w:t>Tasking Procedures</w:t>
            </w:r>
            <w:r w:rsidRPr="00AF24F8">
              <w:rPr>
                <w:rFonts w:cs="Arial"/>
              </w:rPr>
              <w:t>.</w:t>
            </w:r>
          </w:p>
        </w:tc>
      </w:tr>
      <w:tr w:rsidRPr="00022931" w:rsidR="00B64BE5" w:rsidTr="23CD1BAD" w14:paraId="4CF0DD54" w14:textId="77777777">
        <w:tc>
          <w:tcPr>
            <w:tcW w:w="2547" w:type="dxa"/>
            <w:shd w:val="clear" w:color="auto" w:fill="F2F2F2" w:themeFill="background1" w:themeFillShade="F2"/>
            <w:tcMar/>
          </w:tcPr>
          <w:p w:rsidRPr="00022931" w:rsidR="00B64BE5" w:rsidP="00B64BE5" w:rsidRDefault="00B64BE5" w14:paraId="21629CF8" w14:textId="0C563704">
            <w:pPr>
              <w:pStyle w:val="Default"/>
              <w:spacing w:before="120" w:after="120" w:line="240" w:lineRule="atLeast"/>
              <w:rPr>
                <w:rFonts w:ascii="Arial" w:hAnsi="Arial" w:cs="Arial"/>
                <w:sz w:val="20"/>
                <w:szCs w:val="20"/>
              </w:rPr>
            </w:pPr>
            <w:r w:rsidRPr="00022931">
              <w:rPr>
                <w:rFonts w:ascii="Arial" w:hAnsi="Arial" w:cs="Arial"/>
                <w:sz w:val="20"/>
                <w:szCs w:val="20"/>
              </w:rPr>
              <w:t>Time Element</w:t>
            </w:r>
          </w:p>
        </w:tc>
        <w:tc>
          <w:tcPr>
            <w:tcW w:w="5811" w:type="dxa"/>
            <w:tcMar/>
          </w:tcPr>
          <w:p w:rsidRPr="005B667F" w:rsidR="00B64BE5" w:rsidP="00B64BE5" w:rsidRDefault="00B64BE5" w14:paraId="5F2C98DA" w14:textId="3D32338C">
            <w:pPr>
              <w:pStyle w:val="Default"/>
              <w:spacing w:before="120" w:after="120" w:line="240" w:lineRule="atLeast"/>
              <w:rPr>
                <w:rFonts w:ascii="Arial" w:hAnsi="Arial" w:cs="Arial"/>
                <w:szCs w:val="20"/>
              </w:rPr>
            </w:pPr>
            <w:r w:rsidRPr="00022931">
              <w:rPr>
                <w:rFonts w:ascii="Arial" w:hAnsi="Arial" w:cs="Arial"/>
                <w:sz w:val="20"/>
                <w:szCs w:val="20"/>
              </w:rPr>
              <w:t xml:space="preserve">has the meaning given to it in Paragraph </w:t>
            </w:r>
            <w:r w:rsidRPr="00022931">
              <w:rPr>
                <w:rFonts w:ascii="Arial" w:hAnsi="Arial" w:cs="Arial"/>
                <w:sz w:val="20"/>
                <w:szCs w:val="20"/>
              </w:rPr>
              <w:fldChar w:fldCharType="begin"/>
            </w:r>
            <w:r w:rsidRPr="00022931">
              <w:rPr>
                <w:rFonts w:ascii="Arial" w:hAnsi="Arial" w:cs="Arial"/>
                <w:sz w:val="20"/>
                <w:szCs w:val="20"/>
              </w:rPr>
              <w:instrText xml:space="preserve"> REF _Ref89421496 \r \h </w:instrText>
            </w:r>
            <w:r>
              <w:rPr>
                <w:rFonts w:ascii="Arial" w:hAnsi="Arial" w:cs="Arial"/>
                <w:sz w:val="20"/>
                <w:szCs w:val="20"/>
              </w:rPr>
              <w:instrText xml:space="preserve"> \* MERGEFORMAT </w:instrText>
            </w:r>
            <w:r w:rsidRPr="00022931">
              <w:rPr>
                <w:rFonts w:ascii="Arial" w:hAnsi="Arial" w:cs="Arial"/>
                <w:sz w:val="20"/>
                <w:szCs w:val="20"/>
              </w:rPr>
            </w:r>
            <w:r w:rsidRPr="00022931">
              <w:rPr>
                <w:rFonts w:ascii="Arial" w:hAnsi="Arial" w:cs="Arial"/>
                <w:sz w:val="20"/>
                <w:szCs w:val="20"/>
              </w:rPr>
              <w:fldChar w:fldCharType="separate"/>
            </w:r>
            <w:r w:rsidR="004458E3">
              <w:rPr>
                <w:rFonts w:ascii="Arial" w:hAnsi="Arial" w:cs="Arial"/>
                <w:sz w:val="20"/>
                <w:szCs w:val="20"/>
              </w:rPr>
              <w:t>3.6(a)(i)</w:t>
            </w:r>
            <w:r w:rsidRPr="00022931">
              <w:rPr>
                <w:rFonts w:ascii="Arial" w:hAnsi="Arial" w:cs="Arial"/>
                <w:sz w:val="20"/>
                <w:szCs w:val="20"/>
              </w:rPr>
              <w:fldChar w:fldCharType="end"/>
            </w:r>
            <w:r w:rsidRPr="00022931">
              <w:rPr>
                <w:rFonts w:ascii="Arial" w:hAnsi="Arial" w:cs="Arial"/>
                <w:sz w:val="20"/>
                <w:szCs w:val="20"/>
              </w:rPr>
              <w:t xml:space="preserve"> (</w:t>
            </w:r>
            <w:r w:rsidRPr="00022931">
              <w:rPr>
                <w:rFonts w:ascii="Arial" w:hAnsi="Arial" w:cs="Arial"/>
                <w:i/>
                <w:sz w:val="20"/>
                <w:szCs w:val="20"/>
              </w:rPr>
              <w:t>Management Information KPI (KPI 2) – Definition and Measurement</w:t>
            </w:r>
            <w:r w:rsidRPr="00022931">
              <w:rPr>
                <w:rFonts w:ascii="Arial" w:hAnsi="Arial" w:cs="Arial"/>
                <w:sz w:val="20"/>
                <w:szCs w:val="20"/>
              </w:rPr>
              <w:t xml:space="preserve">) </w:t>
            </w:r>
          </w:p>
        </w:tc>
      </w:tr>
      <w:tr w:rsidRPr="00022931" w:rsidR="00B64BE5" w:rsidTr="23CD1BAD" w14:paraId="320AD0EB" w14:textId="113D2B97">
        <w:tc>
          <w:tcPr>
            <w:tcW w:w="2547" w:type="dxa"/>
            <w:shd w:val="clear" w:color="auto" w:fill="F2F2F2" w:themeFill="background1" w:themeFillShade="F2"/>
            <w:tcMar/>
          </w:tcPr>
          <w:p w:rsidRPr="00022931" w:rsidR="00B64BE5" w:rsidP="00B64BE5" w:rsidRDefault="00B64BE5" w14:paraId="00A8CC87" w14:textId="6D935701">
            <w:pPr>
              <w:pStyle w:val="Default"/>
              <w:spacing w:before="120" w:after="120" w:line="240" w:lineRule="atLeast"/>
              <w:rPr>
                <w:rFonts w:ascii="Arial" w:hAnsi="Arial" w:cs="Arial"/>
                <w:sz w:val="20"/>
                <w:szCs w:val="20"/>
              </w:rPr>
            </w:pPr>
            <w:r w:rsidRPr="00022931">
              <w:rPr>
                <w:rFonts w:ascii="Arial" w:hAnsi="Arial" w:cs="Arial"/>
                <w:sz w:val="20"/>
                <w:szCs w:val="20"/>
              </w:rPr>
              <w:t>Timing Criteria</w:t>
            </w:r>
          </w:p>
        </w:tc>
        <w:tc>
          <w:tcPr>
            <w:tcW w:w="5811" w:type="dxa"/>
            <w:tcMar/>
          </w:tcPr>
          <w:p w:rsidRPr="007E47FA" w:rsidR="00B64BE5" w:rsidP="00B64BE5" w:rsidRDefault="00B64BE5" w14:paraId="7712AC87" w14:textId="64813BD3">
            <w:pPr>
              <w:pStyle w:val="Default"/>
              <w:spacing w:before="120" w:after="120" w:line="240" w:lineRule="atLeast"/>
              <w:rPr>
                <w:rFonts w:ascii="Arial" w:hAnsi="Arial" w:cs="Arial"/>
                <w:sz w:val="20"/>
                <w:szCs w:val="20"/>
              </w:rPr>
            </w:pPr>
            <w:r w:rsidRPr="007E47FA">
              <w:rPr>
                <w:rFonts w:ascii="Arial" w:hAnsi="Arial" w:cs="Arial"/>
                <w:sz w:val="20"/>
                <w:szCs w:val="20"/>
              </w:rPr>
              <w:t xml:space="preserve">means, with respect to a task which forms part of the Services: </w:t>
            </w:r>
            <w:proofErr w:type="gramStart"/>
            <w:r w:rsidRPr="007E47FA">
              <w:rPr>
                <w:rFonts w:ascii="Arial" w:hAnsi="Arial" w:cs="Arial"/>
                <w:sz w:val="20"/>
                <w:szCs w:val="20"/>
              </w:rPr>
              <w:t>the</w:t>
            </w:r>
            <w:proofErr w:type="gramEnd"/>
            <w:r w:rsidRPr="007E47FA">
              <w:rPr>
                <w:rFonts w:ascii="Arial" w:hAnsi="Arial" w:cs="Arial"/>
                <w:sz w:val="20"/>
                <w:szCs w:val="20"/>
              </w:rPr>
              <w:t xml:space="preserve"> Task is completed </w:t>
            </w:r>
            <w:r w:rsidRPr="007E47FA">
              <w:rPr>
                <w:rFonts w:ascii="Arial" w:hAnsi="Arial" w:cs="Arial"/>
                <w:b/>
                <w:sz w:val="20"/>
                <w:szCs w:val="20"/>
              </w:rPr>
              <w:t>on time</w:t>
            </w:r>
            <w:r w:rsidRPr="007E47FA">
              <w:rPr>
                <w:rFonts w:ascii="Arial" w:hAnsi="Arial" w:cs="Arial"/>
                <w:i/>
                <w:sz w:val="20"/>
                <w:szCs w:val="20"/>
              </w:rPr>
              <w:t xml:space="preserve"> </w:t>
            </w:r>
            <w:r w:rsidRPr="007E47FA">
              <w:rPr>
                <w:rFonts w:ascii="Arial" w:hAnsi="Arial" w:cs="Arial"/>
                <w:sz w:val="20"/>
                <w:szCs w:val="20"/>
              </w:rPr>
              <w:t>in accordance with the Statement of Requirement, measured as follows:</w:t>
            </w:r>
          </w:p>
          <w:p w:rsidRPr="00AF24F8" w:rsidR="00B64BE5" w:rsidP="00B64BE5" w:rsidRDefault="00B64BE5" w14:paraId="2271BE11" w14:textId="77777777">
            <w:pPr>
              <w:pStyle w:val="Heading3"/>
              <w:numPr>
                <w:ilvl w:val="2"/>
                <w:numId w:val="49"/>
              </w:numPr>
              <w:outlineLvl w:val="2"/>
            </w:pPr>
            <w:r w:rsidRPr="00AF24F8">
              <w:t xml:space="preserve">the </w:t>
            </w:r>
            <w:r w:rsidRPr="00445000">
              <w:rPr>
                <w:szCs w:val="20"/>
              </w:rPr>
              <w:t>Task</w:t>
            </w:r>
            <w:r w:rsidRPr="00AF24F8">
              <w:t xml:space="preserve"> commences at the Task Start </w:t>
            </w:r>
            <w:proofErr w:type="gramStart"/>
            <w:r w:rsidRPr="00AF24F8">
              <w:t>Time ;</w:t>
            </w:r>
            <w:proofErr w:type="gramEnd"/>
            <w:r w:rsidRPr="00AF24F8">
              <w:t xml:space="preserve"> and</w:t>
            </w:r>
          </w:p>
          <w:p w:rsidRPr="00AF24F8" w:rsidR="00B64BE5" w:rsidP="00B64BE5" w:rsidRDefault="00B64BE5" w14:paraId="66BB1468" w14:textId="700B2A51">
            <w:pPr>
              <w:pStyle w:val="Heading3"/>
              <w:numPr>
                <w:ilvl w:val="2"/>
                <w:numId w:val="19"/>
              </w:numPr>
              <w:outlineLvl w:val="2"/>
              <w:rPr>
                <w:b/>
              </w:rPr>
            </w:pPr>
            <w:r w:rsidRPr="00445000">
              <w:rPr>
                <w:szCs w:val="20"/>
              </w:rPr>
              <w:t>the</w:t>
            </w:r>
            <w:r w:rsidRPr="00AF24F8">
              <w:t xml:space="preserve"> Task is completed in accordance </w:t>
            </w:r>
            <w:proofErr w:type="gramStart"/>
            <w:r>
              <w:t>by</w:t>
            </w:r>
            <w:proofErr w:type="gramEnd"/>
            <w:r>
              <w:t xml:space="preserve"> the Task End Time.</w:t>
            </w:r>
          </w:p>
        </w:tc>
      </w:tr>
      <w:tr w:rsidRPr="00022931" w:rsidR="00B64BE5" w:rsidTr="23CD1BAD" w14:paraId="5BA55C20" w14:textId="77777777">
        <w:tc>
          <w:tcPr>
            <w:tcW w:w="2547" w:type="dxa"/>
            <w:shd w:val="clear" w:color="auto" w:fill="F2F2F2" w:themeFill="background1" w:themeFillShade="F2"/>
            <w:tcMar/>
          </w:tcPr>
          <w:p w:rsidRPr="00022931" w:rsidR="00B64BE5" w:rsidP="00B64BE5" w:rsidRDefault="00B64BE5" w14:paraId="76B14DDD" w14:textId="623C9084">
            <w:pPr>
              <w:pStyle w:val="Default"/>
              <w:spacing w:before="120" w:after="120" w:line="240" w:lineRule="atLeast"/>
              <w:rPr>
                <w:rFonts w:ascii="Arial" w:hAnsi="Arial" w:cs="Arial"/>
                <w:sz w:val="20"/>
                <w:szCs w:val="20"/>
              </w:rPr>
            </w:pPr>
            <w:r>
              <w:rPr>
                <w:rFonts w:ascii="Arial" w:hAnsi="Arial" w:cs="Arial"/>
                <w:sz w:val="20"/>
                <w:szCs w:val="20"/>
              </w:rPr>
              <w:t>Total Monthly Payment</w:t>
            </w:r>
          </w:p>
        </w:tc>
        <w:tc>
          <w:tcPr>
            <w:tcW w:w="5811" w:type="dxa"/>
            <w:tcMar/>
          </w:tcPr>
          <w:p w:rsidRPr="00E541F1" w:rsidR="00B64BE5" w:rsidDel="00A30AD0" w:rsidP="00B64BE5" w:rsidRDefault="00B64BE5" w14:paraId="0B050BE1" w14:textId="242E9CE2">
            <w:pPr>
              <w:pStyle w:val="Default"/>
              <w:spacing w:before="120" w:after="120" w:line="240" w:lineRule="atLeast"/>
              <w:rPr>
                <w:rFonts w:ascii="Arial" w:hAnsi="Arial" w:cs="Arial"/>
                <w:sz w:val="20"/>
                <w:szCs w:val="20"/>
              </w:rPr>
            </w:pPr>
            <w:r>
              <w:rPr>
                <w:rFonts w:ascii="Arial" w:hAnsi="Arial" w:cs="Arial"/>
                <w:sz w:val="20"/>
                <w:szCs w:val="20"/>
              </w:rPr>
              <w:t xml:space="preserve">has the meaning given to it in Paragraph </w:t>
            </w:r>
            <w:r>
              <w:rPr>
                <w:rFonts w:ascii="Arial" w:hAnsi="Arial" w:cs="Arial"/>
                <w:sz w:val="20"/>
                <w:szCs w:val="20"/>
              </w:rPr>
              <w:fldChar w:fldCharType="begin"/>
            </w:r>
            <w:r>
              <w:rPr>
                <w:rFonts w:ascii="Arial" w:hAnsi="Arial" w:cs="Arial"/>
                <w:sz w:val="20"/>
                <w:szCs w:val="20"/>
              </w:rPr>
              <w:instrText xml:space="preserve"> REF _Ref87648573 \r \h </w:instrText>
            </w:r>
            <w:r>
              <w:rPr>
                <w:rFonts w:ascii="Arial" w:hAnsi="Arial" w:cs="Arial"/>
                <w:sz w:val="20"/>
                <w:szCs w:val="20"/>
              </w:rPr>
            </w:r>
            <w:r>
              <w:rPr>
                <w:rFonts w:ascii="Arial" w:hAnsi="Arial" w:cs="Arial"/>
                <w:sz w:val="20"/>
                <w:szCs w:val="20"/>
              </w:rPr>
              <w:fldChar w:fldCharType="separate"/>
            </w:r>
            <w:r w:rsidR="004458E3">
              <w:rPr>
                <w:rFonts w:ascii="Arial" w:hAnsi="Arial" w:cs="Arial"/>
                <w:sz w:val="20"/>
                <w:szCs w:val="20"/>
              </w:rPr>
              <w:t>2.1</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Payment</w:t>
            </w:r>
            <w:r>
              <w:rPr>
                <w:rFonts w:ascii="Arial" w:hAnsi="Arial" w:cs="Arial"/>
                <w:sz w:val="20"/>
                <w:szCs w:val="20"/>
              </w:rPr>
              <w:t>).</w:t>
            </w:r>
          </w:p>
        </w:tc>
      </w:tr>
      <w:tr w:rsidRPr="00022931" w:rsidR="00B64BE5" w:rsidTr="23CD1BAD" w14:paraId="7740CFD8" w14:textId="77777777">
        <w:tc>
          <w:tcPr>
            <w:tcW w:w="2547" w:type="dxa"/>
            <w:shd w:val="clear" w:color="auto" w:fill="F2F2F2" w:themeFill="background1" w:themeFillShade="F2"/>
            <w:tcMar/>
          </w:tcPr>
          <w:p w:rsidRPr="00022931" w:rsidR="00B64BE5" w:rsidP="00B64BE5" w:rsidRDefault="00B64BE5" w14:paraId="1AB33A89" w14:textId="5E51602C">
            <w:pPr>
              <w:pStyle w:val="Default"/>
              <w:spacing w:before="120" w:after="120" w:line="240" w:lineRule="atLeast"/>
              <w:jc w:val="left"/>
              <w:rPr>
                <w:rFonts w:ascii="Arial" w:hAnsi="Arial" w:cs="Arial"/>
                <w:sz w:val="20"/>
                <w:szCs w:val="20"/>
              </w:rPr>
            </w:pPr>
            <w:r w:rsidRPr="00022931">
              <w:rPr>
                <w:rFonts w:ascii="Arial" w:hAnsi="Arial" w:cs="Arial"/>
                <w:sz w:val="20"/>
                <w:szCs w:val="20"/>
              </w:rPr>
              <w:t>Total Non-Performance Points</w:t>
            </w:r>
            <w:r>
              <w:rPr>
                <w:rFonts w:ascii="Arial" w:hAnsi="Arial" w:cs="Arial"/>
                <w:sz w:val="20"/>
                <w:szCs w:val="20"/>
              </w:rPr>
              <w:t xml:space="preserve"> or Total NPPs</w:t>
            </w:r>
          </w:p>
        </w:tc>
        <w:tc>
          <w:tcPr>
            <w:tcW w:w="5811" w:type="dxa"/>
            <w:tcMar/>
          </w:tcPr>
          <w:p w:rsidRPr="00022931" w:rsidR="00B64BE5" w:rsidP="00B64BE5" w:rsidRDefault="00B64BE5" w14:paraId="68D96692" w14:textId="48810307">
            <w:pPr>
              <w:pStyle w:val="Default"/>
              <w:spacing w:before="120" w:after="120" w:line="240" w:lineRule="atLeast"/>
              <w:jc w:val="left"/>
              <w:rPr>
                <w:rFonts w:ascii="Arial" w:hAnsi="Arial" w:cs="Arial"/>
                <w:sz w:val="20"/>
                <w:szCs w:val="20"/>
              </w:rPr>
            </w:pPr>
            <w:r>
              <w:rPr>
                <w:rFonts w:ascii="Arial" w:hAnsi="Arial" w:cs="Arial"/>
                <w:sz w:val="20"/>
                <w:szCs w:val="20"/>
              </w:rPr>
              <w:t>m</w:t>
            </w:r>
            <w:r w:rsidRPr="00022931">
              <w:rPr>
                <w:rFonts w:ascii="Arial" w:hAnsi="Arial" w:cs="Arial"/>
                <w:sz w:val="20"/>
                <w:szCs w:val="20"/>
              </w:rPr>
              <w:t xml:space="preserve">eans the sum of all Non-Performance Points in any given </w:t>
            </w:r>
            <w:r>
              <w:rPr>
                <w:rFonts w:ascii="Arial" w:hAnsi="Arial" w:cs="Arial"/>
                <w:sz w:val="20"/>
                <w:szCs w:val="20"/>
              </w:rPr>
              <w:t>Month</w:t>
            </w:r>
            <w:r w:rsidRPr="00022931">
              <w:rPr>
                <w:rFonts w:ascii="Arial" w:hAnsi="Arial" w:cs="Arial"/>
                <w:sz w:val="20"/>
                <w:szCs w:val="20"/>
              </w:rPr>
              <w:t xml:space="preserve"> across all KPIs.</w:t>
            </w:r>
          </w:p>
        </w:tc>
      </w:tr>
    </w:tbl>
    <w:p w:rsidRPr="00022931" w:rsidR="00415DD4" w:rsidP="00BF7D97" w:rsidRDefault="009C6FB6" w14:paraId="0C28087A" w14:textId="77777777">
      <w:pPr>
        <w:pStyle w:val="Heading1"/>
        <w:spacing w:before="280"/>
        <w:rPr>
          <w:szCs w:val="20"/>
        </w:rPr>
      </w:pPr>
      <w:r w:rsidRPr="00022931">
        <w:rPr>
          <w:szCs w:val="20"/>
        </w:rPr>
        <w:t>Payment for services</w:t>
      </w:r>
    </w:p>
    <w:p w:rsidRPr="00022931" w:rsidR="00415DD4" w:rsidP="00415DD4" w:rsidRDefault="00415DD4" w14:paraId="76D9EA9D" w14:textId="77777777">
      <w:pPr>
        <w:pStyle w:val="Heading2"/>
        <w:rPr>
          <w:b/>
          <w:szCs w:val="20"/>
        </w:rPr>
      </w:pPr>
      <w:bookmarkStart w:name="_Ref87648573" w:id="0"/>
      <w:r w:rsidRPr="00022931">
        <w:rPr>
          <w:b/>
          <w:szCs w:val="20"/>
        </w:rPr>
        <w:t>Payment</w:t>
      </w:r>
      <w:bookmarkEnd w:id="0"/>
    </w:p>
    <w:p w:rsidRPr="00022931" w:rsidR="000606AE" w:rsidP="00503008" w:rsidRDefault="000606AE" w14:paraId="7E917E30" w14:textId="185DECAD">
      <w:pPr>
        <w:pStyle w:val="Heading3"/>
        <w:rPr>
          <w:szCs w:val="20"/>
        </w:rPr>
      </w:pPr>
      <w:r w:rsidRPr="00022931">
        <w:rPr>
          <w:szCs w:val="20"/>
        </w:rPr>
        <w:t xml:space="preserve">In consideration for its </w:t>
      </w:r>
      <w:r w:rsidR="00730093">
        <w:t>delivery</w:t>
      </w:r>
      <w:r w:rsidRPr="00022931">
        <w:rPr>
          <w:szCs w:val="20"/>
        </w:rPr>
        <w:t xml:space="preserve"> of the Services and in accordance with the remainder of this Schedule </w:t>
      </w:r>
      <w:r w:rsidRPr="00022931" w:rsidR="0067787B">
        <w:rPr>
          <w:szCs w:val="20"/>
        </w:rPr>
        <w:t>4</w:t>
      </w:r>
      <w:r w:rsidRPr="00022931">
        <w:rPr>
          <w:szCs w:val="20"/>
        </w:rPr>
        <w:t xml:space="preserve"> and the Contract, the Authority shall pay the </w:t>
      </w:r>
      <w:r w:rsidR="00E541F1">
        <w:rPr>
          <w:szCs w:val="20"/>
        </w:rPr>
        <w:t xml:space="preserve">Total </w:t>
      </w:r>
      <w:r w:rsidR="00474C5A">
        <w:rPr>
          <w:szCs w:val="20"/>
        </w:rPr>
        <w:t>Month</w:t>
      </w:r>
      <w:r w:rsidRPr="00022931">
        <w:rPr>
          <w:szCs w:val="20"/>
        </w:rPr>
        <w:t>ly Payment to the Contractor.</w:t>
      </w:r>
    </w:p>
    <w:p w:rsidRPr="00AF24F8" w:rsidR="000606AE" w:rsidP="007C6E2F" w:rsidRDefault="000606AE" w14:paraId="215B2472" w14:textId="664D671C">
      <w:pPr>
        <w:pStyle w:val="Body3"/>
        <w:rPr>
          <w:rFonts w:cs="Arial"/>
        </w:rPr>
      </w:pPr>
      <w:r w:rsidRPr="00AF24F8">
        <w:rPr>
          <w:rFonts w:cs="Arial"/>
        </w:rPr>
        <w:t>The "</w:t>
      </w:r>
      <w:r w:rsidRPr="00083327" w:rsidR="00912121">
        <w:rPr>
          <w:rFonts w:cs="Arial"/>
          <w:b/>
        </w:rPr>
        <w:t>Total</w:t>
      </w:r>
      <w:r w:rsidRPr="00083327" w:rsidR="00912121">
        <w:rPr>
          <w:rFonts w:cs="Arial"/>
        </w:rPr>
        <w:t xml:space="preserve"> </w:t>
      </w:r>
      <w:r w:rsidRPr="00083327" w:rsidR="00474C5A">
        <w:rPr>
          <w:rFonts w:cs="Arial"/>
          <w:b/>
        </w:rPr>
        <w:t>Month</w:t>
      </w:r>
      <w:r w:rsidRPr="00083327">
        <w:rPr>
          <w:rFonts w:cs="Arial"/>
          <w:b/>
        </w:rPr>
        <w:t>ly Payment</w:t>
      </w:r>
      <w:r w:rsidRPr="00083327">
        <w:rPr>
          <w:rFonts w:cs="Arial"/>
        </w:rPr>
        <w:t>"</w:t>
      </w:r>
      <w:r w:rsidRPr="00AF24F8" w:rsidR="00FD1343">
        <w:rPr>
          <w:rFonts w:cs="Arial"/>
        </w:rPr>
        <w:t xml:space="preserve"> </w:t>
      </w:r>
      <w:r w:rsidRPr="00AF24F8">
        <w:rPr>
          <w:rFonts w:cs="Arial"/>
        </w:rPr>
        <w:t xml:space="preserve">shall be </w:t>
      </w:r>
      <w:r w:rsidRPr="00AF24F8" w:rsidR="0067787B">
        <w:rPr>
          <w:rFonts w:cs="Arial"/>
        </w:rPr>
        <w:t>calculated as follows</w:t>
      </w:r>
      <w:r w:rsidRPr="00AF24F8">
        <w:rPr>
          <w:rFonts w:cs="Arial"/>
        </w:rPr>
        <w:t>:</w:t>
      </w:r>
    </w:p>
    <w:p w:rsidR="00E541F1" w:rsidP="005D6A28" w:rsidRDefault="00F855CA" w14:paraId="0535DCE1" w14:textId="42799B34">
      <w:pPr>
        <w:pStyle w:val="Heading5"/>
        <w:rPr>
          <w:rFonts w:cs="Arial"/>
        </w:rPr>
      </w:pPr>
      <w:r>
        <w:rPr>
          <w:rFonts w:cs="Arial"/>
        </w:rPr>
        <w:t>MC</w:t>
      </w:r>
      <w:r w:rsidR="00912121">
        <w:rPr>
          <w:rFonts w:cs="Arial"/>
        </w:rPr>
        <w:t xml:space="preserve"> for </w:t>
      </w:r>
      <w:r w:rsidR="00474C5A">
        <w:rPr>
          <w:rFonts w:cs="Arial"/>
        </w:rPr>
        <w:t>Month</w:t>
      </w:r>
      <w:r w:rsidR="00912121">
        <w:rPr>
          <w:rFonts w:cs="Arial"/>
        </w:rPr>
        <w:t xml:space="preserve"> M</w:t>
      </w:r>
      <w:r>
        <w:rPr>
          <w:rFonts w:cs="Arial"/>
        </w:rPr>
        <w:t>; LESS</w:t>
      </w:r>
    </w:p>
    <w:p w:rsidRPr="00083327" w:rsidR="00F855CA" w:rsidP="00F855CA" w:rsidRDefault="00F855CA" w14:paraId="06A798AD" w14:textId="4E43E14C">
      <w:pPr>
        <w:pStyle w:val="Heading5"/>
      </w:pPr>
      <w:r w:rsidRPr="00F855CA">
        <w:rPr>
          <w:rFonts w:cs="Arial"/>
        </w:rPr>
        <w:t>Service</w:t>
      </w:r>
      <w:r>
        <w:t xml:space="preserve"> Credits</w:t>
      </w:r>
      <w:r w:rsidR="00912121">
        <w:t xml:space="preserve"> for </w:t>
      </w:r>
      <w:r w:rsidRPr="00083327" w:rsidR="00474C5A">
        <w:t>Month</w:t>
      </w:r>
      <w:r w:rsidRPr="00083327" w:rsidR="00912121">
        <w:t xml:space="preserve"> M-2</w:t>
      </w:r>
      <w:r w:rsidRPr="00083327">
        <w:t>; PLUS</w:t>
      </w:r>
    </w:p>
    <w:p w:rsidRPr="00083327" w:rsidR="00F855CA" w:rsidP="00F855CA" w:rsidRDefault="00F855CA" w14:paraId="1C09DEAC" w14:textId="1D26FE6C">
      <w:pPr>
        <w:pStyle w:val="Heading5"/>
      </w:pPr>
      <w:r w:rsidRPr="00083327">
        <w:rPr>
          <w:rFonts w:cs="Arial"/>
        </w:rPr>
        <w:lastRenderedPageBreak/>
        <w:t>Service</w:t>
      </w:r>
      <w:r w:rsidRPr="00083327">
        <w:t xml:space="preserve"> Credits Retention Release</w:t>
      </w:r>
      <w:r w:rsidRPr="00083327" w:rsidR="00912121">
        <w:t xml:space="preserve"> for </w:t>
      </w:r>
      <w:r w:rsidRPr="00083327" w:rsidR="00474C5A">
        <w:t>Month</w:t>
      </w:r>
      <w:r w:rsidRPr="00083327" w:rsidR="00912121">
        <w:t xml:space="preserve"> M-2</w:t>
      </w:r>
      <w:r w:rsidRPr="00083327">
        <w:t>; LESS</w:t>
      </w:r>
    </w:p>
    <w:p w:rsidRPr="00083327" w:rsidR="00F855CA" w:rsidP="00F855CA" w:rsidRDefault="00F855CA" w14:paraId="186E3F51" w14:textId="30BCC86C">
      <w:pPr>
        <w:pStyle w:val="Heading5"/>
      </w:pPr>
      <w:r w:rsidRPr="00083327">
        <w:rPr>
          <w:rFonts w:cs="Arial"/>
        </w:rPr>
        <w:t>Profit</w:t>
      </w:r>
      <w:r w:rsidRPr="00083327">
        <w:t xml:space="preserve"> Share</w:t>
      </w:r>
      <w:r w:rsidRPr="00083327" w:rsidR="00912121">
        <w:t xml:space="preserve"> for </w:t>
      </w:r>
      <w:r w:rsidRPr="00083327" w:rsidR="00474C5A">
        <w:t>Month</w:t>
      </w:r>
      <w:r w:rsidRPr="00083327" w:rsidR="00912121">
        <w:t xml:space="preserve"> M-2</w:t>
      </w:r>
      <w:r w:rsidRPr="00083327">
        <w:t>; PLUS</w:t>
      </w:r>
    </w:p>
    <w:p w:rsidR="00F855CA" w:rsidP="00F855CA" w:rsidRDefault="00F855CA" w14:paraId="2F84E51B" w14:textId="6F170266">
      <w:pPr>
        <w:pStyle w:val="Heading5"/>
      </w:pPr>
      <w:r w:rsidRPr="00083327">
        <w:t>Fuel Charge</w:t>
      </w:r>
      <w:r w:rsidRPr="00083327" w:rsidR="00912121">
        <w:t xml:space="preserve"> for </w:t>
      </w:r>
      <w:r w:rsidRPr="00083327" w:rsidR="00474C5A">
        <w:t>Month</w:t>
      </w:r>
      <w:r w:rsidRPr="00083327" w:rsidR="00912121">
        <w:t xml:space="preserve"> M</w:t>
      </w:r>
      <w:r w:rsidR="009C50B9">
        <w:t>-2</w:t>
      </w:r>
      <w:r w:rsidR="003F772A">
        <w:t>,</w:t>
      </w:r>
      <w:r w:rsidR="00F131B6">
        <w:t xml:space="preserve"> </w:t>
      </w:r>
    </w:p>
    <w:p w:rsidR="002636C9" w:rsidP="00141084" w:rsidRDefault="009E7BDE" w14:paraId="611FBC7F" w14:textId="0CFF1CE2">
      <w:pPr>
        <w:pStyle w:val="Heading2"/>
        <w:numPr>
          <w:ilvl w:val="0"/>
          <w:numId w:val="0"/>
        </w:numPr>
        <w:spacing w:before="280"/>
        <w:ind w:left="709"/>
        <w:rPr>
          <w:bCs w:val="0"/>
          <w:iCs w:val="0"/>
          <w:szCs w:val="26"/>
        </w:rPr>
      </w:pPr>
      <w:r w:rsidRPr="009E7BDE">
        <w:rPr>
          <w:bCs w:val="0"/>
          <w:iCs w:val="0"/>
          <w:szCs w:val="26"/>
        </w:rPr>
        <w:t>with the payment for Month M to be made by the Authority</w:t>
      </w:r>
      <w:r w:rsidR="006B54E2">
        <w:rPr>
          <w:bCs w:val="0"/>
          <w:iCs w:val="0"/>
          <w:szCs w:val="26"/>
        </w:rPr>
        <w:t xml:space="preserve"> </w:t>
      </w:r>
      <w:bookmarkStart w:name="_Hlk111715687" w:id="1"/>
      <w:r w:rsidR="009C50B9">
        <w:rPr>
          <w:bCs w:val="0"/>
          <w:iCs w:val="0"/>
          <w:szCs w:val="26"/>
        </w:rPr>
        <w:t xml:space="preserve">following </w:t>
      </w:r>
      <w:r w:rsidR="006B54E2">
        <w:rPr>
          <w:bCs w:val="0"/>
          <w:iCs w:val="0"/>
          <w:szCs w:val="26"/>
        </w:rPr>
        <w:t>receipt of a valid invoice</w:t>
      </w:r>
      <w:r w:rsidRPr="009E7BDE">
        <w:rPr>
          <w:bCs w:val="0"/>
          <w:iCs w:val="0"/>
          <w:szCs w:val="26"/>
        </w:rPr>
        <w:t xml:space="preserve"> </w:t>
      </w:r>
      <w:bookmarkEnd w:id="1"/>
      <w:r w:rsidR="00B510F2">
        <w:rPr>
          <w:bCs w:val="0"/>
          <w:iCs w:val="0"/>
          <w:szCs w:val="26"/>
        </w:rPr>
        <w:t xml:space="preserve">in accordance with Clause </w:t>
      </w:r>
      <w:r w:rsidR="000C0A2E">
        <w:t>20 (</w:t>
      </w:r>
      <w:r w:rsidRPr="00D6289E" w:rsidR="000C0A2E">
        <w:rPr>
          <w:i/>
        </w:rPr>
        <w:t>Payment and Recovery of Sums Due</w:t>
      </w:r>
      <w:r w:rsidR="000C0A2E">
        <w:t xml:space="preserve">) </w:t>
      </w:r>
      <w:r w:rsidR="00B510F2">
        <w:rPr>
          <w:bCs w:val="0"/>
          <w:iCs w:val="0"/>
          <w:szCs w:val="26"/>
        </w:rPr>
        <w:t xml:space="preserve">of the Contract. </w:t>
      </w:r>
    </w:p>
    <w:p w:rsidRPr="00022931" w:rsidR="00CE2AC7" w:rsidP="00BF7D97" w:rsidRDefault="00F855CA" w14:paraId="5395FAC4" w14:textId="7CBFB215">
      <w:pPr>
        <w:pStyle w:val="Heading2"/>
        <w:spacing w:before="280"/>
        <w:rPr>
          <w:b/>
          <w:szCs w:val="20"/>
        </w:rPr>
      </w:pPr>
      <w:r>
        <w:rPr>
          <w:b/>
          <w:szCs w:val="20"/>
        </w:rPr>
        <w:t xml:space="preserve">Annual Charge </w:t>
      </w:r>
    </w:p>
    <w:p w:rsidRPr="00083327" w:rsidR="00A009EB" w:rsidP="00503008" w:rsidRDefault="00A009EB" w14:paraId="61A51341" w14:textId="1DE19FB4">
      <w:pPr>
        <w:pStyle w:val="Heading3"/>
        <w:rPr>
          <w:szCs w:val="20"/>
        </w:rPr>
      </w:pPr>
      <w:r w:rsidRPr="00083327">
        <w:rPr>
          <w:szCs w:val="20"/>
        </w:rPr>
        <w:t xml:space="preserve">The Authority shall, from the </w:t>
      </w:r>
      <w:r w:rsidRPr="00083327" w:rsidR="00353ABA">
        <w:rPr>
          <w:szCs w:val="20"/>
        </w:rPr>
        <w:t xml:space="preserve">Service Commencement </w:t>
      </w:r>
      <w:r w:rsidRPr="00083327" w:rsidR="00D81B6E">
        <w:rPr>
          <w:szCs w:val="20"/>
        </w:rPr>
        <w:t>Date</w:t>
      </w:r>
      <w:r w:rsidRPr="00083327">
        <w:rPr>
          <w:szCs w:val="20"/>
        </w:rPr>
        <w:t xml:space="preserve">, pay the </w:t>
      </w:r>
      <w:r w:rsidRPr="00083327" w:rsidR="00620D1F">
        <w:rPr>
          <w:szCs w:val="20"/>
        </w:rPr>
        <w:t>AC</w:t>
      </w:r>
      <w:r w:rsidRPr="00083327">
        <w:rPr>
          <w:szCs w:val="20"/>
        </w:rPr>
        <w:t xml:space="preserve"> to the Contractor for its </w:t>
      </w:r>
      <w:r w:rsidRPr="00083327" w:rsidR="00730093">
        <w:t>delivery</w:t>
      </w:r>
      <w:r w:rsidRPr="00083327">
        <w:rPr>
          <w:szCs w:val="20"/>
        </w:rPr>
        <w:t xml:space="preserve"> of the Services</w:t>
      </w:r>
      <w:r w:rsidR="00F154F6">
        <w:rPr>
          <w:szCs w:val="20"/>
        </w:rPr>
        <w:t xml:space="preserve"> on the basis of SDA 4, SDA 5 and SDA 7 and the </w:t>
      </w:r>
      <w:r w:rsidR="006B54E2">
        <w:rPr>
          <w:szCs w:val="20"/>
        </w:rPr>
        <w:t>formulae</w:t>
      </w:r>
      <w:r w:rsidR="00F154F6">
        <w:rPr>
          <w:szCs w:val="20"/>
        </w:rPr>
        <w:t xml:space="preserve"> for the calculation of these set out in Paragraph </w:t>
      </w:r>
      <w:r w:rsidR="00F154F6">
        <w:rPr>
          <w:szCs w:val="20"/>
        </w:rPr>
        <w:fldChar w:fldCharType="begin"/>
      </w:r>
      <w:r w:rsidR="00F154F6">
        <w:rPr>
          <w:szCs w:val="20"/>
        </w:rPr>
        <w:instrText xml:space="preserve"> REF _Ref108788374 \r \h </w:instrText>
      </w:r>
      <w:r w:rsidR="00F154F6">
        <w:rPr>
          <w:szCs w:val="20"/>
        </w:rPr>
      </w:r>
      <w:r w:rsidR="00F154F6">
        <w:rPr>
          <w:szCs w:val="20"/>
        </w:rPr>
        <w:fldChar w:fldCharType="separate"/>
      </w:r>
      <w:r w:rsidR="004458E3">
        <w:rPr>
          <w:szCs w:val="20"/>
        </w:rPr>
        <w:t>2.4</w:t>
      </w:r>
      <w:r w:rsidR="00F154F6">
        <w:rPr>
          <w:szCs w:val="20"/>
        </w:rPr>
        <w:fldChar w:fldCharType="end"/>
      </w:r>
      <w:r w:rsidR="00F154F6">
        <w:rPr>
          <w:szCs w:val="20"/>
        </w:rPr>
        <w:t xml:space="preserve"> (</w:t>
      </w:r>
      <w:r w:rsidR="00F154F6">
        <w:rPr>
          <w:i/>
          <w:szCs w:val="20"/>
        </w:rPr>
        <w:t>Calculation of the Annual Charge</w:t>
      </w:r>
      <w:r w:rsidR="00F154F6">
        <w:rPr>
          <w:szCs w:val="20"/>
        </w:rPr>
        <w:t>) below.</w:t>
      </w:r>
    </w:p>
    <w:p w:rsidRPr="00022931" w:rsidR="007D5C3A" w:rsidP="007C6E2F" w:rsidRDefault="007D5C3A" w14:paraId="3576A593" w14:textId="19DBE37D">
      <w:pPr>
        <w:pStyle w:val="Heading2"/>
        <w:spacing w:before="280"/>
        <w:rPr>
          <w:b/>
        </w:rPr>
      </w:pPr>
      <w:bookmarkStart w:name="_Ref93394760" w:id="2"/>
      <w:r w:rsidRPr="00022931">
        <w:rPr>
          <w:b/>
        </w:rPr>
        <w:t>Annual Pricing Process</w:t>
      </w:r>
      <w:bookmarkEnd w:id="2"/>
    </w:p>
    <w:p w:rsidRPr="00022931" w:rsidR="007D5C3A" w:rsidP="007952CB" w:rsidRDefault="001D2B0F" w14:paraId="7BDE2248" w14:textId="4CE0F4AE">
      <w:pPr>
        <w:pStyle w:val="Heading3"/>
      </w:pPr>
      <w:bookmarkStart w:name="_Ref90662040" w:id="3"/>
      <w:r w:rsidRPr="00022931">
        <w:t>The Authority shall, no later than the date falling t</w:t>
      </w:r>
      <w:r w:rsidRPr="00022931" w:rsidR="007D5C3A">
        <w:t xml:space="preserve">hree (3) </w:t>
      </w:r>
      <w:r w:rsidR="00E80858">
        <w:t>M</w:t>
      </w:r>
      <w:r w:rsidRPr="00022931" w:rsidR="00E80858">
        <w:t>onths</w:t>
      </w:r>
      <w:r w:rsidRPr="00022931" w:rsidDel="00245FA6" w:rsidR="00E80858">
        <w:t xml:space="preserve"> </w:t>
      </w:r>
      <w:r w:rsidRPr="00022931" w:rsidR="007D5C3A">
        <w:t xml:space="preserve">prior to the commencement of each </w:t>
      </w:r>
      <w:r w:rsidRPr="00022931" w:rsidR="00245FA6">
        <w:t>Contract Year</w:t>
      </w:r>
      <w:r w:rsidRPr="00022931">
        <w:t>,</w:t>
      </w:r>
      <w:r w:rsidRPr="00022931" w:rsidR="007D5C3A">
        <w:t xml:space="preserve"> </w:t>
      </w:r>
      <w:r w:rsidRPr="00022931">
        <w:t>notify</w:t>
      </w:r>
      <w:r w:rsidRPr="00022931" w:rsidR="007D5C3A">
        <w:t xml:space="preserve"> the Contractor of </w:t>
      </w:r>
      <w:r w:rsidRPr="00022931">
        <w:t>the</w:t>
      </w:r>
      <w:r w:rsidRPr="00022931" w:rsidR="007D5C3A">
        <w:t xml:space="preserve"> </w:t>
      </w:r>
      <w:r w:rsidRPr="00022931" w:rsidR="00757663">
        <w:t xml:space="preserve">level of Tasks that it anticipates will be instructed in the forthcoming </w:t>
      </w:r>
      <w:r w:rsidRPr="00022931" w:rsidR="00245FA6">
        <w:t>Contract Year</w:t>
      </w:r>
      <w:r w:rsidRPr="00022931" w:rsidR="00757663">
        <w:t xml:space="preserve"> (the "</w:t>
      </w:r>
      <w:r w:rsidRPr="004D67C3" w:rsidR="007D5C3A">
        <w:rPr>
          <w:b/>
        </w:rPr>
        <w:t>Forecast Volume</w:t>
      </w:r>
      <w:r w:rsidRPr="009E6CF3" w:rsidR="00757663">
        <w:t>")</w:t>
      </w:r>
      <w:r w:rsidRPr="009E6CF3" w:rsidR="005018E4">
        <w:t>, in accordance with</w:t>
      </w:r>
      <w:r w:rsidRPr="00022931" w:rsidR="005018E4">
        <w:t xml:space="preserve"> Schedule </w:t>
      </w:r>
      <w:r w:rsidRPr="00022931" w:rsidR="00B818F5">
        <w:t>2</w:t>
      </w:r>
      <w:r w:rsidRPr="00022931" w:rsidR="005018E4">
        <w:t xml:space="preserve"> (</w:t>
      </w:r>
      <w:r w:rsidRPr="00022931" w:rsidR="005018E4">
        <w:rPr>
          <w:i/>
        </w:rPr>
        <w:t>Statement of Requirement</w:t>
      </w:r>
      <w:r w:rsidRPr="00022931" w:rsidR="005018E4">
        <w:t>)</w:t>
      </w:r>
      <w:r w:rsidRPr="00022931">
        <w:t>.</w:t>
      </w:r>
      <w:bookmarkEnd w:id="3"/>
    </w:p>
    <w:p w:rsidR="00695D31" w:rsidP="007952CB" w:rsidRDefault="00A7744A" w14:paraId="73CFE207" w14:textId="3DCB3614">
      <w:pPr>
        <w:pStyle w:val="Heading3"/>
      </w:pPr>
      <w:r>
        <w:t>For the avoidance of doubt, Pricing Bands shall not apply with respect to SDA 4 or SDA 5</w:t>
      </w:r>
      <w:r w:rsidR="00073C41">
        <w:t>, provided that the volumes for Tasks within these SDAs are within the limits set out in Schedule 2 (</w:t>
      </w:r>
      <w:r w:rsidR="00073C41">
        <w:rPr>
          <w:i/>
        </w:rPr>
        <w:t>Statement of Requirement</w:t>
      </w:r>
      <w:r w:rsidR="00073C41">
        <w:t>)</w:t>
      </w:r>
      <w:r>
        <w:t>.</w:t>
      </w:r>
    </w:p>
    <w:p w:rsidR="00A7744A" w:rsidP="007952CB" w:rsidRDefault="00A7744A" w14:paraId="7B18A691" w14:textId="4E967ED3">
      <w:pPr>
        <w:pStyle w:val="Heading3"/>
      </w:pPr>
      <w:r>
        <w:t xml:space="preserve">The portion of the AC with respect to SDA 4 and SDA 5 shall be determined from the AC Pricing Tables set out in Annex 1 for the relevant Contract Year. </w:t>
      </w:r>
    </w:p>
    <w:p w:rsidRPr="00022931" w:rsidR="001D2B0F" w:rsidP="007952CB" w:rsidRDefault="00E53FC5" w14:paraId="4B5D336F" w14:textId="6E48D4CD">
      <w:pPr>
        <w:pStyle w:val="Heading3"/>
      </w:pPr>
      <w:r>
        <w:t>With respect to SDA 7 and b</w:t>
      </w:r>
      <w:r w:rsidRPr="00022931" w:rsidR="007D5C3A">
        <w:t>ased on the Forecast Volume</w:t>
      </w:r>
      <w:r w:rsidRPr="00022931" w:rsidR="001D2B0F">
        <w:t xml:space="preserve"> notified to it by the Authority</w:t>
      </w:r>
      <w:r w:rsidRPr="00022931" w:rsidR="007D5C3A">
        <w:t>, the Contractor shall</w:t>
      </w:r>
      <w:r w:rsidRPr="00022931" w:rsidR="001D2B0F">
        <w:t>:</w:t>
      </w:r>
      <w:r w:rsidRPr="00022931" w:rsidR="007D5C3A">
        <w:t xml:space="preserve"> </w:t>
      </w:r>
    </w:p>
    <w:p w:rsidRPr="00023175" w:rsidR="007D5C3A" w:rsidP="007952CB" w:rsidRDefault="007D5C3A" w14:paraId="13D62D94" w14:textId="159FDD65">
      <w:pPr>
        <w:pStyle w:val="Heading5"/>
        <w:rPr>
          <w:rFonts w:cs="Arial"/>
        </w:rPr>
      </w:pPr>
      <w:r w:rsidRPr="00AF24F8">
        <w:rPr>
          <w:rFonts w:cs="Arial"/>
        </w:rPr>
        <w:t>identify which Pricing Band</w:t>
      </w:r>
      <w:r w:rsidR="00E53FC5">
        <w:rPr>
          <w:rFonts w:cs="Arial"/>
        </w:rPr>
        <w:t xml:space="preserve"> for SDA 7</w:t>
      </w:r>
      <w:r w:rsidRPr="00AF24F8">
        <w:rPr>
          <w:rFonts w:cs="Arial"/>
        </w:rPr>
        <w:t xml:space="preserve"> in the </w:t>
      </w:r>
      <w:r w:rsidRPr="00022931" w:rsidR="00620D1F">
        <w:rPr>
          <w:rFonts w:cs="Arial"/>
          <w:szCs w:val="20"/>
        </w:rPr>
        <w:t>AC</w:t>
      </w:r>
      <w:r w:rsidRPr="00AF24F8">
        <w:rPr>
          <w:rFonts w:cs="Arial"/>
        </w:rPr>
        <w:t xml:space="preserve"> Pricing Table</w:t>
      </w:r>
      <w:r w:rsidRPr="00AF24F8" w:rsidR="00EE21B6">
        <w:rPr>
          <w:rFonts w:cs="Arial"/>
        </w:rPr>
        <w:t xml:space="preserve"> </w:t>
      </w:r>
      <w:r w:rsidRPr="00AF24F8">
        <w:rPr>
          <w:rFonts w:cs="Arial"/>
        </w:rPr>
        <w:t xml:space="preserve">that </w:t>
      </w:r>
      <w:r w:rsidRPr="00AF24F8" w:rsidR="001D2B0F">
        <w:rPr>
          <w:rFonts w:cs="Arial"/>
        </w:rPr>
        <w:t>F</w:t>
      </w:r>
      <w:r w:rsidRPr="00023175">
        <w:rPr>
          <w:rFonts w:cs="Arial"/>
        </w:rPr>
        <w:t>orecast</w:t>
      </w:r>
      <w:r w:rsidRPr="00023175" w:rsidR="001D2B0F">
        <w:rPr>
          <w:rFonts w:cs="Arial"/>
        </w:rPr>
        <w:t xml:space="preserve"> V</w:t>
      </w:r>
      <w:r w:rsidRPr="00023175">
        <w:rPr>
          <w:rFonts w:cs="Arial"/>
        </w:rPr>
        <w:t>olume falls in</w:t>
      </w:r>
      <w:r w:rsidRPr="00023175" w:rsidR="001D2B0F">
        <w:rPr>
          <w:rFonts w:cs="Arial"/>
        </w:rPr>
        <w:t>; and</w:t>
      </w:r>
    </w:p>
    <w:p w:rsidRPr="00023175" w:rsidR="007D5C3A" w:rsidP="007952CB" w:rsidRDefault="007D5C3A" w14:paraId="1A9F3F57" w14:textId="17DD802C">
      <w:pPr>
        <w:pStyle w:val="Heading5"/>
        <w:rPr>
          <w:rFonts w:cs="Arial"/>
        </w:rPr>
      </w:pPr>
      <w:r w:rsidRPr="00023175">
        <w:rPr>
          <w:rFonts w:cs="Arial"/>
        </w:rPr>
        <w:t>confirm</w:t>
      </w:r>
      <w:r w:rsidRPr="00023175" w:rsidR="00397625">
        <w:rPr>
          <w:rFonts w:cs="Arial"/>
        </w:rPr>
        <w:t xml:space="preserve"> to the Authority</w:t>
      </w:r>
      <w:r w:rsidRPr="00023175">
        <w:rPr>
          <w:rFonts w:cs="Arial"/>
        </w:rPr>
        <w:t xml:space="preserve"> th</w:t>
      </w:r>
      <w:r w:rsidRPr="00023175" w:rsidR="00397625">
        <w:rPr>
          <w:rFonts w:cs="Arial"/>
        </w:rPr>
        <w:t>e</w:t>
      </w:r>
      <w:r w:rsidRPr="00023175">
        <w:rPr>
          <w:rFonts w:cs="Arial"/>
        </w:rPr>
        <w:t xml:space="preserve"> Pricing Band</w:t>
      </w:r>
      <w:r w:rsidR="00E53FC5">
        <w:rPr>
          <w:rFonts w:cs="Arial"/>
        </w:rPr>
        <w:t xml:space="preserve"> for SDA 7</w:t>
      </w:r>
      <w:r w:rsidRPr="00023175">
        <w:rPr>
          <w:rFonts w:cs="Arial"/>
        </w:rPr>
        <w:t xml:space="preserve"> </w:t>
      </w:r>
      <w:r w:rsidRPr="00023175" w:rsidR="00397625">
        <w:rPr>
          <w:rFonts w:cs="Arial"/>
        </w:rPr>
        <w:t xml:space="preserve">that </w:t>
      </w:r>
      <w:r w:rsidRPr="00023175">
        <w:rPr>
          <w:rFonts w:cs="Arial"/>
        </w:rPr>
        <w:t xml:space="preserve">will apply for the </w:t>
      </w:r>
      <w:r w:rsidRPr="00023175" w:rsidR="00397625">
        <w:rPr>
          <w:rFonts w:cs="Arial"/>
        </w:rPr>
        <w:t xml:space="preserve">relevant </w:t>
      </w:r>
      <w:r w:rsidRPr="00023175" w:rsidR="00245FA6">
        <w:rPr>
          <w:rFonts w:cs="Arial"/>
        </w:rPr>
        <w:t>Contract Year</w:t>
      </w:r>
      <w:r w:rsidRPr="00023175" w:rsidR="007952CB">
        <w:rPr>
          <w:rFonts w:cs="Arial"/>
        </w:rPr>
        <w:t>.</w:t>
      </w:r>
    </w:p>
    <w:p w:rsidRPr="00022931" w:rsidR="007D5C3A" w:rsidP="007952CB" w:rsidRDefault="001D2B0F" w14:paraId="6A4DA566" w14:textId="3394742F">
      <w:pPr>
        <w:pStyle w:val="Heading3"/>
      </w:pPr>
      <w:r w:rsidRPr="00022931">
        <w:t>The</w:t>
      </w:r>
      <w:r w:rsidRPr="00022931" w:rsidR="007D5C3A">
        <w:t xml:space="preserve"> </w:t>
      </w:r>
      <w:r w:rsidRPr="00022931" w:rsidR="00620D1F">
        <w:rPr>
          <w:szCs w:val="20"/>
        </w:rPr>
        <w:t>AC</w:t>
      </w:r>
      <w:r w:rsidR="00694821">
        <w:rPr>
          <w:szCs w:val="20"/>
        </w:rPr>
        <w:t xml:space="preserve"> for SDA 4 and SDA5 </w:t>
      </w:r>
      <w:r w:rsidRPr="00022931">
        <w:t xml:space="preserve">for the forthcoming </w:t>
      </w:r>
      <w:r w:rsidRPr="00022931" w:rsidR="00245FA6">
        <w:t>Contract Year</w:t>
      </w:r>
      <w:r w:rsidRPr="00022931">
        <w:t xml:space="preserve"> shall be taken from</w:t>
      </w:r>
      <w:r w:rsidRPr="00022931" w:rsidR="007D5C3A">
        <w:t xml:space="preserve"> the </w:t>
      </w:r>
      <w:r w:rsidRPr="00022931" w:rsidR="00620D1F">
        <w:rPr>
          <w:szCs w:val="20"/>
        </w:rPr>
        <w:t>AC</w:t>
      </w:r>
      <w:r w:rsidRPr="00022931" w:rsidR="007D5C3A">
        <w:t xml:space="preserve"> Pricing Tables</w:t>
      </w:r>
      <w:r w:rsidR="00506C91">
        <w:t xml:space="preserve"> and, with respect to SDA 7, from the agreed Pricing Band</w:t>
      </w:r>
      <w:r w:rsidR="00694821">
        <w:t xml:space="preserve"> set out in the </w:t>
      </w:r>
      <w:r w:rsidRPr="00BD6C1B" w:rsidR="00694821">
        <w:t>SDA 7 Pricing Table</w:t>
      </w:r>
      <w:r w:rsidRPr="00BD6C1B" w:rsidR="007952CB">
        <w:t>.</w:t>
      </w:r>
      <w:r w:rsidRPr="00022931" w:rsidR="007D5C3A">
        <w:t xml:space="preserve"> </w:t>
      </w:r>
    </w:p>
    <w:p w:rsidRPr="00022931" w:rsidR="007D5C3A" w:rsidP="007952CB" w:rsidRDefault="007D5C3A" w14:paraId="23B2F180" w14:textId="38BF3692">
      <w:pPr>
        <w:pStyle w:val="Heading3"/>
      </w:pPr>
      <w:r w:rsidRPr="00022931">
        <w:t>Where the Authority does not inform the Contractor of the Forecast Volume</w:t>
      </w:r>
      <w:r w:rsidR="00AF255C">
        <w:t xml:space="preserve"> by </w:t>
      </w:r>
      <w:r w:rsidRPr="00022931" w:rsidR="001D2B0F">
        <w:t xml:space="preserve">the date falling three (3) </w:t>
      </w:r>
      <w:r w:rsidR="00474C5A">
        <w:t>Month</w:t>
      </w:r>
      <w:r w:rsidRPr="00022931" w:rsidR="0095364B">
        <w:t>s</w:t>
      </w:r>
      <w:r w:rsidRPr="00022931" w:rsidR="001D2B0F">
        <w:t xml:space="preserve"> prior to any </w:t>
      </w:r>
      <w:r w:rsidRPr="00022931" w:rsidR="00245FA6">
        <w:t>Contract Year</w:t>
      </w:r>
      <w:r w:rsidRPr="00022931">
        <w:t>, the Contractor shall assume</w:t>
      </w:r>
      <w:r w:rsidRPr="00022931" w:rsidR="001D2B0F">
        <w:t xml:space="preserve"> that</w:t>
      </w:r>
      <w:r w:rsidRPr="00022931">
        <w:t xml:space="preserve"> the Forecast Volume</w:t>
      </w:r>
      <w:r w:rsidR="00A7744A">
        <w:t xml:space="preserve"> for SDA 7</w:t>
      </w:r>
      <w:r w:rsidRPr="00022931" w:rsidR="001D2B0F">
        <w:t xml:space="preserve"> for the relevant </w:t>
      </w:r>
      <w:r w:rsidRPr="00022931" w:rsidR="00245FA6">
        <w:t>Contract Year</w:t>
      </w:r>
      <w:r w:rsidRPr="00022931">
        <w:t xml:space="preserve"> falls in Pricing Band 0</w:t>
      </w:r>
      <w:r w:rsidRPr="00022931" w:rsidR="007952CB">
        <w:t>.</w:t>
      </w:r>
    </w:p>
    <w:p w:rsidRPr="00022931" w:rsidR="00AD4385" w:rsidP="00AD4385" w:rsidRDefault="00AD4385" w14:paraId="2B3E51A9" w14:textId="0685BF5E">
      <w:pPr>
        <w:pStyle w:val="Heading3"/>
        <w:spacing w:before="280"/>
        <w:ind w:left="1418" w:hanging="709"/>
        <w:rPr>
          <w:szCs w:val="20"/>
        </w:rPr>
      </w:pPr>
      <w:r w:rsidRPr="00022931">
        <w:rPr>
          <w:szCs w:val="20"/>
        </w:rPr>
        <w:t xml:space="preserve">The </w:t>
      </w:r>
      <w:r w:rsidR="00A94C0C">
        <w:rPr>
          <w:szCs w:val="20"/>
        </w:rPr>
        <w:t>Annual Charge</w:t>
      </w:r>
      <w:r w:rsidRPr="00022931" w:rsidR="00A94C0C">
        <w:rPr>
          <w:szCs w:val="20"/>
        </w:rPr>
        <w:t xml:space="preserve"> </w:t>
      </w:r>
      <w:r w:rsidRPr="00022931">
        <w:rPr>
          <w:szCs w:val="20"/>
        </w:rPr>
        <w:t xml:space="preserve">for each </w:t>
      </w:r>
      <w:r w:rsidRPr="00022931" w:rsidR="00245FA6">
        <w:t>Contract Year</w:t>
      </w:r>
      <w:r w:rsidRPr="00022931">
        <w:rPr>
          <w:szCs w:val="20"/>
        </w:rPr>
        <w:t xml:space="preserve"> shall be</w:t>
      </w:r>
      <w:r w:rsidR="00DE5989">
        <w:rPr>
          <w:szCs w:val="20"/>
        </w:rPr>
        <w:t xml:space="preserve"> submitted by the Contractor for approval by the Authority no later than </w:t>
      </w:r>
      <w:r w:rsidRPr="00022931">
        <w:rPr>
          <w:szCs w:val="20"/>
        </w:rPr>
        <w:t xml:space="preserve">one (1) </w:t>
      </w:r>
      <w:r w:rsidR="00474C5A">
        <w:t>Month</w:t>
      </w:r>
      <w:r w:rsidRPr="00022931">
        <w:rPr>
          <w:szCs w:val="20"/>
        </w:rPr>
        <w:t xml:space="preserve"> prior to the commencement of </w:t>
      </w:r>
      <w:r w:rsidRPr="00022931">
        <w:rPr>
          <w:szCs w:val="20"/>
        </w:rPr>
        <w:lastRenderedPageBreak/>
        <w:t xml:space="preserve">the relevant </w:t>
      </w:r>
      <w:r w:rsidRPr="00022931" w:rsidR="00245FA6">
        <w:t>Contract Year</w:t>
      </w:r>
      <w:r w:rsidRPr="00022931">
        <w:rPr>
          <w:szCs w:val="20"/>
        </w:rPr>
        <w:t xml:space="preserve"> and</w:t>
      </w:r>
      <w:r w:rsidR="00DE5989">
        <w:rPr>
          <w:szCs w:val="20"/>
        </w:rPr>
        <w:t>, provided it is approved by the Authority,</w:t>
      </w:r>
      <w:r w:rsidRPr="00022931">
        <w:rPr>
          <w:szCs w:val="20"/>
        </w:rPr>
        <w:t xml:space="preserve"> apply from the commencement of the </w:t>
      </w:r>
      <w:r w:rsidRPr="00022931" w:rsidR="00245FA6">
        <w:t>Contract Year</w:t>
      </w:r>
      <w:r w:rsidRPr="00022931">
        <w:rPr>
          <w:szCs w:val="20"/>
        </w:rPr>
        <w:t>.</w:t>
      </w:r>
      <w:r w:rsidR="00DE5989">
        <w:rPr>
          <w:szCs w:val="20"/>
        </w:rPr>
        <w:t xml:space="preserve"> The Annual Charge shall be calculated in accordance with the formula set out in </w:t>
      </w:r>
      <w:r w:rsidRPr="00DE5989" w:rsidR="00DE5989">
        <w:t xml:space="preserve">Paragraph </w:t>
      </w:r>
      <w:r w:rsidRPr="00DE5989" w:rsidR="00DE5989">
        <w:fldChar w:fldCharType="begin"/>
      </w:r>
      <w:r w:rsidRPr="00DE5989" w:rsidR="00DE5989">
        <w:instrText xml:space="preserve"> REF _Ref82777711 \r \h  \* MERGEFORMAT </w:instrText>
      </w:r>
      <w:r w:rsidRPr="00DE5989" w:rsidR="00DE5989">
        <w:fldChar w:fldCharType="separate"/>
      </w:r>
      <w:r w:rsidR="004458E3">
        <w:t>2.4</w:t>
      </w:r>
      <w:r w:rsidRPr="00DE5989" w:rsidR="00DE5989">
        <w:fldChar w:fldCharType="end"/>
      </w:r>
      <w:r w:rsidRPr="00DE5989" w:rsidR="00DE5989">
        <w:t xml:space="preserve"> (</w:t>
      </w:r>
      <w:r w:rsidRPr="00DE5989" w:rsidR="00DE5989">
        <w:rPr>
          <w:i/>
        </w:rPr>
        <w:t>Calculation of the Annual Charge for each Contract Year</w:t>
      </w:r>
      <w:r w:rsidRPr="00DE5989" w:rsidR="00DE5989">
        <w:t>) below.</w:t>
      </w:r>
    </w:p>
    <w:p w:rsidRPr="00022931" w:rsidR="007952CB" w:rsidP="007952CB" w:rsidRDefault="007952CB" w14:paraId="4DF9F60E" w14:textId="4A1DDA6B">
      <w:pPr>
        <w:pStyle w:val="Heading3"/>
      </w:pPr>
      <w:r w:rsidRPr="00022931">
        <w:t xml:space="preserve">The Annual Charge for each </w:t>
      </w:r>
      <w:r w:rsidRPr="00022931" w:rsidR="00245FA6">
        <w:t>Contract Year</w:t>
      </w:r>
      <w:r w:rsidRPr="00022931">
        <w:t xml:space="preserve"> shall be subject</w:t>
      </w:r>
      <w:r w:rsidRPr="00022931" w:rsidR="00393C22">
        <w:t xml:space="preserve"> </w:t>
      </w:r>
      <w:r w:rsidRPr="00022931" w:rsidR="00AD4385">
        <w:t>to</w:t>
      </w:r>
      <w:r w:rsidRPr="00022931">
        <w:t xml:space="preserve"> the process set out in Paragraph </w:t>
      </w:r>
      <w:r w:rsidRPr="00022931" w:rsidR="00FC31B6">
        <w:fldChar w:fldCharType="begin"/>
      </w:r>
      <w:r w:rsidRPr="00022931" w:rsidR="00FC31B6">
        <w:instrText xml:space="preserve"> REF _Ref87644270 \r \h </w:instrText>
      </w:r>
      <w:r w:rsidR="00022931">
        <w:instrText xml:space="preserve"> \* MERGEFORMAT </w:instrText>
      </w:r>
      <w:r w:rsidRPr="00022931" w:rsidR="00FC31B6">
        <w:fldChar w:fldCharType="separate"/>
      </w:r>
      <w:r w:rsidR="004458E3">
        <w:t>2.6</w:t>
      </w:r>
      <w:r w:rsidRPr="00022931" w:rsidR="00FC31B6">
        <w:fldChar w:fldCharType="end"/>
      </w:r>
      <w:r w:rsidRPr="00022931">
        <w:t xml:space="preserve"> (</w:t>
      </w:r>
      <w:r w:rsidRPr="00022931" w:rsidR="00FC31B6">
        <w:rPr>
          <w:i/>
        </w:rPr>
        <w:t>Task</w:t>
      </w:r>
      <w:r w:rsidRPr="00022931" w:rsidR="00FC31B6">
        <w:t xml:space="preserve"> </w:t>
      </w:r>
      <w:r w:rsidRPr="00022931">
        <w:rPr>
          <w:i/>
        </w:rPr>
        <w:t>Volume</w:t>
      </w:r>
      <w:r w:rsidR="00993720">
        <w:rPr>
          <w:i/>
        </w:rPr>
        <w:t>s</w:t>
      </w:r>
      <w:r w:rsidRPr="00022931">
        <w:rPr>
          <w:i/>
        </w:rPr>
        <w:t xml:space="preserve"> and the Annual Reconciliation Process</w:t>
      </w:r>
      <w:r w:rsidRPr="00022931">
        <w:t xml:space="preserve">). </w:t>
      </w:r>
    </w:p>
    <w:p w:rsidRPr="00022931" w:rsidR="00B17F98" w:rsidP="007C6E2F" w:rsidRDefault="00B17F98" w14:paraId="314FD64B" w14:textId="0B2CBDC7">
      <w:pPr>
        <w:pStyle w:val="Heading2"/>
        <w:spacing w:before="280"/>
        <w:rPr>
          <w:b/>
        </w:rPr>
      </w:pPr>
      <w:r w:rsidRPr="00022931">
        <w:rPr>
          <w:b/>
        </w:rPr>
        <w:tab/>
      </w:r>
      <w:bookmarkStart w:name="_Ref82777711" w:id="4"/>
      <w:bookmarkStart w:name="_Ref108788374" w:id="5"/>
      <w:r w:rsidRPr="00022931" w:rsidR="008773AE">
        <w:rPr>
          <w:b/>
          <w:szCs w:val="20"/>
        </w:rPr>
        <w:t>Calculation</w:t>
      </w:r>
      <w:r w:rsidRPr="00022931" w:rsidR="008773AE">
        <w:rPr>
          <w:b/>
        </w:rPr>
        <w:t xml:space="preserve"> of the </w:t>
      </w:r>
      <w:r w:rsidRPr="00022931" w:rsidR="00CE5521">
        <w:rPr>
          <w:b/>
        </w:rPr>
        <w:t>Annual Charge</w:t>
      </w:r>
      <w:r w:rsidRPr="00022931" w:rsidR="008773AE">
        <w:rPr>
          <w:b/>
        </w:rPr>
        <w:t xml:space="preserve"> for each </w:t>
      </w:r>
      <w:bookmarkEnd w:id="4"/>
      <w:r w:rsidRPr="00022931" w:rsidR="00245FA6">
        <w:rPr>
          <w:b/>
        </w:rPr>
        <w:t>Contract Year</w:t>
      </w:r>
      <w:bookmarkEnd w:id="5"/>
    </w:p>
    <w:p w:rsidRPr="00022931" w:rsidR="008773AE" w:rsidP="008773AE" w:rsidRDefault="008773AE" w14:paraId="1EC5E97F" w14:textId="595F3C52">
      <w:pPr>
        <w:pStyle w:val="Heading3"/>
        <w:rPr>
          <w:szCs w:val="20"/>
        </w:rPr>
      </w:pPr>
      <w:r w:rsidRPr="00022931">
        <w:rPr>
          <w:szCs w:val="20"/>
        </w:rPr>
        <w:t xml:space="preserve">The </w:t>
      </w:r>
      <w:r w:rsidRPr="00022931" w:rsidR="00CE5521">
        <w:rPr>
          <w:szCs w:val="20"/>
        </w:rPr>
        <w:t>"</w:t>
      </w:r>
      <w:r w:rsidRPr="00022931" w:rsidR="00CE5521">
        <w:rPr>
          <w:b/>
          <w:szCs w:val="20"/>
        </w:rPr>
        <w:t>Annual Charge</w:t>
      </w:r>
      <w:r w:rsidRPr="00022931" w:rsidR="00CE5521">
        <w:rPr>
          <w:szCs w:val="20"/>
        </w:rPr>
        <w:t>"</w:t>
      </w:r>
      <w:r w:rsidRPr="00022931" w:rsidR="00CE5521">
        <w:rPr>
          <w:b/>
          <w:szCs w:val="20"/>
        </w:rPr>
        <w:t xml:space="preserve"> or "</w:t>
      </w:r>
      <w:r w:rsidRPr="00022931">
        <w:rPr>
          <w:b/>
          <w:szCs w:val="20"/>
        </w:rPr>
        <w:t>AC</w:t>
      </w:r>
      <w:r w:rsidRPr="00022931" w:rsidR="00CE5521">
        <w:rPr>
          <w:szCs w:val="20"/>
        </w:rPr>
        <w:t>"</w:t>
      </w:r>
      <w:r w:rsidRPr="00022931">
        <w:rPr>
          <w:szCs w:val="20"/>
        </w:rPr>
        <w:t xml:space="preserve"> for </w:t>
      </w:r>
      <w:r w:rsidRPr="00022931" w:rsidR="00A06E0A">
        <w:rPr>
          <w:szCs w:val="20"/>
        </w:rPr>
        <w:t xml:space="preserve">each </w:t>
      </w:r>
      <w:r w:rsidRPr="00022931" w:rsidR="00245FA6">
        <w:t>Contract Year</w:t>
      </w:r>
      <w:r w:rsidRPr="00022931">
        <w:rPr>
          <w:szCs w:val="20"/>
        </w:rPr>
        <w:t xml:space="preserve"> shall be</w:t>
      </w:r>
      <w:r w:rsidRPr="00022931" w:rsidR="00A06E0A">
        <w:rPr>
          <w:szCs w:val="20"/>
        </w:rPr>
        <w:t xml:space="preserve"> </w:t>
      </w:r>
      <w:r w:rsidR="00A94C0C">
        <w:rPr>
          <w:szCs w:val="20"/>
        </w:rPr>
        <w:t>formulas follows</w:t>
      </w:r>
      <w:r w:rsidRPr="00022931">
        <w:rPr>
          <w:szCs w:val="20"/>
        </w:rPr>
        <w:t>:</w:t>
      </w:r>
    </w:p>
    <w:p w:rsidR="00AC1857" w:rsidP="00AC1857" w:rsidRDefault="00AC1857" w14:paraId="6285FA4F" w14:textId="359A02F6">
      <w:pPr>
        <w:pStyle w:val="BodyText"/>
        <w:tabs>
          <w:tab w:val="left" w:pos="3544"/>
          <w:tab w:val="left" w:pos="4253"/>
          <w:tab w:val="left" w:pos="5529"/>
          <w:tab w:val="left" w:pos="6379"/>
          <w:tab w:val="left" w:pos="7513"/>
          <w:tab w:val="left" w:pos="8364"/>
        </w:tabs>
        <w:spacing w:after="0" w:line="240" w:lineRule="auto"/>
        <w:rPr>
          <w:rFonts w:cs="Arial"/>
          <w:vertAlign w:val="superscript"/>
        </w:rPr>
      </w:pPr>
      <w:r w:rsidRPr="00AF24F8">
        <w:rPr>
          <w:rFonts w:cs="Arial"/>
          <w:b/>
        </w:rPr>
        <w:t>Annual Charge</w:t>
      </w:r>
      <w:r w:rsidRPr="00AF24F8">
        <w:rPr>
          <w:rFonts w:cs="Arial"/>
          <w:b/>
        </w:rPr>
        <w:tab/>
      </w:r>
      <w:r w:rsidRPr="00AF24F8">
        <w:rPr>
          <w:rFonts w:cs="Arial"/>
          <w:b/>
        </w:rPr>
        <w:t>=</w:t>
      </w:r>
      <w:r w:rsidRPr="00AF24F8">
        <w:rPr>
          <w:rFonts w:cs="Arial"/>
          <w:b/>
        </w:rPr>
        <w:tab/>
      </w:r>
      <w:r w:rsidRPr="00AF24F8">
        <w:rPr>
          <w:rFonts w:cs="Arial"/>
        </w:rPr>
        <w:t>AC</w:t>
      </w:r>
      <w:r w:rsidRPr="00AF24F8">
        <w:rPr>
          <w:rFonts w:cs="Arial"/>
          <w:vertAlign w:val="superscript"/>
        </w:rPr>
        <w:t>SDA4</w:t>
      </w:r>
      <w:r w:rsidRPr="00AF24F8">
        <w:rPr>
          <w:rFonts w:cs="Arial"/>
          <w:vertAlign w:val="superscript"/>
        </w:rPr>
        <w:tab/>
      </w:r>
      <w:r w:rsidRPr="00AF24F8">
        <w:rPr>
          <w:rFonts w:cs="Arial"/>
        </w:rPr>
        <w:t>+</w:t>
      </w:r>
      <w:r w:rsidRPr="00AF24F8">
        <w:rPr>
          <w:rFonts w:cs="Arial"/>
        </w:rPr>
        <w:tab/>
      </w:r>
      <w:r w:rsidRPr="00AF24F8">
        <w:rPr>
          <w:rFonts w:cs="Arial"/>
        </w:rPr>
        <w:t>AC</w:t>
      </w:r>
      <w:r w:rsidRPr="00AF24F8">
        <w:rPr>
          <w:rFonts w:cs="Arial"/>
          <w:vertAlign w:val="superscript"/>
        </w:rPr>
        <w:t>SDA5</w:t>
      </w:r>
      <w:r w:rsidRPr="00AF24F8">
        <w:rPr>
          <w:rFonts w:cs="Arial"/>
          <w:vertAlign w:val="superscript"/>
        </w:rPr>
        <w:tab/>
      </w:r>
      <w:r w:rsidRPr="00AF24F8">
        <w:rPr>
          <w:rFonts w:cs="Arial"/>
        </w:rPr>
        <w:t>+            AC</w:t>
      </w:r>
      <w:r w:rsidRPr="00AF24F8">
        <w:rPr>
          <w:rFonts w:cs="Arial"/>
          <w:vertAlign w:val="superscript"/>
        </w:rPr>
        <w:t>SDA7</w:t>
      </w:r>
    </w:p>
    <w:p w:rsidRPr="00AF24F8" w:rsidR="00B43C67" w:rsidP="00AC1857" w:rsidRDefault="00B43C67" w14:paraId="0F3F5F6F" w14:textId="77777777">
      <w:pPr>
        <w:pStyle w:val="BodyText"/>
        <w:tabs>
          <w:tab w:val="left" w:pos="3544"/>
          <w:tab w:val="left" w:pos="4253"/>
          <w:tab w:val="left" w:pos="5529"/>
          <w:tab w:val="left" w:pos="6379"/>
          <w:tab w:val="left" w:pos="7513"/>
          <w:tab w:val="left" w:pos="8364"/>
        </w:tabs>
        <w:spacing w:after="0" w:line="240" w:lineRule="auto"/>
        <w:rPr>
          <w:rFonts w:cs="Arial"/>
          <w:b/>
          <w:vertAlign w:val="superscript"/>
        </w:rPr>
      </w:pPr>
    </w:p>
    <w:p w:rsidRPr="00AF24F8" w:rsidR="008773AE" w:rsidP="00622371" w:rsidRDefault="00622371" w14:paraId="4B517C20" w14:textId="2E324435">
      <w:pPr>
        <w:pStyle w:val="Body3"/>
        <w:tabs>
          <w:tab w:val="left" w:pos="1698"/>
        </w:tabs>
        <w:ind w:left="720"/>
        <w:rPr>
          <w:rFonts w:cs="Arial"/>
        </w:rPr>
      </w:pPr>
      <w:r w:rsidRPr="00022931">
        <w:rPr>
          <w:rFonts w:cs="Arial"/>
        </w:rPr>
        <w:tab/>
      </w:r>
      <w:r w:rsidRPr="00AF24F8" w:rsidR="008773AE">
        <w:rPr>
          <w:rFonts w:cs="Arial"/>
        </w:rPr>
        <w:t>Where:</w:t>
      </w:r>
    </w:p>
    <w:tbl>
      <w:tblPr>
        <w:tblStyle w:val="TableGrid"/>
        <w:tblW w:w="0" w:type="auto"/>
        <w:tblInd w:w="1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126"/>
        <w:gridCol w:w="5472"/>
      </w:tblGrid>
      <w:tr w:rsidRPr="00022931" w:rsidR="00ED5E92" w:rsidDel="00ED5E92" w:rsidTr="00574428" w14:paraId="2EB359FC" w14:textId="77777777">
        <w:tc>
          <w:tcPr>
            <w:tcW w:w="2126" w:type="dxa"/>
          </w:tcPr>
          <w:p w:rsidRPr="00022931" w:rsidR="00ED5E92" w:rsidDel="00ED5E92" w:rsidP="00ED5E92" w:rsidRDefault="00620D1F" w14:paraId="111242E9" w14:textId="1001DE70">
            <w:pPr>
              <w:pStyle w:val="Body3"/>
              <w:ind w:left="0"/>
              <w:jc w:val="left"/>
              <w:rPr>
                <w:rFonts w:cs="Arial"/>
                <w:b/>
              </w:rPr>
            </w:pPr>
            <w:r w:rsidRPr="00022931">
              <w:rPr>
                <w:rFonts w:cs="Arial"/>
                <w:b/>
              </w:rPr>
              <w:t>AC</w:t>
            </w:r>
            <w:r w:rsidRPr="00022931" w:rsidR="00ED5E92">
              <w:rPr>
                <w:rFonts w:cs="Arial"/>
                <w:b/>
                <w:vertAlign w:val="superscript"/>
              </w:rPr>
              <w:t>SDA4</w:t>
            </w:r>
            <w:r w:rsidRPr="00022931" w:rsidR="00ED5E92">
              <w:rPr>
                <w:rFonts w:cs="Arial"/>
                <w:b/>
              </w:rPr>
              <w:t>=</w:t>
            </w:r>
          </w:p>
        </w:tc>
        <w:tc>
          <w:tcPr>
            <w:tcW w:w="5472" w:type="dxa"/>
          </w:tcPr>
          <w:p w:rsidRPr="00022931" w:rsidR="00ED5E92" w:rsidDel="00ED5E92" w:rsidP="00695D31" w:rsidRDefault="00ED5E92" w14:paraId="049DA443" w14:textId="2234FD87">
            <w:pPr>
              <w:pStyle w:val="Body3"/>
              <w:ind w:left="0"/>
              <w:jc w:val="left"/>
              <w:rPr>
                <w:rFonts w:cs="Arial"/>
              </w:rPr>
            </w:pPr>
            <w:r w:rsidRPr="00022931">
              <w:rPr>
                <w:rFonts w:cs="Arial"/>
              </w:rPr>
              <w:t>The price in GBP for</w:t>
            </w:r>
            <w:r w:rsidRPr="00022931" w:rsidR="00FD1343">
              <w:rPr>
                <w:rFonts w:cs="Arial"/>
              </w:rPr>
              <w:t xml:space="preserve"> the relevant</w:t>
            </w:r>
            <w:r w:rsidRPr="00022931">
              <w:rPr>
                <w:rFonts w:cs="Arial"/>
              </w:rPr>
              <w:t xml:space="preserve"> </w:t>
            </w:r>
            <w:r w:rsidRPr="00AF24F8" w:rsidR="00245FA6">
              <w:rPr>
                <w:rFonts w:cs="Arial"/>
              </w:rPr>
              <w:t>Contract Year</w:t>
            </w:r>
            <w:r w:rsidRPr="00022931">
              <w:rPr>
                <w:rFonts w:cs="Arial"/>
              </w:rPr>
              <w:t xml:space="preserve"> taken from the SDA4 </w:t>
            </w:r>
            <w:r w:rsidRPr="00022931" w:rsidR="003E332C">
              <w:rPr>
                <w:rFonts w:cs="Arial"/>
              </w:rPr>
              <w:t>AC</w:t>
            </w:r>
            <w:r w:rsidRPr="00022931">
              <w:rPr>
                <w:rFonts w:cs="Arial"/>
              </w:rPr>
              <w:t xml:space="preserve"> Pricing Table for that </w:t>
            </w:r>
            <w:r w:rsidRPr="00AF24F8" w:rsidR="00245FA6">
              <w:rPr>
                <w:rFonts w:cs="Arial"/>
              </w:rPr>
              <w:t>Contract Year</w:t>
            </w:r>
            <w:r w:rsidRPr="00022931" w:rsidR="00C553A7">
              <w:rPr>
                <w:rFonts w:cs="Arial"/>
              </w:rPr>
              <w:t xml:space="preserve"> as agreed pursuant to Paragraph </w:t>
            </w:r>
            <w:r w:rsidRPr="00022931" w:rsidR="00C553A7">
              <w:rPr>
                <w:rFonts w:cs="Arial"/>
              </w:rPr>
              <w:fldChar w:fldCharType="begin"/>
            </w:r>
            <w:r w:rsidRPr="00022931" w:rsidR="00C553A7">
              <w:rPr>
                <w:rFonts w:cs="Arial"/>
              </w:rPr>
              <w:instrText xml:space="preserve"> REF _Ref93394760 \r \h </w:instrText>
            </w:r>
            <w:r w:rsidR="00022931">
              <w:rPr>
                <w:rFonts w:cs="Arial"/>
              </w:rPr>
              <w:instrText xml:space="preserve"> \* MERGEFORMAT </w:instrText>
            </w:r>
            <w:r w:rsidRPr="00022931" w:rsidR="00C553A7">
              <w:rPr>
                <w:rFonts w:cs="Arial"/>
              </w:rPr>
            </w:r>
            <w:r w:rsidRPr="00022931" w:rsidR="00C553A7">
              <w:rPr>
                <w:rFonts w:cs="Arial"/>
              </w:rPr>
              <w:fldChar w:fldCharType="separate"/>
            </w:r>
            <w:r w:rsidR="004458E3">
              <w:rPr>
                <w:rFonts w:cs="Arial"/>
              </w:rPr>
              <w:t>2.3</w:t>
            </w:r>
            <w:r w:rsidRPr="00022931" w:rsidR="00C553A7">
              <w:rPr>
                <w:rFonts w:cs="Arial"/>
              </w:rPr>
              <w:fldChar w:fldCharType="end"/>
            </w:r>
            <w:r w:rsidRPr="00022931" w:rsidR="00C553A7">
              <w:rPr>
                <w:rFonts w:cs="Arial"/>
              </w:rPr>
              <w:t xml:space="preserve"> (</w:t>
            </w:r>
            <w:r w:rsidRPr="00022931" w:rsidR="00C553A7">
              <w:rPr>
                <w:rFonts w:cs="Arial"/>
                <w:i/>
              </w:rPr>
              <w:t>Annual Pricing Process</w:t>
            </w:r>
            <w:r w:rsidRPr="00022931" w:rsidR="00C553A7">
              <w:rPr>
                <w:rFonts w:cs="Arial"/>
              </w:rPr>
              <w:t>) above.</w:t>
            </w:r>
          </w:p>
        </w:tc>
      </w:tr>
      <w:tr w:rsidRPr="00022931" w:rsidR="00ED5E92" w:rsidDel="00ED5E92" w:rsidTr="00574428" w14:paraId="4A0F8C3E" w14:textId="77777777">
        <w:tc>
          <w:tcPr>
            <w:tcW w:w="2126" w:type="dxa"/>
          </w:tcPr>
          <w:p w:rsidRPr="00022931" w:rsidR="00ED5E92" w:rsidDel="00ED5E92" w:rsidP="00574428" w:rsidRDefault="00620D1F" w14:paraId="7A5A42C8" w14:textId="6AA26A83">
            <w:pPr>
              <w:pStyle w:val="Body3"/>
              <w:ind w:left="0"/>
              <w:jc w:val="left"/>
              <w:rPr>
                <w:rFonts w:cs="Arial"/>
                <w:b/>
              </w:rPr>
            </w:pPr>
            <w:r w:rsidRPr="00022931">
              <w:rPr>
                <w:rFonts w:cs="Arial"/>
                <w:b/>
              </w:rPr>
              <w:t>AC</w:t>
            </w:r>
            <w:r w:rsidRPr="00022931" w:rsidR="00ED5E92">
              <w:rPr>
                <w:rFonts w:cs="Arial"/>
                <w:b/>
                <w:vertAlign w:val="superscript"/>
              </w:rPr>
              <w:t>SDA5</w:t>
            </w:r>
            <w:r w:rsidRPr="00022931" w:rsidR="00ED5E92">
              <w:rPr>
                <w:rFonts w:cs="Arial"/>
                <w:b/>
              </w:rPr>
              <w:t>=</w:t>
            </w:r>
          </w:p>
        </w:tc>
        <w:tc>
          <w:tcPr>
            <w:tcW w:w="5472" w:type="dxa"/>
          </w:tcPr>
          <w:p w:rsidRPr="00022931" w:rsidR="00ED5E92" w:rsidDel="00ED5E92" w:rsidP="00695D31" w:rsidRDefault="004B1720" w14:paraId="73C0E49F" w14:textId="1BB4229B">
            <w:pPr>
              <w:pStyle w:val="Body3"/>
              <w:ind w:left="0"/>
              <w:jc w:val="left"/>
              <w:rPr>
                <w:rFonts w:cs="Arial"/>
              </w:rPr>
            </w:pPr>
            <w:r w:rsidRPr="00022931">
              <w:rPr>
                <w:rFonts w:cs="Arial"/>
              </w:rPr>
              <w:t>The price in GBP for</w:t>
            </w:r>
            <w:r w:rsidRPr="00022931" w:rsidR="00FD1343">
              <w:rPr>
                <w:rFonts w:cs="Arial"/>
              </w:rPr>
              <w:t xml:space="preserve"> the relevant</w:t>
            </w:r>
            <w:r w:rsidRPr="00022931">
              <w:rPr>
                <w:rFonts w:cs="Arial"/>
              </w:rPr>
              <w:t xml:space="preserve"> </w:t>
            </w:r>
            <w:r w:rsidRPr="00AF24F8" w:rsidR="00245FA6">
              <w:rPr>
                <w:rFonts w:cs="Arial"/>
              </w:rPr>
              <w:t>Contract Year</w:t>
            </w:r>
            <w:r w:rsidRPr="00022931">
              <w:rPr>
                <w:rFonts w:cs="Arial"/>
              </w:rPr>
              <w:t xml:space="preserve"> taken from the SDA5 </w:t>
            </w:r>
            <w:r w:rsidRPr="00022931" w:rsidR="003E332C">
              <w:rPr>
                <w:rFonts w:cs="Arial"/>
              </w:rPr>
              <w:t>AC</w:t>
            </w:r>
            <w:r w:rsidRPr="00022931">
              <w:rPr>
                <w:rFonts w:cs="Arial"/>
              </w:rPr>
              <w:t xml:space="preserve"> Pricing Table for that </w:t>
            </w:r>
            <w:r w:rsidRPr="00AF24F8" w:rsidR="00245FA6">
              <w:rPr>
                <w:rFonts w:cs="Arial"/>
              </w:rPr>
              <w:t>Contract Year</w:t>
            </w:r>
            <w:r w:rsidRPr="00022931" w:rsidR="00C553A7">
              <w:rPr>
                <w:rFonts w:cs="Arial"/>
              </w:rPr>
              <w:t xml:space="preserve"> as agreed pursuant to Paragraph </w:t>
            </w:r>
            <w:r w:rsidRPr="00022931" w:rsidR="00C553A7">
              <w:rPr>
                <w:rFonts w:cs="Arial"/>
              </w:rPr>
              <w:fldChar w:fldCharType="begin"/>
            </w:r>
            <w:r w:rsidRPr="00022931" w:rsidR="00C553A7">
              <w:rPr>
                <w:rFonts w:cs="Arial"/>
              </w:rPr>
              <w:instrText xml:space="preserve"> REF _Ref93394760 \r \h </w:instrText>
            </w:r>
            <w:r w:rsidR="00022931">
              <w:rPr>
                <w:rFonts w:cs="Arial"/>
              </w:rPr>
              <w:instrText xml:space="preserve"> \* MERGEFORMAT </w:instrText>
            </w:r>
            <w:r w:rsidRPr="00022931" w:rsidR="00C553A7">
              <w:rPr>
                <w:rFonts w:cs="Arial"/>
              </w:rPr>
            </w:r>
            <w:r w:rsidRPr="00022931" w:rsidR="00C553A7">
              <w:rPr>
                <w:rFonts w:cs="Arial"/>
              </w:rPr>
              <w:fldChar w:fldCharType="separate"/>
            </w:r>
            <w:r w:rsidR="004458E3">
              <w:rPr>
                <w:rFonts w:cs="Arial"/>
              </w:rPr>
              <w:t>2.3</w:t>
            </w:r>
            <w:r w:rsidRPr="00022931" w:rsidR="00C553A7">
              <w:rPr>
                <w:rFonts w:cs="Arial"/>
              </w:rPr>
              <w:fldChar w:fldCharType="end"/>
            </w:r>
            <w:r w:rsidRPr="00022931" w:rsidR="00C553A7">
              <w:rPr>
                <w:rFonts w:cs="Arial"/>
              </w:rPr>
              <w:t xml:space="preserve"> (</w:t>
            </w:r>
            <w:r w:rsidRPr="00022931" w:rsidR="00C553A7">
              <w:rPr>
                <w:rFonts w:cs="Arial"/>
                <w:i/>
              </w:rPr>
              <w:t>Annual Pricing Process</w:t>
            </w:r>
            <w:r w:rsidRPr="00022931" w:rsidR="00C553A7">
              <w:rPr>
                <w:rFonts w:cs="Arial"/>
              </w:rPr>
              <w:t>) above.</w:t>
            </w:r>
          </w:p>
        </w:tc>
      </w:tr>
      <w:tr w:rsidRPr="00022931" w:rsidR="00ED5E92" w:rsidDel="00ED5E92" w:rsidTr="00574428" w14:paraId="30E9FCA9" w14:textId="77777777">
        <w:tc>
          <w:tcPr>
            <w:tcW w:w="2126" w:type="dxa"/>
          </w:tcPr>
          <w:p w:rsidRPr="00022931" w:rsidR="00ED5E92" w:rsidDel="00ED5E92" w:rsidP="00574428" w:rsidRDefault="00ED5E92" w14:paraId="3243FA4B" w14:textId="03D5C9E4">
            <w:pPr>
              <w:pStyle w:val="Body3"/>
              <w:ind w:left="0"/>
              <w:jc w:val="left"/>
              <w:rPr>
                <w:rFonts w:cs="Arial"/>
                <w:b/>
              </w:rPr>
            </w:pPr>
            <w:r w:rsidRPr="00022931">
              <w:rPr>
                <w:rFonts w:cs="Arial"/>
                <w:b/>
              </w:rPr>
              <w:t>AC</w:t>
            </w:r>
            <w:r w:rsidRPr="00022931">
              <w:rPr>
                <w:rFonts w:cs="Arial"/>
                <w:b/>
                <w:vertAlign w:val="superscript"/>
              </w:rPr>
              <w:t>SDA7</w:t>
            </w:r>
            <w:r w:rsidRPr="00022931">
              <w:rPr>
                <w:rFonts w:cs="Arial"/>
                <w:b/>
              </w:rPr>
              <w:t>=</w:t>
            </w:r>
          </w:p>
        </w:tc>
        <w:tc>
          <w:tcPr>
            <w:tcW w:w="5472" w:type="dxa"/>
          </w:tcPr>
          <w:p w:rsidRPr="00022931" w:rsidR="00ED5E92" w:rsidDel="00ED5E92" w:rsidP="00695D31" w:rsidRDefault="00B620F8" w14:paraId="74E5DA06" w14:textId="68CEF19A">
            <w:pPr>
              <w:pStyle w:val="Body3"/>
              <w:ind w:left="0"/>
              <w:jc w:val="left"/>
              <w:rPr>
                <w:rFonts w:cs="Arial"/>
              </w:rPr>
            </w:pPr>
            <w:r w:rsidRPr="00022931">
              <w:rPr>
                <w:rFonts w:cs="Arial"/>
              </w:rPr>
              <w:t>The price in GBP for</w:t>
            </w:r>
            <w:r w:rsidRPr="00022931" w:rsidR="00FD1343">
              <w:rPr>
                <w:rFonts w:cs="Arial"/>
              </w:rPr>
              <w:t xml:space="preserve"> the relevant</w:t>
            </w:r>
            <w:r w:rsidRPr="00022931">
              <w:rPr>
                <w:rFonts w:cs="Arial"/>
              </w:rPr>
              <w:t xml:space="preserve"> </w:t>
            </w:r>
            <w:r w:rsidRPr="00AF24F8" w:rsidR="00245FA6">
              <w:rPr>
                <w:rFonts w:cs="Arial"/>
              </w:rPr>
              <w:t>Contract Year</w:t>
            </w:r>
            <w:r w:rsidRPr="00022931">
              <w:rPr>
                <w:rFonts w:cs="Arial"/>
              </w:rPr>
              <w:t xml:space="preserve"> taken from the SDA7 </w:t>
            </w:r>
            <w:r w:rsidRPr="00022931" w:rsidR="003E332C">
              <w:rPr>
                <w:rFonts w:cs="Arial"/>
              </w:rPr>
              <w:t>AC</w:t>
            </w:r>
            <w:r w:rsidRPr="00022931">
              <w:rPr>
                <w:rFonts w:cs="Arial"/>
              </w:rPr>
              <w:t xml:space="preserve"> Pricing Table based on the</w:t>
            </w:r>
            <w:r w:rsidRPr="00AF24F8">
              <w:rPr>
                <w:rFonts w:cs="Arial"/>
              </w:rPr>
              <w:t xml:space="preserve"> </w:t>
            </w:r>
            <w:r w:rsidRPr="00022931">
              <w:rPr>
                <w:rFonts w:cs="Arial"/>
              </w:rPr>
              <w:t xml:space="preserve">applicable Pricing Band for the Forecast Volume for that </w:t>
            </w:r>
            <w:r w:rsidRPr="00AF24F8" w:rsidR="00245FA6">
              <w:rPr>
                <w:rFonts w:cs="Arial"/>
              </w:rPr>
              <w:t>Contract Year</w:t>
            </w:r>
            <w:r w:rsidRPr="00022931" w:rsidR="00C553A7">
              <w:rPr>
                <w:rFonts w:cs="Arial"/>
              </w:rPr>
              <w:t xml:space="preserve"> as agreed pursuant to Paragraph </w:t>
            </w:r>
            <w:r w:rsidRPr="00022931" w:rsidR="00C553A7">
              <w:rPr>
                <w:rFonts w:cs="Arial"/>
              </w:rPr>
              <w:fldChar w:fldCharType="begin"/>
            </w:r>
            <w:r w:rsidRPr="00022931" w:rsidR="00C553A7">
              <w:rPr>
                <w:rFonts w:cs="Arial"/>
              </w:rPr>
              <w:instrText xml:space="preserve"> REF _Ref93394760 \r \h </w:instrText>
            </w:r>
            <w:r w:rsidR="00022931">
              <w:rPr>
                <w:rFonts w:cs="Arial"/>
              </w:rPr>
              <w:instrText xml:space="preserve"> \* MERGEFORMAT </w:instrText>
            </w:r>
            <w:r w:rsidRPr="00022931" w:rsidR="00C553A7">
              <w:rPr>
                <w:rFonts w:cs="Arial"/>
              </w:rPr>
            </w:r>
            <w:r w:rsidRPr="00022931" w:rsidR="00C553A7">
              <w:rPr>
                <w:rFonts w:cs="Arial"/>
              </w:rPr>
              <w:fldChar w:fldCharType="separate"/>
            </w:r>
            <w:r w:rsidR="004458E3">
              <w:rPr>
                <w:rFonts w:cs="Arial"/>
              </w:rPr>
              <w:t>2.3</w:t>
            </w:r>
            <w:r w:rsidRPr="00022931" w:rsidR="00C553A7">
              <w:rPr>
                <w:rFonts w:cs="Arial"/>
              </w:rPr>
              <w:fldChar w:fldCharType="end"/>
            </w:r>
            <w:r w:rsidRPr="00022931" w:rsidR="00C553A7">
              <w:rPr>
                <w:rFonts w:cs="Arial"/>
              </w:rPr>
              <w:t xml:space="preserve"> (</w:t>
            </w:r>
            <w:r w:rsidRPr="00022931" w:rsidR="00C553A7">
              <w:rPr>
                <w:rFonts w:cs="Arial"/>
                <w:i/>
              </w:rPr>
              <w:t>Annual Pricing Process</w:t>
            </w:r>
            <w:r w:rsidRPr="00022931" w:rsidR="00C553A7">
              <w:rPr>
                <w:rFonts w:cs="Arial"/>
              </w:rPr>
              <w:t>) above.</w:t>
            </w:r>
          </w:p>
        </w:tc>
      </w:tr>
    </w:tbl>
    <w:p w:rsidR="00D662BC" w:rsidP="007C6E2F" w:rsidRDefault="00D662BC" w14:paraId="124BC922" w14:textId="64130CF5">
      <w:pPr>
        <w:pStyle w:val="Body3"/>
        <w:rPr>
          <w:rFonts w:cs="Arial"/>
          <w:b/>
        </w:rPr>
      </w:pPr>
    </w:p>
    <w:p w:rsidRPr="00695D31" w:rsidR="00695D31" w:rsidP="007A4444" w:rsidRDefault="00695D31" w14:paraId="0DB4F55A" w14:textId="77777777">
      <w:pPr>
        <w:pStyle w:val="Heading3"/>
        <w:rPr>
          <w:rFonts w:eastAsia="Times New Roman"/>
        </w:rPr>
      </w:pPr>
      <w:r w:rsidRPr="007A4444">
        <w:rPr>
          <w:szCs w:val="20"/>
        </w:rPr>
        <w:t>The</w:t>
      </w:r>
      <w:r w:rsidRPr="00695D31">
        <w:rPr>
          <w:rFonts w:eastAsia="Times New Roman"/>
        </w:rPr>
        <w:t xml:space="preserve"> AC for each SDA for each Contract Year shall be calculated </w:t>
      </w:r>
      <w:proofErr w:type="gramStart"/>
      <w:r w:rsidRPr="00695D31">
        <w:rPr>
          <w:rFonts w:eastAsia="Times New Roman"/>
        </w:rPr>
        <w:t>on the basis of</w:t>
      </w:r>
      <w:proofErr w:type="gramEnd"/>
      <w:r w:rsidRPr="00695D31">
        <w:rPr>
          <w:rFonts w:eastAsia="Times New Roman"/>
        </w:rPr>
        <w:t xml:space="preserve"> the following formula:</w:t>
      </w:r>
    </w:p>
    <w:p w:rsidR="00695D31" w:rsidP="00695D31" w:rsidRDefault="00695D31" w14:paraId="723533DE" w14:textId="77777777">
      <w:pPr>
        <w:pStyle w:val="BodyText"/>
        <w:spacing w:after="0"/>
      </w:pPr>
      <w:r>
        <w:t>AC</w:t>
      </w:r>
      <w:r>
        <w:rPr>
          <w:vertAlign w:val="superscript"/>
        </w:rPr>
        <w:t xml:space="preserve">SDA n </w:t>
      </w:r>
      <w:r>
        <w:t>     =        AC</w:t>
      </w:r>
      <w:r>
        <w:rPr>
          <w:vertAlign w:val="superscript"/>
        </w:rPr>
        <w:t xml:space="preserve">F - SDA </w:t>
      </w:r>
      <w:proofErr w:type="gramStart"/>
      <w:r>
        <w:rPr>
          <w:vertAlign w:val="superscript"/>
        </w:rPr>
        <w:t>n</w:t>
      </w:r>
      <w:r>
        <w:t>  +</w:t>
      </w:r>
      <w:proofErr w:type="gramEnd"/>
      <w:r>
        <w:t>     AC</w:t>
      </w:r>
      <w:r>
        <w:rPr>
          <w:vertAlign w:val="superscript"/>
        </w:rPr>
        <w:t xml:space="preserve">FX - SDA n </w:t>
      </w:r>
      <w:r>
        <w:t xml:space="preserve">+       </w:t>
      </w:r>
      <w:r>
        <w:rPr>
          <w:sz w:val="24"/>
          <w:szCs w:val="24"/>
        </w:rPr>
        <w:t>(</w:t>
      </w:r>
      <w:r>
        <w:t>    AC</w:t>
      </w:r>
      <w:r>
        <w:rPr>
          <w:vertAlign w:val="superscript"/>
        </w:rPr>
        <w:t xml:space="preserve">FI - SDA n     </w:t>
      </w:r>
      <w:r>
        <w:t>x</w:t>
      </w:r>
      <w:r>
        <w:rPr>
          <w:vertAlign w:val="superscript"/>
        </w:rPr>
        <w:t xml:space="preserve"> </w:t>
      </w:r>
      <w:r>
        <w:t>       </w:t>
      </w:r>
      <w:r>
        <w:rPr>
          <w:u w:val="single"/>
        </w:rPr>
        <w:t xml:space="preserve">HQTI in Contract Year x </w:t>
      </w:r>
      <w:r>
        <w:t xml:space="preserve">  </w:t>
      </w:r>
      <w:r>
        <w:rPr>
          <w:sz w:val="24"/>
          <w:szCs w:val="24"/>
        </w:rPr>
        <w:t>)</w:t>
      </w:r>
    </w:p>
    <w:p w:rsidR="00695D31" w:rsidP="00695D31" w:rsidRDefault="00695D31" w14:paraId="7E13B1FF" w14:textId="5316726C">
      <w:pPr>
        <w:pStyle w:val="BodyText"/>
      </w:pPr>
      <w:r>
        <w:rPr>
          <w:vertAlign w:val="superscript"/>
        </w:rPr>
        <w:t xml:space="preserve">                                                                                                                                                    </w:t>
      </w:r>
      <w:r w:rsidR="00D90D5D">
        <w:rPr>
          <w:vertAlign w:val="superscript"/>
        </w:rPr>
        <w:tab/>
      </w:r>
      <w:r w:rsidR="00D90D5D">
        <w:rPr>
          <w:vertAlign w:val="superscript"/>
        </w:rPr>
        <w:tab/>
      </w:r>
      <w:r>
        <w:t>HQTI at Base Date</w:t>
      </w:r>
    </w:p>
    <w:p w:rsidR="00695D31" w:rsidP="00695D31" w:rsidRDefault="00695D31" w14:paraId="54A088A2" w14:textId="77777777">
      <w:pPr>
        <w:pStyle w:val="Heading3"/>
        <w:numPr>
          <w:ilvl w:val="0"/>
          <w:numId w:val="0"/>
        </w:numPr>
        <w:tabs>
          <w:tab w:val="left" w:pos="720"/>
        </w:tabs>
        <w:ind w:left="1417"/>
        <w:rPr>
          <w:rFonts w:eastAsia="Times New Roman"/>
        </w:rPr>
      </w:pPr>
      <w:r>
        <w:rPr>
          <w:rFonts w:eastAsia="Times New Roman"/>
        </w:rPr>
        <w:t>Where:</w:t>
      </w:r>
    </w:p>
    <w:tbl>
      <w:tblPr>
        <w:tblW w:w="0" w:type="auto"/>
        <w:tblInd w:w="1418" w:type="dxa"/>
        <w:tblCellMar>
          <w:left w:w="0" w:type="dxa"/>
          <w:right w:w="0" w:type="dxa"/>
        </w:tblCellMar>
        <w:tblLook w:val="04A0" w:firstRow="1" w:lastRow="0" w:firstColumn="1" w:lastColumn="0" w:noHBand="0" w:noVBand="1"/>
      </w:tblPr>
      <w:tblGrid>
        <w:gridCol w:w="2126"/>
        <w:gridCol w:w="5472"/>
      </w:tblGrid>
      <w:tr w:rsidR="00695D31" w:rsidTr="00695D31" w14:paraId="63DF3DAA" w14:textId="77777777">
        <w:tc>
          <w:tcPr>
            <w:tcW w:w="2126" w:type="dxa"/>
            <w:tcMar>
              <w:top w:w="0" w:type="dxa"/>
              <w:left w:w="108" w:type="dxa"/>
              <w:bottom w:w="0" w:type="dxa"/>
              <w:right w:w="108" w:type="dxa"/>
            </w:tcMar>
            <w:hideMark/>
          </w:tcPr>
          <w:p w:rsidR="00695D31" w:rsidRDefault="00695D31" w14:paraId="2DA69894" w14:textId="77777777">
            <w:pPr>
              <w:pStyle w:val="Body3"/>
              <w:ind w:left="0"/>
              <w:jc w:val="left"/>
              <w:rPr>
                <w:b/>
                <w:bCs/>
              </w:rPr>
            </w:pPr>
            <w:r>
              <w:rPr>
                <w:b/>
                <w:bCs/>
              </w:rPr>
              <w:t>AC</w:t>
            </w:r>
            <w:r>
              <w:rPr>
                <w:b/>
                <w:bCs/>
                <w:vertAlign w:val="superscript"/>
              </w:rPr>
              <w:t>F - SDA n</w:t>
            </w:r>
            <w:r>
              <w:rPr>
                <w:b/>
                <w:bCs/>
              </w:rPr>
              <w:t xml:space="preserve"> =</w:t>
            </w:r>
          </w:p>
        </w:tc>
        <w:tc>
          <w:tcPr>
            <w:tcW w:w="5472" w:type="dxa"/>
            <w:tcMar>
              <w:top w:w="0" w:type="dxa"/>
              <w:left w:w="108" w:type="dxa"/>
              <w:bottom w:w="0" w:type="dxa"/>
              <w:right w:w="108" w:type="dxa"/>
            </w:tcMar>
            <w:hideMark/>
          </w:tcPr>
          <w:p w:rsidR="00695D31" w:rsidRDefault="00695D31" w14:paraId="6B38248E" w14:textId="77777777">
            <w:pPr>
              <w:pStyle w:val="Body3"/>
              <w:ind w:left="0"/>
              <w:jc w:val="left"/>
            </w:pPr>
            <w:r>
              <w:t>That component in GBP during the Firm Price Period for the relevant Contract Year taken from the Annual Charge Pricing Table for the relevant SDA n that the Annual Charge is being calculated for that is not subject to indexation</w:t>
            </w:r>
          </w:p>
        </w:tc>
      </w:tr>
      <w:tr w:rsidR="00695D31" w:rsidTr="00695D31" w14:paraId="292E4EED" w14:textId="77777777">
        <w:tc>
          <w:tcPr>
            <w:tcW w:w="2126" w:type="dxa"/>
            <w:tcMar>
              <w:top w:w="0" w:type="dxa"/>
              <w:left w:w="108" w:type="dxa"/>
              <w:bottom w:w="0" w:type="dxa"/>
              <w:right w:w="108" w:type="dxa"/>
            </w:tcMar>
            <w:hideMark/>
          </w:tcPr>
          <w:p w:rsidR="00695D31" w:rsidRDefault="00695D31" w14:paraId="064D9A1F" w14:textId="77777777">
            <w:pPr>
              <w:pStyle w:val="Body3"/>
              <w:ind w:left="0"/>
              <w:jc w:val="left"/>
              <w:rPr>
                <w:b/>
                <w:bCs/>
              </w:rPr>
            </w:pPr>
            <w:proofErr w:type="spellStart"/>
            <w:r>
              <w:rPr>
                <w:b/>
                <w:bCs/>
              </w:rPr>
              <w:t>AC</w:t>
            </w:r>
            <w:r>
              <w:rPr>
                <w:b/>
                <w:bCs/>
                <w:vertAlign w:val="superscript"/>
              </w:rPr>
              <w:t>Fx</w:t>
            </w:r>
            <w:proofErr w:type="spellEnd"/>
            <w:r>
              <w:rPr>
                <w:b/>
                <w:bCs/>
                <w:vertAlign w:val="superscript"/>
              </w:rPr>
              <w:t xml:space="preserve"> - SDA n</w:t>
            </w:r>
            <w:r>
              <w:rPr>
                <w:b/>
                <w:bCs/>
              </w:rPr>
              <w:t xml:space="preserve"> =</w:t>
            </w:r>
          </w:p>
        </w:tc>
        <w:tc>
          <w:tcPr>
            <w:tcW w:w="5472" w:type="dxa"/>
            <w:tcMar>
              <w:top w:w="0" w:type="dxa"/>
              <w:left w:w="108" w:type="dxa"/>
              <w:bottom w:w="0" w:type="dxa"/>
              <w:right w:w="108" w:type="dxa"/>
            </w:tcMar>
            <w:hideMark/>
          </w:tcPr>
          <w:p w:rsidR="00695D31" w:rsidRDefault="00695D31" w14:paraId="6A1E584C" w14:textId="77777777">
            <w:pPr>
              <w:pStyle w:val="Body3"/>
              <w:ind w:left="0"/>
              <w:jc w:val="left"/>
            </w:pPr>
            <w:r>
              <w:t xml:space="preserve">That component in GBP during the Fixed Price Period for the relevant Contract Year taken from the Annual Charge </w:t>
            </w:r>
            <w:r>
              <w:lastRenderedPageBreak/>
              <w:t>Pricing Table for the relevant SDA n that is not subject to indexation</w:t>
            </w:r>
          </w:p>
        </w:tc>
      </w:tr>
      <w:tr w:rsidR="00695D31" w:rsidTr="00695D31" w14:paraId="10F9A3DD" w14:textId="77777777">
        <w:tc>
          <w:tcPr>
            <w:tcW w:w="2126" w:type="dxa"/>
            <w:tcMar>
              <w:top w:w="0" w:type="dxa"/>
              <w:left w:w="108" w:type="dxa"/>
              <w:bottom w:w="0" w:type="dxa"/>
              <w:right w:w="108" w:type="dxa"/>
            </w:tcMar>
            <w:hideMark/>
          </w:tcPr>
          <w:p w:rsidR="00695D31" w:rsidRDefault="00695D31" w14:paraId="7096A27A" w14:textId="77777777">
            <w:pPr>
              <w:pStyle w:val="Body3"/>
              <w:ind w:left="0"/>
              <w:jc w:val="left"/>
              <w:rPr>
                <w:b/>
                <w:bCs/>
              </w:rPr>
            </w:pPr>
            <w:proofErr w:type="spellStart"/>
            <w:r>
              <w:rPr>
                <w:b/>
                <w:bCs/>
              </w:rPr>
              <w:lastRenderedPageBreak/>
              <w:t>AC</w:t>
            </w:r>
            <w:r>
              <w:rPr>
                <w:b/>
                <w:bCs/>
                <w:vertAlign w:val="superscript"/>
              </w:rPr>
              <w:t>Fi</w:t>
            </w:r>
            <w:proofErr w:type="spellEnd"/>
            <w:r>
              <w:rPr>
                <w:b/>
                <w:bCs/>
                <w:vertAlign w:val="superscript"/>
              </w:rPr>
              <w:t xml:space="preserve"> - SDA </w:t>
            </w:r>
            <w:proofErr w:type="gramStart"/>
            <w:r>
              <w:rPr>
                <w:b/>
                <w:bCs/>
                <w:vertAlign w:val="superscript"/>
              </w:rPr>
              <w:t xml:space="preserve">n </w:t>
            </w:r>
            <w:r>
              <w:rPr>
                <w:b/>
                <w:bCs/>
              </w:rPr>
              <w:t> =</w:t>
            </w:r>
            <w:proofErr w:type="gramEnd"/>
          </w:p>
        </w:tc>
        <w:tc>
          <w:tcPr>
            <w:tcW w:w="5472" w:type="dxa"/>
            <w:tcMar>
              <w:top w:w="0" w:type="dxa"/>
              <w:left w:w="108" w:type="dxa"/>
              <w:bottom w:w="0" w:type="dxa"/>
              <w:right w:w="108" w:type="dxa"/>
            </w:tcMar>
            <w:hideMark/>
          </w:tcPr>
          <w:p w:rsidR="00695D31" w:rsidRDefault="00695D31" w14:paraId="5DE40DFE" w14:textId="77777777">
            <w:pPr>
              <w:pStyle w:val="Body3"/>
              <w:ind w:left="0"/>
              <w:jc w:val="left"/>
            </w:pPr>
            <w:r>
              <w:t>That component in GBP during the Fixed Price Period for the relevant Contract Year taken from the Annual Charge Pricing Table for the relevant SDA n that is subject to indexation</w:t>
            </w:r>
          </w:p>
        </w:tc>
      </w:tr>
      <w:tr w:rsidR="00695D31" w:rsidTr="00695D31" w14:paraId="205E3532" w14:textId="77777777">
        <w:tc>
          <w:tcPr>
            <w:tcW w:w="2126" w:type="dxa"/>
            <w:tcMar>
              <w:top w:w="0" w:type="dxa"/>
              <w:left w:w="108" w:type="dxa"/>
              <w:bottom w:w="0" w:type="dxa"/>
              <w:right w:w="108" w:type="dxa"/>
            </w:tcMar>
            <w:hideMark/>
          </w:tcPr>
          <w:p w:rsidR="00695D31" w:rsidRDefault="00695D31" w14:paraId="54101FEA" w14:textId="77777777">
            <w:pPr>
              <w:pStyle w:val="Body3"/>
              <w:ind w:left="0"/>
              <w:jc w:val="left"/>
              <w:rPr>
                <w:b/>
                <w:bCs/>
              </w:rPr>
            </w:pPr>
            <w:r>
              <w:rPr>
                <w:b/>
                <w:bCs/>
              </w:rPr>
              <w:t xml:space="preserve">HQTI in Contract Year </w:t>
            </w:r>
            <w:r>
              <w:rPr>
                <w:b/>
                <w:bCs/>
                <w:i/>
                <w:iCs/>
              </w:rPr>
              <w:t>x</w:t>
            </w:r>
            <w:r>
              <w:rPr>
                <w:b/>
                <w:bCs/>
              </w:rPr>
              <w:t xml:space="preserve"> =</w:t>
            </w:r>
          </w:p>
        </w:tc>
        <w:tc>
          <w:tcPr>
            <w:tcW w:w="5472" w:type="dxa"/>
            <w:tcMar>
              <w:top w:w="0" w:type="dxa"/>
              <w:left w:w="108" w:type="dxa"/>
              <w:bottom w:w="0" w:type="dxa"/>
              <w:right w:w="108" w:type="dxa"/>
            </w:tcMar>
            <w:hideMark/>
          </w:tcPr>
          <w:p w:rsidR="00695D31" w:rsidRDefault="00695D31" w14:paraId="09A52A8E" w14:textId="2DDAC383">
            <w:pPr>
              <w:pStyle w:val="Body3"/>
              <w:ind w:left="0"/>
              <w:jc w:val="left"/>
            </w:pPr>
            <w:r>
              <w:t>the</w:t>
            </w:r>
            <w:r w:rsidR="00E807AE">
              <w:t xml:space="preserve"> HQTI Index as published by ONS for the December</w:t>
            </w:r>
            <w:r>
              <w:t xml:space="preserve"> prior to the commencement of the Contract Year for which the AC is being calculated</w:t>
            </w:r>
          </w:p>
        </w:tc>
      </w:tr>
      <w:tr w:rsidR="00695D31" w:rsidTr="00695D31" w14:paraId="69DD4317" w14:textId="77777777">
        <w:tc>
          <w:tcPr>
            <w:tcW w:w="2126" w:type="dxa"/>
            <w:tcMar>
              <w:top w:w="0" w:type="dxa"/>
              <w:left w:w="108" w:type="dxa"/>
              <w:bottom w:w="0" w:type="dxa"/>
              <w:right w:w="108" w:type="dxa"/>
            </w:tcMar>
            <w:hideMark/>
          </w:tcPr>
          <w:p w:rsidR="00695D31" w:rsidRDefault="00695D31" w14:paraId="592B8E10" w14:textId="77777777">
            <w:pPr>
              <w:pStyle w:val="Body3"/>
              <w:ind w:left="0"/>
              <w:jc w:val="left"/>
              <w:rPr>
                <w:b/>
                <w:bCs/>
              </w:rPr>
            </w:pPr>
            <w:r>
              <w:rPr>
                <w:b/>
                <w:bCs/>
              </w:rPr>
              <w:t>HQTI at Base Date =</w:t>
            </w:r>
          </w:p>
        </w:tc>
        <w:tc>
          <w:tcPr>
            <w:tcW w:w="5472" w:type="dxa"/>
            <w:tcMar>
              <w:top w:w="0" w:type="dxa"/>
              <w:left w:w="108" w:type="dxa"/>
              <w:bottom w:w="0" w:type="dxa"/>
              <w:right w:w="108" w:type="dxa"/>
            </w:tcMar>
          </w:tcPr>
          <w:p w:rsidR="00695D31" w:rsidP="00E807AE" w:rsidRDefault="00695D31" w14:paraId="519C079F" w14:textId="6C888430">
            <w:pPr>
              <w:pStyle w:val="Body3"/>
              <w:ind w:left="0"/>
              <w:jc w:val="left"/>
            </w:pPr>
            <w:r>
              <w:t>the HQTI Index as pu</w:t>
            </w:r>
            <w:r w:rsidR="00D114CD">
              <w:t xml:space="preserve">blished by ONS at the Base Date </w:t>
            </w:r>
          </w:p>
        </w:tc>
      </w:tr>
    </w:tbl>
    <w:p w:rsidRPr="00AF24F8" w:rsidR="00A06E0A" w:rsidP="007C1EE6" w:rsidRDefault="00A06E0A" w14:paraId="3403D82D" w14:textId="5704F1DA">
      <w:pPr>
        <w:pStyle w:val="Heading2"/>
        <w:spacing w:before="280"/>
        <w:rPr>
          <w:b/>
        </w:rPr>
      </w:pPr>
      <w:r w:rsidRPr="00AF24F8">
        <w:rPr>
          <w:b/>
        </w:rPr>
        <w:t xml:space="preserve">Calculation of the </w:t>
      </w:r>
      <w:r w:rsidRPr="00AF24F8" w:rsidR="00CE5521">
        <w:rPr>
          <w:b/>
        </w:rPr>
        <w:t>Monthly Charge</w:t>
      </w:r>
    </w:p>
    <w:p w:rsidRPr="00022931" w:rsidR="008773AE" w:rsidP="008773AE" w:rsidRDefault="00EC6489" w14:paraId="5D93912A" w14:textId="5E9EF3D9">
      <w:pPr>
        <w:pStyle w:val="Heading3"/>
        <w:rPr>
          <w:szCs w:val="20"/>
        </w:rPr>
      </w:pPr>
      <w:r w:rsidRPr="00022931">
        <w:rPr>
          <w:szCs w:val="20"/>
        </w:rPr>
        <w:t xml:space="preserve">For each </w:t>
      </w:r>
      <w:r w:rsidR="00474C5A">
        <w:t>Month</w:t>
      </w:r>
      <w:r w:rsidRPr="00022931" w:rsidR="00AD364B">
        <w:rPr>
          <w:szCs w:val="20"/>
        </w:rPr>
        <w:t xml:space="preserve"> within a </w:t>
      </w:r>
      <w:r w:rsidRPr="00022931" w:rsidR="00245FA6">
        <w:t>Contract Year</w:t>
      </w:r>
      <w:r w:rsidRPr="00022931" w:rsidR="00A06E0A">
        <w:rPr>
          <w:szCs w:val="20"/>
        </w:rPr>
        <w:t xml:space="preserve">, the </w:t>
      </w:r>
      <w:r w:rsidR="00474C5A">
        <w:rPr>
          <w:szCs w:val="20"/>
        </w:rPr>
        <w:t>Month</w:t>
      </w:r>
      <w:r w:rsidRPr="00022931" w:rsidR="00554A21">
        <w:rPr>
          <w:szCs w:val="20"/>
        </w:rPr>
        <w:t xml:space="preserve">ly Charge or </w:t>
      </w:r>
      <w:r w:rsidRPr="00022931" w:rsidR="00A06E0A">
        <w:rPr>
          <w:szCs w:val="20"/>
        </w:rPr>
        <w:t xml:space="preserve">MC shall be calculated </w:t>
      </w:r>
      <w:r w:rsidR="00D65AA4">
        <w:rPr>
          <w:szCs w:val="20"/>
        </w:rPr>
        <w:t>as follows:</w:t>
      </w:r>
    </w:p>
    <w:p w:rsidRPr="00AF24F8" w:rsidR="00B21159" w:rsidP="00B21159" w:rsidRDefault="00B21159" w14:paraId="25F32154" w14:textId="77777777">
      <w:pPr>
        <w:pStyle w:val="BodyText"/>
        <w:tabs>
          <w:tab w:val="left" w:pos="3686"/>
          <w:tab w:val="left" w:pos="4678"/>
        </w:tabs>
        <w:spacing w:after="0" w:line="240" w:lineRule="auto"/>
        <w:rPr>
          <w:rFonts w:cs="Arial"/>
          <w:b/>
          <w:sz w:val="16"/>
        </w:rPr>
      </w:pPr>
    </w:p>
    <w:p w:rsidRPr="00023175" w:rsidR="00B21159" w:rsidP="00B21159" w:rsidRDefault="00B21159" w14:paraId="7B5251A1" w14:textId="2E9CE0CF">
      <w:pPr>
        <w:pStyle w:val="BodyText"/>
        <w:tabs>
          <w:tab w:val="left" w:pos="3686"/>
          <w:tab w:val="left" w:pos="4678"/>
          <w:tab w:val="center" w:pos="6663"/>
        </w:tabs>
        <w:spacing w:after="0" w:line="240" w:lineRule="auto"/>
        <w:rPr>
          <w:rFonts w:cs="Arial"/>
          <w:b/>
          <w:i/>
        </w:rPr>
      </w:pPr>
      <w:r w:rsidRPr="00023175">
        <w:rPr>
          <w:rFonts w:cs="Arial"/>
          <w:b/>
        </w:rPr>
        <w:t>MC</w:t>
      </w:r>
      <w:r w:rsidR="0051268B">
        <w:rPr>
          <w:rFonts w:cs="Arial"/>
          <w:b/>
        </w:rPr>
        <w:t xml:space="preserve"> in each </w:t>
      </w:r>
      <w:r w:rsidR="00474C5A">
        <w:rPr>
          <w:rFonts w:cs="Arial"/>
          <w:b/>
        </w:rPr>
        <w:t>Month</w:t>
      </w:r>
      <w:r w:rsidR="00F154F6">
        <w:rPr>
          <w:rFonts w:cs="Arial"/>
          <w:b/>
        </w:rPr>
        <w:t xml:space="preserve"> </w:t>
      </w:r>
      <w:r w:rsidR="0051268B">
        <w:rPr>
          <w:rFonts w:cs="Arial"/>
          <w:b/>
        </w:rPr>
        <w:t>in Contract Year</w:t>
      </w:r>
      <w:r w:rsidRPr="00023175">
        <w:rPr>
          <w:rFonts w:cs="Arial"/>
          <w:b/>
          <w:i/>
        </w:rPr>
        <w:t xml:space="preserve"> x</w:t>
      </w:r>
      <w:r w:rsidRPr="00023175">
        <w:rPr>
          <w:rFonts w:cs="Arial"/>
          <w:b/>
          <w:i/>
        </w:rPr>
        <w:tab/>
      </w:r>
      <w:r w:rsidRPr="00023175">
        <w:rPr>
          <w:rFonts w:cs="Arial"/>
          <w:b/>
        </w:rPr>
        <w:t>=</w:t>
      </w:r>
      <w:r w:rsidR="0051268B">
        <w:rPr>
          <w:rFonts w:cs="Arial"/>
          <w:b/>
        </w:rPr>
        <w:tab/>
      </w:r>
      <w:r w:rsidR="00D61B9E">
        <w:rPr>
          <w:rFonts w:cs="Arial"/>
          <w:b/>
        </w:rPr>
        <w:t xml:space="preserve">    </w:t>
      </w:r>
      <w:r w:rsidRPr="00023175">
        <w:rPr>
          <w:rFonts w:cs="Arial"/>
          <w:b/>
          <w:u w:val="single"/>
        </w:rPr>
        <w:t xml:space="preserve">AC for </w:t>
      </w:r>
      <w:r w:rsidRPr="00023175">
        <w:rPr>
          <w:rFonts w:cs="Arial"/>
          <w:b/>
          <w:i/>
          <w:u w:val="single"/>
        </w:rPr>
        <w:t>Contract Year x</w:t>
      </w:r>
      <w:r w:rsidRPr="00023175">
        <w:rPr>
          <w:rFonts w:cs="Arial"/>
          <w:b/>
          <w:i/>
          <w:u w:val="single"/>
        </w:rPr>
        <w:tab/>
      </w:r>
    </w:p>
    <w:p w:rsidRPr="005B667F" w:rsidR="005A158A" w:rsidP="00B21159" w:rsidRDefault="00B21159" w14:paraId="67066DCD" w14:textId="3A0AD465">
      <w:pPr>
        <w:pStyle w:val="BodyText"/>
        <w:tabs>
          <w:tab w:val="left" w:pos="3686"/>
          <w:tab w:val="left" w:pos="4678"/>
          <w:tab w:val="center" w:pos="6663"/>
        </w:tabs>
        <w:spacing w:after="0" w:line="240" w:lineRule="auto"/>
        <w:rPr>
          <w:rFonts w:cs="Arial"/>
          <w:b/>
          <w:i/>
        </w:rPr>
      </w:pPr>
      <w:r w:rsidRPr="005B667F">
        <w:rPr>
          <w:rFonts w:cs="Arial"/>
          <w:b/>
          <w:i/>
        </w:rPr>
        <w:tab/>
      </w:r>
      <w:r w:rsidR="00E11312">
        <w:rPr>
          <w:rFonts w:cs="Arial"/>
          <w:b/>
          <w:i/>
        </w:rPr>
        <w:t xml:space="preserve">    the number of Months in that Contract Year</w:t>
      </w:r>
      <w:bookmarkStart w:name="_Ref82780833" w:id="6"/>
    </w:p>
    <w:p w:rsidRPr="005B667F" w:rsidR="00D73DB6" w:rsidP="00B21159" w:rsidRDefault="00D73DB6" w14:paraId="7C1EA8AF" w14:textId="51EE5292">
      <w:pPr>
        <w:pStyle w:val="BodyText"/>
        <w:tabs>
          <w:tab w:val="left" w:pos="3686"/>
          <w:tab w:val="left" w:pos="4678"/>
          <w:tab w:val="center" w:pos="6663"/>
        </w:tabs>
        <w:spacing w:after="0" w:line="240" w:lineRule="auto"/>
        <w:rPr>
          <w:rFonts w:cs="Arial"/>
          <w:b/>
          <w:i/>
        </w:rPr>
      </w:pPr>
    </w:p>
    <w:p w:rsidRPr="005B667F" w:rsidR="00D73DB6" w:rsidP="006242B0" w:rsidRDefault="00D73DB6" w14:paraId="3EE28793" w14:textId="3F8378FE">
      <w:pPr>
        <w:pStyle w:val="BodyText"/>
        <w:tabs>
          <w:tab w:val="left" w:pos="3686"/>
          <w:tab w:val="left" w:pos="4678"/>
          <w:tab w:val="center" w:pos="6663"/>
        </w:tabs>
        <w:spacing w:after="0" w:line="240" w:lineRule="auto"/>
        <w:ind w:left="4320" w:hanging="3690"/>
        <w:rPr>
          <w:rFonts w:cs="Arial"/>
        </w:rPr>
      </w:pPr>
      <w:r w:rsidRPr="005B667F">
        <w:rPr>
          <w:rFonts w:cs="Arial"/>
        </w:rPr>
        <w:t xml:space="preserve">Where </w:t>
      </w:r>
      <w:r w:rsidR="00474C5A">
        <w:rPr>
          <w:rFonts w:cs="Arial"/>
        </w:rPr>
        <w:t>Month</w:t>
      </w:r>
      <w:r w:rsidRPr="005B667F" w:rsidR="00474C5A">
        <w:rPr>
          <w:rFonts w:cs="Arial"/>
        </w:rPr>
        <w:t xml:space="preserve"> </w:t>
      </w:r>
      <w:r w:rsidRPr="005B667F">
        <w:rPr>
          <w:rFonts w:cs="Arial"/>
        </w:rPr>
        <w:tab/>
      </w:r>
      <w:r w:rsidRPr="005B667F">
        <w:rPr>
          <w:rFonts w:cs="Arial"/>
        </w:rPr>
        <w:t>=</w:t>
      </w:r>
      <w:r w:rsidRPr="005B667F">
        <w:rPr>
          <w:rFonts w:cs="Arial"/>
        </w:rPr>
        <w:tab/>
      </w:r>
      <w:r w:rsidRPr="005B667F">
        <w:rPr>
          <w:rFonts w:cs="Arial"/>
        </w:rPr>
        <w:t>the period for which the MC is calculated.</w:t>
      </w:r>
    </w:p>
    <w:p w:rsidRPr="005B667F" w:rsidR="00D7772A" w:rsidP="006242B0" w:rsidRDefault="00D7772A" w14:paraId="702E03C1" w14:textId="77777777">
      <w:pPr>
        <w:pStyle w:val="BodyText"/>
        <w:tabs>
          <w:tab w:val="left" w:pos="3686"/>
          <w:tab w:val="left" w:pos="4678"/>
          <w:tab w:val="center" w:pos="6663"/>
        </w:tabs>
        <w:spacing w:after="0" w:line="240" w:lineRule="auto"/>
        <w:ind w:left="4320" w:hanging="3690"/>
        <w:rPr>
          <w:rFonts w:cs="Arial"/>
        </w:rPr>
      </w:pPr>
    </w:p>
    <w:p w:rsidRPr="00022931" w:rsidR="0079333D" w:rsidP="00B21159" w:rsidRDefault="00757663" w14:paraId="45A5EE96" w14:textId="0C70A75F">
      <w:pPr>
        <w:pStyle w:val="Heading2"/>
        <w:rPr>
          <w:b/>
        </w:rPr>
      </w:pPr>
      <w:bookmarkStart w:name="_Ref87644270" w:id="7"/>
      <w:r w:rsidRPr="00022931">
        <w:rPr>
          <w:b/>
        </w:rPr>
        <w:t xml:space="preserve">Task Volumes and </w:t>
      </w:r>
      <w:r w:rsidRPr="00022931" w:rsidR="005A158A">
        <w:rPr>
          <w:b/>
        </w:rPr>
        <w:t>Annual Reconciliation Process</w:t>
      </w:r>
      <w:bookmarkEnd w:id="7"/>
      <w:r w:rsidR="00E940AF">
        <w:rPr>
          <w:b/>
        </w:rPr>
        <w:t xml:space="preserve"> with respect to SDA 7</w:t>
      </w:r>
    </w:p>
    <w:p w:rsidRPr="00022931" w:rsidR="005A158A" w:rsidP="00D90D5D" w:rsidRDefault="0079333D" w14:paraId="078F7A32" w14:textId="1ACF1F3A">
      <w:pPr>
        <w:pStyle w:val="Heading3"/>
      </w:pPr>
      <w:bookmarkStart w:name="_Ref90663005" w:id="8"/>
      <w:r w:rsidRPr="00695D31">
        <w:rPr>
          <w:szCs w:val="20"/>
        </w:rPr>
        <w:t>The</w:t>
      </w:r>
      <w:r w:rsidRPr="00022931">
        <w:t xml:space="preserve"> Contractor shall, no later than thirty (30) days after the end of each </w:t>
      </w:r>
      <w:r w:rsidRPr="00022931" w:rsidR="00245FA6">
        <w:t>Contract Year</w:t>
      </w:r>
      <w:r w:rsidRPr="00022931">
        <w:t>, provide to the Authority, a report (the "</w:t>
      </w:r>
      <w:r w:rsidRPr="00022931">
        <w:rPr>
          <w:b/>
        </w:rPr>
        <w:t>Annual Tasking Volume Report</w:t>
      </w:r>
      <w:r w:rsidRPr="00022931">
        <w:t>" or "</w:t>
      </w:r>
      <w:r w:rsidRPr="00022931">
        <w:rPr>
          <w:b/>
        </w:rPr>
        <w:t>ATVR</w:t>
      </w:r>
      <w:r w:rsidRPr="00022931">
        <w:t>")</w:t>
      </w:r>
      <w:r w:rsidRPr="00022931" w:rsidR="00FD1343">
        <w:t xml:space="preserve"> </w:t>
      </w:r>
      <w:r w:rsidRPr="00022931">
        <w:t>setting out</w:t>
      </w:r>
      <w:r w:rsidR="00751D62">
        <w:t>:</w:t>
      </w:r>
      <w:bookmarkEnd w:id="8"/>
    </w:p>
    <w:p w:rsidRPr="00023175" w:rsidR="0079333D" w:rsidP="00D51533" w:rsidRDefault="0079333D" w14:paraId="2510A737" w14:textId="02C2BB9C">
      <w:pPr>
        <w:pStyle w:val="Heading5"/>
        <w:rPr>
          <w:rFonts w:cs="Arial"/>
        </w:rPr>
      </w:pPr>
      <w:r w:rsidRPr="00AF24F8">
        <w:rPr>
          <w:rFonts w:cs="Arial"/>
        </w:rPr>
        <w:t>the Actual Volume</w:t>
      </w:r>
      <w:r w:rsidR="00437B8D">
        <w:rPr>
          <w:rFonts w:cs="Arial"/>
        </w:rPr>
        <w:t xml:space="preserve"> for </w:t>
      </w:r>
      <w:r w:rsidR="00E940AF">
        <w:rPr>
          <w:rFonts w:cs="Arial"/>
        </w:rPr>
        <w:t>SDA 7</w:t>
      </w:r>
      <w:r w:rsidRPr="00AF24F8" w:rsidR="002D126D">
        <w:rPr>
          <w:rFonts w:cs="Arial"/>
        </w:rPr>
        <w:t xml:space="preserve"> for the </w:t>
      </w:r>
      <w:r w:rsidRPr="00AF24F8" w:rsidR="00245FA6">
        <w:rPr>
          <w:rFonts w:cs="Arial"/>
        </w:rPr>
        <w:t>Contract Year</w:t>
      </w:r>
      <w:r w:rsidRPr="00023175" w:rsidR="002D126D">
        <w:rPr>
          <w:rFonts w:cs="Arial"/>
        </w:rPr>
        <w:t xml:space="preserve"> which has just </w:t>
      </w:r>
      <w:proofErr w:type="gramStart"/>
      <w:r w:rsidRPr="00023175" w:rsidR="002D126D">
        <w:rPr>
          <w:rFonts w:cs="Arial"/>
        </w:rPr>
        <w:t>expired</w:t>
      </w:r>
      <w:r w:rsidRPr="00023175">
        <w:rPr>
          <w:rFonts w:cs="Arial"/>
        </w:rPr>
        <w:t>;</w:t>
      </w:r>
      <w:proofErr w:type="gramEnd"/>
    </w:p>
    <w:p w:rsidRPr="00023175" w:rsidR="0079333D" w:rsidP="00D51533" w:rsidRDefault="0079333D" w14:paraId="29F60C2A" w14:textId="03A3F4B1">
      <w:pPr>
        <w:pStyle w:val="Heading5"/>
        <w:rPr>
          <w:rFonts w:cs="Arial"/>
        </w:rPr>
      </w:pPr>
      <w:r w:rsidRPr="00023175">
        <w:rPr>
          <w:rFonts w:cs="Arial"/>
        </w:rPr>
        <w:t>the Forecast Volume</w:t>
      </w:r>
      <w:r w:rsidR="00437B8D">
        <w:rPr>
          <w:rFonts w:cs="Arial"/>
        </w:rPr>
        <w:t xml:space="preserve"> for </w:t>
      </w:r>
      <w:r w:rsidR="00E940AF">
        <w:rPr>
          <w:rFonts w:cs="Arial"/>
        </w:rPr>
        <w:t>SDA 7</w:t>
      </w:r>
      <w:r w:rsidRPr="00023175" w:rsidR="002D126D">
        <w:rPr>
          <w:rFonts w:cs="Arial"/>
        </w:rPr>
        <w:t xml:space="preserve"> for the </w:t>
      </w:r>
      <w:r w:rsidRPr="00023175" w:rsidR="00245FA6">
        <w:rPr>
          <w:rFonts w:cs="Arial"/>
        </w:rPr>
        <w:t>Contract Year</w:t>
      </w:r>
      <w:r w:rsidRPr="00023175" w:rsidR="002D126D">
        <w:rPr>
          <w:rFonts w:cs="Arial"/>
        </w:rPr>
        <w:t xml:space="preserve"> which has just </w:t>
      </w:r>
      <w:proofErr w:type="gramStart"/>
      <w:r w:rsidRPr="00023175" w:rsidR="002D126D">
        <w:rPr>
          <w:rFonts w:cs="Arial"/>
        </w:rPr>
        <w:t>expired</w:t>
      </w:r>
      <w:r w:rsidRPr="00023175">
        <w:rPr>
          <w:rFonts w:cs="Arial"/>
        </w:rPr>
        <w:t>;</w:t>
      </w:r>
      <w:proofErr w:type="gramEnd"/>
    </w:p>
    <w:p w:rsidRPr="00023175" w:rsidR="0079333D" w:rsidP="00D51533" w:rsidRDefault="0079333D" w14:paraId="67ABD169" w14:textId="7F793A7C">
      <w:pPr>
        <w:pStyle w:val="Heading5"/>
        <w:rPr>
          <w:rFonts w:cs="Arial"/>
        </w:rPr>
      </w:pPr>
      <w:bookmarkStart w:name="_Ref90663007" w:id="9"/>
      <w:r w:rsidRPr="00023175">
        <w:rPr>
          <w:rFonts w:cs="Arial"/>
        </w:rPr>
        <w:t xml:space="preserve">the </w:t>
      </w:r>
      <w:r w:rsidRPr="00023175" w:rsidR="00FC31B6">
        <w:rPr>
          <w:rFonts w:cs="Arial"/>
        </w:rPr>
        <w:t>total of the AC paid</w:t>
      </w:r>
      <w:r w:rsidR="00437B8D">
        <w:rPr>
          <w:rFonts w:cs="Arial"/>
        </w:rPr>
        <w:t xml:space="preserve"> for </w:t>
      </w:r>
      <w:r w:rsidR="00E940AF">
        <w:rPr>
          <w:rFonts w:cs="Arial"/>
        </w:rPr>
        <w:t>SDA 7</w:t>
      </w:r>
      <w:r w:rsidRPr="00023175" w:rsidR="00FC31B6">
        <w:rPr>
          <w:rFonts w:cs="Arial"/>
        </w:rPr>
        <w:t xml:space="preserve"> during the previous </w:t>
      </w:r>
      <w:r w:rsidRPr="00023175" w:rsidR="00245FA6">
        <w:rPr>
          <w:rFonts w:cs="Arial"/>
        </w:rPr>
        <w:t>Contract Year</w:t>
      </w:r>
      <w:r w:rsidRPr="00023175">
        <w:rPr>
          <w:rFonts w:cs="Arial"/>
        </w:rPr>
        <w:t xml:space="preserve"> prior to the application of any Service Credits</w:t>
      </w:r>
      <w:r w:rsidRPr="00023175" w:rsidR="00FC31B6">
        <w:rPr>
          <w:rFonts w:cs="Arial"/>
        </w:rPr>
        <w:t xml:space="preserve"> (the "</w:t>
      </w:r>
      <w:r w:rsidRPr="00712922" w:rsidR="00957099">
        <w:rPr>
          <w:rFonts w:cs="Arial"/>
          <w:b/>
        </w:rPr>
        <w:t>SDA 7</w:t>
      </w:r>
      <w:r w:rsidRPr="00712922" w:rsidR="00957099">
        <w:rPr>
          <w:rFonts w:cs="Arial"/>
        </w:rPr>
        <w:t xml:space="preserve"> </w:t>
      </w:r>
      <w:r w:rsidRPr="00712922" w:rsidR="00FC31B6">
        <w:rPr>
          <w:rFonts w:cs="Arial"/>
          <w:b/>
        </w:rPr>
        <w:t>AC Paid</w:t>
      </w:r>
      <w:r w:rsidRPr="00023175" w:rsidR="00FC31B6">
        <w:rPr>
          <w:rFonts w:cs="Arial"/>
        </w:rPr>
        <w:t>"</w:t>
      </w:r>
      <w:proofErr w:type="gramStart"/>
      <w:r w:rsidRPr="00023175" w:rsidR="00FC31B6">
        <w:rPr>
          <w:rFonts w:cs="Arial"/>
        </w:rPr>
        <w:t>)</w:t>
      </w:r>
      <w:r w:rsidRPr="00023175">
        <w:rPr>
          <w:rFonts w:cs="Arial"/>
        </w:rPr>
        <w:t>;</w:t>
      </w:r>
      <w:bookmarkEnd w:id="9"/>
      <w:proofErr w:type="gramEnd"/>
    </w:p>
    <w:p w:rsidRPr="00023175" w:rsidR="002D126D" w:rsidP="007E7A2E" w:rsidRDefault="002D126D" w14:paraId="0F70CE12" w14:textId="41AB5EDB">
      <w:pPr>
        <w:pStyle w:val="Heading5"/>
        <w:rPr>
          <w:rFonts w:cs="Arial"/>
        </w:rPr>
      </w:pPr>
      <w:bookmarkStart w:name="_Ref90663036" w:id="10"/>
      <w:r w:rsidRPr="00023175">
        <w:rPr>
          <w:rFonts w:cs="Arial"/>
        </w:rPr>
        <w:t xml:space="preserve">on the basis of the Actual Volume for </w:t>
      </w:r>
      <w:r w:rsidR="00437B8D">
        <w:rPr>
          <w:rFonts w:cs="Arial"/>
        </w:rPr>
        <w:t>SDA 7</w:t>
      </w:r>
      <w:r w:rsidRPr="00023175">
        <w:rPr>
          <w:rFonts w:cs="Arial"/>
        </w:rPr>
        <w:t xml:space="preserve">, the Pricing Band in the </w:t>
      </w:r>
      <w:r w:rsidR="00437B8D">
        <w:rPr>
          <w:rFonts w:cs="Arial"/>
        </w:rPr>
        <w:t xml:space="preserve">SDA 7 </w:t>
      </w:r>
      <w:r w:rsidRPr="00023175">
        <w:rPr>
          <w:rFonts w:cs="Arial"/>
        </w:rPr>
        <w:t xml:space="preserve">Pricing Table </w:t>
      </w:r>
      <w:r w:rsidR="00651B86">
        <w:rPr>
          <w:rFonts w:cs="Arial"/>
        </w:rPr>
        <w:t xml:space="preserve">that </w:t>
      </w:r>
      <w:r w:rsidRPr="00023175">
        <w:rPr>
          <w:rFonts w:cs="Arial"/>
        </w:rPr>
        <w:t xml:space="preserve">would have applied had the Forecast Volume been equal to the Actual Volume for </w:t>
      </w:r>
      <w:r w:rsidR="00437B8D">
        <w:rPr>
          <w:rFonts w:cs="Arial"/>
        </w:rPr>
        <w:t xml:space="preserve">SDA 7 </w:t>
      </w:r>
      <w:r w:rsidRPr="00023175" w:rsidR="00FC31B6">
        <w:rPr>
          <w:rFonts w:cs="Arial"/>
        </w:rPr>
        <w:t>(the "</w:t>
      </w:r>
      <w:r w:rsidRPr="00712922" w:rsidR="00440C4A">
        <w:rPr>
          <w:rFonts w:cs="Arial"/>
          <w:b/>
        </w:rPr>
        <w:t>SDA 7</w:t>
      </w:r>
      <w:r w:rsidRPr="00712922" w:rsidR="00440C4A">
        <w:rPr>
          <w:rFonts w:cs="Arial"/>
        </w:rPr>
        <w:t xml:space="preserve"> </w:t>
      </w:r>
      <w:r w:rsidRPr="00712922" w:rsidR="00FC31B6">
        <w:rPr>
          <w:rFonts w:cs="Arial"/>
          <w:b/>
        </w:rPr>
        <w:t>AC Due</w:t>
      </w:r>
      <w:r w:rsidRPr="00064431" w:rsidR="00FC31B6">
        <w:rPr>
          <w:rFonts w:cs="Arial"/>
        </w:rPr>
        <w:t>"</w:t>
      </w:r>
      <w:proofErr w:type="gramStart"/>
      <w:r w:rsidRPr="00064431" w:rsidR="00FC31B6">
        <w:rPr>
          <w:rFonts w:cs="Arial"/>
        </w:rPr>
        <w:t>)</w:t>
      </w:r>
      <w:r w:rsidRPr="00064431" w:rsidR="00757663">
        <w:rPr>
          <w:rFonts w:cs="Arial"/>
        </w:rPr>
        <w:t>;</w:t>
      </w:r>
      <w:bookmarkEnd w:id="10"/>
      <w:proofErr w:type="gramEnd"/>
    </w:p>
    <w:p w:rsidRPr="00023175" w:rsidR="00757663" w:rsidP="00D51533" w:rsidRDefault="00757663" w14:paraId="1C972DBC" w14:textId="4FC1DAEE">
      <w:pPr>
        <w:pStyle w:val="Heading5"/>
        <w:rPr>
          <w:rFonts w:cs="Arial"/>
        </w:rPr>
      </w:pPr>
      <w:r w:rsidRPr="00023175">
        <w:rPr>
          <w:rFonts w:cs="Arial"/>
        </w:rPr>
        <w:t xml:space="preserve">the </w:t>
      </w:r>
      <w:r w:rsidRPr="00023175" w:rsidR="00F15DB6">
        <w:rPr>
          <w:rFonts w:cs="Arial"/>
          <w:szCs w:val="20"/>
        </w:rPr>
        <w:t>AC</w:t>
      </w:r>
      <w:r w:rsidRPr="00023175">
        <w:rPr>
          <w:rFonts w:cs="Arial"/>
        </w:rPr>
        <w:t xml:space="preserve"> Paid</w:t>
      </w:r>
      <w:r w:rsidR="00440C4A">
        <w:rPr>
          <w:rFonts w:cs="Arial"/>
        </w:rPr>
        <w:t xml:space="preserve"> for </w:t>
      </w:r>
      <w:r w:rsidR="00E940AF">
        <w:rPr>
          <w:rFonts w:cs="Arial"/>
        </w:rPr>
        <w:t>SDA 7</w:t>
      </w:r>
      <w:r w:rsidRPr="00023175" w:rsidR="00E940AF">
        <w:rPr>
          <w:rFonts w:cs="Arial"/>
        </w:rPr>
        <w:t xml:space="preserve"> </w:t>
      </w:r>
      <w:r w:rsidRPr="00023175">
        <w:rPr>
          <w:rFonts w:cs="Arial"/>
        </w:rPr>
        <w:t xml:space="preserve">and </w:t>
      </w:r>
      <w:r w:rsidR="00440C4A">
        <w:rPr>
          <w:rFonts w:cs="Arial"/>
        </w:rPr>
        <w:t xml:space="preserve">the SDA 7 </w:t>
      </w:r>
      <w:r w:rsidRPr="00023175" w:rsidR="00F15DB6">
        <w:rPr>
          <w:rFonts w:cs="Arial"/>
          <w:szCs w:val="20"/>
        </w:rPr>
        <w:t>AC</w:t>
      </w:r>
      <w:r w:rsidRPr="00023175">
        <w:rPr>
          <w:rFonts w:cs="Arial"/>
        </w:rPr>
        <w:t xml:space="preserve"> Due, with </w:t>
      </w:r>
      <w:r w:rsidR="007C172A">
        <w:rPr>
          <w:rFonts w:cs="Arial"/>
        </w:rPr>
        <w:t>any</w:t>
      </w:r>
      <w:r w:rsidRPr="00023175" w:rsidR="007C172A">
        <w:rPr>
          <w:rFonts w:cs="Arial"/>
        </w:rPr>
        <w:t xml:space="preserve"> </w:t>
      </w:r>
      <w:r w:rsidRPr="00023175">
        <w:rPr>
          <w:rFonts w:cs="Arial"/>
          <w:szCs w:val="20"/>
        </w:rPr>
        <w:t>difference</w:t>
      </w:r>
      <w:r w:rsidR="00440C4A">
        <w:rPr>
          <w:rFonts w:cs="Arial"/>
          <w:szCs w:val="20"/>
        </w:rPr>
        <w:t xml:space="preserve"> </w:t>
      </w:r>
      <w:r w:rsidRPr="00023175">
        <w:rPr>
          <w:rFonts w:cs="Arial"/>
        </w:rPr>
        <w:t>being the "</w:t>
      </w:r>
      <w:r w:rsidRPr="00023175">
        <w:rPr>
          <w:rFonts w:cs="Arial"/>
          <w:b/>
        </w:rPr>
        <w:t>Annual Adjustment</w:t>
      </w:r>
      <w:r w:rsidRPr="00023175">
        <w:rPr>
          <w:rFonts w:cs="Arial"/>
        </w:rPr>
        <w:t>" or "</w:t>
      </w:r>
      <w:r w:rsidRPr="00023175">
        <w:rPr>
          <w:rFonts w:cs="Arial"/>
          <w:b/>
        </w:rPr>
        <w:t>AA</w:t>
      </w:r>
      <w:proofErr w:type="gramStart"/>
      <w:r w:rsidRPr="00023175">
        <w:rPr>
          <w:rFonts w:cs="Arial"/>
        </w:rPr>
        <w:t>"</w:t>
      </w:r>
      <w:r w:rsidRPr="00023175" w:rsidR="00DB018E">
        <w:rPr>
          <w:rFonts w:cs="Arial"/>
        </w:rPr>
        <w:t>;</w:t>
      </w:r>
      <w:proofErr w:type="gramEnd"/>
      <w:r w:rsidR="00D357CA">
        <w:rPr>
          <w:rFonts w:cs="Arial"/>
        </w:rPr>
        <w:t xml:space="preserve"> and</w:t>
      </w:r>
    </w:p>
    <w:p w:rsidRPr="00023175" w:rsidR="0079333D" w:rsidP="00D51533" w:rsidRDefault="0079333D" w14:paraId="6EB1C6E4" w14:textId="5FD119AF">
      <w:pPr>
        <w:pStyle w:val="Heading5"/>
        <w:rPr>
          <w:rFonts w:cs="Arial"/>
        </w:rPr>
      </w:pPr>
      <w:r w:rsidRPr="00023175">
        <w:rPr>
          <w:rFonts w:cs="Arial"/>
        </w:rPr>
        <w:t>any supporting information and calculations which the Contractor considers necessary.</w:t>
      </w:r>
    </w:p>
    <w:p w:rsidR="001B3CCC" w:rsidP="00D51533" w:rsidRDefault="007C172A" w14:paraId="132B7EA8" w14:textId="67F57CCE">
      <w:pPr>
        <w:pStyle w:val="Heading3"/>
      </w:pPr>
      <w:bookmarkStart w:name="_Ref90662993" w:id="11"/>
      <w:r>
        <w:lastRenderedPageBreak/>
        <w:t xml:space="preserve">If the ATVR sets out that an Annual Adjustment is required, the Contractor shall, </w:t>
      </w:r>
      <w:r w:rsidR="00957099">
        <w:t>calculate and submit to the Authority the details</w:t>
      </w:r>
      <w:r>
        <w:t xml:space="preserve"> any </w:t>
      </w:r>
      <w:r w:rsidR="00957099">
        <w:t xml:space="preserve">Service Credits and / or deductions and / or Service Credit Retention Releases that have been applied against the SDA 7 AC Paid, and the adjustment required </w:t>
      </w:r>
      <w:proofErr w:type="gramStart"/>
      <w:r w:rsidR="00957099">
        <w:t>on the basis of</w:t>
      </w:r>
      <w:proofErr w:type="gramEnd"/>
      <w:r w:rsidR="00957099">
        <w:t xml:space="preserve"> the SDA 7 AC Due. If any adjustments are required to reflect Service Credit Retentions and / or deductions, these shall form part of the AA. </w:t>
      </w:r>
    </w:p>
    <w:p w:rsidR="0088367C" w:rsidP="00D51533" w:rsidRDefault="0088367C" w14:paraId="1BA829AD" w14:textId="1D8BB1AA">
      <w:pPr>
        <w:pStyle w:val="Heading3"/>
      </w:pPr>
      <w:r>
        <w:t>The Contractor shall ensure that the ATVR complies with the information requirements set out in Schedule 6 (</w:t>
      </w:r>
      <w:r>
        <w:rPr>
          <w:i/>
        </w:rPr>
        <w:t>Governance, Management Information, Reports, Records and Audit</w:t>
      </w:r>
      <w:r>
        <w:t>).</w:t>
      </w:r>
    </w:p>
    <w:p w:rsidRPr="00022931" w:rsidR="0079333D" w:rsidP="00D51533" w:rsidRDefault="009C3528" w14:paraId="42E9FA1F" w14:textId="2D54720D">
      <w:pPr>
        <w:pStyle w:val="Heading3"/>
      </w:pPr>
      <w:r w:rsidRPr="00022931">
        <w:t xml:space="preserve">The Authority shall, no later than </w:t>
      </w:r>
      <w:r w:rsidRPr="00022931" w:rsidR="0033532C">
        <w:t xml:space="preserve">forty-five </w:t>
      </w:r>
      <w:r w:rsidRPr="00022931">
        <w:t>(</w:t>
      </w:r>
      <w:r w:rsidRPr="00022931" w:rsidR="0033532C">
        <w:t>4</w:t>
      </w:r>
      <w:r w:rsidRPr="00022931">
        <w:t>5) days after its receipt of the ATVR, notify the Contractor whether:</w:t>
      </w:r>
      <w:bookmarkEnd w:id="11"/>
    </w:p>
    <w:p w:rsidRPr="00023175" w:rsidR="009C3528" w:rsidP="00D51533" w:rsidRDefault="00A22F0F" w14:paraId="36617AC0" w14:textId="7F3A79EE">
      <w:pPr>
        <w:pStyle w:val="Heading5"/>
        <w:rPr>
          <w:rFonts w:cs="Arial"/>
        </w:rPr>
      </w:pPr>
      <w:r w:rsidRPr="00AF24F8">
        <w:rPr>
          <w:rFonts w:cs="Arial"/>
        </w:rPr>
        <w:t>i</w:t>
      </w:r>
      <w:r w:rsidRPr="00AF24F8" w:rsidR="009C3528">
        <w:rPr>
          <w:rFonts w:cs="Arial"/>
        </w:rPr>
        <w:t>t agrees with the</w:t>
      </w:r>
      <w:r w:rsidRPr="00AF24F8" w:rsidR="00FC31B6">
        <w:rPr>
          <w:rFonts w:cs="Arial"/>
        </w:rPr>
        <w:t xml:space="preserve"> Contractor's calculati</w:t>
      </w:r>
      <w:r w:rsidRPr="00023175" w:rsidR="00FC31B6">
        <w:rPr>
          <w:rFonts w:cs="Arial"/>
        </w:rPr>
        <w:t>on of</w:t>
      </w:r>
      <w:r w:rsidRPr="00023175" w:rsidR="009C3528">
        <w:rPr>
          <w:rFonts w:cs="Arial"/>
        </w:rPr>
        <w:t xml:space="preserve"> </w:t>
      </w:r>
      <w:r w:rsidRPr="00023175" w:rsidR="00C5033C">
        <w:rPr>
          <w:rFonts w:cs="Arial"/>
        </w:rPr>
        <w:t xml:space="preserve">the </w:t>
      </w:r>
      <w:r w:rsidRPr="00023175" w:rsidR="009C3528">
        <w:rPr>
          <w:rFonts w:cs="Arial"/>
        </w:rPr>
        <w:t xml:space="preserve">AA, in which case it shall be applied to the MC for the </w:t>
      </w:r>
      <w:r w:rsidR="00474C5A">
        <w:rPr>
          <w:rFonts w:cs="Arial"/>
        </w:rPr>
        <w:t>Month</w:t>
      </w:r>
      <w:r w:rsidRPr="00023175" w:rsidR="009C3528">
        <w:rPr>
          <w:rFonts w:cs="Arial"/>
        </w:rPr>
        <w:t xml:space="preserve"> falling three (3) </w:t>
      </w:r>
      <w:r w:rsidR="00474C5A">
        <w:rPr>
          <w:rFonts w:cs="Arial"/>
        </w:rPr>
        <w:t>Month</w:t>
      </w:r>
      <w:r w:rsidRPr="00023175" w:rsidR="009C3528">
        <w:rPr>
          <w:rFonts w:cs="Arial"/>
        </w:rPr>
        <w:t xml:space="preserve">s after the end of the </w:t>
      </w:r>
      <w:r w:rsidRPr="00023175" w:rsidR="00245FA6">
        <w:rPr>
          <w:rFonts w:cs="Arial"/>
        </w:rPr>
        <w:t>Contract Year</w:t>
      </w:r>
      <w:r w:rsidRPr="00023175" w:rsidR="009C3528">
        <w:rPr>
          <w:rFonts w:cs="Arial"/>
        </w:rPr>
        <w:t xml:space="preserve"> in respect of which the ATVR has been submitted; or</w:t>
      </w:r>
    </w:p>
    <w:p w:rsidRPr="00023175" w:rsidR="009C3528" w:rsidP="00D51533" w:rsidRDefault="00A22F0F" w14:paraId="093853EB" w14:textId="02404DD2">
      <w:pPr>
        <w:pStyle w:val="Heading5"/>
        <w:rPr>
          <w:rFonts w:cs="Arial"/>
        </w:rPr>
      </w:pPr>
      <w:r w:rsidRPr="00023175">
        <w:rPr>
          <w:rFonts w:cs="Arial"/>
        </w:rPr>
        <w:t>i</w:t>
      </w:r>
      <w:r w:rsidRPr="00023175" w:rsidR="009C3528">
        <w:rPr>
          <w:rFonts w:cs="Arial"/>
        </w:rPr>
        <w:t xml:space="preserve">t disagrees with the </w:t>
      </w:r>
      <w:proofErr w:type="gramStart"/>
      <w:r w:rsidRPr="00023175" w:rsidR="009C3528">
        <w:rPr>
          <w:rFonts w:cs="Arial"/>
        </w:rPr>
        <w:t>AA,</w:t>
      </w:r>
      <w:proofErr w:type="gramEnd"/>
      <w:r w:rsidRPr="00023175" w:rsidR="009C3528">
        <w:rPr>
          <w:rFonts w:cs="Arial"/>
        </w:rPr>
        <w:t xml:space="preserve"> in which case </w:t>
      </w:r>
      <w:r w:rsidR="00E93E7B">
        <w:rPr>
          <w:rFonts w:cs="Arial"/>
        </w:rPr>
        <w:t>the Dispute Resolution Procedure shall apply</w:t>
      </w:r>
      <w:r w:rsidRPr="00023175" w:rsidR="00302E26">
        <w:rPr>
          <w:rFonts w:cs="Arial"/>
        </w:rPr>
        <w:t xml:space="preserve">. </w:t>
      </w:r>
    </w:p>
    <w:p w:rsidRPr="00022931" w:rsidR="00A22F0F" w:rsidP="00D51533" w:rsidRDefault="00A22F0F" w14:paraId="41089485" w14:textId="105D0672">
      <w:pPr>
        <w:pStyle w:val="Heading3"/>
      </w:pPr>
      <w:r w:rsidRPr="00022931">
        <w:t>The Authority may, at any stage in its review of the ATVR, request clarifications from the Contractor, and the Contractor shall respond to such clarifications no later than five (5) Business Days thereafter.</w:t>
      </w:r>
    </w:p>
    <w:p w:rsidRPr="00022931" w:rsidR="00A22F0F" w:rsidP="00D51533" w:rsidRDefault="00AC0FF1" w14:paraId="7DC2DF8F" w14:textId="26F16329">
      <w:pPr>
        <w:pStyle w:val="Heading3"/>
      </w:pPr>
      <w:r>
        <w:t>In the event of a dispute</w:t>
      </w:r>
      <w:r w:rsidRPr="00022931" w:rsidR="00A22F0F">
        <w:t xml:space="preserve"> between the Parties as to the quantum of the AA in accordance with the Dispute Resolution Procedure, the Authority shall apply the AA that it considers </w:t>
      </w:r>
      <w:proofErr w:type="gramStart"/>
      <w:r w:rsidRPr="00022931" w:rsidR="00A22F0F">
        <w:t>applicable, and</w:t>
      </w:r>
      <w:proofErr w:type="gramEnd"/>
      <w:r w:rsidRPr="00022931" w:rsidR="00A22F0F">
        <w:t xml:space="preserve"> shall provide its calculations for such to the Contractor.</w:t>
      </w:r>
    </w:p>
    <w:p w:rsidRPr="00022931" w:rsidR="00A67EFD" w:rsidP="00A67EFD" w:rsidRDefault="0085130C" w14:paraId="191594E1" w14:textId="4C765628">
      <w:pPr>
        <w:pStyle w:val="Heading2"/>
      </w:pPr>
      <w:bookmarkStart w:name="_Ref85870988" w:id="12"/>
      <w:bookmarkStart w:name="_Ref90640091" w:id="13"/>
      <w:bookmarkEnd w:id="6"/>
      <w:r w:rsidRPr="00022931">
        <w:rPr>
          <w:b/>
        </w:rPr>
        <w:t>Use of Fuel</w:t>
      </w:r>
      <w:bookmarkEnd w:id="12"/>
      <w:bookmarkEnd w:id="13"/>
    </w:p>
    <w:p w:rsidR="00A67EFD" w:rsidP="00735381" w:rsidRDefault="00195CA6" w14:paraId="6BFD4AB6" w14:textId="550F9E9D">
      <w:pPr>
        <w:pStyle w:val="Heading3"/>
      </w:pPr>
      <w:r w:rsidRPr="00022931">
        <w:t>Fuel consumed</w:t>
      </w:r>
      <w:r w:rsidRPr="00022931" w:rsidR="006E06DF">
        <w:t xml:space="preserve"> by the Contractor</w:t>
      </w:r>
      <w:r w:rsidRPr="00022931">
        <w:t xml:space="preserve"> in the delivery of the Services will be recovered by the Contractor as a </w:t>
      </w:r>
      <w:proofErr w:type="gramStart"/>
      <w:r w:rsidRPr="00022931">
        <w:t>pass through</w:t>
      </w:r>
      <w:proofErr w:type="gramEnd"/>
      <w:r w:rsidRPr="00022931">
        <w:t xml:space="preserve"> cost</w:t>
      </w:r>
      <w:r w:rsidRPr="00022931" w:rsidR="0085130C">
        <w:t>.</w:t>
      </w:r>
      <w:r w:rsidRPr="00022931" w:rsidR="00A67EFD">
        <w:t xml:space="preserve"> </w:t>
      </w:r>
    </w:p>
    <w:p w:rsidR="00381285" w:rsidP="00DD1A79" w:rsidRDefault="00381285" w14:paraId="64F6D3EC" w14:textId="740D1693">
      <w:pPr>
        <w:pStyle w:val="Heading3"/>
      </w:pPr>
      <w:bookmarkStart w:name="_Ref109071611" w:id="14"/>
      <w:r>
        <w:t>The Contractor shall submit the Fuel Usage Report to the Authority in accordance with the timelines set out in Schedule 6 (</w:t>
      </w:r>
      <w:r>
        <w:rPr>
          <w:i/>
        </w:rPr>
        <w:t>Governance, Management Information, Reports, Records and Audit</w:t>
      </w:r>
      <w:r>
        <w:t xml:space="preserve">). </w:t>
      </w:r>
    </w:p>
    <w:p w:rsidR="00DD1A79" w:rsidP="00DD1A79" w:rsidRDefault="00DD1A79" w14:paraId="457226A0" w14:textId="6811DD18">
      <w:pPr>
        <w:pStyle w:val="Heading3"/>
      </w:pPr>
      <w:r w:rsidRPr="009D7D0D">
        <w:t>The</w:t>
      </w:r>
      <w:r w:rsidR="00567322">
        <w:t xml:space="preserve"> Authority shall apply the</w:t>
      </w:r>
      <w:r w:rsidRPr="009D7D0D">
        <w:t xml:space="preserve"> </w:t>
      </w:r>
      <w:r w:rsidRPr="00083327">
        <w:t>AAR Guidance</w:t>
      </w:r>
      <w:r w:rsidRPr="009D7D0D">
        <w:t xml:space="preserve"> </w:t>
      </w:r>
      <w:r w:rsidR="00567322">
        <w:t xml:space="preserve">to its review of the Fuel Usage </w:t>
      </w:r>
      <w:proofErr w:type="gramStart"/>
      <w:r w:rsidR="00567322">
        <w:t>Report, and</w:t>
      </w:r>
      <w:proofErr w:type="gramEnd"/>
      <w:r w:rsidR="00567322">
        <w:t xml:space="preserve"> shall be entitled to apply the </w:t>
      </w:r>
      <w:r w:rsidRPr="00141084" w:rsidR="00567322">
        <w:t>Fuel Deduction</w:t>
      </w:r>
      <w:r w:rsidR="00567322">
        <w:t xml:space="preserve"> from the relevant </w:t>
      </w:r>
      <w:r w:rsidR="00AC0FF1">
        <w:t xml:space="preserve">Total Monthly Payment </w:t>
      </w:r>
      <w:r w:rsidR="00567322">
        <w:t>for Month M if it determines that the Contractor's use of Fuel during Month M-2 was not in compliance with the AAR Guidance</w:t>
      </w:r>
      <w:r w:rsidRPr="009D7D0D">
        <w:t>. The Parties shall resolve any dispute with respect to the AAR Guidance and / or the Authority's application of the same in accordance with the Dispute Resolution Procedure</w:t>
      </w:r>
      <w:bookmarkEnd w:id="14"/>
      <w:r w:rsidR="00141084">
        <w:t>.</w:t>
      </w:r>
    </w:p>
    <w:p w:rsidRPr="00022931" w:rsidR="00584C95" w:rsidP="009C6FB6" w:rsidRDefault="009C6FB6" w14:paraId="7FA0AB17" w14:textId="5590BD1E">
      <w:pPr>
        <w:pStyle w:val="Heading1"/>
        <w:rPr>
          <w:szCs w:val="20"/>
        </w:rPr>
      </w:pPr>
      <w:bookmarkStart w:name="_Ref90663140" w:id="15"/>
      <w:r w:rsidRPr="00022931">
        <w:rPr>
          <w:szCs w:val="20"/>
        </w:rPr>
        <w:t>Performance</w:t>
      </w:r>
      <w:bookmarkEnd w:id="15"/>
      <w:r w:rsidR="004D67C3">
        <w:rPr>
          <w:szCs w:val="20"/>
        </w:rPr>
        <w:t xml:space="preserve"> </w:t>
      </w:r>
    </w:p>
    <w:p w:rsidRPr="00022931" w:rsidR="00584C95" w:rsidP="00584C95" w:rsidRDefault="00584C95" w14:paraId="51D083D8" w14:textId="77777777">
      <w:pPr>
        <w:pStyle w:val="Heading2"/>
        <w:rPr>
          <w:b/>
        </w:rPr>
      </w:pPr>
      <w:r w:rsidRPr="00022931">
        <w:rPr>
          <w:b/>
        </w:rPr>
        <w:t>KPIs</w:t>
      </w:r>
    </w:p>
    <w:p w:rsidRPr="00022931" w:rsidR="00584C95" w:rsidP="00584C95" w:rsidRDefault="00584C95" w14:paraId="475EE44A" w14:textId="759290AA">
      <w:pPr>
        <w:pStyle w:val="Heading3"/>
      </w:pPr>
      <w:r w:rsidRPr="00022931">
        <w:lastRenderedPageBreak/>
        <w:t>The</w:t>
      </w:r>
      <w:r w:rsidRPr="00022931" w:rsidR="0034193E">
        <w:t xml:space="preserve"> Contractor's </w:t>
      </w:r>
      <w:r w:rsidR="00730093">
        <w:t>delivery</w:t>
      </w:r>
      <w:r w:rsidRPr="00022931" w:rsidR="0034193E">
        <w:t xml:space="preserve"> of the Services shall be measured and adjusted </w:t>
      </w:r>
      <w:r w:rsidRPr="00022931" w:rsidR="00080A13">
        <w:t>against the KPIs</w:t>
      </w:r>
      <w:r w:rsidRPr="00022931" w:rsidR="0034193E">
        <w:t>.</w:t>
      </w:r>
    </w:p>
    <w:p w:rsidRPr="00022931" w:rsidR="0059673F" w:rsidP="0059673F" w:rsidRDefault="0059673F" w14:paraId="44F3331F" w14:textId="3E776989">
      <w:pPr>
        <w:pStyle w:val="Heading3"/>
      </w:pPr>
      <w:r w:rsidRPr="00022931">
        <w:t xml:space="preserve">The Authority may, at any time during the Contract Term, amend the KPIs or recalibrate the basis on which they are measured </w:t>
      </w:r>
      <w:r w:rsidR="008138DE">
        <w:t>in accordance with</w:t>
      </w:r>
      <w:r w:rsidRPr="00022931" w:rsidR="008138DE">
        <w:t xml:space="preserve"> </w:t>
      </w:r>
      <w:r w:rsidRPr="00022931">
        <w:t xml:space="preserve">the Change Control Procedure. </w:t>
      </w:r>
    </w:p>
    <w:p w:rsidRPr="00022931" w:rsidR="00555751" w:rsidP="00A15620" w:rsidRDefault="00555751" w14:paraId="3A55BBBD" w14:textId="13D6D6BF">
      <w:pPr>
        <w:pStyle w:val="Heading2"/>
        <w:rPr>
          <w:b/>
        </w:rPr>
      </w:pPr>
      <w:bookmarkStart w:name="_Ref82780408" w:id="16"/>
      <w:bookmarkStart w:name="_Ref108171138" w:id="17"/>
      <w:r w:rsidRPr="00022931">
        <w:rPr>
          <w:b/>
        </w:rPr>
        <w:t>Services Availability KPI (KPI 1)</w:t>
      </w:r>
      <w:r w:rsidRPr="00022931" w:rsidR="00080A13">
        <w:rPr>
          <w:b/>
        </w:rPr>
        <w:t xml:space="preserve"> - </w:t>
      </w:r>
      <w:r w:rsidRPr="00022931">
        <w:rPr>
          <w:b/>
        </w:rPr>
        <w:t>Definition</w:t>
      </w:r>
      <w:bookmarkEnd w:id="16"/>
      <w:r w:rsidRPr="00022931" w:rsidR="007C6670">
        <w:rPr>
          <w:b/>
        </w:rPr>
        <w:t xml:space="preserve"> and Measurement</w:t>
      </w:r>
      <w:bookmarkEnd w:id="17"/>
    </w:p>
    <w:p w:rsidRPr="00022931" w:rsidR="00555751" w:rsidP="00A15620" w:rsidRDefault="007C6670" w14:paraId="06101CDA" w14:textId="7956ECC5">
      <w:pPr>
        <w:pStyle w:val="Heading3"/>
      </w:pPr>
      <w:bookmarkStart w:name="_Ref108170485" w:id="18"/>
      <w:r w:rsidRPr="00022931">
        <w:t>The "</w:t>
      </w:r>
      <w:r w:rsidRPr="00022931">
        <w:rPr>
          <w:b/>
        </w:rPr>
        <w:t>Services Availability KPI</w:t>
      </w:r>
      <w:r w:rsidRPr="00022931">
        <w:t>" or "</w:t>
      </w:r>
      <w:r w:rsidRPr="00022931" w:rsidR="00175CBA">
        <w:rPr>
          <w:b/>
        </w:rPr>
        <w:t>KPI 1</w:t>
      </w:r>
      <w:r w:rsidRPr="00022931">
        <w:t>"</w:t>
      </w:r>
      <w:r w:rsidRPr="00022931" w:rsidR="00175CBA">
        <w:t xml:space="preserve"> shall be assessed on the basis of the completion of </w:t>
      </w:r>
      <w:r w:rsidR="009D209C">
        <w:t xml:space="preserve">the Task as </w:t>
      </w:r>
      <w:r w:rsidR="0012797A">
        <w:t xml:space="preserve">set out in the </w:t>
      </w:r>
      <w:r w:rsidR="00445000">
        <w:t>Tasking Procedures</w:t>
      </w:r>
      <w:r w:rsidRPr="00022931" w:rsidR="00175CBA">
        <w:t xml:space="preserve"> on an</w:t>
      </w:r>
      <w:r w:rsidRPr="00022931" w:rsidR="00BC5D4F">
        <w:t xml:space="preserve"> </w:t>
      </w:r>
      <w:r w:rsidRPr="00022931" w:rsidR="00555751">
        <w:t xml:space="preserve">On Time </w:t>
      </w:r>
      <w:proofErr w:type="gramStart"/>
      <w:r w:rsidRPr="00022931" w:rsidR="00555751">
        <w:t>In</w:t>
      </w:r>
      <w:proofErr w:type="gramEnd"/>
      <w:r w:rsidRPr="00022931" w:rsidR="00555751">
        <w:t xml:space="preserve"> Ful</w:t>
      </w:r>
      <w:r w:rsidRPr="00022931" w:rsidR="008C263F">
        <w:t>l</w:t>
      </w:r>
      <w:r w:rsidRPr="00022931" w:rsidR="00D7772A">
        <w:t xml:space="preserve"> basis</w:t>
      </w:r>
      <w:r w:rsidRPr="00022931" w:rsidR="008C263F">
        <w:t xml:space="preserve">, where </w:t>
      </w:r>
      <w:r w:rsidRPr="00022931" w:rsidR="00D7772A">
        <w:t>"</w:t>
      </w:r>
      <w:r w:rsidRPr="00022931" w:rsidR="008C263F">
        <w:rPr>
          <w:b/>
        </w:rPr>
        <w:t>On Time In Full</w:t>
      </w:r>
      <w:r w:rsidRPr="00022931" w:rsidR="00D7772A">
        <w:t>"</w:t>
      </w:r>
      <w:r w:rsidRPr="00022931" w:rsidR="008C263F">
        <w:t xml:space="preserve"> </w:t>
      </w:r>
      <w:r w:rsidRPr="00022931" w:rsidR="00080A13">
        <w:t>means</w:t>
      </w:r>
      <w:r w:rsidRPr="00022931" w:rsidR="008C263F">
        <w:t xml:space="preserve"> completed in accordance with:</w:t>
      </w:r>
      <w:bookmarkEnd w:id="18"/>
    </w:p>
    <w:p w:rsidRPr="00AF24F8" w:rsidR="00B313FA" w:rsidP="00901CB4" w:rsidRDefault="00B313FA" w14:paraId="096B9EE3" w14:textId="77777777">
      <w:pPr>
        <w:pStyle w:val="Heading5"/>
        <w:rPr>
          <w:rFonts w:cs="Arial"/>
        </w:rPr>
      </w:pPr>
      <w:bookmarkStart w:name="_Ref82719596" w:id="19"/>
      <w:r w:rsidRPr="00AF24F8">
        <w:rPr>
          <w:rFonts w:cs="Arial"/>
        </w:rPr>
        <w:t xml:space="preserve">the Timing </w:t>
      </w:r>
      <w:proofErr w:type="gramStart"/>
      <w:r w:rsidRPr="00AF24F8">
        <w:rPr>
          <w:rFonts w:cs="Arial"/>
        </w:rPr>
        <w:t>Criteria;</w:t>
      </w:r>
      <w:proofErr w:type="gramEnd"/>
    </w:p>
    <w:p w:rsidRPr="00023175" w:rsidR="00B313FA" w:rsidP="00901CB4" w:rsidRDefault="00B313FA" w14:paraId="22B57EED" w14:textId="77777777">
      <w:pPr>
        <w:pStyle w:val="Heading5"/>
        <w:rPr>
          <w:rFonts w:cs="Arial"/>
        </w:rPr>
      </w:pPr>
      <w:r w:rsidRPr="00023175">
        <w:rPr>
          <w:rFonts w:cs="Arial"/>
        </w:rPr>
        <w:t>the Quality Criteria; and</w:t>
      </w:r>
    </w:p>
    <w:p w:rsidRPr="00023175" w:rsidR="00555751" w:rsidP="00901CB4" w:rsidRDefault="00B313FA" w14:paraId="332F8CD8" w14:textId="63C13E74">
      <w:pPr>
        <w:pStyle w:val="Heading5"/>
        <w:rPr>
          <w:rFonts w:cs="Arial"/>
        </w:rPr>
      </w:pPr>
      <w:r w:rsidRPr="00023175">
        <w:rPr>
          <w:rFonts w:cs="Arial"/>
        </w:rPr>
        <w:t>the Safety Criteria</w:t>
      </w:r>
      <w:bookmarkEnd w:id="19"/>
      <w:r w:rsidRPr="00023175" w:rsidR="00080A13">
        <w:rPr>
          <w:rFonts w:cs="Arial"/>
        </w:rPr>
        <w:t>.</w:t>
      </w:r>
    </w:p>
    <w:p w:rsidRPr="00E807AE" w:rsidR="007877C9" w:rsidP="00474C5A" w:rsidRDefault="007877C9" w14:paraId="68A9F661" w14:textId="1BD970A9">
      <w:pPr>
        <w:pStyle w:val="Heading2"/>
        <w:rPr>
          <w:b/>
        </w:rPr>
      </w:pPr>
      <w:bookmarkStart w:name="_Ref108791762" w:id="20"/>
      <w:bookmarkStart w:name="_Ref114093896" w:id="21"/>
      <w:r w:rsidRPr="00E807AE">
        <w:rPr>
          <w:b/>
        </w:rPr>
        <w:t>Feedback</w:t>
      </w:r>
      <w:r w:rsidRPr="00E807AE">
        <w:t xml:space="preserve"> </w:t>
      </w:r>
      <w:r w:rsidRPr="00E807AE">
        <w:rPr>
          <w:b/>
        </w:rPr>
        <w:t>from End Users</w:t>
      </w:r>
      <w:bookmarkEnd w:id="20"/>
      <w:r w:rsidRPr="00E807AE" w:rsidR="00694821">
        <w:rPr>
          <w:b/>
        </w:rPr>
        <w:t xml:space="preserve"> </w:t>
      </w:r>
      <w:bookmarkEnd w:id="21"/>
    </w:p>
    <w:p w:rsidRPr="00E807AE" w:rsidR="009029AC" w:rsidP="009029AC" w:rsidRDefault="008138DE" w14:paraId="7DF37E3C" w14:textId="2A647B03">
      <w:pPr>
        <w:pStyle w:val="Heading3"/>
      </w:pPr>
      <w:r w:rsidRPr="00E807AE">
        <w:t>In re</w:t>
      </w:r>
      <w:r w:rsidRPr="00E807AE" w:rsidR="00C36CBB">
        <w:t xml:space="preserve">lation to </w:t>
      </w:r>
      <w:r w:rsidRPr="00E807AE">
        <w:t>the</w:t>
      </w:r>
      <w:r w:rsidRPr="00E807AE" w:rsidR="00C36CBB">
        <w:t xml:space="preserve"> application of the</w:t>
      </w:r>
      <w:r w:rsidRPr="00E807AE">
        <w:t xml:space="preserve"> Quality Criteria for KPI 1</w:t>
      </w:r>
      <w:r w:rsidRPr="00E807AE" w:rsidR="00C36CBB">
        <w:t>, the</w:t>
      </w:r>
      <w:r w:rsidRPr="00E807AE" w:rsidR="009029AC">
        <w:t xml:space="preserve"> Contractor shall</w:t>
      </w:r>
      <w:r w:rsidRPr="00E807AE" w:rsidR="00381285">
        <w:t>, for all Services delivered and Tasks completed under this Contract:</w:t>
      </w:r>
      <w:r w:rsidRPr="00E807AE" w:rsidR="009029AC">
        <w:t xml:space="preserve">  </w:t>
      </w:r>
    </w:p>
    <w:p w:rsidRPr="00E807AE" w:rsidR="00AC0FF1" w:rsidP="009029AC" w:rsidRDefault="00C5033C" w14:paraId="510F6ECF" w14:textId="77777777">
      <w:pPr>
        <w:pStyle w:val="Heading5"/>
        <w:rPr>
          <w:rFonts w:cs="Arial"/>
        </w:rPr>
      </w:pPr>
      <w:r w:rsidRPr="00E807AE">
        <w:rPr>
          <w:rFonts w:cs="Arial"/>
        </w:rPr>
        <w:t>collect feedback from</w:t>
      </w:r>
      <w:r w:rsidRPr="00E807AE" w:rsidR="00AC0FF1">
        <w:rPr>
          <w:rFonts w:cs="Arial"/>
        </w:rPr>
        <w:t>:</w:t>
      </w:r>
    </w:p>
    <w:p w:rsidRPr="00EB12DC" w:rsidR="002A0FCC" w:rsidP="002A0FCC" w:rsidRDefault="00AC0FF1" w14:paraId="1496A9DA" w14:textId="588248CC">
      <w:pPr>
        <w:pStyle w:val="Simple5"/>
        <w:rPr>
          <w:b/>
          <w:i/>
        </w:rPr>
      </w:pPr>
      <w:r w:rsidRPr="00E807AE">
        <w:t>with respect to SDA 4</w:t>
      </w:r>
      <w:r w:rsidR="00030093">
        <w:t>,</w:t>
      </w:r>
      <w:r w:rsidRPr="00E807AE" w:rsidR="00C5033C">
        <w:t xml:space="preserve"> </w:t>
      </w:r>
      <w:r w:rsidR="00030093">
        <w:t>fifty</w:t>
      </w:r>
      <w:r w:rsidRPr="00E807AE" w:rsidR="009029AC">
        <w:t xml:space="preserve"> per cent (</w:t>
      </w:r>
      <w:r w:rsidR="00030093">
        <w:t>50</w:t>
      </w:r>
      <w:r w:rsidRPr="00E807AE" w:rsidR="009029AC">
        <w:t xml:space="preserve">%) of End </w:t>
      </w:r>
      <w:proofErr w:type="gramStart"/>
      <w:r w:rsidRPr="00E807AE" w:rsidR="009029AC">
        <w:t>Users</w:t>
      </w:r>
      <w:r w:rsidRPr="00E807AE">
        <w:t>;</w:t>
      </w:r>
      <w:proofErr w:type="gramEnd"/>
      <w:r w:rsidRPr="00E807AE" w:rsidR="002A0FCC">
        <w:t xml:space="preserve"> </w:t>
      </w:r>
    </w:p>
    <w:p w:rsidRPr="00E807AE" w:rsidR="00AC0FF1" w:rsidP="00AC0FF1" w:rsidRDefault="00AC0FF1" w14:paraId="48ABD9D1" w14:textId="165AEB7A">
      <w:pPr>
        <w:pStyle w:val="Simple5"/>
        <w:rPr>
          <w:rFonts w:cs="Arial"/>
        </w:rPr>
      </w:pPr>
      <w:r w:rsidRPr="00E807AE">
        <w:rPr>
          <w:rFonts w:cs="Arial"/>
        </w:rPr>
        <w:t>with respect to SDA 5</w:t>
      </w:r>
      <w:r w:rsidR="00030093">
        <w:rPr>
          <w:rFonts w:cs="Arial"/>
        </w:rPr>
        <w:t>,</w:t>
      </w:r>
      <w:r w:rsidRPr="00E807AE">
        <w:rPr>
          <w:rFonts w:cs="Arial"/>
        </w:rPr>
        <w:t xml:space="preserve"> </w:t>
      </w:r>
      <w:r w:rsidR="00030093">
        <w:t>fifty</w:t>
      </w:r>
      <w:r w:rsidRPr="00E807AE" w:rsidR="00030093">
        <w:t xml:space="preserve"> per cent (</w:t>
      </w:r>
      <w:r w:rsidR="00030093">
        <w:t>50</w:t>
      </w:r>
      <w:r w:rsidRPr="00E807AE" w:rsidR="00030093">
        <w:t xml:space="preserve">%) </w:t>
      </w:r>
      <w:r w:rsidRPr="00E807AE">
        <w:rPr>
          <w:rFonts w:cs="Arial"/>
        </w:rPr>
        <w:t>of End Users; and</w:t>
      </w:r>
      <w:r w:rsidRPr="00E807AE" w:rsidR="005E13F4">
        <w:rPr>
          <w:rFonts w:cs="Arial"/>
        </w:rPr>
        <w:t xml:space="preserve"> </w:t>
      </w:r>
    </w:p>
    <w:p w:rsidR="00694F7E" w:rsidP="00AC0FF1" w:rsidRDefault="00AC0FF1" w14:paraId="5C934068" w14:textId="07935934">
      <w:pPr>
        <w:pStyle w:val="Simple5"/>
        <w:rPr>
          <w:rFonts w:cs="Arial"/>
        </w:rPr>
      </w:pPr>
      <w:r w:rsidRPr="00E807AE">
        <w:rPr>
          <w:rFonts w:cs="Arial"/>
        </w:rPr>
        <w:t>with</w:t>
      </w:r>
      <w:r>
        <w:rPr>
          <w:rFonts w:cs="Arial"/>
        </w:rPr>
        <w:t xml:space="preserve"> respect to SDA 7, </w:t>
      </w:r>
      <w:r w:rsidR="00030093">
        <w:t>fifty</w:t>
      </w:r>
      <w:r w:rsidRPr="00E807AE" w:rsidR="00030093">
        <w:t xml:space="preserve"> per cent (</w:t>
      </w:r>
      <w:r w:rsidR="00030093">
        <w:t>50</w:t>
      </w:r>
      <w:r w:rsidRPr="00E807AE" w:rsidR="00030093">
        <w:t xml:space="preserve">%) </w:t>
      </w:r>
      <w:r w:rsidRPr="00022931">
        <w:rPr>
          <w:rFonts w:cs="Arial"/>
        </w:rPr>
        <w:t>of End Users</w:t>
      </w:r>
      <w:r>
        <w:rPr>
          <w:rFonts w:cs="Arial"/>
        </w:rPr>
        <w:t>,</w:t>
      </w:r>
      <w:r w:rsidR="005E13F4">
        <w:rPr>
          <w:rFonts w:cs="Arial"/>
        </w:rPr>
        <w:t xml:space="preserve"> </w:t>
      </w:r>
    </w:p>
    <w:p w:rsidR="0012797A" w:rsidP="005E13F4" w:rsidRDefault="009029AC" w14:paraId="10BC22BB" w14:textId="55DE4B1F">
      <w:pPr>
        <w:pStyle w:val="Heading5"/>
        <w:numPr>
          <w:ilvl w:val="0"/>
          <w:numId w:val="0"/>
        </w:numPr>
        <w:ind w:left="2835"/>
        <w:rPr>
          <w:rFonts w:cs="Arial"/>
        </w:rPr>
      </w:pPr>
      <w:r w:rsidRPr="00AF24F8">
        <w:rPr>
          <w:rFonts w:cs="Arial"/>
        </w:rPr>
        <w:t>by means of the End User Questionnaire</w:t>
      </w:r>
      <w:r w:rsidR="0071058C">
        <w:rPr>
          <w:rFonts w:cs="Arial"/>
        </w:rPr>
        <w:t xml:space="preserve"> in the form set out in Schedule 6 (</w:t>
      </w:r>
      <w:r w:rsidR="0071058C">
        <w:rPr>
          <w:rFonts w:cs="Arial"/>
          <w:i/>
        </w:rPr>
        <w:t>Governance, Management Information, Reports, Records and Audit</w:t>
      </w:r>
      <w:r w:rsidR="0071058C">
        <w:rPr>
          <w:rFonts w:cs="Arial"/>
        </w:rPr>
        <w:t>)</w:t>
      </w:r>
      <w:r w:rsidR="0012797A">
        <w:rPr>
          <w:rFonts w:cs="Arial"/>
        </w:rPr>
        <w:t>:</w:t>
      </w:r>
      <w:r w:rsidRPr="00AF24F8">
        <w:rPr>
          <w:rFonts w:cs="Arial"/>
        </w:rPr>
        <w:t xml:space="preserve"> </w:t>
      </w:r>
    </w:p>
    <w:p w:rsidRPr="00AF24F8" w:rsidR="009029AC" w:rsidP="009029AC" w:rsidRDefault="0012797A" w14:paraId="04F05ED3" w14:textId="433DFBEF">
      <w:pPr>
        <w:pStyle w:val="Heading5"/>
        <w:rPr>
          <w:rFonts w:cs="Arial"/>
        </w:rPr>
      </w:pPr>
      <w:r>
        <w:rPr>
          <w:rFonts w:cs="Arial"/>
        </w:rPr>
        <w:t xml:space="preserve">collect </w:t>
      </w:r>
      <w:r w:rsidRPr="00AF24F8" w:rsidR="009029AC">
        <w:rPr>
          <w:rFonts w:cs="Arial"/>
        </w:rPr>
        <w:t>feedback</w:t>
      </w:r>
      <w:r w:rsidR="0071058C">
        <w:rPr>
          <w:rFonts w:cs="Arial"/>
        </w:rPr>
        <w:t xml:space="preserve"> from End Users</w:t>
      </w:r>
      <w:r w:rsidRPr="00AF24F8" w:rsidR="009029AC">
        <w:rPr>
          <w:rFonts w:cs="Arial"/>
        </w:rPr>
        <w:t xml:space="preserve"> on an ad-hoc basis; and</w:t>
      </w:r>
    </w:p>
    <w:p w:rsidRPr="00023175" w:rsidR="009029AC" w:rsidP="009029AC" w:rsidRDefault="00C5033C" w14:paraId="14727608" w14:textId="6A82BD40">
      <w:pPr>
        <w:pStyle w:val="Heading5"/>
        <w:rPr>
          <w:rFonts w:cs="Arial"/>
        </w:rPr>
      </w:pPr>
      <w:r w:rsidRPr="00023175">
        <w:rPr>
          <w:rFonts w:cs="Arial"/>
        </w:rPr>
        <w:t>include</w:t>
      </w:r>
      <w:r w:rsidRPr="00023175" w:rsidR="009029AC">
        <w:rPr>
          <w:rFonts w:cs="Arial"/>
        </w:rPr>
        <w:t xml:space="preserve">, in the </w:t>
      </w:r>
      <w:r w:rsidR="00474C5A">
        <w:rPr>
          <w:rFonts w:cs="Arial"/>
        </w:rPr>
        <w:t>Month</w:t>
      </w:r>
      <w:r w:rsidRPr="00023175" w:rsidR="009029AC">
        <w:rPr>
          <w:rFonts w:cs="Arial"/>
        </w:rPr>
        <w:t xml:space="preserve">ly Performance and Activity Report, the results of any responses to </w:t>
      </w:r>
      <w:r w:rsidR="0012797A">
        <w:rPr>
          <w:rFonts w:cs="Arial"/>
        </w:rPr>
        <w:t>End User Q</w:t>
      </w:r>
      <w:r w:rsidRPr="00023175" w:rsidR="009029AC">
        <w:rPr>
          <w:rFonts w:cs="Arial"/>
        </w:rPr>
        <w:t xml:space="preserve">uestionnaires </w:t>
      </w:r>
      <w:r w:rsidR="007877C9">
        <w:rPr>
          <w:rFonts w:cs="Arial"/>
        </w:rPr>
        <w:t xml:space="preserve">and any ad-hoc feedback </w:t>
      </w:r>
      <w:r w:rsidRPr="00023175" w:rsidR="009029AC">
        <w:rPr>
          <w:rFonts w:cs="Arial"/>
        </w:rPr>
        <w:t>for the relevant</w:t>
      </w:r>
      <w:r w:rsidRPr="00023175" w:rsidR="002B2E6D">
        <w:rPr>
          <w:rFonts w:cs="Arial"/>
        </w:rPr>
        <w:t xml:space="preserve"> </w:t>
      </w:r>
      <w:r w:rsidR="00474C5A">
        <w:rPr>
          <w:rFonts w:cs="Arial"/>
        </w:rPr>
        <w:t>Month</w:t>
      </w:r>
      <w:r w:rsidRPr="00023175" w:rsidR="009029AC">
        <w:rPr>
          <w:rFonts w:cs="Arial"/>
        </w:rPr>
        <w:t>.</w:t>
      </w:r>
    </w:p>
    <w:p w:rsidR="0071058C" w:rsidP="009029AC" w:rsidRDefault="0071058C" w14:paraId="0A7EA41C" w14:textId="1CE551E4">
      <w:pPr>
        <w:pStyle w:val="Heading3"/>
      </w:pPr>
      <w:bookmarkStart w:name="_Ref114093890" w:id="22"/>
      <w:r>
        <w:t>The Contractor shall, within five (5) days of the completion of each Task, issue the End User Questionnaire to the relevant End User.</w:t>
      </w:r>
      <w:bookmarkEnd w:id="22"/>
    </w:p>
    <w:p w:rsidR="009029AC" w:rsidP="009029AC" w:rsidRDefault="009029AC" w14:paraId="2D6140C3" w14:textId="513C68CA">
      <w:pPr>
        <w:pStyle w:val="Heading3"/>
      </w:pPr>
      <w:r w:rsidRPr="00022931">
        <w:t>If</w:t>
      </w:r>
      <w:r w:rsidR="0071058C">
        <w:t xml:space="preserve"> an</w:t>
      </w:r>
      <w:r w:rsidRPr="00022931">
        <w:t xml:space="preserve"> End User does not respond to </w:t>
      </w:r>
      <w:r w:rsidR="0071058C">
        <w:t xml:space="preserve">an End User Questionnaire </w:t>
      </w:r>
      <w:r w:rsidRPr="00022931">
        <w:t xml:space="preserve">from the Contractor within </w:t>
      </w:r>
      <w:r w:rsidR="00A4456C">
        <w:t>thirty</w:t>
      </w:r>
      <w:r w:rsidRPr="00022931" w:rsidR="00A4456C">
        <w:t xml:space="preserve"> </w:t>
      </w:r>
      <w:r w:rsidRPr="00022931">
        <w:t>(</w:t>
      </w:r>
      <w:r w:rsidR="00A4456C">
        <w:t>3</w:t>
      </w:r>
      <w:r w:rsidRPr="00022931">
        <w:t>0) days</w:t>
      </w:r>
      <w:r w:rsidR="0071058C">
        <w:t xml:space="preserve"> of the date on which it was issued by the Contractor in accordance with Paragraph </w:t>
      </w:r>
      <w:r w:rsidR="0071058C">
        <w:fldChar w:fldCharType="begin"/>
      </w:r>
      <w:r w:rsidR="0071058C">
        <w:instrText xml:space="preserve"> REF _Ref114093896 \r \h </w:instrText>
      </w:r>
      <w:r w:rsidR="0071058C">
        <w:fldChar w:fldCharType="separate"/>
      </w:r>
      <w:r w:rsidR="004458E3">
        <w:t>3.3</w:t>
      </w:r>
      <w:r w:rsidR="0071058C">
        <w:fldChar w:fldCharType="end"/>
      </w:r>
      <w:r w:rsidR="0071058C">
        <w:fldChar w:fldCharType="begin"/>
      </w:r>
      <w:r w:rsidR="0071058C">
        <w:instrText xml:space="preserve"> REF _Ref114093890 \r \h </w:instrText>
      </w:r>
      <w:r w:rsidR="0071058C">
        <w:fldChar w:fldCharType="separate"/>
      </w:r>
      <w:r w:rsidR="004458E3">
        <w:t>(b)</w:t>
      </w:r>
      <w:r w:rsidR="0071058C">
        <w:fldChar w:fldCharType="end"/>
      </w:r>
      <w:r w:rsidR="0071058C">
        <w:t xml:space="preserve"> above,</w:t>
      </w:r>
      <w:r w:rsidRPr="00022931">
        <w:t xml:space="preserve"> the Contractor shall, within a period of a further </w:t>
      </w:r>
      <w:r w:rsidR="00A4456C">
        <w:t xml:space="preserve">ten </w:t>
      </w:r>
      <w:r w:rsidRPr="00022931" w:rsidR="00A4456C">
        <w:t>(</w:t>
      </w:r>
      <w:r w:rsidR="00A4456C">
        <w:t>10</w:t>
      </w:r>
      <w:r w:rsidRPr="00022931" w:rsidR="00A4456C">
        <w:t xml:space="preserve">) </w:t>
      </w:r>
      <w:r w:rsidRPr="00022931">
        <w:t>days</w:t>
      </w:r>
      <w:r w:rsidR="0012797A">
        <w:t>, issue a further request for feedback to the</w:t>
      </w:r>
      <w:r w:rsidRPr="00022931">
        <w:t xml:space="preserve"> relevant End User. If, within a further </w:t>
      </w:r>
      <w:r w:rsidR="00A4456C">
        <w:lastRenderedPageBreak/>
        <w:t>ten</w:t>
      </w:r>
      <w:r w:rsidRPr="00022931" w:rsidR="00A4456C">
        <w:t xml:space="preserve"> (</w:t>
      </w:r>
      <w:r w:rsidR="00A4456C">
        <w:t>10</w:t>
      </w:r>
      <w:r w:rsidRPr="00022931" w:rsidR="00A4456C">
        <w:t xml:space="preserve">) </w:t>
      </w:r>
      <w:r w:rsidRPr="00022931">
        <w:t xml:space="preserve">days after the </w:t>
      </w:r>
      <w:r w:rsidR="0071058C">
        <w:t>further request for feedback</w:t>
      </w:r>
      <w:r w:rsidRPr="00022931">
        <w:t>, no feedback has been provided, the Contractor shall be entitled to assume that no issues have arisen</w:t>
      </w:r>
      <w:r w:rsidR="0071058C">
        <w:t xml:space="preserve"> in respect of the relevant Task</w:t>
      </w:r>
      <w:r w:rsidRPr="00022931">
        <w:t>.</w:t>
      </w:r>
    </w:p>
    <w:p w:rsidRPr="007B7150" w:rsidR="005033A8" w:rsidP="005033A8" w:rsidRDefault="005033A8" w14:paraId="0C28DDD5" w14:textId="77777777">
      <w:pPr>
        <w:pStyle w:val="Heading2"/>
        <w:rPr>
          <w:b/>
        </w:rPr>
      </w:pPr>
      <w:bookmarkStart w:name="_Ref88838039" w:id="23"/>
      <w:r w:rsidRPr="007B7150">
        <w:rPr>
          <w:b/>
        </w:rPr>
        <w:tab/>
      </w:r>
      <w:r w:rsidRPr="007B7150">
        <w:rPr>
          <w:b/>
        </w:rPr>
        <w:t xml:space="preserve">Audit Rights </w:t>
      </w:r>
      <w:r>
        <w:rPr>
          <w:b/>
        </w:rPr>
        <w:t xml:space="preserve">and Feedback from End Users </w:t>
      </w:r>
      <w:r w:rsidRPr="007B7150">
        <w:rPr>
          <w:b/>
        </w:rPr>
        <w:t>for KPI 1</w:t>
      </w:r>
    </w:p>
    <w:p w:rsidR="005033A8" w:rsidP="005033A8" w:rsidRDefault="005033A8" w14:paraId="16D2E0AA" w14:textId="77777777">
      <w:pPr>
        <w:pStyle w:val="Heading3"/>
        <w:numPr>
          <w:ilvl w:val="2"/>
          <w:numId w:val="8"/>
        </w:numPr>
      </w:pPr>
      <w:r>
        <w:t>The Contractor's performance against KPI 1 shall be subject to Part E (</w:t>
      </w:r>
      <w:r>
        <w:rPr>
          <w:i/>
        </w:rPr>
        <w:t>Audit</w:t>
      </w:r>
      <w:r>
        <w:t>) of Schedule 6 (</w:t>
      </w:r>
      <w:r>
        <w:rPr>
          <w:i/>
          <w:szCs w:val="20"/>
        </w:rPr>
        <w:t>Governance, Management Information, Reports, Records and Audit</w:t>
      </w:r>
      <w:r>
        <w:t>) and feedback from End Users. The Contractor shall provide data in respect of such audits, End User feedback and its performance against KPI 1, as well as the results of any audits performed pursuant Schedule 6 (</w:t>
      </w:r>
      <w:r>
        <w:rPr>
          <w:i/>
          <w:szCs w:val="20"/>
        </w:rPr>
        <w:t>Governance, Management Information, Reports, Records and Audit</w:t>
      </w:r>
      <w:r>
        <w:t>), as part of the Monthly Performance and Activity Report.</w:t>
      </w:r>
      <w:bookmarkEnd w:id="23"/>
      <w:r>
        <w:t xml:space="preserve"> </w:t>
      </w:r>
    </w:p>
    <w:p w:rsidR="005033A8" w:rsidP="005033A8" w:rsidRDefault="005033A8" w14:paraId="33019AA6" w14:textId="77777777">
      <w:pPr>
        <w:pStyle w:val="Heading3"/>
        <w:rPr>
          <w:szCs w:val="20"/>
        </w:rPr>
      </w:pPr>
      <w:bookmarkStart w:name="_Ref88772923" w:id="24"/>
      <w:r>
        <w:t>Where any audit process performed pursuant to</w:t>
      </w:r>
      <w:r>
        <w:rPr>
          <w:szCs w:val="20"/>
        </w:rPr>
        <w:t xml:space="preserve"> </w:t>
      </w:r>
      <w:r>
        <w:t>Part E (</w:t>
      </w:r>
      <w:r>
        <w:rPr>
          <w:i/>
        </w:rPr>
        <w:t>Audit</w:t>
      </w:r>
      <w:r>
        <w:t>) of Schedule 6 (</w:t>
      </w:r>
      <w:r>
        <w:rPr>
          <w:i/>
          <w:szCs w:val="20"/>
        </w:rPr>
        <w:t>Governance, Management Information, Reports, Records and Audit</w:t>
      </w:r>
      <w:r>
        <w:t xml:space="preserve">), or the results of any such audit process, is recorded in the Monthly Performance and Activity Report and </w:t>
      </w:r>
      <w:r>
        <w:rPr>
          <w:szCs w:val="20"/>
        </w:rPr>
        <w:t xml:space="preserve">identifies an issue with respect to the Contractor's performance against KPI 1, the Contractor shall, within ten (10) </w:t>
      </w:r>
      <w:r>
        <w:t>Business</w:t>
      </w:r>
      <w:r>
        <w:rPr>
          <w:szCs w:val="20"/>
        </w:rPr>
        <w:t xml:space="preserve"> Days of being notified of such an issue, provide to the Authority:</w:t>
      </w:r>
      <w:bookmarkEnd w:id="24"/>
      <w:r>
        <w:rPr>
          <w:szCs w:val="20"/>
        </w:rPr>
        <w:t xml:space="preserve"> </w:t>
      </w:r>
    </w:p>
    <w:p w:rsidR="005033A8" w:rsidP="005033A8" w:rsidRDefault="005033A8" w14:paraId="5F969151" w14:textId="77777777">
      <w:pPr>
        <w:pStyle w:val="Heading5"/>
        <w:rPr>
          <w:rFonts w:cs="Arial"/>
          <w:szCs w:val="20"/>
        </w:rPr>
      </w:pPr>
      <w:r>
        <w:rPr>
          <w:rFonts w:cs="Arial"/>
          <w:szCs w:val="20"/>
        </w:rPr>
        <w:t>details of the issue(s) identified; and</w:t>
      </w:r>
    </w:p>
    <w:p w:rsidR="005033A8" w:rsidP="005033A8" w:rsidRDefault="005033A8" w14:paraId="2E51C76A" w14:textId="77777777">
      <w:pPr>
        <w:pStyle w:val="Heading5"/>
        <w:rPr>
          <w:rFonts w:cs="Arial"/>
          <w:szCs w:val="20"/>
        </w:rPr>
      </w:pPr>
      <w:r>
        <w:rPr>
          <w:rFonts w:cs="Arial"/>
          <w:szCs w:val="20"/>
        </w:rPr>
        <w:t xml:space="preserve">a Quality </w:t>
      </w:r>
      <w:r>
        <w:t>Rectification</w:t>
      </w:r>
      <w:r>
        <w:rPr>
          <w:rFonts w:cs="Arial"/>
          <w:szCs w:val="20"/>
        </w:rPr>
        <w:t xml:space="preserve"> Plan for rectification of the relevant issue(s) in accordance with </w:t>
      </w:r>
      <w:r>
        <w:t>Schedule 6 (</w:t>
      </w:r>
      <w:r>
        <w:rPr>
          <w:i/>
          <w:szCs w:val="20"/>
        </w:rPr>
        <w:t>Governance, Management Information, Reports, Records and Audit</w:t>
      </w:r>
      <w:r>
        <w:rPr>
          <w:szCs w:val="20"/>
        </w:rPr>
        <w:t>)</w:t>
      </w:r>
      <w:r>
        <w:rPr>
          <w:rFonts w:cs="Arial"/>
          <w:szCs w:val="20"/>
        </w:rPr>
        <w:t>.</w:t>
      </w:r>
    </w:p>
    <w:p w:rsidR="005033A8" w:rsidP="005033A8" w:rsidRDefault="005033A8" w14:paraId="125BF212" w14:textId="5BAB4053">
      <w:pPr>
        <w:pStyle w:val="Heading3"/>
        <w:rPr>
          <w:szCs w:val="20"/>
        </w:rPr>
      </w:pPr>
      <w:r>
        <w:t>The</w:t>
      </w:r>
      <w:r>
        <w:rPr>
          <w:szCs w:val="20"/>
        </w:rPr>
        <w:t xml:space="preserve"> QRP shall set out the methods by which the Contractor intends to rectify the issue(s) and the timescales in which the Contractor will perform such rectification.</w:t>
      </w:r>
    </w:p>
    <w:p w:rsidR="005033A8" w:rsidP="005033A8" w:rsidRDefault="005033A8" w14:paraId="6C6257BB" w14:textId="205633CD">
      <w:pPr>
        <w:pStyle w:val="Heading3"/>
        <w:rPr>
          <w:szCs w:val="20"/>
        </w:rPr>
      </w:pPr>
      <w:r>
        <w:t>The</w:t>
      </w:r>
      <w:r>
        <w:rPr>
          <w:szCs w:val="20"/>
        </w:rPr>
        <w:t xml:space="preserve"> Authority will review the QRP and shall, within </w:t>
      </w:r>
      <w:r w:rsidR="00A52CA8">
        <w:rPr>
          <w:szCs w:val="20"/>
        </w:rPr>
        <w:t>ten (10)</w:t>
      </w:r>
      <w:r>
        <w:rPr>
          <w:szCs w:val="20"/>
        </w:rPr>
        <w:t xml:space="preserve"> </w:t>
      </w:r>
      <w:r>
        <w:t>Business</w:t>
      </w:r>
      <w:r>
        <w:rPr>
          <w:szCs w:val="20"/>
        </w:rPr>
        <w:t xml:space="preserve"> Days of its receipt thereof, notify the Contractor whether: </w:t>
      </w:r>
    </w:p>
    <w:p w:rsidR="005033A8" w:rsidP="005033A8" w:rsidRDefault="005033A8" w14:paraId="13CC8DCF" w14:textId="77777777">
      <w:pPr>
        <w:pStyle w:val="Heading5"/>
      </w:pPr>
      <w:r>
        <w:t xml:space="preserve">it approves the QRP; or </w:t>
      </w:r>
    </w:p>
    <w:p w:rsidR="005033A8" w:rsidP="005033A8" w:rsidRDefault="005033A8" w14:paraId="2968EED4" w14:textId="77777777">
      <w:pPr>
        <w:pStyle w:val="Heading5"/>
      </w:pPr>
      <w:r>
        <w:t>it requires the QRP to be amended.</w:t>
      </w:r>
    </w:p>
    <w:p w:rsidR="005033A8" w:rsidP="005033A8" w:rsidRDefault="005033A8" w14:paraId="399F106F" w14:textId="2DF74707">
      <w:pPr>
        <w:pStyle w:val="Heading3"/>
        <w:rPr>
          <w:szCs w:val="20"/>
        </w:rPr>
      </w:pPr>
      <w:r>
        <w:rPr>
          <w:szCs w:val="20"/>
        </w:rPr>
        <w:t>Where the Authority does not agree the QRP, the Contractor sha</w:t>
      </w:r>
      <w:r w:rsidR="00A52CA8">
        <w:rPr>
          <w:szCs w:val="20"/>
        </w:rPr>
        <w:t>ll submit a revised QRP within five (5)</w:t>
      </w:r>
      <w:r>
        <w:rPr>
          <w:szCs w:val="20"/>
        </w:rPr>
        <w:t xml:space="preserve"> </w:t>
      </w:r>
      <w:r>
        <w:t>Business</w:t>
      </w:r>
      <w:r>
        <w:rPr>
          <w:szCs w:val="20"/>
        </w:rPr>
        <w:t xml:space="preserve"> Days (where an amended QRP is not agreed by the Authority, the Contractor shall repeat this step until such time as the QRP is agreed)</w:t>
      </w:r>
    </w:p>
    <w:p w:rsidR="005033A8" w:rsidP="005033A8" w:rsidRDefault="005033A8" w14:paraId="26464EDD" w14:textId="77777777">
      <w:pPr>
        <w:pStyle w:val="Heading3"/>
        <w:rPr>
          <w:szCs w:val="20"/>
        </w:rPr>
      </w:pPr>
      <w:r>
        <w:rPr>
          <w:szCs w:val="20"/>
        </w:rPr>
        <w:t>The Contractor shall implement the agreed QRP in accordance with the outcomes and timescales set out in the QRP.</w:t>
      </w:r>
    </w:p>
    <w:p w:rsidR="005033A8" w:rsidP="005033A8" w:rsidRDefault="005033A8" w14:paraId="724C3445" w14:textId="73C369A2">
      <w:pPr>
        <w:pStyle w:val="Heading3"/>
        <w:rPr>
          <w:szCs w:val="20"/>
        </w:rPr>
      </w:pPr>
      <w:r>
        <w:rPr>
          <w:szCs w:val="20"/>
        </w:rPr>
        <w:t xml:space="preserve">If the Contractor does not comply with the QRP, then the Contractor shall submit an amended QRP within five (5) </w:t>
      </w:r>
      <w:r>
        <w:t>Business</w:t>
      </w:r>
      <w:r>
        <w:rPr>
          <w:szCs w:val="20"/>
        </w:rPr>
        <w:t xml:space="preserve"> Days of such non-compliance for review by with the Authority (where an amended QRP is not agreed by the Authority, the Contractor shall repeat this step until such time as the QRP is agreed).</w:t>
      </w:r>
    </w:p>
    <w:p w:rsidR="005033A8" w:rsidP="005033A8" w:rsidRDefault="005033A8" w14:paraId="707E3FE9" w14:textId="77777777">
      <w:pPr>
        <w:pStyle w:val="Heading3"/>
        <w:rPr>
          <w:szCs w:val="20"/>
        </w:rPr>
      </w:pPr>
      <w:r>
        <w:rPr>
          <w:szCs w:val="20"/>
        </w:rPr>
        <w:t xml:space="preserve">A failure against Quality Criteria for KPI 1 shall occur where the </w:t>
      </w:r>
      <w:r>
        <w:t>Contractor</w:t>
      </w:r>
      <w:r>
        <w:rPr>
          <w:szCs w:val="20"/>
        </w:rPr>
        <w:t xml:space="preserve">: </w:t>
      </w:r>
    </w:p>
    <w:p w:rsidRPr="00901CE3" w:rsidR="005033A8" w:rsidP="005033A8" w:rsidRDefault="005033A8" w14:paraId="3666CFCC" w14:textId="5983C7E5">
      <w:pPr>
        <w:pStyle w:val="Heading5"/>
        <w:rPr>
          <w:rFonts w:cs="Arial"/>
          <w:szCs w:val="20"/>
        </w:rPr>
      </w:pPr>
      <w:r>
        <w:rPr>
          <w:rFonts w:cs="Arial"/>
          <w:szCs w:val="20"/>
        </w:rPr>
        <w:lastRenderedPageBreak/>
        <w:t xml:space="preserve">fails to issue (or re-issue, as applicable) an End User Questionnaire to any End User as required by Paragraph </w:t>
      </w:r>
      <w:r>
        <w:rPr>
          <w:rFonts w:cs="Arial"/>
          <w:szCs w:val="20"/>
        </w:rPr>
        <w:fldChar w:fldCharType="begin"/>
      </w:r>
      <w:r>
        <w:rPr>
          <w:rFonts w:cs="Arial"/>
          <w:szCs w:val="20"/>
        </w:rPr>
        <w:instrText xml:space="preserve"> REF _Ref114093896 \r \h </w:instrText>
      </w:r>
      <w:r>
        <w:rPr>
          <w:rFonts w:cs="Arial"/>
          <w:szCs w:val="20"/>
        </w:rPr>
      </w:r>
      <w:r>
        <w:rPr>
          <w:rFonts w:cs="Arial"/>
          <w:szCs w:val="20"/>
        </w:rPr>
        <w:fldChar w:fldCharType="separate"/>
      </w:r>
      <w:r w:rsidR="004458E3">
        <w:rPr>
          <w:rFonts w:cs="Arial"/>
          <w:szCs w:val="20"/>
        </w:rPr>
        <w:t>3.3</w:t>
      </w:r>
      <w:r>
        <w:rPr>
          <w:rFonts w:cs="Arial"/>
          <w:szCs w:val="20"/>
        </w:rPr>
        <w:fldChar w:fldCharType="end"/>
      </w:r>
      <w:r>
        <w:rPr>
          <w:rFonts w:cs="Arial"/>
          <w:szCs w:val="20"/>
        </w:rPr>
        <w:t xml:space="preserve"> (</w:t>
      </w:r>
      <w:r>
        <w:rPr>
          <w:rFonts w:cs="Arial"/>
          <w:i/>
          <w:szCs w:val="20"/>
        </w:rPr>
        <w:t>Feedback from End Users</w:t>
      </w:r>
      <w:r>
        <w:rPr>
          <w:rFonts w:cs="Arial"/>
          <w:szCs w:val="20"/>
        </w:rPr>
        <w:t>) above; and / or</w:t>
      </w:r>
    </w:p>
    <w:p w:rsidR="005033A8" w:rsidP="005033A8" w:rsidRDefault="005033A8" w14:paraId="213E8C38" w14:textId="4684C39A">
      <w:pPr>
        <w:pStyle w:val="Heading5"/>
        <w:rPr>
          <w:rFonts w:cs="Arial"/>
          <w:szCs w:val="20"/>
        </w:rPr>
      </w:pPr>
      <w:r>
        <w:t>fails to</w:t>
      </w:r>
      <w:r>
        <w:rPr>
          <w:rFonts w:cs="Arial"/>
          <w:szCs w:val="20"/>
        </w:rPr>
        <w:t xml:space="preserve"> submit</w:t>
      </w:r>
      <w:r w:rsidR="00A52CA8">
        <w:rPr>
          <w:rFonts w:cs="Arial"/>
          <w:szCs w:val="20"/>
        </w:rPr>
        <w:t xml:space="preserve"> a QRP to the Authority within </w:t>
      </w:r>
      <w:r>
        <w:rPr>
          <w:rFonts w:cs="Arial"/>
          <w:szCs w:val="20"/>
        </w:rPr>
        <w:t xml:space="preserve">ten (10) </w:t>
      </w:r>
      <w:r>
        <w:t>Business</w:t>
      </w:r>
      <w:r>
        <w:rPr>
          <w:rFonts w:cs="Arial"/>
          <w:szCs w:val="20"/>
        </w:rPr>
        <w:t xml:space="preserve"> Days of the issue first being identified, with a failure occurring on the 11</w:t>
      </w:r>
      <w:proofErr w:type="gramStart"/>
      <w:r>
        <w:rPr>
          <w:rFonts w:cs="Arial"/>
          <w:szCs w:val="20"/>
          <w:vertAlign w:val="superscript"/>
        </w:rPr>
        <w:t>th</w:t>
      </w:r>
      <w:r>
        <w:rPr>
          <w:rFonts w:cs="Arial"/>
          <w:szCs w:val="20"/>
        </w:rPr>
        <w:t xml:space="preserve">  day</w:t>
      </w:r>
      <w:proofErr w:type="gramEnd"/>
      <w:r>
        <w:rPr>
          <w:rFonts w:cs="Arial"/>
          <w:szCs w:val="20"/>
        </w:rPr>
        <w:t xml:space="preserve"> and each day thereafter until the QRP is submitted; and / or</w:t>
      </w:r>
    </w:p>
    <w:p w:rsidR="005033A8" w:rsidP="005033A8" w:rsidRDefault="005033A8" w14:paraId="77960247" w14:textId="23345C90">
      <w:pPr>
        <w:pStyle w:val="Heading5"/>
        <w:rPr>
          <w:rFonts w:cs="Arial"/>
          <w:szCs w:val="20"/>
        </w:rPr>
      </w:pPr>
      <w:r>
        <w:rPr>
          <w:rFonts w:cs="Arial"/>
          <w:szCs w:val="20"/>
        </w:rPr>
        <w:t xml:space="preserve">fails to submit a revised QRP (or amended QRP) to the Authority within </w:t>
      </w:r>
      <w:r w:rsidR="00A52CA8">
        <w:rPr>
          <w:rFonts w:cs="Arial"/>
          <w:szCs w:val="20"/>
        </w:rPr>
        <w:t>five (5)</w:t>
      </w:r>
      <w:r>
        <w:rPr>
          <w:rFonts w:cs="Arial"/>
          <w:szCs w:val="20"/>
        </w:rPr>
        <w:t xml:space="preserve"> </w:t>
      </w:r>
      <w:r>
        <w:t>Business</w:t>
      </w:r>
      <w:r>
        <w:rPr>
          <w:rFonts w:cs="Arial"/>
          <w:szCs w:val="20"/>
        </w:rPr>
        <w:t xml:space="preserve"> Days of the revised QRP (or amended QRP) being required by the Authority, with a failure occurring on the sixth day and each day thereafter until the revised (or amended) QRP is submitted; and / or</w:t>
      </w:r>
    </w:p>
    <w:p w:rsidR="005033A8" w:rsidP="005033A8" w:rsidRDefault="005033A8" w14:paraId="50E25800" w14:textId="77777777">
      <w:pPr>
        <w:pStyle w:val="Heading5"/>
        <w:rPr>
          <w:rFonts w:cs="Arial"/>
          <w:szCs w:val="20"/>
        </w:rPr>
      </w:pPr>
      <w:r>
        <w:rPr>
          <w:rFonts w:cs="Arial"/>
          <w:szCs w:val="20"/>
        </w:rPr>
        <w:t>fails to comply with the agreed QRP or amended QRP, with a failure occurring on each day that the Contractor fails to comply.</w:t>
      </w:r>
    </w:p>
    <w:p w:rsidR="005033A8" w:rsidP="005033A8" w:rsidRDefault="005033A8" w14:paraId="1656DBBC" w14:textId="77777777">
      <w:pPr>
        <w:pStyle w:val="Heading3"/>
        <w:rPr>
          <w:szCs w:val="20"/>
        </w:rPr>
      </w:pPr>
      <w:r>
        <w:rPr>
          <w:szCs w:val="20"/>
        </w:rPr>
        <w:t xml:space="preserve">Each failure shall count as one (1) failure and apply in the month the failure arises, and NPPs shall apply for each failure at a rate of 26 NPPs per single failure. </w:t>
      </w:r>
    </w:p>
    <w:p w:rsidRPr="005033A8" w:rsidR="005033A8" w:rsidP="005033A8" w:rsidRDefault="005033A8" w14:paraId="7A6B9465" w14:textId="66E17894">
      <w:pPr>
        <w:pStyle w:val="Heading3"/>
        <w:rPr>
          <w:szCs w:val="20"/>
        </w:rPr>
      </w:pPr>
      <w:r>
        <w:rPr>
          <w:szCs w:val="20"/>
        </w:rPr>
        <w:t xml:space="preserve">Where the Contractor does not deliver a Task </w:t>
      </w:r>
      <w:proofErr w:type="gramStart"/>
      <w:r>
        <w:rPr>
          <w:szCs w:val="20"/>
        </w:rPr>
        <w:t>as a result of</w:t>
      </w:r>
      <w:proofErr w:type="gramEnd"/>
      <w:r>
        <w:rPr>
          <w:szCs w:val="20"/>
        </w:rPr>
        <w:t xml:space="preserve"> its failure to comply with KPI 1, that failure shall be captured by, and lead to the accrual of NPPs with respect to KPI 1, as well as its failure and accrual of NPPs for failure to comply with or submit a QRP.</w:t>
      </w:r>
    </w:p>
    <w:p w:rsidRPr="00022931" w:rsidR="008C263F" w:rsidP="00E7264C" w:rsidRDefault="008C263F" w14:paraId="4FF82DE1" w14:textId="11A0589C">
      <w:pPr>
        <w:pStyle w:val="Heading2"/>
        <w:rPr>
          <w:b/>
        </w:rPr>
      </w:pPr>
      <w:bookmarkStart w:name="_Ref89352684" w:id="25"/>
      <w:r w:rsidRPr="00022931">
        <w:rPr>
          <w:b/>
        </w:rPr>
        <w:t>Failure against KPI 1 and NPPs</w:t>
      </w:r>
      <w:bookmarkEnd w:id="25"/>
    </w:p>
    <w:p w:rsidRPr="00022931" w:rsidR="00456812" w:rsidP="00456812" w:rsidRDefault="00456812" w14:paraId="45CC505D" w14:textId="46233ED1">
      <w:pPr>
        <w:pStyle w:val="Heading3"/>
      </w:pPr>
      <w:r w:rsidRPr="00022931">
        <w:t xml:space="preserve">A failure to perform a Task </w:t>
      </w:r>
      <w:proofErr w:type="gramStart"/>
      <w:r w:rsidRPr="00022931">
        <w:t>On</w:t>
      </w:r>
      <w:proofErr w:type="gramEnd"/>
      <w:r w:rsidRPr="00022931">
        <w:t xml:space="preserve"> Time </w:t>
      </w:r>
      <w:r w:rsidRPr="00022931" w:rsidR="001B2FA1">
        <w:t>I</w:t>
      </w:r>
      <w:r w:rsidRPr="00022931">
        <w:t xml:space="preserve">n Full against KPI 1 </w:t>
      </w:r>
      <w:r w:rsidRPr="00022931" w:rsidR="00187A96">
        <w:t xml:space="preserve">shall constitute a Significant Non-Performance, unless it qualifies as a Minor Non-Performance. </w:t>
      </w:r>
    </w:p>
    <w:p w:rsidRPr="00022931" w:rsidR="00562093" w:rsidP="006848DD" w:rsidRDefault="00562093" w14:paraId="2D238A6B" w14:textId="6394E439">
      <w:pPr>
        <w:pStyle w:val="Heading3"/>
      </w:pPr>
      <w:bookmarkStart w:name="_Ref89458408" w:id="26"/>
      <w:r w:rsidRPr="00022931">
        <w:t xml:space="preserve">If the </w:t>
      </w:r>
      <w:r w:rsidR="00AC0FF1">
        <w:t>Authority determines</w:t>
      </w:r>
      <w:r w:rsidRPr="00022931">
        <w:t xml:space="preserve"> that a Task was not completed On Time </w:t>
      </w:r>
      <w:proofErr w:type="gramStart"/>
      <w:r w:rsidRPr="00022931" w:rsidR="001B2FA1">
        <w:t>In</w:t>
      </w:r>
      <w:proofErr w:type="gramEnd"/>
      <w:r w:rsidRPr="00022931" w:rsidR="001B2FA1">
        <w:t xml:space="preserve"> </w:t>
      </w:r>
      <w:r w:rsidRPr="00022931" w:rsidR="00B56867">
        <w:t xml:space="preserve">Full because of </w:t>
      </w:r>
      <w:r w:rsidR="00DF10CA">
        <w:t>a Relief Event and / or Compensation Event</w:t>
      </w:r>
      <w:r w:rsidRPr="00022931">
        <w:t>, this shall constitute "</w:t>
      </w:r>
      <w:r w:rsidRPr="00022931">
        <w:rPr>
          <w:b/>
        </w:rPr>
        <w:t>Mitigated Non-Performance</w:t>
      </w:r>
      <w:r w:rsidRPr="00022931">
        <w:t xml:space="preserve">", and this shall be recorded in the relevant </w:t>
      </w:r>
      <w:r w:rsidR="00474C5A">
        <w:t>Month</w:t>
      </w:r>
      <w:r w:rsidRPr="00022931">
        <w:t xml:space="preserve">ly Performance and Activity Report as a non-performance </w:t>
      </w:r>
      <w:r w:rsidRPr="00022931" w:rsidR="00187A96">
        <w:t>but no NPPs shall apply to such Mitigated Non-Performance</w:t>
      </w:r>
      <w:r w:rsidRPr="00022931">
        <w:t>.</w:t>
      </w:r>
      <w:bookmarkEnd w:id="26"/>
      <w:r w:rsidRPr="00022931">
        <w:t xml:space="preserve"> </w:t>
      </w:r>
    </w:p>
    <w:p w:rsidRPr="00022931" w:rsidR="00456812" w:rsidP="00456812" w:rsidRDefault="00456812" w14:paraId="3A6F3CDC" w14:textId="55C702E5">
      <w:pPr>
        <w:pStyle w:val="Heading3"/>
      </w:pPr>
      <w:r w:rsidRPr="00022931">
        <w:t xml:space="preserve">Where a Task is not completed On Time </w:t>
      </w:r>
      <w:proofErr w:type="gramStart"/>
      <w:r w:rsidRPr="00022931">
        <w:t>In</w:t>
      </w:r>
      <w:proofErr w:type="gramEnd"/>
      <w:r w:rsidRPr="00022931">
        <w:t xml:space="preserve"> Full for the purposes of KPI 1, the Authority shall</w:t>
      </w:r>
      <w:r w:rsidRPr="00022931" w:rsidR="00393C22">
        <w:t xml:space="preserve"> </w:t>
      </w:r>
      <w:r w:rsidRPr="00022931">
        <w:t>be entitled to apply Non-Performance Points on the following basis:</w:t>
      </w:r>
    </w:p>
    <w:tbl>
      <w:tblPr>
        <w:tblStyle w:val="TableGrid"/>
        <w:tblW w:w="0" w:type="auto"/>
        <w:tblInd w:w="709" w:type="dxa"/>
        <w:tblLook w:val="04A0" w:firstRow="1" w:lastRow="0" w:firstColumn="1" w:lastColumn="0" w:noHBand="0" w:noVBand="1"/>
      </w:tblPr>
      <w:tblGrid>
        <w:gridCol w:w="1306"/>
        <w:gridCol w:w="2035"/>
        <w:gridCol w:w="1629"/>
        <w:gridCol w:w="1588"/>
        <w:gridCol w:w="1749"/>
      </w:tblGrid>
      <w:tr w:rsidR="002535C9" w:rsidTr="00B64BE5" w14:paraId="1ADBCB6C" w14:textId="77777777">
        <w:tc>
          <w:tcPr>
            <w:tcW w:w="1306" w:type="dxa"/>
          </w:tcPr>
          <w:p w:rsidRPr="00B64BE5" w:rsidR="00F23C84" w:rsidP="00F23C84" w:rsidRDefault="00F23C84" w14:paraId="7E614C5D" w14:textId="3789CA69">
            <w:pPr>
              <w:pStyle w:val="Body2"/>
              <w:ind w:left="0"/>
              <w:rPr>
                <w:rFonts w:cs="Arial"/>
                <w:b/>
              </w:rPr>
            </w:pPr>
            <w:r w:rsidRPr="00B64BE5">
              <w:rPr>
                <w:rFonts w:cs="Arial"/>
                <w:b/>
              </w:rPr>
              <w:t>SDA</w:t>
            </w:r>
          </w:p>
        </w:tc>
        <w:tc>
          <w:tcPr>
            <w:tcW w:w="2035" w:type="dxa"/>
          </w:tcPr>
          <w:p w:rsidRPr="00B64BE5" w:rsidR="00F23C84" w:rsidP="00F23C84" w:rsidRDefault="00F23C84" w14:paraId="75BB9101" w14:textId="16BA553C">
            <w:pPr>
              <w:pStyle w:val="Body2"/>
              <w:ind w:left="0"/>
              <w:rPr>
                <w:rFonts w:cs="Arial"/>
                <w:b/>
              </w:rPr>
            </w:pPr>
            <w:r w:rsidRPr="002535C9">
              <w:rPr>
                <w:rFonts w:cs="Arial"/>
                <w:b/>
              </w:rPr>
              <w:t>Task</w:t>
            </w:r>
          </w:p>
        </w:tc>
        <w:tc>
          <w:tcPr>
            <w:tcW w:w="1629" w:type="dxa"/>
          </w:tcPr>
          <w:p w:rsidRPr="00B64BE5" w:rsidR="00F23C84" w:rsidP="00F23C84" w:rsidRDefault="00F23C84" w14:paraId="37B6D211" w14:textId="039E6CDA">
            <w:pPr>
              <w:pStyle w:val="Body2"/>
              <w:ind w:left="0"/>
              <w:rPr>
                <w:rFonts w:cs="Arial"/>
                <w:b/>
              </w:rPr>
            </w:pPr>
            <w:r w:rsidRPr="00F23C84">
              <w:rPr>
                <w:rFonts w:cs="Arial"/>
                <w:b/>
                <w:color w:val="000000"/>
              </w:rPr>
              <w:t>Significant Non-Performance</w:t>
            </w:r>
          </w:p>
        </w:tc>
        <w:tc>
          <w:tcPr>
            <w:tcW w:w="1588" w:type="dxa"/>
          </w:tcPr>
          <w:p w:rsidRPr="00B64BE5" w:rsidR="00F23C84" w:rsidP="00F23C84" w:rsidRDefault="00F23C84" w14:paraId="7BA5B601" w14:textId="6FC28803">
            <w:pPr>
              <w:pStyle w:val="Body2"/>
              <w:ind w:left="0"/>
              <w:rPr>
                <w:rFonts w:cs="Arial"/>
                <w:b/>
              </w:rPr>
            </w:pPr>
            <w:r w:rsidRPr="00F23C84">
              <w:rPr>
                <w:rFonts w:cs="Arial"/>
                <w:b/>
                <w:color w:val="000000"/>
              </w:rPr>
              <w:t>Minor Non-Performance</w:t>
            </w:r>
          </w:p>
        </w:tc>
        <w:tc>
          <w:tcPr>
            <w:tcW w:w="1749" w:type="dxa"/>
          </w:tcPr>
          <w:p w:rsidRPr="00B64BE5" w:rsidR="00F23C84" w:rsidP="00F23C84" w:rsidRDefault="00F23C84" w14:paraId="1F4450C8" w14:textId="5062FC5B">
            <w:pPr>
              <w:pStyle w:val="Body2"/>
              <w:ind w:left="0"/>
              <w:rPr>
                <w:rFonts w:cs="Arial"/>
                <w:b/>
              </w:rPr>
            </w:pPr>
            <w:r w:rsidRPr="00B64BE5">
              <w:rPr>
                <w:rFonts w:cs="Arial"/>
                <w:b/>
              </w:rPr>
              <w:t>Relevant</w:t>
            </w:r>
            <w:r>
              <w:rPr>
                <w:rFonts w:cs="Arial"/>
                <w:b/>
              </w:rPr>
              <w:t xml:space="preserve"> timeframe</w:t>
            </w:r>
          </w:p>
        </w:tc>
      </w:tr>
      <w:tr w:rsidR="00F23C84" w:rsidTr="00B64BE5" w14:paraId="41A37747" w14:textId="77777777">
        <w:tc>
          <w:tcPr>
            <w:tcW w:w="1306" w:type="dxa"/>
            <w:vMerge w:val="restart"/>
          </w:tcPr>
          <w:p w:rsidRPr="00B64BE5" w:rsidR="00F23C84" w:rsidP="00F23C84" w:rsidRDefault="00F23C84" w14:paraId="7D179BA3" w14:textId="1398C30A">
            <w:pPr>
              <w:pStyle w:val="Body2"/>
              <w:ind w:left="0"/>
              <w:rPr>
                <w:rFonts w:cs="Arial"/>
                <w:b/>
              </w:rPr>
            </w:pPr>
            <w:r w:rsidRPr="00B64BE5">
              <w:rPr>
                <w:rFonts w:cs="Arial"/>
                <w:b/>
              </w:rPr>
              <w:t>4</w:t>
            </w:r>
          </w:p>
        </w:tc>
        <w:tc>
          <w:tcPr>
            <w:tcW w:w="2035" w:type="dxa"/>
          </w:tcPr>
          <w:p w:rsidR="00F23C84" w:rsidP="00F23C84" w:rsidRDefault="00F23C84" w14:paraId="0DBABF45" w14:textId="3B7E4B62">
            <w:pPr>
              <w:pStyle w:val="Body2"/>
              <w:ind w:left="0"/>
              <w:rPr>
                <w:rFonts w:cs="Arial"/>
              </w:rPr>
            </w:pPr>
            <w:r>
              <w:rPr>
                <w:rFonts w:cs="Arial"/>
                <w:color w:val="000000"/>
              </w:rPr>
              <w:t>Line Item 2.4.1 (Heavyweight Weapon Recovery)</w:t>
            </w:r>
          </w:p>
        </w:tc>
        <w:tc>
          <w:tcPr>
            <w:tcW w:w="1629" w:type="dxa"/>
          </w:tcPr>
          <w:p w:rsidR="00F23C84" w:rsidP="002535C9" w:rsidRDefault="00F23C84" w14:paraId="504861B4" w14:textId="55CB7455">
            <w:pPr>
              <w:pStyle w:val="Body2"/>
              <w:ind w:left="0"/>
              <w:rPr>
                <w:rFonts w:cs="Arial"/>
              </w:rPr>
            </w:pPr>
            <w:r w:rsidRPr="00022931">
              <w:rPr>
                <w:rFonts w:cs="Arial"/>
                <w:color w:val="000000"/>
              </w:rPr>
              <w:t>350</w:t>
            </w:r>
          </w:p>
        </w:tc>
        <w:tc>
          <w:tcPr>
            <w:tcW w:w="1588" w:type="dxa"/>
          </w:tcPr>
          <w:p w:rsidR="00F23C84" w:rsidP="002535C9" w:rsidRDefault="00F23C84" w14:paraId="03D9139B" w14:textId="03C425E7">
            <w:pPr>
              <w:pStyle w:val="Body2"/>
              <w:ind w:left="0"/>
              <w:rPr>
                <w:rFonts w:cs="Arial"/>
              </w:rPr>
            </w:pPr>
            <w:r w:rsidRPr="00022931">
              <w:rPr>
                <w:rFonts w:cs="Arial"/>
                <w:color w:val="000000"/>
              </w:rPr>
              <w:t>70</w:t>
            </w:r>
          </w:p>
        </w:tc>
        <w:tc>
          <w:tcPr>
            <w:tcW w:w="1749" w:type="dxa"/>
            <w:vMerge w:val="restart"/>
          </w:tcPr>
          <w:p w:rsidR="00F23C84" w:rsidP="00F23C84" w:rsidRDefault="00F23C84" w14:paraId="39D1D349" w14:textId="554BC42A">
            <w:pPr>
              <w:pStyle w:val="Body2"/>
              <w:ind w:left="0"/>
              <w:rPr>
                <w:rFonts w:cs="Arial"/>
              </w:rPr>
            </w:pPr>
            <w:r w:rsidRPr="00022931">
              <w:rPr>
                <w:rFonts w:cs="Arial"/>
                <w:color w:val="000000"/>
              </w:rPr>
              <w:t xml:space="preserve">For each </w:t>
            </w:r>
            <w:r>
              <w:rPr>
                <w:rFonts w:cs="Arial"/>
                <w:color w:val="000000"/>
              </w:rPr>
              <w:t>24-hour period (such period beginning at 00.00 hours)</w:t>
            </w:r>
            <w:r w:rsidRPr="00022931">
              <w:rPr>
                <w:rFonts w:cs="Arial"/>
                <w:color w:val="000000"/>
              </w:rPr>
              <w:t xml:space="preserve"> </w:t>
            </w:r>
            <w:r w:rsidRPr="00022931">
              <w:rPr>
                <w:rFonts w:cs="Arial"/>
                <w:color w:val="000000"/>
              </w:rPr>
              <w:lastRenderedPageBreak/>
              <w:t xml:space="preserve">that the Task is not completed On Time </w:t>
            </w:r>
            <w:proofErr w:type="gramStart"/>
            <w:r w:rsidRPr="00022931">
              <w:rPr>
                <w:rFonts w:cs="Arial"/>
                <w:color w:val="000000"/>
              </w:rPr>
              <w:t>In</w:t>
            </w:r>
            <w:proofErr w:type="gramEnd"/>
            <w:r w:rsidRPr="00022931">
              <w:rPr>
                <w:rFonts w:cs="Arial"/>
                <w:color w:val="000000"/>
              </w:rPr>
              <w:t xml:space="preserve"> Full</w:t>
            </w:r>
          </w:p>
        </w:tc>
      </w:tr>
      <w:tr w:rsidR="00F23C84" w:rsidTr="00B64BE5" w14:paraId="7F5D9078" w14:textId="77777777">
        <w:tc>
          <w:tcPr>
            <w:tcW w:w="1306" w:type="dxa"/>
            <w:vMerge/>
          </w:tcPr>
          <w:p w:rsidRPr="00B64BE5" w:rsidR="00F23C84" w:rsidP="00F23C84" w:rsidRDefault="00F23C84" w14:paraId="3723BDE1" w14:textId="77777777">
            <w:pPr>
              <w:pStyle w:val="Body2"/>
              <w:ind w:left="0"/>
              <w:rPr>
                <w:rFonts w:cs="Arial"/>
                <w:b/>
              </w:rPr>
            </w:pPr>
          </w:p>
        </w:tc>
        <w:tc>
          <w:tcPr>
            <w:tcW w:w="2035" w:type="dxa"/>
          </w:tcPr>
          <w:p w:rsidR="00F23C84" w:rsidP="00F23C84" w:rsidRDefault="00F23C84" w14:paraId="71382778" w14:textId="347A1706">
            <w:pPr>
              <w:pStyle w:val="Body2"/>
              <w:ind w:left="0"/>
              <w:rPr>
                <w:rFonts w:cs="Arial"/>
              </w:rPr>
            </w:pPr>
            <w:r>
              <w:rPr>
                <w:rFonts w:cs="Arial"/>
              </w:rPr>
              <w:t>All other Tasks other than Line item 2.4.1</w:t>
            </w:r>
          </w:p>
        </w:tc>
        <w:tc>
          <w:tcPr>
            <w:tcW w:w="1629" w:type="dxa"/>
          </w:tcPr>
          <w:p w:rsidR="00F23C84" w:rsidP="00F23C84" w:rsidRDefault="00F23C84" w14:paraId="124F126B" w14:textId="2A210619">
            <w:pPr>
              <w:pStyle w:val="Body2"/>
              <w:ind w:left="0"/>
              <w:rPr>
                <w:rFonts w:cs="Arial"/>
              </w:rPr>
            </w:pPr>
            <w:r>
              <w:rPr>
                <w:rFonts w:cs="Arial"/>
              </w:rPr>
              <w:t>120</w:t>
            </w:r>
          </w:p>
        </w:tc>
        <w:tc>
          <w:tcPr>
            <w:tcW w:w="1588" w:type="dxa"/>
          </w:tcPr>
          <w:p w:rsidR="00F23C84" w:rsidP="00F23C84" w:rsidRDefault="00F23C84" w14:paraId="7E825507" w14:textId="4FF3B430">
            <w:pPr>
              <w:pStyle w:val="Body2"/>
              <w:ind w:left="0"/>
              <w:rPr>
                <w:rFonts w:cs="Arial"/>
              </w:rPr>
            </w:pPr>
            <w:r>
              <w:rPr>
                <w:rFonts w:cs="Arial"/>
              </w:rPr>
              <w:t>20</w:t>
            </w:r>
          </w:p>
        </w:tc>
        <w:tc>
          <w:tcPr>
            <w:tcW w:w="1749" w:type="dxa"/>
            <w:vMerge/>
          </w:tcPr>
          <w:p w:rsidR="00F23C84" w:rsidP="00F23C84" w:rsidRDefault="00F23C84" w14:paraId="6904FCA7" w14:textId="77777777">
            <w:pPr>
              <w:pStyle w:val="Body2"/>
              <w:ind w:left="0"/>
              <w:rPr>
                <w:rFonts w:cs="Arial"/>
              </w:rPr>
            </w:pPr>
          </w:p>
        </w:tc>
      </w:tr>
      <w:tr w:rsidR="00F23C84" w:rsidTr="00B64BE5" w14:paraId="4FD039D1" w14:textId="77777777">
        <w:tc>
          <w:tcPr>
            <w:tcW w:w="1306" w:type="dxa"/>
          </w:tcPr>
          <w:p w:rsidRPr="00B64BE5" w:rsidR="00F23C84" w:rsidP="006848DD" w:rsidRDefault="00F23C84" w14:paraId="437C4AD2" w14:textId="6E880B4A">
            <w:pPr>
              <w:pStyle w:val="Body2"/>
              <w:ind w:left="0"/>
              <w:rPr>
                <w:rFonts w:cs="Arial"/>
                <w:b/>
              </w:rPr>
            </w:pPr>
            <w:r w:rsidRPr="00B64BE5">
              <w:rPr>
                <w:rFonts w:cs="Arial"/>
                <w:b/>
              </w:rPr>
              <w:t>5</w:t>
            </w:r>
          </w:p>
        </w:tc>
        <w:tc>
          <w:tcPr>
            <w:tcW w:w="2035" w:type="dxa"/>
          </w:tcPr>
          <w:p w:rsidR="00F23C84" w:rsidP="006848DD" w:rsidRDefault="00F23C84" w14:paraId="124F449E" w14:textId="5D2BA88A">
            <w:pPr>
              <w:pStyle w:val="Body2"/>
              <w:ind w:left="0"/>
              <w:rPr>
                <w:rFonts w:cs="Arial"/>
              </w:rPr>
            </w:pPr>
            <w:r>
              <w:rPr>
                <w:rFonts w:cs="Arial"/>
              </w:rPr>
              <w:t>All Tasks</w:t>
            </w:r>
          </w:p>
        </w:tc>
        <w:tc>
          <w:tcPr>
            <w:tcW w:w="1629" w:type="dxa"/>
          </w:tcPr>
          <w:p w:rsidR="00F23C84" w:rsidP="006848DD" w:rsidRDefault="00F23C84" w14:paraId="06080B36" w14:textId="5429E5E6">
            <w:pPr>
              <w:pStyle w:val="Body2"/>
              <w:ind w:left="0"/>
              <w:rPr>
                <w:rFonts w:cs="Arial"/>
              </w:rPr>
            </w:pPr>
            <w:r>
              <w:rPr>
                <w:rFonts w:cs="Arial"/>
              </w:rPr>
              <w:t>120</w:t>
            </w:r>
          </w:p>
        </w:tc>
        <w:tc>
          <w:tcPr>
            <w:tcW w:w="1588" w:type="dxa"/>
          </w:tcPr>
          <w:p w:rsidR="00F23C84" w:rsidP="006848DD" w:rsidRDefault="00F23C84" w14:paraId="7DA2D7BA" w14:textId="399E298A">
            <w:pPr>
              <w:pStyle w:val="Body2"/>
              <w:ind w:left="0"/>
              <w:rPr>
                <w:rFonts w:cs="Arial"/>
              </w:rPr>
            </w:pPr>
            <w:r>
              <w:rPr>
                <w:rFonts w:cs="Arial"/>
              </w:rPr>
              <w:t>20</w:t>
            </w:r>
          </w:p>
        </w:tc>
        <w:tc>
          <w:tcPr>
            <w:tcW w:w="1749" w:type="dxa"/>
            <w:vMerge/>
          </w:tcPr>
          <w:p w:rsidR="00F23C84" w:rsidP="006848DD" w:rsidRDefault="00F23C84" w14:paraId="6B3AF4DA" w14:textId="77777777">
            <w:pPr>
              <w:pStyle w:val="Body2"/>
              <w:ind w:left="0"/>
              <w:rPr>
                <w:rFonts w:cs="Arial"/>
              </w:rPr>
            </w:pPr>
          </w:p>
        </w:tc>
      </w:tr>
      <w:tr w:rsidR="002535C9" w:rsidTr="00B64BE5" w14:paraId="4F2ABC10" w14:textId="77777777">
        <w:tc>
          <w:tcPr>
            <w:tcW w:w="1306" w:type="dxa"/>
          </w:tcPr>
          <w:p w:rsidRPr="00B64BE5" w:rsidR="00F23C84" w:rsidP="00F23C84" w:rsidRDefault="00F23C84" w14:paraId="0246F30D" w14:textId="1C161E47">
            <w:pPr>
              <w:pStyle w:val="Body2"/>
              <w:ind w:left="0"/>
              <w:rPr>
                <w:rFonts w:cs="Arial"/>
                <w:b/>
              </w:rPr>
            </w:pPr>
            <w:r w:rsidRPr="00B64BE5">
              <w:rPr>
                <w:rFonts w:cs="Arial"/>
                <w:b/>
              </w:rPr>
              <w:t>7</w:t>
            </w:r>
          </w:p>
        </w:tc>
        <w:tc>
          <w:tcPr>
            <w:tcW w:w="2035" w:type="dxa"/>
          </w:tcPr>
          <w:p w:rsidR="00F23C84" w:rsidP="00F23C84" w:rsidRDefault="00F23C84" w14:paraId="76E6F151" w14:textId="359A2763">
            <w:pPr>
              <w:pStyle w:val="Body2"/>
              <w:ind w:left="0"/>
              <w:rPr>
                <w:rFonts w:cs="Arial"/>
              </w:rPr>
            </w:pPr>
            <w:r>
              <w:rPr>
                <w:rFonts w:cs="Arial"/>
              </w:rPr>
              <w:t>All Tasks</w:t>
            </w:r>
          </w:p>
        </w:tc>
        <w:tc>
          <w:tcPr>
            <w:tcW w:w="1629" w:type="dxa"/>
          </w:tcPr>
          <w:p w:rsidR="00F23C84" w:rsidP="00F23C84" w:rsidRDefault="00F23C84" w14:paraId="14C4A817" w14:textId="7D6C4A22">
            <w:pPr>
              <w:pStyle w:val="Body2"/>
              <w:ind w:left="0"/>
              <w:rPr>
                <w:rFonts w:cs="Arial"/>
              </w:rPr>
            </w:pPr>
            <w:r>
              <w:rPr>
                <w:rFonts w:cs="Arial"/>
                <w:color w:val="000000"/>
              </w:rPr>
              <w:t>50</w:t>
            </w:r>
          </w:p>
        </w:tc>
        <w:tc>
          <w:tcPr>
            <w:tcW w:w="1588" w:type="dxa"/>
          </w:tcPr>
          <w:p w:rsidR="00F23C84" w:rsidP="00F23C84" w:rsidRDefault="00F23C84" w14:paraId="577147E8" w14:textId="2C75859B">
            <w:pPr>
              <w:pStyle w:val="Body2"/>
              <w:ind w:left="0"/>
              <w:rPr>
                <w:rFonts w:cs="Arial"/>
              </w:rPr>
            </w:pPr>
            <w:r>
              <w:rPr>
                <w:rFonts w:cs="Arial"/>
                <w:color w:val="000000"/>
              </w:rPr>
              <w:t>20</w:t>
            </w:r>
          </w:p>
        </w:tc>
        <w:tc>
          <w:tcPr>
            <w:tcW w:w="1749" w:type="dxa"/>
          </w:tcPr>
          <w:p w:rsidR="00F23C84" w:rsidP="00F23C84" w:rsidRDefault="00F23C84" w14:paraId="2FE0690C" w14:textId="49BB0116">
            <w:pPr>
              <w:pStyle w:val="Body2"/>
              <w:ind w:left="0"/>
              <w:rPr>
                <w:rFonts w:cs="Arial"/>
              </w:rPr>
            </w:pPr>
            <w:r w:rsidRPr="00022931">
              <w:rPr>
                <w:rFonts w:cs="Arial"/>
              </w:rPr>
              <w:t xml:space="preserve">Per </w:t>
            </w:r>
            <w:proofErr w:type="gramStart"/>
            <w:r w:rsidRPr="00022931">
              <w:rPr>
                <w:rFonts w:cs="Arial"/>
              </w:rPr>
              <w:t xml:space="preserve">event </w:t>
            </w:r>
            <w:r>
              <w:rPr>
                <w:rFonts w:cs="Arial"/>
              </w:rPr>
              <w:t xml:space="preserve"> (</w:t>
            </w:r>
            <w:proofErr w:type="gramEnd"/>
            <w:r>
              <w:rPr>
                <w:rFonts w:cs="Arial"/>
              </w:rPr>
              <w:t>as defined in Schedule 2 (</w:t>
            </w:r>
            <w:r w:rsidR="00B64BE5">
              <w:rPr>
                <w:rFonts w:cs="Arial"/>
                <w:i/>
              </w:rPr>
              <w:t>Statement of Requirement</w:t>
            </w:r>
            <w:r>
              <w:rPr>
                <w:rFonts w:cs="Arial"/>
              </w:rPr>
              <w:t xml:space="preserve">)) </w:t>
            </w:r>
            <w:r w:rsidRPr="00022931">
              <w:rPr>
                <w:rFonts w:cs="Arial"/>
              </w:rPr>
              <w:t>on which the Task is not completed On Time in Full</w:t>
            </w:r>
          </w:p>
        </w:tc>
      </w:tr>
    </w:tbl>
    <w:p w:rsidR="00F23C84" w:rsidP="006848DD" w:rsidRDefault="00F23C84" w14:paraId="088B4DDA" w14:textId="77777777">
      <w:pPr>
        <w:pStyle w:val="Body2"/>
        <w:rPr>
          <w:rFonts w:cs="Arial"/>
        </w:rPr>
      </w:pPr>
    </w:p>
    <w:p w:rsidRPr="00022931" w:rsidR="006A470C" w:rsidP="006A470C" w:rsidRDefault="006A470C" w14:paraId="5201DD50" w14:textId="60C861EC">
      <w:pPr>
        <w:pStyle w:val="Heading2"/>
        <w:rPr>
          <w:b/>
        </w:rPr>
      </w:pPr>
      <w:bookmarkStart w:name="_Ref89420957" w:id="27"/>
      <w:r w:rsidRPr="00022931">
        <w:rPr>
          <w:b/>
        </w:rPr>
        <w:t>Management Information KPI (KPI 2)</w:t>
      </w:r>
      <w:r w:rsidRPr="00022931" w:rsidR="005E73B2">
        <w:rPr>
          <w:b/>
        </w:rPr>
        <w:t xml:space="preserve"> -</w:t>
      </w:r>
      <w:r w:rsidRPr="00022931">
        <w:rPr>
          <w:b/>
        </w:rPr>
        <w:t>Definition</w:t>
      </w:r>
      <w:r w:rsidRPr="00022931" w:rsidR="008736F8">
        <w:rPr>
          <w:b/>
        </w:rPr>
        <w:t xml:space="preserve"> and Measurement</w:t>
      </w:r>
      <w:bookmarkEnd w:id="27"/>
    </w:p>
    <w:p w:rsidRPr="00022931" w:rsidR="006A470C" w:rsidP="006A470C" w:rsidRDefault="00D66759" w14:paraId="49FA6E31" w14:textId="7F273BE6">
      <w:pPr>
        <w:pStyle w:val="Heading3"/>
      </w:pPr>
      <w:bookmarkStart w:name="_Ref89421178" w:id="28"/>
      <w:r w:rsidRPr="00022931">
        <w:t>The "</w:t>
      </w:r>
      <w:r w:rsidRPr="00022931">
        <w:rPr>
          <w:b/>
        </w:rPr>
        <w:t>Management Information KPI</w:t>
      </w:r>
      <w:r w:rsidRPr="00022931">
        <w:t>" or "</w:t>
      </w:r>
      <w:r w:rsidRPr="00022931">
        <w:rPr>
          <w:b/>
        </w:rPr>
        <w:t>KPI 2</w:t>
      </w:r>
      <w:r w:rsidRPr="00022931">
        <w:t xml:space="preserve">" shall be assessed </w:t>
      </w:r>
      <w:proofErr w:type="gramStart"/>
      <w:r w:rsidRPr="00022931">
        <w:t>on the basis of</w:t>
      </w:r>
      <w:proofErr w:type="gramEnd"/>
      <w:r w:rsidRPr="00022931">
        <w:t xml:space="preserve"> the provision of information</w:t>
      </w:r>
      <w:r w:rsidR="002610EC">
        <w:t xml:space="preserve"> which is identified as Management Information in Schedule 6 (</w:t>
      </w:r>
      <w:r w:rsidR="002610EC">
        <w:rPr>
          <w:i/>
        </w:rPr>
        <w:t>Governance, Management Information, Reports, Records and Audit</w:t>
      </w:r>
      <w:r w:rsidR="002610EC">
        <w:t>)</w:t>
      </w:r>
      <w:r w:rsidRPr="00022931">
        <w:t xml:space="preserve"> </w:t>
      </w:r>
      <w:r w:rsidR="002610EC">
        <w:t>in accordance with the following elements</w:t>
      </w:r>
      <w:r w:rsidRPr="00022931">
        <w:t>:</w:t>
      </w:r>
      <w:bookmarkEnd w:id="28"/>
    </w:p>
    <w:p w:rsidRPr="00023175" w:rsidR="006A470C" w:rsidP="006A470C" w:rsidRDefault="006A470C" w14:paraId="27623487" w14:textId="2A1589C9">
      <w:pPr>
        <w:pStyle w:val="Heading5"/>
        <w:rPr>
          <w:rFonts w:cs="Arial"/>
        </w:rPr>
      </w:pPr>
      <w:bookmarkStart w:name="_Ref89421496" w:id="29"/>
      <w:r w:rsidRPr="00AF24F8">
        <w:rPr>
          <w:rFonts w:cs="Arial"/>
        </w:rPr>
        <w:t xml:space="preserve">the Contractor provides all Management Information to the Authority on time as set out in </w:t>
      </w:r>
      <w:r w:rsidRPr="00022931" w:rsidR="003F3FF9">
        <w:rPr>
          <w:rFonts w:cs="Arial"/>
          <w:szCs w:val="20"/>
        </w:rPr>
        <w:t xml:space="preserve">Schedule </w:t>
      </w:r>
      <w:r w:rsidRPr="00022931" w:rsidR="00B818F5">
        <w:rPr>
          <w:rFonts w:cs="Arial"/>
          <w:szCs w:val="20"/>
        </w:rPr>
        <w:t xml:space="preserve">6 </w:t>
      </w:r>
      <w:r w:rsidRPr="00022931" w:rsidR="003F3FF9">
        <w:rPr>
          <w:rFonts w:cs="Arial"/>
          <w:szCs w:val="20"/>
        </w:rPr>
        <w:t>(</w:t>
      </w:r>
      <w:r w:rsidRPr="00022931" w:rsidR="00B818F5">
        <w:rPr>
          <w:rFonts w:cs="Arial"/>
          <w:i/>
          <w:szCs w:val="20"/>
        </w:rPr>
        <w:t>Governance and Management Information, Reports, Records and Audit</w:t>
      </w:r>
      <w:r w:rsidRPr="00022931" w:rsidR="003F3FF9">
        <w:rPr>
          <w:rFonts w:cs="Arial"/>
          <w:szCs w:val="20"/>
        </w:rPr>
        <w:t>)</w:t>
      </w:r>
      <w:r w:rsidRPr="00AF24F8">
        <w:rPr>
          <w:rFonts w:cs="Arial"/>
        </w:rPr>
        <w:t xml:space="preserve"> (the "</w:t>
      </w:r>
      <w:r w:rsidRPr="00AF24F8">
        <w:rPr>
          <w:rFonts w:cs="Arial"/>
          <w:b/>
        </w:rPr>
        <w:t>Time Element</w:t>
      </w:r>
      <w:r w:rsidRPr="00AF24F8">
        <w:rPr>
          <w:rFonts w:cs="Arial"/>
        </w:rPr>
        <w:t>"</w:t>
      </w:r>
      <w:proofErr w:type="gramStart"/>
      <w:r w:rsidRPr="00AF24F8">
        <w:rPr>
          <w:rFonts w:cs="Arial"/>
        </w:rPr>
        <w:t>);</w:t>
      </w:r>
      <w:bookmarkEnd w:id="29"/>
      <w:proofErr w:type="gramEnd"/>
    </w:p>
    <w:p w:rsidRPr="00023175" w:rsidR="006A470C" w:rsidP="006A470C" w:rsidRDefault="006A470C" w14:paraId="7D85FA01" w14:textId="1F727240">
      <w:pPr>
        <w:pStyle w:val="Heading5"/>
        <w:rPr>
          <w:rFonts w:cs="Arial"/>
        </w:rPr>
      </w:pPr>
      <w:bookmarkStart w:name="_Ref89421180" w:id="30"/>
      <w:r w:rsidRPr="00023175">
        <w:rPr>
          <w:rFonts w:cs="Arial"/>
        </w:rPr>
        <w:t xml:space="preserve">the Contractor provides all Management Information in accordance with the quality standards set out in </w:t>
      </w:r>
      <w:r w:rsidRPr="00022931" w:rsidR="003F3FF9">
        <w:rPr>
          <w:rFonts w:cs="Arial"/>
          <w:szCs w:val="20"/>
        </w:rPr>
        <w:t xml:space="preserve">Schedule </w:t>
      </w:r>
      <w:r w:rsidRPr="00022931" w:rsidR="00B818F5">
        <w:rPr>
          <w:rFonts w:cs="Arial"/>
          <w:szCs w:val="20"/>
        </w:rPr>
        <w:t xml:space="preserve">6 </w:t>
      </w:r>
      <w:r w:rsidRPr="00022931" w:rsidR="003F3FF9">
        <w:rPr>
          <w:rFonts w:cs="Arial"/>
          <w:szCs w:val="20"/>
        </w:rPr>
        <w:t>(</w:t>
      </w:r>
      <w:r w:rsidRPr="00022931" w:rsidR="00B818F5">
        <w:rPr>
          <w:rFonts w:cs="Arial"/>
          <w:i/>
          <w:szCs w:val="20"/>
        </w:rPr>
        <w:t>Governance and Management Information, Reports, Records and Audit</w:t>
      </w:r>
      <w:r w:rsidRPr="00022931" w:rsidR="003F3FF9">
        <w:rPr>
          <w:rFonts w:cs="Arial"/>
          <w:szCs w:val="20"/>
        </w:rPr>
        <w:t>)</w:t>
      </w:r>
      <w:r w:rsidRPr="00AF24F8">
        <w:rPr>
          <w:rFonts w:cs="Arial"/>
        </w:rPr>
        <w:t>, with such compliance</w:t>
      </w:r>
      <w:r w:rsidR="0012797A">
        <w:rPr>
          <w:rFonts w:cs="Arial"/>
        </w:rPr>
        <w:t xml:space="preserve"> (or lack thereof)</w:t>
      </w:r>
      <w:r w:rsidRPr="00AF24F8">
        <w:rPr>
          <w:rFonts w:cs="Arial"/>
        </w:rPr>
        <w:t xml:space="preserve"> to be confirmed in writing by the Authority within </w:t>
      </w:r>
      <w:r w:rsidR="00030093">
        <w:rPr>
          <w:rFonts w:cs="Arial"/>
        </w:rPr>
        <w:t>five (5)</w:t>
      </w:r>
      <w:r w:rsidRPr="00023175">
        <w:rPr>
          <w:rFonts w:cs="Arial"/>
        </w:rPr>
        <w:t xml:space="preserve"> days of their delivery (the "</w:t>
      </w:r>
      <w:r w:rsidRPr="00023175">
        <w:rPr>
          <w:rFonts w:cs="Arial"/>
          <w:b/>
        </w:rPr>
        <w:t xml:space="preserve"> Quality Element</w:t>
      </w:r>
      <w:r w:rsidRPr="00023175">
        <w:rPr>
          <w:rFonts w:cs="Arial"/>
        </w:rPr>
        <w:t>"</w:t>
      </w:r>
      <w:proofErr w:type="gramStart"/>
      <w:r w:rsidRPr="00023175">
        <w:rPr>
          <w:rFonts w:cs="Arial"/>
        </w:rPr>
        <w:t>);</w:t>
      </w:r>
      <w:bookmarkEnd w:id="30"/>
      <w:proofErr w:type="gramEnd"/>
      <w:r w:rsidRPr="00023175">
        <w:rPr>
          <w:rFonts w:cs="Arial"/>
        </w:rPr>
        <w:t xml:space="preserve"> </w:t>
      </w:r>
    </w:p>
    <w:p w:rsidRPr="00AF24F8" w:rsidR="006A470C" w:rsidP="006A470C" w:rsidRDefault="002610EC" w14:paraId="17D4E5D6" w14:textId="36E77711">
      <w:pPr>
        <w:pStyle w:val="Heading5"/>
        <w:rPr>
          <w:rFonts w:cs="Arial"/>
        </w:rPr>
      </w:pPr>
      <w:r>
        <w:rPr>
          <w:rFonts w:cs="Arial"/>
        </w:rPr>
        <w:t xml:space="preserve">the personnel identified in Schedule 6 </w:t>
      </w:r>
      <w:r w:rsidRPr="00022931">
        <w:rPr>
          <w:rFonts w:cs="Arial"/>
          <w:szCs w:val="20"/>
        </w:rPr>
        <w:t>(</w:t>
      </w:r>
      <w:r w:rsidRPr="00022931">
        <w:rPr>
          <w:rFonts w:cs="Arial"/>
          <w:i/>
          <w:szCs w:val="20"/>
        </w:rPr>
        <w:t>Governance and Management Information, Reports, Records and Audit</w:t>
      </w:r>
      <w:r w:rsidRPr="00022931">
        <w:rPr>
          <w:rFonts w:cs="Arial"/>
          <w:szCs w:val="20"/>
        </w:rPr>
        <w:t>)</w:t>
      </w:r>
      <w:r>
        <w:rPr>
          <w:rFonts w:cs="Arial"/>
          <w:szCs w:val="20"/>
        </w:rPr>
        <w:t xml:space="preserve"> (or personnel with delegated authority attending in place of any such personnel) attend </w:t>
      </w:r>
      <w:r w:rsidRPr="00083327">
        <w:rPr>
          <w:rFonts w:cs="Arial"/>
          <w:szCs w:val="20"/>
        </w:rPr>
        <w:t>Governance Meetings</w:t>
      </w:r>
      <w:r w:rsidRPr="00AF24F8" w:rsidR="006A470C">
        <w:rPr>
          <w:rFonts w:cs="Arial"/>
        </w:rPr>
        <w:t>;</w:t>
      </w:r>
      <w:r w:rsidRPr="00AF24F8" w:rsidR="005E73B2">
        <w:rPr>
          <w:rFonts w:cs="Arial"/>
        </w:rPr>
        <w:t xml:space="preserve"> and</w:t>
      </w:r>
    </w:p>
    <w:p w:rsidRPr="00023175" w:rsidR="006A470C" w:rsidP="006A470C" w:rsidRDefault="006A470C" w14:paraId="5D8204C1" w14:textId="2D3DF891">
      <w:pPr>
        <w:pStyle w:val="Heading5"/>
        <w:rPr>
          <w:rFonts w:cs="Arial"/>
        </w:rPr>
      </w:pPr>
      <w:r w:rsidRPr="00023175">
        <w:rPr>
          <w:rFonts w:cs="Arial"/>
        </w:rPr>
        <w:t xml:space="preserve">the Contractor provides minutes of </w:t>
      </w:r>
      <w:r w:rsidR="00C22B89">
        <w:rPr>
          <w:rFonts w:cs="Arial"/>
        </w:rPr>
        <w:t>the Governance Meetings</w:t>
      </w:r>
      <w:r w:rsidRPr="00023175">
        <w:rPr>
          <w:rFonts w:cs="Arial"/>
        </w:rPr>
        <w:t xml:space="preserve"> within </w:t>
      </w:r>
      <w:r w:rsidR="007B7150">
        <w:rPr>
          <w:rFonts w:cs="Arial"/>
        </w:rPr>
        <w:t>five (5)</w:t>
      </w:r>
      <w:r w:rsidR="00A52CA8">
        <w:rPr>
          <w:rFonts w:cs="Arial"/>
        </w:rPr>
        <w:t xml:space="preserve"> </w:t>
      </w:r>
      <w:r w:rsidRPr="00023175">
        <w:rPr>
          <w:rFonts w:cs="Arial"/>
        </w:rPr>
        <w:t xml:space="preserve">days of </w:t>
      </w:r>
      <w:r w:rsidR="00C22B89">
        <w:rPr>
          <w:rFonts w:cs="Arial"/>
        </w:rPr>
        <w:t>their occurrence,</w:t>
      </w:r>
    </w:p>
    <w:p w:rsidRPr="00023175" w:rsidR="006A470C" w:rsidP="006A470C" w:rsidRDefault="006A470C" w14:paraId="10CA75A2" w14:textId="5C3216B1">
      <w:pPr>
        <w:pStyle w:val="Body3"/>
        <w:ind w:left="2126"/>
        <w:rPr>
          <w:rFonts w:cs="Arial"/>
        </w:rPr>
      </w:pPr>
      <w:r w:rsidRPr="00023175">
        <w:rPr>
          <w:rFonts w:cs="Arial"/>
        </w:rPr>
        <w:t xml:space="preserve">limbs (iii) </w:t>
      </w:r>
      <w:r w:rsidRPr="00023175" w:rsidR="00A26316">
        <w:rPr>
          <w:rFonts w:cs="Arial"/>
        </w:rPr>
        <w:t>and (iv)</w:t>
      </w:r>
      <w:r w:rsidRPr="00023175">
        <w:rPr>
          <w:rFonts w:cs="Arial"/>
        </w:rPr>
        <w:t xml:space="preserve"> above the "</w:t>
      </w:r>
      <w:r w:rsidRPr="00023175">
        <w:rPr>
          <w:rFonts w:cs="Arial"/>
          <w:b/>
        </w:rPr>
        <w:t>Meeting Attendance Criteria</w:t>
      </w:r>
      <w:r w:rsidRPr="00023175">
        <w:rPr>
          <w:rFonts w:cs="Arial"/>
        </w:rPr>
        <w:t>".</w:t>
      </w:r>
    </w:p>
    <w:p w:rsidRPr="00022931" w:rsidR="00D66759" w:rsidP="00D66759" w:rsidRDefault="00D66759" w14:paraId="1DF82F12" w14:textId="16A7A29C">
      <w:pPr>
        <w:pStyle w:val="Heading2"/>
        <w:rPr>
          <w:b/>
        </w:rPr>
      </w:pPr>
      <w:bookmarkStart w:name="_Ref90299220" w:id="31"/>
      <w:r w:rsidRPr="00022931">
        <w:rPr>
          <w:b/>
        </w:rPr>
        <w:t xml:space="preserve">Failure against </w:t>
      </w:r>
      <w:r w:rsidRPr="00022931" w:rsidR="00FD1343">
        <w:rPr>
          <w:b/>
        </w:rPr>
        <w:t>KPI 2</w:t>
      </w:r>
      <w:r w:rsidRPr="00022931">
        <w:rPr>
          <w:b/>
        </w:rPr>
        <w:t xml:space="preserve"> and NPPs</w:t>
      </w:r>
      <w:bookmarkEnd w:id="31"/>
    </w:p>
    <w:p w:rsidRPr="00022931" w:rsidR="00D66759" w:rsidP="00D66759" w:rsidRDefault="00D66759" w14:paraId="55329A6F" w14:textId="1EF31BC8">
      <w:pPr>
        <w:pStyle w:val="Heading3"/>
        <w:rPr>
          <w:szCs w:val="20"/>
        </w:rPr>
      </w:pPr>
      <w:r w:rsidRPr="00022931">
        <w:rPr>
          <w:szCs w:val="20"/>
        </w:rPr>
        <w:t xml:space="preserve">A failure against </w:t>
      </w:r>
      <w:r w:rsidRPr="00022931" w:rsidR="00FD1343">
        <w:rPr>
          <w:szCs w:val="20"/>
        </w:rPr>
        <w:t>KPI 2</w:t>
      </w:r>
      <w:r w:rsidRPr="00022931">
        <w:rPr>
          <w:szCs w:val="20"/>
        </w:rPr>
        <w:t xml:space="preserve"> shall occur where the </w:t>
      </w:r>
      <w:r w:rsidRPr="00022931">
        <w:t>Contractor</w:t>
      </w:r>
      <w:r w:rsidRPr="00022931">
        <w:rPr>
          <w:szCs w:val="20"/>
        </w:rPr>
        <w:t xml:space="preserve">: </w:t>
      </w:r>
    </w:p>
    <w:p w:rsidRPr="00022931" w:rsidR="00D66759" w:rsidP="00D66759" w:rsidRDefault="00D66759" w14:paraId="115B6673" w14:textId="4B17521B">
      <w:pPr>
        <w:pStyle w:val="Heading5"/>
        <w:rPr>
          <w:rFonts w:cs="Arial"/>
          <w:szCs w:val="20"/>
        </w:rPr>
      </w:pPr>
      <w:r w:rsidRPr="00022931">
        <w:rPr>
          <w:rFonts w:cs="Arial"/>
          <w:szCs w:val="20"/>
        </w:rPr>
        <w:lastRenderedPageBreak/>
        <w:t xml:space="preserve">with respect to the Timing Element, fails to submit any Management Information by the date set out in </w:t>
      </w:r>
      <w:r w:rsidRPr="00022931" w:rsidR="003F3FF9">
        <w:rPr>
          <w:rFonts w:cs="Arial"/>
          <w:szCs w:val="20"/>
        </w:rPr>
        <w:t xml:space="preserve">Schedule </w:t>
      </w:r>
      <w:r w:rsidRPr="00022931" w:rsidR="00B818F5">
        <w:rPr>
          <w:rFonts w:cs="Arial"/>
          <w:szCs w:val="20"/>
        </w:rPr>
        <w:t xml:space="preserve">6 </w:t>
      </w:r>
      <w:r w:rsidRPr="00022931" w:rsidR="003F3FF9">
        <w:rPr>
          <w:rFonts w:cs="Arial"/>
          <w:szCs w:val="20"/>
        </w:rPr>
        <w:t>(</w:t>
      </w:r>
      <w:r w:rsidRPr="00022931" w:rsidR="00B818F5">
        <w:rPr>
          <w:rFonts w:cs="Arial"/>
          <w:i/>
          <w:szCs w:val="20"/>
        </w:rPr>
        <w:t>Governance and Management Information, Reports, Records and Audit</w:t>
      </w:r>
      <w:proofErr w:type="gramStart"/>
      <w:r w:rsidRPr="00022931" w:rsidR="003F3FF9">
        <w:rPr>
          <w:rFonts w:cs="Arial"/>
          <w:szCs w:val="20"/>
        </w:rPr>
        <w:t>)</w:t>
      </w:r>
      <w:r w:rsidRPr="00022931">
        <w:rPr>
          <w:rFonts w:cs="Arial"/>
          <w:szCs w:val="20"/>
        </w:rPr>
        <w:t>;</w:t>
      </w:r>
      <w:proofErr w:type="gramEnd"/>
    </w:p>
    <w:p w:rsidRPr="00AF24F8" w:rsidR="00D66759" w:rsidP="00D66759" w:rsidRDefault="00D66759" w14:paraId="7A76003F" w14:textId="63B2C67B">
      <w:pPr>
        <w:pStyle w:val="Heading5"/>
        <w:rPr>
          <w:rFonts w:cs="Arial"/>
        </w:rPr>
      </w:pPr>
      <w:r w:rsidRPr="00AF24F8">
        <w:rPr>
          <w:rFonts w:cs="Arial"/>
        </w:rPr>
        <w:t xml:space="preserve">with respect to the Quality Element, fails to submit any Management Information compliant with the quality requirements set out in </w:t>
      </w:r>
      <w:r w:rsidRPr="00022931" w:rsidR="003F3FF9">
        <w:rPr>
          <w:rFonts w:cs="Arial"/>
          <w:szCs w:val="20"/>
        </w:rPr>
        <w:t xml:space="preserve">Schedule </w:t>
      </w:r>
      <w:r w:rsidRPr="00022931" w:rsidR="00B818F5">
        <w:rPr>
          <w:rFonts w:cs="Arial"/>
          <w:szCs w:val="20"/>
        </w:rPr>
        <w:t xml:space="preserve">6 </w:t>
      </w:r>
      <w:r w:rsidRPr="00022931" w:rsidR="003F3FF9">
        <w:rPr>
          <w:rFonts w:cs="Arial"/>
          <w:szCs w:val="20"/>
        </w:rPr>
        <w:t>(</w:t>
      </w:r>
      <w:r w:rsidRPr="00022931" w:rsidR="00B818F5">
        <w:rPr>
          <w:rFonts w:cs="Arial"/>
          <w:i/>
          <w:szCs w:val="20"/>
        </w:rPr>
        <w:t>Governance and Management Information, Reports, Records and Audit</w:t>
      </w:r>
      <w:proofErr w:type="gramStart"/>
      <w:r w:rsidRPr="00022931" w:rsidR="003F3FF9">
        <w:rPr>
          <w:rFonts w:cs="Arial"/>
          <w:szCs w:val="20"/>
        </w:rPr>
        <w:t>)</w:t>
      </w:r>
      <w:r w:rsidRPr="00AF24F8">
        <w:rPr>
          <w:rFonts w:cs="Arial"/>
        </w:rPr>
        <w:t>;</w:t>
      </w:r>
      <w:proofErr w:type="gramEnd"/>
    </w:p>
    <w:p w:rsidRPr="00AF24F8" w:rsidR="00D66759" w:rsidP="00D66759" w:rsidRDefault="00D66759" w14:paraId="1BF4731D" w14:textId="77777777">
      <w:pPr>
        <w:pStyle w:val="Heading5"/>
        <w:rPr>
          <w:rFonts w:cs="Arial"/>
        </w:rPr>
      </w:pPr>
      <w:r w:rsidRPr="00AF24F8">
        <w:rPr>
          <w:rFonts w:cs="Arial"/>
        </w:rPr>
        <w:t xml:space="preserve">with </w:t>
      </w:r>
      <w:r w:rsidRPr="00022931">
        <w:rPr>
          <w:rFonts w:cs="Arial"/>
          <w:szCs w:val="20"/>
        </w:rPr>
        <w:t>respect</w:t>
      </w:r>
      <w:r w:rsidRPr="00AF24F8">
        <w:rPr>
          <w:rFonts w:cs="Arial"/>
        </w:rPr>
        <w:t xml:space="preserve"> to the Meeting Attendance Criteria, fails to:</w:t>
      </w:r>
    </w:p>
    <w:p w:rsidRPr="00AF24F8" w:rsidR="00D66759" w:rsidP="005D6A28" w:rsidRDefault="00D66759" w14:paraId="0BF0EDB0" w14:textId="00CF1A2E">
      <w:pPr>
        <w:pStyle w:val="Simple5"/>
        <w:numPr>
          <w:ilvl w:val="4"/>
          <w:numId w:val="9"/>
        </w:numPr>
        <w:rPr>
          <w:rFonts w:cs="Arial"/>
        </w:rPr>
      </w:pPr>
      <w:r w:rsidRPr="00023175">
        <w:rPr>
          <w:rFonts w:cs="Arial"/>
        </w:rPr>
        <w:t xml:space="preserve">attend any </w:t>
      </w:r>
      <w:r w:rsidR="00990064">
        <w:rPr>
          <w:rFonts w:cs="Arial"/>
        </w:rPr>
        <w:t>G</w:t>
      </w:r>
      <w:r w:rsidRPr="00023175" w:rsidR="00990064">
        <w:rPr>
          <w:rFonts w:cs="Arial"/>
        </w:rPr>
        <w:t xml:space="preserve">overnance </w:t>
      </w:r>
      <w:r w:rsidR="00990064">
        <w:rPr>
          <w:rFonts w:cs="Arial"/>
        </w:rPr>
        <w:t>M</w:t>
      </w:r>
      <w:r w:rsidRPr="00023175" w:rsidR="00990064">
        <w:rPr>
          <w:rFonts w:cs="Arial"/>
        </w:rPr>
        <w:t xml:space="preserve">eeting </w:t>
      </w:r>
      <w:r w:rsidRPr="00023175">
        <w:rPr>
          <w:rFonts w:cs="Arial"/>
        </w:rPr>
        <w:t>with the personnel of required seniority</w:t>
      </w:r>
      <w:r w:rsidR="00990064">
        <w:rPr>
          <w:rFonts w:cs="Arial"/>
        </w:rPr>
        <w:t xml:space="preserve"> (or personnel with delegated authority)</w:t>
      </w:r>
      <w:r w:rsidRPr="00023175">
        <w:rPr>
          <w:rFonts w:cs="Arial"/>
        </w:rPr>
        <w:t xml:space="preserve"> </w:t>
      </w:r>
      <w:r w:rsidRPr="00023175" w:rsidR="002F5DEE">
        <w:rPr>
          <w:rFonts w:cs="Arial"/>
        </w:rPr>
        <w:t>who are empowered to make decisions</w:t>
      </w:r>
      <w:r w:rsidR="00474C5A">
        <w:rPr>
          <w:rFonts w:cs="Arial"/>
        </w:rPr>
        <w:t xml:space="preserve"> </w:t>
      </w:r>
      <w:r w:rsidRPr="00023175" w:rsidR="002F5DEE">
        <w:rPr>
          <w:rFonts w:cs="Arial"/>
        </w:rPr>
        <w:t xml:space="preserve">as set out </w:t>
      </w:r>
      <w:r w:rsidRPr="00023175">
        <w:rPr>
          <w:rFonts w:cs="Arial"/>
        </w:rPr>
        <w:t xml:space="preserve">in </w:t>
      </w:r>
      <w:r w:rsidRPr="00022931" w:rsidR="003F3FF9">
        <w:rPr>
          <w:rFonts w:cs="Arial"/>
        </w:rPr>
        <w:t xml:space="preserve">Schedule </w:t>
      </w:r>
      <w:r w:rsidRPr="00022931" w:rsidR="00B818F5">
        <w:rPr>
          <w:rFonts w:cs="Arial"/>
        </w:rPr>
        <w:t xml:space="preserve">6 </w:t>
      </w:r>
      <w:r w:rsidRPr="00022931" w:rsidR="003F3FF9">
        <w:rPr>
          <w:rFonts w:cs="Arial"/>
        </w:rPr>
        <w:t>(</w:t>
      </w:r>
      <w:r w:rsidRPr="00022931" w:rsidR="00B818F5">
        <w:rPr>
          <w:rFonts w:cs="Arial"/>
          <w:i/>
        </w:rPr>
        <w:t>Governance and Management Information, Reports, Records and Audit</w:t>
      </w:r>
      <w:r w:rsidRPr="00022931" w:rsidR="003F3FF9">
        <w:rPr>
          <w:rFonts w:cs="Arial"/>
        </w:rPr>
        <w:t>)</w:t>
      </w:r>
      <w:r w:rsidRPr="00AF24F8">
        <w:rPr>
          <w:rFonts w:cs="Arial"/>
        </w:rPr>
        <w:t>;</w:t>
      </w:r>
      <w:r w:rsidRPr="00AF24F8" w:rsidR="00292D69">
        <w:rPr>
          <w:rFonts w:cs="Arial"/>
        </w:rPr>
        <w:t xml:space="preserve"> and</w:t>
      </w:r>
    </w:p>
    <w:p w:rsidRPr="00023175" w:rsidR="00D66759" w:rsidP="005D6A28" w:rsidRDefault="00D66759" w14:paraId="34DB3DB9" w14:textId="42F3D59F">
      <w:pPr>
        <w:pStyle w:val="Simple5"/>
        <w:numPr>
          <w:ilvl w:val="4"/>
          <w:numId w:val="9"/>
        </w:numPr>
        <w:rPr>
          <w:rFonts w:cs="Arial"/>
        </w:rPr>
      </w:pPr>
      <w:r w:rsidRPr="00023175">
        <w:rPr>
          <w:rFonts w:cs="Arial"/>
        </w:rPr>
        <w:t xml:space="preserve">provide any minutes of </w:t>
      </w:r>
      <w:r w:rsidR="00990064">
        <w:rPr>
          <w:rFonts w:cs="Arial"/>
        </w:rPr>
        <w:t>G</w:t>
      </w:r>
      <w:r w:rsidRPr="00023175" w:rsidR="00990064">
        <w:rPr>
          <w:rFonts w:cs="Arial"/>
        </w:rPr>
        <w:t xml:space="preserve">overnance </w:t>
      </w:r>
      <w:r w:rsidR="00990064">
        <w:rPr>
          <w:rFonts w:cs="Arial"/>
        </w:rPr>
        <w:t>M</w:t>
      </w:r>
      <w:r w:rsidRPr="00023175" w:rsidR="00990064">
        <w:rPr>
          <w:rFonts w:cs="Arial"/>
        </w:rPr>
        <w:t xml:space="preserve">eetings </w:t>
      </w:r>
      <w:r w:rsidR="00A65D02">
        <w:rPr>
          <w:rFonts w:cs="Arial"/>
        </w:rPr>
        <w:t xml:space="preserve">in accordance with the timelines </w:t>
      </w:r>
      <w:r w:rsidRPr="00023175" w:rsidR="00A65D02">
        <w:rPr>
          <w:rFonts w:cs="Arial"/>
        </w:rPr>
        <w:t xml:space="preserve">set out in </w:t>
      </w:r>
      <w:r w:rsidRPr="00022931" w:rsidR="00A65D02">
        <w:rPr>
          <w:rFonts w:cs="Arial"/>
        </w:rPr>
        <w:t>Schedule 6 (</w:t>
      </w:r>
      <w:r w:rsidRPr="00022931" w:rsidR="00A65D02">
        <w:rPr>
          <w:rFonts w:cs="Arial"/>
          <w:i/>
        </w:rPr>
        <w:t>Governance and Management Information, Reports, Records and Audit</w:t>
      </w:r>
      <w:r w:rsidRPr="00022931" w:rsidR="00A65D02">
        <w:rPr>
          <w:rFonts w:cs="Arial"/>
        </w:rPr>
        <w:t>)</w:t>
      </w:r>
      <w:r w:rsidRPr="00023175" w:rsidR="00292D69">
        <w:rPr>
          <w:rFonts w:cs="Arial"/>
        </w:rPr>
        <w:t>.</w:t>
      </w:r>
    </w:p>
    <w:p w:rsidRPr="00022931" w:rsidR="00D66759" w:rsidP="00D66759" w:rsidRDefault="00D66759" w14:paraId="5C543AD8" w14:textId="644269C0">
      <w:pPr>
        <w:pStyle w:val="Heading3"/>
      </w:pPr>
      <w:r w:rsidRPr="00022931">
        <w:t xml:space="preserve">Each failure referred to in </w:t>
      </w:r>
      <w:r w:rsidR="00531D48">
        <w:t>P</w:t>
      </w:r>
      <w:r w:rsidRPr="00022931">
        <w:t xml:space="preserve">aragraph (a) above shall count as a single failure and NPPs shall accrue from the relevant dates as set out </w:t>
      </w:r>
      <w:proofErr w:type="gramStart"/>
      <w:r w:rsidRPr="00022931">
        <w:t>below;</w:t>
      </w:r>
      <w:proofErr w:type="gramEnd"/>
    </w:p>
    <w:p w:rsidRPr="00AF24F8" w:rsidR="00D66759" w:rsidP="00D66759" w:rsidRDefault="00D66759" w14:paraId="26624883" w14:textId="7AF979CA">
      <w:pPr>
        <w:pStyle w:val="Heading5"/>
        <w:rPr>
          <w:rFonts w:cs="Arial"/>
        </w:rPr>
      </w:pPr>
      <w:r w:rsidRPr="00022931">
        <w:rPr>
          <w:rFonts w:cs="Arial"/>
          <w:szCs w:val="20"/>
        </w:rPr>
        <w:t>with</w:t>
      </w:r>
      <w:r w:rsidRPr="00AF24F8">
        <w:rPr>
          <w:rFonts w:cs="Arial"/>
        </w:rPr>
        <w:t xml:space="preserve"> respect to the Timing </w:t>
      </w:r>
      <w:proofErr w:type="gramStart"/>
      <w:r w:rsidRPr="00AF24F8">
        <w:rPr>
          <w:rFonts w:cs="Arial"/>
        </w:rPr>
        <w:t>Element;</w:t>
      </w:r>
      <w:proofErr w:type="gramEnd"/>
      <w:r w:rsidRPr="00AF24F8">
        <w:rPr>
          <w:rFonts w:cs="Arial"/>
        </w:rPr>
        <w:t xml:space="preserve"> </w:t>
      </w:r>
    </w:p>
    <w:p w:rsidRPr="00023175" w:rsidR="00D66759" w:rsidP="005D6A28" w:rsidRDefault="00D66759" w14:paraId="23848D7A" w14:textId="045DFC74">
      <w:pPr>
        <w:pStyle w:val="Simple5"/>
        <w:numPr>
          <w:ilvl w:val="4"/>
          <w:numId w:val="10"/>
        </w:numPr>
        <w:rPr>
          <w:rFonts w:cs="Arial"/>
        </w:rPr>
      </w:pPr>
      <w:r w:rsidRPr="00023175">
        <w:rPr>
          <w:rFonts w:cs="Arial"/>
        </w:rPr>
        <w:t>50 NPPs if the relevant Management Information is</w:t>
      </w:r>
      <w:r w:rsidRPr="00023175" w:rsidR="00187A96">
        <w:rPr>
          <w:rFonts w:cs="Arial"/>
        </w:rPr>
        <w:t xml:space="preserve"> one</w:t>
      </w:r>
      <w:r w:rsidRPr="00023175">
        <w:rPr>
          <w:rFonts w:cs="Arial"/>
        </w:rPr>
        <w:t xml:space="preserve"> </w:t>
      </w:r>
      <w:r w:rsidRPr="00023175" w:rsidR="00187A96">
        <w:rPr>
          <w:rFonts w:cs="Arial"/>
        </w:rPr>
        <w:t>(</w:t>
      </w:r>
      <w:r w:rsidRPr="00023175">
        <w:rPr>
          <w:rFonts w:cs="Arial"/>
        </w:rPr>
        <w:t>1</w:t>
      </w:r>
      <w:r w:rsidRPr="00023175" w:rsidR="00187A96">
        <w:rPr>
          <w:rFonts w:cs="Arial"/>
        </w:rPr>
        <w:t>)</w:t>
      </w:r>
      <w:r w:rsidRPr="00023175">
        <w:rPr>
          <w:rFonts w:cs="Arial"/>
        </w:rPr>
        <w:t xml:space="preserve"> or </w:t>
      </w:r>
      <w:r w:rsidRPr="00023175" w:rsidR="00187A96">
        <w:rPr>
          <w:rFonts w:cs="Arial"/>
        </w:rPr>
        <w:t>two (</w:t>
      </w:r>
      <w:r w:rsidRPr="00023175">
        <w:rPr>
          <w:rFonts w:cs="Arial"/>
        </w:rPr>
        <w:t>2</w:t>
      </w:r>
      <w:r w:rsidR="00A52CA8">
        <w:rPr>
          <w:rFonts w:cs="Arial"/>
        </w:rPr>
        <w:t>)</w:t>
      </w:r>
      <w:r w:rsidRPr="00023175">
        <w:rPr>
          <w:rFonts w:cs="Arial"/>
        </w:rPr>
        <w:t xml:space="preserve"> days late as against the date set out in </w:t>
      </w:r>
      <w:r w:rsidRPr="00023175" w:rsidR="003F3FF9">
        <w:rPr>
          <w:rFonts w:cs="Arial"/>
        </w:rPr>
        <w:t xml:space="preserve">Schedule </w:t>
      </w:r>
      <w:r w:rsidRPr="00023175" w:rsidR="00B818F5">
        <w:rPr>
          <w:rFonts w:cs="Arial"/>
        </w:rPr>
        <w:t xml:space="preserve">6 </w:t>
      </w:r>
      <w:r w:rsidRPr="00023175" w:rsidR="003F3FF9">
        <w:rPr>
          <w:rFonts w:cs="Arial"/>
        </w:rPr>
        <w:t>(</w:t>
      </w:r>
      <w:r w:rsidRPr="00023175" w:rsidR="00B818F5">
        <w:rPr>
          <w:rFonts w:cs="Arial"/>
          <w:i/>
        </w:rPr>
        <w:t>Governance and Management Information, Reports, Records and Audit</w:t>
      </w:r>
      <w:proofErr w:type="gramStart"/>
      <w:r w:rsidRPr="00023175" w:rsidR="003F3FF9">
        <w:rPr>
          <w:rFonts w:cs="Arial"/>
        </w:rPr>
        <w:t>)</w:t>
      </w:r>
      <w:r w:rsidRPr="00023175">
        <w:rPr>
          <w:rFonts w:cs="Arial"/>
        </w:rPr>
        <w:t>;</w:t>
      </w:r>
      <w:proofErr w:type="gramEnd"/>
    </w:p>
    <w:p w:rsidRPr="00023175" w:rsidR="00D66759" w:rsidP="005D6A28" w:rsidRDefault="00D66759" w14:paraId="2F344A87" w14:textId="339D56C4">
      <w:pPr>
        <w:pStyle w:val="Simple5"/>
        <w:numPr>
          <w:ilvl w:val="4"/>
          <w:numId w:val="9"/>
        </w:numPr>
        <w:rPr>
          <w:rFonts w:cs="Arial"/>
        </w:rPr>
      </w:pPr>
      <w:r w:rsidRPr="00023175">
        <w:rPr>
          <w:rFonts w:cs="Arial"/>
        </w:rPr>
        <w:t xml:space="preserve">80 NPPs if the relevant Management Information is </w:t>
      </w:r>
      <w:r w:rsidRPr="00023175" w:rsidR="00187A96">
        <w:rPr>
          <w:rFonts w:cs="Arial"/>
        </w:rPr>
        <w:t>three (</w:t>
      </w:r>
      <w:r w:rsidRPr="00023175">
        <w:rPr>
          <w:rFonts w:cs="Arial"/>
        </w:rPr>
        <w:t>3</w:t>
      </w:r>
      <w:r w:rsidRPr="00023175" w:rsidR="00187A96">
        <w:rPr>
          <w:rFonts w:cs="Arial"/>
        </w:rPr>
        <w:t>)</w:t>
      </w:r>
      <w:r w:rsidRPr="00023175">
        <w:rPr>
          <w:rFonts w:cs="Arial"/>
        </w:rPr>
        <w:t xml:space="preserve"> or</w:t>
      </w:r>
      <w:r w:rsidRPr="00023175" w:rsidR="00187A96">
        <w:rPr>
          <w:rFonts w:cs="Arial"/>
        </w:rPr>
        <w:t xml:space="preserve"> four</w:t>
      </w:r>
      <w:r w:rsidRPr="00023175">
        <w:rPr>
          <w:rFonts w:cs="Arial"/>
        </w:rPr>
        <w:t xml:space="preserve"> </w:t>
      </w:r>
      <w:r w:rsidRPr="00023175" w:rsidR="00187A96">
        <w:rPr>
          <w:rFonts w:cs="Arial"/>
        </w:rPr>
        <w:t>(</w:t>
      </w:r>
      <w:r w:rsidRPr="00023175">
        <w:rPr>
          <w:rFonts w:cs="Arial"/>
        </w:rPr>
        <w:t>4</w:t>
      </w:r>
      <w:r w:rsidRPr="00023175" w:rsidR="00187A96">
        <w:rPr>
          <w:rFonts w:cs="Arial"/>
        </w:rPr>
        <w:t>)</w:t>
      </w:r>
      <w:r w:rsidRPr="00023175">
        <w:rPr>
          <w:rFonts w:cs="Arial"/>
        </w:rPr>
        <w:t xml:space="preserve"> days late as against the date set out in </w:t>
      </w:r>
      <w:r w:rsidRPr="00023175" w:rsidR="003F3FF9">
        <w:rPr>
          <w:rFonts w:cs="Arial"/>
        </w:rPr>
        <w:t xml:space="preserve">Schedule </w:t>
      </w:r>
      <w:r w:rsidRPr="00023175" w:rsidR="00B818F5">
        <w:rPr>
          <w:rFonts w:cs="Arial"/>
        </w:rPr>
        <w:t xml:space="preserve">6 </w:t>
      </w:r>
      <w:r w:rsidRPr="00023175" w:rsidR="003F3FF9">
        <w:rPr>
          <w:rFonts w:cs="Arial"/>
        </w:rPr>
        <w:t>(</w:t>
      </w:r>
      <w:r w:rsidRPr="00023175" w:rsidR="00B818F5">
        <w:rPr>
          <w:rFonts w:cs="Arial"/>
          <w:i/>
        </w:rPr>
        <w:t>Governance and Management Information, Reports, Records and Audit</w:t>
      </w:r>
      <w:r w:rsidRPr="00023175" w:rsidR="003F3FF9">
        <w:rPr>
          <w:rFonts w:cs="Arial"/>
        </w:rPr>
        <w:t>)</w:t>
      </w:r>
      <w:r w:rsidRPr="00023175">
        <w:rPr>
          <w:rFonts w:cs="Arial"/>
        </w:rPr>
        <w:t>; and</w:t>
      </w:r>
    </w:p>
    <w:p w:rsidRPr="00023175" w:rsidR="00D66759" w:rsidP="005D6A28" w:rsidRDefault="00D66759" w14:paraId="041BE248" w14:textId="2D754253">
      <w:pPr>
        <w:pStyle w:val="Simple5"/>
        <w:numPr>
          <w:ilvl w:val="4"/>
          <w:numId w:val="9"/>
        </w:numPr>
        <w:rPr>
          <w:rFonts w:cs="Arial"/>
        </w:rPr>
      </w:pPr>
      <w:r w:rsidRPr="00023175">
        <w:rPr>
          <w:rFonts w:cs="Arial"/>
        </w:rPr>
        <w:t>120 NPPs if the relevant Management Information is more than</w:t>
      </w:r>
      <w:r w:rsidRPr="00023175" w:rsidR="00187A96">
        <w:rPr>
          <w:rFonts w:cs="Arial"/>
        </w:rPr>
        <w:t xml:space="preserve"> five</w:t>
      </w:r>
      <w:r w:rsidRPr="00023175">
        <w:rPr>
          <w:rFonts w:cs="Arial"/>
        </w:rPr>
        <w:t xml:space="preserve"> </w:t>
      </w:r>
      <w:r w:rsidRPr="00023175" w:rsidR="00187A96">
        <w:rPr>
          <w:rFonts w:cs="Arial"/>
        </w:rPr>
        <w:t>(</w:t>
      </w:r>
      <w:r w:rsidRPr="00023175">
        <w:rPr>
          <w:rFonts w:cs="Arial"/>
        </w:rPr>
        <w:t>5</w:t>
      </w:r>
      <w:r w:rsidRPr="00023175" w:rsidR="00187A96">
        <w:rPr>
          <w:rFonts w:cs="Arial"/>
        </w:rPr>
        <w:t>)</w:t>
      </w:r>
      <w:r w:rsidR="00A52CA8">
        <w:rPr>
          <w:rFonts w:cs="Arial"/>
        </w:rPr>
        <w:t xml:space="preserve"> </w:t>
      </w:r>
      <w:r w:rsidRPr="00023175">
        <w:rPr>
          <w:rFonts w:cs="Arial"/>
        </w:rPr>
        <w:t xml:space="preserve">days late as against the date set out in </w:t>
      </w:r>
      <w:r w:rsidRPr="00023175" w:rsidR="003F3FF9">
        <w:rPr>
          <w:rFonts w:cs="Arial"/>
        </w:rPr>
        <w:t xml:space="preserve">Schedule </w:t>
      </w:r>
      <w:r w:rsidRPr="00023175" w:rsidR="00B818F5">
        <w:rPr>
          <w:rFonts w:cs="Arial"/>
        </w:rPr>
        <w:t xml:space="preserve">6 </w:t>
      </w:r>
      <w:r w:rsidRPr="00023175" w:rsidR="003F3FF9">
        <w:rPr>
          <w:rFonts w:cs="Arial"/>
        </w:rPr>
        <w:t>(</w:t>
      </w:r>
      <w:r w:rsidRPr="00023175" w:rsidR="00B818F5">
        <w:rPr>
          <w:rFonts w:cs="Arial"/>
          <w:i/>
        </w:rPr>
        <w:t>Governance and Management Information, Reports, Records and Audit</w:t>
      </w:r>
      <w:r w:rsidRPr="00023175" w:rsidR="003F3FF9">
        <w:rPr>
          <w:rFonts w:cs="Arial"/>
        </w:rPr>
        <w:t>)</w:t>
      </w:r>
      <w:r w:rsidRPr="00023175">
        <w:rPr>
          <w:rFonts w:cs="Arial"/>
        </w:rPr>
        <w:t xml:space="preserve">, with the NPPs accruing on each day after day </w:t>
      </w:r>
      <w:r w:rsidRPr="00023175" w:rsidR="00187A96">
        <w:rPr>
          <w:rFonts w:cs="Arial"/>
        </w:rPr>
        <w:t>five</w:t>
      </w:r>
      <w:r w:rsidR="00A52CA8">
        <w:rPr>
          <w:rFonts w:cs="Arial"/>
        </w:rPr>
        <w:t xml:space="preserve"> </w:t>
      </w:r>
      <w:r w:rsidRPr="00023175" w:rsidR="00187A96">
        <w:rPr>
          <w:rFonts w:cs="Arial"/>
        </w:rPr>
        <w:t>(</w:t>
      </w:r>
      <w:r w:rsidRPr="00023175">
        <w:rPr>
          <w:rFonts w:cs="Arial"/>
        </w:rPr>
        <w:t>5</w:t>
      </w:r>
      <w:r w:rsidRPr="00023175" w:rsidR="00187A96">
        <w:rPr>
          <w:rFonts w:cs="Arial"/>
        </w:rPr>
        <w:t>)</w:t>
      </w:r>
      <w:r w:rsidRPr="00023175">
        <w:rPr>
          <w:rFonts w:cs="Arial"/>
        </w:rPr>
        <w:t xml:space="preserve"> on which the Management Information is </w:t>
      </w:r>
      <w:proofErr w:type="gramStart"/>
      <w:r w:rsidRPr="00023175">
        <w:rPr>
          <w:rFonts w:cs="Arial"/>
        </w:rPr>
        <w:t>late;</w:t>
      </w:r>
      <w:proofErr w:type="gramEnd"/>
    </w:p>
    <w:p w:rsidRPr="00023175" w:rsidR="00D66759" w:rsidP="00D66759" w:rsidRDefault="00D66759" w14:paraId="3CC49157" w14:textId="0F5D7700">
      <w:pPr>
        <w:pStyle w:val="Heading5"/>
        <w:rPr>
          <w:rFonts w:cs="Arial"/>
        </w:rPr>
      </w:pPr>
      <w:r w:rsidRPr="00023175">
        <w:rPr>
          <w:rFonts w:cs="Arial"/>
        </w:rPr>
        <w:t>with respect to the Quality Element:</w:t>
      </w:r>
    </w:p>
    <w:p w:rsidRPr="00023175" w:rsidR="00D66759" w:rsidP="005D6A28" w:rsidRDefault="00D66759" w14:paraId="5C087E63" w14:textId="76282351">
      <w:pPr>
        <w:pStyle w:val="Simple5"/>
        <w:numPr>
          <w:ilvl w:val="4"/>
          <w:numId w:val="11"/>
        </w:numPr>
        <w:rPr>
          <w:rFonts w:cs="Arial"/>
        </w:rPr>
      </w:pPr>
      <w:r w:rsidRPr="00023175">
        <w:rPr>
          <w:rFonts w:cs="Arial"/>
        </w:rPr>
        <w:t xml:space="preserve">50 NPPs if the relevant Management Information is not of satisfactory quality for </w:t>
      </w:r>
      <w:r w:rsidRPr="00023175" w:rsidR="00187A96">
        <w:rPr>
          <w:rFonts w:cs="Arial"/>
        </w:rPr>
        <w:t>one (</w:t>
      </w:r>
      <w:r w:rsidRPr="00023175">
        <w:rPr>
          <w:rFonts w:cs="Arial"/>
        </w:rPr>
        <w:t>1</w:t>
      </w:r>
      <w:r w:rsidRPr="00023175" w:rsidR="00187A96">
        <w:rPr>
          <w:rFonts w:cs="Arial"/>
        </w:rPr>
        <w:t>)</w:t>
      </w:r>
      <w:r w:rsidRPr="00023175" w:rsidR="005D4F0C">
        <w:rPr>
          <w:rFonts w:cs="Arial"/>
        </w:rPr>
        <w:t xml:space="preserve"> </w:t>
      </w:r>
      <w:r w:rsidRPr="00023175">
        <w:rPr>
          <w:rFonts w:cs="Arial"/>
        </w:rPr>
        <w:t xml:space="preserve">or </w:t>
      </w:r>
      <w:r w:rsidRPr="00023175" w:rsidR="00187A96">
        <w:rPr>
          <w:rFonts w:cs="Arial"/>
        </w:rPr>
        <w:t>two (</w:t>
      </w:r>
      <w:r w:rsidRPr="00023175">
        <w:rPr>
          <w:rFonts w:cs="Arial"/>
        </w:rPr>
        <w:t>2</w:t>
      </w:r>
      <w:r w:rsidRPr="00023175" w:rsidR="00187A96">
        <w:rPr>
          <w:rFonts w:cs="Arial"/>
        </w:rPr>
        <w:t>)</w:t>
      </w:r>
      <w:r w:rsidRPr="00023175">
        <w:rPr>
          <w:rFonts w:cs="Arial"/>
        </w:rPr>
        <w:t xml:space="preserve"> days after the required date for submission of the </w:t>
      </w:r>
      <w:r w:rsidRPr="00023175" w:rsidR="00A73915">
        <w:rPr>
          <w:rFonts w:cs="Arial"/>
        </w:rPr>
        <w:t xml:space="preserve">Management Information </w:t>
      </w:r>
      <w:r w:rsidRPr="00023175">
        <w:rPr>
          <w:rFonts w:cs="Arial"/>
        </w:rPr>
        <w:t xml:space="preserve">set out in </w:t>
      </w:r>
      <w:r w:rsidRPr="00023175" w:rsidR="003F3FF9">
        <w:rPr>
          <w:rFonts w:cs="Arial"/>
        </w:rPr>
        <w:t xml:space="preserve">Schedule </w:t>
      </w:r>
      <w:r w:rsidRPr="00023175" w:rsidR="00B818F5">
        <w:rPr>
          <w:rFonts w:cs="Arial"/>
        </w:rPr>
        <w:t xml:space="preserve">6 </w:t>
      </w:r>
      <w:r w:rsidRPr="00023175" w:rsidR="003F3FF9">
        <w:rPr>
          <w:rFonts w:cs="Arial"/>
        </w:rPr>
        <w:t>(</w:t>
      </w:r>
      <w:r w:rsidRPr="00023175" w:rsidR="00B818F5">
        <w:rPr>
          <w:rFonts w:cs="Arial"/>
          <w:i/>
        </w:rPr>
        <w:t>Governance and Management Information, Reports, Records and Audit</w:t>
      </w:r>
      <w:r w:rsidRPr="00023175" w:rsidR="003F3FF9">
        <w:rPr>
          <w:rFonts w:cs="Arial"/>
        </w:rPr>
        <w:t>)</w:t>
      </w:r>
      <w:r w:rsidRPr="00023175">
        <w:rPr>
          <w:rFonts w:cs="Arial"/>
        </w:rPr>
        <w:t xml:space="preserve">, until it complies with the requirements of the Quality </w:t>
      </w:r>
      <w:proofErr w:type="gramStart"/>
      <w:r w:rsidRPr="00023175">
        <w:rPr>
          <w:rFonts w:cs="Arial"/>
        </w:rPr>
        <w:t>Element;</w:t>
      </w:r>
      <w:proofErr w:type="gramEnd"/>
    </w:p>
    <w:p w:rsidRPr="00023175" w:rsidR="00D66759" w:rsidP="005D6A28" w:rsidRDefault="00D66759" w14:paraId="4CE57641" w14:textId="21D065FF">
      <w:pPr>
        <w:pStyle w:val="Simple5"/>
        <w:numPr>
          <w:ilvl w:val="4"/>
          <w:numId w:val="9"/>
        </w:numPr>
        <w:rPr>
          <w:rFonts w:cs="Arial"/>
        </w:rPr>
      </w:pPr>
      <w:r w:rsidRPr="00023175">
        <w:rPr>
          <w:rFonts w:cs="Arial"/>
        </w:rPr>
        <w:t xml:space="preserve">80 NPPs if the relevant Management Information is not of satisfactory quality for </w:t>
      </w:r>
      <w:r w:rsidRPr="00023175" w:rsidR="00187A96">
        <w:rPr>
          <w:rFonts w:cs="Arial"/>
        </w:rPr>
        <w:t>three (</w:t>
      </w:r>
      <w:r w:rsidRPr="00023175">
        <w:rPr>
          <w:rFonts w:cs="Arial"/>
        </w:rPr>
        <w:t>3</w:t>
      </w:r>
      <w:r w:rsidRPr="00023175" w:rsidR="00187A96">
        <w:rPr>
          <w:rFonts w:cs="Arial"/>
        </w:rPr>
        <w:t>)</w:t>
      </w:r>
      <w:r w:rsidRPr="00023175">
        <w:rPr>
          <w:rFonts w:cs="Arial"/>
        </w:rPr>
        <w:t xml:space="preserve"> or</w:t>
      </w:r>
      <w:r w:rsidRPr="00023175" w:rsidR="00187A96">
        <w:rPr>
          <w:rFonts w:cs="Arial"/>
        </w:rPr>
        <w:t xml:space="preserve"> four</w:t>
      </w:r>
      <w:r w:rsidRPr="00023175">
        <w:rPr>
          <w:rFonts w:cs="Arial"/>
        </w:rPr>
        <w:t xml:space="preserve"> </w:t>
      </w:r>
      <w:r w:rsidRPr="00023175" w:rsidR="00187A96">
        <w:rPr>
          <w:rFonts w:cs="Arial"/>
        </w:rPr>
        <w:t>(</w:t>
      </w:r>
      <w:r w:rsidRPr="00023175">
        <w:rPr>
          <w:rFonts w:cs="Arial"/>
        </w:rPr>
        <w:t>4</w:t>
      </w:r>
      <w:r w:rsidRPr="00023175" w:rsidR="00187A96">
        <w:rPr>
          <w:rFonts w:cs="Arial"/>
        </w:rPr>
        <w:t>)</w:t>
      </w:r>
      <w:r w:rsidRPr="00023175">
        <w:rPr>
          <w:rFonts w:cs="Arial"/>
        </w:rPr>
        <w:t xml:space="preserve"> days after the required date for </w:t>
      </w:r>
      <w:r w:rsidRPr="00023175">
        <w:rPr>
          <w:rFonts w:cs="Arial"/>
        </w:rPr>
        <w:lastRenderedPageBreak/>
        <w:t xml:space="preserve">submission of the </w:t>
      </w:r>
      <w:r w:rsidRPr="00023175" w:rsidR="00A73915">
        <w:rPr>
          <w:rFonts w:cs="Arial"/>
        </w:rPr>
        <w:t xml:space="preserve">Management Information </w:t>
      </w:r>
      <w:r w:rsidRPr="00023175">
        <w:rPr>
          <w:rFonts w:cs="Arial"/>
        </w:rPr>
        <w:t xml:space="preserve">set out in </w:t>
      </w:r>
      <w:r w:rsidRPr="00022931" w:rsidR="003F3FF9">
        <w:rPr>
          <w:rFonts w:cs="Arial"/>
        </w:rPr>
        <w:t xml:space="preserve">Schedule </w:t>
      </w:r>
      <w:r w:rsidRPr="00022931" w:rsidR="00B818F5">
        <w:rPr>
          <w:rFonts w:cs="Arial"/>
        </w:rPr>
        <w:t xml:space="preserve">6 </w:t>
      </w:r>
      <w:r w:rsidRPr="00022931" w:rsidR="003F3FF9">
        <w:rPr>
          <w:rFonts w:cs="Arial"/>
        </w:rPr>
        <w:t>(</w:t>
      </w:r>
      <w:r w:rsidRPr="00022931" w:rsidR="00B818F5">
        <w:rPr>
          <w:rFonts w:cs="Arial"/>
          <w:i/>
        </w:rPr>
        <w:t>Governance and Management Information, Reports, Records and Audit</w:t>
      </w:r>
      <w:r w:rsidRPr="00022931" w:rsidR="003F3FF9">
        <w:rPr>
          <w:rFonts w:cs="Arial"/>
        </w:rPr>
        <w:t>)</w:t>
      </w:r>
      <w:r w:rsidRPr="00AF24F8">
        <w:rPr>
          <w:rFonts w:cs="Arial"/>
        </w:rPr>
        <w:t xml:space="preserve"> until it complies with the requirements of the Quality Element; and</w:t>
      </w:r>
    </w:p>
    <w:p w:rsidRPr="00023175" w:rsidR="00D66759" w:rsidP="005D6A28" w:rsidRDefault="00D66759" w14:paraId="19F670BC" w14:textId="4EC9EA34">
      <w:pPr>
        <w:pStyle w:val="Simple5"/>
        <w:numPr>
          <w:ilvl w:val="4"/>
          <w:numId w:val="9"/>
        </w:numPr>
        <w:rPr>
          <w:rFonts w:cs="Arial"/>
        </w:rPr>
      </w:pPr>
      <w:r w:rsidRPr="00023175">
        <w:rPr>
          <w:rFonts w:cs="Arial"/>
        </w:rPr>
        <w:t xml:space="preserve">120 NPPs if the relevant Management Information is not of satisfactory quality for </w:t>
      </w:r>
      <w:r w:rsidRPr="00023175" w:rsidR="00187A96">
        <w:rPr>
          <w:rFonts w:cs="Arial"/>
        </w:rPr>
        <w:t>five (</w:t>
      </w:r>
      <w:r w:rsidRPr="00023175">
        <w:rPr>
          <w:rFonts w:cs="Arial"/>
        </w:rPr>
        <w:t>5</w:t>
      </w:r>
      <w:r w:rsidRPr="00023175" w:rsidR="00187A96">
        <w:rPr>
          <w:rFonts w:cs="Arial"/>
        </w:rPr>
        <w:t>)</w:t>
      </w:r>
      <w:r w:rsidRPr="00023175">
        <w:rPr>
          <w:rFonts w:cs="Arial"/>
        </w:rPr>
        <w:t xml:space="preserve"> or more days after the required date for submission of the </w:t>
      </w:r>
      <w:r w:rsidRPr="00023175" w:rsidR="00274ED6">
        <w:rPr>
          <w:rFonts w:cs="Arial"/>
        </w:rPr>
        <w:t xml:space="preserve">Management Information </w:t>
      </w:r>
      <w:r w:rsidRPr="00023175">
        <w:rPr>
          <w:rFonts w:cs="Arial"/>
        </w:rPr>
        <w:t xml:space="preserve">set out in </w:t>
      </w:r>
      <w:r w:rsidRPr="00023175" w:rsidR="003F3FF9">
        <w:rPr>
          <w:rFonts w:cs="Arial"/>
        </w:rPr>
        <w:t xml:space="preserve">Schedule </w:t>
      </w:r>
      <w:r w:rsidRPr="00023175" w:rsidR="00B818F5">
        <w:rPr>
          <w:rFonts w:cs="Arial"/>
        </w:rPr>
        <w:t xml:space="preserve">6 </w:t>
      </w:r>
      <w:r w:rsidRPr="00023175" w:rsidR="003F3FF9">
        <w:rPr>
          <w:rFonts w:cs="Arial"/>
        </w:rPr>
        <w:t>(</w:t>
      </w:r>
      <w:r w:rsidRPr="00023175" w:rsidR="00B818F5">
        <w:rPr>
          <w:rFonts w:cs="Arial"/>
          <w:i/>
        </w:rPr>
        <w:t>Governance and Management Information, Reports, Records and Audit</w:t>
      </w:r>
      <w:r w:rsidRPr="00023175" w:rsidR="003F3FF9">
        <w:rPr>
          <w:rFonts w:cs="Arial"/>
        </w:rPr>
        <w:t>)</w:t>
      </w:r>
      <w:r w:rsidRPr="00023175">
        <w:rPr>
          <w:rFonts w:cs="Arial"/>
        </w:rPr>
        <w:t>, with NPPs accruing for each day until it complies with the requirements of the Quality Element; and</w:t>
      </w:r>
    </w:p>
    <w:p w:rsidRPr="00023175" w:rsidR="00D66759" w:rsidP="00D66759" w:rsidRDefault="00D66759" w14:paraId="1E4F9CF6" w14:textId="77777777">
      <w:pPr>
        <w:pStyle w:val="Heading5"/>
        <w:rPr>
          <w:rFonts w:cs="Arial"/>
        </w:rPr>
      </w:pPr>
      <w:r w:rsidRPr="00023175">
        <w:rPr>
          <w:rFonts w:cs="Arial"/>
        </w:rPr>
        <w:t>with respect to the Meeting Attendance Criteria:</w:t>
      </w:r>
    </w:p>
    <w:p w:rsidRPr="00023175" w:rsidR="00D66759" w:rsidP="005D6A28" w:rsidRDefault="00D66759" w14:paraId="6F4559D6" w14:textId="1014CDE8">
      <w:pPr>
        <w:pStyle w:val="Simple5"/>
        <w:numPr>
          <w:ilvl w:val="4"/>
          <w:numId w:val="18"/>
        </w:numPr>
        <w:rPr>
          <w:rFonts w:cs="Arial"/>
        </w:rPr>
      </w:pPr>
      <w:r w:rsidRPr="00023175">
        <w:rPr>
          <w:rFonts w:cs="Arial"/>
        </w:rPr>
        <w:t xml:space="preserve">120 NPPs if Contractor personnel of the required seniority and expertise who are appropriately empowered to make decisions do not attend any governance </w:t>
      </w:r>
      <w:proofErr w:type="gramStart"/>
      <w:r w:rsidRPr="00023175">
        <w:rPr>
          <w:rFonts w:cs="Arial"/>
        </w:rPr>
        <w:t>meeting;</w:t>
      </w:r>
      <w:proofErr w:type="gramEnd"/>
    </w:p>
    <w:p w:rsidRPr="00023175" w:rsidR="00D66759" w:rsidP="005D6A28" w:rsidRDefault="00D66759" w14:paraId="22B6DE3B" w14:textId="1AEBE8CA">
      <w:pPr>
        <w:pStyle w:val="Simple5"/>
        <w:numPr>
          <w:ilvl w:val="4"/>
          <w:numId w:val="9"/>
        </w:numPr>
        <w:rPr>
          <w:rFonts w:cs="Arial"/>
        </w:rPr>
      </w:pPr>
      <w:r w:rsidRPr="00023175">
        <w:rPr>
          <w:rFonts w:cs="Arial"/>
        </w:rPr>
        <w:t>If the Contractor fails to provide minutes of governance meetings within five (5) of the meeting:</w:t>
      </w:r>
    </w:p>
    <w:p w:rsidRPr="00AF24F8" w:rsidR="00D66759" w:rsidP="00D66759" w:rsidRDefault="00D66759" w14:paraId="5C784A29" w14:textId="095342B1">
      <w:pPr>
        <w:pStyle w:val="Simple6"/>
        <w:rPr>
          <w:rFonts w:cs="Arial"/>
        </w:rPr>
      </w:pPr>
      <w:r w:rsidRPr="00023175">
        <w:rPr>
          <w:rFonts w:cs="Arial"/>
        </w:rPr>
        <w:t>50 NPPs if the meeting minutes are or</w:t>
      </w:r>
      <w:r w:rsidRPr="00023175" w:rsidR="00F65117">
        <w:rPr>
          <w:rFonts w:cs="Arial"/>
        </w:rPr>
        <w:t xml:space="preserve"> one (1) or two</w:t>
      </w:r>
      <w:r w:rsidRPr="00023175">
        <w:rPr>
          <w:rFonts w:cs="Arial"/>
        </w:rPr>
        <w:t xml:space="preserve"> </w:t>
      </w:r>
      <w:r w:rsidRPr="00023175" w:rsidR="00F65117">
        <w:rPr>
          <w:rFonts w:cs="Arial"/>
        </w:rPr>
        <w:t>(</w:t>
      </w:r>
      <w:r w:rsidRPr="00023175">
        <w:rPr>
          <w:rFonts w:cs="Arial"/>
        </w:rPr>
        <w:t>2</w:t>
      </w:r>
      <w:r w:rsidRPr="00023175" w:rsidR="00F65117">
        <w:rPr>
          <w:rFonts w:cs="Arial"/>
        </w:rPr>
        <w:t>)</w:t>
      </w:r>
      <w:r w:rsidRPr="00023175">
        <w:rPr>
          <w:rFonts w:cs="Arial"/>
        </w:rPr>
        <w:t xml:space="preserve"> days late as against the date set out in </w:t>
      </w:r>
      <w:r w:rsidRPr="00023175" w:rsidR="003F3FF9">
        <w:rPr>
          <w:rFonts w:cs="Arial"/>
        </w:rPr>
        <w:t>Sche</w:t>
      </w:r>
      <w:r w:rsidRPr="00022931" w:rsidR="003F3FF9">
        <w:rPr>
          <w:rFonts w:cs="Arial"/>
        </w:rPr>
        <w:t xml:space="preserve">dule </w:t>
      </w:r>
      <w:r w:rsidRPr="00022931" w:rsidR="00B818F5">
        <w:rPr>
          <w:rFonts w:cs="Arial"/>
        </w:rPr>
        <w:t xml:space="preserve">6 </w:t>
      </w:r>
      <w:r w:rsidRPr="00022931" w:rsidR="003F3FF9">
        <w:rPr>
          <w:rFonts w:cs="Arial"/>
        </w:rPr>
        <w:t>(</w:t>
      </w:r>
      <w:r w:rsidRPr="00022931" w:rsidR="00B818F5">
        <w:rPr>
          <w:rFonts w:cs="Arial"/>
          <w:i/>
        </w:rPr>
        <w:t>Governance and Management Information, Reports, Records and Audit</w:t>
      </w:r>
      <w:proofErr w:type="gramStart"/>
      <w:r w:rsidRPr="00022931" w:rsidR="003F3FF9">
        <w:rPr>
          <w:rFonts w:cs="Arial"/>
        </w:rPr>
        <w:t>)</w:t>
      </w:r>
      <w:r w:rsidRPr="00AF24F8">
        <w:rPr>
          <w:rFonts w:cs="Arial"/>
        </w:rPr>
        <w:t>;</w:t>
      </w:r>
      <w:proofErr w:type="gramEnd"/>
    </w:p>
    <w:p w:rsidRPr="00023175" w:rsidR="00D66759" w:rsidP="00D66759" w:rsidRDefault="00D66759" w14:paraId="0DC1E0BD" w14:textId="52E22C00">
      <w:pPr>
        <w:pStyle w:val="Simple6"/>
        <w:rPr>
          <w:rFonts w:cs="Arial"/>
        </w:rPr>
      </w:pPr>
      <w:r w:rsidRPr="00023175">
        <w:rPr>
          <w:rFonts w:cs="Arial"/>
        </w:rPr>
        <w:t>80 NPPs if the meeting minutes are</w:t>
      </w:r>
      <w:r w:rsidRPr="00023175" w:rsidR="00F65117">
        <w:rPr>
          <w:rFonts w:cs="Arial"/>
        </w:rPr>
        <w:t xml:space="preserve"> three</w:t>
      </w:r>
      <w:r w:rsidRPr="00023175">
        <w:rPr>
          <w:rFonts w:cs="Arial"/>
        </w:rPr>
        <w:t xml:space="preserve"> </w:t>
      </w:r>
      <w:r w:rsidRPr="00023175" w:rsidR="00F65117">
        <w:rPr>
          <w:rFonts w:cs="Arial"/>
        </w:rPr>
        <w:t>(</w:t>
      </w:r>
      <w:r w:rsidRPr="00023175">
        <w:rPr>
          <w:rFonts w:cs="Arial"/>
        </w:rPr>
        <w:t>3</w:t>
      </w:r>
      <w:r w:rsidRPr="00023175" w:rsidR="00F65117">
        <w:rPr>
          <w:rFonts w:cs="Arial"/>
        </w:rPr>
        <w:t>)</w:t>
      </w:r>
      <w:r w:rsidRPr="00023175">
        <w:rPr>
          <w:rFonts w:cs="Arial"/>
        </w:rPr>
        <w:t xml:space="preserve"> or</w:t>
      </w:r>
      <w:r w:rsidRPr="00023175" w:rsidR="00F65117">
        <w:rPr>
          <w:rFonts w:cs="Arial"/>
        </w:rPr>
        <w:t xml:space="preserve"> four</w:t>
      </w:r>
      <w:r w:rsidRPr="00023175">
        <w:rPr>
          <w:rFonts w:cs="Arial"/>
        </w:rPr>
        <w:t xml:space="preserve"> </w:t>
      </w:r>
      <w:r w:rsidRPr="00023175" w:rsidR="00F65117">
        <w:rPr>
          <w:rFonts w:cs="Arial"/>
        </w:rPr>
        <w:t>(</w:t>
      </w:r>
      <w:r w:rsidRPr="00023175">
        <w:rPr>
          <w:rFonts w:cs="Arial"/>
        </w:rPr>
        <w:t>4</w:t>
      </w:r>
      <w:r w:rsidRPr="00023175" w:rsidR="00F65117">
        <w:rPr>
          <w:rFonts w:cs="Arial"/>
        </w:rPr>
        <w:t>)</w:t>
      </w:r>
      <w:r w:rsidRPr="00023175">
        <w:rPr>
          <w:rFonts w:cs="Arial"/>
        </w:rPr>
        <w:t xml:space="preserve"> days late as against the date set out in </w:t>
      </w:r>
      <w:r w:rsidRPr="00023175" w:rsidR="003F3FF9">
        <w:rPr>
          <w:rFonts w:cs="Arial"/>
        </w:rPr>
        <w:t>Schedule</w:t>
      </w:r>
      <w:r w:rsidRPr="00023175" w:rsidR="00B818F5">
        <w:rPr>
          <w:rFonts w:cs="Arial"/>
        </w:rPr>
        <w:t>6</w:t>
      </w:r>
      <w:r w:rsidRPr="00023175" w:rsidR="003F3FF9">
        <w:rPr>
          <w:rFonts w:cs="Arial"/>
        </w:rPr>
        <w:t xml:space="preserve"> (</w:t>
      </w:r>
      <w:r w:rsidRPr="00023175" w:rsidR="00B818F5">
        <w:rPr>
          <w:rFonts w:cs="Arial"/>
          <w:i/>
        </w:rPr>
        <w:t>Governance and Management Information, Reports, Records and Audit</w:t>
      </w:r>
      <w:r w:rsidRPr="00023175" w:rsidR="003F3FF9">
        <w:rPr>
          <w:rFonts w:cs="Arial"/>
        </w:rPr>
        <w:t>)</w:t>
      </w:r>
      <w:r w:rsidRPr="00023175">
        <w:rPr>
          <w:rFonts w:cs="Arial"/>
        </w:rPr>
        <w:t>; and</w:t>
      </w:r>
    </w:p>
    <w:p w:rsidRPr="00023175" w:rsidR="00D66759" w:rsidP="00D66759" w:rsidRDefault="00D66759" w14:paraId="61D75DF8" w14:textId="30EBF0FC">
      <w:pPr>
        <w:pStyle w:val="Simple6"/>
        <w:rPr>
          <w:rFonts w:cs="Arial"/>
        </w:rPr>
      </w:pPr>
      <w:r w:rsidRPr="00023175">
        <w:rPr>
          <w:rFonts w:cs="Arial"/>
        </w:rPr>
        <w:t xml:space="preserve">120 NPPs if the meeting minutes are </w:t>
      </w:r>
      <w:r w:rsidRPr="00023175" w:rsidR="00F65117">
        <w:rPr>
          <w:rFonts w:cs="Arial"/>
        </w:rPr>
        <w:t>five (</w:t>
      </w:r>
      <w:r w:rsidRPr="00023175">
        <w:rPr>
          <w:rFonts w:cs="Arial"/>
        </w:rPr>
        <w:t>5</w:t>
      </w:r>
      <w:r w:rsidRPr="00023175" w:rsidR="00F65117">
        <w:rPr>
          <w:rFonts w:cs="Arial"/>
        </w:rPr>
        <w:t>)</w:t>
      </w:r>
      <w:r w:rsidRPr="00023175">
        <w:rPr>
          <w:rFonts w:cs="Arial"/>
        </w:rPr>
        <w:t xml:space="preserve"> or more days late as against the date set out in </w:t>
      </w:r>
      <w:r w:rsidRPr="00023175" w:rsidR="003F3FF9">
        <w:rPr>
          <w:rFonts w:cs="Arial"/>
        </w:rPr>
        <w:t xml:space="preserve">Schedule </w:t>
      </w:r>
      <w:r w:rsidRPr="00023175" w:rsidR="00B818F5">
        <w:rPr>
          <w:rFonts w:cs="Arial"/>
        </w:rPr>
        <w:t xml:space="preserve">6 </w:t>
      </w:r>
      <w:r w:rsidRPr="00023175" w:rsidR="003F3FF9">
        <w:rPr>
          <w:rFonts w:cs="Arial"/>
        </w:rPr>
        <w:t>(</w:t>
      </w:r>
      <w:r w:rsidRPr="00023175" w:rsidR="00B818F5">
        <w:rPr>
          <w:rFonts w:cs="Arial"/>
          <w:i/>
        </w:rPr>
        <w:t>Governance and Management Information, Reports, Records and Audit</w:t>
      </w:r>
      <w:r w:rsidRPr="00023175" w:rsidR="003F3FF9">
        <w:rPr>
          <w:rFonts w:cs="Arial"/>
        </w:rPr>
        <w:t>)</w:t>
      </w:r>
      <w:r w:rsidRPr="00023175">
        <w:rPr>
          <w:rFonts w:cs="Arial"/>
        </w:rPr>
        <w:t>, with the NPPs accruing on each day after day</w:t>
      </w:r>
      <w:r w:rsidRPr="00023175" w:rsidR="00F65117">
        <w:rPr>
          <w:rFonts w:cs="Arial"/>
        </w:rPr>
        <w:t xml:space="preserve"> five</w:t>
      </w:r>
      <w:r w:rsidRPr="00023175">
        <w:rPr>
          <w:rFonts w:cs="Arial"/>
        </w:rPr>
        <w:t xml:space="preserve"> </w:t>
      </w:r>
      <w:r w:rsidRPr="00023175" w:rsidR="00F65117">
        <w:rPr>
          <w:rFonts w:cs="Arial"/>
        </w:rPr>
        <w:t>(</w:t>
      </w:r>
      <w:r w:rsidRPr="00023175">
        <w:rPr>
          <w:rFonts w:cs="Arial"/>
        </w:rPr>
        <w:t>5</w:t>
      </w:r>
      <w:r w:rsidRPr="00023175" w:rsidR="00F65117">
        <w:rPr>
          <w:rFonts w:cs="Arial"/>
        </w:rPr>
        <w:t>)</w:t>
      </w:r>
      <w:r w:rsidRPr="00023175">
        <w:rPr>
          <w:rFonts w:cs="Arial"/>
        </w:rPr>
        <w:t xml:space="preserve"> on whi</w:t>
      </w:r>
      <w:r w:rsidR="00F131B6">
        <w:rPr>
          <w:rFonts w:cs="Arial"/>
        </w:rPr>
        <w:t>ch the meeting minutes are late.</w:t>
      </w:r>
    </w:p>
    <w:p w:rsidRPr="00022931" w:rsidR="00224CA3" w:rsidP="006848DD" w:rsidRDefault="00224CA3" w14:paraId="12CA2346" w14:textId="4DD6314D">
      <w:pPr>
        <w:pStyle w:val="Heading2"/>
        <w:rPr>
          <w:b/>
        </w:rPr>
      </w:pPr>
      <w:r w:rsidRPr="00022931">
        <w:rPr>
          <w:b/>
          <w:bCs w:val="0"/>
          <w:iCs w:val="0"/>
          <w:szCs w:val="26"/>
        </w:rPr>
        <w:t xml:space="preserve">Failure </w:t>
      </w:r>
      <w:r w:rsidRPr="00022931" w:rsidR="00BA0367">
        <w:rPr>
          <w:b/>
          <w:bCs w:val="0"/>
          <w:iCs w:val="0"/>
          <w:szCs w:val="26"/>
        </w:rPr>
        <w:t>to respond to Change Notices</w:t>
      </w:r>
      <w:r w:rsidRPr="00022931">
        <w:rPr>
          <w:b/>
          <w:bCs w:val="0"/>
          <w:iCs w:val="0"/>
          <w:szCs w:val="26"/>
        </w:rPr>
        <w:t xml:space="preserve"> and </w:t>
      </w:r>
      <w:r w:rsidRPr="00022931" w:rsidR="00DA4336">
        <w:rPr>
          <w:b/>
          <w:bCs w:val="0"/>
          <w:iCs w:val="0"/>
          <w:szCs w:val="26"/>
        </w:rPr>
        <w:t xml:space="preserve">Deductions </w:t>
      </w:r>
    </w:p>
    <w:p w:rsidRPr="00022931" w:rsidR="00FB4695" w:rsidP="00FB4695" w:rsidRDefault="00FB4695" w14:paraId="68DAA10B" w14:textId="757693B8">
      <w:pPr>
        <w:pStyle w:val="Heading3"/>
      </w:pPr>
      <w:r w:rsidRPr="00022931">
        <w:t>If the Contractor fails to respond to an</w:t>
      </w:r>
      <w:r w:rsidRPr="00022931" w:rsidR="00274ED6">
        <w:t>y</w:t>
      </w:r>
      <w:r w:rsidRPr="00022931">
        <w:t xml:space="preserve"> </w:t>
      </w:r>
      <w:r w:rsidRPr="00022931" w:rsidR="00527EB6">
        <w:t>Change Notice</w:t>
      </w:r>
      <w:r w:rsidRPr="00022931">
        <w:t xml:space="preserve"> in accordance with the timescales </w:t>
      </w:r>
      <w:r w:rsidRPr="00022931" w:rsidR="00224CA3">
        <w:t xml:space="preserve">set out in </w:t>
      </w:r>
      <w:r w:rsidRPr="00022931" w:rsidR="00527EB6">
        <w:t>Clause 28 (</w:t>
      </w:r>
      <w:r w:rsidRPr="00022931" w:rsidR="00527EB6">
        <w:rPr>
          <w:i/>
        </w:rPr>
        <w:t>Change</w:t>
      </w:r>
      <w:r w:rsidRPr="00022931" w:rsidR="00527EB6">
        <w:t>) and Schedule 19 (</w:t>
      </w:r>
      <w:r w:rsidRPr="00022931" w:rsidR="00527EB6">
        <w:rPr>
          <w:i/>
        </w:rPr>
        <w:t>Change Control Procedure</w:t>
      </w:r>
      <w:r w:rsidRPr="00022931" w:rsidR="00527EB6">
        <w:t>)</w:t>
      </w:r>
      <w:r w:rsidRPr="00022931" w:rsidR="00224CA3">
        <w:t xml:space="preserve"> of the Contract</w:t>
      </w:r>
      <w:r w:rsidRPr="00022931">
        <w:t>, this shall constitute a failure against the Timing Element</w:t>
      </w:r>
      <w:r w:rsidRPr="00022931" w:rsidR="007A1414">
        <w:t xml:space="preserve"> of</w:t>
      </w:r>
      <w:r w:rsidRPr="00022931">
        <w:t xml:space="preserve"> </w:t>
      </w:r>
      <w:r w:rsidRPr="00022931" w:rsidR="00224CA3">
        <w:t xml:space="preserve">KPI </w:t>
      </w:r>
      <w:r w:rsidRPr="00022931" w:rsidR="007A1414">
        <w:t>2</w:t>
      </w:r>
      <w:r w:rsidRPr="00022931">
        <w:t xml:space="preserve"> and NPPs shall accrue for such failure in the same manner</w:t>
      </w:r>
      <w:r w:rsidRPr="00022931" w:rsidR="007A1414">
        <w:t>.</w:t>
      </w:r>
    </w:p>
    <w:p w:rsidRPr="00022931" w:rsidR="00DA4336" w:rsidP="00DA4336" w:rsidRDefault="00DA4336" w14:paraId="3C9629D4" w14:textId="77777777">
      <w:pPr>
        <w:pStyle w:val="Heading1"/>
      </w:pPr>
      <w:bookmarkStart w:name="_Ref89468199" w:id="32"/>
      <w:r w:rsidRPr="00022931">
        <w:t>Non-Performance Points and Service Credits – KPI 1 and KPI 2</w:t>
      </w:r>
      <w:bookmarkEnd w:id="32"/>
    </w:p>
    <w:p w:rsidRPr="00022931" w:rsidR="00DA4336" w:rsidP="00DA4336" w:rsidRDefault="00DA4336" w14:paraId="67CF71CB" w14:textId="77777777">
      <w:pPr>
        <w:pStyle w:val="Heading2"/>
      </w:pPr>
      <w:bookmarkStart w:name="_Ref89421598" w:id="33"/>
      <w:r w:rsidRPr="00022931">
        <w:rPr>
          <w:b/>
        </w:rPr>
        <w:t>NPPs Accrual</w:t>
      </w:r>
      <w:bookmarkEnd w:id="33"/>
    </w:p>
    <w:p w:rsidRPr="00022931" w:rsidR="00DA4336" w:rsidP="00DA4336" w:rsidRDefault="00DA4336" w14:paraId="1C4D7967" w14:textId="764CBF84">
      <w:pPr>
        <w:pStyle w:val="Heading3"/>
      </w:pPr>
      <w:bookmarkStart w:name="_Ref89421600" w:id="34"/>
      <w:r w:rsidRPr="00022931">
        <w:t xml:space="preserve">At the end of each </w:t>
      </w:r>
      <w:r w:rsidR="00474C5A">
        <w:t>Month</w:t>
      </w:r>
      <w:r w:rsidRPr="00022931">
        <w:t xml:space="preserve">, the </w:t>
      </w:r>
      <w:r w:rsidRPr="00022931" w:rsidR="003E332C">
        <w:t xml:space="preserve">Total </w:t>
      </w:r>
      <w:r w:rsidRPr="00022931">
        <w:t>NPPs accrued across KPI 1 and KPI 2 shall be calculated as follows:</w:t>
      </w:r>
      <w:bookmarkEnd w:id="34"/>
    </w:p>
    <w:tbl>
      <w:tblPr>
        <w:tblStyle w:val="TableGrid"/>
        <w:tblpPr w:leftFromText="180" w:rightFromText="180" w:vertAnchor="text" w:horzAnchor="margin" w:tblpY="-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6"/>
        <w:gridCol w:w="770"/>
        <w:gridCol w:w="1288"/>
        <w:gridCol w:w="4352"/>
      </w:tblGrid>
      <w:tr w:rsidRPr="00023175" w:rsidR="00AC1857" w:rsidTr="00A91A72" w14:paraId="5FE3F704" w14:textId="77777777">
        <w:tc>
          <w:tcPr>
            <w:tcW w:w="2835" w:type="dxa"/>
            <w:tcMar>
              <w:left w:w="0" w:type="dxa"/>
            </w:tcMar>
          </w:tcPr>
          <w:p w:rsidRPr="00023175" w:rsidR="00AC1857" w:rsidP="00A91A72" w:rsidRDefault="00AC1857" w14:paraId="5D711A08" w14:textId="77777777">
            <w:pPr>
              <w:pStyle w:val="BodyText"/>
              <w:tabs>
                <w:tab w:val="left" w:pos="3544"/>
              </w:tabs>
              <w:spacing w:after="0" w:line="240" w:lineRule="auto"/>
              <w:rPr>
                <w:rFonts w:cs="Arial"/>
                <w:sz w:val="16"/>
              </w:rPr>
            </w:pPr>
            <w:r w:rsidRPr="00023175">
              <w:rPr>
                <w:rFonts w:cs="Arial"/>
                <w:b/>
                <w:sz w:val="16"/>
              </w:rPr>
              <w:lastRenderedPageBreak/>
              <w:t xml:space="preserve">Total Non-Performance Points </w:t>
            </w:r>
            <w:r w:rsidRPr="00023175">
              <w:rPr>
                <w:rFonts w:cs="Arial"/>
                <w:sz w:val="16"/>
              </w:rPr>
              <w:t>for</w:t>
            </w:r>
          </w:p>
          <w:p w:rsidRPr="00023175" w:rsidR="00AC1857" w:rsidP="00990064" w:rsidRDefault="00474C5A" w14:paraId="57008D5B" w14:textId="5CF3D1AD">
            <w:pPr>
              <w:pStyle w:val="BodyText"/>
              <w:tabs>
                <w:tab w:val="left" w:pos="3544"/>
              </w:tabs>
              <w:spacing w:after="0" w:line="240" w:lineRule="auto"/>
              <w:rPr>
                <w:rFonts w:cs="Arial"/>
                <w:i/>
                <w:sz w:val="16"/>
              </w:rPr>
            </w:pPr>
            <w:r w:rsidRPr="00AD72DA">
              <w:rPr>
                <w:rFonts w:cs="Arial"/>
                <w:b/>
              </w:rPr>
              <w:t>Month</w:t>
            </w:r>
            <w:r w:rsidRPr="00023175" w:rsidDel="002B2E6D" w:rsidR="002B2E6D">
              <w:rPr>
                <w:rFonts w:cs="Arial"/>
                <w:b/>
                <w:i/>
                <w:sz w:val="12"/>
              </w:rPr>
              <w:t xml:space="preserve"> </w:t>
            </w:r>
            <w:r w:rsidRPr="00730093" w:rsidR="00990064">
              <w:rPr>
                <w:rFonts w:cs="Arial"/>
                <w:b/>
                <w:sz w:val="16"/>
              </w:rPr>
              <w:t>M</w:t>
            </w:r>
          </w:p>
        </w:tc>
        <w:tc>
          <w:tcPr>
            <w:tcW w:w="852" w:type="dxa"/>
            <w:tcMar>
              <w:left w:w="0" w:type="dxa"/>
            </w:tcMar>
          </w:tcPr>
          <w:p w:rsidRPr="00023175" w:rsidR="00AC1857" w:rsidP="00A91A72" w:rsidRDefault="00AC1857" w14:paraId="4B3BBDD7" w14:textId="77777777">
            <w:pPr>
              <w:pStyle w:val="BodyText"/>
              <w:tabs>
                <w:tab w:val="left" w:pos="3544"/>
              </w:tabs>
              <w:spacing w:after="0" w:line="240" w:lineRule="auto"/>
              <w:rPr>
                <w:rFonts w:cs="Arial"/>
                <w:sz w:val="16"/>
              </w:rPr>
            </w:pPr>
            <w:r w:rsidRPr="00023175">
              <w:rPr>
                <w:rFonts w:cs="Arial"/>
                <w:sz w:val="16"/>
              </w:rPr>
              <w:t>=</w:t>
            </w:r>
          </w:p>
        </w:tc>
        <w:tc>
          <w:tcPr>
            <w:tcW w:w="1416" w:type="dxa"/>
            <w:tcMar>
              <w:left w:w="0" w:type="dxa"/>
            </w:tcMar>
          </w:tcPr>
          <w:p w:rsidRPr="00023175" w:rsidR="00AC1857" w:rsidP="00A91A72" w:rsidRDefault="00AC1857" w14:paraId="4DEEBC84" w14:textId="77777777">
            <w:pPr>
              <w:pStyle w:val="BodyText"/>
              <w:tabs>
                <w:tab w:val="left" w:pos="3544"/>
              </w:tabs>
              <w:spacing w:after="0" w:line="240" w:lineRule="auto"/>
              <w:rPr>
                <w:rFonts w:cs="Arial"/>
                <w:sz w:val="40"/>
                <w:szCs w:val="44"/>
              </w:rPr>
            </w:pPr>
            <w:r w:rsidRPr="00023175">
              <w:rPr>
                <w:rFonts w:cs="Arial"/>
                <w:sz w:val="40"/>
                <w:szCs w:val="44"/>
              </w:rPr>
              <w:t>∑</w:t>
            </w:r>
          </w:p>
        </w:tc>
        <w:tc>
          <w:tcPr>
            <w:tcW w:w="4820" w:type="dxa"/>
            <w:tcMar>
              <w:left w:w="0" w:type="dxa"/>
            </w:tcMar>
          </w:tcPr>
          <w:p w:rsidRPr="00023175" w:rsidR="00AC1857" w:rsidP="00A91A72" w:rsidRDefault="00AC1857" w14:paraId="5AC304DE" w14:textId="699B8472">
            <w:pPr>
              <w:pStyle w:val="BodyText"/>
              <w:tabs>
                <w:tab w:val="left" w:pos="3544"/>
              </w:tabs>
              <w:spacing w:after="0" w:line="240" w:lineRule="auto"/>
              <w:rPr>
                <w:rFonts w:cs="Arial"/>
                <w:sz w:val="16"/>
              </w:rPr>
            </w:pPr>
            <w:r w:rsidRPr="00023175">
              <w:rPr>
                <w:rFonts w:cs="Arial"/>
                <w:b/>
                <w:sz w:val="16"/>
              </w:rPr>
              <w:t xml:space="preserve">Non-Performance Points </w:t>
            </w:r>
            <w:r w:rsidRPr="00023175">
              <w:rPr>
                <w:rFonts w:cs="Arial"/>
                <w:sz w:val="16"/>
              </w:rPr>
              <w:t>in</w:t>
            </w:r>
            <w:r w:rsidRPr="00023175">
              <w:rPr>
                <w:rFonts w:cs="Arial"/>
                <w:b/>
                <w:sz w:val="16"/>
              </w:rPr>
              <w:t xml:space="preserve"> </w:t>
            </w:r>
            <w:proofErr w:type="gramStart"/>
            <w:r w:rsidRPr="00AD72DA" w:rsidR="00474C5A">
              <w:rPr>
                <w:rFonts w:cs="Arial"/>
                <w:b/>
              </w:rPr>
              <w:t>Month</w:t>
            </w:r>
            <w:r w:rsidRPr="00023175" w:rsidDel="002B2E6D" w:rsidR="00474C5A">
              <w:rPr>
                <w:rFonts w:cs="Arial"/>
                <w:b/>
                <w:i/>
                <w:sz w:val="16"/>
              </w:rPr>
              <w:t xml:space="preserve"> </w:t>
            </w:r>
            <w:r w:rsidRPr="00023175" w:rsidR="00474C5A">
              <w:rPr>
                <w:rFonts w:cs="Arial"/>
                <w:i/>
                <w:sz w:val="16"/>
              </w:rPr>
              <w:t xml:space="preserve"> </w:t>
            </w:r>
            <w:r w:rsidR="00990064">
              <w:rPr>
                <w:rFonts w:cs="Arial"/>
                <w:b/>
                <w:sz w:val="16"/>
              </w:rPr>
              <w:t>M</w:t>
            </w:r>
            <w:proofErr w:type="gramEnd"/>
            <w:r w:rsidRPr="00023175" w:rsidR="00990064">
              <w:rPr>
                <w:rFonts w:cs="Arial"/>
                <w:i/>
                <w:sz w:val="16"/>
              </w:rPr>
              <w:t xml:space="preserve">  </w:t>
            </w:r>
            <w:r w:rsidRPr="00023175">
              <w:rPr>
                <w:rFonts w:cs="Arial"/>
                <w:sz w:val="16"/>
              </w:rPr>
              <w:t xml:space="preserve">across: </w:t>
            </w:r>
          </w:p>
          <w:p w:rsidRPr="00023175" w:rsidR="00AC1857" w:rsidP="00A91A72" w:rsidRDefault="00AC1857" w14:paraId="069EAE97" w14:textId="4E12D697">
            <w:pPr>
              <w:pStyle w:val="BodyText"/>
              <w:tabs>
                <w:tab w:val="left" w:pos="3544"/>
              </w:tabs>
              <w:spacing w:after="0" w:line="240" w:lineRule="auto"/>
              <w:rPr>
                <w:rFonts w:cs="Arial"/>
                <w:sz w:val="16"/>
              </w:rPr>
            </w:pPr>
            <w:r w:rsidRPr="00023175">
              <w:rPr>
                <w:rFonts w:cs="Arial"/>
                <w:sz w:val="16"/>
              </w:rPr>
              <w:t>KPI</w:t>
            </w:r>
            <w:r w:rsidR="0012797A">
              <w:rPr>
                <w:rFonts w:cs="Arial"/>
                <w:sz w:val="16"/>
              </w:rPr>
              <w:t xml:space="preserve"> </w:t>
            </w:r>
            <w:r w:rsidRPr="00023175">
              <w:rPr>
                <w:rFonts w:cs="Arial"/>
                <w:sz w:val="16"/>
              </w:rPr>
              <w:t>1 - Services Availability; and</w:t>
            </w:r>
          </w:p>
          <w:p w:rsidRPr="00023175" w:rsidR="00AC1857" w:rsidP="00A91A72" w:rsidRDefault="00AC1857" w14:paraId="109C8697" w14:textId="43BF31E0">
            <w:pPr>
              <w:pStyle w:val="BodyText"/>
              <w:tabs>
                <w:tab w:val="left" w:pos="3544"/>
              </w:tabs>
              <w:spacing w:after="0" w:line="240" w:lineRule="auto"/>
              <w:rPr>
                <w:rFonts w:cs="Arial"/>
                <w:sz w:val="16"/>
              </w:rPr>
            </w:pPr>
            <w:r w:rsidRPr="00023175">
              <w:rPr>
                <w:rFonts w:cs="Arial"/>
                <w:sz w:val="16"/>
              </w:rPr>
              <w:t>KPI</w:t>
            </w:r>
            <w:r w:rsidR="0012797A">
              <w:rPr>
                <w:rFonts w:cs="Arial"/>
                <w:sz w:val="16"/>
              </w:rPr>
              <w:t xml:space="preserve"> </w:t>
            </w:r>
            <w:r w:rsidRPr="00023175">
              <w:rPr>
                <w:rFonts w:cs="Arial"/>
                <w:sz w:val="16"/>
              </w:rPr>
              <w:t>2 - Management Information</w:t>
            </w:r>
          </w:p>
        </w:tc>
      </w:tr>
    </w:tbl>
    <w:p w:rsidRPr="00023175" w:rsidR="00DA4336" w:rsidP="00AC1857" w:rsidRDefault="00DA4336" w14:paraId="6337132C" w14:textId="35581092">
      <w:pPr>
        <w:pStyle w:val="Body3"/>
        <w:ind w:left="0"/>
        <w:rPr>
          <w:rFonts w:cs="Arial"/>
        </w:rPr>
      </w:pPr>
    </w:p>
    <w:p w:rsidRPr="00022931" w:rsidR="00DA4336" w:rsidP="00DA4336" w:rsidRDefault="00DA4336" w14:paraId="52E76603" w14:textId="4AC0D526">
      <w:pPr>
        <w:pStyle w:val="Heading3"/>
      </w:pPr>
      <w:r w:rsidRPr="00022931">
        <w:t xml:space="preserve">The Total NPPs accrued during that </w:t>
      </w:r>
      <w:r w:rsidR="00474C5A">
        <w:t>Month</w:t>
      </w:r>
      <w:r w:rsidRPr="00022931">
        <w:t xml:space="preserve"> shall, following the calculation set out in </w:t>
      </w:r>
      <w:r w:rsidRPr="00022931" w:rsidR="00A6245B">
        <w:rPr>
          <w:szCs w:val="20"/>
        </w:rPr>
        <w:t>Paragraph</w:t>
      </w:r>
      <w:r w:rsidRPr="00022931">
        <w:t xml:space="preserve"> </w:t>
      </w:r>
      <w:r w:rsidRPr="00022931" w:rsidR="00515B9D">
        <w:fldChar w:fldCharType="begin"/>
      </w:r>
      <w:r w:rsidRPr="00022931" w:rsidR="00515B9D">
        <w:instrText xml:space="preserve"> REF _Ref89421598 \r \h </w:instrText>
      </w:r>
      <w:r w:rsidRPr="00022931" w:rsidR="00515B9D">
        <w:fldChar w:fldCharType="separate"/>
      </w:r>
      <w:r w:rsidR="004458E3">
        <w:t>4.1</w:t>
      </w:r>
      <w:r w:rsidRPr="00022931" w:rsidR="00515B9D">
        <w:fldChar w:fldCharType="end"/>
      </w:r>
      <w:r w:rsidRPr="00022931" w:rsidR="00515B9D">
        <w:fldChar w:fldCharType="begin"/>
      </w:r>
      <w:r w:rsidRPr="00022931" w:rsidR="00515B9D">
        <w:instrText xml:space="preserve"> REF _Ref89421600 \r \h </w:instrText>
      </w:r>
      <w:r w:rsidRPr="00022931" w:rsidR="00515B9D">
        <w:fldChar w:fldCharType="separate"/>
      </w:r>
      <w:r w:rsidR="004458E3">
        <w:t>(a)</w:t>
      </w:r>
      <w:r w:rsidRPr="00022931" w:rsidR="00515B9D">
        <w:fldChar w:fldCharType="end"/>
      </w:r>
      <w:r w:rsidRPr="00022931">
        <w:t xml:space="preserve"> above, be recorded in the Performance and Activity Report following the decision of the </w:t>
      </w:r>
      <w:r w:rsidR="00474C5A">
        <w:t>Month</w:t>
      </w:r>
      <w:r w:rsidR="008E1DE7">
        <w:t xml:space="preserve">ly </w:t>
      </w:r>
      <w:r w:rsidRPr="00022931">
        <w:t xml:space="preserve">Performance Review Board as set out in Schedule </w:t>
      </w:r>
      <w:r w:rsidRPr="00022931" w:rsidR="00B818F5">
        <w:t xml:space="preserve">6 </w:t>
      </w:r>
      <w:r w:rsidRPr="00022931">
        <w:t>(</w:t>
      </w:r>
      <w:r w:rsidRPr="00022931" w:rsidR="00B818F5">
        <w:rPr>
          <w:i/>
          <w:szCs w:val="20"/>
        </w:rPr>
        <w:t>Governance and Management Information, Reports, Records and Audit</w:t>
      </w:r>
      <w:r w:rsidRPr="00022931">
        <w:t>).</w:t>
      </w:r>
    </w:p>
    <w:p w:rsidRPr="00AF24F8" w:rsidR="00DA4336" w:rsidP="00DA4336" w:rsidRDefault="00DA4336" w14:paraId="12415191" w14:textId="77777777">
      <w:pPr>
        <w:pStyle w:val="Body3"/>
        <w:ind w:left="709"/>
        <w:rPr>
          <w:rFonts w:cs="Arial"/>
          <w:b/>
        </w:rPr>
      </w:pPr>
      <w:r w:rsidRPr="00AF24F8">
        <w:rPr>
          <w:rFonts w:cs="Arial"/>
          <w:b/>
        </w:rPr>
        <w:t>Non-Performance Points Deduction Table</w:t>
      </w:r>
    </w:p>
    <w:p w:rsidRPr="00022931" w:rsidR="00DA4336" w:rsidP="00DA4336" w:rsidRDefault="00730093" w14:paraId="6EE2DE4C" w14:textId="420C37EE">
      <w:pPr>
        <w:pStyle w:val="Heading3"/>
      </w:pPr>
      <w:r>
        <w:t xml:space="preserve">The Service Credit </w:t>
      </w:r>
      <w:r w:rsidR="00CA2AB8">
        <w:t xml:space="preserve">for the Contractor's performance in Month M-2 shall be applied as a deduction against the Total Monthly Payment in </w:t>
      </w:r>
      <w:r w:rsidR="00474C5A">
        <w:t>Month</w:t>
      </w:r>
      <w:r>
        <w:t xml:space="preserve"> M</w:t>
      </w:r>
      <w:r w:rsidR="005056C0">
        <w:t>, following calculation in accordance with the Non-Performance Points Deduction Table.</w:t>
      </w:r>
    </w:p>
    <w:tbl>
      <w:tblPr>
        <w:tblStyle w:val="TableGrid"/>
        <w:tblW w:w="8348" w:type="dxa"/>
        <w:tblInd w:w="704" w:type="dxa"/>
        <w:tblLayout w:type="fixed"/>
        <w:tblLook w:val="04A0" w:firstRow="1" w:lastRow="0" w:firstColumn="1" w:lastColumn="0" w:noHBand="0" w:noVBand="1"/>
      </w:tblPr>
      <w:tblGrid>
        <w:gridCol w:w="851"/>
        <w:gridCol w:w="3118"/>
        <w:gridCol w:w="2126"/>
        <w:gridCol w:w="2253"/>
      </w:tblGrid>
      <w:tr w:rsidRPr="00022931" w:rsidR="00DA4336" w:rsidTr="00463230" w14:paraId="2479400A" w14:textId="77777777">
        <w:trPr>
          <w:trHeight w:val="336"/>
        </w:trPr>
        <w:tc>
          <w:tcPr>
            <w:tcW w:w="851" w:type="dxa"/>
            <w:vMerge w:val="restart"/>
            <w:shd w:val="clear" w:color="auto" w:fill="F2F2F2" w:themeFill="background1" w:themeFillShade="F2"/>
          </w:tcPr>
          <w:p w:rsidRPr="00022931" w:rsidR="00DA4336" w:rsidP="00463230" w:rsidRDefault="00DA4336" w14:paraId="1076F369" w14:textId="77777777">
            <w:pPr>
              <w:pStyle w:val="Heading3"/>
              <w:spacing w:before="120" w:after="120" w:line="240" w:lineRule="atLeast"/>
              <w:ind w:left="0"/>
              <w:jc w:val="left"/>
              <w:outlineLvl w:val="2"/>
              <w:rPr>
                <w:b/>
                <w:szCs w:val="20"/>
              </w:rPr>
            </w:pPr>
            <w:r w:rsidRPr="00022931">
              <w:rPr>
                <w:b/>
                <w:szCs w:val="20"/>
              </w:rPr>
              <w:t>NPP Band</w:t>
            </w:r>
          </w:p>
        </w:tc>
        <w:tc>
          <w:tcPr>
            <w:tcW w:w="3118" w:type="dxa"/>
            <w:vMerge w:val="restart"/>
            <w:shd w:val="clear" w:color="auto" w:fill="F2F2F2" w:themeFill="background1" w:themeFillShade="F2"/>
          </w:tcPr>
          <w:p w:rsidRPr="00022931" w:rsidR="00DA4336" w:rsidP="00463230" w:rsidRDefault="00DA4336" w14:paraId="3E64C8E7" w14:textId="5EAC7B95">
            <w:pPr>
              <w:pStyle w:val="Default"/>
              <w:spacing w:before="120" w:after="120" w:line="240" w:lineRule="atLeast"/>
              <w:jc w:val="left"/>
              <w:rPr>
                <w:rFonts w:ascii="Arial" w:hAnsi="Arial" w:cs="Arial"/>
                <w:b/>
                <w:sz w:val="20"/>
                <w:szCs w:val="20"/>
              </w:rPr>
            </w:pPr>
            <w:r w:rsidRPr="00022931">
              <w:rPr>
                <w:rFonts w:ascii="Arial" w:hAnsi="Arial" w:cs="Arial"/>
                <w:b/>
                <w:sz w:val="20"/>
                <w:szCs w:val="20"/>
              </w:rPr>
              <w:t xml:space="preserve">Total Non-Performance Points for the </w:t>
            </w:r>
            <w:r w:rsidR="00474C5A">
              <w:rPr>
                <w:rFonts w:ascii="Arial" w:hAnsi="Arial" w:cs="Arial"/>
                <w:b/>
                <w:color w:val="auto"/>
                <w:sz w:val="20"/>
              </w:rPr>
              <w:t>Month</w:t>
            </w:r>
          </w:p>
        </w:tc>
        <w:tc>
          <w:tcPr>
            <w:tcW w:w="4379" w:type="dxa"/>
            <w:gridSpan w:val="2"/>
            <w:shd w:val="clear" w:color="auto" w:fill="F2F2F2" w:themeFill="background1" w:themeFillShade="F2"/>
          </w:tcPr>
          <w:p w:rsidRPr="00022931" w:rsidR="00DA4336" w:rsidP="00463230" w:rsidRDefault="00DA4336" w14:paraId="3B7C23E1" w14:textId="77777777">
            <w:pPr>
              <w:pStyle w:val="Default"/>
              <w:spacing w:before="120" w:after="120" w:line="240" w:lineRule="atLeast"/>
              <w:jc w:val="center"/>
              <w:rPr>
                <w:rFonts w:ascii="Arial" w:hAnsi="Arial" w:cs="Arial"/>
                <w:b/>
                <w:sz w:val="20"/>
                <w:szCs w:val="20"/>
              </w:rPr>
            </w:pPr>
            <w:r w:rsidRPr="00022931">
              <w:rPr>
                <w:rFonts w:ascii="Arial" w:hAnsi="Arial" w:cs="Arial"/>
                <w:b/>
                <w:sz w:val="20"/>
                <w:szCs w:val="20"/>
              </w:rPr>
              <w:t>Service Credit</w:t>
            </w:r>
          </w:p>
        </w:tc>
      </w:tr>
      <w:tr w:rsidRPr="00022931" w:rsidR="00DA4336" w:rsidTr="00463230" w14:paraId="5E04CA6D" w14:textId="77777777">
        <w:trPr>
          <w:trHeight w:val="336"/>
        </w:trPr>
        <w:tc>
          <w:tcPr>
            <w:tcW w:w="851" w:type="dxa"/>
            <w:vMerge/>
            <w:shd w:val="clear" w:color="auto" w:fill="F2F2F2" w:themeFill="background1" w:themeFillShade="F2"/>
          </w:tcPr>
          <w:p w:rsidRPr="00022931" w:rsidR="00DA4336" w:rsidP="00463230" w:rsidRDefault="00DA4336" w14:paraId="5A9A762E" w14:textId="77777777">
            <w:pPr>
              <w:pStyle w:val="Heading3"/>
              <w:numPr>
                <w:ilvl w:val="0"/>
                <w:numId w:val="0"/>
              </w:numPr>
              <w:spacing w:before="120" w:after="120" w:line="240" w:lineRule="atLeast"/>
              <w:jc w:val="left"/>
              <w:outlineLvl w:val="2"/>
              <w:rPr>
                <w:szCs w:val="20"/>
              </w:rPr>
            </w:pPr>
          </w:p>
        </w:tc>
        <w:tc>
          <w:tcPr>
            <w:tcW w:w="3118" w:type="dxa"/>
            <w:vMerge/>
            <w:shd w:val="clear" w:color="auto" w:fill="F2F2F2" w:themeFill="background1" w:themeFillShade="F2"/>
          </w:tcPr>
          <w:p w:rsidRPr="00022931" w:rsidR="00DA4336" w:rsidP="00463230" w:rsidRDefault="00DA4336" w14:paraId="72B4A58A" w14:textId="77777777">
            <w:pPr>
              <w:pStyle w:val="Default"/>
              <w:spacing w:before="120" w:after="120" w:line="240" w:lineRule="atLeast"/>
              <w:jc w:val="left"/>
              <w:rPr>
                <w:rFonts w:ascii="Arial" w:hAnsi="Arial" w:cs="Arial"/>
                <w:b/>
                <w:sz w:val="20"/>
                <w:szCs w:val="20"/>
              </w:rPr>
            </w:pPr>
          </w:p>
        </w:tc>
        <w:tc>
          <w:tcPr>
            <w:tcW w:w="2126" w:type="dxa"/>
            <w:shd w:val="clear" w:color="auto" w:fill="F2F2F2" w:themeFill="background1" w:themeFillShade="F2"/>
          </w:tcPr>
          <w:p w:rsidRPr="00022931" w:rsidR="00DA4336" w:rsidP="00463230" w:rsidRDefault="00DA4336" w14:paraId="173F8F61" w14:textId="77777777">
            <w:pPr>
              <w:pStyle w:val="Default"/>
              <w:spacing w:before="120" w:after="120" w:line="240" w:lineRule="atLeast"/>
              <w:jc w:val="left"/>
              <w:rPr>
                <w:rFonts w:ascii="Arial" w:hAnsi="Arial" w:cs="Arial"/>
                <w:b/>
                <w:sz w:val="20"/>
                <w:szCs w:val="20"/>
              </w:rPr>
            </w:pPr>
            <w:r w:rsidRPr="00022931">
              <w:rPr>
                <w:rFonts w:ascii="Arial" w:hAnsi="Arial" w:cs="Arial"/>
                <w:b/>
                <w:sz w:val="20"/>
                <w:szCs w:val="20"/>
              </w:rPr>
              <w:t>Retention or Deduction</w:t>
            </w:r>
          </w:p>
        </w:tc>
        <w:tc>
          <w:tcPr>
            <w:tcW w:w="2253" w:type="dxa"/>
            <w:shd w:val="clear" w:color="auto" w:fill="F2F2F2" w:themeFill="background1" w:themeFillShade="F2"/>
          </w:tcPr>
          <w:p w:rsidRPr="00022931" w:rsidR="00DA4336" w:rsidP="00836D30" w:rsidRDefault="00DA4336" w14:paraId="7C6C339B" w14:textId="2E7C97F1">
            <w:pPr>
              <w:pStyle w:val="Default"/>
              <w:spacing w:before="120" w:after="120" w:line="240" w:lineRule="atLeast"/>
              <w:jc w:val="left"/>
              <w:rPr>
                <w:rFonts w:ascii="Arial" w:hAnsi="Arial" w:cs="Arial"/>
                <w:b/>
                <w:sz w:val="20"/>
                <w:szCs w:val="20"/>
              </w:rPr>
            </w:pPr>
            <w:r w:rsidRPr="00022931">
              <w:rPr>
                <w:rFonts w:ascii="Arial" w:hAnsi="Arial" w:cs="Arial"/>
                <w:b/>
                <w:sz w:val="20"/>
                <w:szCs w:val="20"/>
              </w:rPr>
              <w:t>% MC Retained or Deducted</w:t>
            </w:r>
          </w:p>
        </w:tc>
      </w:tr>
      <w:tr w:rsidRPr="00022931" w:rsidR="00DA4336" w:rsidTr="00463230" w14:paraId="4140EBD1" w14:textId="77777777">
        <w:trPr>
          <w:trHeight w:val="289"/>
        </w:trPr>
        <w:tc>
          <w:tcPr>
            <w:tcW w:w="851" w:type="dxa"/>
            <w:shd w:val="clear" w:color="auto" w:fill="92D050"/>
          </w:tcPr>
          <w:p w:rsidRPr="00022931" w:rsidR="00DA4336" w:rsidP="00463230" w:rsidRDefault="00DA4336" w14:paraId="78D6A105" w14:textId="77777777">
            <w:pPr>
              <w:pStyle w:val="Heading3"/>
              <w:numPr>
                <w:ilvl w:val="0"/>
                <w:numId w:val="0"/>
              </w:numPr>
              <w:spacing w:before="120" w:after="120" w:line="240" w:lineRule="atLeast"/>
              <w:jc w:val="left"/>
              <w:outlineLvl w:val="2"/>
              <w:rPr>
                <w:szCs w:val="20"/>
              </w:rPr>
            </w:pPr>
            <w:r w:rsidRPr="00022931">
              <w:rPr>
                <w:szCs w:val="20"/>
              </w:rPr>
              <w:t>0</w:t>
            </w:r>
          </w:p>
        </w:tc>
        <w:tc>
          <w:tcPr>
            <w:tcW w:w="3118" w:type="dxa"/>
            <w:shd w:val="clear" w:color="auto" w:fill="92D050"/>
          </w:tcPr>
          <w:p w:rsidRPr="00022931" w:rsidR="00DA4336" w:rsidP="00463230" w:rsidRDefault="00DA4336" w14:paraId="5CEC2C75"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0</w:t>
            </w:r>
          </w:p>
        </w:tc>
        <w:tc>
          <w:tcPr>
            <w:tcW w:w="2126" w:type="dxa"/>
            <w:shd w:val="clear" w:color="auto" w:fill="92D050"/>
          </w:tcPr>
          <w:p w:rsidRPr="00022931" w:rsidR="00DA4336" w:rsidP="00463230" w:rsidRDefault="00DA4336" w14:paraId="6B727737"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None</w:t>
            </w:r>
          </w:p>
        </w:tc>
        <w:tc>
          <w:tcPr>
            <w:tcW w:w="2253" w:type="dxa"/>
            <w:shd w:val="clear" w:color="auto" w:fill="92D050"/>
          </w:tcPr>
          <w:p w:rsidRPr="00022931" w:rsidR="00DA4336" w:rsidP="00463230" w:rsidRDefault="00DA4336" w14:paraId="21547CB5"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None</w:t>
            </w:r>
          </w:p>
        </w:tc>
      </w:tr>
      <w:tr w:rsidRPr="00022931" w:rsidR="00DA4336" w:rsidTr="00463230" w14:paraId="10D644CD" w14:textId="77777777">
        <w:trPr>
          <w:trHeight w:val="408"/>
        </w:trPr>
        <w:tc>
          <w:tcPr>
            <w:tcW w:w="851" w:type="dxa"/>
            <w:shd w:val="clear" w:color="auto" w:fill="92D050"/>
          </w:tcPr>
          <w:p w:rsidRPr="00022931" w:rsidR="00DA4336" w:rsidP="00463230" w:rsidRDefault="00DA4336" w14:paraId="72A39660" w14:textId="77777777">
            <w:pPr>
              <w:pStyle w:val="Heading3"/>
              <w:numPr>
                <w:ilvl w:val="0"/>
                <w:numId w:val="0"/>
              </w:numPr>
              <w:spacing w:before="120" w:after="120" w:line="240" w:lineRule="atLeast"/>
              <w:jc w:val="left"/>
              <w:outlineLvl w:val="2"/>
              <w:rPr>
                <w:szCs w:val="20"/>
              </w:rPr>
            </w:pPr>
            <w:r w:rsidRPr="00022931">
              <w:rPr>
                <w:szCs w:val="20"/>
              </w:rPr>
              <w:t>1</w:t>
            </w:r>
          </w:p>
        </w:tc>
        <w:tc>
          <w:tcPr>
            <w:tcW w:w="3118" w:type="dxa"/>
            <w:shd w:val="clear" w:color="auto" w:fill="92D050"/>
          </w:tcPr>
          <w:p w:rsidRPr="00022931" w:rsidR="00DA4336" w:rsidP="00463230" w:rsidRDefault="00DA4336" w14:paraId="08CCDED5"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from [1] to [210]</w:t>
            </w:r>
          </w:p>
        </w:tc>
        <w:tc>
          <w:tcPr>
            <w:tcW w:w="2126" w:type="dxa"/>
            <w:shd w:val="clear" w:color="auto" w:fill="92D050"/>
          </w:tcPr>
          <w:p w:rsidRPr="00022931" w:rsidR="00DA4336" w:rsidP="00463230" w:rsidRDefault="00DA4336" w14:paraId="368D51E5"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[None]</w:t>
            </w:r>
          </w:p>
        </w:tc>
        <w:tc>
          <w:tcPr>
            <w:tcW w:w="2253" w:type="dxa"/>
            <w:shd w:val="clear" w:color="auto" w:fill="92D050"/>
          </w:tcPr>
          <w:p w:rsidRPr="00022931" w:rsidR="00DA4336" w:rsidP="00463230" w:rsidRDefault="00DA4336" w14:paraId="668B80BA" w14:textId="77777777">
            <w:pPr>
              <w:pStyle w:val="Default"/>
              <w:spacing w:before="120" w:after="120" w:line="240" w:lineRule="atLeast"/>
              <w:jc w:val="left"/>
              <w:rPr>
                <w:rFonts w:ascii="Arial" w:hAnsi="Arial" w:cs="Arial"/>
                <w:sz w:val="20"/>
                <w:szCs w:val="20"/>
              </w:rPr>
            </w:pPr>
            <w:r w:rsidRPr="00022931">
              <w:rPr>
                <w:rFonts w:ascii="Arial" w:hAnsi="Arial" w:cs="Arial"/>
                <w:sz w:val="20"/>
                <w:szCs w:val="20"/>
              </w:rPr>
              <w:t>[None]</w:t>
            </w:r>
          </w:p>
        </w:tc>
      </w:tr>
      <w:tr w:rsidRPr="00022931" w:rsidR="00DA4336" w:rsidTr="00463230" w14:paraId="70EDF0FD" w14:textId="77777777">
        <w:trPr>
          <w:trHeight w:val="408"/>
        </w:trPr>
        <w:tc>
          <w:tcPr>
            <w:tcW w:w="851" w:type="dxa"/>
            <w:shd w:val="clear" w:color="auto" w:fill="FFC000"/>
          </w:tcPr>
          <w:p w:rsidRPr="00022931" w:rsidR="00DA4336" w:rsidP="00463230" w:rsidRDefault="00DA4336" w14:paraId="071A2F2A" w14:textId="77777777">
            <w:pPr>
              <w:pStyle w:val="Heading3"/>
              <w:numPr>
                <w:ilvl w:val="0"/>
                <w:numId w:val="0"/>
              </w:numPr>
              <w:spacing w:before="120" w:after="120" w:line="240" w:lineRule="atLeast"/>
              <w:jc w:val="left"/>
              <w:outlineLvl w:val="2"/>
              <w:rPr>
                <w:szCs w:val="20"/>
              </w:rPr>
            </w:pPr>
            <w:r w:rsidRPr="00022931">
              <w:rPr>
                <w:szCs w:val="20"/>
              </w:rPr>
              <w:t>2</w:t>
            </w:r>
          </w:p>
        </w:tc>
        <w:tc>
          <w:tcPr>
            <w:tcW w:w="3118" w:type="dxa"/>
            <w:shd w:val="clear" w:color="auto" w:fill="FFC000"/>
          </w:tcPr>
          <w:p w:rsidRPr="00022931" w:rsidR="00DA4336" w:rsidP="00463230" w:rsidRDefault="00DA4336" w14:paraId="129004B3" w14:textId="77777777">
            <w:pPr>
              <w:pStyle w:val="Default"/>
              <w:spacing w:before="120" w:after="120" w:line="240" w:lineRule="atLeast"/>
              <w:rPr>
                <w:rFonts w:ascii="Arial" w:hAnsi="Arial" w:cs="Arial"/>
                <w:sz w:val="20"/>
                <w:szCs w:val="20"/>
              </w:rPr>
            </w:pPr>
            <w:r w:rsidRPr="00022931">
              <w:rPr>
                <w:rFonts w:ascii="Arial" w:hAnsi="Arial" w:cs="Arial"/>
                <w:sz w:val="20"/>
                <w:szCs w:val="20"/>
              </w:rPr>
              <w:t>[211] to [350]</w:t>
            </w:r>
          </w:p>
        </w:tc>
        <w:tc>
          <w:tcPr>
            <w:tcW w:w="2126" w:type="dxa"/>
            <w:shd w:val="clear" w:color="auto" w:fill="FFC000"/>
          </w:tcPr>
          <w:p w:rsidRPr="00022931" w:rsidR="00DA4336" w:rsidP="00463230" w:rsidRDefault="00DA4336" w14:paraId="3A110179" w14:textId="77777777">
            <w:pPr>
              <w:pStyle w:val="Default"/>
              <w:spacing w:before="120" w:after="120" w:line="240" w:lineRule="atLeast"/>
              <w:rPr>
                <w:rFonts w:ascii="Arial" w:hAnsi="Arial" w:cs="Arial"/>
                <w:sz w:val="20"/>
                <w:szCs w:val="20"/>
              </w:rPr>
            </w:pPr>
            <w:r w:rsidRPr="00022931">
              <w:rPr>
                <w:rFonts w:ascii="Arial" w:hAnsi="Arial" w:cs="Arial"/>
                <w:sz w:val="20"/>
                <w:szCs w:val="20"/>
              </w:rPr>
              <w:t>[Retention]</w:t>
            </w:r>
          </w:p>
        </w:tc>
        <w:tc>
          <w:tcPr>
            <w:tcW w:w="2253" w:type="dxa"/>
            <w:shd w:val="clear" w:color="auto" w:fill="FFC000"/>
          </w:tcPr>
          <w:p w:rsidRPr="00022931" w:rsidR="00DA4336" w:rsidP="00FA3667" w:rsidRDefault="00DA4336" w14:paraId="39724C82" w14:textId="7CDDD682">
            <w:pPr>
              <w:pStyle w:val="Default"/>
              <w:spacing w:before="120" w:after="120" w:line="240" w:lineRule="atLeast"/>
              <w:rPr>
                <w:rFonts w:ascii="Arial" w:hAnsi="Arial" w:cs="Arial"/>
                <w:sz w:val="20"/>
                <w:szCs w:val="20"/>
              </w:rPr>
            </w:pPr>
            <w:r w:rsidRPr="00022931">
              <w:rPr>
                <w:rFonts w:ascii="Arial" w:hAnsi="Arial" w:cs="Arial"/>
                <w:sz w:val="20"/>
                <w:szCs w:val="20"/>
              </w:rPr>
              <w:t>[1%] of the MC</w:t>
            </w:r>
          </w:p>
        </w:tc>
      </w:tr>
      <w:tr w:rsidRPr="00022931" w:rsidR="00DA4336" w:rsidTr="00463230" w14:paraId="7A69F4CC" w14:textId="77777777">
        <w:trPr>
          <w:trHeight w:val="408"/>
        </w:trPr>
        <w:tc>
          <w:tcPr>
            <w:tcW w:w="851" w:type="dxa"/>
            <w:shd w:val="clear" w:color="auto" w:fill="FFC000"/>
          </w:tcPr>
          <w:p w:rsidRPr="00022931" w:rsidR="00DA4336" w:rsidP="00463230" w:rsidRDefault="00DA4336" w14:paraId="73430AF9" w14:textId="77777777">
            <w:pPr>
              <w:pStyle w:val="Heading3"/>
              <w:numPr>
                <w:ilvl w:val="0"/>
                <w:numId w:val="0"/>
              </w:numPr>
              <w:spacing w:before="120" w:after="120" w:line="240" w:lineRule="atLeast"/>
              <w:jc w:val="left"/>
              <w:outlineLvl w:val="2"/>
              <w:rPr>
                <w:szCs w:val="20"/>
              </w:rPr>
            </w:pPr>
            <w:r w:rsidRPr="00022931">
              <w:rPr>
                <w:szCs w:val="20"/>
              </w:rPr>
              <w:t>3</w:t>
            </w:r>
          </w:p>
        </w:tc>
        <w:tc>
          <w:tcPr>
            <w:tcW w:w="3118" w:type="dxa"/>
            <w:shd w:val="clear" w:color="auto" w:fill="FFC000"/>
          </w:tcPr>
          <w:p w:rsidRPr="00022931" w:rsidR="00DA4336" w:rsidP="00463230" w:rsidRDefault="00DA4336" w14:paraId="6E08F667" w14:textId="77777777">
            <w:pPr>
              <w:pStyle w:val="Default"/>
              <w:spacing w:before="120" w:after="120" w:line="240" w:lineRule="atLeast"/>
              <w:rPr>
                <w:rFonts w:ascii="Arial" w:hAnsi="Arial" w:cs="Arial"/>
                <w:sz w:val="20"/>
                <w:szCs w:val="20"/>
              </w:rPr>
            </w:pPr>
            <w:r w:rsidRPr="00022931">
              <w:rPr>
                <w:rFonts w:ascii="Arial" w:hAnsi="Arial" w:cs="Arial"/>
                <w:sz w:val="20"/>
                <w:szCs w:val="20"/>
              </w:rPr>
              <w:t>[351] to [410]</w:t>
            </w:r>
          </w:p>
        </w:tc>
        <w:tc>
          <w:tcPr>
            <w:tcW w:w="2126" w:type="dxa"/>
            <w:shd w:val="clear" w:color="auto" w:fill="FFC000"/>
          </w:tcPr>
          <w:p w:rsidRPr="00022931" w:rsidR="00DA4336" w:rsidP="00463230" w:rsidRDefault="00DA4336" w14:paraId="68E1C8AC" w14:textId="77777777">
            <w:pPr>
              <w:pStyle w:val="Default"/>
              <w:spacing w:before="120" w:after="120" w:line="240" w:lineRule="atLeast"/>
              <w:rPr>
                <w:rFonts w:ascii="Arial" w:hAnsi="Arial" w:cs="Arial"/>
                <w:sz w:val="20"/>
                <w:szCs w:val="20"/>
              </w:rPr>
            </w:pPr>
            <w:r w:rsidRPr="00022931">
              <w:rPr>
                <w:rFonts w:ascii="Arial" w:hAnsi="Arial" w:cs="Arial"/>
                <w:sz w:val="20"/>
                <w:szCs w:val="20"/>
              </w:rPr>
              <w:t>[Retention]</w:t>
            </w:r>
          </w:p>
        </w:tc>
        <w:tc>
          <w:tcPr>
            <w:tcW w:w="2253" w:type="dxa"/>
            <w:shd w:val="clear" w:color="auto" w:fill="FFC000"/>
          </w:tcPr>
          <w:p w:rsidRPr="00022931" w:rsidR="00DA4336" w:rsidP="00836D30" w:rsidRDefault="00DA4336" w14:paraId="38DC670B" w14:textId="657B30E3">
            <w:pPr>
              <w:pStyle w:val="Default"/>
              <w:spacing w:before="120" w:after="120" w:line="240" w:lineRule="atLeast"/>
              <w:rPr>
                <w:rFonts w:ascii="Arial" w:hAnsi="Arial" w:cs="Arial"/>
                <w:sz w:val="20"/>
                <w:szCs w:val="20"/>
              </w:rPr>
            </w:pPr>
            <w:r w:rsidRPr="00022931">
              <w:rPr>
                <w:rFonts w:ascii="Arial" w:hAnsi="Arial" w:cs="Arial"/>
                <w:sz w:val="20"/>
                <w:szCs w:val="20"/>
              </w:rPr>
              <w:t>[2%] of the MC</w:t>
            </w:r>
          </w:p>
        </w:tc>
      </w:tr>
      <w:tr w:rsidRPr="00022931" w:rsidR="00DA4336" w:rsidTr="00463230" w14:paraId="0DC097E2" w14:textId="77777777">
        <w:trPr>
          <w:trHeight w:val="408"/>
        </w:trPr>
        <w:tc>
          <w:tcPr>
            <w:tcW w:w="851" w:type="dxa"/>
            <w:shd w:val="clear" w:color="auto" w:fill="FFC000"/>
          </w:tcPr>
          <w:p w:rsidRPr="00022931" w:rsidR="00DA4336" w:rsidP="00463230" w:rsidRDefault="00DA4336" w14:paraId="4DE13437" w14:textId="77777777">
            <w:pPr>
              <w:pStyle w:val="Heading3"/>
              <w:numPr>
                <w:ilvl w:val="0"/>
                <w:numId w:val="0"/>
              </w:numPr>
              <w:spacing w:before="120" w:after="120" w:line="240" w:lineRule="atLeast"/>
              <w:jc w:val="left"/>
              <w:outlineLvl w:val="2"/>
              <w:rPr>
                <w:szCs w:val="20"/>
              </w:rPr>
            </w:pPr>
            <w:r w:rsidRPr="00022931">
              <w:rPr>
                <w:szCs w:val="20"/>
              </w:rPr>
              <w:t>4</w:t>
            </w:r>
          </w:p>
        </w:tc>
        <w:tc>
          <w:tcPr>
            <w:tcW w:w="3118" w:type="dxa"/>
            <w:shd w:val="clear" w:color="auto" w:fill="FFC000"/>
          </w:tcPr>
          <w:p w:rsidRPr="00022931" w:rsidR="00DA4336" w:rsidP="00463230" w:rsidRDefault="00DA4336" w14:paraId="539CF06E" w14:textId="77777777">
            <w:pPr>
              <w:pStyle w:val="Default"/>
              <w:spacing w:before="120" w:after="120" w:line="240" w:lineRule="atLeast"/>
              <w:rPr>
                <w:rFonts w:ascii="Arial" w:hAnsi="Arial" w:cs="Arial"/>
                <w:sz w:val="20"/>
                <w:szCs w:val="20"/>
              </w:rPr>
            </w:pPr>
            <w:r w:rsidRPr="00022931">
              <w:rPr>
                <w:rFonts w:ascii="Arial" w:hAnsi="Arial" w:cs="Arial"/>
                <w:sz w:val="20"/>
                <w:szCs w:val="20"/>
              </w:rPr>
              <w:t>[411] to [560]</w:t>
            </w:r>
          </w:p>
        </w:tc>
        <w:tc>
          <w:tcPr>
            <w:tcW w:w="2126" w:type="dxa"/>
            <w:shd w:val="clear" w:color="auto" w:fill="FFC000"/>
          </w:tcPr>
          <w:p w:rsidRPr="00022931" w:rsidR="00DA4336" w:rsidP="00463230" w:rsidRDefault="00DA4336" w14:paraId="46C08C9E" w14:textId="77777777">
            <w:pPr>
              <w:pStyle w:val="Default"/>
              <w:spacing w:before="120" w:after="120" w:line="240" w:lineRule="atLeast"/>
              <w:rPr>
                <w:rFonts w:ascii="Arial" w:hAnsi="Arial" w:cs="Arial"/>
                <w:sz w:val="20"/>
                <w:szCs w:val="20"/>
              </w:rPr>
            </w:pPr>
            <w:r w:rsidRPr="00022931">
              <w:rPr>
                <w:rFonts w:ascii="Arial" w:hAnsi="Arial" w:cs="Arial"/>
                <w:sz w:val="20"/>
                <w:szCs w:val="20"/>
              </w:rPr>
              <w:t>[Retention]</w:t>
            </w:r>
          </w:p>
        </w:tc>
        <w:tc>
          <w:tcPr>
            <w:tcW w:w="2253" w:type="dxa"/>
            <w:shd w:val="clear" w:color="auto" w:fill="FFC000"/>
          </w:tcPr>
          <w:p w:rsidRPr="00022931" w:rsidR="00DA4336" w:rsidP="00836D30" w:rsidRDefault="00DA4336" w14:paraId="63DF6F60" w14:textId="420F5173">
            <w:pPr>
              <w:pStyle w:val="Default"/>
              <w:spacing w:before="120" w:after="120" w:line="240" w:lineRule="atLeast"/>
              <w:rPr>
                <w:rFonts w:ascii="Arial" w:hAnsi="Arial" w:cs="Arial"/>
                <w:sz w:val="20"/>
                <w:szCs w:val="20"/>
              </w:rPr>
            </w:pPr>
            <w:r w:rsidRPr="00022931">
              <w:rPr>
                <w:rFonts w:ascii="Arial" w:hAnsi="Arial" w:cs="Arial"/>
                <w:sz w:val="20"/>
                <w:szCs w:val="20"/>
              </w:rPr>
              <w:t>[3%] of the MC</w:t>
            </w:r>
          </w:p>
        </w:tc>
      </w:tr>
      <w:tr w:rsidRPr="00022931" w:rsidR="00DA4336" w:rsidTr="00463230" w14:paraId="7B17E239" w14:textId="77777777">
        <w:trPr>
          <w:trHeight w:val="408"/>
        </w:trPr>
        <w:tc>
          <w:tcPr>
            <w:tcW w:w="851" w:type="dxa"/>
            <w:shd w:val="clear" w:color="auto" w:fill="FF0000"/>
          </w:tcPr>
          <w:p w:rsidRPr="00022931" w:rsidR="00DA4336" w:rsidP="00463230" w:rsidRDefault="00DA4336" w14:paraId="308F830F" w14:textId="77777777">
            <w:pPr>
              <w:pStyle w:val="Heading3"/>
              <w:numPr>
                <w:ilvl w:val="0"/>
                <w:numId w:val="0"/>
              </w:numPr>
              <w:spacing w:before="120" w:after="120" w:line="240" w:lineRule="atLeast"/>
              <w:jc w:val="left"/>
              <w:outlineLvl w:val="2"/>
              <w:rPr>
                <w:szCs w:val="20"/>
              </w:rPr>
            </w:pPr>
            <w:r w:rsidRPr="00022931">
              <w:rPr>
                <w:szCs w:val="20"/>
              </w:rPr>
              <w:t>5</w:t>
            </w:r>
          </w:p>
        </w:tc>
        <w:tc>
          <w:tcPr>
            <w:tcW w:w="3118" w:type="dxa"/>
            <w:shd w:val="clear" w:color="auto" w:fill="FF0000"/>
          </w:tcPr>
          <w:p w:rsidRPr="00022931" w:rsidR="00DA4336" w:rsidP="00463230" w:rsidRDefault="00DA4336" w14:paraId="0CA394A5" w14:textId="77777777">
            <w:pPr>
              <w:pStyle w:val="Default"/>
              <w:spacing w:before="120" w:after="120" w:line="240" w:lineRule="atLeast"/>
              <w:rPr>
                <w:rFonts w:ascii="Arial" w:hAnsi="Arial" w:cs="Arial"/>
                <w:sz w:val="20"/>
                <w:szCs w:val="20"/>
              </w:rPr>
            </w:pPr>
            <w:r w:rsidRPr="00022931">
              <w:rPr>
                <w:rFonts w:ascii="Arial" w:hAnsi="Arial" w:cs="Arial"/>
                <w:sz w:val="20"/>
                <w:szCs w:val="20"/>
              </w:rPr>
              <w:t>[561] to [660]</w:t>
            </w:r>
          </w:p>
        </w:tc>
        <w:tc>
          <w:tcPr>
            <w:tcW w:w="2126" w:type="dxa"/>
            <w:shd w:val="clear" w:color="auto" w:fill="FF0000"/>
          </w:tcPr>
          <w:p w:rsidRPr="00022931" w:rsidR="00DA4336" w:rsidP="00463230" w:rsidRDefault="00DA4336" w14:paraId="7A8A2846" w14:textId="77777777">
            <w:pPr>
              <w:pStyle w:val="Default"/>
              <w:spacing w:before="120" w:after="120" w:line="240" w:lineRule="atLeast"/>
              <w:rPr>
                <w:rFonts w:ascii="Arial" w:hAnsi="Arial" w:cs="Arial"/>
                <w:sz w:val="20"/>
                <w:szCs w:val="20"/>
              </w:rPr>
            </w:pPr>
            <w:r w:rsidRPr="00022931">
              <w:rPr>
                <w:rFonts w:ascii="Arial" w:hAnsi="Arial" w:cs="Arial"/>
                <w:sz w:val="20"/>
                <w:szCs w:val="20"/>
              </w:rPr>
              <w:t>[Deduction]</w:t>
            </w:r>
          </w:p>
        </w:tc>
        <w:tc>
          <w:tcPr>
            <w:tcW w:w="2253" w:type="dxa"/>
            <w:shd w:val="clear" w:color="auto" w:fill="FF0000"/>
          </w:tcPr>
          <w:p w:rsidRPr="00022931" w:rsidR="00DA4336" w:rsidP="00836D30" w:rsidRDefault="00DA4336" w14:paraId="2137F753" w14:textId="60B49293">
            <w:pPr>
              <w:pStyle w:val="Default"/>
              <w:spacing w:before="120" w:after="120" w:line="240" w:lineRule="atLeast"/>
              <w:rPr>
                <w:rFonts w:ascii="Arial" w:hAnsi="Arial" w:cs="Arial"/>
                <w:sz w:val="20"/>
                <w:szCs w:val="20"/>
              </w:rPr>
            </w:pPr>
            <w:r w:rsidRPr="00022931">
              <w:rPr>
                <w:rFonts w:ascii="Arial" w:hAnsi="Arial" w:cs="Arial"/>
                <w:sz w:val="20"/>
                <w:szCs w:val="20"/>
              </w:rPr>
              <w:t>[3.5%] of the MC</w:t>
            </w:r>
          </w:p>
        </w:tc>
      </w:tr>
      <w:tr w:rsidRPr="00022931" w:rsidR="00DA4336" w:rsidTr="00463230" w14:paraId="262677F9" w14:textId="77777777">
        <w:trPr>
          <w:trHeight w:val="408"/>
        </w:trPr>
        <w:tc>
          <w:tcPr>
            <w:tcW w:w="851" w:type="dxa"/>
            <w:shd w:val="clear" w:color="auto" w:fill="FF0000"/>
          </w:tcPr>
          <w:p w:rsidRPr="00022931" w:rsidR="00DA4336" w:rsidP="00463230" w:rsidRDefault="00DA4336" w14:paraId="5E4E91F3" w14:textId="77777777">
            <w:pPr>
              <w:pStyle w:val="Heading3"/>
              <w:numPr>
                <w:ilvl w:val="0"/>
                <w:numId w:val="0"/>
              </w:numPr>
              <w:spacing w:before="120" w:after="120" w:line="240" w:lineRule="atLeast"/>
              <w:jc w:val="left"/>
              <w:outlineLvl w:val="2"/>
              <w:rPr>
                <w:szCs w:val="20"/>
              </w:rPr>
            </w:pPr>
            <w:r w:rsidRPr="00022931">
              <w:rPr>
                <w:szCs w:val="20"/>
              </w:rPr>
              <w:t>6</w:t>
            </w:r>
          </w:p>
        </w:tc>
        <w:tc>
          <w:tcPr>
            <w:tcW w:w="3118" w:type="dxa"/>
            <w:shd w:val="clear" w:color="auto" w:fill="FF0000"/>
          </w:tcPr>
          <w:p w:rsidRPr="00022931" w:rsidR="00DA4336" w:rsidP="00463230" w:rsidRDefault="00DA4336" w14:paraId="07421131" w14:textId="77777777">
            <w:pPr>
              <w:pStyle w:val="Default"/>
              <w:spacing w:before="120" w:after="120" w:line="240" w:lineRule="atLeast"/>
              <w:rPr>
                <w:rFonts w:ascii="Arial" w:hAnsi="Arial" w:cs="Arial"/>
                <w:sz w:val="20"/>
                <w:szCs w:val="20"/>
              </w:rPr>
            </w:pPr>
            <w:r w:rsidRPr="00022931">
              <w:rPr>
                <w:rFonts w:ascii="Arial" w:hAnsi="Arial" w:cs="Arial"/>
                <w:sz w:val="20"/>
                <w:szCs w:val="20"/>
              </w:rPr>
              <w:t>[661] to [810]</w:t>
            </w:r>
          </w:p>
        </w:tc>
        <w:tc>
          <w:tcPr>
            <w:tcW w:w="2126" w:type="dxa"/>
            <w:shd w:val="clear" w:color="auto" w:fill="FF0000"/>
          </w:tcPr>
          <w:p w:rsidRPr="00022931" w:rsidR="00DA4336" w:rsidP="00463230" w:rsidRDefault="00DA4336" w14:paraId="0C9A2639" w14:textId="77777777">
            <w:pPr>
              <w:pStyle w:val="Default"/>
              <w:spacing w:before="120" w:after="120" w:line="240" w:lineRule="atLeast"/>
              <w:rPr>
                <w:rFonts w:ascii="Arial" w:hAnsi="Arial" w:cs="Arial"/>
                <w:sz w:val="20"/>
                <w:szCs w:val="20"/>
              </w:rPr>
            </w:pPr>
            <w:r w:rsidRPr="00022931">
              <w:rPr>
                <w:rFonts w:ascii="Arial" w:hAnsi="Arial" w:cs="Arial"/>
                <w:sz w:val="20"/>
                <w:szCs w:val="20"/>
              </w:rPr>
              <w:t>[Deduction]</w:t>
            </w:r>
          </w:p>
        </w:tc>
        <w:tc>
          <w:tcPr>
            <w:tcW w:w="2253" w:type="dxa"/>
            <w:shd w:val="clear" w:color="auto" w:fill="FF0000"/>
          </w:tcPr>
          <w:p w:rsidRPr="00022931" w:rsidR="00DA4336" w:rsidP="00836D30" w:rsidRDefault="00DA4336" w14:paraId="10B90CA3" w14:textId="0A67FD87">
            <w:pPr>
              <w:pStyle w:val="Default"/>
              <w:spacing w:before="120" w:after="120" w:line="240" w:lineRule="atLeast"/>
              <w:rPr>
                <w:rFonts w:ascii="Arial" w:hAnsi="Arial" w:cs="Arial"/>
                <w:sz w:val="20"/>
                <w:szCs w:val="20"/>
              </w:rPr>
            </w:pPr>
            <w:r w:rsidRPr="00022931">
              <w:rPr>
                <w:rFonts w:ascii="Arial" w:hAnsi="Arial" w:cs="Arial"/>
                <w:sz w:val="20"/>
                <w:szCs w:val="20"/>
              </w:rPr>
              <w:t>[4.5%] of the MC</w:t>
            </w:r>
          </w:p>
        </w:tc>
      </w:tr>
      <w:tr w:rsidRPr="00022931" w:rsidR="00DA4336" w:rsidTr="00463230" w14:paraId="52B2E9C3" w14:textId="77777777">
        <w:trPr>
          <w:trHeight w:val="408"/>
        </w:trPr>
        <w:tc>
          <w:tcPr>
            <w:tcW w:w="851" w:type="dxa"/>
            <w:shd w:val="clear" w:color="auto" w:fill="FF0000"/>
          </w:tcPr>
          <w:p w:rsidRPr="00022931" w:rsidR="00DA4336" w:rsidP="00463230" w:rsidRDefault="00DA4336" w14:paraId="2CD54C1F" w14:textId="77777777">
            <w:pPr>
              <w:pStyle w:val="Heading3"/>
              <w:numPr>
                <w:ilvl w:val="0"/>
                <w:numId w:val="0"/>
              </w:numPr>
              <w:spacing w:before="120" w:after="120" w:line="240" w:lineRule="atLeast"/>
              <w:jc w:val="left"/>
              <w:outlineLvl w:val="2"/>
              <w:rPr>
                <w:szCs w:val="20"/>
              </w:rPr>
            </w:pPr>
            <w:r w:rsidRPr="00022931">
              <w:rPr>
                <w:szCs w:val="20"/>
              </w:rPr>
              <w:t>7</w:t>
            </w:r>
          </w:p>
        </w:tc>
        <w:tc>
          <w:tcPr>
            <w:tcW w:w="3118" w:type="dxa"/>
            <w:shd w:val="clear" w:color="auto" w:fill="FF0000"/>
          </w:tcPr>
          <w:p w:rsidRPr="00022931" w:rsidR="00DA4336" w:rsidP="00463230" w:rsidRDefault="00DA4336" w14:paraId="0DD611BD" w14:textId="77777777">
            <w:pPr>
              <w:pStyle w:val="Default"/>
              <w:spacing w:before="120" w:after="120" w:line="240" w:lineRule="atLeast"/>
              <w:rPr>
                <w:rFonts w:ascii="Arial" w:hAnsi="Arial" w:cs="Arial"/>
                <w:sz w:val="20"/>
                <w:szCs w:val="20"/>
              </w:rPr>
            </w:pPr>
            <w:r w:rsidRPr="00022931">
              <w:rPr>
                <w:rFonts w:ascii="Arial" w:hAnsi="Arial" w:cs="Arial"/>
                <w:sz w:val="20"/>
                <w:szCs w:val="20"/>
              </w:rPr>
              <w:t>[811] to [950]</w:t>
            </w:r>
          </w:p>
        </w:tc>
        <w:tc>
          <w:tcPr>
            <w:tcW w:w="2126" w:type="dxa"/>
            <w:shd w:val="clear" w:color="auto" w:fill="FF0000"/>
          </w:tcPr>
          <w:p w:rsidRPr="00022931" w:rsidR="00DA4336" w:rsidP="00463230" w:rsidRDefault="00DA4336" w14:paraId="68733648" w14:textId="77777777">
            <w:pPr>
              <w:pStyle w:val="Default"/>
              <w:spacing w:before="120" w:after="120" w:line="240" w:lineRule="atLeast"/>
              <w:rPr>
                <w:rFonts w:ascii="Arial" w:hAnsi="Arial" w:cs="Arial"/>
                <w:sz w:val="20"/>
                <w:szCs w:val="20"/>
              </w:rPr>
            </w:pPr>
            <w:r w:rsidRPr="00022931">
              <w:rPr>
                <w:rFonts w:ascii="Arial" w:hAnsi="Arial" w:cs="Arial"/>
                <w:sz w:val="20"/>
                <w:szCs w:val="20"/>
              </w:rPr>
              <w:t>[Deduction]</w:t>
            </w:r>
          </w:p>
        </w:tc>
        <w:tc>
          <w:tcPr>
            <w:tcW w:w="2253" w:type="dxa"/>
            <w:shd w:val="clear" w:color="auto" w:fill="FF0000"/>
          </w:tcPr>
          <w:p w:rsidRPr="00022931" w:rsidR="00DA4336" w:rsidP="00836D30" w:rsidRDefault="00DA4336" w14:paraId="26F651F5" w14:textId="5275DBA4">
            <w:pPr>
              <w:pStyle w:val="Default"/>
              <w:spacing w:before="120" w:after="120" w:line="240" w:lineRule="atLeast"/>
              <w:rPr>
                <w:rFonts w:ascii="Arial" w:hAnsi="Arial" w:cs="Arial"/>
                <w:sz w:val="20"/>
                <w:szCs w:val="20"/>
              </w:rPr>
            </w:pPr>
            <w:r w:rsidRPr="00022931">
              <w:rPr>
                <w:rFonts w:ascii="Arial" w:hAnsi="Arial" w:cs="Arial"/>
                <w:sz w:val="20"/>
                <w:szCs w:val="20"/>
              </w:rPr>
              <w:t>[6%] of the MC</w:t>
            </w:r>
          </w:p>
        </w:tc>
      </w:tr>
      <w:tr w:rsidRPr="00022931" w:rsidR="00DA4336" w:rsidTr="00463230" w14:paraId="753D8B0B" w14:textId="77777777">
        <w:trPr>
          <w:trHeight w:val="408"/>
        </w:trPr>
        <w:tc>
          <w:tcPr>
            <w:tcW w:w="851" w:type="dxa"/>
            <w:shd w:val="clear" w:color="auto" w:fill="FF0000"/>
          </w:tcPr>
          <w:p w:rsidRPr="00022931" w:rsidR="00DA4336" w:rsidP="00463230" w:rsidRDefault="00DA4336" w14:paraId="34BEBBCD" w14:textId="77777777">
            <w:pPr>
              <w:pStyle w:val="Heading3"/>
              <w:numPr>
                <w:ilvl w:val="0"/>
                <w:numId w:val="0"/>
              </w:numPr>
              <w:spacing w:before="120" w:after="120" w:line="240" w:lineRule="atLeast"/>
              <w:jc w:val="left"/>
              <w:outlineLvl w:val="2"/>
              <w:rPr>
                <w:szCs w:val="20"/>
              </w:rPr>
            </w:pPr>
            <w:r w:rsidRPr="00022931">
              <w:rPr>
                <w:szCs w:val="20"/>
              </w:rPr>
              <w:t>8</w:t>
            </w:r>
          </w:p>
        </w:tc>
        <w:tc>
          <w:tcPr>
            <w:tcW w:w="3118" w:type="dxa"/>
            <w:shd w:val="clear" w:color="auto" w:fill="FF0000"/>
          </w:tcPr>
          <w:p w:rsidRPr="00022931" w:rsidR="00DA4336" w:rsidP="00463230" w:rsidRDefault="00DA4336" w14:paraId="143778C6" w14:textId="77777777">
            <w:pPr>
              <w:pStyle w:val="Default"/>
              <w:spacing w:before="120" w:after="120" w:line="240" w:lineRule="atLeast"/>
              <w:rPr>
                <w:rFonts w:ascii="Arial" w:hAnsi="Arial" w:cs="Arial"/>
                <w:sz w:val="20"/>
                <w:szCs w:val="20"/>
              </w:rPr>
            </w:pPr>
            <w:r w:rsidRPr="00022931">
              <w:rPr>
                <w:rFonts w:ascii="Arial" w:hAnsi="Arial" w:cs="Arial"/>
                <w:sz w:val="20"/>
                <w:szCs w:val="20"/>
              </w:rPr>
              <w:t>[951] to [1350]</w:t>
            </w:r>
          </w:p>
        </w:tc>
        <w:tc>
          <w:tcPr>
            <w:tcW w:w="2126" w:type="dxa"/>
            <w:shd w:val="clear" w:color="auto" w:fill="FF0000"/>
          </w:tcPr>
          <w:p w:rsidRPr="00022931" w:rsidR="00DA4336" w:rsidP="00463230" w:rsidRDefault="00DA4336" w14:paraId="2F20FA7B" w14:textId="77777777">
            <w:pPr>
              <w:pStyle w:val="Default"/>
              <w:spacing w:before="120" w:after="120" w:line="240" w:lineRule="atLeast"/>
              <w:rPr>
                <w:rFonts w:ascii="Arial" w:hAnsi="Arial" w:cs="Arial"/>
                <w:sz w:val="20"/>
                <w:szCs w:val="20"/>
              </w:rPr>
            </w:pPr>
            <w:r w:rsidRPr="00022931">
              <w:rPr>
                <w:rFonts w:ascii="Arial" w:hAnsi="Arial" w:cs="Arial"/>
                <w:sz w:val="20"/>
                <w:szCs w:val="20"/>
              </w:rPr>
              <w:t>[Deduction]</w:t>
            </w:r>
          </w:p>
        </w:tc>
        <w:tc>
          <w:tcPr>
            <w:tcW w:w="2253" w:type="dxa"/>
            <w:shd w:val="clear" w:color="auto" w:fill="FF0000"/>
          </w:tcPr>
          <w:p w:rsidRPr="00022931" w:rsidR="00DA4336" w:rsidP="00836D30" w:rsidRDefault="00DA4336" w14:paraId="1F35FD27" w14:textId="0E77F3E1">
            <w:pPr>
              <w:pStyle w:val="Default"/>
              <w:spacing w:before="120" w:after="120" w:line="240" w:lineRule="atLeast"/>
              <w:rPr>
                <w:rFonts w:ascii="Arial" w:hAnsi="Arial" w:cs="Arial"/>
                <w:sz w:val="20"/>
                <w:szCs w:val="20"/>
              </w:rPr>
            </w:pPr>
            <w:r w:rsidRPr="00022931">
              <w:rPr>
                <w:rFonts w:ascii="Arial" w:hAnsi="Arial" w:cs="Arial"/>
                <w:sz w:val="20"/>
                <w:szCs w:val="20"/>
              </w:rPr>
              <w:t>[8%] of the MC</w:t>
            </w:r>
          </w:p>
        </w:tc>
      </w:tr>
      <w:tr w:rsidRPr="00022931" w:rsidR="00DA4336" w:rsidTr="00463230" w14:paraId="48CC92FD" w14:textId="77777777">
        <w:trPr>
          <w:trHeight w:val="408"/>
        </w:trPr>
        <w:tc>
          <w:tcPr>
            <w:tcW w:w="851" w:type="dxa"/>
            <w:shd w:val="clear" w:color="auto" w:fill="FF0000"/>
          </w:tcPr>
          <w:p w:rsidRPr="00022931" w:rsidR="00DA4336" w:rsidP="00463230" w:rsidRDefault="00DA4336" w14:paraId="550C28F2" w14:textId="77777777">
            <w:pPr>
              <w:pStyle w:val="Heading3"/>
              <w:numPr>
                <w:ilvl w:val="0"/>
                <w:numId w:val="0"/>
              </w:numPr>
              <w:spacing w:before="120" w:after="120" w:line="240" w:lineRule="atLeast"/>
              <w:jc w:val="left"/>
              <w:outlineLvl w:val="2"/>
              <w:rPr>
                <w:szCs w:val="20"/>
              </w:rPr>
            </w:pPr>
            <w:r w:rsidRPr="00022931">
              <w:rPr>
                <w:szCs w:val="20"/>
              </w:rPr>
              <w:t>9</w:t>
            </w:r>
          </w:p>
        </w:tc>
        <w:tc>
          <w:tcPr>
            <w:tcW w:w="3118" w:type="dxa"/>
            <w:shd w:val="clear" w:color="auto" w:fill="FF0000"/>
          </w:tcPr>
          <w:p w:rsidRPr="00022931" w:rsidR="00DA4336" w:rsidP="00463230" w:rsidRDefault="00DA4336" w14:paraId="4E8BA0CF" w14:textId="77777777">
            <w:pPr>
              <w:pStyle w:val="Default"/>
              <w:spacing w:before="120" w:after="120" w:line="240" w:lineRule="atLeast"/>
              <w:rPr>
                <w:rFonts w:ascii="Arial" w:hAnsi="Arial" w:cs="Arial"/>
                <w:sz w:val="20"/>
                <w:szCs w:val="20"/>
              </w:rPr>
            </w:pPr>
            <w:r w:rsidRPr="00022931">
              <w:rPr>
                <w:rFonts w:ascii="Arial" w:hAnsi="Arial" w:cs="Arial"/>
                <w:sz w:val="20"/>
                <w:szCs w:val="20"/>
              </w:rPr>
              <w:t>[1351] and [above]</w:t>
            </w:r>
          </w:p>
        </w:tc>
        <w:tc>
          <w:tcPr>
            <w:tcW w:w="2126" w:type="dxa"/>
            <w:shd w:val="clear" w:color="auto" w:fill="FF0000"/>
          </w:tcPr>
          <w:p w:rsidRPr="00022931" w:rsidR="00DA4336" w:rsidP="00463230" w:rsidRDefault="00DA4336" w14:paraId="5DA4F752" w14:textId="77777777">
            <w:pPr>
              <w:pStyle w:val="Default"/>
              <w:spacing w:before="120" w:after="120" w:line="240" w:lineRule="atLeast"/>
              <w:rPr>
                <w:rFonts w:ascii="Arial" w:hAnsi="Arial" w:cs="Arial"/>
                <w:sz w:val="20"/>
                <w:szCs w:val="20"/>
              </w:rPr>
            </w:pPr>
            <w:r w:rsidRPr="00022931">
              <w:rPr>
                <w:rFonts w:ascii="Arial" w:hAnsi="Arial" w:cs="Arial"/>
                <w:sz w:val="20"/>
                <w:szCs w:val="20"/>
              </w:rPr>
              <w:t>[Deduction]</w:t>
            </w:r>
          </w:p>
        </w:tc>
        <w:tc>
          <w:tcPr>
            <w:tcW w:w="2253" w:type="dxa"/>
            <w:shd w:val="clear" w:color="auto" w:fill="FF0000"/>
          </w:tcPr>
          <w:p w:rsidRPr="00022931" w:rsidR="00DA4336" w:rsidP="00836D30" w:rsidRDefault="00DA4336" w14:paraId="1CB0E1A1" w14:textId="2AD3B54A">
            <w:pPr>
              <w:pStyle w:val="Default"/>
              <w:spacing w:before="120" w:after="120" w:line="240" w:lineRule="atLeast"/>
              <w:rPr>
                <w:rFonts w:ascii="Arial" w:hAnsi="Arial" w:cs="Arial"/>
                <w:sz w:val="20"/>
                <w:szCs w:val="20"/>
              </w:rPr>
            </w:pPr>
            <w:r w:rsidRPr="00022931">
              <w:rPr>
                <w:rFonts w:ascii="Arial" w:hAnsi="Arial" w:cs="Arial"/>
                <w:sz w:val="20"/>
                <w:szCs w:val="20"/>
              </w:rPr>
              <w:t>[10%] of the MC</w:t>
            </w:r>
          </w:p>
        </w:tc>
      </w:tr>
    </w:tbl>
    <w:p w:rsidRPr="00022931" w:rsidR="00DA4336" w:rsidP="00DA4336" w:rsidRDefault="00DA4336" w14:paraId="6B2FC1E8" w14:textId="77777777">
      <w:pPr>
        <w:pStyle w:val="Heading2"/>
        <w:spacing w:before="280"/>
        <w:rPr>
          <w:b/>
        </w:rPr>
      </w:pPr>
      <w:bookmarkStart w:name="_Ref89420910" w:id="35"/>
      <w:r w:rsidRPr="00022931">
        <w:rPr>
          <w:b/>
        </w:rPr>
        <w:t>Earn-Back Mechanism</w:t>
      </w:r>
      <w:bookmarkEnd w:id="35"/>
    </w:p>
    <w:p w:rsidRPr="00022931" w:rsidR="00DA4336" w:rsidP="00DA4336" w:rsidRDefault="00DA4336" w14:paraId="222EE4DC" w14:textId="2B1B0864">
      <w:pPr>
        <w:pStyle w:val="Heading3"/>
      </w:pPr>
      <w:bookmarkStart w:name="_Ref89421676" w:id="36"/>
      <w:r w:rsidRPr="00022931">
        <w:t xml:space="preserve">If, in any </w:t>
      </w:r>
      <w:r w:rsidR="00474C5A">
        <w:t>Month</w:t>
      </w:r>
      <w:r w:rsidRPr="00022931">
        <w:t xml:space="preserve">, the Contractor's accrual of NPPs with respect to KPI 1 and / or KPI 2 falls within NPP Band 2 – 4, the Authority shall, subject to </w:t>
      </w:r>
      <w:r w:rsidRPr="00022931" w:rsidR="00A6245B">
        <w:rPr>
          <w:szCs w:val="20"/>
        </w:rPr>
        <w:t>Paragraph</w:t>
      </w:r>
      <w:r w:rsidRPr="00022931">
        <w:t xml:space="preserve"> </w:t>
      </w:r>
      <w:r w:rsidRPr="00022931" w:rsidR="00515B9D">
        <w:fldChar w:fldCharType="begin"/>
      </w:r>
      <w:r w:rsidRPr="00022931" w:rsidR="00515B9D">
        <w:instrText xml:space="preserve"> REF _Ref89420910 \r \h </w:instrText>
      </w:r>
      <w:r w:rsidRPr="00022931" w:rsidR="00515B9D">
        <w:fldChar w:fldCharType="separate"/>
      </w:r>
      <w:r w:rsidR="004458E3">
        <w:t>4.2</w:t>
      </w:r>
      <w:r w:rsidRPr="00022931" w:rsidR="00515B9D">
        <w:fldChar w:fldCharType="end"/>
      </w:r>
      <w:r w:rsidRPr="00022931" w:rsidR="00515B9D">
        <w:fldChar w:fldCharType="begin"/>
      </w:r>
      <w:r w:rsidRPr="00022931" w:rsidR="00515B9D">
        <w:instrText xml:space="preserve"> REF _Ref89421649 \r \h </w:instrText>
      </w:r>
      <w:r w:rsidRPr="00022931" w:rsidR="00515B9D">
        <w:fldChar w:fldCharType="separate"/>
      </w:r>
      <w:r w:rsidR="004458E3">
        <w:t>(b)</w:t>
      </w:r>
      <w:r w:rsidRPr="00022931" w:rsidR="00515B9D">
        <w:fldChar w:fldCharType="end"/>
      </w:r>
      <w:r w:rsidRPr="00022931">
        <w:t xml:space="preserve"> below, be entitled to retain the portion of the MC corresponding to the relevant NPP Band as set out in the Non-Performance Points Deduction Table.</w:t>
      </w:r>
      <w:bookmarkEnd w:id="36"/>
    </w:p>
    <w:p w:rsidRPr="00022931" w:rsidR="00DA4336" w:rsidP="00DA4336" w:rsidRDefault="00DA4336" w14:paraId="7C0E7DE5" w14:textId="7C7B1233">
      <w:pPr>
        <w:pStyle w:val="Heading3"/>
      </w:pPr>
      <w:bookmarkStart w:name="_Ref89421649" w:id="37"/>
      <w:r w:rsidRPr="00022931">
        <w:t xml:space="preserve">If, </w:t>
      </w:r>
      <w:r w:rsidRPr="00022931" w:rsidR="000F6DF7">
        <w:t xml:space="preserve">in any </w:t>
      </w:r>
      <w:r w:rsidR="00474C5A">
        <w:t>Month</w:t>
      </w:r>
      <w:r w:rsidRPr="00022931" w:rsidR="000F6DF7">
        <w:t xml:space="preserve"> leading up to and including</w:t>
      </w:r>
      <w:r w:rsidRPr="00022931">
        <w:t xml:space="preserve"> the </w:t>
      </w:r>
      <w:r w:rsidR="00474C5A">
        <w:t>Month</w:t>
      </w:r>
      <w:r w:rsidRPr="00022931">
        <w:t xml:space="preserve"> falling three (3) </w:t>
      </w:r>
      <w:r w:rsidR="00474C5A">
        <w:t>Month</w:t>
      </w:r>
      <w:r w:rsidRPr="00022931" w:rsidR="00C627F7">
        <w:t>s</w:t>
      </w:r>
      <w:r w:rsidRPr="00022931">
        <w:t xml:space="preserve"> after the </w:t>
      </w:r>
      <w:bookmarkStart w:name="_Hlk111715336" w:id="38"/>
      <w:r w:rsidR="00CA2AB8">
        <w:t>Month M-2 in which</w:t>
      </w:r>
      <w:r w:rsidR="00CF452F">
        <w:t xml:space="preserve"> </w:t>
      </w:r>
      <w:r w:rsidR="00CA2AB8">
        <w:t>the relevant</w:t>
      </w:r>
      <w:r w:rsidR="00CF452F">
        <w:t xml:space="preserve"> number of NPPs</w:t>
      </w:r>
      <w:r w:rsidR="00CA2AB8">
        <w:t xml:space="preserve"> were</w:t>
      </w:r>
      <w:r w:rsidR="00CF452F">
        <w:t xml:space="preserve"> accrued by the Contractor </w:t>
      </w:r>
      <w:bookmarkEnd w:id="38"/>
      <w:r w:rsidR="00CA2AB8">
        <w:t xml:space="preserve">, giving </w:t>
      </w:r>
      <w:r w:rsidR="00730093">
        <w:t xml:space="preserve">rise to the </w:t>
      </w:r>
      <w:r w:rsidRPr="00022931">
        <w:t xml:space="preserve">Authority's </w:t>
      </w:r>
      <w:r w:rsidR="00660323">
        <w:t xml:space="preserve">retention </w:t>
      </w:r>
      <w:r w:rsidRPr="00022931">
        <w:t>against the MC</w:t>
      </w:r>
      <w:r w:rsidRPr="00022931" w:rsidR="00C627F7">
        <w:t xml:space="preserve"> (</w:t>
      </w:r>
      <w:r w:rsidRPr="00022931" w:rsidR="00991F70">
        <w:t>"</w:t>
      </w:r>
      <w:r w:rsidRPr="00083327" w:rsidR="00474C5A">
        <w:rPr>
          <w:b/>
        </w:rPr>
        <w:t>Month</w:t>
      </w:r>
      <w:r w:rsidRPr="00083327" w:rsidR="00730093">
        <w:rPr>
          <w:b/>
        </w:rPr>
        <w:t xml:space="preserve"> </w:t>
      </w:r>
      <w:r w:rsidRPr="00083327" w:rsidR="005A0105">
        <w:rPr>
          <w:b/>
        </w:rPr>
        <w:t xml:space="preserve">M + </w:t>
      </w:r>
      <w:r w:rsidR="00CA2AB8">
        <w:rPr>
          <w:b/>
        </w:rPr>
        <w:t>1</w:t>
      </w:r>
      <w:r w:rsidRPr="00022931" w:rsidR="00C627F7">
        <w:t>")</w:t>
      </w:r>
      <w:r w:rsidRPr="00022931">
        <w:t xml:space="preserve"> as set out in </w:t>
      </w:r>
      <w:r w:rsidRPr="00022931" w:rsidR="00A6245B">
        <w:rPr>
          <w:szCs w:val="20"/>
        </w:rPr>
        <w:t>Paragraph</w:t>
      </w:r>
      <w:r w:rsidRPr="00022931">
        <w:t xml:space="preserve"> </w:t>
      </w:r>
      <w:r w:rsidRPr="00022931" w:rsidR="00515B9D">
        <w:fldChar w:fldCharType="begin"/>
      </w:r>
      <w:r w:rsidRPr="00022931" w:rsidR="00515B9D">
        <w:instrText xml:space="preserve"> REF _Ref89420910 \r \h </w:instrText>
      </w:r>
      <w:r w:rsidRPr="00022931" w:rsidR="00093C3F">
        <w:instrText xml:space="preserve"> \* MERGEFORMAT </w:instrText>
      </w:r>
      <w:r w:rsidRPr="00022931" w:rsidR="00515B9D">
        <w:fldChar w:fldCharType="separate"/>
      </w:r>
      <w:r w:rsidR="004458E3">
        <w:t>4.2</w:t>
      </w:r>
      <w:r w:rsidRPr="00022931" w:rsidR="00515B9D">
        <w:fldChar w:fldCharType="end"/>
      </w:r>
      <w:r w:rsidRPr="00022931" w:rsidR="00515B9D">
        <w:fldChar w:fldCharType="begin"/>
      </w:r>
      <w:r w:rsidRPr="00022931" w:rsidR="00515B9D">
        <w:instrText xml:space="preserve"> REF _Ref89421676 \r \h </w:instrText>
      </w:r>
      <w:r w:rsidRPr="00022931" w:rsidR="00093C3F">
        <w:instrText xml:space="preserve"> \* MERGEFORMAT </w:instrText>
      </w:r>
      <w:r w:rsidRPr="00022931" w:rsidR="00515B9D">
        <w:fldChar w:fldCharType="separate"/>
      </w:r>
      <w:r w:rsidR="004458E3">
        <w:t>(a)</w:t>
      </w:r>
      <w:r w:rsidRPr="00022931" w:rsidR="00515B9D">
        <w:fldChar w:fldCharType="end"/>
      </w:r>
      <w:r w:rsidRPr="00022931">
        <w:t xml:space="preserve"> above:</w:t>
      </w:r>
      <w:bookmarkEnd w:id="37"/>
      <w:r w:rsidRPr="00022931">
        <w:t xml:space="preserve"> </w:t>
      </w:r>
    </w:p>
    <w:p w:rsidRPr="00023175" w:rsidR="00DA4336" w:rsidP="00DA4336" w:rsidRDefault="00DA4336" w14:paraId="5300C050" w14:textId="567A1079">
      <w:pPr>
        <w:pStyle w:val="Heading5"/>
        <w:rPr>
          <w:rFonts w:cs="Arial"/>
        </w:rPr>
      </w:pPr>
      <w:r w:rsidRPr="00AF24F8">
        <w:rPr>
          <w:rFonts w:cs="Arial"/>
        </w:rPr>
        <w:lastRenderedPageBreak/>
        <w:t xml:space="preserve">the Contractor's </w:t>
      </w:r>
      <w:r w:rsidR="00730093">
        <w:rPr>
          <w:rFonts w:cs="Arial"/>
        </w:rPr>
        <w:t>delivery</w:t>
      </w:r>
      <w:r w:rsidRPr="00AF24F8" w:rsidR="00730093">
        <w:rPr>
          <w:rFonts w:cs="Arial"/>
        </w:rPr>
        <w:t xml:space="preserve"> </w:t>
      </w:r>
      <w:r w:rsidRPr="00AF24F8">
        <w:rPr>
          <w:rFonts w:cs="Arial"/>
        </w:rPr>
        <w:t xml:space="preserve">of the Services improves so that the </w:t>
      </w:r>
      <w:r w:rsidRPr="00AF24F8" w:rsidR="003E332C">
        <w:rPr>
          <w:rFonts w:cs="Arial"/>
        </w:rPr>
        <w:t xml:space="preserve">Total </w:t>
      </w:r>
      <w:r w:rsidRPr="00023175">
        <w:rPr>
          <w:rFonts w:cs="Arial"/>
        </w:rPr>
        <w:t xml:space="preserve">NPPs accrued in </w:t>
      </w:r>
      <w:r w:rsidRPr="00023175" w:rsidR="00372114">
        <w:rPr>
          <w:rFonts w:cs="Arial"/>
        </w:rPr>
        <w:t xml:space="preserve">any of the </w:t>
      </w:r>
      <w:r w:rsidR="00474C5A">
        <w:rPr>
          <w:rFonts w:cs="Arial"/>
        </w:rPr>
        <w:t>Month</w:t>
      </w:r>
      <w:r w:rsidRPr="00023175" w:rsidR="006902A7">
        <w:rPr>
          <w:rFonts w:cs="Arial"/>
        </w:rPr>
        <w:t xml:space="preserve">s </w:t>
      </w:r>
      <w:r w:rsidRPr="00023175" w:rsidR="00783821">
        <w:rPr>
          <w:rFonts w:cs="Arial"/>
        </w:rPr>
        <w:t>leading</w:t>
      </w:r>
      <w:r w:rsidRPr="00023175" w:rsidR="00372114">
        <w:rPr>
          <w:rFonts w:cs="Arial"/>
        </w:rPr>
        <w:t xml:space="preserve"> up to and including</w:t>
      </w:r>
      <w:r w:rsidRPr="00023175" w:rsidR="00C627F7">
        <w:rPr>
          <w:rFonts w:cs="Arial"/>
        </w:rPr>
        <w:t xml:space="preserve"> </w:t>
      </w:r>
      <w:r w:rsidR="00474C5A">
        <w:rPr>
          <w:rFonts w:cs="Arial"/>
        </w:rPr>
        <w:t>Month</w:t>
      </w:r>
      <w:r w:rsidRPr="00023175" w:rsidR="006902A7">
        <w:rPr>
          <w:rFonts w:cs="Arial"/>
        </w:rPr>
        <w:t xml:space="preserve"> </w:t>
      </w:r>
      <w:r w:rsidRPr="00023175" w:rsidR="005A0105">
        <w:rPr>
          <w:rFonts w:cs="Arial"/>
        </w:rPr>
        <w:t>M +</w:t>
      </w:r>
      <w:r w:rsidRPr="00023175" w:rsidR="00C627F7">
        <w:rPr>
          <w:rFonts w:cs="Arial"/>
        </w:rPr>
        <w:t xml:space="preserve"> </w:t>
      </w:r>
      <w:r w:rsidR="00CA2AB8">
        <w:rPr>
          <w:rFonts w:cs="Arial"/>
        </w:rPr>
        <w:t>1</w:t>
      </w:r>
      <w:r w:rsidRPr="00023175" w:rsidR="00CA2AB8">
        <w:rPr>
          <w:rFonts w:cs="Arial"/>
        </w:rPr>
        <w:t xml:space="preserve"> </w:t>
      </w:r>
      <w:r w:rsidRPr="00023175">
        <w:rPr>
          <w:rFonts w:cs="Arial"/>
        </w:rPr>
        <w:t xml:space="preserve">fall within NPP Band 0 or NPP Band 1, the Authority shall return the amount previously retained against the MC to the </w:t>
      </w:r>
      <w:proofErr w:type="gramStart"/>
      <w:r w:rsidRPr="00023175">
        <w:rPr>
          <w:rFonts w:cs="Arial"/>
        </w:rPr>
        <w:t>Contractor;</w:t>
      </w:r>
      <w:proofErr w:type="gramEnd"/>
      <w:r w:rsidRPr="00023175">
        <w:rPr>
          <w:rFonts w:cs="Arial"/>
        </w:rPr>
        <w:t xml:space="preserve"> </w:t>
      </w:r>
    </w:p>
    <w:p w:rsidRPr="00AF24F8" w:rsidR="00C93F0D" w:rsidP="00DA4336" w:rsidRDefault="00DA4336" w14:paraId="32E7E4AA" w14:textId="048E492E">
      <w:pPr>
        <w:pStyle w:val="Heading5"/>
        <w:rPr>
          <w:rFonts w:cs="Arial"/>
        </w:rPr>
      </w:pPr>
      <w:r w:rsidRPr="00023175">
        <w:rPr>
          <w:rFonts w:cs="Arial"/>
        </w:rPr>
        <w:t xml:space="preserve">if the Contractor's </w:t>
      </w:r>
      <w:r w:rsidR="00730093">
        <w:rPr>
          <w:rFonts w:cs="Arial"/>
        </w:rPr>
        <w:t>delivery</w:t>
      </w:r>
      <w:r w:rsidRPr="00023175">
        <w:rPr>
          <w:rFonts w:cs="Arial"/>
        </w:rPr>
        <w:t xml:space="preserve"> of the Services does not </w:t>
      </w:r>
      <w:r w:rsidRPr="00023175" w:rsidR="000F6DF7">
        <w:rPr>
          <w:rFonts w:cs="Arial"/>
        </w:rPr>
        <w:t xml:space="preserve">improve </w:t>
      </w:r>
      <w:proofErr w:type="gramStart"/>
      <w:r w:rsidRPr="00023175">
        <w:rPr>
          <w:rFonts w:cs="Arial"/>
        </w:rPr>
        <w:t>so as to</w:t>
      </w:r>
      <w:proofErr w:type="gramEnd"/>
      <w:r w:rsidRPr="00023175">
        <w:rPr>
          <w:rFonts w:cs="Arial"/>
        </w:rPr>
        <w:t xml:space="preserve"> cause the </w:t>
      </w:r>
      <w:r w:rsidRPr="00023175" w:rsidR="003E332C">
        <w:rPr>
          <w:rFonts w:cs="Arial"/>
        </w:rPr>
        <w:t xml:space="preserve">Total </w:t>
      </w:r>
      <w:r w:rsidRPr="00023175">
        <w:rPr>
          <w:rFonts w:cs="Arial"/>
          <w:bCs w:val="0"/>
          <w:iCs w:val="0"/>
        </w:rPr>
        <w:t xml:space="preserve">NPPs accrued in </w:t>
      </w:r>
      <w:r w:rsidRPr="00023175" w:rsidR="00C627F7">
        <w:rPr>
          <w:rFonts w:cs="Arial"/>
          <w:bCs w:val="0"/>
          <w:iCs w:val="0"/>
        </w:rPr>
        <w:t xml:space="preserve">any of the </w:t>
      </w:r>
      <w:r w:rsidR="00474C5A">
        <w:rPr>
          <w:rFonts w:cs="Arial"/>
        </w:rPr>
        <w:t>Month</w:t>
      </w:r>
      <w:r w:rsidRPr="00023175" w:rsidR="00C627F7">
        <w:rPr>
          <w:rFonts w:cs="Arial"/>
          <w:bCs w:val="0"/>
          <w:iCs w:val="0"/>
        </w:rPr>
        <w:t>s</w:t>
      </w:r>
      <w:r w:rsidRPr="00023175" w:rsidR="00783821">
        <w:rPr>
          <w:rFonts w:cs="Arial"/>
          <w:bCs w:val="0"/>
          <w:iCs w:val="0"/>
        </w:rPr>
        <w:t xml:space="preserve"> leading</w:t>
      </w:r>
      <w:r w:rsidRPr="00023175" w:rsidR="00C627F7">
        <w:rPr>
          <w:rFonts w:cs="Arial"/>
          <w:bCs w:val="0"/>
          <w:iCs w:val="0"/>
        </w:rPr>
        <w:t xml:space="preserve"> up to and including </w:t>
      </w:r>
      <w:r w:rsidR="00474C5A">
        <w:rPr>
          <w:rFonts w:cs="Arial"/>
        </w:rPr>
        <w:t>Month</w:t>
      </w:r>
      <w:r w:rsidRPr="00023175" w:rsidDel="009A01CB" w:rsidR="009A01CB">
        <w:rPr>
          <w:rFonts w:cs="Arial"/>
          <w:bCs w:val="0"/>
          <w:iCs w:val="0"/>
        </w:rPr>
        <w:t xml:space="preserve"> </w:t>
      </w:r>
      <w:r w:rsidRPr="00023175" w:rsidR="005A0105">
        <w:rPr>
          <w:rFonts w:cs="Arial"/>
          <w:bCs w:val="0"/>
          <w:iCs w:val="0"/>
        </w:rPr>
        <w:t>M +</w:t>
      </w:r>
      <w:r w:rsidRPr="00023175" w:rsidR="00C627F7">
        <w:rPr>
          <w:rFonts w:cs="Arial"/>
          <w:bCs w:val="0"/>
          <w:iCs w:val="0"/>
        </w:rPr>
        <w:t xml:space="preserve"> </w:t>
      </w:r>
      <w:r w:rsidR="00CA2AB8">
        <w:rPr>
          <w:rFonts w:cs="Arial"/>
          <w:bCs w:val="0"/>
          <w:iCs w:val="0"/>
        </w:rPr>
        <w:t>1</w:t>
      </w:r>
      <w:r w:rsidRPr="00023175" w:rsidR="00CA2AB8">
        <w:rPr>
          <w:rFonts w:cs="Arial"/>
          <w:bCs w:val="0"/>
          <w:iCs w:val="0"/>
        </w:rPr>
        <w:t xml:space="preserve"> </w:t>
      </w:r>
      <w:r w:rsidRPr="00023175">
        <w:rPr>
          <w:rFonts w:cs="Arial"/>
          <w:bCs w:val="0"/>
          <w:iCs w:val="0"/>
        </w:rPr>
        <w:t>to fall within NPP Band 0 or NPP Band 1, the</w:t>
      </w:r>
      <w:r w:rsidRPr="00023175">
        <w:rPr>
          <w:rFonts w:cs="Arial"/>
        </w:rPr>
        <w:t xml:space="preserve"> retention against the MC made by the Authority shall be</w:t>
      </w:r>
      <w:r w:rsidR="006902A7">
        <w:rPr>
          <w:rFonts w:cs="Arial"/>
        </w:rPr>
        <w:t>come</w:t>
      </w:r>
      <w:r w:rsidRPr="00023175">
        <w:rPr>
          <w:rFonts w:cs="Arial"/>
        </w:rPr>
        <w:t xml:space="preserve"> and this Earn-Back Mechanism shall no longer apply to that particular retention</w:t>
      </w:r>
      <w:r w:rsidR="00022931">
        <w:rPr>
          <w:rFonts w:cs="Arial"/>
        </w:rPr>
        <w:t>.</w:t>
      </w:r>
    </w:p>
    <w:p w:rsidR="008B0D35" w:rsidP="008B0D35" w:rsidRDefault="00DA4336" w14:paraId="49DAC63F" w14:textId="4BB9A452">
      <w:pPr>
        <w:pStyle w:val="Heading3"/>
      </w:pPr>
      <w:r w:rsidRPr="00022931">
        <w:t xml:space="preserve">The process set out in </w:t>
      </w:r>
      <w:r w:rsidRPr="00022931" w:rsidR="00A6245B">
        <w:rPr>
          <w:szCs w:val="20"/>
        </w:rPr>
        <w:t>Paragraph</w:t>
      </w:r>
      <w:r w:rsidRPr="00022931">
        <w:t xml:space="preserve"> </w:t>
      </w:r>
      <w:r w:rsidRPr="00022931" w:rsidR="00515B9D">
        <w:fldChar w:fldCharType="begin"/>
      </w:r>
      <w:r w:rsidRPr="00022931" w:rsidR="00515B9D">
        <w:instrText xml:space="preserve"> REF _Ref89420910 \r \h </w:instrText>
      </w:r>
      <w:r w:rsidRPr="00022931" w:rsidR="00515B9D">
        <w:fldChar w:fldCharType="separate"/>
      </w:r>
      <w:r w:rsidR="004458E3">
        <w:t>4.2</w:t>
      </w:r>
      <w:r w:rsidRPr="00022931" w:rsidR="00515B9D">
        <w:fldChar w:fldCharType="end"/>
      </w:r>
      <w:r w:rsidRPr="00022931" w:rsidR="00515B9D">
        <w:fldChar w:fldCharType="begin"/>
      </w:r>
      <w:r w:rsidRPr="00022931" w:rsidR="00515B9D">
        <w:instrText xml:space="preserve"> REF _Ref89421649 \r \h </w:instrText>
      </w:r>
      <w:r w:rsidRPr="00022931" w:rsidR="00515B9D">
        <w:fldChar w:fldCharType="separate"/>
      </w:r>
      <w:r w:rsidR="004458E3">
        <w:t>(b)</w:t>
      </w:r>
      <w:r w:rsidRPr="00022931" w:rsidR="00515B9D">
        <w:fldChar w:fldCharType="end"/>
      </w:r>
      <w:r w:rsidRPr="00022931">
        <w:t xml:space="preserve"> above shall be known as the "</w:t>
      </w:r>
      <w:r w:rsidRPr="00022931">
        <w:rPr>
          <w:b/>
        </w:rPr>
        <w:t>Earn-Back Mechanism</w:t>
      </w:r>
      <w:r w:rsidRPr="00022931">
        <w:t>".</w:t>
      </w:r>
    </w:p>
    <w:p w:rsidRPr="008B0D35" w:rsidR="008B0D35" w:rsidP="008B0D35" w:rsidRDefault="008B0D35" w14:paraId="2D604DF0" w14:textId="370E3D55">
      <w:pPr>
        <w:pStyle w:val="Heading3"/>
      </w:pPr>
      <w:r>
        <w:t>The Earn-Back Mechanism shall not apply to any deductions made by the Authority against the MC in accordance with the Non-Performance Points Deduction Table, and such deductions shall be permanent.</w:t>
      </w:r>
    </w:p>
    <w:p w:rsidRPr="00022931" w:rsidR="0073396B" w:rsidP="00730657" w:rsidRDefault="0073396B" w14:paraId="373352EE" w14:textId="6D1D5A1A">
      <w:pPr>
        <w:pStyle w:val="Heading2"/>
        <w:spacing w:before="280"/>
        <w:rPr>
          <w:b/>
        </w:rPr>
      </w:pPr>
      <w:bookmarkStart w:name="_Ref108173145" w:id="39"/>
      <w:r w:rsidRPr="00022931">
        <w:rPr>
          <w:b/>
        </w:rPr>
        <w:t>NPPs on Expiry or Termination</w:t>
      </w:r>
      <w:bookmarkEnd w:id="39"/>
      <w:r w:rsidRPr="00022931">
        <w:rPr>
          <w:b/>
        </w:rPr>
        <w:t xml:space="preserve"> </w:t>
      </w:r>
    </w:p>
    <w:p w:rsidRPr="00022931" w:rsidR="0073396B" w:rsidP="00730657" w:rsidRDefault="0086771A" w14:paraId="47015199" w14:textId="2B4CF6DE">
      <w:pPr>
        <w:pStyle w:val="Heading3"/>
        <w:rPr>
          <w:szCs w:val="20"/>
        </w:rPr>
      </w:pPr>
      <w:r w:rsidRPr="00022931">
        <w:rPr>
          <w:szCs w:val="20"/>
        </w:rPr>
        <w:t>On termination or expiry of the</w:t>
      </w:r>
      <w:r w:rsidRPr="00022931" w:rsidR="0073396B">
        <w:rPr>
          <w:szCs w:val="20"/>
        </w:rPr>
        <w:t xml:space="preserve"> Contract, </w:t>
      </w:r>
      <w:r w:rsidR="00A60A2D">
        <w:rPr>
          <w:szCs w:val="20"/>
        </w:rPr>
        <w:t xml:space="preserve">all retentions that have been levied </w:t>
      </w:r>
      <w:proofErr w:type="gramStart"/>
      <w:r w:rsidR="00A60A2D">
        <w:rPr>
          <w:szCs w:val="20"/>
        </w:rPr>
        <w:t>as a result of</w:t>
      </w:r>
      <w:proofErr w:type="gramEnd"/>
      <w:r w:rsidR="00A60A2D">
        <w:rPr>
          <w:szCs w:val="20"/>
        </w:rPr>
        <w:t xml:space="preserve"> NPPs that have not been released</w:t>
      </w:r>
      <w:r w:rsidRPr="00022931">
        <w:rPr>
          <w:szCs w:val="20"/>
        </w:rPr>
        <w:t xml:space="preserve"> to the Contractor as a result of the Earn-Back Mechanism</w:t>
      </w:r>
      <w:r w:rsidRPr="00022931" w:rsidR="00846388">
        <w:rPr>
          <w:szCs w:val="20"/>
        </w:rPr>
        <w:t xml:space="preserve"> shall be</w:t>
      </w:r>
      <w:r w:rsidRPr="00022931" w:rsidR="0073396B">
        <w:rPr>
          <w:szCs w:val="20"/>
        </w:rPr>
        <w:t xml:space="preserve">: </w:t>
      </w:r>
    </w:p>
    <w:p w:rsidRPr="00022931" w:rsidR="0073396B" w:rsidP="00730657" w:rsidRDefault="0073396B" w14:paraId="18A42BF5" w14:textId="126F12F3">
      <w:pPr>
        <w:pStyle w:val="Heading5"/>
        <w:rPr>
          <w:rFonts w:cs="Arial"/>
          <w:szCs w:val="20"/>
        </w:rPr>
      </w:pPr>
      <w:r w:rsidRPr="00022931">
        <w:rPr>
          <w:rFonts w:cs="Arial"/>
          <w:szCs w:val="20"/>
        </w:rPr>
        <w:t xml:space="preserve">released to the Contractor in the event of termination of this Contract pursuant to Clause </w:t>
      </w:r>
      <w:r w:rsidRPr="00022931" w:rsidR="004C0ABB">
        <w:rPr>
          <w:rFonts w:cs="Arial"/>
          <w:szCs w:val="20"/>
        </w:rPr>
        <w:t>57</w:t>
      </w:r>
      <w:r w:rsidRPr="00022931">
        <w:rPr>
          <w:rFonts w:cs="Arial"/>
          <w:szCs w:val="20"/>
        </w:rPr>
        <w:t xml:space="preserve"> (</w:t>
      </w:r>
      <w:r w:rsidRPr="00022931">
        <w:rPr>
          <w:rFonts w:cs="Arial"/>
          <w:i/>
          <w:szCs w:val="20"/>
        </w:rPr>
        <w:t>Termination for Authority Default</w:t>
      </w:r>
      <w:r w:rsidRPr="00022931" w:rsidR="004C0ABB">
        <w:rPr>
          <w:rFonts w:cs="Arial"/>
          <w:szCs w:val="20"/>
        </w:rPr>
        <w:t>) or Clause 59</w:t>
      </w:r>
      <w:r w:rsidRPr="00022931">
        <w:rPr>
          <w:rFonts w:cs="Arial"/>
          <w:szCs w:val="20"/>
        </w:rPr>
        <w:t xml:space="preserve"> (</w:t>
      </w:r>
      <w:r w:rsidRPr="00022931" w:rsidR="004C0ABB">
        <w:rPr>
          <w:rFonts w:cs="Arial"/>
          <w:i/>
          <w:szCs w:val="20"/>
        </w:rPr>
        <w:t>Authority Voluntary Termination Right</w:t>
      </w:r>
      <w:r w:rsidRPr="00022931">
        <w:rPr>
          <w:rFonts w:cs="Arial"/>
          <w:szCs w:val="20"/>
        </w:rPr>
        <w:t>)</w:t>
      </w:r>
      <w:r w:rsidR="00306FC5">
        <w:rPr>
          <w:rFonts w:cs="Arial"/>
          <w:szCs w:val="20"/>
        </w:rPr>
        <w:t xml:space="preserve"> and Schedule 20 (</w:t>
      </w:r>
      <w:r w:rsidR="00306FC5">
        <w:rPr>
          <w:rFonts w:cs="Arial"/>
          <w:i/>
          <w:szCs w:val="20"/>
        </w:rPr>
        <w:t>Compensation on Termination</w:t>
      </w:r>
      <w:proofErr w:type="gramStart"/>
      <w:r w:rsidR="00306FC5">
        <w:rPr>
          <w:rFonts w:cs="Arial"/>
          <w:szCs w:val="20"/>
        </w:rPr>
        <w:t>)</w:t>
      </w:r>
      <w:r w:rsidRPr="00022931">
        <w:rPr>
          <w:rFonts w:cs="Arial"/>
          <w:szCs w:val="20"/>
        </w:rPr>
        <w:t>;</w:t>
      </w:r>
      <w:proofErr w:type="gramEnd"/>
    </w:p>
    <w:p w:rsidRPr="00022931" w:rsidR="0073396B" w:rsidP="00730657" w:rsidRDefault="0073396B" w14:paraId="6D371385" w14:textId="481D50EF">
      <w:pPr>
        <w:pStyle w:val="Heading5"/>
        <w:rPr>
          <w:rFonts w:cs="Arial"/>
          <w:szCs w:val="20"/>
          <w:lang w:val="en-US"/>
        </w:rPr>
      </w:pPr>
      <w:r w:rsidRPr="00022931">
        <w:rPr>
          <w:rFonts w:cs="Arial"/>
          <w:szCs w:val="20"/>
        </w:rPr>
        <w:t xml:space="preserve">retained by the Authority in the event of termination of this Contract pursuant to </w:t>
      </w:r>
      <w:r w:rsidRPr="00022931">
        <w:rPr>
          <w:rFonts w:cs="Arial"/>
          <w:szCs w:val="20"/>
          <w:lang w:val="en-US"/>
        </w:rPr>
        <w:t xml:space="preserve">Clause </w:t>
      </w:r>
      <w:r w:rsidRPr="00022931" w:rsidR="004C0ABB">
        <w:rPr>
          <w:rFonts w:cs="Arial"/>
          <w:szCs w:val="20"/>
          <w:lang w:val="en-US"/>
        </w:rPr>
        <w:t>56</w:t>
      </w:r>
      <w:r w:rsidRPr="00022931">
        <w:rPr>
          <w:rFonts w:cs="Arial"/>
          <w:szCs w:val="20"/>
          <w:lang w:val="en-US"/>
        </w:rPr>
        <w:t xml:space="preserve"> (</w:t>
      </w:r>
      <w:r w:rsidRPr="00022931">
        <w:rPr>
          <w:rFonts w:cs="Arial"/>
          <w:i/>
          <w:szCs w:val="20"/>
          <w:lang w:val="en-US"/>
        </w:rPr>
        <w:t>Termination for Contractor Default</w:t>
      </w:r>
      <w:r w:rsidRPr="00022931" w:rsidR="004C0ABB">
        <w:rPr>
          <w:rFonts w:cs="Arial"/>
          <w:szCs w:val="20"/>
          <w:lang w:val="en-US"/>
        </w:rPr>
        <w:t>) or</w:t>
      </w:r>
      <w:r w:rsidRPr="00022931">
        <w:rPr>
          <w:rFonts w:cs="Arial"/>
          <w:szCs w:val="20"/>
          <w:lang w:val="en-US"/>
        </w:rPr>
        <w:t xml:space="preserve"> Clause </w:t>
      </w:r>
      <w:r w:rsidRPr="00022931" w:rsidR="004C0ABB">
        <w:rPr>
          <w:rFonts w:cs="Arial"/>
          <w:szCs w:val="20"/>
          <w:lang w:val="en-US"/>
        </w:rPr>
        <w:t>58</w:t>
      </w:r>
      <w:r w:rsidRPr="00022931">
        <w:rPr>
          <w:rFonts w:cs="Arial"/>
          <w:szCs w:val="20"/>
          <w:lang w:val="en-US"/>
        </w:rPr>
        <w:t xml:space="preserve"> (</w:t>
      </w:r>
      <w:r w:rsidRPr="00022931">
        <w:rPr>
          <w:rFonts w:cs="Arial"/>
          <w:i/>
          <w:szCs w:val="20"/>
          <w:lang w:val="en-US"/>
        </w:rPr>
        <w:t xml:space="preserve">Termination for Prohibited </w:t>
      </w:r>
      <w:r w:rsidRPr="00022931">
        <w:rPr>
          <w:rFonts w:cs="Arial"/>
          <w:i/>
          <w:szCs w:val="20"/>
        </w:rPr>
        <w:t>Acts</w:t>
      </w:r>
      <w:r w:rsidRPr="00022931" w:rsidR="004C0ABB">
        <w:rPr>
          <w:rFonts w:cs="Arial"/>
          <w:szCs w:val="20"/>
        </w:rPr>
        <w:t xml:space="preserve"> </w:t>
      </w:r>
      <w:r w:rsidRPr="00022931" w:rsidR="004C0ABB">
        <w:rPr>
          <w:rFonts w:cs="Arial"/>
          <w:i/>
          <w:szCs w:val="20"/>
        </w:rPr>
        <w:t>(DEFCON 520 (08/21</w:t>
      </w:r>
      <w:r w:rsidRPr="00022931" w:rsidR="004C0ABB">
        <w:rPr>
          <w:rFonts w:cs="Arial"/>
          <w:szCs w:val="20"/>
        </w:rPr>
        <w:t>)</w:t>
      </w:r>
      <w:r w:rsidRPr="00022931">
        <w:rPr>
          <w:rFonts w:cs="Arial"/>
          <w:szCs w:val="20"/>
          <w:lang w:val="en-US"/>
        </w:rPr>
        <w:t>)</w:t>
      </w:r>
      <w:r w:rsidRPr="00306FC5" w:rsidR="00306FC5">
        <w:rPr>
          <w:rFonts w:cs="Arial"/>
          <w:szCs w:val="20"/>
        </w:rPr>
        <w:t xml:space="preserve"> </w:t>
      </w:r>
      <w:r w:rsidR="00306FC5">
        <w:rPr>
          <w:rFonts w:cs="Arial"/>
          <w:szCs w:val="20"/>
        </w:rPr>
        <w:t>and Schedule 20 (</w:t>
      </w:r>
      <w:r w:rsidR="00306FC5">
        <w:rPr>
          <w:rFonts w:cs="Arial"/>
          <w:i/>
          <w:szCs w:val="20"/>
        </w:rPr>
        <w:t>Compensation on Termination</w:t>
      </w:r>
      <w:r w:rsidR="00306FC5">
        <w:rPr>
          <w:rFonts w:cs="Arial"/>
          <w:szCs w:val="20"/>
        </w:rPr>
        <w:t>)</w:t>
      </w:r>
      <w:r w:rsidRPr="00022931">
        <w:rPr>
          <w:rFonts w:cs="Arial"/>
          <w:szCs w:val="20"/>
          <w:lang w:val="en-US"/>
        </w:rPr>
        <w:t>; or</w:t>
      </w:r>
    </w:p>
    <w:p w:rsidR="0073396B" w:rsidP="00730657" w:rsidRDefault="0073396B" w14:paraId="74F4B406" w14:textId="288A769A">
      <w:pPr>
        <w:pStyle w:val="Heading5"/>
        <w:rPr>
          <w:rFonts w:cs="Arial"/>
          <w:szCs w:val="20"/>
          <w:lang w:val="en-US"/>
        </w:rPr>
      </w:pPr>
      <w:r w:rsidRPr="00022931">
        <w:rPr>
          <w:rFonts w:cs="Arial"/>
          <w:szCs w:val="20"/>
          <w:lang w:val="en-US"/>
        </w:rPr>
        <w:t xml:space="preserve">retained </w:t>
      </w:r>
      <w:r w:rsidRPr="00022931" w:rsidR="00846388">
        <w:rPr>
          <w:rFonts w:cs="Arial"/>
          <w:szCs w:val="20"/>
          <w:lang w:val="en-US"/>
        </w:rPr>
        <w:t xml:space="preserve">in an amount equal </w:t>
      </w:r>
      <w:r w:rsidRPr="00022931">
        <w:rPr>
          <w:rFonts w:cs="Arial"/>
          <w:szCs w:val="20"/>
          <w:lang w:val="en-US"/>
        </w:rPr>
        <w:t xml:space="preserve">to </w:t>
      </w:r>
      <w:r w:rsidRPr="00022931" w:rsidR="00146A6B">
        <w:rPr>
          <w:rFonts w:cs="Arial"/>
          <w:szCs w:val="20"/>
          <w:lang w:val="en-US"/>
        </w:rPr>
        <w:t>fifty per cent (</w:t>
      </w:r>
      <w:r w:rsidRPr="00022931">
        <w:rPr>
          <w:rFonts w:cs="Arial"/>
          <w:szCs w:val="20"/>
          <w:lang w:val="en-US"/>
        </w:rPr>
        <w:t>50%</w:t>
      </w:r>
      <w:r w:rsidRPr="00022931" w:rsidR="00146A6B">
        <w:rPr>
          <w:rFonts w:cs="Arial"/>
          <w:szCs w:val="20"/>
          <w:lang w:val="en-US"/>
        </w:rPr>
        <w:t>)</w:t>
      </w:r>
      <w:r w:rsidRPr="00022931">
        <w:rPr>
          <w:rFonts w:cs="Arial"/>
          <w:szCs w:val="20"/>
          <w:lang w:val="en-US"/>
        </w:rPr>
        <w:t xml:space="preserve"> by the Authority </w:t>
      </w:r>
      <w:r w:rsidRPr="00022931" w:rsidR="00846388">
        <w:rPr>
          <w:rFonts w:cs="Arial"/>
          <w:szCs w:val="20"/>
          <w:lang w:val="en-US"/>
        </w:rPr>
        <w:t xml:space="preserve">with </w:t>
      </w:r>
      <w:r w:rsidRPr="00022931">
        <w:rPr>
          <w:rFonts w:cs="Arial"/>
          <w:szCs w:val="20"/>
          <w:lang w:val="en-US"/>
        </w:rPr>
        <w:t xml:space="preserve">the remaining </w:t>
      </w:r>
      <w:r w:rsidRPr="00022931" w:rsidR="00146A6B">
        <w:rPr>
          <w:rFonts w:cs="Arial"/>
          <w:szCs w:val="20"/>
          <w:lang w:val="en-US"/>
        </w:rPr>
        <w:t>fifty per cent (</w:t>
      </w:r>
      <w:r w:rsidRPr="00022931">
        <w:rPr>
          <w:rFonts w:cs="Arial"/>
          <w:szCs w:val="20"/>
          <w:lang w:val="en-US"/>
        </w:rPr>
        <w:t>50%</w:t>
      </w:r>
      <w:r w:rsidRPr="00022931" w:rsidR="00146A6B">
        <w:rPr>
          <w:rFonts w:cs="Arial"/>
          <w:szCs w:val="20"/>
          <w:lang w:val="en-US"/>
        </w:rPr>
        <w:t>)</w:t>
      </w:r>
      <w:r w:rsidRPr="00022931">
        <w:rPr>
          <w:rFonts w:cs="Arial"/>
          <w:szCs w:val="20"/>
          <w:lang w:val="en-US"/>
        </w:rPr>
        <w:t xml:space="preserve"> released to the Contractor in </w:t>
      </w:r>
      <w:r w:rsidRPr="00022931">
        <w:rPr>
          <w:rFonts w:cs="Arial"/>
          <w:szCs w:val="20"/>
        </w:rPr>
        <w:t>the</w:t>
      </w:r>
      <w:r w:rsidRPr="00022931">
        <w:rPr>
          <w:rFonts w:cs="Arial"/>
          <w:szCs w:val="20"/>
          <w:lang w:val="en-US"/>
        </w:rPr>
        <w:t xml:space="preserve"> event of termination of this Contract pursuant to Clause </w:t>
      </w:r>
      <w:r w:rsidRPr="00022931" w:rsidR="00FE3FEF">
        <w:rPr>
          <w:rFonts w:cs="Arial"/>
          <w:szCs w:val="20"/>
          <w:lang w:val="en-US"/>
        </w:rPr>
        <w:t xml:space="preserve">54.7 </w:t>
      </w:r>
      <w:r w:rsidRPr="00022931">
        <w:rPr>
          <w:rFonts w:cs="Arial"/>
          <w:szCs w:val="20"/>
          <w:lang w:val="en-US"/>
        </w:rPr>
        <w:t>(</w:t>
      </w:r>
      <w:r w:rsidRPr="00022931">
        <w:rPr>
          <w:rFonts w:cs="Arial"/>
          <w:i/>
          <w:szCs w:val="20"/>
          <w:lang w:val="en-US"/>
        </w:rPr>
        <w:t>Force Majeure</w:t>
      </w:r>
      <w:r w:rsidRPr="00022931">
        <w:rPr>
          <w:rFonts w:cs="Arial"/>
          <w:szCs w:val="20"/>
          <w:lang w:val="en-US"/>
        </w:rPr>
        <w:t>)</w:t>
      </w:r>
      <w:r w:rsidRPr="00022931" w:rsidR="00846388">
        <w:rPr>
          <w:rFonts w:cs="Arial"/>
          <w:szCs w:val="20"/>
          <w:lang w:val="en-US"/>
        </w:rPr>
        <w:t>,</w:t>
      </w:r>
      <w:r w:rsidRPr="00022931">
        <w:rPr>
          <w:rFonts w:cs="Arial"/>
          <w:szCs w:val="20"/>
          <w:lang w:val="en-US"/>
        </w:rPr>
        <w:t xml:space="preserve"> at the Expiry Date.</w:t>
      </w:r>
    </w:p>
    <w:p w:rsidR="00B86FF0" w:rsidP="008A277C" w:rsidRDefault="00B86FF0" w14:paraId="62F4B3F5" w14:textId="0CAD7468">
      <w:pPr>
        <w:pStyle w:val="Body5"/>
        <w:ind w:left="2126"/>
        <w:rPr>
          <w:lang w:val="en-US"/>
        </w:rPr>
      </w:pPr>
      <w:r>
        <w:rPr>
          <w:lang w:val="en-US"/>
        </w:rPr>
        <w:t xml:space="preserve">The provisions of this </w:t>
      </w:r>
      <w:r w:rsidR="00531D48">
        <w:rPr>
          <w:lang w:val="en-US"/>
        </w:rPr>
        <w:t xml:space="preserve">Paragraph </w:t>
      </w:r>
      <w:r>
        <w:rPr>
          <w:lang w:val="en-US"/>
        </w:rPr>
        <w:fldChar w:fldCharType="begin"/>
      </w:r>
      <w:r>
        <w:rPr>
          <w:lang w:val="en-US"/>
        </w:rPr>
        <w:instrText xml:space="preserve"> REF _Ref108173145 \r \h </w:instrText>
      </w:r>
      <w:r>
        <w:rPr>
          <w:lang w:val="en-US"/>
        </w:rPr>
      </w:r>
      <w:r>
        <w:rPr>
          <w:lang w:val="en-US"/>
        </w:rPr>
        <w:fldChar w:fldCharType="separate"/>
      </w:r>
      <w:r w:rsidR="004458E3">
        <w:rPr>
          <w:lang w:val="en-US"/>
        </w:rPr>
        <w:t>4.3</w:t>
      </w:r>
      <w:r>
        <w:rPr>
          <w:lang w:val="en-US"/>
        </w:rPr>
        <w:fldChar w:fldCharType="end"/>
      </w:r>
      <w:r>
        <w:rPr>
          <w:lang w:val="en-US"/>
        </w:rPr>
        <w:t xml:space="preserve"> shall not apply to any deductions made by the Authority against the MC in accordance with the Non-Performance Points Deduction Table, and such deductions shall be permanent. </w:t>
      </w:r>
    </w:p>
    <w:p w:rsidR="006902A7" w:rsidP="006902A7" w:rsidRDefault="006902A7" w14:paraId="66CF9E92" w14:textId="733D37AF">
      <w:pPr>
        <w:pStyle w:val="Heading2"/>
      </w:pPr>
      <w:bookmarkStart w:name="_Ref109050079" w:id="40"/>
      <w:r w:rsidRPr="007313C0">
        <w:rPr>
          <w:b/>
        </w:rPr>
        <w:t>Retentions</w:t>
      </w:r>
      <w:r>
        <w:t xml:space="preserve"> </w:t>
      </w:r>
      <w:r w:rsidRPr="007313C0">
        <w:rPr>
          <w:b/>
        </w:rPr>
        <w:t xml:space="preserve">in the final two </w:t>
      </w:r>
      <w:r w:rsidR="00474C5A">
        <w:rPr>
          <w:b/>
        </w:rPr>
        <w:t>Month</w:t>
      </w:r>
      <w:r w:rsidRPr="007313C0">
        <w:rPr>
          <w:b/>
        </w:rPr>
        <w:t>s of the Contract Term</w:t>
      </w:r>
      <w:bookmarkEnd w:id="40"/>
    </w:p>
    <w:p w:rsidRPr="00083327" w:rsidR="006902A7" w:rsidP="006902A7" w:rsidRDefault="006902A7" w14:paraId="46032E97" w14:textId="360D0E64">
      <w:pPr>
        <w:pStyle w:val="Heading3"/>
      </w:pPr>
      <w:r w:rsidRPr="00083327">
        <w:t xml:space="preserve">For the penultimate and final </w:t>
      </w:r>
      <w:r w:rsidRPr="00083327" w:rsidR="00474C5A">
        <w:t>Month</w:t>
      </w:r>
      <w:r w:rsidRPr="00083327">
        <w:t xml:space="preserve">s of the Contract Term, the Authority shall retain an amount equal to </w:t>
      </w:r>
      <w:r w:rsidR="00CA2AB8">
        <w:t>ten</w:t>
      </w:r>
      <w:r w:rsidRPr="00083327" w:rsidR="00CA2AB8">
        <w:t xml:space="preserve"> </w:t>
      </w:r>
      <w:r w:rsidRPr="00083327">
        <w:t>per cent (</w:t>
      </w:r>
      <w:r w:rsidR="00CA2AB8">
        <w:t>10</w:t>
      </w:r>
      <w:r w:rsidRPr="00083327">
        <w:t>%) of the MC (the "</w:t>
      </w:r>
      <w:r w:rsidRPr="00083327">
        <w:rPr>
          <w:b/>
        </w:rPr>
        <w:t>Final Retention</w:t>
      </w:r>
      <w:r w:rsidRPr="00083327">
        <w:t xml:space="preserve">") and, once the Contractor's delivery of the Services in those </w:t>
      </w:r>
      <w:r w:rsidRPr="00083327" w:rsidR="00474C5A">
        <w:t>Month</w:t>
      </w:r>
      <w:r w:rsidRPr="00083327">
        <w:t xml:space="preserve">s and any corresponding NPPs </w:t>
      </w:r>
      <w:r w:rsidRPr="00083327">
        <w:lastRenderedPageBreak/>
        <w:t xml:space="preserve">have been measured in accordance with Paragraph </w:t>
      </w:r>
      <w:r w:rsidRPr="00083327" w:rsidR="00E80858">
        <w:fldChar w:fldCharType="begin"/>
      </w:r>
      <w:r w:rsidRPr="00083327" w:rsidR="00E80858">
        <w:instrText xml:space="preserve"> REF _Ref89421598 \r \h </w:instrText>
      </w:r>
      <w:r w:rsidRPr="00083327" w:rsidR="00DD1A79">
        <w:instrText xml:space="preserve"> \* MERGEFORMAT </w:instrText>
      </w:r>
      <w:r w:rsidRPr="00083327" w:rsidR="00E80858">
        <w:fldChar w:fldCharType="separate"/>
      </w:r>
      <w:r w:rsidR="004458E3">
        <w:t>4.1</w:t>
      </w:r>
      <w:r w:rsidRPr="00083327" w:rsidR="00E80858">
        <w:fldChar w:fldCharType="end"/>
      </w:r>
      <w:r w:rsidRPr="00083327">
        <w:t xml:space="preserve"> (</w:t>
      </w:r>
      <w:r w:rsidRPr="00083327">
        <w:rPr>
          <w:i/>
        </w:rPr>
        <w:t>NPPs Accrual</w:t>
      </w:r>
      <w:r w:rsidRPr="00083327">
        <w:t xml:space="preserve">), the Authority shall: </w:t>
      </w:r>
    </w:p>
    <w:p w:rsidR="006902A7" w:rsidP="006902A7" w:rsidRDefault="006902A7" w14:paraId="031F31BF" w14:textId="275DF467">
      <w:pPr>
        <w:pStyle w:val="Heading5"/>
      </w:pPr>
      <w:r>
        <w:t xml:space="preserve">with respect to the penultimate </w:t>
      </w:r>
      <w:r w:rsidR="00474C5A">
        <w:t>Month</w:t>
      </w:r>
      <w:r>
        <w:t xml:space="preserve"> of the Contract Term: </w:t>
      </w:r>
    </w:p>
    <w:p w:rsidR="006902A7" w:rsidP="00E80858" w:rsidRDefault="006902A7" w14:paraId="5EC42C86" w14:textId="39A3DF60">
      <w:pPr>
        <w:pStyle w:val="Simple5"/>
        <w:numPr>
          <w:ilvl w:val="4"/>
          <w:numId w:val="53"/>
        </w:numPr>
      </w:pPr>
      <w:r>
        <w:t xml:space="preserve">if the Contractor incurs fewer than 411 NPPs, shall return to the Contractor an amount equal to the difference between the Final Retention and the amount due to be retained as a result of the Contractor's actual accrual of NPPs in the penultimate </w:t>
      </w:r>
      <w:r w:rsidR="00474C5A">
        <w:t>Month</w:t>
      </w:r>
      <w:r>
        <w:t xml:space="preserve">, on the final Business Day of the </w:t>
      </w:r>
      <w:r w:rsidR="0044103D">
        <w:t>month</w:t>
      </w:r>
      <w:r>
        <w:t xml:space="preserve"> immediately after the expiry of the Contract </w:t>
      </w:r>
      <w:proofErr w:type="gramStart"/>
      <w:r>
        <w:t>Term;</w:t>
      </w:r>
      <w:proofErr w:type="gramEnd"/>
      <w:r w:rsidR="00C20D7F">
        <w:t xml:space="preserve"> </w:t>
      </w:r>
    </w:p>
    <w:p w:rsidR="006902A7" w:rsidP="006902A7" w:rsidRDefault="006902A7" w14:paraId="26ECFD1B" w14:textId="0BA5B093">
      <w:pPr>
        <w:pStyle w:val="Simple5"/>
        <w:numPr>
          <w:ilvl w:val="4"/>
          <w:numId w:val="9"/>
        </w:numPr>
      </w:pPr>
      <w:r>
        <w:t xml:space="preserve">if the Contractor incurs between 411 and 660 NPPs, retain the Final Retention permanently; </w:t>
      </w:r>
      <w:r w:rsidR="00C20D7F">
        <w:t>and</w:t>
      </w:r>
    </w:p>
    <w:p w:rsidR="006902A7" w:rsidP="006902A7" w:rsidRDefault="006902A7" w14:paraId="280366EB" w14:textId="2B8FD8B9">
      <w:pPr>
        <w:pStyle w:val="Heading5"/>
      </w:pPr>
      <w:r>
        <w:t xml:space="preserve">with respect to the final </w:t>
      </w:r>
      <w:r w:rsidR="0044103D">
        <w:t xml:space="preserve">Month </w:t>
      </w:r>
      <w:r>
        <w:t xml:space="preserve">of the Contract Term: </w:t>
      </w:r>
    </w:p>
    <w:p w:rsidR="006902A7" w:rsidP="006902A7" w:rsidRDefault="006902A7" w14:paraId="25901A0B" w14:textId="6718E3C7">
      <w:pPr>
        <w:pStyle w:val="Simple5"/>
        <w:numPr>
          <w:ilvl w:val="4"/>
          <w:numId w:val="9"/>
        </w:numPr>
      </w:pPr>
      <w:r>
        <w:t xml:space="preserve">if the Contractor incurs fewer than 411 NPPs, shall return to the Contractor an amount equal to the difference between the Final Retention and the amount due to be retained </w:t>
      </w:r>
      <w:proofErr w:type="gramStart"/>
      <w:r>
        <w:t>as a result of</w:t>
      </w:r>
      <w:proofErr w:type="gramEnd"/>
      <w:r>
        <w:t xml:space="preserve"> the Contractor's actual accrual of NPPs in the final </w:t>
      </w:r>
      <w:r w:rsidR="00474C5A">
        <w:t>Month</w:t>
      </w:r>
      <w:r>
        <w:t>, on the final Business Day of the second month immediately after the expiry of the Contract Term;</w:t>
      </w:r>
      <w:r w:rsidR="00C20D7F">
        <w:t xml:space="preserve"> and</w:t>
      </w:r>
    </w:p>
    <w:p w:rsidR="006902A7" w:rsidP="00C20D7F" w:rsidRDefault="006902A7" w14:paraId="595761D1" w14:textId="08BA1EFF">
      <w:pPr>
        <w:pStyle w:val="Simple5"/>
        <w:numPr>
          <w:ilvl w:val="4"/>
          <w:numId w:val="9"/>
        </w:numPr>
      </w:pPr>
      <w:r>
        <w:t>if the Contractor incurs between 411 and 660 NPPs, retain the Final Retention permanently</w:t>
      </w:r>
      <w:r w:rsidR="00C20D7F">
        <w:t>.</w:t>
      </w:r>
    </w:p>
    <w:p w:rsidRPr="00022931" w:rsidR="004F01B6" w:rsidP="004F01B6" w:rsidRDefault="00474C5A" w14:paraId="3B10A94A" w14:textId="738D97A9">
      <w:pPr>
        <w:pStyle w:val="Heading1"/>
      </w:pPr>
      <w:bookmarkStart w:name="_Ref82778843" w:id="41"/>
      <w:r>
        <w:rPr>
          <w:szCs w:val="20"/>
        </w:rPr>
        <w:t>Month</w:t>
      </w:r>
      <w:r w:rsidRPr="00022931" w:rsidR="004F01B6">
        <w:rPr>
          <w:szCs w:val="20"/>
        </w:rPr>
        <w:t>ly</w:t>
      </w:r>
      <w:r w:rsidRPr="00022931" w:rsidR="004F01B6">
        <w:t xml:space="preserve"> Performance and Activity Report</w:t>
      </w:r>
    </w:p>
    <w:p w:rsidRPr="00022931" w:rsidR="004F01B6" w:rsidP="004F01B6" w:rsidRDefault="004F01B6" w14:paraId="093B6250" w14:textId="77777777">
      <w:pPr>
        <w:pStyle w:val="Heading2"/>
        <w:rPr>
          <w:b/>
        </w:rPr>
      </w:pPr>
      <w:r w:rsidRPr="00022931">
        <w:rPr>
          <w:b/>
        </w:rPr>
        <w:t>Reporting of Non-Performance – all KPIs</w:t>
      </w:r>
    </w:p>
    <w:p w:rsidRPr="00022931" w:rsidR="004F01B6" w:rsidP="004F01B6" w:rsidRDefault="004F01B6" w14:paraId="46375627" w14:textId="1A0030C6">
      <w:pPr>
        <w:pStyle w:val="Heading3"/>
      </w:pPr>
      <w:r w:rsidRPr="00022931">
        <w:t xml:space="preserve">The Contractor shall report </w:t>
      </w:r>
      <w:r w:rsidRPr="00022931" w:rsidR="007C2341">
        <w:t xml:space="preserve">its </w:t>
      </w:r>
      <w:r w:rsidR="00730093">
        <w:t>delivery</w:t>
      </w:r>
      <w:r w:rsidRPr="00022931" w:rsidR="007C2341">
        <w:t xml:space="preserve"> of the Services against </w:t>
      </w:r>
      <w:r w:rsidRPr="00022931">
        <w:t xml:space="preserve">each KPI </w:t>
      </w:r>
      <w:r w:rsidR="002A41EA">
        <w:t>by way of t</w:t>
      </w:r>
      <w:r w:rsidR="005C2744">
        <w:t xml:space="preserve">he </w:t>
      </w:r>
      <w:r w:rsidR="00474C5A">
        <w:t>Month</w:t>
      </w:r>
      <w:r w:rsidR="005C2744">
        <w:t xml:space="preserve">ly Performance and Activity Report and </w:t>
      </w:r>
      <w:r w:rsidRPr="00022931">
        <w:t xml:space="preserve">in accordance </w:t>
      </w:r>
      <w:r w:rsidRPr="00531D48">
        <w:t xml:space="preserve">with the process set out in </w:t>
      </w:r>
      <w:r w:rsidRPr="00531D48" w:rsidR="003F3FF9">
        <w:rPr>
          <w:szCs w:val="20"/>
        </w:rPr>
        <w:t xml:space="preserve">Schedule </w:t>
      </w:r>
      <w:r w:rsidRPr="00531D48" w:rsidR="00B818F5">
        <w:rPr>
          <w:szCs w:val="20"/>
        </w:rPr>
        <w:t xml:space="preserve">6 </w:t>
      </w:r>
      <w:r w:rsidRPr="00531D48" w:rsidR="003F3FF9">
        <w:rPr>
          <w:szCs w:val="20"/>
        </w:rPr>
        <w:t>(</w:t>
      </w:r>
      <w:r w:rsidRPr="00531D48" w:rsidR="00B818F5">
        <w:rPr>
          <w:i/>
          <w:szCs w:val="20"/>
        </w:rPr>
        <w:t>Governance and Management Information, Reports, Records and Audit</w:t>
      </w:r>
      <w:r w:rsidRPr="00531D48" w:rsidR="003F3FF9">
        <w:rPr>
          <w:szCs w:val="20"/>
        </w:rPr>
        <w:t>)</w:t>
      </w:r>
      <w:r w:rsidRPr="00531D48">
        <w:t>.</w:t>
      </w:r>
      <w:r w:rsidRPr="00022931">
        <w:t xml:space="preserve"> </w:t>
      </w:r>
    </w:p>
    <w:p w:rsidRPr="00022931" w:rsidR="004F01B6" w:rsidP="004F01B6" w:rsidRDefault="004F01B6" w14:paraId="53F0EDC2" w14:textId="31FA55A5">
      <w:pPr>
        <w:pStyle w:val="Heading3"/>
      </w:pPr>
      <w:r w:rsidRPr="00022931">
        <w:t>The Contractor shall apply the decision of the</w:t>
      </w:r>
      <w:r w:rsidR="008E1DE7">
        <w:t xml:space="preserve"> </w:t>
      </w:r>
      <w:r w:rsidR="00474C5A">
        <w:t>Month</w:t>
      </w:r>
      <w:r w:rsidR="008E1DE7">
        <w:t>ly</w:t>
      </w:r>
      <w:r w:rsidRPr="00022931">
        <w:t xml:space="preserve"> Performance Review Board (including whether any reported Minor Non-Performances are confirmed as such by the </w:t>
      </w:r>
      <w:r w:rsidR="00474C5A">
        <w:t>Month</w:t>
      </w:r>
      <w:r w:rsidR="008E1DE7">
        <w:t>ly</w:t>
      </w:r>
      <w:r w:rsidRPr="00022931" w:rsidR="008E1DE7">
        <w:t xml:space="preserve"> </w:t>
      </w:r>
      <w:r w:rsidRPr="00022931">
        <w:t xml:space="preserve">Performance Review Board and the impact of Non-Performances in the relevant </w:t>
      </w:r>
      <w:r w:rsidR="00474C5A">
        <w:t>Month</w:t>
      </w:r>
      <w:r w:rsidRPr="00022931">
        <w:t xml:space="preserve"> against the Contractor's compliance with the KPIs) with respect to its impact on the </w:t>
      </w:r>
      <w:r w:rsidR="00CF452F">
        <w:t xml:space="preserve">Total </w:t>
      </w:r>
      <w:r w:rsidR="00474C5A">
        <w:t>Month</w:t>
      </w:r>
      <w:r w:rsidRPr="00022931">
        <w:t xml:space="preserve">ly Payment for the </w:t>
      </w:r>
      <w:r w:rsidR="00474C5A">
        <w:t>Month</w:t>
      </w:r>
      <w:r w:rsidRPr="00022931">
        <w:t xml:space="preserve"> falling two (2) </w:t>
      </w:r>
      <w:r w:rsidR="00474C5A">
        <w:t>Month</w:t>
      </w:r>
      <w:r w:rsidRPr="00022931">
        <w:t xml:space="preserve">s after the </w:t>
      </w:r>
      <w:r w:rsidR="00474C5A">
        <w:t>Month</w:t>
      </w:r>
      <w:r w:rsidRPr="00022931">
        <w:t xml:space="preserve"> in which the relevant Tasks were performed. </w:t>
      </w:r>
    </w:p>
    <w:p w:rsidRPr="00022931" w:rsidR="004F01B6" w:rsidP="004F01B6" w:rsidRDefault="004F01B6" w14:paraId="5CDE1247" w14:textId="64D209D0">
      <w:pPr>
        <w:pStyle w:val="Heading3"/>
        <w:spacing w:before="280"/>
        <w:ind w:left="1418" w:hanging="709"/>
      </w:pPr>
      <w:r w:rsidRPr="00022931">
        <w:t xml:space="preserve">If the Contractor and the Authority do not agree any </w:t>
      </w:r>
      <w:r w:rsidR="00474C5A">
        <w:t>Month</w:t>
      </w:r>
      <w:r w:rsidR="005C2744">
        <w:t xml:space="preserve">ly </w:t>
      </w:r>
      <w:r w:rsidRPr="00022931">
        <w:t>Performance and Activity Report, they shall follow the Dispute Resolution Procedure to resolve the disagreement. Any deductions</w:t>
      </w:r>
      <w:r w:rsidR="005C2744">
        <w:t xml:space="preserve"> and / or retentions</w:t>
      </w:r>
      <w:r w:rsidRPr="00022931">
        <w:t xml:space="preserve"> made against any</w:t>
      </w:r>
      <w:r w:rsidR="00CF452F">
        <w:t xml:space="preserve"> Total</w:t>
      </w:r>
      <w:r w:rsidRPr="00022931">
        <w:t xml:space="preserve"> </w:t>
      </w:r>
      <w:r w:rsidR="00474C5A">
        <w:t>Month</w:t>
      </w:r>
      <w:r w:rsidRPr="00022931">
        <w:t xml:space="preserve">ly Payment relating to disputed </w:t>
      </w:r>
      <w:proofErr w:type="gramStart"/>
      <w:r w:rsidRPr="00022931">
        <w:t>Non-Performances</w:t>
      </w:r>
      <w:proofErr w:type="gramEnd"/>
      <w:r w:rsidRPr="00022931">
        <w:t xml:space="preserve"> shall remain unless and until such dispute is concluded.</w:t>
      </w:r>
    </w:p>
    <w:p w:rsidRPr="00022931" w:rsidR="00460523" w:rsidP="006848DD" w:rsidRDefault="00460523" w14:paraId="0EE2EC3F" w14:textId="06D3B632">
      <w:pPr>
        <w:pStyle w:val="Heading1"/>
      </w:pPr>
      <w:bookmarkStart w:name="_Ref90663159" w:id="42"/>
      <w:r w:rsidRPr="00022931">
        <w:lastRenderedPageBreak/>
        <w:t>Persistent Non</w:t>
      </w:r>
      <w:r w:rsidRPr="00022931" w:rsidR="007D782E">
        <w:t>-</w:t>
      </w:r>
      <w:r w:rsidRPr="00022931">
        <w:t>Performance</w:t>
      </w:r>
      <w:r w:rsidRPr="00022931" w:rsidR="006B6BA9">
        <w:t xml:space="preserve"> and Ratchet Mechanism</w:t>
      </w:r>
      <w:bookmarkEnd w:id="41"/>
      <w:bookmarkEnd w:id="42"/>
    </w:p>
    <w:p w:rsidRPr="00022931" w:rsidR="003C3EA1" w:rsidP="003927F7" w:rsidRDefault="003C3EA1" w14:paraId="756F5C49" w14:textId="1BE121A9">
      <w:pPr>
        <w:pStyle w:val="Heading2"/>
        <w:rPr>
          <w:b/>
        </w:rPr>
      </w:pPr>
      <w:r w:rsidRPr="00022931">
        <w:rPr>
          <w:b/>
        </w:rPr>
        <w:t xml:space="preserve">Persistent Non-Performance </w:t>
      </w:r>
      <w:r w:rsidRPr="00022931" w:rsidR="0080659F">
        <w:rPr>
          <w:b/>
        </w:rPr>
        <w:t>against KPI 1</w:t>
      </w:r>
      <w:r w:rsidRPr="00022931">
        <w:rPr>
          <w:b/>
        </w:rPr>
        <w:t xml:space="preserve"> in the same </w:t>
      </w:r>
      <w:r w:rsidR="00474C5A">
        <w:rPr>
          <w:b/>
        </w:rPr>
        <w:t>Month</w:t>
      </w:r>
    </w:p>
    <w:p w:rsidRPr="00022931" w:rsidR="006B6BA9" w:rsidP="00932BD8" w:rsidRDefault="00031394" w14:paraId="28D5E07D" w14:textId="26F9B5BF">
      <w:pPr>
        <w:pStyle w:val="Heading3"/>
      </w:pPr>
      <w:r w:rsidRPr="00022931">
        <w:t xml:space="preserve">If 3 – 4 </w:t>
      </w:r>
      <w:r w:rsidRPr="00022931" w:rsidR="00BF77CD">
        <w:t xml:space="preserve">Non-Performances </w:t>
      </w:r>
      <w:r w:rsidRPr="00022931" w:rsidR="00846388">
        <w:t>against</w:t>
      </w:r>
      <w:r w:rsidRPr="00022931">
        <w:t xml:space="preserve"> </w:t>
      </w:r>
      <w:r w:rsidRPr="00022931" w:rsidR="0080659F">
        <w:t>KPI 1</w:t>
      </w:r>
      <w:r w:rsidRPr="00022931">
        <w:t xml:space="preserve"> occur in the same </w:t>
      </w:r>
      <w:r w:rsidR="00474C5A">
        <w:t>Month</w:t>
      </w:r>
      <w:r w:rsidRPr="00022931" w:rsidR="00BF77CD">
        <w:t xml:space="preserve"> against the same </w:t>
      </w:r>
      <w:r w:rsidRPr="00022931" w:rsidR="00D23EDE">
        <w:t>Task</w:t>
      </w:r>
      <w:r w:rsidRPr="00022931">
        <w:t xml:space="preserve">, the NPPs accrued for failures against </w:t>
      </w:r>
      <w:r w:rsidRPr="00022931" w:rsidR="0080659F">
        <w:t xml:space="preserve">KPI 1 </w:t>
      </w:r>
      <w:r w:rsidRPr="00022931">
        <w:t xml:space="preserve">in that </w:t>
      </w:r>
      <w:r w:rsidR="00474C5A">
        <w:t>Month</w:t>
      </w:r>
      <w:r w:rsidRPr="00022931">
        <w:t xml:space="preserve"> shall be multiplied by </w:t>
      </w:r>
      <w:r w:rsidR="00BF1592">
        <w:t>1.1</w:t>
      </w:r>
      <w:r w:rsidRPr="00022931">
        <w:t>.</w:t>
      </w:r>
    </w:p>
    <w:p w:rsidRPr="00022931" w:rsidR="00BF77CD" w:rsidP="00932BD8" w:rsidRDefault="00BF77CD" w14:paraId="0AC857DD" w14:textId="712940D6">
      <w:pPr>
        <w:pStyle w:val="Heading3"/>
      </w:pPr>
      <w:r w:rsidRPr="00022931">
        <w:t xml:space="preserve">If 5 – 6 Non-Performances </w:t>
      </w:r>
      <w:r w:rsidRPr="00022931" w:rsidR="007F7100">
        <w:t>against</w:t>
      </w:r>
      <w:r w:rsidRPr="00022931" w:rsidR="00FE3FEF">
        <w:t xml:space="preserve"> </w:t>
      </w:r>
      <w:r w:rsidRPr="00022931" w:rsidR="00FB6424">
        <w:t xml:space="preserve">KPI 1 </w:t>
      </w:r>
      <w:r w:rsidRPr="00022931">
        <w:t xml:space="preserve">occur in the same </w:t>
      </w:r>
      <w:r w:rsidR="00474C5A">
        <w:t>Month</w:t>
      </w:r>
      <w:r w:rsidRPr="00022931">
        <w:t xml:space="preserve"> against the same </w:t>
      </w:r>
      <w:r w:rsidRPr="00022931" w:rsidR="00D23EDE">
        <w:t>Task</w:t>
      </w:r>
      <w:r w:rsidRPr="00022931">
        <w:t xml:space="preserve">, the NPPs accrued for failures against </w:t>
      </w:r>
      <w:r w:rsidRPr="00022931" w:rsidR="00007001">
        <w:t>KPI 1</w:t>
      </w:r>
      <w:r w:rsidRPr="00022931" w:rsidR="007F7100">
        <w:t xml:space="preserve"> </w:t>
      </w:r>
      <w:r w:rsidRPr="00022931">
        <w:t xml:space="preserve">in that </w:t>
      </w:r>
      <w:r w:rsidR="00474C5A">
        <w:t>Month</w:t>
      </w:r>
      <w:r w:rsidRPr="00022931">
        <w:t xml:space="preserve"> shall be multiplied by </w:t>
      </w:r>
      <w:r w:rsidR="00BF1592">
        <w:t>1.15</w:t>
      </w:r>
      <w:r w:rsidRPr="00022931" w:rsidR="00BF1592">
        <w:t>.</w:t>
      </w:r>
    </w:p>
    <w:p w:rsidRPr="00022931" w:rsidR="00BF77CD" w:rsidP="00BF77CD" w:rsidRDefault="00BF77CD" w14:paraId="0DE1AC5D" w14:textId="6D2D02D0">
      <w:pPr>
        <w:pStyle w:val="Heading3"/>
      </w:pPr>
      <w:r w:rsidRPr="00022931">
        <w:t xml:space="preserve">If 7 – 8 Non-Performances </w:t>
      </w:r>
      <w:r w:rsidRPr="00022931" w:rsidR="007F7100">
        <w:t xml:space="preserve">against </w:t>
      </w:r>
      <w:r w:rsidRPr="00022931" w:rsidR="00FB6424">
        <w:t>KPI 1</w:t>
      </w:r>
      <w:r w:rsidRPr="00022931">
        <w:t xml:space="preserve"> occur in the same </w:t>
      </w:r>
      <w:r w:rsidR="0044103D">
        <w:t xml:space="preserve">Month </w:t>
      </w:r>
      <w:r w:rsidRPr="00022931">
        <w:t xml:space="preserve">against the same </w:t>
      </w:r>
      <w:r w:rsidRPr="00022931" w:rsidR="00D23EDE">
        <w:t>Task</w:t>
      </w:r>
      <w:r w:rsidRPr="00022931">
        <w:t>, the NPPs accrued for failures against</w:t>
      </w:r>
      <w:r w:rsidRPr="00022931" w:rsidR="00D47B8E">
        <w:t xml:space="preserve"> </w:t>
      </w:r>
      <w:r w:rsidRPr="00022931">
        <w:t xml:space="preserve">the </w:t>
      </w:r>
      <w:r w:rsidRPr="00022931" w:rsidR="00007001">
        <w:t>KPI 1</w:t>
      </w:r>
      <w:r w:rsidRPr="00022931">
        <w:t xml:space="preserve"> in that </w:t>
      </w:r>
      <w:r w:rsidR="0044103D">
        <w:t>Month</w:t>
      </w:r>
      <w:r w:rsidRPr="00022931">
        <w:t xml:space="preserve"> shall be multiplied by </w:t>
      </w:r>
      <w:r w:rsidR="00BF1592">
        <w:t>1.2</w:t>
      </w:r>
      <w:r w:rsidRPr="00022931" w:rsidR="00BF1592">
        <w:t>.</w:t>
      </w:r>
    </w:p>
    <w:p w:rsidRPr="00022931" w:rsidR="00BF77CD" w:rsidP="00BF77CD" w:rsidRDefault="00BF77CD" w14:paraId="7B7C7354" w14:textId="4D791632">
      <w:pPr>
        <w:pStyle w:val="Heading3"/>
      </w:pPr>
      <w:r w:rsidRPr="00022931">
        <w:t xml:space="preserve">If 9 or more Non-Performances with respect to </w:t>
      </w:r>
      <w:r w:rsidRPr="00022931" w:rsidR="00FB6424">
        <w:t>KPI 1</w:t>
      </w:r>
      <w:r w:rsidRPr="00022931">
        <w:t xml:space="preserve"> occur in the same </w:t>
      </w:r>
      <w:r w:rsidR="0044103D">
        <w:t>Month</w:t>
      </w:r>
      <w:r w:rsidRPr="00022931">
        <w:t xml:space="preserve"> against the same </w:t>
      </w:r>
      <w:r w:rsidRPr="00022931" w:rsidR="00D23EDE">
        <w:t>Task</w:t>
      </w:r>
      <w:r w:rsidRPr="00022931">
        <w:t xml:space="preserve">, the NPPs accrued for failures against </w:t>
      </w:r>
      <w:r w:rsidRPr="00022931" w:rsidR="00007001">
        <w:t>KPI 1</w:t>
      </w:r>
      <w:r w:rsidRPr="00022931">
        <w:t xml:space="preserve">in that </w:t>
      </w:r>
      <w:r w:rsidR="0044103D">
        <w:t xml:space="preserve">Month </w:t>
      </w:r>
      <w:r w:rsidRPr="00022931">
        <w:t xml:space="preserve">shall be multiplied by </w:t>
      </w:r>
      <w:r w:rsidR="00BF1592">
        <w:t>1.25</w:t>
      </w:r>
      <w:r w:rsidRPr="00022931" w:rsidR="00BF1592">
        <w:t>.</w:t>
      </w:r>
    </w:p>
    <w:p w:rsidRPr="00022931" w:rsidR="00031394" w:rsidP="003927F7" w:rsidRDefault="003C3EA1" w14:paraId="0AA71AC7" w14:textId="1BD24EF9">
      <w:pPr>
        <w:pStyle w:val="Heading2"/>
        <w:rPr>
          <w:b/>
        </w:rPr>
      </w:pPr>
      <w:r w:rsidRPr="00022931">
        <w:rPr>
          <w:b/>
        </w:rPr>
        <w:t>Persistent Non-Performance</w:t>
      </w:r>
      <w:r w:rsidRPr="00022931" w:rsidR="007F7100">
        <w:rPr>
          <w:b/>
        </w:rPr>
        <w:t xml:space="preserve"> of the Services</w:t>
      </w:r>
      <w:r w:rsidRPr="00022931">
        <w:rPr>
          <w:b/>
        </w:rPr>
        <w:t xml:space="preserve"> </w:t>
      </w:r>
      <w:r w:rsidRPr="00022931" w:rsidR="00AE4D35">
        <w:rPr>
          <w:b/>
        </w:rPr>
        <w:t>against KPI 1</w:t>
      </w:r>
      <w:r w:rsidRPr="00022931">
        <w:rPr>
          <w:b/>
        </w:rPr>
        <w:t xml:space="preserve"> in consecutive </w:t>
      </w:r>
      <w:r w:rsidRPr="00E80858" w:rsidR="0044103D">
        <w:rPr>
          <w:b/>
        </w:rPr>
        <w:t>Months</w:t>
      </w:r>
      <w:r w:rsidRPr="00022931" w:rsidDel="009A01CB" w:rsidR="009A01CB">
        <w:rPr>
          <w:b/>
        </w:rPr>
        <w:t xml:space="preserve"> </w:t>
      </w:r>
    </w:p>
    <w:p w:rsidRPr="00022931" w:rsidR="003C3EA1" w:rsidP="00932BD8" w:rsidRDefault="003C3EA1" w14:paraId="1CECA53C" w14:textId="066C5D12">
      <w:pPr>
        <w:pStyle w:val="Heading3"/>
      </w:pPr>
      <w:r w:rsidRPr="00022931">
        <w:t xml:space="preserve">If </w:t>
      </w:r>
      <w:r w:rsidRPr="00022931" w:rsidR="004A3B89">
        <w:t>7</w:t>
      </w:r>
      <w:r w:rsidRPr="00022931">
        <w:t xml:space="preserve"> – </w:t>
      </w:r>
      <w:r w:rsidRPr="00022931" w:rsidR="004A3B89">
        <w:t>8</w:t>
      </w:r>
      <w:r w:rsidRPr="00022931" w:rsidR="00F54A08">
        <w:t xml:space="preserve"> Non-Performance</w:t>
      </w:r>
      <w:r w:rsidRPr="00022931" w:rsidR="008578EF">
        <w:t>s</w:t>
      </w:r>
      <w:r w:rsidRPr="00022931" w:rsidR="00F54A08">
        <w:t xml:space="preserve"> with respect to </w:t>
      </w:r>
      <w:r w:rsidRPr="00022931" w:rsidR="007F7100">
        <w:t xml:space="preserve">against </w:t>
      </w:r>
      <w:r w:rsidRPr="00022931" w:rsidR="0020082B">
        <w:t>KPI 1</w:t>
      </w:r>
      <w:r w:rsidRPr="00022931" w:rsidR="002059AB">
        <w:t xml:space="preserve"> </w:t>
      </w:r>
      <w:r w:rsidRPr="00022931" w:rsidR="00F54A08">
        <w:t>occur</w:t>
      </w:r>
      <w:r w:rsidRPr="00022931" w:rsidR="001F0C51">
        <w:t xml:space="preserve"> </w:t>
      </w:r>
      <w:r w:rsidRPr="00022931" w:rsidR="007F7100">
        <w:t xml:space="preserve">with respect to </w:t>
      </w:r>
      <w:r w:rsidRPr="00022931" w:rsidR="001F0C51">
        <w:t>the same Task instructed in accordance with the SOR</w:t>
      </w:r>
      <w:r w:rsidRPr="00022931" w:rsidR="00F54A08">
        <w:t xml:space="preserve"> in consecutive </w:t>
      </w:r>
      <w:r w:rsidR="0044103D">
        <w:t>Months</w:t>
      </w:r>
      <w:r w:rsidRPr="00022931" w:rsidR="0044103D">
        <w:t xml:space="preserve"> </w:t>
      </w:r>
      <w:r w:rsidRPr="00022931" w:rsidR="00F54A08">
        <w:t xml:space="preserve">the NPPs accrued for failures against </w:t>
      </w:r>
      <w:r w:rsidRPr="00022931" w:rsidR="00007001">
        <w:t>KPI 1</w:t>
      </w:r>
      <w:r w:rsidRPr="00022931" w:rsidR="001F0C51">
        <w:t xml:space="preserve"> for the second </w:t>
      </w:r>
      <w:r w:rsidR="0044103D">
        <w:t>Month</w:t>
      </w:r>
      <w:r w:rsidRPr="00022931" w:rsidR="00F54A08">
        <w:t xml:space="preserve"> shall be multiplied by </w:t>
      </w:r>
      <w:r w:rsidRPr="00022931" w:rsidR="004A3B89">
        <w:t>1.2</w:t>
      </w:r>
      <w:r w:rsidRPr="00022931" w:rsidR="001F0C51">
        <w:t xml:space="preserve"> and a further 0.2 shall be added to </w:t>
      </w:r>
      <w:r w:rsidRPr="00022931" w:rsidR="002A532F">
        <w:t>this multiplier</w:t>
      </w:r>
      <w:r w:rsidRPr="00022931" w:rsidR="001F0C51">
        <w:t xml:space="preserve"> for each </w:t>
      </w:r>
      <w:r w:rsidR="0044103D">
        <w:t xml:space="preserve">Month </w:t>
      </w:r>
      <w:r w:rsidRPr="00022931" w:rsidR="002669AA">
        <w:t xml:space="preserve">after the second </w:t>
      </w:r>
      <w:r w:rsidR="0044103D">
        <w:t>Month</w:t>
      </w:r>
      <w:r w:rsidRPr="00022931" w:rsidR="002669AA">
        <w:t xml:space="preserve"> in which 7 – 8 Non-Performances with respect to KPI</w:t>
      </w:r>
      <w:r w:rsidRPr="00022931" w:rsidR="002A532F">
        <w:t xml:space="preserve"> 1</w:t>
      </w:r>
      <w:r w:rsidRPr="00022931" w:rsidR="002669AA">
        <w:t xml:space="preserve"> continue to occur against the same Task. </w:t>
      </w:r>
    </w:p>
    <w:p w:rsidRPr="00022931" w:rsidR="0004247D" w:rsidP="0004247D" w:rsidRDefault="0004247D" w14:paraId="55DEDC9E" w14:textId="293E7A53">
      <w:pPr>
        <w:pStyle w:val="Heading3"/>
      </w:pPr>
      <w:r w:rsidRPr="00022931">
        <w:t xml:space="preserve">If </w:t>
      </w:r>
      <w:r w:rsidRPr="00022931" w:rsidR="004A3B89">
        <w:t>9</w:t>
      </w:r>
      <w:r w:rsidRPr="00022931">
        <w:t xml:space="preserve"> or more Non-Performance</w:t>
      </w:r>
      <w:r w:rsidRPr="00022931" w:rsidR="008578EF">
        <w:t>s</w:t>
      </w:r>
      <w:r w:rsidRPr="00022931">
        <w:t xml:space="preserve"> </w:t>
      </w:r>
      <w:r w:rsidRPr="00022931" w:rsidR="007F7100">
        <w:t xml:space="preserve">against </w:t>
      </w:r>
      <w:r w:rsidRPr="00022931" w:rsidR="0020082B">
        <w:t>KPI 1</w:t>
      </w:r>
      <w:r w:rsidRPr="00022931" w:rsidR="002059AB">
        <w:t xml:space="preserve"> </w:t>
      </w:r>
      <w:r w:rsidRPr="00022931">
        <w:t>occur</w:t>
      </w:r>
      <w:r w:rsidRPr="00022931" w:rsidR="002669AA">
        <w:t xml:space="preserve"> </w:t>
      </w:r>
      <w:r w:rsidRPr="00022931" w:rsidR="007F7100">
        <w:t xml:space="preserve">with respect to </w:t>
      </w:r>
      <w:r w:rsidRPr="00022931" w:rsidR="002669AA">
        <w:t>the same Task instructed in accordance with the SOR in</w:t>
      </w:r>
      <w:r w:rsidRPr="00022931">
        <w:t xml:space="preserve"> in consecutive </w:t>
      </w:r>
      <w:r w:rsidR="0044103D">
        <w:t>Month</w:t>
      </w:r>
      <w:r w:rsidRPr="00022931" w:rsidR="002669AA">
        <w:t>s</w:t>
      </w:r>
      <w:r w:rsidRPr="00022931">
        <w:t xml:space="preserve">, the NPPs accrued for failures against </w:t>
      </w:r>
      <w:r w:rsidRPr="00022931" w:rsidR="00007001">
        <w:t>KPI 1</w:t>
      </w:r>
      <w:r w:rsidRPr="00022931" w:rsidR="002A532F">
        <w:t xml:space="preserve"> for the second </w:t>
      </w:r>
      <w:r w:rsidR="0044103D">
        <w:t>Month</w:t>
      </w:r>
      <w:r w:rsidRPr="00022931" w:rsidR="002A532F">
        <w:t xml:space="preserve"> </w:t>
      </w:r>
      <w:r w:rsidRPr="00022931">
        <w:t xml:space="preserve">shall be multiplied by </w:t>
      </w:r>
      <w:r w:rsidRPr="00022931" w:rsidR="004A3B89">
        <w:t>1.25</w:t>
      </w:r>
      <w:r w:rsidRPr="00022931" w:rsidR="002A532F">
        <w:t xml:space="preserve"> and a further 0.2 shall be added to such multiplier for each </w:t>
      </w:r>
      <w:r w:rsidR="00474C5A">
        <w:t>Month</w:t>
      </w:r>
      <w:r w:rsidRPr="00022931" w:rsidR="002A532F">
        <w:t xml:space="preserve"> after the second </w:t>
      </w:r>
      <w:r w:rsidR="0044103D">
        <w:t xml:space="preserve">Month </w:t>
      </w:r>
      <w:r w:rsidRPr="00022931" w:rsidR="002A532F">
        <w:t xml:space="preserve">in which 9 </w:t>
      </w:r>
      <w:r w:rsidRPr="00022931" w:rsidR="007F7100">
        <w:t xml:space="preserve">or </w:t>
      </w:r>
      <w:r w:rsidRPr="00022931" w:rsidR="002A532F">
        <w:t>more Non-Performances with respect to KPI 1 continue to occur against the same Task</w:t>
      </w:r>
      <w:r w:rsidRPr="00022931">
        <w:t>.</w:t>
      </w:r>
    </w:p>
    <w:p w:rsidRPr="00022931" w:rsidR="00F5691A" w:rsidP="003927F7" w:rsidRDefault="00F5691A" w14:paraId="23E44AFB" w14:textId="2B64954C">
      <w:pPr>
        <w:pStyle w:val="Heading2"/>
        <w:rPr>
          <w:b/>
        </w:rPr>
      </w:pPr>
      <w:bookmarkStart w:name="_Ref90635073" w:id="43"/>
      <w:r w:rsidRPr="00022931">
        <w:rPr>
          <w:b/>
        </w:rPr>
        <w:t xml:space="preserve">Persistent Non-Performance </w:t>
      </w:r>
      <w:r w:rsidRPr="00022931" w:rsidR="00AE4D35">
        <w:rPr>
          <w:b/>
        </w:rPr>
        <w:t>against KPI 2</w:t>
      </w:r>
      <w:bookmarkEnd w:id="43"/>
      <w:r w:rsidRPr="00022931" w:rsidR="007F7100">
        <w:rPr>
          <w:b/>
        </w:rPr>
        <w:t xml:space="preserve"> in consecutive </w:t>
      </w:r>
      <w:r w:rsidR="0044103D">
        <w:rPr>
          <w:b/>
        </w:rPr>
        <w:t>Months</w:t>
      </w:r>
    </w:p>
    <w:p w:rsidRPr="00022931" w:rsidR="00674EA5" w:rsidP="004A716A" w:rsidRDefault="00674EA5" w14:paraId="43086A39" w14:textId="060EEBD7">
      <w:pPr>
        <w:pStyle w:val="Heading3"/>
      </w:pPr>
      <w:r w:rsidRPr="00022931">
        <w:t xml:space="preserve">With respect to KPI </w:t>
      </w:r>
      <w:r w:rsidRPr="00022931" w:rsidR="00A57323">
        <w:t>2</w:t>
      </w:r>
      <w:r w:rsidRPr="00022931">
        <w:t xml:space="preserve"> if, in consecutive </w:t>
      </w:r>
      <w:r w:rsidR="0044103D">
        <w:t>Months</w:t>
      </w:r>
      <w:r w:rsidRPr="00022931">
        <w:t>, the Contractor accrues NPPs in relation to the same failure under:</w:t>
      </w:r>
    </w:p>
    <w:p w:rsidRPr="00023175" w:rsidR="00674EA5" w:rsidP="004A716A" w:rsidRDefault="00007001" w14:paraId="1B764207" w14:textId="3871AB14">
      <w:pPr>
        <w:pStyle w:val="Heading5"/>
        <w:rPr>
          <w:rFonts w:cs="Arial"/>
        </w:rPr>
      </w:pPr>
      <w:r w:rsidRPr="00AF24F8">
        <w:rPr>
          <w:rFonts w:cs="Arial"/>
        </w:rPr>
        <w:t xml:space="preserve">the </w:t>
      </w:r>
      <w:r w:rsidRPr="00AF24F8" w:rsidR="00674EA5">
        <w:rPr>
          <w:rFonts w:cs="Arial"/>
        </w:rPr>
        <w:t xml:space="preserve">Timing </w:t>
      </w:r>
      <w:proofErr w:type="gramStart"/>
      <w:r w:rsidRPr="00AF24F8" w:rsidR="00674EA5">
        <w:rPr>
          <w:rFonts w:cs="Arial"/>
        </w:rPr>
        <w:t>Element;</w:t>
      </w:r>
      <w:proofErr w:type="gramEnd"/>
    </w:p>
    <w:p w:rsidRPr="00023175" w:rsidR="00674EA5" w:rsidP="004A716A" w:rsidRDefault="00007001" w14:paraId="02656F41" w14:textId="7BBCE452">
      <w:pPr>
        <w:pStyle w:val="Heading5"/>
        <w:rPr>
          <w:rFonts w:cs="Arial"/>
        </w:rPr>
      </w:pPr>
      <w:r w:rsidRPr="00023175">
        <w:rPr>
          <w:rFonts w:cs="Arial"/>
        </w:rPr>
        <w:t xml:space="preserve">the </w:t>
      </w:r>
      <w:r w:rsidRPr="00023175" w:rsidR="00674EA5">
        <w:rPr>
          <w:rFonts w:cs="Arial"/>
        </w:rPr>
        <w:t>Quality Element; and / or</w:t>
      </w:r>
    </w:p>
    <w:p w:rsidRPr="00023175" w:rsidR="00674EA5" w:rsidP="004A716A" w:rsidRDefault="00007001" w14:paraId="13E19F5D" w14:textId="299FAFCA">
      <w:pPr>
        <w:pStyle w:val="Heading5"/>
        <w:rPr>
          <w:rFonts w:cs="Arial"/>
        </w:rPr>
      </w:pPr>
      <w:r w:rsidRPr="00023175">
        <w:rPr>
          <w:rFonts w:cs="Arial"/>
        </w:rPr>
        <w:t xml:space="preserve">the </w:t>
      </w:r>
      <w:r w:rsidRPr="00023175" w:rsidR="00674EA5">
        <w:rPr>
          <w:rFonts w:cs="Arial"/>
        </w:rPr>
        <w:t xml:space="preserve">Meeting Attendance </w:t>
      </w:r>
      <w:r w:rsidR="00755667">
        <w:rPr>
          <w:rFonts w:cs="Arial"/>
        </w:rPr>
        <w:t>Criteria:</w:t>
      </w:r>
    </w:p>
    <w:p w:rsidRPr="00AF24F8" w:rsidR="00FB1112" w:rsidP="005D6A28" w:rsidRDefault="00007001" w14:paraId="6751C53D" w14:textId="1A3C8E4C">
      <w:pPr>
        <w:pStyle w:val="Simple5"/>
        <w:numPr>
          <w:ilvl w:val="4"/>
          <w:numId w:val="12"/>
        </w:numPr>
        <w:rPr>
          <w:rFonts w:cs="Arial"/>
        </w:rPr>
      </w:pPr>
      <w:r w:rsidRPr="00023175">
        <w:rPr>
          <w:rFonts w:cs="Arial"/>
        </w:rPr>
        <w:t xml:space="preserve">in </w:t>
      </w:r>
      <w:r w:rsidRPr="00023175" w:rsidR="00674EA5">
        <w:rPr>
          <w:rFonts w:cs="Arial"/>
        </w:rPr>
        <w:t xml:space="preserve">the first </w:t>
      </w:r>
      <w:r w:rsidR="0044103D">
        <w:rPr>
          <w:rFonts w:cs="Arial"/>
        </w:rPr>
        <w:t>Month</w:t>
      </w:r>
      <w:r w:rsidRPr="00023175" w:rsidR="00674EA5">
        <w:rPr>
          <w:rFonts w:cs="Arial"/>
        </w:rPr>
        <w:t xml:space="preserve">, the </w:t>
      </w:r>
      <w:r w:rsidRPr="00023175" w:rsidR="00965B55">
        <w:rPr>
          <w:rFonts w:cs="Arial"/>
        </w:rPr>
        <w:t xml:space="preserve">NPPs </w:t>
      </w:r>
      <w:r w:rsidRPr="00023175" w:rsidR="00674EA5">
        <w:rPr>
          <w:rFonts w:cs="Arial"/>
        </w:rPr>
        <w:t xml:space="preserve">set out in </w:t>
      </w:r>
      <w:r w:rsidRPr="00023175" w:rsidR="00A6245B">
        <w:rPr>
          <w:rFonts w:cs="Arial"/>
        </w:rPr>
        <w:t>Paragraph</w:t>
      </w:r>
      <w:r w:rsidRPr="00023175" w:rsidR="00674EA5">
        <w:rPr>
          <w:rFonts w:cs="Arial"/>
        </w:rPr>
        <w:t xml:space="preserve"> </w:t>
      </w:r>
      <w:r w:rsidRPr="00022931" w:rsidR="00515B9D">
        <w:rPr>
          <w:rFonts w:cs="Arial"/>
        </w:rPr>
        <w:fldChar w:fldCharType="begin"/>
      </w:r>
      <w:r w:rsidRPr="008B7936" w:rsidR="00515B9D">
        <w:rPr>
          <w:rFonts w:cs="Arial"/>
        </w:rPr>
        <w:instrText xml:space="preserve"> REF _Ref89352684 \r \h </w:instrText>
      </w:r>
      <w:r w:rsidRPr="00022931" w:rsidR="00515B9D">
        <w:rPr>
          <w:rFonts w:cs="Arial"/>
        </w:rPr>
      </w:r>
      <w:r w:rsidRPr="00022931" w:rsidR="00515B9D">
        <w:rPr>
          <w:rFonts w:cs="Arial"/>
        </w:rPr>
        <w:fldChar w:fldCharType="separate"/>
      </w:r>
      <w:r w:rsidR="004458E3">
        <w:rPr>
          <w:rFonts w:cs="Arial"/>
        </w:rPr>
        <w:t>3.5</w:t>
      </w:r>
      <w:r w:rsidRPr="00022931" w:rsidR="00515B9D">
        <w:rPr>
          <w:rFonts w:cs="Arial"/>
        </w:rPr>
        <w:fldChar w:fldCharType="end"/>
      </w:r>
      <w:r w:rsidRPr="00022931" w:rsidR="00515B9D">
        <w:rPr>
          <w:rFonts w:cs="Arial"/>
        </w:rPr>
        <w:t xml:space="preserve"> (</w:t>
      </w:r>
      <w:r w:rsidRPr="00022931" w:rsidR="00515B9D">
        <w:rPr>
          <w:rFonts w:cs="Arial"/>
          <w:i/>
        </w:rPr>
        <w:t xml:space="preserve">Failure Against KPI 1 and </w:t>
      </w:r>
      <w:proofErr w:type="gramStart"/>
      <w:r w:rsidRPr="00022931" w:rsidR="00515B9D">
        <w:rPr>
          <w:rFonts w:cs="Arial"/>
          <w:i/>
        </w:rPr>
        <w:t>NPPs</w:t>
      </w:r>
      <w:r w:rsidRPr="00022931" w:rsidR="00515B9D">
        <w:rPr>
          <w:rFonts w:cs="Arial"/>
        </w:rPr>
        <w:t xml:space="preserve">) </w:t>
      </w:r>
      <w:r w:rsidRPr="00022931" w:rsidR="00370AE3">
        <w:rPr>
          <w:rFonts w:cs="Arial"/>
        </w:rPr>
        <w:t xml:space="preserve"> </w:t>
      </w:r>
      <w:r w:rsidRPr="00022931" w:rsidR="00965B55">
        <w:rPr>
          <w:rFonts w:cs="Arial"/>
        </w:rPr>
        <w:t>and</w:t>
      </w:r>
      <w:proofErr w:type="gramEnd"/>
      <w:r w:rsidRPr="00022931" w:rsidR="00965B55">
        <w:rPr>
          <w:rFonts w:cs="Arial"/>
        </w:rPr>
        <w:t xml:space="preserve"> the consequent deductions </w:t>
      </w:r>
      <w:r w:rsidRPr="00022931" w:rsidR="00674EA5">
        <w:rPr>
          <w:rFonts w:cs="Arial"/>
        </w:rPr>
        <w:t>shall apply; and</w:t>
      </w:r>
    </w:p>
    <w:p w:rsidRPr="00AF24F8" w:rsidR="00674EA5" w:rsidP="005D6A28" w:rsidRDefault="00007001" w14:paraId="77C348D9" w14:textId="493118EB">
      <w:pPr>
        <w:pStyle w:val="Simple5"/>
        <w:numPr>
          <w:ilvl w:val="4"/>
          <w:numId w:val="12"/>
        </w:numPr>
        <w:rPr>
          <w:rFonts w:cs="Arial"/>
        </w:rPr>
      </w:pPr>
      <w:r w:rsidRPr="00AF24F8">
        <w:rPr>
          <w:rFonts w:cs="Arial"/>
        </w:rPr>
        <w:lastRenderedPageBreak/>
        <w:t xml:space="preserve">in </w:t>
      </w:r>
      <w:r w:rsidRPr="00023175" w:rsidR="00FB1112">
        <w:rPr>
          <w:rFonts w:cs="Arial"/>
        </w:rPr>
        <w:t xml:space="preserve">each subsequent </w:t>
      </w:r>
      <w:r w:rsidR="0044103D">
        <w:rPr>
          <w:rFonts w:cs="Arial"/>
        </w:rPr>
        <w:t>Month</w:t>
      </w:r>
      <w:r w:rsidRPr="00023175" w:rsidR="00FB1112">
        <w:rPr>
          <w:rFonts w:cs="Arial"/>
        </w:rPr>
        <w:t xml:space="preserve">, the NPPs set out in </w:t>
      </w:r>
      <w:r w:rsidRPr="00022931" w:rsidR="00A6245B">
        <w:rPr>
          <w:rFonts w:cs="Arial"/>
        </w:rPr>
        <w:t>Paragraph</w:t>
      </w:r>
      <w:r w:rsidRPr="00AF24F8" w:rsidR="00FB1112">
        <w:rPr>
          <w:rFonts w:cs="Arial"/>
        </w:rPr>
        <w:t xml:space="preserve"> </w:t>
      </w:r>
      <w:r w:rsidRPr="00022931" w:rsidR="00515B9D">
        <w:rPr>
          <w:rFonts w:cs="Arial"/>
        </w:rPr>
        <w:fldChar w:fldCharType="begin"/>
      </w:r>
      <w:r w:rsidRPr="008B7936" w:rsidR="00515B9D">
        <w:rPr>
          <w:rFonts w:cs="Arial"/>
        </w:rPr>
        <w:instrText xml:space="preserve"> REF _Ref89352684 \r \h </w:instrText>
      </w:r>
      <w:r w:rsidRPr="00022931" w:rsidR="00515B9D">
        <w:rPr>
          <w:rFonts w:cs="Arial"/>
        </w:rPr>
      </w:r>
      <w:r w:rsidRPr="00022931" w:rsidR="00515B9D">
        <w:rPr>
          <w:rFonts w:cs="Arial"/>
        </w:rPr>
        <w:fldChar w:fldCharType="separate"/>
      </w:r>
      <w:r w:rsidR="004458E3">
        <w:rPr>
          <w:rFonts w:cs="Arial"/>
        </w:rPr>
        <w:t>3.5</w:t>
      </w:r>
      <w:r w:rsidRPr="00022931" w:rsidR="00515B9D">
        <w:rPr>
          <w:rFonts w:cs="Arial"/>
        </w:rPr>
        <w:fldChar w:fldCharType="end"/>
      </w:r>
      <w:r w:rsidRPr="00022931" w:rsidR="00515B9D">
        <w:rPr>
          <w:rFonts w:cs="Arial"/>
        </w:rPr>
        <w:t xml:space="preserve"> (</w:t>
      </w:r>
      <w:r w:rsidRPr="00022931" w:rsidR="00515B9D">
        <w:rPr>
          <w:rFonts w:cs="Arial"/>
          <w:i/>
        </w:rPr>
        <w:t>Failure Against KPI 1 and NPPs</w:t>
      </w:r>
      <w:r w:rsidRPr="00022931" w:rsidR="00515B9D">
        <w:rPr>
          <w:rFonts w:cs="Arial"/>
        </w:rPr>
        <w:t>)</w:t>
      </w:r>
      <w:r w:rsidRPr="00022931" w:rsidR="00370AE3">
        <w:rPr>
          <w:rFonts w:cs="Arial"/>
        </w:rPr>
        <w:t xml:space="preserve"> </w:t>
      </w:r>
      <w:r w:rsidRPr="00022931" w:rsidR="00FB1112">
        <w:rPr>
          <w:rFonts w:cs="Arial"/>
        </w:rPr>
        <w:t>and the consequent deductions shall apply and be multiplied by 1.5.</w:t>
      </w:r>
    </w:p>
    <w:p w:rsidRPr="00022931" w:rsidR="007D782E" w:rsidP="00901CB4" w:rsidRDefault="007D782E" w14:paraId="0ED39F82" w14:textId="743541F1">
      <w:pPr>
        <w:pStyle w:val="Heading2"/>
        <w:rPr>
          <w:b/>
        </w:rPr>
      </w:pPr>
      <w:bookmarkStart w:name="_Ref82778706" w:id="44"/>
      <w:r w:rsidRPr="00022931">
        <w:rPr>
          <w:b/>
        </w:rPr>
        <w:t>Persistent Non-Performance leading to Termination</w:t>
      </w:r>
      <w:bookmarkEnd w:id="44"/>
    </w:p>
    <w:p w:rsidRPr="00023175" w:rsidR="00A56B8C" w:rsidP="00E90746" w:rsidRDefault="007F7100" w14:paraId="73E572FF" w14:textId="37C1184D">
      <w:pPr>
        <w:pStyle w:val="Body3"/>
        <w:ind w:left="709"/>
        <w:rPr>
          <w:rFonts w:cs="Arial"/>
          <w:b/>
        </w:rPr>
      </w:pPr>
      <w:r w:rsidRPr="00AF24F8">
        <w:rPr>
          <w:rFonts w:cs="Arial"/>
          <w:b/>
        </w:rPr>
        <w:t>KPI 1 and KPI 2 Potential Termination Triggers</w:t>
      </w:r>
    </w:p>
    <w:p w:rsidRPr="00022931" w:rsidR="00A56B8C" w:rsidP="00C53A51" w:rsidRDefault="00934CE7" w14:paraId="684ABF9E" w14:textId="6E279C44">
      <w:pPr>
        <w:pStyle w:val="Heading3"/>
      </w:pPr>
      <w:bookmarkStart w:name="_Ref82723380" w:id="45"/>
      <w:bookmarkStart w:name="_Ref87616698" w:id="46"/>
      <w:r w:rsidRPr="00022931">
        <w:t>T</w:t>
      </w:r>
      <w:r w:rsidRPr="00022931" w:rsidR="00C53A51">
        <w:t xml:space="preserve">he following scenarios </w:t>
      </w:r>
      <w:r w:rsidRPr="00022931">
        <w:t>shall,</w:t>
      </w:r>
      <w:r w:rsidRPr="00022931" w:rsidR="00C53A51">
        <w:t xml:space="preserve"> with respect to </w:t>
      </w:r>
      <w:r w:rsidR="00755667">
        <w:t>either or both</w:t>
      </w:r>
      <w:r w:rsidRPr="00022931" w:rsidR="00C53A51">
        <w:t xml:space="preserve"> of </w:t>
      </w:r>
      <w:r w:rsidRPr="00022931" w:rsidR="00007001">
        <w:t>KPI 1 and KPI 2</w:t>
      </w:r>
      <w:r w:rsidRPr="00022931">
        <w:t>, constitute "</w:t>
      </w:r>
      <w:r w:rsidRPr="00022931">
        <w:rPr>
          <w:b/>
        </w:rPr>
        <w:t>Potential Termination Triggers</w:t>
      </w:r>
      <w:r w:rsidRPr="00022931">
        <w:t>"</w:t>
      </w:r>
      <w:bookmarkEnd w:id="45"/>
      <w:r w:rsidRPr="00022931" w:rsidR="00B66F15">
        <w:t>.</w:t>
      </w:r>
      <w:bookmarkEnd w:id="46"/>
    </w:p>
    <w:p w:rsidRPr="00023175" w:rsidR="00C53A51" w:rsidP="008917DC" w:rsidRDefault="00C53A51" w14:paraId="38788251" w14:textId="6913E42B">
      <w:pPr>
        <w:pStyle w:val="Heading5"/>
        <w:rPr>
          <w:rFonts w:cs="Arial"/>
        </w:rPr>
      </w:pPr>
      <w:r w:rsidRPr="00023175">
        <w:rPr>
          <w:rFonts w:cs="Arial"/>
        </w:rPr>
        <w:t xml:space="preserve">the Contractor's accrual of NPPs is in NPP Band 5 or NPP Band 6 for </w:t>
      </w:r>
      <w:r w:rsidRPr="00023175" w:rsidR="00E02D3F">
        <w:rPr>
          <w:rFonts w:cs="Arial"/>
        </w:rPr>
        <w:t>nine (</w:t>
      </w:r>
      <w:r w:rsidRPr="00023175" w:rsidR="008917DC">
        <w:rPr>
          <w:rFonts w:cs="Arial"/>
        </w:rPr>
        <w:t>9</w:t>
      </w:r>
      <w:r w:rsidRPr="00023175" w:rsidR="00E02D3F">
        <w:rPr>
          <w:rFonts w:cs="Arial"/>
        </w:rPr>
        <w:t>)</w:t>
      </w:r>
      <w:r w:rsidRPr="00023175">
        <w:rPr>
          <w:rFonts w:cs="Arial"/>
        </w:rPr>
        <w:t xml:space="preserve"> </w:t>
      </w:r>
      <w:r w:rsidR="0044103D">
        <w:rPr>
          <w:rFonts w:cs="Arial"/>
        </w:rPr>
        <w:t>Months</w:t>
      </w:r>
      <w:r w:rsidRPr="00023175">
        <w:rPr>
          <w:rFonts w:cs="Arial"/>
        </w:rPr>
        <w:t xml:space="preserve">, whether consecutive or not, </w:t>
      </w:r>
      <w:r w:rsidRPr="00023175" w:rsidR="00E02D3F">
        <w:rPr>
          <w:rFonts w:cs="Arial"/>
        </w:rPr>
        <w:t>out of twelve (</w:t>
      </w:r>
      <w:r w:rsidRPr="00023175">
        <w:rPr>
          <w:rFonts w:cs="Arial"/>
        </w:rPr>
        <w:t>12</w:t>
      </w:r>
      <w:r w:rsidRPr="00023175" w:rsidR="00E02D3F">
        <w:rPr>
          <w:rFonts w:cs="Arial"/>
        </w:rPr>
        <w:t>)</w:t>
      </w:r>
      <w:r w:rsidRPr="00023175">
        <w:rPr>
          <w:rFonts w:cs="Arial"/>
        </w:rPr>
        <w:t xml:space="preserve"> </w:t>
      </w:r>
      <w:proofErr w:type="gramStart"/>
      <w:r w:rsidR="00474C5A">
        <w:rPr>
          <w:rFonts w:cs="Arial"/>
        </w:rPr>
        <w:t>Month</w:t>
      </w:r>
      <w:r w:rsidRPr="00023175" w:rsidR="002B2E6D">
        <w:rPr>
          <w:rFonts w:cs="Arial"/>
        </w:rPr>
        <w:t>s</w:t>
      </w:r>
      <w:r w:rsidRPr="00023175">
        <w:rPr>
          <w:rFonts w:cs="Arial"/>
        </w:rPr>
        <w:t>;</w:t>
      </w:r>
      <w:proofErr w:type="gramEnd"/>
    </w:p>
    <w:p w:rsidRPr="00023175" w:rsidR="00C53A51" w:rsidP="00E90746" w:rsidRDefault="00C53A51" w14:paraId="70333951" w14:textId="410D3CD0">
      <w:pPr>
        <w:pStyle w:val="Heading5"/>
        <w:rPr>
          <w:rFonts w:cs="Arial"/>
        </w:rPr>
      </w:pPr>
      <w:r w:rsidRPr="00023175">
        <w:rPr>
          <w:rFonts w:cs="Arial"/>
        </w:rPr>
        <w:t xml:space="preserve">the Contractor's accrual of NPPs is in NPP Band 7 or NPP Band 8 for </w:t>
      </w:r>
      <w:r w:rsidRPr="00023175" w:rsidR="00E02D3F">
        <w:rPr>
          <w:rFonts w:cs="Arial"/>
        </w:rPr>
        <w:t>eight (</w:t>
      </w:r>
      <w:r w:rsidRPr="00023175" w:rsidR="008917DC">
        <w:rPr>
          <w:rFonts w:cs="Arial"/>
        </w:rPr>
        <w:t>8</w:t>
      </w:r>
      <w:r w:rsidRPr="00023175" w:rsidR="00E02D3F">
        <w:rPr>
          <w:rFonts w:cs="Arial"/>
        </w:rPr>
        <w:t>)</w:t>
      </w:r>
      <w:r w:rsidRPr="00023175">
        <w:rPr>
          <w:rFonts w:cs="Arial"/>
        </w:rPr>
        <w:t xml:space="preserve"> </w:t>
      </w:r>
      <w:r w:rsidR="00474C5A">
        <w:rPr>
          <w:rFonts w:cs="Arial"/>
        </w:rPr>
        <w:t>Month</w:t>
      </w:r>
      <w:r w:rsidRPr="00023175" w:rsidR="002B2E6D">
        <w:rPr>
          <w:rFonts w:cs="Arial"/>
        </w:rPr>
        <w:t>s</w:t>
      </w:r>
      <w:r w:rsidRPr="00023175">
        <w:rPr>
          <w:rFonts w:cs="Arial"/>
        </w:rPr>
        <w:t xml:space="preserve">, whether consecutive or not, </w:t>
      </w:r>
      <w:r w:rsidRPr="00023175" w:rsidR="00E02D3F">
        <w:rPr>
          <w:rFonts w:cs="Arial"/>
        </w:rPr>
        <w:t>out of twelve (</w:t>
      </w:r>
      <w:r w:rsidRPr="00023175">
        <w:rPr>
          <w:rFonts w:cs="Arial"/>
        </w:rPr>
        <w:t>12</w:t>
      </w:r>
      <w:r w:rsidRPr="00023175" w:rsidR="00E02D3F">
        <w:rPr>
          <w:rFonts w:cs="Arial"/>
        </w:rPr>
        <w:t>)</w:t>
      </w:r>
      <w:r w:rsidRPr="00023175">
        <w:rPr>
          <w:rFonts w:cs="Arial"/>
        </w:rPr>
        <w:t xml:space="preserve"> </w:t>
      </w:r>
      <w:r w:rsidR="00474C5A">
        <w:rPr>
          <w:rFonts w:cs="Arial"/>
        </w:rPr>
        <w:t>Month</w:t>
      </w:r>
      <w:r w:rsidRPr="00023175" w:rsidR="002B2E6D">
        <w:rPr>
          <w:rFonts w:cs="Arial"/>
        </w:rPr>
        <w:t>s</w:t>
      </w:r>
      <w:r w:rsidRPr="00023175">
        <w:rPr>
          <w:rFonts w:cs="Arial"/>
        </w:rPr>
        <w:t>;</w:t>
      </w:r>
      <w:r w:rsidRPr="00023175" w:rsidR="00934CE7">
        <w:rPr>
          <w:rFonts w:cs="Arial"/>
        </w:rPr>
        <w:t xml:space="preserve"> and / or</w:t>
      </w:r>
    </w:p>
    <w:p w:rsidRPr="00023175" w:rsidR="00C53A51" w:rsidP="00E90746" w:rsidRDefault="00C53A51" w14:paraId="557E4A2D" w14:textId="5B982BD1">
      <w:pPr>
        <w:pStyle w:val="Heading5"/>
        <w:rPr>
          <w:rFonts w:cs="Arial"/>
        </w:rPr>
      </w:pPr>
      <w:r w:rsidRPr="00023175">
        <w:rPr>
          <w:rFonts w:cs="Arial"/>
        </w:rPr>
        <w:t xml:space="preserve">the Contractor's accrual of NPPs is in NPP Band 9 for </w:t>
      </w:r>
      <w:r w:rsidRPr="00023175" w:rsidR="00E02D3F">
        <w:rPr>
          <w:rFonts w:cs="Arial"/>
        </w:rPr>
        <w:t>six (</w:t>
      </w:r>
      <w:r w:rsidRPr="00023175" w:rsidR="008917DC">
        <w:rPr>
          <w:rFonts w:cs="Arial"/>
        </w:rPr>
        <w:t>6</w:t>
      </w:r>
      <w:r w:rsidRPr="00023175" w:rsidR="00E02D3F">
        <w:rPr>
          <w:rFonts w:cs="Arial"/>
        </w:rPr>
        <w:t>)</w:t>
      </w:r>
      <w:r w:rsidRPr="00023175">
        <w:rPr>
          <w:rFonts w:cs="Arial"/>
        </w:rPr>
        <w:t xml:space="preserve"> </w:t>
      </w:r>
      <w:r w:rsidR="00474C5A">
        <w:rPr>
          <w:rFonts w:cs="Arial"/>
        </w:rPr>
        <w:t>Month</w:t>
      </w:r>
      <w:r w:rsidRPr="00023175" w:rsidR="002B2E6D">
        <w:rPr>
          <w:rFonts w:cs="Arial"/>
        </w:rPr>
        <w:t>s</w:t>
      </w:r>
      <w:r w:rsidRPr="00023175">
        <w:rPr>
          <w:rFonts w:cs="Arial"/>
        </w:rPr>
        <w:t xml:space="preserve">, whether consecutive or not, </w:t>
      </w:r>
      <w:r w:rsidRPr="00023175" w:rsidR="00E02D3F">
        <w:rPr>
          <w:rFonts w:cs="Arial"/>
        </w:rPr>
        <w:t>out of twelve (</w:t>
      </w:r>
      <w:r w:rsidRPr="00023175" w:rsidR="000012C8">
        <w:rPr>
          <w:rFonts w:cs="Arial"/>
        </w:rPr>
        <w:t>12</w:t>
      </w:r>
      <w:r w:rsidRPr="00023175" w:rsidR="00E02D3F">
        <w:rPr>
          <w:rFonts w:cs="Arial"/>
        </w:rPr>
        <w:t>)</w:t>
      </w:r>
      <w:r w:rsidRPr="00023175" w:rsidR="000012C8">
        <w:rPr>
          <w:rFonts w:cs="Arial"/>
        </w:rPr>
        <w:t xml:space="preserve"> </w:t>
      </w:r>
      <w:r w:rsidR="00474C5A">
        <w:rPr>
          <w:rFonts w:cs="Arial"/>
        </w:rPr>
        <w:t>Month</w:t>
      </w:r>
      <w:r w:rsidRPr="00023175" w:rsidR="002B2E6D">
        <w:rPr>
          <w:rFonts w:cs="Arial"/>
        </w:rPr>
        <w:t>s</w:t>
      </w:r>
      <w:r w:rsidRPr="00023175" w:rsidR="000012C8">
        <w:rPr>
          <w:rFonts w:cs="Arial"/>
        </w:rPr>
        <w:t>.</w:t>
      </w:r>
    </w:p>
    <w:p w:rsidRPr="00022931" w:rsidR="007E0F20" w:rsidP="00E90746" w:rsidRDefault="007E0F20" w14:paraId="4D3C11E6" w14:textId="0AC1C1C1">
      <w:pPr>
        <w:pStyle w:val="Heading3"/>
      </w:pPr>
      <w:r w:rsidRPr="00022931">
        <w:t xml:space="preserve">The occurrence of any Potential Termination Trigger under this Schedule </w:t>
      </w:r>
      <w:r w:rsidRPr="00022931" w:rsidR="00B818F5">
        <w:t>4</w:t>
      </w:r>
      <w:r w:rsidRPr="00022931">
        <w:t xml:space="preserve"> shall constitute a Default and the provisions of Clause 49 (</w:t>
      </w:r>
      <w:r w:rsidRPr="00022931">
        <w:rPr>
          <w:i/>
        </w:rPr>
        <w:t>Rectification Plan</w:t>
      </w:r>
      <w:r w:rsidRPr="00022931">
        <w:t xml:space="preserve">) of the Contract shall apply. </w:t>
      </w:r>
    </w:p>
    <w:p w:rsidRPr="00022931" w:rsidR="00BA1E72" w:rsidP="00E90746" w:rsidRDefault="00BA1E72" w14:paraId="2E85EECC" w14:textId="3DF2DBAB">
      <w:pPr>
        <w:pStyle w:val="Heading3"/>
      </w:pPr>
      <w:r w:rsidRPr="00022931">
        <w:t xml:space="preserve">NPPs, Service Credits and the </w:t>
      </w:r>
      <w:r w:rsidRPr="00022931" w:rsidR="00B66F15">
        <w:t xml:space="preserve">multiplier mechanisms set out in </w:t>
      </w:r>
      <w:r w:rsidR="00531D48">
        <w:t xml:space="preserve">this </w:t>
      </w:r>
      <w:r w:rsidRPr="00022931" w:rsidR="00A6245B">
        <w:rPr>
          <w:szCs w:val="20"/>
        </w:rPr>
        <w:t>Paragraph</w:t>
      </w:r>
      <w:r w:rsidRPr="00022931" w:rsidR="00B66F15">
        <w:t xml:space="preserve"> </w:t>
      </w:r>
      <w:r w:rsidRPr="00022931" w:rsidR="00824546">
        <w:fldChar w:fldCharType="begin"/>
      </w:r>
      <w:r w:rsidRPr="00022931" w:rsidR="00824546">
        <w:instrText xml:space="preserve"> REF _Ref90663159 \r \h </w:instrText>
      </w:r>
      <w:r w:rsidRPr="00022931" w:rsidR="00824546">
        <w:fldChar w:fldCharType="separate"/>
      </w:r>
      <w:r w:rsidR="004458E3">
        <w:t>6</w:t>
      </w:r>
      <w:r w:rsidRPr="00022931" w:rsidR="00824546">
        <w:fldChar w:fldCharType="end"/>
      </w:r>
      <w:r w:rsidRPr="00022931">
        <w:t xml:space="preserve"> shall continue to apply </w:t>
      </w:r>
      <w:r w:rsidR="008A277C">
        <w:t>during the period for which</w:t>
      </w:r>
      <w:r w:rsidRPr="00022931" w:rsidR="00245FA6">
        <w:t xml:space="preserve"> the process set out in Clause 49 (</w:t>
      </w:r>
      <w:r w:rsidRPr="00022931" w:rsidR="00E02D3F">
        <w:rPr>
          <w:i/>
        </w:rPr>
        <w:t>Contractor Default and Rectification Plan</w:t>
      </w:r>
      <w:r w:rsidRPr="00022931" w:rsidR="00245FA6">
        <w:t xml:space="preserve">) </w:t>
      </w:r>
      <w:r w:rsidR="008A277C">
        <w:t>continues</w:t>
      </w:r>
      <w:r w:rsidRPr="00022931" w:rsidR="00463D52">
        <w:t>.</w:t>
      </w:r>
    </w:p>
    <w:p w:rsidRPr="00022931" w:rsidR="006220E3" w:rsidP="006220E3" w:rsidRDefault="004E60B5" w14:paraId="4F0E818E" w14:textId="57842EA0">
      <w:pPr>
        <w:pStyle w:val="Heading1"/>
        <w:spacing w:before="280"/>
        <w:rPr>
          <w:szCs w:val="20"/>
        </w:rPr>
      </w:pPr>
      <w:bookmarkStart w:name="_Ref111587909" w:id="47"/>
      <w:r>
        <w:rPr>
          <w:szCs w:val="20"/>
        </w:rPr>
        <w:t>Profit share</w:t>
      </w:r>
      <w:bookmarkEnd w:id="47"/>
    </w:p>
    <w:p w:rsidRPr="00022931" w:rsidR="00A1332D" w:rsidP="00A1332D" w:rsidRDefault="00F66D66" w14:paraId="02CD6750" w14:textId="2A8E4DCD">
      <w:pPr>
        <w:pStyle w:val="Heading2"/>
        <w:rPr>
          <w:b/>
        </w:rPr>
      </w:pPr>
      <w:bookmarkStart w:name="_Ref82690709" w:id="48"/>
      <w:r w:rsidRPr="00022931">
        <w:rPr>
          <w:b/>
        </w:rPr>
        <w:t xml:space="preserve">Profit Share </w:t>
      </w:r>
      <w:r w:rsidRPr="00022931" w:rsidR="00A1332D">
        <w:rPr>
          <w:b/>
        </w:rPr>
        <w:t>Mechanism</w:t>
      </w:r>
      <w:bookmarkEnd w:id="48"/>
    </w:p>
    <w:p w:rsidRPr="00022931" w:rsidR="00A1332D" w:rsidP="00A1332D" w:rsidRDefault="008E2705" w14:paraId="172AA828" w14:textId="7FC13697">
      <w:pPr>
        <w:pStyle w:val="Heading3"/>
      </w:pPr>
      <w:r w:rsidRPr="00022931">
        <w:t>If</w:t>
      </w:r>
      <w:r w:rsidRPr="00022931" w:rsidR="004F01B6">
        <w:t xml:space="preserve"> and to the extent that</w:t>
      </w:r>
      <w:r w:rsidRPr="00022931">
        <w:t xml:space="preserve"> the Contractor </w:t>
      </w:r>
      <w:r w:rsidRPr="00022931" w:rsidR="00601C96">
        <w:t xml:space="preserve">is able to increase its </w:t>
      </w:r>
      <w:r w:rsidR="004E60B5">
        <w:t>Effective Margin</w:t>
      </w:r>
      <w:r w:rsidRPr="00022931" w:rsidR="004E60B5">
        <w:t xml:space="preserve"> </w:t>
      </w:r>
      <w:r w:rsidRPr="00022931" w:rsidR="00601C96">
        <w:t>under the Contract</w:t>
      </w:r>
      <w:r w:rsidRPr="00022931" w:rsidR="004F01B6">
        <w:t xml:space="preserve"> </w:t>
      </w:r>
      <w:r w:rsidRPr="00022931" w:rsidR="00601C96">
        <w:t xml:space="preserve">for </w:t>
      </w:r>
      <w:r w:rsidRPr="00022931" w:rsidR="004F01B6">
        <w:t>the delivery of the Services</w:t>
      </w:r>
      <w:r w:rsidR="008A277C">
        <w:t xml:space="preserve"> (as calculated in accordance with the </w:t>
      </w:r>
      <w:r w:rsidR="00A47673">
        <w:t>Monthly Financial Model provided as part of the Annual Financial Report</w:t>
      </w:r>
      <w:r w:rsidR="008A277C">
        <w:t>)</w:t>
      </w:r>
      <w:r w:rsidRPr="00022931">
        <w:t xml:space="preserve">, </w:t>
      </w:r>
      <w:r w:rsidRPr="00022931" w:rsidR="004F01B6">
        <w:t xml:space="preserve">the Authority </w:t>
      </w:r>
      <w:r w:rsidRPr="00022931" w:rsidR="002C36A4">
        <w:t xml:space="preserve">shall, subject to the provisions of this </w:t>
      </w:r>
      <w:r w:rsidRPr="00022931" w:rsidR="004F01B6">
        <w:t xml:space="preserve">Paragraph </w:t>
      </w:r>
      <w:r w:rsidR="00E80858">
        <w:fldChar w:fldCharType="begin"/>
      </w:r>
      <w:r w:rsidR="00E80858">
        <w:instrText xml:space="preserve"> REF _Ref82690709 \r \h </w:instrText>
      </w:r>
      <w:r w:rsidR="00E80858">
        <w:fldChar w:fldCharType="separate"/>
      </w:r>
      <w:r w:rsidR="004458E3">
        <w:t>7.1</w:t>
      </w:r>
      <w:r w:rsidR="00E80858">
        <w:fldChar w:fldCharType="end"/>
      </w:r>
      <w:r w:rsidRPr="00022931" w:rsidR="00A1332D">
        <w:t xml:space="preserve">, be entitled to share in </w:t>
      </w:r>
      <w:r w:rsidR="004E60B5">
        <w:t>any</w:t>
      </w:r>
      <w:r w:rsidRPr="00022931" w:rsidR="004E60B5">
        <w:t xml:space="preserve"> </w:t>
      </w:r>
      <w:r w:rsidR="004E60B5">
        <w:t>Excess Margin</w:t>
      </w:r>
      <w:r w:rsidRPr="00022931" w:rsidR="004E60B5">
        <w:t xml:space="preserve"> </w:t>
      </w:r>
      <w:r w:rsidRPr="00022931" w:rsidR="002C36A4">
        <w:t xml:space="preserve">enjoyed by the </w:t>
      </w:r>
      <w:r w:rsidRPr="00022931" w:rsidR="00A85CC8">
        <w:t xml:space="preserve">Contractor </w:t>
      </w:r>
      <w:r w:rsidRPr="00022931">
        <w:t>by way of</w:t>
      </w:r>
      <w:r w:rsidRPr="00022931" w:rsidR="00A1332D">
        <w:t xml:space="preserve"> </w:t>
      </w:r>
      <w:r w:rsidRPr="00022931" w:rsidR="002C36A4">
        <w:t xml:space="preserve">the </w:t>
      </w:r>
      <w:r w:rsidRPr="00022931" w:rsidR="00601C96">
        <w:t>Profit Share Mechanism</w:t>
      </w:r>
      <w:r w:rsidRPr="00022931" w:rsidR="002C36A4">
        <w:t>.</w:t>
      </w:r>
    </w:p>
    <w:p w:rsidRPr="00022931" w:rsidR="00A1332D" w:rsidP="00423C89" w:rsidRDefault="00B00EF6" w14:paraId="61C0A005" w14:textId="1B9EC399">
      <w:pPr>
        <w:pStyle w:val="Heading2"/>
        <w:rPr>
          <w:b/>
        </w:rPr>
      </w:pPr>
      <w:r>
        <w:rPr>
          <w:b/>
          <w:szCs w:val="20"/>
        </w:rPr>
        <w:t xml:space="preserve">Annual </w:t>
      </w:r>
      <w:r w:rsidR="00A47673">
        <w:rPr>
          <w:b/>
          <w:szCs w:val="20"/>
        </w:rPr>
        <w:t>Financial Report</w:t>
      </w:r>
      <w:r w:rsidRPr="00022931" w:rsidR="005558A4">
        <w:rPr>
          <w:b/>
        </w:rPr>
        <w:t xml:space="preserve"> </w:t>
      </w:r>
    </w:p>
    <w:p w:rsidRPr="00022931" w:rsidR="00A1332D" w:rsidP="00423C89" w:rsidRDefault="00A1332D" w14:paraId="4975AF41" w14:textId="13380208">
      <w:pPr>
        <w:pStyle w:val="Heading3"/>
      </w:pPr>
      <w:r w:rsidRPr="00022931">
        <w:t xml:space="preserve">The </w:t>
      </w:r>
      <w:r w:rsidR="00B00EF6">
        <w:rPr>
          <w:szCs w:val="20"/>
        </w:rPr>
        <w:t xml:space="preserve">Annual </w:t>
      </w:r>
      <w:r w:rsidR="00A47673">
        <w:rPr>
          <w:szCs w:val="20"/>
        </w:rPr>
        <w:t>Financial Report</w:t>
      </w:r>
      <w:r w:rsidRPr="00022931">
        <w:t xml:space="preserve"> shall be prepared</w:t>
      </w:r>
      <w:r w:rsidR="00BF1592">
        <w:t xml:space="preserve"> and </w:t>
      </w:r>
      <w:proofErr w:type="gramStart"/>
      <w:r w:rsidR="00BF1592">
        <w:t>submitted</w:t>
      </w:r>
      <w:r w:rsidRPr="00022931">
        <w:t xml:space="preserve">  </w:t>
      </w:r>
      <w:r w:rsidRPr="00022931" w:rsidR="00774323">
        <w:t>in</w:t>
      </w:r>
      <w:proofErr w:type="gramEnd"/>
      <w:r w:rsidRPr="00022931" w:rsidR="00774323">
        <w:t xml:space="preserve"> the form set out</w:t>
      </w:r>
      <w:r w:rsidRPr="00022931" w:rsidR="004F01B6">
        <w:t xml:space="preserve"> in, and contain the information required by,</w:t>
      </w:r>
      <w:r w:rsidRPr="00022931" w:rsidR="00774323">
        <w:t xml:space="preserve"> Schedule </w:t>
      </w:r>
      <w:r w:rsidRPr="00022931" w:rsidR="00B818F5">
        <w:t xml:space="preserve">6 </w:t>
      </w:r>
      <w:r w:rsidRPr="00022931" w:rsidR="00774323">
        <w:t>(</w:t>
      </w:r>
      <w:r w:rsidRPr="00022931" w:rsidR="00B818F5">
        <w:rPr>
          <w:i/>
          <w:szCs w:val="20"/>
        </w:rPr>
        <w:t>Governance and Management Information, Reports, Records and Audit</w:t>
      </w:r>
      <w:r w:rsidRPr="00022931" w:rsidR="00774323">
        <w:t>)</w:t>
      </w:r>
      <w:r w:rsidR="003931BA">
        <w:t xml:space="preserve"> and Schedule 31 (</w:t>
      </w:r>
      <w:r w:rsidRPr="0024502D" w:rsidR="003931BA">
        <w:rPr>
          <w:i/>
        </w:rPr>
        <w:t>Transparency and Financial Models</w:t>
      </w:r>
      <w:r w:rsidR="003931BA">
        <w:t>)</w:t>
      </w:r>
      <w:r w:rsidR="00FF45AD">
        <w:t>, and shall be subject to Part E (</w:t>
      </w:r>
      <w:r w:rsidR="00FF45AD">
        <w:rPr>
          <w:i/>
        </w:rPr>
        <w:t>Audit</w:t>
      </w:r>
      <w:r w:rsidR="00FF45AD">
        <w:t>) thereof.</w:t>
      </w:r>
    </w:p>
    <w:p w:rsidRPr="00022931" w:rsidR="00A1332D" w:rsidP="00423C89" w:rsidRDefault="00A1332D" w14:paraId="4A505F23" w14:textId="7F9D2700">
      <w:pPr>
        <w:pStyle w:val="Heading3"/>
      </w:pPr>
      <w:r w:rsidRPr="00022931">
        <w:t xml:space="preserve">Where the Effective Margin exceeds the agreed Profit Share Thresholds, any Excess Margin shall be shared between the Contractor and Authority in accordance with the </w:t>
      </w:r>
      <w:r w:rsidRPr="00022931">
        <w:lastRenderedPageBreak/>
        <w:t>agreed Profit Share Percentages</w:t>
      </w:r>
      <w:r w:rsidR="005056C0">
        <w:t xml:space="preserve"> set out in Paragraph </w:t>
      </w:r>
      <w:r w:rsidR="005056C0">
        <w:fldChar w:fldCharType="begin"/>
      </w:r>
      <w:r w:rsidR="005056C0">
        <w:instrText xml:space="preserve"> REF _Ref114094320 \r \h </w:instrText>
      </w:r>
      <w:r w:rsidR="005056C0">
        <w:fldChar w:fldCharType="separate"/>
      </w:r>
      <w:r w:rsidR="004458E3">
        <w:t>7.3</w:t>
      </w:r>
      <w:r w:rsidR="005056C0">
        <w:fldChar w:fldCharType="end"/>
      </w:r>
      <w:r w:rsidR="005056C0">
        <w:t xml:space="preserve"> (</w:t>
      </w:r>
      <w:r w:rsidR="005056C0">
        <w:rPr>
          <w:i/>
        </w:rPr>
        <w:t>Profit Share Thresholds</w:t>
      </w:r>
      <w:r w:rsidR="005056C0">
        <w:t xml:space="preserve">) below. </w:t>
      </w:r>
    </w:p>
    <w:p w:rsidRPr="00022931" w:rsidR="00BE1DB9" w:rsidP="00423C89" w:rsidRDefault="00A1332D" w14:paraId="5FD38637" w14:textId="54649265">
      <w:pPr>
        <w:pStyle w:val="Heading3"/>
      </w:pPr>
      <w:r w:rsidRPr="00022931">
        <w:t xml:space="preserve">Any resultant </w:t>
      </w:r>
      <w:r w:rsidRPr="00022931" w:rsidR="004E4DBB">
        <w:t xml:space="preserve">Profit Share </w:t>
      </w:r>
      <w:r w:rsidRPr="00022931">
        <w:t xml:space="preserve">shall be reported in the </w:t>
      </w:r>
      <w:r w:rsidR="00B00EF6">
        <w:rPr>
          <w:szCs w:val="20"/>
        </w:rPr>
        <w:t xml:space="preserve">Annual Financial </w:t>
      </w:r>
      <w:r w:rsidR="0024502D">
        <w:rPr>
          <w:szCs w:val="20"/>
        </w:rPr>
        <w:t>Report</w:t>
      </w:r>
      <w:r w:rsidRPr="00022931" w:rsidR="00664DE0">
        <w:t>.</w:t>
      </w:r>
    </w:p>
    <w:p w:rsidR="00BB177E" w:rsidP="005F0D2A" w:rsidRDefault="00BE1DB9" w14:paraId="05AE3F6C" w14:textId="63CDA050">
      <w:pPr>
        <w:pStyle w:val="Heading3"/>
      </w:pPr>
      <w:r w:rsidRPr="00022931">
        <w:t>Where</w:t>
      </w:r>
      <w:r w:rsidRPr="00022931" w:rsidR="00664DE0">
        <w:t xml:space="preserve"> the Contractor's</w:t>
      </w:r>
      <w:r w:rsidRPr="00022931">
        <w:t xml:space="preserve"> actual costs</w:t>
      </w:r>
      <w:r w:rsidRPr="00022931" w:rsidR="00664DE0">
        <w:t xml:space="preserve"> of performing the Services</w:t>
      </w:r>
      <w:r w:rsidRPr="00022931">
        <w:t xml:space="preserve"> exceed those forecast in the </w:t>
      </w:r>
      <w:r w:rsidR="0024502D">
        <w:t xml:space="preserve">latest Updated Baseline </w:t>
      </w:r>
      <w:r w:rsidRPr="00022931">
        <w:t>Financial Model</w:t>
      </w:r>
      <w:r w:rsidR="0024502D">
        <w:t xml:space="preserve"> (or, the Baseline Financial Model, </w:t>
      </w:r>
      <w:r w:rsidRPr="009E3DCF" w:rsidR="0024502D">
        <w:rPr>
          <w:szCs w:val="20"/>
        </w:rPr>
        <w:t xml:space="preserve">if </w:t>
      </w:r>
      <w:r w:rsidR="0024502D">
        <w:rPr>
          <w:szCs w:val="20"/>
        </w:rPr>
        <w:t>such model has not been updated in accordance with the provisions of this Schedule 31 (</w:t>
      </w:r>
      <w:r w:rsidRPr="0024502D" w:rsidR="0024502D">
        <w:rPr>
          <w:i/>
          <w:szCs w:val="20"/>
        </w:rPr>
        <w:t>Transparency and Financial Models</w:t>
      </w:r>
      <w:r w:rsidR="0024502D">
        <w:rPr>
          <w:szCs w:val="20"/>
        </w:rPr>
        <w:t>))</w:t>
      </w:r>
      <w:r w:rsidRPr="00022931">
        <w:t xml:space="preserve"> and the Contractor</w:t>
      </w:r>
      <w:r w:rsidRPr="00022931" w:rsidR="00664DE0">
        <w:t>'</w:t>
      </w:r>
      <w:r w:rsidRPr="00022931">
        <w:t xml:space="preserve">s Effective Margin is less than the forecast </w:t>
      </w:r>
      <w:r w:rsidRPr="00022931" w:rsidR="002D4634">
        <w:t>Profit Margin</w:t>
      </w:r>
      <w:r w:rsidRPr="00022931">
        <w:t xml:space="preserve">, no adjustment shall be made and the Authority shall continue to pay the </w:t>
      </w:r>
      <w:r w:rsidR="00417699">
        <w:rPr>
          <w:szCs w:val="20"/>
        </w:rPr>
        <w:t>A</w:t>
      </w:r>
      <w:r w:rsidRPr="00022931" w:rsidR="00417699">
        <w:rPr>
          <w:szCs w:val="20"/>
        </w:rPr>
        <w:t>C</w:t>
      </w:r>
      <w:r w:rsidRPr="00022931" w:rsidR="00417699">
        <w:t xml:space="preserve"> </w:t>
      </w:r>
      <w:r w:rsidRPr="00022931" w:rsidR="00664DE0">
        <w:t xml:space="preserve">to the Contractor. </w:t>
      </w:r>
    </w:p>
    <w:p w:rsidR="00FF45AD" w:rsidP="00FF45AD" w:rsidRDefault="00FF45AD" w14:paraId="1512CB43" w14:textId="3D396F26">
      <w:pPr>
        <w:pStyle w:val="Heading3"/>
        <w:rPr>
          <w:szCs w:val="20"/>
        </w:rPr>
      </w:pPr>
      <w:bookmarkStart w:name="_Ref111587339" w:id="49"/>
      <w:bookmarkStart w:name="_Ref82722967" w:id="50"/>
      <w:r w:rsidRPr="0018182B">
        <w:rPr>
          <w:szCs w:val="20"/>
        </w:rPr>
        <w:t xml:space="preserve">The </w:t>
      </w:r>
      <w:r>
        <w:rPr>
          <w:szCs w:val="20"/>
        </w:rPr>
        <w:t>Contractor</w:t>
      </w:r>
      <w:r w:rsidRPr="0018182B">
        <w:rPr>
          <w:szCs w:val="20"/>
        </w:rPr>
        <w:t xml:space="preserve"> shall, within </w:t>
      </w:r>
      <w:r>
        <w:rPr>
          <w:szCs w:val="20"/>
        </w:rPr>
        <w:t>three</w:t>
      </w:r>
      <w:r w:rsidRPr="0018182B">
        <w:rPr>
          <w:szCs w:val="20"/>
        </w:rPr>
        <w:t xml:space="preserve"> (3) Months </w:t>
      </w:r>
      <w:r>
        <w:rPr>
          <w:szCs w:val="20"/>
        </w:rPr>
        <w:t>after its submission to the Authority of the required information in accordance with Schedule 6 (</w:t>
      </w:r>
      <w:r>
        <w:rPr>
          <w:i/>
          <w:szCs w:val="20"/>
        </w:rPr>
        <w:t>Governance, Management Information, Reports, Records and Audit</w:t>
      </w:r>
      <w:r>
        <w:rPr>
          <w:szCs w:val="20"/>
        </w:rPr>
        <w:t>) and</w:t>
      </w:r>
      <w:r w:rsidRPr="0018182B">
        <w:rPr>
          <w:szCs w:val="20"/>
        </w:rPr>
        <w:t xml:space="preserve"> having applied the mechanism set out in this Paragraph 7, notify the </w:t>
      </w:r>
      <w:r>
        <w:rPr>
          <w:szCs w:val="20"/>
        </w:rPr>
        <w:t>Authority of</w:t>
      </w:r>
      <w:r w:rsidRPr="0018182B">
        <w:rPr>
          <w:szCs w:val="20"/>
        </w:rPr>
        <w:t xml:space="preserve"> any Effective Margin in excess of the Profit Share Thresholds</w:t>
      </w:r>
      <w:r>
        <w:rPr>
          <w:szCs w:val="20"/>
        </w:rPr>
        <w:t xml:space="preserve"> in </w:t>
      </w:r>
      <w:r>
        <w:t xml:space="preserve">Paragraph </w:t>
      </w:r>
      <w:r w:rsidR="00957099">
        <w:rPr>
          <w:b/>
          <w:bCs w:val="0"/>
          <w:lang w:val="en-US"/>
        </w:rPr>
        <w:fldChar w:fldCharType="begin"/>
      </w:r>
      <w:r w:rsidR="00957099">
        <w:instrText xml:space="preserve"> REF _Ref114094320 \r \h </w:instrText>
      </w:r>
      <w:r w:rsidR="00957099">
        <w:rPr>
          <w:b/>
          <w:bCs w:val="0"/>
          <w:lang w:val="en-US"/>
        </w:rPr>
      </w:r>
      <w:r w:rsidR="00957099">
        <w:rPr>
          <w:b/>
          <w:bCs w:val="0"/>
          <w:lang w:val="en-US"/>
        </w:rPr>
        <w:fldChar w:fldCharType="separate"/>
      </w:r>
      <w:r w:rsidR="004458E3">
        <w:t>7.3</w:t>
      </w:r>
      <w:r w:rsidR="00957099">
        <w:rPr>
          <w:b/>
          <w:bCs w:val="0"/>
          <w:lang w:val="en-US"/>
        </w:rPr>
        <w:fldChar w:fldCharType="end"/>
      </w:r>
      <w:r w:rsidR="00957099">
        <w:rPr>
          <w:b/>
          <w:bCs w:val="0"/>
          <w:lang w:val="en-US"/>
        </w:rPr>
        <w:t xml:space="preserve"> </w:t>
      </w:r>
      <w:r>
        <w:t>(</w:t>
      </w:r>
      <w:r>
        <w:rPr>
          <w:i/>
        </w:rPr>
        <w:t>Profit Share Thresholds</w:t>
      </w:r>
      <w:r>
        <w:t>) below</w:t>
      </w:r>
      <w:r w:rsidRPr="0018182B">
        <w:rPr>
          <w:szCs w:val="20"/>
        </w:rPr>
        <w:t xml:space="preserve"> and the percentage of Excess Margin </w:t>
      </w:r>
      <w:r>
        <w:rPr>
          <w:szCs w:val="20"/>
        </w:rPr>
        <w:t>which the Contractor considers the Authority is entitled to</w:t>
      </w:r>
      <w:r w:rsidRPr="0018182B">
        <w:rPr>
          <w:szCs w:val="20"/>
        </w:rPr>
        <w:t xml:space="preserve">. The </w:t>
      </w:r>
      <w:r>
        <w:rPr>
          <w:szCs w:val="20"/>
        </w:rPr>
        <w:t>Authority</w:t>
      </w:r>
      <w:r w:rsidRPr="0018182B">
        <w:rPr>
          <w:szCs w:val="20"/>
        </w:rPr>
        <w:t xml:space="preserve"> shall, within five (5) days of the </w:t>
      </w:r>
      <w:r>
        <w:rPr>
          <w:szCs w:val="20"/>
        </w:rPr>
        <w:t>Contractor</w:t>
      </w:r>
      <w:r w:rsidRPr="0018182B">
        <w:rPr>
          <w:szCs w:val="20"/>
        </w:rPr>
        <w:t xml:space="preserve">'s notification, inform the </w:t>
      </w:r>
      <w:r>
        <w:rPr>
          <w:szCs w:val="20"/>
        </w:rPr>
        <w:t>Contractor</w:t>
      </w:r>
      <w:r w:rsidRPr="0018182B">
        <w:rPr>
          <w:szCs w:val="20"/>
        </w:rPr>
        <w:t xml:space="preserve"> whether</w:t>
      </w:r>
      <w:r>
        <w:rPr>
          <w:szCs w:val="20"/>
        </w:rPr>
        <w:t>:</w:t>
      </w:r>
      <w:r w:rsidRPr="0018182B">
        <w:rPr>
          <w:szCs w:val="20"/>
        </w:rPr>
        <w:t xml:space="preserve"> </w:t>
      </w:r>
    </w:p>
    <w:p w:rsidR="00FF45AD" w:rsidP="00FF45AD" w:rsidRDefault="00FF45AD" w14:paraId="0D0C8D87" w14:textId="42C6C616">
      <w:pPr>
        <w:pStyle w:val="Heading5"/>
        <w:rPr>
          <w:szCs w:val="20"/>
        </w:rPr>
      </w:pPr>
      <w:r w:rsidRPr="0018182B">
        <w:rPr>
          <w:szCs w:val="20"/>
        </w:rPr>
        <w:t xml:space="preserve">it </w:t>
      </w:r>
      <w:r w:rsidRPr="001606D4">
        <w:t>agrees</w:t>
      </w:r>
      <w:r w:rsidRPr="0018182B">
        <w:rPr>
          <w:szCs w:val="20"/>
        </w:rPr>
        <w:t xml:space="preserve"> with the </w:t>
      </w:r>
      <w:r w:rsidR="00E2433E">
        <w:rPr>
          <w:szCs w:val="20"/>
        </w:rPr>
        <w:t>Contractor's</w:t>
      </w:r>
      <w:r w:rsidRPr="0018182B" w:rsidR="00E2433E">
        <w:rPr>
          <w:szCs w:val="20"/>
        </w:rPr>
        <w:t xml:space="preserve"> </w:t>
      </w:r>
      <w:r w:rsidRPr="0018182B">
        <w:rPr>
          <w:szCs w:val="20"/>
        </w:rPr>
        <w:t>findings (in which case the Authority shall be entitled to deduct the Profit Share against the Monthly Payment for the following Month in accordance with Paragraph 2.1(b) (</w:t>
      </w:r>
      <w:r w:rsidRPr="0018182B">
        <w:rPr>
          <w:i/>
          <w:iCs w:val="0"/>
          <w:szCs w:val="20"/>
        </w:rPr>
        <w:t>Payment</w:t>
      </w:r>
      <w:r w:rsidRPr="0018182B">
        <w:rPr>
          <w:szCs w:val="20"/>
        </w:rPr>
        <w:t>))</w:t>
      </w:r>
      <w:r>
        <w:rPr>
          <w:szCs w:val="20"/>
        </w:rPr>
        <w:t>;</w:t>
      </w:r>
      <w:r w:rsidRPr="0018182B">
        <w:rPr>
          <w:szCs w:val="20"/>
        </w:rPr>
        <w:t xml:space="preserve"> or </w:t>
      </w:r>
    </w:p>
    <w:p w:rsidRPr="0018182B" w:rsidR="00FF45AD" w:rsidP="00FF45AD" w:rsidRDefault="00FF45AD" w14:paraId="359E32C2" w14:textId="5EAA187A">
      <w:pPr>
        <w:pStyle w:val="Heading5"/>
        <w:rPr>
          <w:szCs w:val="20"/>
        </w:rPr>
      </w:pPr>
      <w:r w:rsidRPr="0018182B">
        <w:rPr>
          <w:szCs w:val="20"/>
        </w:rPr>
        <w:t xml:space="preserve">it disagrees with the </w:t>
      </w:r>
      <w:r w:rsidR="00E2433E">
        <w:rPr>
          <w:szCs w:val="20"/>
        </w:rPr>
        <w:t xml:space="preserve">Contractor's </w:t>
      </w:r>
      <w:r w:rsidRPr="0018182B">
        <w:rPr>
          <w:szCs w:val="20"/>
        </w:rPr>
        <w:t xml:space="preserve">findings (in which case the Authority and the </w:t>
      </w:r>
      <w:r>
        <w:rPr>
          <w:szCs w:val="20"/>
        </w:rPr>
        <w:t>Parties</w:t>
      </w:r>
      <w:r w:rsidRPr="0018182B">
        <w:rPr>
          <w:szCs w:val="20"/>
        </w:rPr>
        <w:t xml:space="preserve"> shall follow the Dispute Resolution Procedure to resolve the matter.</w:t>
      </w:r>
    </w:p>
    <w:p w:rsidRPr="0018182B" w:rsidR="00FF45AD" w:rsidP="00FF45AD" w:rsidRDefault="00FF45AD" w14:paraId="110E1798" w14:textId="77777777">
      <w:pPr>
        <w:pStyle w:val="Heading3"/>
        <w:rPr>
          <w:szCs w:val="20"/>
        </w:rPr>
      </w:pPr>
      <w:r>
        <w:rPr>
          <w:szCs w:val="20"/>
        </w:rPr>
        <w:t>The</w:t>
      </w:r>
      <w:r w:rsidRPr="0018182B">
        <w:rPr>
          <w:szCs w:val="20"/>
        </w:rPr>
        <w:t xml:space="preserve"> Authority shall be entitled to deduct</w:t>
      </w:r>
      <w:r>
        <w:rPr>
          <w:szCs w:val="20"/>
        </w:rPr>
        <w:t xml:space="preserve"> any undisputed portion of</w:t>
      </w:r>
      <w:r w:rsidRPr="0018182B">
        <w:rPr>
          <w:szCs w:val="20"/>
        </w:rPr>
        <w:t xml:space="preserve"> the Profit Share against the Monthly Payment for the following Month in accordance with Paragraph 2.1(b) (</w:t>
      </w:r>
      <w:r w:rsidRPr="0018182B">
        <w:rPr>
          <w:i/>
          <w:iCs/>
          <w:szCs w:val="20"/>
        </w:rPr>
        <w:t>Payment</w:t>
      </w:r>
      <w:r w:rsidRPr="0018182B">
        <w:rPr>
          <w:szCs w:val="20"/>
        </w:rPr>
        <w:t>).</w:t>
      </w:r>
    </w:p>
    <w:p w:rsidRPr="00022931" w:rsidR="00BB177E" w:rsidP="00BB177E" w:rsidRDefault="004E4DBB" w14:paraId="5012DC10" w14:textId="0AA28B68">
      <w:pPr>
        <w:pStyle w:val="Heading2"/>
        <w:rPr>
          <w:b/>
        </w:rPr>
      </w:pPr>
      <w:bookmarkStart w:name="_Ref114094320" w:id="51"/>
      <w:bookmarkEnd w:id="49"/>
      <w:r w:rsidRPr="00022931">
        <w:rPr>
          <w:b/>
        </w:rPr>
        <w:t>Profit</w:t>
      </w:r>
      <w:r w:rsidR="005056C0">
        <w:rPr>
          <w:b/>
        </w:rPr>
        <w:t xml:space="preserve"> Share</w:t>
      </w:r>
      <w:r w:rsidRPr="00022931" w:rsidR="00BB177E">
        <w:rPr>
          <w:b/>
        </w:rPr>
        <w:t xml:space="preserve"> </w:t>
      </w:r>
      <w:r w:rsidR="005056C0">
        <w:rPr>
          <w:b/>
        </w:rPr>
        <w:t>T</w:t>
      </w:r>
      <w:r w:rsidRPr="00022931" w:rsidR="00BB177E">
        <w:rPr>
          <w:b/>
        </w:rPr>
        <w:t>hresholds</w:t>
      </w:r>
      <w:bookmarkEnd w:id="50"/>
      <w:bookmarkEnd w:id="51"/>
    </w:p>
    <w:p w:rsidRPr="00022931" w:rsidR="00BB177E" w:rsidP="005F0D2A" w:rsidRDefault="00BB177E" w14:paraId="4ACD3642" w14:textId="612092F9">
      <w:pPr>
        <w:pStyle w:val="Heading3"/>
      </w:pPr>
      <w:bookmarkStart w:name="_Ref87617020" w:id="52"/>
      <w:r w:rsidRPr="00022931">
        <w:t>Where the Effective Margin exceeds the agreed Profit Share Thresholds, any Excess Margin shall be shared between the Contractor and Authority in accordance with the agreed Profit Share Percentages</w:t>
      </w:r>
      <w:r w:rsidRPr="00022931" w:rsidR="00664DE0">
        <w:t>, as set out in the table below:</w:t>
      </w:r>
      <w:bookmarkEnd w:id="52"/>
    </w:p>
    <w:tbl>
      <w:tblPr>
        <w:tblStyle w:val="TableGrid"/>
        <w:tblW w:w="8363" w:type="dxa"/>
        <w:tblInd w:w="704" w:type="dxa"/>
        <w:tblLayout w:type="fixed"/>
        <w:tblLook w:val="04A0" w:firstRow="1" w:lastRow="0" w:firstColumn="1" w:lastColumn="0" w:noHBand="0" w:noVBand="1"/>
      </w:tblPr>
      <w:tblGrid>
        <w:gridCol w:w="851"/>
        <w:gridCol w:w="3685"/>
        <w:gridCol w:w="3827"/>
      </w:tblGrid>
      <w:tr w:rsidRPr="00022931" w:rsidR="00BB177E" w:rsidTr="23CD1BAD" w14:paraId="75AE55DC" w14:textId="77777777">
        <w:trPr>
          <w:trHeight w:val="404"/>
        </w:trPr>
        <w:tc>
          <w:tcPr>
            <w:tcW w:w="851" w:type="dxa"/>
            <w:shd w:val="clear" w:color="auto" w:fill="F2F2F2" w:themeFill="background1" w:themeFillShade="F2"/>
            <w:tcMar/>
          </w:tcPr>
          <w:p w:rsidRPr="00022931" w:rsidR="00BB177E" w:rsidP="23CD1BAD" w:rsidRDefault="00BB177E" w14:paraId="0090B4DC" w14:textId="2DFF8587" w14:noSpellErr="1">
            <w:pPr>
              <w:pStyle w:val="Heading3"/>
              <w:numPr>
                <w:numId w:val="0"/>
              </w:numPr>
              <w:spacing w:before="120" w:after="120" w:line="240" w:lineRule="atLeast"/>
              <w:jc w:val="left"/>
              <w:outlineLvl w:val="2"/>
              <w:rPr>
                <w:b w:val="1"/>
                <w:bCs w:val="1"/>
              </w:rPr>
            </w:pPr>
            <w:r w:rsidRPr="23CD1BAD" w:rsidR="00BB177E">
              <w:rPr>
                <w:b w:val="1"/>
                <w:bCs w:val="1"/>
              </w:rPr>
              <w:t>Band</w:t>
            </w:r>
          </w:p>
        </w:tc>
        <w:tc>
          <w:tcPr>
            <w:tcW w:w="3685" w:type="dxa"/>
            <w:shd w:val="clear" w:color="auto" w:fill="F2F2F2" w:themeFill="background1" w:themeFillShade="F2"/>
            <w:tcMar/>
          </w:tcPr>
          <w:p w:rsidRPr="00022931" w:rsidR="00BB177E" w:rsidP="23CD1BAD" w:rsidRDefault="00BB177E" w14:paraId="4A770F19" w14:textId="4466A395" w14:noSpellErr="1">
            <w:pPr>
              <w:pStyle w:val="Default"/>
              <w:spacing w:before="120" w:after="120" w:line="240" w:lineRule="atLeast"/>
              <w:jc w:val="center"/>
              <w:rPr>
                <w:rFonts w:ascii="Arial" w:hAnsi="Arial" w:cs="Arial"/>
                <w:b w:val="1"/>
                <w:bCs w:val="1"/>
                <w:sz w:val="20"/>
                <w:szCs w:val="20"/>
              </w:rPr>
            </w:pPr>
            <w:r w:rsidRPr="23CD1BAD" w:rsidR="00BB177E">
              <w:rPr>
                <w:rFonts w:ascii="Arial" w:hAnsi="Arial" w:cs="Arial"/>
                <w:b w:val="1"/>
                <w:bCs w:val="1"/>
                <w:sz w:val="20"/>
                <w:szCs w:val="20"/>
              </w:rPr>
              <w:t>Profit Share Threshold</w:t>
            </w:r>
          </w:p>
        </w:tc>
        <w:tc>
          <w:tcPr>
            <w:tcW w:w="3827" w:type="dxa"/>
            <w:shd w:val="clear" w:color="auto" w:fill="F2F2F2" w:themeFill="background1" w:themeFillShade="F2"/>
            <w:tcMar/>
          </w:tcPr>
          <w:p w:rsidRPr="00022931" w:rsidR="00BB177E" w:rsidP="23CD1BAD" w:rsidRDefault="00BB177E" w14:paraId="548B0E3E" w14:textId="2E142694" w14:noSpellErr="1">
            <w:pPr>
              <w:pStyle w:val="Default"/>
              <w:spacing w:before="120" w:after="120" w:line="240" w:lineRule="atLeast"/>
              <w:jc w:val="center"/>
              <w:rPr>
                <w:rFonts w:ascii="Arial" w:hAnsi="Arial" w:cs="Arial"/>
                <w:b w:val="1"/>
                <w:bCs w:val="1"/>
                <w:sz w:val="20"/>
                <w:szCs w:val="20"/>
              </w:rPr>
            </w:pPr>
            <w:r w:rsidRPr="23CD1BAD" w:rsidR="00BB177E">
              <w:rPr>
                <w:rFonts w:ascii="Arial" w:hAnsi="Arial" w:cs="Arial"/>
                <w:b w:val="1"/>
                <w:bCs w:val="1"/>
                <w:sz w:val="20"/>
                <w:szCs w:val="20"/>
              </w:rPr>
              <w:t xml:space="preserve">Profit Share </w:t>
            </w:r>
          </w:p>
        </w:tc>
      </w:tr>
      <w:tr w:rsidRPr="00022931" w:rsidR="00BB177E" w:rsidTr="23CD1BAD" w14:paraId="58A0840B" w14:textId="77777777">
        <w:trPr>
          <w:trHeight w:val="491"/>
        </w:trPr>
        <w:tc>
          <w:tcPr>
            <w:tcW w:w="851" w:type="dxa"/>
            <w:shd w:val="clear" w:color="auto" w:fill="auto"/>
            <w:tcMar/>
          </w:tcPr>
          <w:p w:rsidRPr="00022931" w:rsidR="00BB177E" w:rsidP="23CD1BAD" w:rsidRDefault="00BB177E" w14:paraId="3C20C3FF" w14:textId="5D48FD48" w14:noSpellErr="1">
            <w:pPr>
              <w:pStyle w:val="Heading3"/>
              <w:numPr>
                <w:numId w:val="0"/>
              </w:numPr>
              <w:spacing w:before="120" w:after="120" w:line="240" w:lineRule="atLeast"/>
              <w:jc w:val="center"/>
              <w:outlineLvl w:val="2"/>
            </w:pPr>
            <w:r w:rsidR="00BB177E">
              <w:rPr/>
              <w:t>1</w:t>
            </w:r>
          </w:p>
        </w:tc>
        <w:tc>
          <w:tcPr>
            <w:tcW w:w="3685" w:type="dxa"/>
            <w:shd w:val="clear" w:color="auto" w:fill="auto"/>
            <w:tcMar/>
          </w:tcPr>
          <w:p w:rsidRPr="00022931" w:rsidR="00BB177E" w:rsidP="007C6195" w:rsidRDefault="00BB177E" w14:paraId="500BD6D7" w14:textId="32824978" w14:noSpellErr="1">
            <w:pPr>
              <w:pStyle w:val="Default"/>
              <w:spacing w:before="120" w:after="120" w:line="240" w:lineRule="atLeast"/>
              <w:jc w:val="center"/>
              <w:rPr>
                <w:rFonts w:ascii="Arial" w:hAnsi="Arial" w:cs="Arial"/>
                <w:sz w:val="20"/>
                <w:szCs w:val="20"/>
              </w:rPr>
            </w:pPr>
            <w:r w:rsidRPr="23CD1BAD" w:rsidR="00BB177E">
              <w:rPr>
                <w:rFonts w:ascii="Arial" w:hAnsi="Arial" w:cs="Arial"/>
                <w:sz w:val="20"/>
                <w:szCs w:val="20"/>
              </w:rPr>
              <w:t>Above [</w:t>
            </w:r>
            <w:r w:rsidRPr="23CD1BAD" w:rsidR="00BB177E">
              <w:rPr>
                <w:rFonts w:ascii="Arial" w:hAnsi="Arial" w:cs="Arial"/>
                <w:sz w:val="20"/>
                <w:szCs w:val="20"/>
              </w:rPr>
              <w:t>a</w:t>
            </w:r>
            <w:r w:rsidRPr="23CD1BAD" w:rsidR="00BB177E">
              <w:rPr>
                <w:rFonts w:ascii="Arial" w:hAnsi="Arial" w:cs="Arial"/>
                <w:sz w:val="20"/>
                <w:szCs w:val="20"/>
              </w:rPr>
              <w:t xml:space="preserve">]% and up to </w:t>
            </w:r>
            <w:r w:rsidRPr="23CD1BAD" w:rsidR="007C6195">
              <w:rPr>
                <w:rFonts w:ascii="Arial" w:hAnsi="Arial" w:cs="Arial"/>
                <w:sz w:val="20"/>
                <w:szCs w:val="20"/>
              </w:rPr>
              <w:t xml:space="preserve">or </w:t>
            </w:r>
            <w:r w:rsidRPr="23CD1BAD" w:rsidR="00BB177E">
              <w:rPr>
                <w:rFonts w:ascii="Arial" w:hAnsi="Arial" w:cs="Arial"/>
                <w:sz w:val="20"/>
                <w:szCs w:val="20"/>
              </w:rPr>
              <w:t>equal to [</w:t>
            </w:r>
            <w:r w:rsidRPr="23CD1BAD" w:rsidR="00BB177E">
              <w:rPr>
                <w:rFonts w:ascii="Arial" w:hAnsi="Arial" w:cs="Arial"/>
                <w:sz w:val="20"/>
                <w:szCs w:val="20"/>
              </w:rPr>
              <w:t>b</w:t>
            </w:r>
            <w:r w:rsidRPr="23CD1BAD" w:rsidR="00BB177E">
              <w:rPr>
                <w:rFonts w:ascii="Arial" w:hAnsi="Arial" w:cs="Arial"/>
                <w:sz w:val="20"/>
                <w:szCs w:val="20"/>
              </w:rPr>
              <w:t>]%</w:t>
            </w:r>
          </w:p>
        </w:tc>
        <w:tc>
          <w:tcPr>
            <w:tcW w:w="3827" w:type="dxa"/>
            <w:tcMar/>
          </w:tcPr>
          <w:p w:rsidRPr="00022931" w:rsidR="00BB177E" w:rsidP="00BB177E" w:rsidRDefault="00BB177E" w14:paraId="6E0889EF" w14:textId="3EE2D2D2" w14:noSpellErr="1">
            <w:pPr>
              <w:pStyle w:val="Default"/>
              <w:spacing w:before="120" w:after="120" w:line="240" w:lineRule="atLeast"/>
              <w:jc w:val="center"/>
              <w:rPr>
                <w:rFonts w:ascii="Arial" w:hAnsi="Arial" w:cs="Arial"/>
                <w:sz w:val="20"/>
                <w:szCs w:val="20"/>
              </w:rPr>
            </w:pPr>
            <w:r w:rsidRPr="23CD1BAD" w:rsidR="00BB177E">
              <w:rPr>
                <w:rFonts w:ascii="Arial" w:hAnsi="Arial" w:cs="Arial"/>
                <w:sz w:val="20"/>
                <w:szCs w:val="20"/>
              </w:rPr>
              <w:t>[</w:t>
            </w:r>
            <w:r w:rsidRPr="23CD1BAD" w:rsidR="00BB177E">
              <w:rPr>
                <w:rFonts w:ascii="Arial" w:hAnsi="Arial" w:cs="Arial"/>
                <w:sz w:val="20"/>
                <w:szCs w:val="20"/>
              </w:rPr>
              <w:t>x</w:t>
            </w:r>
            <w:r w:rsidRPr="23CD1BAD" w:rsidR="00BB177E">
              <w:rPr>
                <w:rFonts w:ascii="Arial" w:hAnsi="Arial" w:cs="Arial"/>
                <w:sz w:val="20"/>
                <w:szCs w:val="20"/>
              </w:rPr>
              <w:t>]%</w:t>
            </w:r>
          </w:p>
        </w:tc>
      </w:tr>
      <w:tr w:rsidRPr="00022931" w:rsidR="00BB177E" w:rsidTr="23CD1BAD" w14:paraId="3EB81B4F" w14:textId="77777777">
        <w:trPr>
          <w:trHeight w:val="491"/>
        </w:trPr>
        <w:tc>
          <w:tcPr>
            <w:tcW w:w="851" w:type="dxa"/>
            <w:shd w:val="clear" w:color="auto" w:fill="auto"/>
            <w:tcMar/>
          </w:tcPr>
          <w:p w:rsidRPr="00022931" w:rsidR="00BB177E" w:rsidP="23CD1BAD" w:rsidRDefault="00BB177E" w14:paraId="20F67B55" w14:textId="59943E7D" w14:noSpellErr="1">
            <w:pPr>
              <w:pStyle w:val="Heading3"/>
              <w:numPr>
                <w:numId w:val="0"/>
              </w:numPr>
              <w:spacing w:before="120" w:after="120" w:line="240" w:lineRule="atLeast"/>
              <w:jc w:val="center"/>
              <w:outlineLvl w:val="2"/>
            </w:pPr>
            <w:r w:rsidR="00BB177E">
              <w:rPr/>
              <w:t>2</w:t>
            </w:r>
          </w:p>
        </w:tc>
        <w:tc>
          <w:tcPr>
            <w:tcW w:w="3685" w:type="dxa"/>
            <w:shd w:val="clear" w:color="auto" w:fill="auto"/>
            <w:tcMar/>
          </w:tcPr>
          <w:p w:rsidRPr="00022931" w:rsidR="00BB177E" w:rsidP="00BB177E" w:rsidRDefault="00BB177E" w14:paraId="2AE61D7C" w14:textId="4B494CA5" w14:noSpellErr="1">
            <w:pPr>
              <w:pStyle w:val="Default"/>
              <w:spacing w:before="120" w:after="120" w:line="240" w:lineRule="atLeast"/>
              <w:jc w:val="center"/>
              <w:rPr>
                <w:rFonts w:ascii="Arial" w:hAnsi="Arial" w:cs="Arial"/>
                <w:sz w:val="20"/>
                <w:szCs w:val="20"/>
              </w:rPr>
            </w:pPr>
            <w:r w:rsidRPr="23CD1BAD" w:rsidR="00BB177E">
              <w:rPr>
                <w:rFonts w:ascii="Arial" w:hAnsi="Arial" w:cs="Arial"/>
                <w:sz w:val="20"/>
                <w:szCs w:val="20"/>
              </w:rPr>
              <w:t>Above [</w:t>
            </w:r>
            <w:r w:rsidRPr="23CD1BAD" w:rsidR="00BB177E">
              <w:rPr>
                <w:rFonts w:ascii="Arial" w:hAnsi="Arial" w:cs="Arial"/>
                <w:sz w:val="20"/>
                <w:szCs w:val="20"/>
              </w:rPr>
              <w:t>b</w:t>
            </w:r>
            <w:r w:rsidRPr="23CD1BAD" w:rsidR="00BB177E">
              <w:rPr>
                <w:rFonts w:ascii="Arial" w:hAnsi="Arial" w:cs="Arial"/>
                <w:sz w:val="20"/>
                <w:szCs w:val="20"/>
              </w:rPr>
              <w:t xml:space="preserve">]% and up to </w:t>
            </w:r>
            <w:r w:rsidRPr="23CD1BAD" w:rsidR="007C6195">
              <w:rPr>
                <w:rFonts w:ascii="Arial" w:hAnsi="Arial" w:cs="Arial"/>
                <w:sz w:val="20"/>
                <w:szCs w:val="20"/>
              </w:rPr>
              <w:t>or</w:t>
            </w:r>
            <w:r w:rsidRPr="23CD1BAD" w:rsidR="00BB177E">
              <w:rPr>
                <w:rFonts w:ascii="Arial" w:hAnsi="Arial" w:cs="Arial"/>
                <w:sz w:val="20"/>
                <w:szCs w:val="20"/>
              </w:rPr>
              <w:t xml:space="preserve"> equal to [</w:t>
            </w:r>
            <w:r w:rsidRPr="23CD1BAD" w:rsidR="00BB177E">
              <w:rPr>
                <w:rFonts w:ascii="Arial" w:hAnsi="Arial" w:cs="Arial"/>
                <w:sz w:val="20"/>
                <w:szCs w:val="20"/>
              </w:rPr>
              <w:t>c</w:t>
            </w:r>
            <w:r w:rsidRPr="23CD1BAD" w:rsidR="00BB177E">
              <w:rPr>
                <w:rFonts w:ascii="Arial" w:hAnsi="Arial" w:cs="Arial"/>
                <w:sz w:val="20"/>
                <w:szCs w:val="20"/>
              </w:rPr>
              <w:t>]%</w:t>
            </w:r>
          </w:p>
        </w:tc>
        <w:tc>
          <w:tcPr>
            <w:tcW w:w="3827" w:type="dxa"/>
            <w:tcMar/>
          </w:tcPr>
          <w:p w:rsidRPr="00022931" w:rsidR="00BB177E" w:rsidP="00BB177E" w:rsidRDefault="00BB177E" w14:paraId="50AE030E" w14:textId="611688C2" w14:noSpellErr="1">
            <w:pPr>
              <w:pStyle w:val="Default"/>
              <w:spacing w:before="120" w:after="120" w:line="240" w:lineRule="atLeast"/>
              <w:jc w:val="center"/>
              <w:rPr>
                <w:rFonts w:ascii="Arial" w:hAnsi="Arial" w:cs="Arial"/>
                <w:sz w:val="20"/>
                <w:szCs w:val="20"/>
              </w:rPr>
            </w:pPr>
            <w:r w:rsidRPr="23CD1BAD" w:rsidR="00BB177E">
              <w:rPr>
                <w:rFonts w:ascii="Arial" w:hAnsi="Arial" w:cs="Arial"/>
                <w:sz w:val="20"/>
                <w:szCs w:val="20"/>
              </w:rPr>
              <w:t>[</w:t>
            </w:r>
            <w:r w:rsidRPr="23CD1BAD" w:rsidR="00BB177E">
              <w:rPr>
                <w:rFonts w:ascii="Arial" w:hAnsi="Arial" w:cs="Arial"/>
                <w:sz w:val="20"/>
                <w:szCs w:val="20"/>
              </w:rPr>
              <w:t>y</w:t>
            </w:r>
            <w:r w:rsidRPr="23CD1BAD" w:rsidR="00BB177E">
              <w:rPr>
                <w:rFonts w:ascii="Arial" w:hAnsi="Arial" w:cs="Arial"/>
                <w:sz w:val="20"/>
                <w:szCs w:val="20"/>
              </w:rPr>
              <w:t>]%</w:t>
            </w:r>
          </w:p>
        </w:tc>
      </w:tr>
      <w:tr w:rsidRPr="00022931" w:rsidR="00BB177E" w:rsidTr="23CD1BAD" w14:paraId="62CBB439" w14:textId="77777777">
        <w:trPr>
          <w:trHeight w:val="491"/>
        </w:trPr>
        <w:tc>
          <w:tcPr>
            <w:tcW w:w="851" w:type="dxa"/>
            <w:shd w:val="clear" w:color="auto" w:fill="auto"/>
            <w:tcMar/>
          </w:tcPr>
          <w:p w:rsidRPr="00022931" w:rsidR="00BB177E" w:rsidP="23CD1BAD" w:rsidRDefault="00BB177E" w14:paraId="37FC7CC4" w14:textId="2FBB4DB5" w14:noSpellErr="1">
            <w:pPr>
              <w:pStyle w:val="Heading3"/>
              <w:numPr>
                <w:numId w:val="0"/>
              </w:numPr>
              <w:spacing w:before="120" w:after="120" w:line="240" w:lineRule="atLeast"/>
              <w:jc w:val="center"/>
              <w:outlineLvl w:val="2"/>
            </w:pPr>
            <w:r w:rsidR="00BB177E">
              <w:rPr/>
              <w:t>3</w:t>
            </w:r>
          </w:p>
        </w:tc>
        <w:tc>
          <w:tcPr>
            <w:tcW w:w="3685" w:type="dxa"/>
            <w:shd w:val="clear" w:color="auto" w:fill="auto"/>
            <w:tcMar/>
          </w:tcPr>
          <w:p w:rsidRPr="00022931" w:rsidR="00BB177E" w:rsidP="00BB177E" w:rsidRDefault="00BB177E" w14:paraId="6C4B4796" w14:textId="56571489" w14:noSpellErr="1">
            <w:pPr>
              <w:pStyle w:val="Default"/>
              <w:spacing w:before="120" w:after="120" w:line="240" w:lineRule="atLeast"/>
              <w:jc w:val="center"/>
              <w:rPr>
                <w:rFonts w:ascii="Arial" w:hAnsi="Arial" w:cs="Arial"/>
                <w:sz w:val="20"/>
                <w:szCs w:val="20"/>
              </w:rPr>
            </w:pPr>
            <w:r w:rsidRPr="23CD1BAD" w:rsidR="00BB177E">
              <w:rPr>
                <w:rFonts w:ascii="Arial" w:hAnsi="Arial" w:cs="Arial"/>
                <w:sz w:val="20"/>
                <w:szCs w:val="20"/>
              </w:rPr>
              <w:t>Above [</w:t>
            </w:r>
            <w:r w:rsidRPr="23CD1BAD" w:rsidR="00BB177E">
              <w:rPr>
                <w:rFonts w:ascii="Arial" w:hAnsi="Arial" w:cs="Arial"/>
                <w:sz w:val="20"/>
                <w:szCs w:val="20"/>
              </w:rPr>
              <w:t>c</w:t>
            </w:r>
            <w:r w:rsidRPr="23CD1BAD" w:rsidR="00BB177E">
              <w:rPr>
                <w:rFonts w:ascii="Arial" w:hAnsi="Arial" w:cs="Arial"/>
                <w:sz w:val="20"/>
                <w:szCs w:val="20"/>
              </w:rPr>
              <w:t>]%</w:t>
            </w:r>
          </w:p>
        </w:tc>
        <w:tc>
          <w:tcPr>
            <w:tcW w:w="3827" w:type="dxa"/>
            <w:tcMar/>
          </w:tcPr>
          <w:p w:rsidRPr="00022931" w:rsidR="00BB177E" w:rsidP="00BB177E" w:rsidRDefault="00BB177E" w14:paraId="1DC9D3B6" w14:textId="27688FB5" w14:noSpellErr="1">
            <w:pPr>
              <w:pStyle w:val="Default"/>
              <w:spacing w:before="120" w:after="120" w:line="240" w:lineRule="atLeast"/>
              <w:jc w:val="center"/>
              <w:rPr>
                <w:rFonts w:ascii="Arial" w:hAnsi="Arial" w:cs="Arial"/>
                <w:sz w:val="20"/>
                <w:szCs w:val="20"/>
              </w:rPr>
            </w:pPr>
            <w:r w:rsidRPr="23CD1BAD" w:rsidR="00BB177E">
              <w:rPr>
                <w:rFonts w:ascii="Arial" w:hAnsi="Arial" w:cs="Arial"/>
                <w:sz w:val="20"/>
                <w:szCs w:val="20"/>
              </w:rPr>
              <w:t>[</w:t>
            </w:r>
            <w:r w:rsidRPr="23CD1BAD" w:rsidR="00BB177E">
              <w:rPr>
                <w:rFonts w:ascii="Arial" w:hAnsi="Arial" w:cs="Arial"/>
                <w:sz w:val="20"/>
                <w:szCs w:val="20"/>
              </w:rPr>
              <w:t>z</w:t>
            </w:r>
            <w:r w:rsidRPr="23CD1BAD" w:rsidR="00BB177E">
              <w:rPr>
                <w:rFonts w:ascii="Arial" w:hAnsi="Arial" w:cs="Arial"/>
                <w:sz w:val="20"/>
                <w:szCs w:val="20"/>
              </w:rPr>
              <w:t>]%</w:t>
            </w:r>
          </w:p>
        </w:tc>
      </w:tr>
    </w:tbl>
    <w:p w:rsidRPr="005B667F" w:rsidR="005D6A28" w:rsidP="000926C2" w:rsidRDefault="00415E25" w14:paraId="5D8E5B88" w14:textId="604C39AA" w14:noSpellErr="1">
      <w:pPr>
        <w:pStyle w:val="Body3"/>
        <w:rPr>
          <w:rFonts w:cs="Arial"/>
        </w:rPr>
        <w:sectPr w:rsidRPr="005B667F" w:rsidR="005D6A28" w:rsidSect="00D802AE">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9" w:footer="709" w:gutter="0"/>
          <w:cols w:space="708"/>
          <w:docGrid w:linePitch="360"/>
        </w:sectPr>
      </w:pPr>
      <w:r w:rsidRPr="23CD1BAD" w:rsidR="00415E25">
        <w:rPr>
          <w:b w:val="1"/>
          <w:bCs w:val="1"/>
          <w:i w:val="1"/>
          <w:iCs w:val="1"/>
        </w:rPr>
        <w:t>[</w:t>
      </w:r>
      <w:r w:rsidRPr="23CD1BAD" w:rsidR="001D7AB9">
        <w:rPr>
          <w:b w:val="1"/>
          <w:bCs w:val="1"/>
          <w:i w:val="1"/>
          <w:iCs w:val="1"/>
        </w:rPr>
        <w:t>Note to Tenderers</w:t>
      </w:r>
      <w:r w:rsidRPr="23CD1BAD" w:rsidR="00415E25">
        <w:rPr>
          <w:b w:val="1"/>
          <w:bCs w:val="1"/>
          <w:i w:val="1"/>
          <w:iCs w:val="1"/>
        </w:rPr>
        <w:t>: P</w:t>
      </w:r>
      <w:r w:rsidRPr="23CD1BAD" w:rsidR="000926C2">
        <w:rPr>
          <w:b w:val="1"/>
          <w:bCs w:val="1"/>
          <w:i w:val="1"/>
          <w:iCs w:val="1"/>
        </w:rPr>
        <w:t xml:space="preserve">lease refer to </w:t>
      </w:r>
      <w:r w:rsidRPr="23CD1BAD" w:rsidR="00BB7DB4">
        <w:rPr>
          <w:b w:val="1"/>
          <w:bCs w:val="1"/>
          <w:i w:val="1"/>
          <w:iCs w:val="1"/>
        </w:rPr>
        <w:t>RoR ID C2_FPS of Appendix 1 (Technical Requirements of Response Questions) of Annex C (Guidance to Tenderers)</w:t>
      </w:r>
      <w:r w:rsidRPr="23CD1BAD" w:rsidR="000926C2">
        <w:rPr>
          <w:b w:val="1"/>
          <w:bCs w:val="1"/>
          <w:i w:val="1"/>
          <w:iCs w:val="1"/>
        </w:rPr>
        <w:t>.</w:t>
      </w:r>
      <w:r w:rsidRPr="23CD1BAD" w:rsidR="000926C2">
        <w:rPr>
          <w:b w:val="1"/>
          <w:bCs w:val="1"/>
          <w:i w:val="1"/>
          <w:iCs w:val="1"/>
        </w:rPr>
        <w:t xml:space="preserve"> </w:t>
      </w:r>
      <w:r w:rsidRPr="23CD1BAD" w:rsidR="001D7AB9">
        <w:rPr>
          <w:b w:val="1"/>
          <w:bCs w:val="1"/>
          <w:i w:val="1"/>
          <w:iCs w:val="1"/>
        </w:rPr>
        <w:t>Tenderers</w:t>
      </w:r>
      <w:r w:rsidRPr="23CD1BAD" w:rsidR="000926C2">
        <w:rPr>
          <w:b w:val="1"/>
          <w:bCs w:val="1"/>
          <w:i w:val="1"/>
          <w:iCs w:val="1"/>
        </w:rPr>
        <w:t xml:space="preserve"> to propose thresholds at which the Profit Share should apply, as well as their proposed Profit Share percentages. This will form par</w:t>
      </w:r>
      <w:r w:rsidRPr="23CD1BAD" w:rsidR="000926C2">
        <w:rPr>
          <w:b w:val="1"/>
          <w:bCs w:val="1"/>
          <w:i w:val="1"/>
          <w:iCs w:val="1"/>
        </w:rPr>
        <w:t>t of the Authority's evaluation</w:t>
      </w:r>
      <w:r w:rsidRPr="23CD1BAD" w:rsidR="001B023F">
        <w:rPr>
          <w:b w:val="1"/>
          <w:bCs w:val="1"/>
          <w:i w:val="1"/>
          <w:iCs w:val="1"/>
        </w:rPr>
        <w:t xml:space="preserve"> and is a Category 3 element (see </w:t>
      </w:r>
      <w:bookmarkStart w:name="_9kR3WTr2CC7A8HE0qppl6R" w:id="53"/>
      <w:r w:rsidRPr="23CD1BAD" w:rsidR="001B023F">
        <w:rPr>
          <w:b w:val="1"/>
          <w:bCs w:val="1"/>
          <w:i w:val="1"/>
          <w:iCs w:val="1"/>
        </w:rPr>
        <w:t>Appendix 2</w:t>
      </w:r>
      <w:bookmarkEnd w:id="53"/>
      <w:r w:rsidRPr="23CD1BAD" w:rsidR="001B023F">
        <w:rPr>
          <w:b w:val="1"/>
          <w:bCs w:val="1"/>
          <w:i w:val="1"/>
          <w:iCs w:val="1"/>
        </w:rPr>
        <w:t xml:space="preserve"> (Contract Provision Categories) </w:t>
      </w:r>
      <w:r w:rsidRPr="23CD1BAD" w:rsidR="001B023F">
        <w:rPr>
          <w:b w:val="1"/>
          <w:bCs w:val="1"/>
          <w:i w:val="1"/>
          <w:iCs w:val="1"/>
        </w:rPr>
        <w:t>of</w:t>
      </w:r>
      <w:r w:rsidRPr="23CD1BAD" w:rsidR="001B023F">
        <w:rPr>
          <w:b w:val="1"/>
          <w:bCs w:val="1"/>
          <w:i w:val="1"/>
          <w:iCs w:val="1"/>
        </w:rPr>
        <w:t xml:space="preserve"> </w:t>
      </w:r>
      <w:bookmarkStart w:name="_9kMNM5YVtCIA9DFNEyq1aoX6qjuxp7Ite55xCDE" w:id="54"/>
      <w:r w:rsidRPr="23CD1BAD" w:rsidR="001B023F">
        <w:rPr>
          <w:b w:val="1"/>
          <w:bCs w:val="1"/>
          <w:i w:val="1"/>
          <w:iCs w:val="1"/>
        </w:rPr>
        <w:t>Annex C</w:t>
      </w:r>
      <w:bookmarkEnd w:id="54"/>
      <w:r w:rsidRPr="23CD1BAD" w:rsidR="001B023F">
        <w:rPr>
          <w:b w:val="1"/>
          <w:bCs w:val="1"/>
          <w:i w:val="1"/>
          <w:iCs w:val="1"/>
        </w:rPr>
        <w:t xml:space="preserve"> to the ITN)</w:t>
      </w:r>
      <w:r w:rsidRPr="23CD1BAD" w:rsidR="00415E25">
        <w:rPr>
          <w:b w:val="1"/>
          <w:bCs w:val="1"/>
          <w:i w:val="1"/>
          <w:iCs w:val="1"/>
        </w:rPr>
        <w:t>.]</w:t>
      </w:r>
    </w:p>
    <w:p w:rsidRPr="005B667F" w:rsidR="00573E7B" w:rsidP="00D802AE" w:rsidRDefault="00573E7B" w14:paraId="1FBE000D" w14:textId="7C3A2445">
      <w:pPr>
        <w:pStyle w:val="Body3"/>
        <w:ind w:left="0"/>
        <w:rPr>
          <w:rFonts w:cs="Arial"/>
        </w:rPr>
      </w:pPr>
    </w:p>
    <w:p w:rsidR="009E5D12" w:rsidP="00D802AE" w:rsidRDefault="009E5D12" w14:paraId="388C0968" w14:textId="65D102D2">
      <w:pPr>
        <w:pStyle w:val="Body3"/>
        <w:ind w:left="0"/>
        <w:jc w:val="center"/>
        <w:rPr>
          <w:rFonts w:cs="Arial"/>
          <w:b/>
        </w:rPr>
      </w:pPr>
      <w:r w:rsidRPr="005B667F">
        <w:rPr>
          <w:rFonts w:cs="Arial"/>
          <w:b/>
        </w:rPr>
        <w:t>A</w:t>
      </w:r>
      <w:r w:rsidR="00D14751">
        <w:rPr>
          <w:rFonts w:cs="Arial"/>
          <w:b/>
        </w:rPr>
        <w:t>PPENDIX 1</w:t>
      </w:r>
    </w:p>
    <w:p w:rsidR="00D14751" w:rsidP="00D802AE" w:rsidRDefault="00D14751" w14:paraId="1E660DC7" w14:textId="2259EA5F">
      <w:pPr>
        <w:pStyle w:val="Body3"/>
        <w:ind w:left="0"/>
        <w:jc w:val="center"/>
        <w:rPr>
          <w:rFonts w:cs="Arial"/>
          <w:b/>
        </w:rPr>
      </w:pPr>
      <w:r>
        <w:rPr>
          <w:rFonts w:cs="Arial"/>
          <w:b/>
        </w:rPr>
        <w:t>PRICING TABLES</w:t>
      </w:r>
    </w:p>
    <w:p w:rsidRPr="005B667F" w:rsidR="00D14751" w:rsidP="00D802AE" w:rsidRDefault="00D14751" w14:paraId="6E80F954" w14:textId="77777777">
      <w:pPr>
        <w:pStyle w:val="Body3"/>
        <w:jc w:val="center"/>
        <w:rPr>
          <w:rFonts w:cs="Arial"/>
          <w:b/>
        </w:rPr>
      </w:pPr>
    </w:p>
    <w:p w:rsidR="00D90D5D" w:rsidP="00D802AE" w:rsidRDefault="00D90D5D" w14:paraId="12010BE4" w14:textId="0E770C12">
      <w:pPr>
        <w:pStyle w:val="Body3"/>
        <w:ind w:left="0"/>
        <w:jc w:val="left"/>
        <w:rPr>
          <w:rFonts w:cs="Arial"/>
          <w:b/>
        </w:rPr>
      </w:pPr>
      <w:r>
        <w:rPr>
          <w:rFonts w:cs="Arial"/>
          <w:b/>
        </w:rPr>
        <w:t>SDA 4 COMPONENT AC PRICING TABLE</w:t>
      </w:r>
    </w:p>
    <w:p w:rsidR="00D90D5D" w:rsidP="00D802AE" w:rsidRDefault="00D06DCC" w14:paraId="5F42F5CA" w14:textId="481F0FA3">
      <w:pPr>
        <w:pStyle w:val="Body3"/>
        <w:ind w:left="0"/>
        <w:jc w:val="left"/>
        <w:rPr>
          <w:rFonts w:cs="Arial"/>
          <w:b/>
        </w:rPr>
      </w:pPr>
      <w:r>
        <w:rPr>
          <w:rFonts w:cs="Arial"/>
          <w:b/>
        </w:rPr>
        <w:t>Table 1 – Pricing Table for SDA 4</w:t>
      </w:r>
    </w:p>
    <w:tbl>
      <w:tblPr>
        <w:tblStyle w:val="TableGrid"/>
        <w:tblW w:w="9497" w:type="dxa"/>
        <w:tblInd w:w="-5" w:type="dxa"/>
        <w:tblLayout w:type="fixed"/>
        <w:tblLook w:val="04A0" w:firstRow="1" w:lastRow="0" w:firstColumn="1" w:lastColumn="0" w:noHBand="0" w:noVBand="1"/>
      </w:tblPr>
      <w:tblGrid>
        <w:gridCol w:w="4111"/>
        <w:gridCol w:w="1559"/>
        <w:gridCol w:w="851"/>
        <w:gridCol w:w="992"/>
        <w:gridCol w:w="850"/>
        <w:gridCol w:w="1134"/>
      </w:tblGrid>
      <w:tr w:rsidRPr="00022931" w:rsidR="00D06DCC" w:rsidTr="00D802AE" w14:paraId="7C83FD8A" w14:textId="77777777">
        <w:tc>
          <w:tcPr>
            <w:tcW w:w="4111" w:type="dxa"/>
            <w:shd w:val="clear" w:color="auto" w:fill="F2F2F2" w:themeFill="background1" w:themeFillShade="F2"/>
          </w:tcPr>
          <w:p w:rsidRPr="00022931" w:rsidR="00D06DCC" w:rsidP="00EA7C4F" w:rsidRDefault="00D06DCC" w14:paraId="66DDE79C" w14:textId="77777777">
            <w:pPr>
              <w:pStyle w:val="Body4"/>
              <w:spacing w:before="120" w:after="120" w:line="240" w:lineRule="atLeast"/>
              <w:ind w:left="0"/>
              <w:jc w:val="left"/>
              <w:rPr>
                <w:rFonts w:cs="Arial"/>
                <w:b/>
              </w:rPr>
            </w:pPr>
            <w:r w:rsidRPr="00022931">
              <w:rPr>
                <w:rFonts w:cs="Arial"/>
                <w:b/>
              </w:rPr>
              <w:t>Pricing Band</w:t>
            </w:r>
          </w:p>
        </w:tc>
        <w:tc>
          <w:tcPr>
            <w:tcW w:w="5386" w:type="dxa"/>
            <w:gridSpan w:val="5"/>
            <w:shd w:val="clear" w:color="auto" w:fill="F2F2F2" w:themeFill="background1" w:themeFillShade="F2"/>
          </w:tcPr>
          <w:p w:rsidRPr="00022931" w:rsidR="00D06DCC" w:rsidP="00EA7C4F" w:rsidRDefault="00D06DCC" w14:paraId="48E461AD" w14:textId="77777777">
            <w:pPr>
              <w:pStyle w:val="Default"/>
              <w:spacing w:before="120" w:after="120" w:line="240" w:lineRule="atLeast"/>
              <w:jc w:val="center"/>
              <w:rPr>
                <w:rFonts w:ascii="Arial" w:hAnsi="Arial" w:cs="Arial"/>
                <w:sz w:val="20"/>
                <w:szCs w:val="20"/>
              </w:rPr>
            </w:pPr>
            <w:r w:rsidRPr="00022931">
              <w:rPr>
                <w:rFonts w:ascii="Arial" w:hAnsi="Arial" w:cs="Arial"/>
                <w:b/>
                <w:sz w:val="20"/>
                <w:szCs w:val="20"/>
              </w:rPr>
              <w:t>Contract Year</w:t>
            </w:r>
            <w:r w:rsidRPr="005B667F">
              <w:rPr>
                <w:rFonts w:ascii="Arial" w:hAnsi="Arial" w:cs="Arial"/>
              </w:rPr>
              <w:t xml:space="preserve"> </w:t>
            </w:r>
          </w:p>
        </w:tc>
      </w:tr>
      <w:tr w:rsidRPr="00022931" w:rsidR="00D06DCC" w:rsidTr="00D802AE" w14:paraId="39A314F7" w14:textId="77777777">
        <w:tc>
          <w:tcPr>
            <w:tcW w:w="4111" w:type="dxa"/>
            <w:shd w:val="clear" w:color="auto" w:fill="F2F2F2" w:themeFill="background1" w:themeFillShade="F2"/>
          </w:tcPr>
          <w:p w:rsidRPr="00022931" w:rsidR="00D06DCC" w:rsidP="00D802AE" w:rsidRDefault="00D06DCC" w14:paraId="6EA29336" w14:textId="77777777">
            <w:pPr>
              <w:pStyle w:val="Body4"/>
              <w:spacing w:before="120" w:after="120" w:line="240" w:lineRule="atLeast"/>
              <w:ind w:left="0"/>
              <w:jc w:val="left"/>
              <w:rPr>
                <w:rFonts w:cs="Arial"/>
              </w:rPr>
            </w:pPr>
          </w:p>
        </w:tc>
        <w:tc>
          <w:tcPr>
            <w:tcW w:w="1559" w:type="dxa"/>
            <w:shd w:val="clear" w:color="auto" w:fill="F2F2F2" w:themeFill="background1" w:themeFillShade="F2"/>
          </w:tcPr>
          <w:p w:rsidRPr="00022931" w:rsidR="00D06DCC" w:rsidP="00EA7C4F" w:rsidRDefault="00D06DCC" w14:paraId="23411D7D" w14:textId="2798EE9B">
            <w:pPr>
              <w:pStyle w:val="Body4"/>
              <w:spacing w:before="120" w:after="120" w:line="240" w:lineRule="atLeast"/>
              <w:ind w:left="0"/>
              <w:jc w:val="center"/>
              <w:rPr>
                <w:rFonts w:cs="Arial"/>
                <w:b/>
              </w:rPr>
            </w:pPr>
            <w:r w:rsidRPr="00022931">
              <w:rPr>
                <w:rFonts w:cs="Arial"/>
                <w:b/>
              </w:rPr>
              <w:t xml:space="preserve">1 – 1 </w:t>
            </w:r>
            <w:r w:rsidR="00EB12DC">
              <w:rPr>
                <w:rFonts w:cs="Arial"/>
                <w:b/>
              </w:rPr>
              <w:t>April</w:t>
            </w:r>
            <w:r w:rsidRPr="00022931">
              <w:rPr>
                <w:rFonts w:cs="Arial"/>
                <w:b/>
              </w:rPr>
              <w:t xml:space="preserve"> 2025 – </w:t>
            </w:r>
            <w:r w:rsidR="00EB12DC">
              <w:rPr>
                <w:rFonts w:cs="Arial"/>
                <w:b/>
              </w:rPr>
              <w:t>31 March</w:t>
            </w:r>
            <w:r w:rsidRPr="00022931">
              <w:rPr>
                <w:rFonts w:cs="Arial"/>
                <w:b/>
              </w:rPr>
              <w:t xml:space="preserve"> 2026</w:t>
            </w:r>
          </w:p>
        </w:tc>
        <w:tc>
          <w:tcPr>
            <w:tcW w:w="851" w:type="dxa"/>
            <w:shd w:val="clear" w:color="auto" w:fill="F2F2F2" w:themeFill="background1" w:themeFillShade="F2"/>
          </w:tcPr>
          <w:p w:rsidRPr="00022931" w:rsidR="00D06DCC" w:rsidP="00EA7C4F" w:rsidRDefault="00D06DCC" w14:paraId="14150514" w14:textId="2769505E">
            <w:pPr>
              <w:pStyle w:val="Body4"/>
              <w:spacing w:before="120" w:after="120" w:line="240" w:lineRule="atLeast"/>
              <w:ind w:left="0"/>
              <w:jc w:val="center"/>
              <w:rPr>
                <w:rFonts w:cs="Arial"/>
                <w:b/>
              </w:rPr>
            </w:pPr>
            <w:r w:rsidRPr="00022931">
              <w:rPr>
                <w:rFonts w:cs="Arial"/>
                <w:b/>
              </w:rPr>
              <w:t xml:space="preserve">2 – 1 </w:t>
            </w:r>
            <w:r w:rsidR="00EB12DC">
              <w:rPr>
                <w:rFonts w:cs="Arial"/>
                <w:b/>
              </w:rPr>
              <w:t>April</w:t>
            </w:r>
            <w:r w:rsidRPr="00022931">
              <w:rPr>
                <w:rFonts w:cs="Arial"/>
                <w:b/>
              </w:rPr>
              <w:t xml:space="preserve"> 2026 – </w:t>
            </w:r>
            <w:r w:rsidR="00EB12DC">
              <w:rPr>
                <w:rFonts w:cs="Arial"/>
                <w:b/>
              </w:rPr>
              <w:t>31 March</w:t>
            </w:r>
            <w:r w:rsidRPr="00022931">
              <w:rPr>
                <w:rFonts w:cs="Arial"/>
                <w:b/>
              </w:rPr>
              <w:t xml:space="preserve"> 2027</w:t>
            </w:r>
          </w:p>
        </w:tc>
        <w:tc>
          <w:tcPr>
            <w:tcW w:w="992" w:type="dxa"/>
            <w:shd w:val="clear" w:color="auto" w:fill="F2F2F2" w:themeFill="background1" w:themeFillShade="F2"/>
          </w:tcPr>
          <w:p w:rsidRPr="00022931" w:rsidR="00D06DCC" w:rsidP="00EA7C4F" w:rsidRDefault="00D06DCC" w14:paraId="05707A61" w14:textId="52699EC9">
            <w:pPr>
              <w:pStyle w:val="Body4"/>
              <w:spacing w:before="120" w:after="120" w:line="240" w:lineRule="atLeast"/>
              <w:ind w:left="0"/>
              <w:jc w:val="center"/>
              <w:rPr>
                <w:rFonts w:cs="Arial"/>
                <w:b/>
              </w:rPr>
            </w:pPr>
            <w:r w:rsidRPr="00022931">
              <w:rPr>
                <w:rFonts w:cs="Arial"/>
                <w:b/>
              </w:rPr>
              <w:t xml:space="preserve">3 – 1 </w:t>
            </w:r>
            <w:r w:rsidR="00EB12DC">
              <w:rPr>
                <w:rFonts w:cs="Arial"/>
                <w:b/>
              </w:rPr>
              <w:t>April</w:t>
            </w:r>
            <w:r w:rsidRPr="00022931">
              <w:rPr>
                <w:rFonts w:cs="Arial"/>
                <w:b/>
              </w:rPr>
              <w:t xml:space="preserve"> 2027 – </w:t>
            </w:r>
            <w:r w:rsidR="00EB12DC">
              <w:rPr>
                <w:rFonts w:cs="Arial"/>
                <w:b/>
              </w:rPr>
              <w:t>31 March</w:t>
            </w:r>
            <w:r w:rsidRPr="00022931">
              <w:rPr>
                <w:rFonts w:cs="Arial"/>
                <w:b/>
              </w:rPr>
              <w:t xml:space="preserve"> 2028</w:t>
            </w:r>
          </w:p>
        </w:tc>
        <w:tc>
          <w:tcPr>
            <w:tcW w:w="850" w:type="dxa"/>
            <w:shd w:val="clear" w:color="auto" w:fill="F2F2F2" w:themeFill="background1" w:themeFillShade="F2"/>
          </w:tcPr>
          <w:p w:rsidRPr="00022931" w:rsidR="00D06DCC" w:rsidP="00EA7C4F" w:rsidRDefault="00D06DCC" w14:paraId="471391DC" w14:textId="69A8E10D">
            <w:pPr>
              <w:pStyle w:val="Body4"/>
              <w:spacing w:before="120" w:after="120" w:line="240" w:lineRule="atLeast"/>
              <w:ind w:left="0"/>
              <w:jc w:val="center"/>
              <w:rPr>
                <w:rFonts w:cs="Arial"/>
                <w:b/>
              </w:rPr>
            </w:pPr>
            <w:r w:rsidRPr="00022931">
              <w:rPr>
                <w:rFonts w:cs="Arial"/>
                <w:b/>
              </w:rPr>
              <w:t xml:space="preserve">4 – 1 </w:t>
            </w:r>
            <w:r w:rsidR="00EB12DC">
              <w:rPr>
                <w:rFonts w:cs="Arial"/>
                <w:b/>
              </w:rPr>
              <w:t>April</w:t>
            </w:r>
            <w:r w:rsidRPr="00022931">
              <w:rPr>
                <w:rFonts w:cs="Arial"/>
                <w:b/>
              </w:rPr>
              <w:t xml:space="preserve"> 2028 – </w:t>
            </w:r>
            <w:r w:rsidR="00EB12DC">
              <w:rPr>
                <w:rFonts w:cs="Arial"/>
                <w:b/>
              </w:rPr>
              <w:t>31 March</w:t>
            </w:r>
            <w:r w:rsidRPr="00022931">
              <w:rPr>
                <w:rFonts w:cs="Arial"/>
                <w:b/>
              </w:rPr>
              <w:t xml:space="preserve"> 2029</w:t>
            </w:r>
          </w:p>
        </w:tc>
        <w:tc>
          <w:tcPr>
            <w:tcW w:w="1134" w:type="dxa"/>
            <w:shd w:val="clear" w:color="auto" w:fill="F2F2F2" w:themeFill="background1" w:themeFillShade="F2"/>
          </w:tcPr>
          <w:p w:rsidRPr="00022931" w:rsidR="00D06DCC" w:rsidP="00EA7C4F" w:rsidRDefault="00D06DCC" w14:paraId="54CF8EB8" w14:textId="2751AA86">
            <w:pPr>
              <w:pStyle w:val="Body4"/>
              <w:spacing w:before="120" w:after="120" w:line="240" w:lineRule="atLeast"/>
              <w:ind w:left="0"/>
              <w:jc w:val="center"/>
              <w:rPr>
                <w:rFonts w:cs="Arial"/>
                <w:b/>
              </w:rPr>
            </w:pPr>
            <w:r w:rsidRPr="00022931">
              <w:rPr>
                <w:rFonts w:cs="Arial"/>
                <w:b/>
              </w:rPr>
              <w:t xml:space="preserve">5 – 1 </w:t>
            </w:r>
            <w:r w:rsidR="00EB12DC">
              <w:rPr>
                <w:rFonts w:cs="Arial"/>
                <w:b/>
              </w:rPr>
              <w:t>April</w:t>
            </w:r>
            <w:r w:rsidRPr="00022931">
              <w:rPr>
                <w:rFonts w:cs="Arial"/>
                <w:b/>
              </w:rPr>
              <w:t xml:space="preserve"> 2029 – </w:t>
            </w:r>
            <w:r w:rsidR="00EB12DC">
              <w:rPr>
                <w:rFonts w:cs="Arial"/>
                <w:b/>
              </w:rPr>
              <w:t>31 March</w:t>
            </w:r>
            <w:r w:rsidRPr="00022931">
              <w:rPr>
                <w:rFonts w:cs="Arial"/>
                <w:b/>
              </w:rPr>
              <w:t xml:space="preserve"> 2030</w:t>
            </w:r>
          </w:p>
        </w:tc>
      </w:tr>
      <w:tr w:rsidRPr="00022931" w:rsidR="00D06DCC" w:rsidTr="00D802AE" w14:paraId="10352328" w14:textId="77777777">
        <w:tc>
          <w:tcPr>
            <w:tcW w:w="4111" w:type="dxa"/>
            <w:shd w:val="clear" w:color="auto" w:fill="F2F2F2" w:themeFill="background1" w:themeFillShade="F2"/>
          </w:tcPr>
          <w:p w:rsidRPr="00022931" w:rsidR="00D06DCC" w:rsidP="00D06DCC" w:rsidRDefault="00D06DCC" w14:paraId="406825B1" w14:textId="2A7D6AB2">
            <w:pPr>
              <w:pStyle w:val="Body4"/>
              <w:spacing w:before="120" w:after="120" w:line="240" w:lineRule="atLeast"/>
              <w:ind w:left="0"/>
              <w:jc w:val="left"/>
              <w:rPr>
                <w:rFonts w:cs="Arial"/>
              </w:rPr>
            </w:pPr>
            <w:r w:rsidRPr="006B2011">
              <w:rPr>
                <w:rFonts w:cs="Arial"/>
              </w:rPr>
              <w:t>AC</w:t>
            </w:r>
            <w:r w:rsidRPr="007A4444">
              <w:rPr>
                <w:rFonts w:cs="Arial"/>
                <w:vertAlign w:val="superscript"/>
              </w:rPr>
              <w:t>F</w:t>
            </w:r>
            <w:r>
              <w:rPr>
                <w:rFonts w:cs="Arial"/>
                <w:vertAlign w:val="superscript"/>
              </w:rPr>
              <w:t xml:space="preserve"> </w:t>
            </w:r>
            <w:r w:rsidRPr="00022931">
              <w:rPr>
                <w:rFonts w:cs="Arial"/>
              </w:rPr>
              <w:t>SDA</w:t>
            </w:r>
            <w:r>
              <w:rPr>
                <w:rFonts w:cs="Arial"/>
              </w:rPr>
              <w:t xml:space="preserve"> 4</w:t>
            </w:r>
            <w:r w:rsidRPr="00022931">
              <w:rPr>
                <w:rFonts w:cs="Arial"/>
              </w:rPr>
              <w:t xml:space="preserve"> – </w:t>
            </w:r>
            <w:r>
              <w:rPr>
                <w:rFonts w:cs="Arial"/>
              </w:rPr>
              <w:t>Component in GBP for Contract Year for the Firm Price Period not subject to Indexation</w:t>
            </w:r>
          </w:p>
        </w:tc>
        <w:tc>
          <w:tcPr>
            <w:tcW w:w="1559" w:type="dxa"/>
          </w:tcPr>
          <w:p w:rsidRPr="00022931" w:rsidR="00D06DCC" w:rsidP="00EA7C4F" w:rsidRDefault="00D06DCC" w14:paraId="5F6E727E" w14:textId="77777777">
            <w:pPr>
              <w:pStyle w:val="Body4"/>
              <w:spacing w:before="120" w:after="120" w:line="240" w:lineRule="atLeast"/>
              <w:ind w:left="0"/>
              <w:jc w:val="center"/>
              <w:rPr>
                <w:rFonts w:cs="Arial"/>
              </w:rPr>
            </w:pPr>
            <w:r w:rsidRPr="00022931">
              <w:rPr>
                <w:rFonts w:cs="Arial"/>
              </w:rPr>
              <w:t>[a]</w:t>
            </w:r>
          </w:p>
        </w:tc>
        <w:tc>
          <w:tcPr>
            <w:tcW w:w="851" w:type="dxa"/>
          </w:tcPr>
          <w:p w:rsidRPr="00022931" w:rsidR="00D06DCC" w:rsidP="00EA7C4F" w:rsidRDefault="00D06DCC" w14:paraId="2B2B2E9B" w14:textId="77777777">
            <w:pPr>
              <w:spacing w:before="120" w:after="120" w:line="240" w:lineRule="atLeast"/>
              <w:jc w:val="center"/>
              <w:rPr>
                <w:rFonts w:cs="Arial"/>
              </w:rPr>
            </w:pPr>
            <w:r w:rsidRPr="00022931">
              <w:rPr>
                <w:rFonts w:cs="Arial"/>
              </w:rPr>
              <w:t>[a]</w:t>
            </w:r>
          </w:p>
        </w:tc>
        <w:tc>
          <w:tcPr>
            <w:tcW w:w="992" w:type="dxa"/>
          </w:tcPr>
          <w:p w:rsidRPr="00022931" w:rsidR="00D06DCC" w:rsidP="00EA7C4F" w:rsidRDefault="00D06DCC" w14:paraId="32A7BA30" w14:textId="77777777">
            <w:pPr>
              <w:spacing w:before="120" w:after="120" w:line="240" w:lineRule="atLeast"/>
              <w:jc w:val="center"/>
              <w:rPr>
                <w:rFonts w:cs="Arial"/>
              </w:rPr>
            </w:pPr>
            <w:r w:rsidRPr="00022931">
              <w:rPr>
                <w:rFonts w:cs="Arial"/>
              </w:rPr>
              <w:t>[a]</w:t>
            </w:r>
          </w:p>
        </w:tc>
        <w:tc>
          <w:tcPr>
            <w:tcW w:w="850" w:type="dxa"/>
          </w:tcPr>
          <w:p w:rsidRPr="00022931" w:rsidR="00D06DCC" w:rsidP="00EA7C4F" w:rsidRDefault="00D06DCC" w14:paraId="679EA105" w14:textId="77777777">
            <w:pPr>
              <w:pStyle w:val="Body4"/>
              <w:spacing w:before="120" w:after="120" w:line="240" w:lineRule="atLeast"/>
              <w:ind w:left="0"/>
              <w:jc w:val="center"/>
              <w:rPr>
                <w:rFonts w:cs="Arial"/>
              </w:rPr>
            </w:pPr>
            <w:r w:rsidRPr="00022931">
              <w:rPr>
                <w:rFonts w:cs="Arial"/>
              </w:rPr>
              <w:t>[a]</w:t>
            </w:r>
          </w:p>
        </w:tc>
        <w:tc>
          <w:tcPr>
            <w:tcW w:w="1134" w:type="dxa"/>
          </w:tcPr>
          <w:p w:rsidRPr="00022931" w:rsidR="00D06DCC" w:rsidP="00EA7C4F" w:rsidRDefault="00D06DCC" w14:paraId="4B943800" w14:textId="77777777">
            <w:pPr>
              <w:pStyle w:val="Body4"/>
              <w:spacing w:before="120" w:after="120" w:line="240" w:lineRule="atLeast"/>
              <w:ind w:left="0"/>
              <w:jc w:val="center"/>
              <w:rPr>
                <w:rFonts w:cs="Arial"/>
              </w:rPr>
            </w:pPr>
            <w:r w:rsidRPr="00022931">
              <w:rPr>
                <w:rFonts w:cs="Arial"/>
              </w:rPr>
              <w:t>[a]</w:t>
            </w:r>
          </w:p>
        </w:tc>
      </w:tr>
      <w:tr w:rsidRPr="00022931" w:rsidR="00D06DCC" w:rsidTr="00D802AE" w14:paraId="079BBEA5" w14:textId="77777777">
        <w:tc>
          <w:tcPr>
            <w:tcW w:w="4111" w:type="dxa"/>
            <w:shd w:val="clear" w:color="auto" w:fill="F2F2F2" w:themeFill="background1" w:themeFillShade="F2"/>
          </w:tcPr>
          <w:p w:rsidRPr="00D06DCC" w:rsidR="00D06DCC" w:rsidP="00D06DCC" w:rsidRDefault="00D06DCC" w14:paraId="2B7A36F3" w14:textId="695EDE03">
            <w:pPr>
              <w:pStyle w:val="Body4"/>
              <w:spacing w:before="120" w:after="120" w:line="240" w:lineRule="atLeast"/>
              <w:ind w:left="0"/>
              <w:jc w:val="left"/>
              <w:rPr>
                <w:rFonts w:cs="Arial"/>
              </w:rPr>
            </w:pPr>
            <w:proofErr w:type="spellStart"/>
            <w:r w:rsidRPr="00EA7C4F">
              <w:rPr>
                <w:rFonts w:cs="Arial"/>
              </w:rPr>
              <w:t>AC</w:t>
            </w:r>
            <w:r w:rsidRPr="00EA7C4F">
              <w:rPr>
                <w:rFonts w:cs="Arial"/>
                <w:vertAlign w:val="superscript"/>
              </w:rPr>
              <w:t>Fx</w:t>
            </w:r>
            <w:proofErr w:type="spellEnd"/>
            <w:r w:rsidRPr="00EA7C4F">
              <w:rPr>
                <w:rFonts w:cs="Arial"/>
              </w:rPr>
              <w:t xml:space="preserve"> SDA</w:t>
            </w:r>
            <w:r>
              <w:rPr>
                <w:rFonts w:cs="Arial"/>
              </w:rPr>
              <w:t xml:space="preserve"> 4</w:t>
            </w:r>
            <w:r w:rsidRPr="00EA7C4F">
              <w:rPr>
                <w:rFonts w:cs="Arial"/>
              </w:rPr>
              <w:t xml:space="preserve"> – </w:t>
            </w:r>
            <w:r>
              <w:rPr>
                <w:rFonts w:cs="Arial"/>
              </w:rPr>
              <w:t xml:space="preserve">Component in GBP for Contract Year x for </w:t>
            </w:r>
            <w:r w:rsidRPr="00EA7C4F">
              <w:rPr>
                <w:rFonts w:cs="Arial"/>
              </w:rPr>
              <w:t xml:space="preserve">Fixed Price </w:t>
            </w:r>
            <w:r>
              <w:rPr>
                <w:rFonts w:cs="Arial"/>
              </w:rPr>
              <w:t xml:space="preserve">Period </w:t>
            </w:r>
            <w:r w:rsidRPr="00EA7C4F">
              <w:rPr>
                <w:rFonts w:cs="Arial"/>
              </w:rPr>
              <w:t>not subject to Indexation</w:t>
            </w:r>
          </w:p>
        </w:tc>
        <w:tc>
          <w:tcPr>
            <w:tcW w:w="1559" w:type="dxa"/>
          </w:tcPr>
          <w:p w:rsidRPr="00022931" w:rsidR="00D06DCC" w:rsidP="00D06DCC" w:rsidRDefault="00D06DCC" w14:paraId="0A9ADFF2" w14:textId="6E0E79E5">
            <w:pPr>
              <w:pStyle w:val="Body4"/>
              <w:spacing w:before="120" w:after="120" w:line="240" w:lineRule="atLeast"/>
              <w:ind w:left="0"/>
              <w:jc w:val="center"/>
              <w:rPr>
                <w:rFonts w:cs="Arial"/>
              </w:rPr>
            </w:pPr>
            <w:r w:rsidRPr="00022931">
              <w:rPr>
                <w:rFonts w:cs="Arial"/>
              </w:rPr>
              <w:t>[a]</w:t>
            </w:r>
          </w:p>
        </w:tc>
        <w:tc>
          <w:tcPr>
            <w:tcW w:w="851" w:type="dxa"/>
          </w:tcPr>
          <w:p w:rsidRPr="00022931" w:rsidR="00D06DCC" w:rsidP="00D06DCC" w:rsidRDefault="00D06DCC" w14:paraId="728E0E51" w14:textId="3C6734DC">
            <w:pPr>
              <w:spacing w:before="120" w:after="120" w:line="240" w:lineRule="atLeast"/>
              <w:jc w:val="center"/>
              <w:rPr>
                <w:rFonts w:cs="Arial"/>
              </w:rPr>
            </w:pPr>
            <w:r w:rsidRPr="00022931">
              <w:rPr>
                <w:rFonts w:cs="Arial"/>
              </w:rPr>
              <w:t>[a]</w:t>
            </w:r>
          </w:p>
        </w:tc>
        <w:tc>
          <w:tcPr>
            <w:tcW w:w="992" w:type="dxa"/>
          </w:tcPr>
          <w:p w:rsidRPr="00022931" w:rsidR="00D06DCC" w:rsidP="00D06DCC" w:rsidRDefault="00D06DCC" w14:paraId="4EC83D99" w14:textId="5E63C0B3">
            <w:pPr>
              <w:spacing w:before="120" w:after="120" w:line="240" w:lineRule="atLeast"/>
              <w:jc w:val="center"/>
              <w:rPr>
                <w:rFonts w:cs="Arial"/>
              </w:rPr>
            </w:pPr>
            <w:r w:rsidRPr="00022931">
              <w:rPr>
                <w:rFonts w:cs="Arial"/>
              </w:rPr>
              <w:t>[a]</w:t>
            </w:r>
          </w:p>
        </w:tc>
        <w:tc>
          <w:tcPr>
            <w:tcW w:w="850" w:type="dxa"/>
          </w:tcPr>
          <w:p w:rsidRPr="00022931" w:rsidR="00D06DCC" w:rsidP="00D06DCC" w:rsidRDefault="00D06DCC" w14:paraId="72F0004E" w14:textId="33E478A2">
            <w:pPr>
              <w:pStyle w:val="Body4"/>
              <w:spacing w:before="120" w:after="120" w:line="240" w:lineRule="atLeast"/>
              <w:ind w:left="0"/>
              <w:jc w:val="center"/>
              <w:rPr>
                <w:rFonts w:cs="Arial"/>
              </w:rPr>
            </w:pPr>
            <w:r w:rsidRPr="00022931">
              <w:rPr>
                <w:rFonts w:cs="Arial"/>
              </w:rPr>
              <w:t>[a]</w:t>
            </w:r>
          </w:p>
        </w:tc>
        <w:tc>
          <w:tcPr>
            <w:tcW w:w="1134" w:type="dxa"/>
          </w:tcPr>
          <w:p w:rsidRPr="00022931" w:rsidR="00D06DCC" w:rsidP="00D06DCC" w:rsidRDefault="00D06DCC" w14:paraId="7C48957C" w14:textId="5EF49E04">
            <w:pPr>
              <w:pStyle w:val="Body4"/>
              <w:spacing w:before="120" w:after="120" w:line="240" w:lineRule="atLeast"/>
              <w:ind w:left="0"/>
              <w:jc w:val="center"/>
              <w:rPr>
                <w:rFonts w:cs="Arial"/>
              </w:rPr>
            </w:pPr>
            <w:r w:rsidRPr="00022931">
              <w:rPr>
                <w:rFonts w:cs="Arial"/>
              </w:rPr>
              <w:t>[a]</w:t>
            </w:r>
          </w:p>
        </w:tc>
      </w:tr>
      <w:tr w:rsidRPr="00022931" w:rsidR="00B16D04" w:rsidTr="00D802AE" w14:paraId="27C1D3BD" w14:textId="77777777">
        <w:tc>
          <w:tcPr>
            <w:tcW w:w="4111" w:type="dxa"/>
            <w:shd w:val="clear" w:color="auto" w:fill="F2F2F2" w:themeFill="background1" w:themeFillShade="F2"/>
          </w:tcPr>
          <w:p w:rsidRPr="00D06DCC" w:rsidR="00B16D04" w:rsidP="00B16D04" w:rsidRDefault="00B16D04" w14:paraId="41AE877F" w14:textId="341CC416">
            <w:pPr>
              <w:pStyle w:val="Body4"/>
              <w:spacing w:before="120" w:after="120" w:line="240" w:lineRule="atLeast"/>
              <w:ind w:left="0"/>
              <w:jc w:val="left"/>
              <w:rPr>
                <w:rFonts w:cs="Arial"/>
              </w:rPr>
            </w:pPr>
            <w:proofErr w:type="spellStart"/>
            <w:r w:rsidRPr="00EA7C4F">
              <w:rPr>
                <w:rFonts w:cs="Arial"/>
              </w:rPr>
              <w:t>AC</w:t>
            </w:r>
            <w:r w:rsidRPr="00EA7C4F">
              <w:rPr>
                <w:rFonts w:cs="Arial"/>
                <w:vertAlign w:val="superscript"/>
              </w:rPr>
              <w:t>Fi</w:t>
            </w:r>
            <w:proofErr w:type="spellEnd"/>
            <w:r w:rsidRPr="00EA7C4F">
              <w:rPr>
                <w:rFonts w:cs="Arial"/>
              </w:rPr>
              <w:t xml:space="preserve"> SDA</w:t>
            </w:r>
            <w:r>
              <w:rPr>
                <w:rFonts w:cs="Arial"/>
              </w:rPr>
              <w:t>4</w:t>
            </w:r>
            <w:r w:rsidRPr="00EA7C4F">
              <w:rPr>
                <w:rFonts w:cs="Arial"/>
              </w:rPr>
              <w:t xml:space="preserve"> – Fixed Price Component subject to Indexation</w:t>
            </w:r>
          </w:p>
        </w:tc>
        <w:tc>
          <w:tcPr>
            <w:tcW w:w="1559" w:type="dxa"/>
          </w:tcPr>
          <w:p w:rsidRPr="00022931" w:rsidR="00B16D04" w:rsidP="00B16D04" w:rsidRDefault="00B16D04" w14:paraId="5F90E256" w14:textId="2610E574">
            <w:pPr>
              <w:pStyle w:val="Body4"/>
              <w:spacing w:before="120" w:after="120" w:line="240" w:lineRule="atLeast"/>
              <w:ind w:left="0"/>
              <w:jc w:val="center"/>
              <w:rPr>
                <w:rFonts w:cs="Arial"/>
              </w:rPr>
            </w:pPr>
            <w:r w:rsidRPr="00022931">
              <w:rPr>
                <w:rFonts w:cs="Arial"/>
              </w:rPr>
              <w:t>[a]</w:t>
            </w:r>
          </w:p>
        </w:tc>
        <w:tc>
          <w:tcPr>
            <w:tcW w:w="851" w:type="dxa"/>
          </w:tcPr>
          <w:p w:rsidRPr="00022931" w:rsidR="00B16D04" w:rsidP="00B16D04" w:rsidRDefault="00B16D04" w14:paraId="5447D6DB" w14:textId="713F6C01">
            <w:pPr>
              <w:spacing w:before="120" w:after="120" w:line="240" w:lineRule="atLeast"/>
              <w:jc w:val="center"/>
              <w:rPr>
                <w:rFonts w:cs="Arial"/>
              </w:rPr>
            </w:pPr>
            <w:r w:rsidRPr="00022931">
              <w:rPr>
                <w:rFonts w:cs="Arial"/>
              </w:rPr>
              <w:t>[a]</w:t>
            </w:r>
          </w:p>
        </w:tc>
        <w:tc>
          <w:tcPr>
            <w:tcW w:w="992" w:type="dxa"/>
          </w:tcPr>
          <w:p w:rsidRPr="00022931" w:rsidR="00B16D04" w:rsidP="00B16D04" w:rsidRDefault="00B16D04" w14:paraId="630A72B0" w14:textId="291F4C8A">
            <w:pPr>
              <w:spacing w:before="120" w:after="120" w:line="240" w:lineRule="atLeast"/>
              <w:jc w:val="center"/>
              <w:rPr>
                <w:rFonts w:cs="Arial"/>
              </w:rPr>
            </w:pPr>
            <w:r w:rsidRPr="00022931">
              <w:rPr>
                <w:rFonts w:cs="Arial"/>
              </w:rPr>
              <w:t>[a]</w:t>
            </w:r>
          </w:p>
        </w:tc>
        <w:tc>
          <w:tcPr>
            <w:tcW w:w="850" w:type="dxa"/>
          </w:tcPr>
          <w:p w:rsidRPr="00022931" w:rsidR="00B16D04" w:rsidP="00B16D04" w:rsidRDefault="00B16D04" w14:paraId="22DEAFB1" w14:textId="30C80C72">
            <w:pPr>
              <w:pStyle w:val="Body4"/>
              <w:spacing w:before="120" w:after="120" w:line="240" w:lineRule="atLeast"/>
              <w:ind w:left="0"/>
              <w:jc w:val="center"/>
              <w:rPr>
                <w:rFonts w:cs="Arial"/>
              </w:rPr>
            </w:pPr>
            <w:r w:rsidRPr="00022931">
              <w:rPr>
                <w:rFonts w:cs="Arial"/>
              </w:rPr>
              <w:t>[a]</w:t>
            </w:r>
          </w:p>
        </w:tc>
        <w:tc>
          <w:tcPr>
            <w:tcW w:w="1134" w:type="dxa"/>
          </w:tcPr>
          <w:p w:rsidRPr="00022931" w:rsidR="00B16D04" w:rsidP="00B16D04" w:rsidRDefault="00B16D04" w14:paraId="5406E667" w14:textId="059241BE">
            <w:pPr>
              <w:pStyle w:val="Body4"/>
              <w:spacing w:before="120" w:after="120" w:line="240" w:lineRule="atLeast"/>
              <w:ind w:left="0"/>
              <w:jc w:val="center"/>
              <w:rPr>
                <w:rFonts w:cs="Arial"/>
              </w:rPr>
            </w:pPr>
            <w:r w:rsidRPr="00022931">
              <w:rPr>
                <w:rFonts w:cs="Arial"/>
              </w:rPr>
              <w:t>[a]</w:t>
            </w:r>
          </w:p>
        </w:tc>
      </w:tr>
    </w:tbl>
    <w:p w:rsidR="00D06DCC" w:rsidP="00EA7C4F" w:rsidRDefault="00D06DCC" w14:paraId="393CA6F5" w14:textId="56F0BEB5">
      <w:pPr>
        <w:pStyle w:val="Body3"/>
        <w:ind w:left="0"/>
        <w:rPr>
          <w:rFonts w:cs="Arial"/>
          <w:b/>
        </w:rPr>
      </w:pPr>
    </w:p>
    <w:p w:rsidR="00D802AE" w:rsidP="00D802AE" w:rsidRDefault="00B16D04" w14:paraId="7D1B62FA" w14:textId="77777777">
      <w:pPr>
        <w:pStyle w:val="Body3"/>
        <w:ind w:left="0"/>
        <w:jc w:val="left"/>
        <w:rPr>
          <w:rFonts w:cs="Arial"/>
          <w:b/>
        </w:rPr>
      </w:pPr>
      <w:r>
        <w:rPr>
          <w:rFonts w:cs="Arial"/>
          <w:b/>
        </w:rPr>
        <w:t>SDA 5 COMPONENT AC PRICING TABLE</w:t>
      </w:r>
    </w:p>
    <w:p w:rsidR="00B16D04" w:rsidP="00D802AE" w:rsidRDefault="00B16D04" w14:paraId="697349F3" w14:textId="02407028">
      <w:pPr>
        <w:pStyle w:val="Body3"/>
        <w:ind w:left="0"/>
        <w:jc w:val="left"/>
        <w:rPr>
          <w:rFonts w:cs="Arial"/>
          <w:b/>
        </w:rPr>
      </w:pPr>
      <w:r>
        <w:rPr>
          <w:rFonts w:cs="Arial"/>
          <w:b/>
        </w:rPr>
        <w:t xml:space="preserve">Table </w:t>
      </w:r>
      <w:r w:rsidR="00437B8D">
        <w:rPr>
          <w:rFonts w:cs="Arial"/>
          <w:b/>
        </w:rPr>
        <w:t xml:space="preserve">2 </w:t>
      </w:r>
      <w:r>
        <w:rPr>
          <w:rFonts w:cs="Arial"/>
          <w:b/>
        </w:rPr>
        <w:t>– Pricing Table for SDA 5</w:t>
      </w:r>
    </w:p>
    <w:tbl>
      <w:tblPr>
        <w:tblStyle w:val="TableGrid"/>
        <w:tblW w:w="9497" w:type="dxa"/>
        <w:tblInd w:w="-5" w:type="dxa"/>
        <w:tblLayout w:type="fixed"/>
        <w:tblLook w:val="04A0" w:firstRow="1" w:lastRow="0" w:firstColumn="1" w:lastColumn="0" w:noHBand="0" w:noVBand="1"/>
      </w:tblPr>
      <w:tblGrid>
        <w:gridCol w:w="4111"/>
        <w:gridCol w:w="1559"/>
        <w:gridCol w:w="851"/>
        <w:gridCol w:w="992"/>
        <w:gridCol w:w="850"/>
        <w:gridCol w:w="1134"/>
      </w:tblGrid>
      <w:tr w:rsidRPr="00022931" w:rsidR="00B16D04" w:rsidTr="00D802AE" w14:paraId="28298C36" w14:textId="77777777">
        <w:tc>
          <w:tcPr>
            <w:tcW w:w="4111" w:type="dxa"/>
            <w:shd w:val="clear" w:color="auto" w:fill="F2F2F2" w:themeFill="background1" w:themeFillShade="F2"/>
          </w:tcPr>
          <w:p w:rsidRPr="00022931" w:rsidR="00B16D04" w:rsidP="00EA7C4F" w:rsidRDefault="00B16D04" w14:paraId="06E8E55E" w14:textId="77777777">
            <w:pPr>
              <w:pStyle w:val="Body4"/>
              <w:spacing w:before="120" w:after="120" w:line="240" w:lineRule="atLeast"/>
              <w:ind w:left="0"/>
              <w:jc w:val="left"/>
              <w:rPr>
                <w:rFonts w:cs="Arial"/>
                <w:b/>
              </w:rPr>
            </w:pPr>
            <w:r w:rsidRPr="00022931">
              <w:rPr>
                <w:rFonts w:cs="Arial"/>
                <w:b/>
              </w:rPr>
              <w:t>Pricing Band</w:t>
            </w:r>
          </w:p>
        </w:tc>
        <w:tc>
          <w:tcPr>
            <w:tcW w:w="5386" w:type="dxa"/>
            <w:gridSpan w:val="5"/>
            <w:shd w:val="clear" w:color="auto" w:fill="F2F2F2" w:themeFill="background1" w:themeFillShade="F2"/>
          </w:tcPr>
          <w:p w:rsidRPr="00022931" w:rsidR="00B16D04" w:rsidP="00EA7C4F" w:rsidRDefault="00B16D04" w14:paraId="2FB404D1" w14:textId="77777777">
            <w:pPr>
              <w:pStyle w:val="Default"/>
              <w:spacing w:before="120" w:after="120" w:line="240" w:lineRule="atLeast"/>
              <w:jc w:val="center"/>
              <w:rPr>
                <w:rFonts w:ascii="Arial" w:hAnsi="Arial" w:cs="Arial"/>
                <w:sz w:val="20"/>
                <w:szCs w:val="20"/>
              </w:rPr>
            </w:pPr>
            <w:r w:rsidRPr="00022931">
              <w:rPr>
                <w:rFonts w:ascii="Arial" w:hAnsi="Arial" w:cs="Arial"/>
                <w:b/>
                <w:sz w:val="20"/>
                <w:szCs w:val="20"/>
              </w:rPr>
              <w:t>Contract Year</w:t>
            </w:r>
            <w:r w:rsidRPr="005B667F">
              <w:rPr>
                <w:rFonts w:ascii="Arial" w:hAnsi="Arial" w:cs="Arial"/>
              </w:rPr>
              <w:t xml:space="preserve"> </w:t>
            </w:r>
          </w:p>
        </w:tc>
      </w:tr>
      <w:tr w:rsidRPr="00022931" w:rsidR="00B16D04" w:rsidTr="00D802AE" w14:paraId="3CAC778E" w14:textId="77777777">
        <w:tc>
          <w:tcPr>
            <w:tcW w:w="4111" w:type="dxa"/>
            <w:shd w:val="clear" w:color="auto" w:fill="F2F2F2" w:themeFill="background1" w:themeFillShade="F2"/>
          </w:tcPr>
          <w:p w:rsidRPr="00022931" w:rsidR="00B16D04" w:rsidP="00EA7C4F" w:rsidRDefault="00B16D04" w14:paraId="5CF4B5A1" w14:textId="77777777">
            <w:pPr>
              <w:pStyle w:val="Body4"/>
              <w:spacing w:before="120" w:after="120" w:line="240" w:lineRule="atLeast"/>
              <w:ind w:left="0"/>
              <w:jc w:val="left"/>
              <w:rPr>
                <w:rFonts w:cs="Arial"/>
              </w:rPr>
            </w:pPr>
          </w:p>
        </w:tc>
        <w:tc>
          <w:tcPr>
            <w:tcW w:w="1559" w:type="dxa"/>
            <w:shd w:val="clear" w:color="auto" w:fill="F2F2F2" w:themeFill="background1" w:themeFillShade="F2"/>
          </w:tcPr>
          <w:p w:rsidRPr="00022931" w:rsidR="00B16D04" w:rsidP="00EA7C4F" w:rsidRDefault="00B16D04" w14:paraId="32E8BC4D" w14:textId="59310E4E">
            <w:pPr>
              <w:pStyle w:val="Body4"/>
              <w:spacing w:before="120" w:after="120" w:line="240" w:lineRule="atLeast"/>
              <w:ind w:left="0"/>
              <w:jc w:val="center"/>
              <w:rPr>
                <w:rFonts w:cs="Arial"/>
                <w:b/>
              </w:rPr>
            </w:pPr>
            <w:r w:rsidRPr="00022931">
              <w:rPr>
                <w:rFonts w:cs="Arial"/>
                <w:b/>
              </w:rPr>
              <w:t xml:space="preserve">1 – 1 </w:t>
            </w:r>
            <w:r w:rsidR="00EB12DC">
              <w:rPr>
                <w:rFonts w:cs="Arial"/>
                <w:b/>
              </w:rPr>
              <w:t>April</w:t>
            </w:r>
            <w:r w:rsidRPr="00022931">
              <w:rPr>
                <w:rFonts w:cs="Arial"/>
                <w:b/>
              </w:rPr>
              <w:t xml:space="preserve"> 2025 – </w:t>
            </w:r>
            <w:r w:rsidR="00EB12DC">
              <w:rPr>
                <w:rFonts w:cs="Arial"/>
                <w:b/>
              </w:rPr>
              <w:t>31 March</w:t>
            </w:r>
            <w:r w:rsidRPr="00022931">
              <w:rPr>
                <w:rFonts w:cs="Arial"/>
                <w:b/>
              </w:rPr>
              <w:t xml:space="preserve"> 2026</w:t>
            </w:r>
          </w:p>
        </w:tc>
        <w:tc>
          <w:tcPr>
            <w:tcW w:w="851" w:type="dxa"/>
            <w:shd w:val="clear" w:color="auto" w:fill="F2F2F2" w:themeFill="background1" w:themeFillShade="F2"/>
          </w:tcPr>
          <w:p w:rsidRPr="00022931" w:rsidR="00B16D04" w:rsidP="00EA7C4F" w:rsidRDefault="00B16D04" w14:paraId="258CB582" w14:textId="4BBABFD6">
            <w:pPr>
              <w:pStyle w:val="Body4"/>
              <w:spacing w:before="120" w:after="120" w:line="240" w:lineRule="atLeast"/>
              <w:ind w:left="0"/>
              <w:jc w:val="center"/>
              <w:rPr>
                <w:rFonts w:cs="Arial"/>
                <w:b/>
              </w:rPr>
            </w:pPr>
            <w:r w:rsidRPr="00022931">
              <w:rPr>
                <w:rFonts w:cs="Arial"/>
                <w:b/>
              </w:rPr>
              <w:t xml:space="preserve">2 – 1 </w:t>
            </w:r>
            <w:r w:rsidR="00EB12DC">
              <w:rPr>
                <w:rFonts w:cs="Arial"/>
                <w:b/>
              </w:rPr>
              <w:t>April</w:t>
            </w:r>
            <w:r w:rsidRPr="00022931">
              <w:rPr>
                <w:rFonts w:cs="Arial"/>
                <w:b/>
              </w:rPr>
              <w:t xml:space="preserve"> 2026 – </w:t>
            </w:r>
            <w:r w:rsidR="00EB12DC">
              <w:rPr>
                <w:rFonts w:cs="Arial"/>
                <w:b/>
              </w:rPr>
              <w:t>31 March</w:t>
            </w:r>
            <w:r w:rsidRPr="00022931">
              <w:rPr>
                <w:rFonts w:cs="Arial"/>
                <w:b/>
              </w:rPr>
              <w:t xml:space="preserve"> 2027</w:t>
            </w:r>
          </w:p>
        </w:tc>
        <w:tc>
          <w:tcPr>
            <w:tcW w:w="992" w:type="dxa"/>
            <w:shd w:val="clear" w:color="auto" w:fill="F2F2F2" w:themeFill="background1" w:themeFillShade="F2"/>
          </w:tcPr>
          <w:p w:rsidRPr="00022931" w:rsidR="00B16D04" w:rsidP="00EA7C4F" w:rsidRDefault="00B16D04" w14:paraId="221C0668" w14:textId="7C246E59">
            <w:pPr>
              <w:pStyle w:val="Body4"/>
              <w:spacing w:before="120" w:after="120" w:line="240" w:lineRule="atLeast"/>
              <w:ind w:left="0"/>
              <w:jc w:val="center"/>
              <w:rPr>
                <w:rFonts w:cs="Arial"/>
                <w:b/>
              </w:rPr>
            </w:pPr>
            <w:r w:rsidRPr="00022931">
              <w:rPr>
                <w:rFonts w:cs="Arial"/>
                <w:b/>
              </w:rPr>
              <w:t xml:space="preserve">3 – 1 </w:t>
            </w:r>
            <w:r w:rsidR="00EB12DC">
              <w:rPr>
                <w:rFonts w:cs="Arial"/>
                <w:b/>
              </w:rPr>
              <w:t>April</w:t>
            </w:r>
            <w:r w:rsidRPr="00022931">
              <w:rPr>
                <w:rFonts w:cs="Arial"/>
                <w:b/>
              </w:rPr>
              <w:t xml:space="preserve"> 2027 – </w:t>
            </w:r>
            <w:r w:rsidR="00EB12DC">
              <w:rPr>
                <w:rFonts w:cs="Arial"/>
                <w:b/>
              </w:rPr>
              <w:t>31 March</w:t>
            </w:r>
            <w:r w:rsidRPr="00022931">
              <w:rPr>
                <w:rFonts w:cs="Arial"/>
                <w:b/>
              </w:rPr>
              <w:t xml:space="preserve"> 2028</w:t>
            </w:r>
          </w:p>
        </w:tc>
        <w:tc>
          <w:tcPr>
            <w:tcW w:w="850" w:type="dxa"/>
            <w:shd w:val="clear" w:color="auto" w:fill="F2F2F2" w:themeFill="background1" w:themeFillShade="F2"/>
          </w:tcPr>
          <w:p w:rsidRPr="00022931" w:rsidR="00B16D04" w:rsidP="00EA7C4F" w:rsidRDefault="00B16D04" w14:paraId="282E96E1" w14:textId="4B38C1AC">
            <w:pPr>
              <w:pStyle w:val="Body4"/>
              <w:spacing w:before="120" w:after="120" w:line="240" w:lineRule="atLeast"/>
              <w:ind w:left="0"/>
              <w:jc w:val="center"/>
              <w:rPr>
                <w:rFonts w:cs="Arial"/>
                <w:b/>
              </w:rPr>
            </w:pPr>
            <w:r w:rsidRPr="00022931">
              <w:rPr>
                <w:rFonts w:cs="Arial"/>
                <w:b/>
              </w:rPr>
              <w:t xml:space="preserve">4 – 1 </w:t>
            </w:r>
            <w:r w:rsidR="00EB12DC">
              <w:rPr>
                <w:rFonts w:cs="Arial"/>
                <w:b/>
              </w:rPr>
              <w:t>April</w:t>
            </w:r>
            <w:r w:rsidRPr="00022931">
              <w:rPr>
                <w:rFonts w:cs="Arial"/>
                <w:b/>
              </w:rPr>
              <w:t xml:space="preserve"> 2028 – </w:t>
            </w:r>
            <w:r w:rsidR="00EB12DC">
              <w:rPr>
                <w:rFonts w:cs="Arial"/>
                <w:b/>
              </w:rPr>
              <w:t>31 March</w:t>
            </w:r>
            <w:r w:rsidRPr="00022931">
              <w:rPr>
                <w:rFonts w:cs="Arial"/>
                <w:b/>
              </w:rPr>
              <w:t xml:space="preserve"> 2029</w:t>
            </w:r>
          </w:p>
        </w:tc>
        <w:tc>
          <w:tcPr>
            <w:tcW w:w="1134" w:type="dxa"/>
            <w:shd w:val="clear" w:color="auto" w:fill="F2F2F2" w:themeFill="background1" w:themeFillShade="F2"/>
          </w:tcPr>
          <w:p w:rsidRPr="00022931" w:rsidR="00B16D04" w:rsidP="00EA7C4F" w:rsidRDefault="00B16D04" w14:paraId="1E5EFA13" w14:textId="2A77B91C">
            <w:pPr>
              <w:pStyle w:val="Body4"/>
              <w:spacing w:before="120" w:after="120" w:line="240" w:lineRule="atLeast"/>
              <w:ind w:left="0"/>
              <w:jc w:val="center"/>
              <w:rPr>
                <w:rFonts w:cs="Arial"/>
                <w:b/>
              </w:rPr>
            </w:pPr>
            <w:r w:rsidRPr="00022931">
              <w:rPr>
                <w:rFonts w:cs="Arial"/>
                <w:b/>
              </w:rPr>
              <w:t xml:space="preserve">5 – 1 </w:t>
            </w:r>
            <w:r w:rsidR="00EB12DC">
              <w:rPr>
                <w:rFonts w:cs="Arial"/>
                <w:b/>
              </w:rPr>
              <w:t>April</w:t>
            </w:r>
            <w:r w:rsidRPr="00022931">
              <w:rPr>
                <w:rFonts w:cs="Arial"/>
                <w:b/>
              </w:rPr>
              <w:t xml:space="preserve"> 2029 – </w:t>
            </w:r>
            <w:r w:rsidR="00EB12DC">
              <w:rPr>
                <w:rFonts w:cs="Arial"/>
                <w:b/>
              </w:rPr>
              <w:t>31 March</w:t>
            </w:r>
            <w:r w:rsidRPr="00022931">
              <w:rPr>
                <w:rFonts w:cs="Arial"/>
                <w:b/>
              </w:rPr>
              <w:t xml:space="preserve"> 2030</w:t>
            </w:r>
          </w:p>
        </w:tc>
      </w:tr>
      <w:tr w:rsidRPr="00022931" w:rsidR="00B16D04" w:rsidTr="00D802AE" w14:paraId="4346D09A" w14:textId="77777777">
        <w:tc>
          <w:tcPr>
            <w:tcW w:w="4111" w:type="dxa"/>
            <w:shd w:val="clear" w:color="auto" w:fill="F2F2F2" w:themeFill="background1" w:themeFillShade="F2"/>
          </w:tcPr>
          <w:p w:rsidRPr="00022931" w:rsidR="00B16D04" w:rsidP="00B16D04" w:rsidRDefault="00B16D04" w14:paraId="3F735575" w14:textId="5EE550E7">
            <w:pPr>
              <w:pStyle w:val="Body4"/>
              <w:spacing w:before="120" w:after="120" w:line="240" w:lineRule="atLeast"/>
              <w:ind w:left="0"/>
              <w:jc w:val="left"/>
              <w:rPr>
                <w:rFonts w:cs="Arial"/>
              </w:rPr>
            </w:pPr>
            <w:r w:rsidRPr="006B2011">
              <w:rPr>
                <w:rFonts w:cs="Arial"/>
              </w:rPr>
              <w:t>AC</w:t>
            </w:r>
            <w:r w:rsidRPr="007A4444">
              <w:rPr>
                <w:rFonts w:cs="Arial"/>
                <w:vertAlign w:val="superscript"/>
              </w:rPr>
              <w:t>F</w:t>
            </w:r>
            <w:r>
              <w:rPr>
                <w:rFonts w:cs="Arial"/>
                <w:vertAlign w:val="superscript"/>
              </w:rPr>
              <w:t xml:space="preserve"> </w:t>
            </w:r>
            <w:r w:rsidRPr="00022931">
              <w:rPr>
                <w:rFonts w:cs="Arial"/>
              </w:rPr>
              <w:t>SDA</w:t>
            </w:r>
            <w:r>
              <w:rPr>
                <w:rFonts w:cs="Arial"/>
              </w:rPr>
              <w:t xml:space="preserve"> 5</w:t>
            </w:r>
            <w:r w:rsidRPr="00022931">
              <w:rPr>
                <w:rFonts w:cs="Arial"/>
              </w:rPr>
              <w:t xml:space="preserve"> – </w:t>
            </w:r>
            <w:r>
              <w:rPr>
                <w:rFonts w:cs="Arial"/>
              </w:rPr>
              <w:t>Component in GBP for Contract Year for the Firm Price Period not subject to Indexation</w:t>
            </w:r>
          </w:p>
        </w:tc>
        <w:tc>
          <w:tcPr>
            <w:tcW w:w="1559" w:type="dxa"/>
          </w:tcPr>
          <w:p w:rsidRPr="00022931" w:rsidR="00B16D04" w:rsidP="00EA7C4F" w:rsidRDefault="00B16D04" w14:paraId="46A23F4C" w14:textId="77777777">
            <w:pPr>
              <w:pStyle w:val="Body4"/>
              <w:spacing w:before="120" w:after="120" w:line="240" w:lineRule="atLeast"/>
              <w:ind w:left="0"/>
              <w:jc w:val="center"/>
              <w:rPr>
                <w:rFonts w:cs="Arial"/>
              </w:rPr>
            </w:pPr>
            <w:r w:rsidRPr="00022931">
              <w:rPr>
                <w:rFonts w:cs="Arial"/>
              </w:rPr>
              <w:t>[a]</w:t>
            </w:r>
          </w:p>
        </w:tc>
        <w:tc>
          <w:tcPr>
            <w:tcW w:w="851" w:type="dxa"/>
          </w:tcPr>
          <w:p w:rsidRPr="00022931" w:rsidR="00B16D04" w:rsidP="00EA7C4F" w:rsidRDefault="00B16D04" w14:paraId="59631F9F" w14:textId="77777777">
            <w:pPr>
              <w:spacing w:before="120" w:after="120" w:line="240" w:lineRule="atLeast"/>
              <w:jc w:val="center"/>
              <w:rPr>
                <w:rFonts w:cs="Arial"/>
              </w:rPr>
            </w:pPr>
            <w:r w:rsidRPr="00022931">
              <w:rPr>
                <w:rFonts w:cs="Arial"/>
              </w:rPr>
              <w:t>[a]</w:t>
            </w:r>
          </w:p>
        </w:tc>
        <w:tc>
          <w:tcPr>
            <w:tcW w:w="992" w:type="dxa"/>
          </w:tcPr>
          <w:p w:rsidRPr="00022931" w:rsidR="00B16D04" w:rsidP="00EA7C4F" w:rsidRDefault="00B16D04" w14:paraId="4AC10EDF" w14:textId="77777777">
            <w:pPr>
              <w:spacing w:before="120" w:after="120" w:line="240" w:lineRule="atLeast"/>
              <w:jc w:val="center"/>
              <w:rPr>
                <w:rFonts w:cs="Arial"/>
              </w:rPr>
            </w:pPr>
            <w:r w:rsidRPr="00022931">
              <w:rPr>
                <w:rFonts w:cs="Arial"/>
              </w:rPr>
              <w:t>[a]</w:t>
            </w:r>
          </w:p>
        </w:tc>
        <w:tc>
          <w:tcPr>
            <w:tcW w:w="850" w:type="dxa"/>
          </w:tcPr>
          <w:p w:rsidRPr="00022931" w:rsidR="00B16D04" w:rsidP="00EA7C4F" w:rsidRDefault="00B16D04" w14:paraId="6B64615E" w14:textId="77777777">
            <w:pPr>
              <w:pStyle w:val="Body4"/>
              <w:spacing w:before="120" w:after="120" w:line="240" w:lineRule="atLeast"/>
              <w:ind w:left="0"/>
              <w:jc w:val="center"/>
              <w:rPr>
                <w:rFonts w:cs="Arial"/>
              </w:rPr>
            </w:pPr>
            <w:r w:rsidRPr="00022931">
              <w:rPr>
                <w:rFonts w:cs="Arial"/>
              </w:rPr>
              <w:t>[a]</w:t>
            </w:r>
          </w:p>
        </w:tc>
        <w:tc>
          <w:tcPr>
            <w:tcW w:w="1134" w:type="dxa"/>
          </w:tcPr>
          <w:p w:rsidRPr="00022931" w:rsidR="00B16D04" w:rsidP="00EA7C4F" w:rsidRDefault="00B16D04" w14:paraId="04F8439F" w14:textId="77777777">
            <w:pPr>
              <w:pStyle w:val="Body4"/>
              <w:spacing w:before="120" w:after="120" w:line="240" w:lineRule="atLeast"/>
              <w:ind w:left="0"/>
              <w:jc w:val="center"/>
              <w:rPr>
                <w:rFonts w:cs="Arial"/>
              </w:rPr>
            </w:pPr>
            <w:r w:rsidRPr="00022931">
              <w:rPr>
                <w:rFonts w:cs="Arial"/>
              </w:rPr>
              <w:t>[a]</w:t>
            </w:r>
          </w:p>
        </w:tc>
      </w:tr>
      <w:tr w:rsidRPr="00022931" w:rsidR="00B16D04" w:rsidTr="00D802AE" w14:paraId="43B04B68" w14:textId="77777777">
        <w:tc>
          <w:tcPr>
            <w:tcW w:w="4111" w:type="dxa"/>
            <w:shd w:val="clear" w:color="auto" w:fill="F2F2F2" w:themeFill="background1" w:themeFillShade="F2"/>
          </w:tcPr>
          <w:p w:rsidRPr="00D06DCC" w:rsidR="00B16D04" w:rsidP="00B16D04" w:rsidRDefault="00B16D04" w14:paraId="0EBD735F" w14:textId="0A0A9727">
            <w:pPr>
              <w:pStyle w:val="Body4"/>
              <w:spacing w:before="120" w:after="120" w:line="240" w:lineRule="atLeast"/>
              <w:ind w:left="0"/>
              <w:jc w:val="left"/>
              <w:rPr>
                <w:rFonts w:cs="Arial"/>
              </w:rPr>
            </w:pPr>
            <w:proofErr w:type="spellStart"/>
            <w:r w:rsidRPr="000C3FDD">
              <w:rPr>
                <w:rFonts w:cs="Arial"/>
              </w:rPr>
              <w:lastRenderedPageBreak/>
              <w:t>AC</w:t>
            </w:r>
            <w:r w:rsidRPr="000C3FDD">
              <w:rPr>
                <w:rFonts w:cs="Arial"/>
                <w:vertAlign w:val="superscript"/>
              </w:rPr>
              <w:t>Fx</w:t>
            </w:r>
            <w:proofErr w:type="spellEnd"/>
            <w:r w:rsidRPr="000C3FDD">
              <w:rPr>
                <w:rFonts w:cs="Arial"/>
              </w:rPr>
              <w:t xml:space="preserve"> SDA</w:t>
            </w:r>
            <w:r>
              <w:rPr>
                <w:rFonts w:cs="Arial"/>
              </w:rPr>
              <w:t xml:space="preserve"> 5</w:t>
            </w:r>
            <w:r w:rsidRPr="000C3FDD">
              <w:rPr>
                <w:rFonts w:cs="Arial"/>
              </w:rPr>
              <w:t xml:space="preserve"> – </w:t>
            </w:r>
            <w:r>
              <w:rPr>
                <w:rFonts w:cs="Arial"/>
              </w:rPr>
              <w:t xml:space="preserve">Component in GBP for Contract Year x for </w:t>
            </w:r>
            <w:r w:rsidRPr="000C3FDD">
              <w:rPr>
                <w:rFonts w:cs="Arial"/>
              </w:rPr>
              <w:t xml:space="preserve">Fixed Price </w:t>
            </w:r>
            <w:r>
              <w:rPr>
                <w:rFonts w:cs="Arial"/>
              </w:rPr>
              <w:t xml:space="preserve">Period </w:t>
            </w:r>
            <w:r w:rsidRPr="000C3FDD">
              <w:rPr>
                <w:rFonts w:cs="Arial"/>
              </w:rPr>
              <w:t>not subject to Indexation</w:t>
            </w:r>
          </w:p>
        </w:tc>
        <w:tc>
          <w:tcPr>
            <w:tcW w:w="1559" w:type="dxa"/>
          </w:tcPr>
          <w:p w:rsidRPr="00022931" w:rsidR="00B16D04" w:rsidP="00EA7C4F" w:rsidRDefault="00B16D04" w14:paraId="14FFCBAC" w14:textId="77777777">
            <w:pPr>
              <w:pStyle w:val="Body4"/>
              <w:spacing w:before="120" w:after="120" w:line="240" w:lineRule="atLeast"/>
              <w:ind w:left="0"/>
              <w:jc w:val="center"/>
              <w:rPr>
                <w:rFonts w:cs="Arial"/>
              </w:rPr>
            </w:pPr>
            <w:r w:rsidRPr="00022931">
              <w:rPr>
                <w:rFonts w:cs="Arial"/>
              </w:rPr>
              <w:t>[a]</w:t>
            </w:r>
          </w:p>
        </w:tc>
        <w:tc>
          <w:tcPr>
            <w:tcW w:w="851" w:type="dxa"/>
          </w:tcPr>
          <w:p w:rsidRPr="00022931" w:rsidR="00B16D04" w:rsidP="00EA7C4F" w:rsidRDefault="00B16D04" w14:paraId="343535E4" w14:textId="77777777">
            <w:pPr>
              <w:spacing w:before="120" w:after="120" w:line="240" w:lineRule="atLeast"/>
              <w:jc w:val="center"/>
              <w:rPr>
                <w:rFonts w:cs="Arial"/>
              </w:rPr>
            </w:pPr>
            <w:r w:rsidRPr="00022931">
              <w:rPr>
                <w:rFonts w:cs="Arial"/>
              </w:rPr>
              <w:t>[a]</w:t>
            </w:r>
          </w:p>
        </w:tc>
        <w:tc>
          <w:tcPr>
            <w:tcW w:w="992" w:type="dxa"/>
          </w:tcPr>
          <w:p w:rsidRPr="00022931" w:rsidR="00B16D04" w:rsidP="00EA7C4F" w:rsidRDefault="00B16D04" w14:paraId="78612C57" w14:textId="77777777">
            <w:pPr>
              <w:spacing w:before="120" w:after="120" w:line="240" w:lineRule="atLeast"/>
              <w:jc w:val="center"/>
              <w:rPr>
                <w:rFonts w:cs="Arial"/>
              </w:rPr>
            </w:pPr>
            <w:r w:rsidRPr="00022931">
              <w:rPr>
                <w:rFonts w:cs="Arial"/>
              </w:rPr>
              <w:t>[a]</w:t>
            </w:r>
          </w:p>
        </w:tc>
        <w:tc>
          <w:tcPr>
            <w:tcW w:w="850" w:type="dxa"/>
          </w:tcPr>
          <w:p w:rsidRPr="00022931" w:rsidR="00B16D04" w:rsidP="00EA7C4F" w:rsidRDefault="00B16D04" w14:paraId="42EEEE81" w14:textId="77777777">
            <w:pPr>
              <w:pStyle w:val="Body4"/>
              <w:spacing w:before="120" w:after="120" w:line="240" w:lineRule="atLeast"/>
              <w:ind w:left="0"/>
              <w:jc w:val="center"/>
              <w:rPr>
                <w:rFonts w:cs="Arial"/>
              </w:rPr>
            </w:pPr>
            <w:r w:rsidRPr="00022931">
              <w:rPr>
                <w:rFonts w:cs="Arial"/>
              </w:rPr>
              <w:t>[a]</w:t>
            </w:r>
          </w:p>
        </w:tc>
        <w:tc>
          <w:tcPr>
            <w:tcW w:w="1134" w:type="dxa"/>
          </w:tcPr>
          <w:p w:rsidRPr="00022931" w:rsidR="00B16D04" w:rsidP="00EA7C4F" w:rsidRDefault="00B16D04" w14:paraId="6340B017" w14:textId="77777777">
            <w:pPr>
              <w:pStyle w:val="Body4"/>
              <w:spacing w:before="120" w:after="120" w:line="240" w:lineRule="atLeast"/>
              <w:ind w:left="0"/>
              <w:jc w:val="center"/>
              <w:rPr>
                <w:rFonts w:cs="Arial"/>
              </w:rPr>
            </w:pPr>
            <w:r w:rsidRPr="00022931">
              <w:rPr>
                <w:rFonts w:cs="Arial"/>
              </w:rPr>
              <w:t>[a]</w:t>
            </w:r>
          </w:p>
        </w:tc>
      </w:tr>
      <w:tr w:rsidRPr="00022931" w:rsidR="00B16D04" w:rsidTr="00D802AE" w14:paraId="6DB2FB2C" w14:textId="77777777">
        <w:tc>
          <w:tcPr>
            <w:tcW w:w="4111" w:type="dxa"/>
            <w:shd w:val="clear" w:color="auto" w:fill="F2F2F2" w:themeFill="background1" w:themeFillShade="F2"/>
          </w:tcPr>
          <w:p w:rsidRPr="00D06DCC" w:rsidR="00B16D04" w:rsidP="00B16D04" w:rsidRDefault="00B16D04" w14:paraId="5D49A195" w14:textId="4B9B78DB">
            <w:pPr>
              <w:pStyle w:val="Body4"/>
              <w:spacing w:before="120" w:after="120" w:line="240" w:lineRule="atLeast"/>
              <w:ind w:left="0"/>
              <w:jc w:val="left"/>
              <w:rPr>
                <w:rFonts w:cs="Arial"/>
              </w:rPr>
            </w:pPr>
            <w:proofErr w:type="spellStart"/>
            <w:r w:rsidRPr="000C3FDD">
              <w:rPr>
                <w:rFonts w:cs="Arial"/>
              </w:rPr>
              <w:t>AC</w:t>
            </w:r>
            <w:r w:rsidRPr="000C3FDD">
              <w:rPr>
                <w:rFonts w:cs="Arial"/>
                <w:vertAlign w:val="superscript"/>
              </w:rPr>
              <w:t>Fi</w:t>
            </w:r>
            <w:proofErr w:type="spellEnd"/>
            <w:r w:rsidRPr="000C3FDD">
              <w:rPr>
                <w:rFonts w:cs="Arial"/>
              </w:rPr>
              <w:t xml:space="preserve"> SDA</w:t>
            </w:r>
            <w:r>
              <w:rPr>
                <w:rFonts w:cs="Arial"/>
              </w:rPr>
              <w:t xml:space="preserve"> 5</w:t>
            </w:r>
            <w:r w:rsidRPr="000C3FDD">
              <w:rPr>
                <w:rFonts w:cs="Arial"/>
              </w:rPr>
              <w:t xml:space="preserve"> – Fixed Price Component subject to Indexation</w:t>
            </w:r>
          </w:p>
        </w:tc>
        <w:tc>
          <w:tcPr>
            <w:tcW w:w="1559" w:type="dxa"/>
          </w:tcPr>
          <w:p w:rsidRPr="00022931" w:rsidR="00B16D04" w:rsidP="00EA7C4F" w:rsidRDefault="00B16D04" w14:paraId="6CC8B1EF" w14:textId="77777777">
            <w:pPr>
              <w:pStyle w:val="Body4"/>
              <w:spacing w:before="120" w:after="120" w:line="240" w:lineRule="atLeast"/>
              <w:ind w:left="0"/>
              <w:jc w:val="center"/>
              <w:rPr>
                <w:rFonts w:cs="Arial"/>
              </w:rPr>
            </w:pPr>
            <w:r w:rsidRPr="00022931">
              <w:rPr>
                <w:rFonts w:cs="Arial"/>
              </w:rPr>
              <w:t>[a]</w:t>
            </w:r>
          </w:p>
        </w:tc>
        <w:tc>
          <w:tcPr>
            <w:tcW w:w="851" w:type="dxa"/>
          </w:tcPr>
          <w:p w:rsidRPr="00022931" w:rsidR="00B16D04" w:rsidP="00EA7C4F" w:rsidRDefault="00B16D04" w14:paraId="6A5F11BC" w14:textId="77777777">
            <w:pPr>
              <w:spacing w:before="120" w:after="120" w:line="240" w:lineRule="atLeast"/>
              <w:jc w:val="center"/>
              <w:rPr>
                <w:rFonts w:cs="Arial"/>
              </w:rPr>
            </w:pPr>
            <w:r w:rsidRPr="00022931">
              <w:rPr>
                <w:rFonts w:cs="Arial"/>
              </w:rPr>
              <w:t>[a]</w:t>
            </w:r>
          </w:p>
        </w:tc>
        <w:tc>
          <w:tcPr>
            <w:tcW w:w="992" w:type="dxa"/>
          </w:tcPr>
          <w:p w:rsidRPr="00022931" w:rsidR="00B16D04" w:rsidP="00EA7C4F" w:rsidRDefault="00B16D04" w14:paraId="5C38597F" w14:textId="77777777">
            <w:pPr>
              <w:spacing w:before="120" w:after="120" w:line="240" w:lineRule="atLeast"/>
              <w:jc w:val="center"/>
              <w:rPr>
                <w:rFonts w:cs="Arial"/>
              </w:rPr>
            </w:pPr>
            <w:r w:rsidRPr="00022931">
              <w:rPr>
                <w:rFonts w:cs="Arial"/>
              </w:rPr>
              <w:t>[a]</w:t>
            </w:r>
          </w:p>
        </w:tc>
        <w:tc>
          <w:tcPr>
            <w:tcW w:w="850" w:type="dxa"/>
          </w:tcPr>
          <w:p w:rsidRPr="00022931" w:rsidR="00B16D04" w:rsidP="00EA7C4F" w:rsidRDefault="00B16D04" w14:paraId="78CE552B" w14:textId="77777777">
            <w:pPr>
              <w:pStyle w:val="Body4"/>
              <w:spacing w:before="120" w:after="120" w:line="240" w:lineRule="atLeast"/>
              <w:ind w:left="0"/>
              <w:jc w:val="center"/>
              <w:rPr>
                <w:rFonts w:cs="Arial"/>
              </w:rPr>
            </w:pPr>
            <w:r w:rsidRPr="00022931">
              <w:rPr>
                <w:rFonts w:cs="Arial"/>
              </w:rPr>
              <w:t>[a]</w:t>
            </w:r>
          </w:p>
        </w:tc>
        <w:tc>
          <w:tcPr>
            <w:tcW w:w="1134" w:type="dxa"/>
          </w:tcPr>
          <w:p w:rsidRPr="00022931" w:rsidR="00B16D04" w:rsidP="00EA7C4F" w:rsidRDefault="00B16D04" w14:paraId="1EA65260" w14:textId="77777777">
            <w:pPr>
              <w:pStyle w:val="Body4"/>
              <w:spacing w:before="120" w:after="120" w:line="240" w:lineRule="atLeast"/>
              <w:ind w:left="0"/>
              <w:jc w:val="center"/>
              <w:rPr>
                <w:rFonts w:cs="Arial"/>
              </w:rPr>
            </w:pPr>
            <w:r w:rsidRPr="00022931">
              <w:rPr>
                <w:rFonts w:cs="Arial"/>
              </w:rPr>
              <w:t>[a]</w:t>
            </w:r>
          </w:p>
        </w:tc>
      </w:tr>
    </w:tbl>
    <w:p w:rsidRPr="00D06DCC" w:rsidR="00B16D04" w:rsidP="00EA7C4F" w:rsidRDefault="00B16D04" w14:paraId="550CDC7B" w14:textId="77777777">
      <w:pPr>
        <w:pStyle w:val="Body3"/>
        <w:ind w:left="0"/>
        <w:jc w:val="center"/>
        <w:rPr>
          <w:rFonts w:cs="Arial"/>
          <w:b/>
        </w:rPr>
      </w:pPr>
    </w:p>
    <w:p w:rsidRPr="00023175" w:rsidR="004E7441" w:rsidP="00D802AE" w:rsidRDefault="005C736E" w14:paraId="2B547269" w14:textId="641B9A73">
      <w:pPr>
        <w:pStyle w:val="Body3"/>
        <w:ind w:left="0"/>
        <w:jc w:val="left"/>
        <w:rPr>
          <w:rFonts w:cs="Arial"/>
          <w:b/>
        </w:rPr>
      </w:pPr>
      <w:r>
        <w:rPr>
          <w:rFonts w:cs="Arial"/>
          <w:b/>
        </w:rPr>
        <w:t>SDA7</w:t>
      </w:r>
      <w:r w:rsidR="00A8080C">
        <w:rPr>
          <w:rFonts w:cs="Arial"/>
          <w:b/>
        </w:rPr>
        <w:t xml:space="preserve"> COMPONENT</w:t>
      </w:r>
      <w:r>
        <w:rPr>
          <w:rFonts w:cs="Arial"/>
          <w:b/>
        </w:rPr>
        <w:t xml:space="preserve"> AC PRICING TABLE</w:t>
      </w:r>
      <w:r w:rsidR="00A8080C">
        <w:rPr>
          <w:rFonts w:cs="Arial"/>
          <w:b/>
        </w:rPr>
        <w:t>S</w:t>
      </w:r>
    </w:p>
    <w:p w:rsidRPr="005B667F" w:rsidR="004E7441" w:rsidP="004E7441" w:rsidRDefault="006B2011" w14:paraId="1C47354F" w14:textId="1EB116B9">
      <w:pPr>
        <w:pStyle w:val="Body3"/>
        <w:ind w:left="0"/>
        <w:rPr>
          <w:rFonts w:cs="Arial"/>
          <w:b/>
        </w:rPr>
      </w:pPr>
      <w:r>
        <w:rPr>
          <w:rFonts w:cs="Arial"/>
          <w:b/>
        </w:rPr>
        <w:t xml:space="preserve">Table </w:t>
      </w:r>
      <w:r w:rsidR="00B16D04">
        <w:rPr>
          <w:rFonts w:cs="Arial"/>
          <w:b/>
        </w:rPr>
        <w:t xml:space="preserve">3 </w:t>
      </w:r>
      <w:r>
        <w:rPr>
          <w:rFonts w:cs="Arial"/>
          <w:b/>
        </w:rPr>
        <w:t xml:space="preserve">- </w:t>
      </w:r>
      <w:r w:rsidRPr="005B667F" w:rsidR="004E7441">
        <w:rPr>
          <w:rFonts w:cs="Arial"/>
          <w:b/>
        </w:rPr>
        <w:t xml:space="preserve">Pricing Table for </w:t>
      </w:r>
      <w:r w:rsidRPr="007A4444">
        <w:rPr>
          <w:rFonts w:cs="Arial"/>
          <w:b/>
        </w:rPr>
        <w:t>AC</w:t>
      </w:r>
      <w:r w:rsidRPr="007A4444">
        <w:rPr>
          <w:rFonts w:cs="Arial"/>
          <w:b/>
          <w:vertAlign w:val="superscript"/>
        </w:rPr>
        <w:t>F</w:t>
      </w:r>
      <w:r w:rsidRPr="005B667F">
        <w:rPr>
          <w:rFonts w:cs="Arial"/>
          <w:b/>
        </w:rPr>
        <w:t xml:space="preserve"> </w:t>
      </w:r>
      <w:r w:rsidRPr="005B667F" w:rsidR="004E7441">
        <w:rPr>
          <w:rFonts w:cs="Arial"/>
          <w:b/>
        </w:rPr>
        <w:t>SDA7</w:t>
      </w:r>
      <w:r w:rsidR="00A8080C">
        <w:rPr>
          <w:rFonts w:cs="Arial"/>
          <w:b/>
        </w:rPr>
        <w:t xml:space="preserve"> </w:t>
      </w:r>
      <w:r>
        <w:rPr>
          <w:rFonts w:cs="Arial"/>
          <w:b/>
        </w:rPr>
        <w:t>–</w:t>
      </w:r>
      <w:r w:rsidR="00A8080C">
        <w:rPr>
          <w:rFonts w:cs="Arial"/>
          <w:b/>
        </w:rPr>
        <w:t xml:space="preserve"> </w:t>
      </w:r>
      <w:r>
        <w:rPr>
          <w:rFonts w:cs="Arial"/>
          <w:b/>
        </w:rPr>
        <w:t>Firm Price Component not subject to Indexation</w:t>
      </w:r>
    </w:p>
    <w:tbl>
      <w:tblPr>
        <w:tblStyle w:val="TableGrid"/>
        <w:tblW w:w="9497" w:type="dxa"/>
        <w:tblInd w:w="-5" w:type="dxa"/>
        <w:tblLayout w:type="fixed"/>
        <w:tblLook w:val="04A0" w:firstRow="1" w:lastRow="0" w:firstColumn="1" w:lastColumn="0" w:noHBand="0" w:noVBand="1"/>
      </w:tblPr>
      <w:tblGrid>
        <w:gridCol w:w="1701"/>
        <w:gridCol w:w="2410"/>
        <w:gridCol w:w="1559"/>
        <w:gridCol w:w="992"/>
        <w:gridCol w:w="851"/>
        <w:gridCol w:w="850"/>
        <w:gridCol w:w="1134"/>
      </w:tblGrid>
      <w:tr w:rsidRPr="00022931" w:rsidR="004E7441" w:rsidTr="00D802AE" w14:paraId="36D57FB8" w14:textId="77777777">
        <w:tc>
          <w:tcPr>
            <w:tcW w:w="1701" w:type="dxa"/>
            <w:shd w:val="clear" w:color="auto" w:fill="F2F2F2" w:themeFill="background1" w:themeFillShade="F2"/>
          </w:tcPr>
          <w:p w:rsidRPr="00022931" w:rsidR="004E7441" w:rsidP="00CF4582" w:rsidRDefault="004E7441" w14:paraId="72D4D8A9" w14:textId="77777777">
            <w:pPr>
              <w:pStyle w:val="Body4"/>
              <w:spacing w:before="120" w:after="120" w:line="240" w:lineRule="atLeast"/>
              <w:ind w:left="0"/>
              <w:jc w:val="left"/>
              <w:rPr>
                <w:rFonts w:cs="Arial"/>
                <w:b/>
              </w:rPr>
            </w:pPr>
            <w:r w:rsidRPr="00022931">
              <w:rPr>
                <w:rFonts w:cs="Arial"/>
                <w:b/>
              </w:rPr>
              <w:t>Pricing Band</w:t>
            </w:r>
          </w:p>
        </w:tc>
        <w:tc>
          <w:tcPr>
            <w:tcW w:w="2410" w:type="dxa"/>
            <w:shd w:val="clear" w:color="auto" w:fill="F2F2F2" w:themeFill="background1" w:themeFillShade="F2"/>
          </w:tcPr>
          <w:p w:rsidRPr="00022931" w:rsidR="004E7441" w:rsidP="00CF4582" w:rsidRDefault="004E7441" w14:paraId="6A88B7BD" w14:textId="77777777">
            <w:pPr>
              <w:pStyle w:val="Default"/>
              <w:spacing w:before="120" w:after="120" w:line="240" w:lineRule="atLeast"/>
              <w:rPr>
                <w:rFonts w:ascii="Arial" w:hAnsi="Arial" w:cs="Arial"/>
                <w:sz w:val="20"/>
                <w:szCs w:val="20"/>
              </w:rPr>
            </w:pPr>
            <w:r w:rsidRPr="00022931">
              <w:rPr>
                <w:rFonts w:ascii="Arial" w:hAnsi="Arial" w:cs="Arial"/>
                <w:b/>
                <w:bCs/>
                <w:sz w:val="20"/>
                <w:szCs w:val="20"/>
              </w:rPr>
              <w:t>Service component</w:t>
            </w:r>
          </w:p>
        </w:tc>
        <w:tc>
          <w:tcPr>
            <w:tcW w:w="5386" w:type="dxa"/>
            <w:gridSpan w:val="5"/>
            <w:shd w:val="clear" w:color="auto" w:fill="F2F2F2" w:themeFill="background1" w:themeFillShade="F2"/>
          </w:tcPr>
          <w:p w:rsidRPr="00022931" w:rsidR="004E7441" w:rsidP="00CF4582" w:rsidRDefault="00245FA6" w14:paraId="19FDC0AD" w14:textId="74CE64F6">
            <w:pPr>
              <w:pStyle w:val="Default"/>
              <w:spacing w:before="120" w:after="120" w:line="240" w:lineRule="atLeast"/>
              <w:jc w:val="center"/>
              <w:rPr>
                <w:rFonts w:ascii="Arial" w:hAnsi="Arial" w:cs="Arial"/>
                <w:sz w:val="20"/>
                <w:szCs w:val="20"/>
              </w:rPr>
            </w:pPr>
            <w:r w:rsidRPr="00022931">
              <w:rPr>
                <w:rFonts w:ascii="Arial" w:hAnsi="Arial" w:cs="Arial"/>
                <w:b/>
                <w:sz w:val="20"/>
                <w:szCs w:val="20"/>
              </w:rPr>
              <w:t>Contract Year</w:t>
            </w:r>
            <w:r w:rsidRPr="005B667F" w:rsidR="009B6FDB">
              <w:rPr>
                <w:rFonts w:ascii="Arial" w:hAnsi="Arial" w:cs="Arial"/>
              </w:rPr>
              <w:t xml:space="preserve"> </w:t>
            </w:r>
          </w:p>
        </w:tc>
      </w:tr>
      <w:tr w:rsidRPr="00022931" w:rsidR="008C6C49" w:rsidTr="00D802AE" w14:paraId="5D697DEA" w14:textId="77777777">
        <w:tc>
          <w:tcPr>
            <w:tcW w:w="1701" w:type="dxa"/>
            <w:shd w:val="clear" w:color="auto" w:fill="F2F2F2" w:themeFill="background1" w:themeFillShade="F2"/>
          </w:tcPr>
          <w:p w:rsidRPr="00022931" w:rsidR="008C6C49" w:rsidP="008C6C49" w:rsidRDefault="008C6C49" w14:paraId="37918BA3" w14:textId="77777777">
            <w:pPr>
              <w:pStyle w:val="Body4"/>
              <w:spacing w:before="120" w:after="120" w:line="240" w:lineRule="atLeast"/>
              <w:ind w:left="0"/>
              <w:jc w:val="left"/>
              <w:rPr>
                <w:rFonts w:cs="Arial"/>
              </w:rPr>
            </w:pPr>
          </w:p>
        </w:tc>
        <w:tc>
          <w:tcPr>
            <w:tcW w:w="2410" w:type="dxa"/>
            <w:shd w:val="clear" w:color="auto" w:fill="F2F2F2" w:themeFill="background1" w:themeFillShade="F2"/>
          </w:tcPr>
          <w:p w:rsidRPr="00022931" w:rsidR="008C6C49" w:rsidP="008C6C49" w:rsidRDefault="008C6C49" w14:paraId="65A6C53A" w14:textId="77777777">
            <w:pPr>
              <w:pStyle w:val="Body4"/>
              <w:spacing w:before="120" w:after="120" w:line="240" w:lineRule="atLeast"/>
              <w:ind w:left="0"/>
              <w:rPr>
                <w:rFonts w:cs="Arial"/>
              </w:rPr>
            </w:pPr>
          </w:p>
        </w:tc>
        <w:tc>
          <w:tcPr>
            <w:tcW w:w="1559" w:type="dxa"/>
            <w:shd w:val="clear" w:color="auto" w:fill="F2F2F2" w:themeFill="background1" w:themeFillShade="F2"/>
          </w:tcPr>
          <w:p w:rsidRPr="00022931" w:rsidR="008C6C49" w:rsidP="008C6C49" w:rsidRDefault="008C6C49" w14:paraId="49E93A2E" w14:textId="366BB200">
            <w:pPr>
              <w:pStyle w:val="Body4"/>
              <w:spacing w:before="120" w:after="120" w:line="240" w:lineRule="atLeast"/>
              <w:ind w:left="0"/>
              <w:jc w:val="center"/>
              <w:rPr>
                <w:rFonts w:cs="Arial"/>
                <w:b/>
              </w:rPr>
            </w:pPr>
            <w:r w:rsidRPr="00022931">
              <w:rPr>
                <w:rFonts w:cs="Arial"/>
                <w:b/>
              </w:rPr>
              <w:t xml:space="preserve">1 – 1 </w:t>
            </w:r>
            <w:r w:rsidR="00EB12DC">
              <w:rPr>
                <w:rFonts w:cs="Arial"/>
                <w:b/>
              </w:rPr>
              <w:t>April</w:t>
            </w:r>
            <w:r w:rsidRPr="00022931">
              <w:rPr>
                <w:rFonts w:cs="Arial"/>
                <w:b/>
              </w:rPr>
              <w:t xml:space="preserve"> 2025 – </w:t>
            </w:r>
            <w:r w:rsidR="00EB12DC">
              <w:rPr>
                <w:rFonts w:cs="Arial"/>
                <w:b/>
              </w:rPr>
              <w:t>31 March</w:t>
            </w:r>
            <w:r w:rsidRPr="00022931">
              <w:rPr>
                <w:rFonts w:cs="Arial"/>
                <w:b/>
              </w:rPr>
              <w:t xml:space="preserve"> 2026</w:t>
            </w:r>
          </w:p>
        </w:tc>
        <w:tc>
          <w:tcPr>
            <w:tcW w:w="992" w:type="dxa"/>
            <w:shd w:val="clear" w:color="auto" w:fill="F2F2F2" w:themeFill="background1" w:themeFillShade="F2"/>
          </w:tcPr>
          <w:p w:rsidRPr="00022931" w:rsidR="008C6C49" w:rsidP="008C6C49" w:rsidRDefault="008C6C49" w14:paraId="1369D712" w14:textId="6259FD06">
            <w:pPr>
              <w:pStyle w:val="Body4"/>
              <w:spacing w:before="120" w:after="120" w:line="240" w:lineRule="atLeast"/>
              <w:ind w:left="0"/>
              <w:jc w:val="center"/>
              <w:rPr>
                <w:rFonts w:cs="Arial"/>
                <w:b/>
              </w:rPr>
            </w:pPr>
            <w:r w:rsidRPr="00022931">
              <w:rPr>
                <w:rFonts w:cs="Arial"/>
                <w:b/>
              </w:rPr>
              <w:t xml:space="preserve">2 – 1 </w:t>
            </w:r>
            <w:r w:rsidR="00EB12DC">
              <w:rPr>
                <w:rFonts w:cs="Arial"/>
                <w:b/>
              </w:rPr>
              <w:t>April</w:t>
            </w:r>
            <w:r w:rsidRPr="00022931">
              <w:rPr>
                <w:rFonts w:cs="Arial"/>
                <w:b/>
              </w:rPr>
              <w:t xml:space="preserve"> 2026 – </w:t>
            </w:r>
            <w:r w:rsidR="00EB12DC">
              <w:rPr>
                <w:rFonts w:cs="Arial"/>
                <w:b/>
              </w:rPr>
              <w:t>31 March</w:t>
            </w:r>
            <w:r w:rsidRPr="00022931">
              <w:rPr>
                <w:rFonts w:cs="Arial"/>
                <w:b/>
              </w:rPr>
              <w:t xml:space="preserve"> 2027</w:t>
            </w:r>
          </w:p>
        </w:tc>
        <w:tc>
          <w:tcPr>
            <w:tcW w:w="851" w:type="dxa"/>
            <w:shd w:val="clear" w:color="auto" w:fill="F2F2F2" w:themeFill="background1" w:themeFillShade="F2"/>
          </w:tcPr>
          <w:p w:rsidRPr="00022931" w:rsidR="008C6C49" w:rsidP="008C6C49" w:rsidRDefault="008C6C49" w14:paraId="5E6C97A4" w14:textId="6A01DCAD">
            <w:pPr>
              <w:pStyle w:val="Body4"/>
              <w:spacing w:before="120" w:after="120" w:line="240" w:lineRule="atLeast"/>
              <w:ind w:left="0"/>
              <w:jc w:val="center"/>
              <w:rPr>
                <w:rFonts w:cs="Arial"/>
                <w:b/>
              </w:rPr>
            </w:pPr>
            <w:r w:rsidRPr="00022931">
              <w:rPr>
                <w:rFonts w:cs="Arial"/>
                <w:b/>
              </w:rPr>
              <w:t xml:space="preserve">3 – 1 </w:t>
            </w:r>
            <w:r w:rsidR="00EB12DC">
              <w:rPr>
                <w:rFonts w:cs="Arial"/>
                <w:b/>
              </w:rPr>
              <w:t>April</w:t>
            </w:r>
            <w:r w:rsidRPr="00022931">
              <w:rPr>
                <w:rFonts w:cs="Arial"/>
                <w:b/>
              </w:rPr>
              <w:t xml:space="preserve"> 2027 – </w:t>
            </w:r>
            <w:r w:rsidR="00EB12DC">
              <w:rPr>
                <w:rFonts w:cs="Arial"/>
                <w:b/>
              </w:rPr>
              <w:t>31 March</w:t>
            </w:r>
            <w:r w:rsidRPr="00022931">
              <w:rPr>
                <w:rFonts w:cs="Arial"/>
                <w:b/>
              </w:rPr>
              <w:t xml:space="preserve"> 2028</w:t>
            </w:r>
          </w:p>
        </w:tc>
        <w:tc>
          <w:tcPr>
            <w:tcW w:w="850" w:type="dxa"/>
            <w:shd w:val="clear" w:color="auto" w:fill="F2F2F2" w:themeFill="background1" w:themeFillShade="F2"/>
          </w:tcPr>
          <w:p w:rsidRPr="00022931" w:rsidR="008C6C49" w:rsidP="008C6C49" w:rsidRDefault="008C6C49" w14:paraId="07026113" w14:textId="7E177B55">
            <w:pPr>
              <w:pStyle w:val="Body4"/>
              <w:spacing w:before="120" w:after="120" w:line="240" w:lineRule="atLeast"/>
              <w:ind w:left="0"/>
              <w:jc w:val="center"/>
              <w:rPr>
                <w:rFonts w:cs="Arial"/>
                <w:b/>
              </w:rPr>
            </w:pPr>
            <w:r w:rsidRPr="00022931">
              <w:rPr>
                <w:rFonts w:cs="Arial"/>
                <w:b/>
              </w:rPr>
              <w:t xml:space="preserve">4 – 1 </w:t>
            </w:r>
            <w:r w:rsidR="00EB12DC">
              <w:rPr>
                <w:rFonts w:cs="Arial"/>
                <w:b/>
              </w:rPr>
              <w:t>April</w:t>
            </w:r>
            <w:r w:rsidRPr="00022931">
              <w:rPr>
                <w:rFonts w:cs="Arial"/>
                <w:b/>
              </w:rPr>
              <w:t xml:space="preserve"> 2028 – </w:t>
            </w:r>
            <w:r w:rsidR="00EB12DC">
              <w:rPr>
                <w:rFonts w:cs="Arial"/>
                <w:b/>
              </w:rPr>
              <w:t>31 March</w:t>
            </w:r>
            <w:r w:rsidRPr="00022931">
              <w:rPr>
                <w:rFonts w:cs="Arial"/>
                <w:b/>
              </w:rPr>
              <w:t xml:space="preserve"> 2029</w:t>
            </w:r>
          </w:p>
        </w:tc>
        <w:tc>
          <w:tcPr>
            <w:tcW w:w="1134" w:type="dxa"/>
            <w:shd w:val="clear" w:color="auto" w:fill="F2F2F2" w:themeFill="background1" w:themeFillShade="F2"/>
          </w:tcPr>
          <w:p w:rsidRPr="00022931" w:rsidR="008C6C49" w:rsidP="008C6C49" w:rsidRDefault="008C6C49" w14:paraId="0152B800" w14:textId="5E68EDF6">
            <w:pPr>
              <w:pStyle w:val="Body4"/>
              <w:spacing w:before="120" w:after="120" w:line="240" w:lineRule="atLeast"/>
              <w:ind w:left="0"/>
              <w:jc w:val="center"/>
              <w:rPr>
                <w:rFonts w:cs="Arial"/>
                <w:b/>
              </w:rPr>
            </w:pPr>
            <w:r w:rsidRPr="00022931">
              <w:rPr>
                <w:rFonts w:cs="Arial"/>
                <w:b/>
              </w:rPr>
              <w:t xml:space="preserve">5 – 1 </w:t>
            </w:r>
            <w:r w:rsidR="00EB12DC">
              <w:rPr>
                <w:rFonts w:cs="Arial"/>
                <w:b/>
              </w:rPr>
              <w:t>April</w:t>
            </w:r>
            <w:r w:rsidRPr="00022931">
              <w:rPr>
                <w:rFonts w:cs="Arial"/>
                <w:b/>
              </w:rPr>
              <w:t xml:space="preserve"> 2029 – </w:t>
            </w:r>
            <w:r w:rsidR="00EB12DC">
              <w:rPr>
                <w:rFonts w:cs="Arial"/>
                <w:b/>
              </w:rPr>
              <w:t>31 March</w:t>
            </w:r>
            <w:r w:rsidRPr="00022931">
              <w:rPr>
                <w:rFonts w:cs="Arial"/>
                <w:b/>
              </w:rPr>
              <w:t xml:space="preserve"> 2030</w:t>
            </w:r>
          </w:p>
        </w:tc>
      </w:tr>
      <w:tr w:rsidRPr="00022931" w:rsidR="004E7441" w:rsidTr="00D802AE" w14:paraId="68A2663F" w14:textId="77777777">
        <w:tc>
          <w:tcPr>
            <w:tcW w:w="1701" w:type="dxa"/>
            <w:shd w:val="clear" w:color="auto" w:fill="F2F2F2" w:themeFill="background1" w:themeFillShade="F2"/>
          </w:tcPr>
          <w:p w:rsidRPr="00022931" w:rsidR="004E7441" w:rsidP="00CF4582" w:rsidRDefault="006B2011" w14:paraId="10CD59BB" w14:textId="4E3EFFAB">
            <w:pPr>
              <w:pStyle w:val="Body4"/>
              <w:spacing w:before="120" w:after="120" w:line="240" w:lineRule="atLeast"/>
              <w:ind w:left="0"/>
              <w:jc w:val="left"/>
              <w:rPr>
                <w:rFonts w:cs="Arial"/>
              </w:rPr>
            </w:pPr>
            <w:r w:rsidRPr="006B2011">
              <w:rPr>
                <w:rFonts w:cs="Arial"/>
              </w:rPr>
              <w:t>AC</w:t>
            </w:r>
            <w:r w:rsidRPr="000C3FDD">
              <w:rPr>
                <w:rFonts w:cs="Arial"/>
                <w:vertAlign w:val="superscript"/>
              </w:rPr>
              <w:t>F</w:t>
            </w:r>
            <w:r w:rsidRPr="00022931">
              <w:rPr>
                <w:rFonts w:cs="Arial"/>
              </w:rPr>
              <w:t xml:space="preserve"> </w:t>
            </w:r>
            <w:r w:rsidRPr="00022931" w:rsidR="004E7441">
              <w:rPr>
                <w:rFonts w:cs="Arial"/>
              </w:rPr>
              <w:t>SDA7 – Pricing Band 1</w:t>
            </w:r>
          </w:p>
        </w:tc>
        <w:tc>
          <w:tcPr>
            <w:tcW w:w="2410" w:type="dxa"/>
            <w:shd w:val="clear" w:color="auto" w:fill="F2F2F2" w:themeFill="background1" w:themeFillShade="F2"/>
          </w:tcPr>
          <w:p w:rsidRPr="00022931" w:rsidR="004E7441" w:rsidP="00A91A72" w:rsidRDefault="004E7441" w14:paraId="30F8059B" w14:textId="2165D31B">
            <w:pPr>
              <w:pStyle w:val="Default"/>
              <w:spacing w:before="120" w:after="120" w:line="240" w:lineRule="atLeast"/>
              <w:jc w:val="left"/>
              <w:rPr>
                <w:rFonts w:ascii="Arial" w:hAnsi="Arial" w:cs="Arial"/>
                <w:sz w:val="20"/>
                <w:szCs w:val="20"/>
              </w:rPr>
            </w:pPr>
            <w:r w:rsidRPr="00022931">
              <w:rPr>
                <w:rFonts w:ascii="Arial" w:hAnsi="Arial" w:cs="Arial"/>
                <w:sz w:val="20"/>
                <w:szCs w:val="20"/>
              </w:rPr>
              <w:t>If Forecast / Actual Volume</w:t>
            </w:r>
            <w:r w:rsidR="00CB6FDB">
              <w:rPr>
                <w:rFonts w:ascii="Arial" w:hAnsi="Arial" w:cs="Arial"/>
                <w:sz w:val="20"/>
                <w:szCs w:val="20"/>
              </w:rPr>
              <w:t xml:space="preserve"> is greater than the Baseline volume plus 5% </w:t>
            </w:r>
            <w:r w:rsidR="0037092A">
              <w:rPr>
                <w:rFonts w:ascii="Arial" w:hAnsi="Arial" w:cs="Arial"/>
                <w:sz w:val="20"/>
                <w:szCs w:val="20"/>
              </w:rPr>
              <w:t>but less than or equal to</w:t>
            </w:r>
            <w:r w:rsidR="00CB6FDB">
              <w:rPr>
                <w:rFonts w:ascii="Arial" w:hAnsi="Arial" w:cs="Arial"/>
                <w:sz w:val="20"/>
                <w:szCs w:val="20"/>
              </w:rPr>
              <w:t xml:space="preserve"> the Maximum volume</w:t>
            </w:r>
          </w:p>
        </w:tc>
        <w:tc>
          <w:tcPr>
            <w:tcW w:w="1559" w:type="dxa"/>
          </w:tcPr>
          <w:p w:rsidRPr="00022931" w:rsidR="004E7441" w:rsidP="00CF4582" w:rsidRDefault="004E7441" w14:paraId="35FBE303" w14:textId="77777777">
            <w:pPr>
              <w:pStyle w:val="Body4"/>
              <w:spacing w:before="120" w:after="120" w:line="240" w:lineRule="atLeast"/>
              <w:ind w:left="0"/>
              <w:jc w:val="center"/>
              <w:rPr>
                <w:rFonts w:cs="Arial"/>
              </w:rPr>
            </w:pPr>
            <w:r w:rsidRPr="00022931">
              <w:rPr>
                <w:rFonts w:cs="Arial"/>
              </w:rPr>
              <w:t>[c]</w:t>
            </w:r>
          </w:p>
        </w:tc>
        <w:tc>
          <w:tcPr>
            <w:tcW w:w="992" w:type="dxa"/>
          </w:tcPr>
          <w:p w:rsidRPr="00022931" w:rsidR="004E7441" w:rsidP="00CF4582" w:rsidRDefault="004E7441" w14:paraId="1B40C82A" w14:textId="77777777">
            <w:pPr>
              <w:pStyle w:val="Body4"/>
              <w:spacing w:before="120" w:after="120" w:line="240" w:lineRule="atLeast"/>
              <w:ind w:left="0"/>
              <w:jc w:val="center"/>
              <w:rPr>
                <w:rFonts w:cs="Arial"/>
              </w:rPr>
            </w:pPr>
            <w:r w:rsidRPr="00022931">
              <w:rPr>
                <w:rFonts w:cs="Arial"/>
              </w:rPr>
              <w:t>[c]</w:t>
            </w:r>
          </w:p>
        </w:tc>
        <w:tc>
          <w:tcPr>
            <w:tcW w:w="851" w:type="dxa"/>
          </w:tcPr>
          <w:p w:rsidRPr="00022931" w:rsidR="004E7441" w:rsidP="00CF4582" w:rsidRDefault="004E7441" w14:paraId="1F4BBBCA" w14:textId="77777777">
            <w:pPr>
              <w:pStyle w:val="Body4"/>
              <w:spacing w:before="120" w:after="120" w:line="240" w:lineRule="atLeast"/>
              <w:ind w:left="0"/>
              <w:jc w:val="center"/>
              <w:rPr>
                <w:rFonts w:cs="Arial"/>
              </w:rPr>
            </w:pPr>
            <w:r w:rsidRPr="00022931">
              <w:rPr>
                <w:rFonts w:cs="Arial"/>
              </w:rPr>
              <w:t>[c]</w:t>
            </w:r>
          </w:p>
        </w:tc>
        <w:tc>
          <w:tcPr>
            <w:tcW w:w="850" w:type="dxa"/>
          </w:tcPr>
          <w:p w:rsidRPr="00022931" w:rsidR="004E7441" w:rsidP="00CF4582" w:rsidRDefault="004E7441" w14:paraId="377007A1" w14:textId="77777777">
            <w:pPr>
              <w:pStyle w:val="Body4"/>
              <w:spacing w:before="120" w:after="120" w:line="240" w:lineRule="atLeast"/>
              <w:ind w:left="0"/>
              <w:jc w:val="center"/>
              <w:rPr>
                <w:rFonts w:cs="Arial"/>
              </w:rPr>
            </w:pPr>
            <w:r w:rsidRPr="00022931">
              <w:rPr>
                <w:rFonts w:cs="Arial"/>
              </w:rPr>
              <w:t>[c]</w:t>
            </w:r>
          </w:p>
        </w:tc>
        <w:tc>
          <w:tcPr>
            <w:tcW w:w="1134" w:type="dxa"/>
          </w:tcPr>
          <w:p w:rsidRPr="00022931" w:rsidR="004E7441" w:rsidP="00CF4582" w:rsidRDefault="004E7441" w14:paraId="5FE17DC2" w14:textId="77777777">
            <w:pPr>
              <w:pStyle w:val="Body4"/>
              <w:spacing w:before="120" w:after="120" w:line="240" w:lineRule="atLeast"/>
              <w:ind w:left="0"/>
              <w:jc w:val="center"/>
              <w:rPr>
                <w:rFonts w:cs="Arial"/>
              </w:rPr>
            </w:pPr>
            <w:r w:rsidRPr="00022931">
              <w:rPr>
                <w:rFonts w:cs="Arial"/>
              </w:rPr>
              <w:t>[c]</w:t>
            </w:r>
          </w:p>
        </w:tc>
      </w:tr>
      <w:tr w:rsidRPr="00022931" w:rsidR="004E7441" w:rsidTr="00D802AE" w14:paraId="3B8C516A" w14:textId="77777777">
        <w:tc>
          <w:tcPr>
            <w:tcW w:w="1701" w:type="dxa"/>
            <w:shd w:val="clear" w:color="auto" w:fill="F2F2F2" w:themeFill="background1" w:themeFillShade="F2"/>
          </w:tcPr>
          <w:p w:rsidRPr="00022931" w:rsidR="004E7441" w:rsidP="00CF4582" w:rsidRDefault="006B2011" w14:paraId="393978DF" w14:textId="5F230ED3">
            <w:pPr>
              <w:pStyle w:val="Body4"/>
              <w:spacing w:before="120" w:after="120" w:line="240" w:lineRule="atLeast"/>
              <w:ind w:left="0"/>
              <w:jc w:val="left"/>
              <w:rPr>
                <w:rFonts w:cs="Arial"/>
              </w:rPr>
            </w:pPr>
            <w:r w:rsidRPr="006B2011">
              <w:rPr>
                <w:rFonts w:cs="Arial"/>
              </w:rPr>
              <w:t>AC</w:t>
            </w:r>
            <w:r w:rsidRPr="000C3FDD">
              <w:rPr>
                <w:rFonts w:cs="Arial"/>
                <w:vertAlign w:val="superscript"/>
              </w:rPr>
              <w:t>F</w:t>
            </w:r>
            <w:r w:rsidRPr="00022931">
              <w:rPr>
                <w:rFonts w:cs="Arial"/>
              </w:rPr>
              <w:t xml:space="preserve"> </w:t>
            </w:r>
            <w:r w:rsidRPr="00022931" w:rsidR="004E7441">
              <w:rPr>
                <w:rFonts w:cs="Arial"/>
              </w:rPr>
              <w:t>SDA7 – Pricing Band 0</w:t>
            </w:r>
          </w:p>
        </w:tc>
        <w:tc>
          <w:tcPr>
            <w:tcW w:w="2410" w:type="dxa"/>
            <w:shd w:val="clear" w:color="auto" w:fill="F2F2F2" w:themeFill="background1" w:themeFillShade="F2"/>
          </w:tcPr>
          <w:p w:rsidRPr="00022931" w:rsidR="004E7441" w:rsidP="00A91A72" w:rsidRDefault="004E7441" w14:paraId="6CDED1C2" w14:textId="08973967">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If Forecast / Actual Volume = </w:t>
            </w:r>
            <w:r w:rsidR="00CB6FDB">
              <w:rPr>
                <w:rFonts w:ascii="Arial" w:hAnsi="Arial" w:cs="Arial"/>
                <w:sz w:val="20"/>
                <w:szCs w:val="20"/>
              </w:rPr>
              <w:t>Baseline volume plus or minus 5%</w:t>
            </w:r>
            <w:r w:rsidR="00CB6FDB">
              <w:rPr>
                <w:rStyle w:val="FootnoteReference"/>
                <w:rFonts w:ascii="Arial" w:hAnsi="Arial" w:cs="Arial"/>
                <w:sz w:val="20"/>
                <w:szCs w:val="20"/>
              </w:rPr>
              <w:footnoteReference w:id="1"/>
            </w:r>
          </w:p>
        </w:tc>
        <w:tc>
          <w:tcPr>
            <w:tcW w:w="1559" w:type="dxa"/>
          </w:tcPr>
          <w:p w:rsidRPr="00022931" w:rsidR="004E7441" w:rsidP="00CF4582" w:rsidRDefault="004E7441" w14:paraId="3B21FC02" w14:textId="77777777">
            <w:pPr>
              <w:pStyle w:val="Body4"/>
              <w:spacing w:before="120" w:after="120" w:line="240" w:lineRule="atLeast"/>
              <w:ind w:left="0"/>
              <w:jc w:val="center"/>
              <w:rPr>
                <w:rFonts w:cs="Arial"/>
              </w:rPr>
            </w:pPr>
            <w:r w:rsidRPr="00022931">
              <w:rPr>
                <w:rFonts w:cs="Arial"/>
              </w:rPr>
              <w:t>[d]</w:t>
            </w:r>
          </w:p>
        </w:tc>
        <w:tc>
          <w:tcPr>
            <w:tcW w:w="992" w:type="dxa"/>
          </w:tcPr>
          <w:p w:rsidRPr="00022931" w:rsidR="004E7441" w:rsidP="00CF4582" w:rsidRDefault="004E7441" w14:paraId="21CDAE5F" w14:textId="77777777">
            <w:pPr>
              <w:pStyle w:val="Body4"/>
              <w:spacing w:before="120" w:after="120" w:line="240" w:lineRule="atLeast"/>
              <w:ind w:left="0"/>
              <w:jc w:val="center"/>
              <w:rPr>
                <w:rFonts w:cs="Arial"/>
              </w:rPr>
            </w:pPr>
            <w:r w:rsidRPr="00022931">
              <w:rPr>
                <w:rFonts w:cs="Arial"/>
              </w:rPr>
              <w:t>[d]</w:t>
            </w:r>
          </w:p>
        </w:tc>
        <w:tc>
          <w:tcPr>
            <w:tcW w:w="851" w:type="dxa"/>
          </w:tcPr>
          <w:p w:rsidRPr="00022931" w:rsidR="004E7441" w:rsidP="00CF4582" w:rsidRDefault="004E7441" w14:paraId="6AA73D96" w14:textId="77777777">
            <w:pPr>
              <w:pStyle w:val="Body4"/>
              <w:spacing w:before="120" w:after="120" w:line="240" w:lineRule="atLeast"/>
              <w:ind w:left="0"/>
              <w:jc w:val="center"/>
              <w:rPr>
                <w:rFonts w:cs="Arial"/>
              </w:rPr>
            </w:pPr>
            <w:r w:rsidRPr="00022931">
              <w:rPr>
                <w:rFonts w:cs="Arial"/>
              </w:rPr>
              <w:t>[d]</w:t>
            </w:r>
          </w:p>
        </w:tc>
        <w:tc>
          <w:tcPr>
            <w:tcW w:w="850" w:type="dxa"/>
          </w:tcPr>
          <w:p w:rsidRPr="00022931" w:rsidR="004E7441" w:rsidP="00CF4582" w:rsidRDefault="004E7441" w14:paraId="2CF2A3D9" w14:textId="77777777">
            <w:pPr>
              <w:spacing w:before="120" w:after="120" w:line="240" w:lineRule="atLeast"/>
              <w:jc w:val="center"/>
              <w:rPr>
                <w:rFonts w:cs="Arial"/>
              </w:rPr>
            </w:pPr>
            <w:r w:rsidRPr="00022931">
              <w:rPr>
                <w:rFonts w:cs="Arial"/>
              </w:rPr>
              <w:t>[d]</w:t>
            </w:r>
          </w:p>
        </w:tc>
        <w:tc>
          <w:tcPr>
            <w:tcW w:w="1134" w:type="dxa"/>
          </w:tcPr>
          <w:p w:rsidRPr="00022931" w:rsidR="004E7441" w:rsidP="00CF4582" w:rsidRDefault="004E7441" w14:paraId="73847513" w14:textId="77777777">
            <w:pPr>
              <w:spacing w:before="120" w:after="120" w:line="240" w:lineRule="atLeast"/>
              <w:jc w:val="center"/>
              <w:rPr>
                <w:rFonts w:cs="Arial"/>
              </w:rPr>
            </w:pPr>
            <w:r w:rsidRPr="00022931">
              <w:rPr>
                <w:rFonts w:cs="Arial"/>
              </w:rPr>
              <w:t>[d]</w:t>
            </w:r>
          </w:p>
        </w:tc>
      </w:tr>
      <w:tr w:rsidRPr="00022931" w:rsidR="004E7441" w:rsidTr="00D802AE" w14:paraId="2D519B26" w14:textId="77777777">
        <w:tc>
          <w:tcPr>
            <w:tcW w:w="1701" w:type="dxa"/>
            <w:shd w:val="clear" w:color="auto" w:fill="F2F2F2" w:themeFill="background1" w:themeFillShade="F2"/>
          </w:tcPr>
          <w:p w:rsidRPr="00022931" w:rsidR="004E7441" w:rsidP="00CF4582" w:rsidRDefault="006B2011" w14:paraId="111C1E8F" w14:textId="1C630D62">
            <w:pPr>
              <w:pStyle w:val="Body4"/>
              <w:spacing w:before="120" w:after="120" w:line="240" w:lineRule="atLeast"/>
              <w:ind w:left="0"/>
              <w:jc w:val="left"/>
              <w:rPr>
                <w:rFonts w:cs="Arial"/>
              </w:rPr>
            </w:pPr>
            <w:r w:rsidRPr="006B2011">
              <w:rPr>
                <w:rFonts w:cs="Arial"/>
              </w:rPr>
              <w:t>AC</w:t>
            </w:r>
            <w:r w:rsidRPr="000C3FDD">
              <w:rPr>
                <w:rFonts w:cs="Arial"/>
                <w:vertAlign w:val="superscript"/>
              </w:rPr>
              <w:t>F</w:t>
            </w:r>
            <w:r w:rsidRPr="00022931">
              <w:rPr>
                <w:rFonts w:cs="Arial"/>
              </w:rPr>
              <w:t xml:space="preserve"> </w:t>
            </w:r>
            <w:r w:rsidRPr="00022931" w:rsidR="004E7441">
              <w:rPr>
                <w:rFonts w:cs="Arial"/>
              </w:rPr>
              <w:t>SDA7 – Pricing Band -1</w:t>
            </w:r>
          </w:p>
        </w:tc>
        <w:tc>
          <w:tcPr>
            <w:tcW w:w="2410" w:type="dxa"/>
            <w:shd w:val="clear" w:color="auto" w:fill="F2F2F2" w:themeFill="background1" w:themeFillShade="F2"/>
          </w:tcPr>
          <w:p w:rsidRPr="00022931" w:rsidR="004E7441" w:rsidP="00A91A72" w:rsidRDefault="004E7441" w14:paraId="7ECD1FA0" w14:textId="1A048F7C">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If Forecast / Actual Volume </w:t>
            </w:r>
            <w:r w:rsidR="00CB6FDB">
              <w:rPr>
                <w:rFonts w:ascii="Arial" w:hAnsi="Arial" w:cs="Arial"/>
                <w:sz w:val="20"/>
                <w:szCs w:val="20"/>
              </w:rPr>
              <w:t>is less than the Baseline volume less 5% and greater than or equal to the Baseline volume less 15%</w:t>
            </w:r>
          </w:p>
        </w:tc>
        <w:tc>
          <w:tcPr>
            <w:tcW w:w="1559" w:type="dxa"/>
          </w:tcPr>
          <w:p w:rsidRPr="00022931" w:rsidR="004E7441" w:rsidP="00CF4582" w:rsidRDefault="004E7441" w14:paraId="1E432880" w14:textId="77777777">
            <w:pPr>
              <w:pStyle w:val="Body4"/>
              <w:spacing w:before="120" w:after="120" w:line="240" w:lineRule="atLeast"/>
              <w:ind w:left="0"/>
              <w:jc w:val="center"/>
              <w:rPr>
                <w:rFonts w:cs="Arial"/>
              </w:rPr>
            </w:pPr>
            <w:r w:rsidRPr="00022931">
              <w:rPr>
                <w:rFonts w:cs="Arial"/>
              </w:rPr>
              <w:t>[e]</w:t>
            </w:r>
          </w:p>
        </w:tc>
        <w:tc>
          <w:tcPr>
            <w:tcW w:w="992" w:type="dxa"/>
          </w:tcPr>
          <w:p w:rsidRPr="00022931" w:rsidR="004E7441" w:rsidP="00CF4582" w:rsidRDefault="004E7441" w14:paraId="11757538" w14:textId="77777777">
            <w:pPr>
              <w:pStyle w:val="Body4"/>
              <w:spacing w:before="120" w:after="120" w:line="240" w:lineRule="atLeast"/>
              <w:ind w:left="0"/>
              <w:jc w:val="center"/>
              <w:rPr>
                <w:rFonts w:cs="Arial"/>
              </w:rPr>
            </w:pPr>
            <w:r w:rsidRPr="00022931">
              <w:rPr>
                <w:rFonts w:cs="Arial"/>
              </w:rPr>
              <w:t>[e]</w:t>
            </w:r>
          </w:p>
        </w:tc>
        <w:tc>
          <w:tcPr>
            <w:tcW w:w="851" w:type="dxa"/>
          </w:tcPr>
          <w:p w:rsidRPr="00022931" w:rsidR="004E7441" w:rsidP="00CF4582" w:rsidRDefault="004E7441" w14:paraId="621E9A17" w14:textId="77777777">
            <w:pPr>
              <w:pStyle w:val="Body4"/>
              <w:spacing w:before="120" w:after="120" w:line="240" w:lineRule="atLeast"/>
              <w:ind w:left="0"/>
              <w:jc w:val="center"/>
              <w:rPr>
                <w:rFonts w:cs="Arial"/>
              </w:rPr>
            </w:pPr>
            <w:r w:rsidRPr="00022931">
              <w:rPr>
                <w:rFonts w:cs="Arial"/>
              </w:rPr>
              <w:t>[e]</w:t>
            </w:r>
          </w:p>
        </w:tc>
        <w:tc>
          <w:tcPr>
            <w:tcW w:w="850" w:type="dxa"/>
          </w:tcPr>
          <w:p w:rsidRPr="00022931" w:rsidR="004E7441" w:rsidP="00CF4582" w:rsidRDefault="004E7441" w14:paraId="4B0A5FC3" w14:textId="77777777">
            <w:pPr>
              <w:spacing w:before="120" w:after="120" w:line="240" w:lineRule="atLeast"/>
              <w:jc w:val="center"/>
              <w:rPr>
                <w:rFonts w:cs="Arial"/>
              </w:rPr>
            </w:pPr>
            <w:r w:rsidRPr="00022931">
              <w:rPr>
                <w:rFonts w:cs="Arial"/>
              </w:rPr>
              <w:t>[e]</w:t>
            </w:r>
          </w:p>
        </w:tc>
        <w:tc>
          <w:tcPr>
            <w:tcW w:w="1134" w:type="dxa"/>
          </w:tcPr>
          <w:p w:rsidRPr="00022931" w:rsidR="004E7441" w:rsidP="00CF4582" w:rsidRDefault="004E7441" w14:paraId="68089BE5" w14:textId="77777777">
            <w:pPr>
              <w:spacing w:before="120" w:after="120" w:line="240" w:lineRule="atLeast"/>
              <w:jc w:val="center"/>
              <w:rPr>
                <w:rFonts w:cs="Arial"/>
              </w:rPr>
            </w:pPr>
            <w:r w:rsidRPr="00022931">
              <w:rPr>
                <w:rFonts w:cs="Arial"/>
              </w:rPr>
              <w:t>[e]</w:t>
            </w:r>
          </w:p>
        </w:tc>
      </w:tr>
    </w:tbl>
    <w:p w:rsidR="00730904" w:rsidP="009B6FDB" w:rsidRDefault="009B6FDB" w14:paraId="744709EF" w14:textId="1AF5F300">
      <w:pPr>
        <w:pStyle w:val="Body3"/>
        <w:tabs>
          <w:tab w:val="left" w:pos="5900"/>
        </w:tabs>
        <w:jc w:val="left"/>
        <w:rPr>
          <w:rFonts w:cs="Arial"/>
          <w:b/>
        </w:rPr>
      </w:pPr>
      <w:r w:rsidRPr="005B667F">
        <w:rPr>
          <w:rFonts w:cs="Arial"/>
          <w:b/>
        </w:rPr>
        <w:tab/>
      </w:r>
    </w:p>
    <w:p w:rsidR="00D802AE" w:rsidP="00D802AE" w:rsidRDefault="00D802AE" w14:paraId="1CD61D3A" w14:textId="77777777">
      <w:pPr>
        <w:pStyle w:val="Body3"/>
        <w:ind w:left="0"/>
        <w:rPr>
          <w:rFonts w:cs="Arial"/>
          <w:b/>
        </w:rPr>
      </w:pPr>
    </w:p>
    <w:p w:rsidR="00D802AE" w:rsidP="00D802AE" w:rsidRDefault="00D802AE" w14:paraId="7DFF0F15" w14:textId="77777777">
      <w:pPr>
        <w:pStyle w:val="Body3"/>
        <w:ind w:left="0"/>
        <w:rPr>
          <w:rFonts w:cs="Arial"/>
          <w:b/>
        </w:rPr>
      </w:pPr>
    </w:p>
    <w:p w:rsidR="00D802AE" w:rsidP="00D802AE" w:rsidRDefault="00D802AE" w14:paraId="408224D9" w14:textId="77777777">
      <w:pPr>
        <w:pStyle w:val="Body3"/>
        <w:ind w:left="0"/>
        <w:rPr>
          <w:rFonts w:cs="Arial"/>
          <w:b/>
        </w:rPr>
      </w:pPr>
    </w:p>
    <w:p w:rsidRPr="005B667F" w:rsidR="006B2011" w:rsidP="00D802AE" w:rsidRDefault="006B2011" w14:paraId="6026D117" w14:textId="3CF28FC4">
      <w:pPr>
        <w:pStyle w:val="Body3"/>
        <w:ind w:left="0"/>
        <w:rPr>
          <w:rFonts w:cs="Arial"/>
          <w:b/>
        </w:rPr>
      </w:pPr>
      <w:r>
        <w:rPr>
          <w:rFonts w:cs="Arial"/>
          <w:b/>
        </w:rPr>
        <w:lastRenderedPageBreak/>
        <w:t xml:space="preserve">Table </w:t>
      </w:r>
      <w:r w:rsidR="00B16D04">
        <w:rPr>
          <w:rFonts w:cs="Arial"/>
          <w:b/>
        </w:rPr>
        <w:t xml:space="preserve">4 </w:t>
      </w:r>
      <w:r>
        <w:rPr>
          <w:rFonts w:cs="Arial"/>
          <w:b/>
        </w:rPr>
        <w:t xml:space="preserve">- </w:t>
      </w:r>
      <w:r w:rsidRPr="005B667F">
        <w:rPr>
          <w:rFonts w:cs="Arial"/>
          <w:b/>
        </w:rPr>
        <w:t xml:space="preserve">Pricing Table for </w:t>
      </w:r>
      <w:proofErr w:type="spellStart"/>
      <w:r w:rsidRPr="006B2011">
        <w:rPr>
          <w:rFonts w:cs="Arial"/>
          <w:b/>
        </w:rPr>
        <w:t>AC</w:t>
      </w:r>
      <w:r w:rsidRPr="007A4444">
        <w:rPr>
          <w:rFonts w:cs="Arial"/>
          <w:b/>
          <w:vertAlign w:val="superscript"/>
        </w:rPr>
        <w:t>Fx</w:t>
      </w:r>
      <w:proofErr w:type="spellEnd"/>
      <w:r w:rsidRPr="005B667F">
        <w:rPr>
          <w:rFonts w:cs="Arial"/>
          <w:b/>
        </w:rPr>
        <w:t xml:space="preserve"> SDA7</w:t>
      </w:r>
      <w:r>
        <w:rPr>
          <w:rFonts w:cs="Arial"/>
          <w:b/>
        </w:rPr>
        <w:t xml:space="preserve"> – Fixed Price Component not subject to Indexation</w:t>
      </w:r>
    </w:p>
    <w:tbl>
      <w:tblPr>
        <w:tblStyle w:val="TableGrid"/>
        <w:tblW w:w="9497" w:type="dxa"/>
        <w:tblInd w:w="-5" w:type="dxa"/>
        <w:tblLayout w:type="fixed"/>
        <w:tblLook w:val="04A0" w:firstRow="1" w:lastRow="0" w:firstColumn="1" w:lastColumn="0" w:noHBand="0" w:noVBand="1"/>
      </w:tblPr>
      <w:tblGrid>
        <w:gridCol w:w="1701"/>
        <w:gridCol w:w="2410"/>
        <w:gridCol w:w="1559"/>
        <w:gridCol w:w="992"/>
        <w:gridCol w:w="851"/>
        <w:gridCol w:w="850"/>
        <w:gridCol w:w="1134"/>
      </w:tblGrid>
      <w:tr w:rsidRPr="00022931" w:rsidR="006B2011" w:rsidTr="00D802AE" w14:paraId="3C62CC91" w14:textId="77777777">
        <w:tc>
          <w:tcPr>
            <w:tcW w:w="1701" w:type="dxa"/>
            <w:shd w:val="clear" w:color="auto" w:fill="F2F2F2" w:themeFill="background1" w:themeFillShade="F2"/>
          </w:tcPr>
          <w:p w:rsidRPr="00022931" w:rsidR="006B2011" w:rsidP="00EA7C4F" w:rsidRDefault="006B2011" w14:paraId="4C3051EC" w14:textId="77777777">
            <w:pPr>
              <w:pStyle w:val="Body4"/>
              <w:spacing w:before="120" w:after="120" w:line="240" w:lineRule="atLeast"/>
              <w:ind w:left="0"/>
              <w:jc w:val="left"/>
              <w:rPr>
                <w:rFonts w:cs="Arial"/>
                <w:b/>
              </w:rPr>
            </w:pPr>
            <w:r w:rsidRPr="00022931">
              <w:rPr>
                <w:rFonts w:cs="Arial"/>
                <w:b/>
              </w:rPr>
              <w:t>Pricing Band</w:t>
            </w:r>
          </w:p>
        </w:tc>
        <w:tc>
          <w:tcPr>
            <w:tcW w:w="2410" w:type="dxa"/>
            <w:shd w:val="clear" w:color="auto" w:fill="F2F2F2" w:themeFill="background1" w:themeFillShade="F2"/>
          </w:tcPr>
          <w:p w:rsidRPr="00022931" w:rsidR="006B2011" w:rsidP="00EA7C4F" w:rsidRDefault="006B2011" w14:paraId="74C39A28" w14:textId="77777777">
            <w:pPr>
              <w:pStyle w:val="Default"/>
              <w:spacing w:before="120" w:after="120" w:line="240" w:lineRule="atLeast"/>
              <w:rPr>
                <w:rFonts w:ascii="Arial" w:hAnsi="Arial" w:cs="Arial"/>
                <w:sz w:val="20"/>
                <w:szCs w:val="20"/>
              </w:rPr>
            </w:pPr>
            <w:r w:rsidRPr="00022931">
              <w:rPr>
                <w:rFonts w:ascii="Arial" w:hAnsi="Arial" w:cs="Arial"/>
                <w:b/>
                <w:bCs/>
                <w:sz w:val="20"/>
                <w:szCs w:val="20"/>
              </w:rPr>
              <w:t>Service component</w:t>
            </w:r>
          </w:p>
        </w:tc>
        <w:tc>
          <w:tcPr>
            <w:tcW w:w="5386" w:type="dxa"/>
            <w:gridSpan w:val="5"/>
            <w:shd w:val="clear" w:color="auto" w:fill="F2F2F2" w:themeFill="background1" w:themeFillShade="F2"/>
          </w:tcPr>
          <w:p w:rsidRPr="00022931" w:rsidR="006B2011" w:rsidP="00EA7C4F" w:rsidRDefault="006B2011" w14:paraId="0EFDDF0E" w14:textId="77777777">
            <w:pPr>
              <w:pStyle w:val="Default"/>
              <w:spacing w:before="120" w:after="120" w:line="240" w:lineRule="atLeast"/>
              <w:jc w:val="center"/>
              <w:rPr>
                <w:rFonts w:ascii="Arial" w:hAnsi="Arial" w:cs="Arial"/>
                <w:sz w:val="20"/>
                <w:szCs w:val="20"/>
              </w:rPr>
            </w:pPr>
            <w:r w:rsidRPr="00022931">
              <w:rPr>
                <w:rFonts w:ascii="Arial" w:hAnsi="Arial" w:cs="Arial"/>
                <w:b/>
                <w:sz w:val="20"/>
                <w:szCs w:val="20"/>
              </w:rPr>
              <w:t>Contract Year</w:t>
            </w:r>
            <w:r w:rsidRPr="005B667F">
              <w:rPr>
                <w:rFonts w:ascii="Arial" w:hAnsi="Arial" w:cs="Arial"/>
              </w:rPr>
              <w:t xml:space="preserve"> </w:t>
            </w:r>
          </w:p>
        </w:tc>
      </w:tr>
      <w:tr w:rsidRPr="00022931" w:rsidR="006B2011" w:rsidTr="00D802AE" w14:paraId="11DCE614" w14:textId="77777777">
        <w:tc>
          <w:tcPr>
            <w:tcW w:w="1701" w:type="dxa"/>
            <w:shd w:val="clear" w:color="auto" w:fill="F2F2F2" w:themeFill="background1" w:themeFillShade="F2"/>
          </w:tcPr>
          <w:p w:rsidRPr="00022931" w:rsidR="006B2011" w:rsidP="00EA7C4F" w:rsidRDefault="006B2011" w14:paraId="354E9E29" w14:textId="77777777">
            <w:pPr>
              <w:pStyle w:val="Body4"/>
              <w:spacing w:before="120" w:after="120" w:line="240" w:lineRule="atLeast"/>
              <w:ind w:left="0"/>
              <w:jc w:val="left"/>
              <w:rPr>
                <w:rFonts w:cs="Arial"/>
              </w:rPr>
            </w:pPr>
          </w:p>
        </w:tc>
        <w:tc>
          <w:tcPr>
            <w:tcW w:w="2410" w:type="dxa"/>
            <w:shd w:val="clear" w:color="auto" w:fill="F2F2F2" w:themeFill="background1" w:themeFillShade="F2"/>
          </w:tcPr>
          <w:p w:rsidRPr="00022931" w:rsidR="006B2011" w:rsidP="00EA7C4F" w:rsidRDefault="006B2011" w14:paraId="24164950" w14:textId="77777777">
            <w:pPr>
              <w:pStyle w:val="Body4"/>
              <w:spacing w:before="120" w:after="120" w:line="240" w:lineRule="atLeast"/>
              <w:ind w:left="0"/>
              <w:rPr>
                <w:rFonts w:cs="Arial"/>
              </w:rPr>
            </w:pPr>
          </w:p>
        </w:tc>
        <w:tc>
          <w:tcPr>
            <w:tcW w:w="1559" w:type="dxa"/>
            <w:shd w:val="clear" w:color="auto" w:fill="F2F2F2" w:themeFill="background1" w:themeFillShade="F2"/>
          </w:tcPr>
          <w:p w:rsidRPr="00022931" w:rsidR="006B2011" w:rsidP="00EA7C4F" w:rsidRDefault="006B2011" w14:paraId="0607414E" w14:textId="49CE5A39">
            <w:pPr>
              <w:pStyle w:val="Body4"/>
              <w:spacing w:before="120" w:after="120" w:line="240" w:lineRule="atLeast"/>
              <w:ind w:left="0"/>
              <w:jc w:val="center"/>
              <w:rPr>
                <w:rFonts w:cs="Arial"/>
                <w:b/>
              </w:rPr>
            </w:pPr>
            <w:r w:rsidRPr="00022931">
              <w:rPr>
                <w:rFonts w:cs="Arial"/>
                <w:b/>
              </w:rPr>
              <w:t xml:space="preserve">1 – 1 </w:t>
            </w:r>
            <w:r w:rsidR="00EB12DC">
              <w:rPr>
                <w:rFonts w:cs="Arial"/>
                <w:b/>
              </w:rPr>
              <w:t>April</w:t>
            </w:r>
            <w:r w:rsidRPr="00022931">
              <w:rPr>
                <w:rFonts w:cs="Arial"/>
                <w:b/>
              </w:rPr>
              <w:t xml:space="preserve"> 2025 – </w:t>
            </w:r>
            <w:r w:rsidR="00EB12DC">
              <w:rPr>
                <w:rFonts w:cs="Arial"/>
                <w:b/>
              </w:rPr>
              <w:t>31 March</w:t>
            </w:r>
            <w:r w:rsidRPr="00022931">
              <w:rPr>
                <w:rFonts w:cs="Arial"/>
                <w:b/>
              </w:rPr>
              <w:t xml:space="preserve"> 2026</w:t>
            </w:r>
          </w:p>
        </w:tc>
        <w:tc>
          <w:tcPr>
            <w:tcW w:w="992" w:type="dxa"/>
            <w:shd w:val="clear" w:color="auto" w:fill="F2F2F2" w:themeFill="background1" w:themeFillShade="F2"/>
          </w:tcPr>
          <w:p w:rsidRPr="00022931" w:rsidR="006B2011" w:rsidP="00EA7C4F" w:rsidRDefault="006B2011" w14:paraId="5F610C80" w14:textId="12ED6B3D">
            <w:pPr>
              <w:pStyle w:val="Body4"/>
              <w:spacing w:before="120" w:after="120" w:line="240" w:lineRule="atLeast"/>
              <w:ind w:left="0"/>
              <w:jc w:val="center"/>
              <w:rPr>
                <w:rFonts w:cs="Arial"/>
                <w:b/>
              </w:rPr>
            </w:pPr>
            <w:r w:rsidRPr="00022931">
              <w:rPr>
                <w:rFonts w:cs="Arial"/>
                <w:b/>
              </w:rPr>
              <w:t xml:space="preserve">2 – 1 </w:t>
            </w:r>
            <w:r w:rsidR="00EB12DC">
              <w:rPr>
                <w:rFonts w:cs="Arial"/>
                <w:b/>
              </w:rPr>
              <w:t>April</w:t>
            </w:r>
            <w:r w:rsidRPr="00022931">
              <w:rPr>
                <w:rFonts w:cs="Arial"/>
                <w:b/>
              </w:rPr>
              <w:t xml:space="preserve"> 2026 – </w:t>
            </w:r>
            <w:r w:rsidR="00EB12DC">
              <w:rPr>
                <w:rFonts w:cs="Arial"/>
                <w:b/>
              </w:rPr>
              <w:t>31 March</w:t>
            </w:r>
            <w:r w:rsidRPr="00022931">
              <w:rPr>
                <w:rFonts w:cs="Arial"/>
                <w:b/>
              </w:rPr>
              <w:t xml:space="preserve"> 2027</w:t>
            </w:r>
          </w:p>
        </w:tc>
        <w:tc>
          <w:tcPr>
            <w:tcW w:w="851" w:type="dxa"/>
            <w:shd w:val="clear" w:color="auto" w:fill="F2F2F2" w:themeFill="background1" w:themeFillShade="F2"/>
          </w:tcPr>
          <w:p w:rsidRPr="00022931" w:rsidR="006B2011" w:rsidP="00EA7C4F" w:rsidRDefault="006B2011" w14:paraId="29296910" w14:textId="295ADD68">
            <w:pPr>
              <w:pStyle w:val="Body4"/>
              <w:spacing w:before="120" w:after="120" w:line="240" w:lineRule="atLeast"/>
              <w:ind w:left="0"/>
              <w:jc w:val="center"/>
              <w:rPr>
                <w:rFonts w:cs="Arial"/>
                <w:b/>
              </w:rPr>
            </w:pPr>
            <w:r w:rsidRPr="00022931">
              <w:rPr>
                <w:rFonts w:cs="Arial"/>
                <w:b/>
              </w:rPr>
              <w:t xml:space="preserve">3 – 1 </w:t>
            </w:r>
            <w:r w:rsidR="00EB12DC">
              <w:rPr>
                <w:rFonts w:cs="Arial"/>
                <w:b/>
              </w:rPr>
              <w:t>April</w:t>
            </w:r>
            <w:r w:rsidRPr="00022931">
              <w:rPr>
                <w:rFonts w:cs="Arial"/>
                <w:b/>
              </w:rPr>
              <w:t xml:space="preserve"> 2027 – </w:t>
            </w:r>
            <w:r w:rsidR="00EB12DC">
              <w:rPr>
                <w:rFonts w:cs="Arial"/>
                <w:b/>
              </w:rPr>
              <w:t>31 March</w:t>
            </w:r>
            <w:r w:rsidRPr="00022931">
              <w:rPr>
                <w:rFonts w:cs="Arial"/>
                <w:b/>
              </w:rPr>
              <w:t xml:space="preserve"> 2028</w:t>
            </w:r>
          </w:p>
        </w:tc>
        <w:tc>
          <w:tcPr>
            <w:tcW w:w="850" w:type="dxa"/>
            <w:shd w:val="clear" w:color="auto" w:fill="F2F2F2" w:themeFill="background1" w:themeFillShade="F2"/>
          </w:tcPr>
          <w:p w:rsidRPr="00022931" w:rsidR="006B2011" w:rsidP="00EA7C4F" w:rsidRDefault="006B2011" w14:paraId="34B04721" w14:textId="1A1AE3FA">
            <w:pPr>
              <w:pStyle w:val="Body4"/>
              <w:spacing w:before="120" w:after="120" w:line="240" w:lineRule="atLeast"/>
              <w:ind w:left="0"/>
              <w:jc w:val="center"/>
              <w:rPr>
                <w:rFonts w:cs="Arial"/>
                <w:b/>
              </w:rPr>
            </w:pPr>
            <w:r w:rsidRPr="00022931">
              <w:rPr>
                <w:rFonts w:cs="Arial"/>
                <w:b/>
              </w:rPr>
              <w:t xml:space="preserve">4 – 1 </w:t>
            </w:r>
            <w:r w:rsidR="00EB12DC">
              <w:rPr>
                <w:rFonts w:cs="Arial"/>
                <w:b/>
              </w:rPr>
              <w:t>April</w:t>
            </w:r>
            <w:r w:rsidRPr="00022931">
              <w:rPr>
                <w:rFonts w:cs="Arial"/>
                <w:b/>
              </w:rPr>
              <w:t xml:space="preserve"> 2028 – </w:t>
            </w:r>
            <w:r w:rsidR="00EB12DC">
              <w:rPr>
                <w:rFonts w:cs="Arial"/>
                <w:b/>
              </w:rPr>
              <w:t>31 March</w:t>
            </w:r>
            <w:r w:rsidRPr="00022931">
              <w:rPr>
                <w:rFonts w:cs="Arial"/>
                <w:b/>
              </w:rPr>
              <w:t xml:space="preserve"> 2029</w:t>
            </w:r>
          </w:p>
        </w:tc>
        <w:tc>
          <w:tcPr>
            <w:tcW w:w="1134" w:type="dxa"/>
            <w:shd w:val="clear" w:color="auto" w:fill="F2F2F2" w:themeFill="background1" w:themeFillShade="F2"/>
          </w:tcPr>
          <w:p w:rsidRPr="00022931" w:rsidR="006B2011" w:rsidP="00EA7C4F" w:rsidRDefault="006B2011" w14:paraId="69A59F4B" w14:textId="2440B249">
            <w:pPr>
              <w:pStyle w:val="Body4"/>
              <w:spacing w:before="120" w:after="120" w:line="240" w:lineRule="atLeast"/>
              <w:ind w:left="0"/>
              <w:jc w:val="center"/>
              <w:rPr>
                <w:rFonts w:cs="Arial"/>
                <w:b/>
              </w:rPr>
            </w:pPr>
            <w:r w:rsidRPr="00022931">
              <w:rPr>
                <w:rFonts w:cs="Arial"/>
                <w:b/>
              </w:rPr>
              <w:t xml:space="preserve">5 – 1 </w:t>
            </w:r>
            <w:r w:rsidR="00EB12DC">
              <w:rPr>
                <w:rFonts w:cs="Arial"/>
                <w:b/>
              </w:rPr>
              <w:t>April</w:t>
            </w:r>
            <w:r w:rsidRPr="00022931">
              <w:rPr>
                <w:rFonts w:cs="Arial"/>
                <w:b/>
              </w:rPr>
              <w:t xml:space="preserve"> 2029 – </w:t>
            </w:r>
            <w:r w:rsidR="00EB12DC">
              <w:rPr>
                <w:rFonts w:cs="Arial"/>
                <w:b/>
              </w:rPr>
              <w:t>31 March</w:t>
            </w:r>
            <w:r w:rsidRPr="00022931">
              <w:rPr>
                <w:rFonts w:cs="Arial"/>
                <w:b/>
              </w:rPr>
              <w:t xml:space="preserve"> 2030</w:t>
            </w:r>
          </w:p>
        </w:tc>
      </w:tr>
      <w:tr w:rsidRPr="00022931" w:rsidR="00CB6FDB" w:rsidTr="00D802AE" w14:paraId="50B282DF" w14:textId="77777777">
        <w:tc>
          <w:tcPr>
            <w:tcW w:w="1701" w:type="dxa"/>
            <w:shd w:val="clear" w:color="auto" w:fill="F2F2F2" w:themeFill="background1" w:themeFillShade="F2"/>
          </w:tcPr>
          <w:p w:rsidRPr="00022931" w:rsidR="00CB6FDB" w:rsidP="00CB6FDB" w:rsidRDefault="00CB6FDB" w14:paraId="2C5F870E" w14:textId="42FAD51D">
            <w:pPr>
              <w:pStyle w:val="Body4"/>
              <w:spacing w:before="120" w:after="120" w:line="240" w:lineRule="atLeast"/>
              <w:ind w:left="0"/>
              <w:jc w:val="left"/>
              <w:rPr>
                <w:rFonts w:cs="Arial"/>
              </w:rPr>
            </w:pPr>
            <w:proofErr w:type="spellStart"/>
            <w:r w:rsidRPr="007A4444">
              <w:rPr>
                <w:rFonts w:cs="Arial"/>
              </w:rPr>
              <w:t>AC</w:t>
            </w:r>
            <w:r w:rsidRPr="007A4444">
              <w:rPr>
                <w:rFonts w:cs="Arial"/>
                <w:vertAlign w:val="superscript"/>
              </w:rPr>
              <w:t>Fx</w:t>
            </w:r>
            <w:proofErr w:type="spellEnd"/>
            <w:r w:rsidRPr="00022931">
              <w:rPr>
                <w:rFonts w:cs="Arial"/>
              </w:rPr>
              <w:t xml:space="preserve"> SDA7 – Pricing Band 1</w:t>
            </w:r>
          </w:p>
        </w:tc>
        <w:tc>
          <w:tcPr>
            <w:tcW w:w="2410" w:type="dxa"/>
            <w:shd w:val="clear" w:color="auto" w:fill="F2F2F2" w:themeFill="background1" w:themeFillShade="F2"/>
          </w:tcPr>
          <w:p w:rsidRPr="00022931" w:rsidR="00CB6FDB" w:rsidP="00CB6FDB" w:rsidRDefault="0037092A" w14:paraId="67CCEDAA" w14:textId="539ABC3C">
            <w:pPr>
              <w:pStyle w:val="Default"/>
              <w:spacing w:before="120" w:after="120" w:line="240" w:lineRule="atLeast"/>
              <w:jc w:val="left"/>
              <w:rPr>
                <w:rFonts w:ascii="Arial" w:hAnsi="Arial" w:cs="Arial"/>
                <w:sz w:val="20"/>
                <w:szCs w:val="20"/>
              </w:rPr>
            </w:pPr>
            <w:r w:rsidRPr="00022931">
              <w:rPr>
                <w:rFonts w:ascii="Arial" w:hAnsi="Arial" w:cs="Arial"/>
                <w:sz w:val="20"/>
                <w:szCs w:val="20"/>
              </w:rPr>
              <w:t>If Forecast / Actual Volume</w:t>
            </w:r>
            <w:r>
              <w:rPr>
                <w:rFonts w:ascii="Arial" w:hAnsi="Arial" w:cs="Arial"/>
                <w:sz w:val="20"/>
                <w:szCs w:val="20"/>
              </w:rPr>
              <w:t xml:space="preserve"> is greater than the Baseline volume plus 5% but less than or equal to the Maximum volume</w:t>
            </w:r>
          </w:p>
        </w:tc>
        <w:tc>
          <w:tcPr>
            <w:tcW w:w="1559" w:type="dxa"/>
          </w:tcPr>
          <w:p w:rsidRPr="00022931" w:rsidR="00CB6FDB" w:rsidP="00CB6FDB" w:rsidRDefault="00CB6FDB" w14:paraId="3BC67AD5" w14:textId="77777777">
            <w:pPr>
              <w:pStyle w:val="Body4"/>
              <w:spacing w:before="120" w:after="120" w:line="240" w:lineRule="atLeast"/>
              <w:ind w:left="0"/>
              <w:jc w:val="center"/>
              <w:rPr>
                <w:rFonts w:cs="Arial"/>
              </w:rPr>
            </w:pPr>
            <w:r w:rsidRPr="00022931">
              <w:rPr>
                <w:rFonts w:cs="Arial"/>
              </w:rPr>
              <w:t>[c]</w:t>
            </w:r>
          </w:p>
        </w:tc>
        <w:tc>
          <w:tcPr>
            <w:tcW w:w="992" w:type="dxa"/>
          </w:tcPr>
          <w:p w:rsidRPr="00022931" w:rsidR="00CB6FDB" w:rsidP="00CB6FDB" w:rsidRDefault="00CB6FDB" w14:paraId="486322AF" w14:textId="77777777">
            <w:pPr>
              <w:pStyle w:val="Body4"/>
              <w:spacing w:before="120" w:after="120" w:line="240" w:lineRule="atLeast"/>
              <w:ind w:left="0"/>
              <w:jc w:val="center"/>
              <w:rPr>
                <w:rFonts w:cs="Arial"/>
              </w:rPr>
            </w:pPr>
            <w:r w:rsidRPr="00022931">
              <w:rPr>
                <w:rFonts w:cs="Arial"/>
              </w:rPr>
              <w:t>[c]</w:t>
            </w:r>
          </w:p>
        </w:tc>
        <w:tc>
          <w:tcPr>
            <w:tcW w:w="851" w:type="dxa"/>
          </w:tcPr>
          <w:p w:rsidRPr="00022931" w:rsidR="00CB6FDB" w:rsidP="00CB6FDB" w:rsidRDefault="00CB6FDB" w14:paraId="1E365D3B" w14:textId="77777777">
            <w:pPr>
              <w:pStyle w:val="Body4"/>
              <w:spacing w:before="120" w:after="120" w:line="240" w:lineRule="atLeast"/>
              <w:ind w:left="0"/>
              <w:jc w:val="center"/>
              <w:rPr>
                <w:rFonts w:cs="Arial"/>
              </w:rPr>
            </w:pPr>
            <w:r w:rsidRPr="00022931">
              <w:rPr>
                <w:rFonts w:cs="Arial"/>
              </w:rPr>
              <w:t>[c]</w:t>
            </w:r>
          </w:p>
        </w:tc>
        <w:tc>
          <w:tcPr>
            <w:tcW w:w="850" w:type="dxa"/>
          </w:tcPr>
          <w:p w:rsidRPr="00022931" w:rsidR="00CB6FDB" w:rsidP="00CB6FDB" w:rsidRDefault="00CB6FDB" w14:paraId="26A3691E" w14:textId="77777777">
            <w:pPr>
              <w:pStyle w:val="Body4"/>
              <w:spacing w:before="120" w:after="120" w:line="240" w:lineRule="atLeast"/>
              <w:ind w:left="0"/>
              <w:jc w:val="center"/>
              <w:rPr>
                <w:rFonts w:cs="Arial"/>
              </w:rPr>
            </w:pPr>
            <w:r w:rsidRPr="00022931">
              <w:rPr>
                <w:rFonts w:cs="Arial"/>
              </w:rPr>
              <w:t>[c]</w:t>
            </w:r>
          </w:p>
        </w:tc>
        <w:tc>
          <w:tcPr>
            <w:tcW w:w="1134" w:type="dxa"/>
          </w:tcPr>
          <w:p w:rsidRPr="00022931" w:rsidR="00CB6FDB" w:rsidP="00CB6FDB" w:rsidRDefault="00CB6FDB" w14:paraId="66045EB7" w14:textId="77777777">
            <w:pPr>
              <w:pStyle w:val="Body4"/>
              <w:spacing w:before="120" w:after="120" w:line="240" w:lineRule="atLeast"/>
              <w:ind w:left="0"/>
              <w:jc w:val="center"/>
              <w:rPr>
                <w:rFonts w:cs="Arial"/>
              </w:rPr>
            </w:pPr>
            <w:r w:rsidRPr="00022931">
              <w:rPr>
                <w:rFonts w:cs="Arial"/>
              </w:rPr>
              <w:t>[c]</w:t>
            </w:r>
          </w:p>
        </w:tc>
      </w:tr>
      <w:tr w:rsidRPr="00022931" w:rsidR="00CB6FDB" w:rsidTr="00D802AE" w14:paraId="695C761A" w14:textId="77777777">
        <w:tc>
          <w:tcPr>
            <w:tcW w:w="1701" w:type="dxa"/>
            <w:shd w:val="clear" w:color="auto" w:fill="F2F2F2" w:themeFill="background1" w:themeFillShade="F2"/>
          </w:tcPr>
          <w:p w:rsidRPr="00022931" w:rsidR="00CB6FDB" w:rsidP="00CB6FDB" w:rsidRDefault="00CB6FDB" w14:paraId="6B539088" w14:textId="734B3395">
            <w:pPr>
              <w:pStyle w:val="Body4"/>
              <w:spacing w:before="120" w:after="120" w:line="240" w:lineRule="atLeast"/>
              <w:ind w:left="0"/>
              <w:jc w:val="left"/>
              <w:rPr>
                <w:rFonts w:cs="Arial"/>
              </w:rPr>
            </w:pPr>
            <w:proofErr w:type="spellStart"/>
            <w:r w:rsidRPr="007A4444">
              <w:rPr>
                <w:rFonts w:cs="Arial"/>
              </w:rPr>
              <w:t>AC</w:t>
            </w:r>
            <w:r w:rsidRPr="007A4444">
              <w:rPr>
                <w:rFonts w:cs="Arial"/>
                <w:vertAlign w:val="superscript"/>
              </w:rPr>
              <w:t>Fx</w:t>
            </w:r>
            <w:proofErr w:type="spellEnd"/>
            <w:r w:rsidRPr="00022931">
              <w:rPr>
                <w:rFonts w:cs="Arial"/>
              </w:rPr>
              <w:t xml:space="preserve"> SDA7 – Pricing Band 0</w:t>
            </w:r>
          </w:p>
        </w:tc>
        <w:tc>
          <w:tcPr>
            <w:tcW w:w="2410" w:type="dxa"/>
            <w:shd w:val="clear" w:color="auto" w:fill="F2F2F2" w:themeFill="background1" w:themeFillShade="F2"/>
          </w:tcPr>
          <w:p w:rsidRPr="00022931" w:rsidR="00CB6FDB" w:rsidP="00CB6FDB" w:rsidRDefault="00CB6FDB" w14:paraId="7FDCA458" w14:textId="647745FF">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If Forecast / Actual Volume = </w:t>
            </w:r>
            <w:r>
              <w:rPr>
                <w:rFonts w:ascii="Arial" w:hAnsi="Arial" w:cs="Arial"/>
                <w:sz w:val="20"/>
                <w:szCs w:val="20"/>
              </w:rPr>
              <w:t>Baseline volume plus or minus 5%</w:t>
            </w:r>
            <w:r>
              <w:rPr>
                <w:rStyle w:val="FootnoteReference"/>
                <w:rFonts w:ascii="Arial" w:hAnsi="Arial" w:cs="Arial"/>
                <w:sz w:val="20"/>
                <w:szCs w:val="20"/>
              </w:rPr>
              <w:footnoteReference w:id="2"/>
            </w:r>
          </w:p>
        </w:tc>
        <w:tc>
          <w:tcPr>
            <w:tcW w:w="1559" w:type="dxa"/>
          </w:tcPr>
          <w:p w:rsidRPr="00022931" w:rsidR="00CB6FDB" w:rsidP="00CB6FDB" w:rsidRDefault="00CB6FDB" w14:paraId="4E99B662" w14:textId="77777777">
            <w:pPr>
              <w:pStyle w:val="Body4"/>
              <w:spacing w:before="120" w:after="120" w:line="240" w:lineRule="atLeast"/>
              <w:ind w:left="0"/>
              <w:jc w:val="center"/>
              <w:rPr>
                <w:rFonts w:cs="Arial"/>
              </w:rPr>
            </w:pPr>
            <w:r w:rsidRPr="00022931">
              <w:rPr>
                <w:rFonts w:cs="Arial"/>
              </w:rPr>
              <w:t>[d]</w:t>
            </w:r>
          </w:p>
        </w:tc>
        <w:tc>
          <w:tcPr>
            <w:tcW w:w="992" w:type="dxa"/>
          </w:tcPr>
          <w:p w:rsidRPr="00022931" w:rsidR="00CB6FDB" w:rsidP="00CB6FDB" w:rsidRDefault="00CB6FDB" w14:paraId="79F6B586" w14:textId="77777777">
            <w:pPr>
              <w:pStyle w:val="Body4"/>
              <w:spacing w:before="120" w:after="120" w:line="240" w:lineRule="atLeast"/>
              <w:ind w:left="0"/>
              <w:jc w:val="center"/>
              <w:rPr>
                <w:rFonts w:cs="Arial"/>
              </w:rPr>
            </w:pPr>
            <w:r w:rsidRPr="00022931">
              <w:rPr>
                <w:rFonts w:cs="Arial"/>
              </w:rPr>
              <w:t>[d]</w:t>
            </w:r>
          </w:p>
        </w:tc>
        <w:tc>
          <w:tcPr>
            <w:tcW w:w="851" w:type="dxa"/>
          </w:tcPr>
          <w:p w:rsidRPr="00022931" w:rsidR="00CB6FDB" w:rsidP="00CB6FDB" w:rsidRDefault="00CB6FDB" w14:paraId="089ED36A" w14:textId="77777777">
            <w:pPr>
              <w:pStyle w:val="Body4"/>
              <w:spacing w:before="120" w:after="120" w:line="240" w:lineRule="atLeast"/>
              <w:ind w:left="0"/>
              <w:jc w:val="center"/>
              <w:rPr>
                <w:rFonts w:cs="Arial"/>
              </w:rPr>
            </w:pPr>
            <w:r w:rsidRPr="00022931">
              <w:rPr>
                <w:rFonts w:cs="Arial"/>
              </w:rPr>
              <w:t>[d]</w:t>
            </w:r>
          </w:p>
        </w:tc>
        <w:tc>
          <w:tcPr>
            <w:tcW w:w="850" w:type="dxa"/>
          </w:tcPr>
          <w:p w:rsidRPr="00022931" w:rsidR="00CB6FDB" w:rsidP="00CB6FDB" w:rsidRDefault="00CB6FDB" w14:paraId="50213531" w14:textId="77777777">
            <w:pPr>
              <w:spacing w:before="120" w:after="120" w:line="240" w:lineRule="atLeast"/>
              <w:jc w:val="center"/>
              <w:rPr>
                <w:rFonts w:cs="Arial"/>
              </w:rPr>
            </w:pPr>
            <w:r w:rsidRPr="00022931">
              <w:rPr>
                <w:rFonts w:cs="Arial"/>
              </w:rPr>
              <w:t>[d]</w:t>
            </w:r>
          </w:p>
        </w:tc>
        <w:tc>
          <w:tcPr>
            <w:tcW w:w="1134" w:type="dxa"/>
          </w:tcPr>
          <w:p w:rsidRPr="00022931" w:rsidR="00CB6FDB" w:rsidP="00CB6FDB" w:rsidRDefault="00CB6FDB" w14:paraId="25026EAC" w14:textId="77777777">
            <w:pPr>
              <w:spacing w:before="120" w:after="120" w:line="240" w:lineRule="atLeast"/>
              <w:jc w:val="center"/>
              <w:rPr>
                <w:rFonts w:cs="Arial"/>
              </w:rPr>
            </w:pPr>
            <w:r w:rsidRPr="00022931">
              <w:rPr>
                <w:rFonts w:cs="Arial"/>
              </w:rPr>
              <w:t>[d]</w:t>
            </w:r>
          </w:p>
        </w:tc>
      </w:tr>
      <w:tr w:rsidRPr="00022931" w:rsidR="00CB6FDB" w:rsidTr="00D802AE" w14:paraId="32C0C264" w14:textId="77777777">
        <w:tc>
          <w:tcPr>
            <w:tcW w:w="1701" w:type="dxa"/>
            <w:shd w:val="clear" w:color="auto" w:fill="F2F2F2" w:themeFill="background1" w:themeFillShade="F2"/>
          </w:tcPr>
          <w:p w:rsidRPr="00022931" w:rsidR="00CB6FDB" w:rsidP="00CB6FDB" w:rsidRDefault="00CB6FDB" w14:paraId="1B2BB770" w14:textId="3E91E0FD">
            <w:pPr>
              <w:pStyle w:val="Body4"/>
              <w:spacing w:before="120" w:after="120" w:line="240" w:lineRule="atLeast"/>
              <w:ind w:left="0"/>
              <w:jc w:val="left"/>
              <w:rPr>
                <w:rFonts w:cs="Arial"/>
              </w:rPr>
            </w:pPr>
            <w:proofErr w:type="spellStart"/>
            <w:r w:rsidRPr="000C3FDD">
              <w:rPr>
                <w:rFonts w:cs="Arial"/>
              </w:rPr>
              <w:t>AC</w:t>
            </w:r>
            <w:r w:rsidRPr="000C3FDD">
              <w:rPr>
                <w:rFonts w:cs="Arial"/>
                <w:vertAlign w:val="superscript"/>
              </w:rPr>
              <w:t>Fx</w:t>
            </w:r>
            <w:proofErr w:type="spellEnd"/>
            <w:r w:rsidRPr="00022931">
              <w:rPr>
                <w:rFonts w:cs="Arial"/>
              </w:rPr>
              <w:t xml:space="preserve"> SDA7 – Pricing Band -1</w:t>
            </w:r>
          </w:p>
        </w:tc>
        <w:tc>
          <w:tcPr>
            <w:tcW w:w="2410" w:type="dxa"/>
            <w:shd w:val="clear" w:color="auto" w:fill="F2F2F2" w:themeFill="background1" w:themeFillShade="F2"/>
          </w:tcPr>
          <w:p w:rsidRPr="00022931" w:rsidR="00CB6FDB" w:rsidP="00CB6FDB" w:rsidRDefault="00CB6FDB" w14:paraId="7728FE0E" w14:textId="641E47CF">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If Forecast / Actual Volume </w:t>
            </w:r>
            <w:r>
              <w:rPr>
                <w:rFonts w:ascii="Arial" w:hAnsi="Arial" w:cs="Arial"/>
                <w:sz w:val="20"/>
                <w:szCs w:val="20"/>
              </w:rPr>
              <w:t>is less than the Baseline volume less 5% and greater than or equal to the Baseline volume less 15%</w:t>
            </w:r>
          </w:p>
        </w:tc>
        <w:tc>
          <w:tcPr>
            <w:tcW w:w="1559" w:type="dxa"/>
          </w:tcPr>
          <w:p w:rsidRPr="00022931" w:rsidR="00CB6FDB" w:rsidP="00CB6FDB" w:rsidRDefault="00CB6FDB" w14:paraId="7AA74C07" w14:textId="77777777">
            <w:pPr>
              <w:pStyle w:val="Body4"/>
              <w:spacing w:before="120" w:after="120" w:line="240" w:lineRule="atLeast"/>
              <w:ind w:left="0"/>
              <w:jc w:val="center"/>
              <w:rPr>
                <w:rFonts w:cs="Arial"/>
              </w:rPr>
            </w:pPr>
            <w:r w:rsidRPr="00022931">
              <w:rPr>
                <w:rFonts w:cs="Arial"/>
              </w:rPr>
              <w:t>[e]</w:t>
            </w:r>
          </w:p>
        </w:tc>
        <w:tc>
          <w:tcPr>
            <w:tcW w:w="992" w:type="dxa"/>
          </w:tcPr>
          <w:p w:rsidRPr="00022931" w:rsidR="00CB6FDB" w:rsidP="00CB6FDB" w:rsidRDefault="00CB6FDB" w14:paraId="7F1CACF0" w14:textId="77777777">
            <w:pPr>
              <w:pStyle w:val="Body4"/>
              <w:spacing w:before="120" w:after="120" w:line="240" w:lineRule="atLeast"/>
              <w:ind w:left="0"/>
              <w:jc w:val="center"/>
              <w:rPr>
                <w:rFonts w:cs="Arial"/>
              </w:rPr>
            </w:pPr>
            <w:r w:rsidRPr="00022931">
              <w:rPr>
                <w:rFonts w:cs="Arial"/>
              </w:rPr>
              <w:t>[e]</w:t>
            </w:r>
          </w:p>
        </w:tc>
        <w:tc>
          <w:tcPr>
            <w:tcW w:w="851" w:type="dxa"/>
          </w:tcPr>
          <w:p w:rsidRPr="00022931" w:rsidR="00CB6FDB" w:rsidP="00CB6FDB" w:rsidRDefault="00CB6FDB" w14:paraId="0A2371E5" w14:textId="77777777">
            <w:pPr>
              <w:pStyle w:val="Body4"/>
              <w:spacing w:before="120" w:after="120" w:line="240" w:lineRule="atLeast"/>
              <w:ind w:left="0"/>
              <w:jc w:val="center"/>
              <w:rPr>
                <w:rFonts w:cs="Arial"/>
              </w:rPr>
            </w:pPr>
            <w:r w:rsidRPr="00022931">
              <w:rPr>
                <w:rFonts w:cs="Arial"/>
              </w:rPr>
              <w:t>[e]</w:t>
            </w:r>
          </w:p>
        </w:tc>
        <w:tc>
          <w:tcPr>
            <w:tcW w:w="850" w:type="dxa"/>
          </w:tcPr>
          <w:p w:rsidRPr="00022931" w:rsidR="00CB6FDB" w:rsidP="00CB6FDB" w:rsidRDefault="00CB6FDB" w14:paraId="0CD517AA" w14:textId="77777777">
            <w:pPr>
              <w:spacing w:before="120" w:after="120" w:line="240" w:lineRule="atLeast"/>
              <w:jc w:val="center"/>
              <w:rPr>
                <w:rFonts w:cs="Arial"/>
              </w:rPr>
            </w:pPr>
            <w:r w:rsidRPr="00022931">
              <w:rPr>
                <w:rFonts w:cs="Arial"/>
              </w:rPr>
              <w:t>[e]</w:t>
            </w:r>
          </w:p>
        </w:tc>
        <w:tc>
          <w:tcPr>
            <w:tcW w:w="1134" w:type="dxa"/>
          </w:tcPr>
          <w:p w:rsidRPr="00022931" w:rsidR="00CB6FDB" w:rsidP="00CB6FDB" w:rsidRDefault="00CB6FDB" w14:paraId="65F99472" w14:textId="77777777">
            <w:pPr>
              <w:spacing w:before="120" w:after="120" w:line="240" w:lineRule="atLeast"/>
              <w:jc w:val="center"/>
              <w:rPr>
                <w:rFonts w:cs="Arial"/>
              </w:rPr>
            </w:pPr>
            <w:r w:rsidRPr="00022931">
              <w:rPr>
                <w:rFonts w:cs="Arial"/>
              </w:rPr>
              <w:t>[e]</w:t>
            </w:r>
          </w:p>
        </w:tc>
      </w:tr>
    </w:tbl>
    <w:p w:rsidR="006B2011" w:rsidP="009B6FDB" w:rsidRDefault="006B2011" w14:paraId="2A02AB6E" w14:textId="47A52EA1">
      <w:pPr>
        <w:pStyle w:val="Body3"/>
        <w:tabs>
          <w:tab w:val="left" w:pos="5900"/>
        </w:tabs>
        <w:jc w:val="left"/>
        <w:rPr>
          <w:rFonts w:cs="Arial"/>
          <w:b/>
        </w:rPr>
      </w:pPr>
    </w:p>
    <w:p w:rsidRPr="005B667F" w:rsidR="006B2011" w:rsidP="00D802AE" w:rsidRDefault="006B2011" w14:paraId="7B39ED73" w14:textId="6E0A19BA">
      <w:pPr>
        <w:pStyle w:val="Body3"/>
        <w:ind w:left="0"/>
        <w:jc w:val="left"/>
        <w:rPr>
          <w:rFonts w:cs="Arial"/>
          <w:b/>
        </w:rPr>
      </w:pPr>
      <w:r>
        <w:rPr>
          <w:rFonts w:cs="Arial"/>
          <w:b/>
        </w:rPr>
        <w:t xml:space="preserve">Table </w:t>
      </w:r>
      <w:r w:rsidR="00B16D04">
        <w:rPr>
          <w:rFonts w:cs="Arial"/>
          <w:b/>
        </w:rPr>
        <w:t>5</w:t>
      </w:r>
      <w:r>
        <w:rPr>
          <w:rFonts w:cs="Arial"/>
          <w:b/>
        </w:rPr>
        <w:t xml:space="preserve"> - </w:t>
      </w:r>
      <w:r w:rsidRPr="005B667F">
        <w:rPr>
          <w:rFonts w:cs="Arial"/>
          <w:b/>
        </w:rPr>
        <w:t xml:space="preserve">Pricing Table for </w:t>
      </w:r>
      <w:proofErr w:type="spellStart"/>
      <w:r w:rsidRPr="006B2011">
        <w:rPr>
          <w:rFonts w:cs="Arial"/>
          <w:b/>
        </w:rPr>
        <w:t>AC</w:t>
      </w:r>
      <w:r w:rsidRPr="006B2011">
        <w:rPr>
          <w:rFonts w:cs="Arial"/>
          <w:b/>
          <w:vertAlign w:val="superscript"/>
        </w:rPr>
        <w:t>Fi</w:t>
      </w:r>
      <w:proofErr w:type="spellEnd"/>
      <w:r w:rsidRPr="005B667F">
        <w:rPr>
          <w:rFonts w:cs="Arial"/>
          <w:b/>
        </w:rPr>
        <w:t xml:space="preserve"> SDA7</w:t>
      </w:r>
      <w:r>
        <w:rPr>
          <w:rFonts w:cs="Arial"/>
          <w:b/>
        </w:rPr>
        <w:t xml:space="preserve"> – Fixed Price Component subject to Indexation</w:t>
      </w:r>
    </w:p>
    <w:tbl>
      <w:tblPr>
        <w:tblStyle w:val="TableGrid"/>
        <w:tblW w:w="9497" w:type="dxa"/>
        <w:tblInd w:w="-5" w:type="dxa"/>
        <w:tblLayout w:type="fixed"/>
        <w:tblLook w:val="04A0" w:firstRow="1" w:lastRow="0" w:firstColumn="1" w:lastColumn="0" w:noHBand="0" w:noVBand="1"/>
      </w:tblPr>
      <w:tblGrid>
        <w:gridCol w:w="1701"/>
        <w:gridCol w:w="2410"/>
        <w:gridCol w:w="1559"/>
        <w:gridCol w:w="992"/>
        <w:gridCol w:w="851"/>
        <w:gridCol w:w="850"/>
        <w:gridCol w:w="1134"/>
      </w:tblGrid>
      <w:tr w:rsidRPr="00022931" w:rsidR="006B2011" w:rsidTr="00D802AE" w14:paraId="333173E0" w14:textId="77777777">
        <w:tc>
          <w:tcPr>
            <w:tcW w:w="1701" w:type="dxa"/>
            <w:shd w:val="clear" w:color="auto" w:fill="F2F2F2" w:themeFill="background1" w:themeFillShade="F2"/>
          </w:tcPr>
          <w:p w:rsidRPr="00022931" w:rsidR="006B2011" w:rsidP="00EA7C4F" w:rsidRDefault="006B2011" w14:paraId="785757C0" w14:textId="77777777">
            <w:pPr>
              <w:pStyle w:val="Body4"/>
              <w:spacing w:before="120" w:after="120" w:line="240" w:lineRule="atLeast"/>
              <w:ind w:left="0"/>
              <w:jc w:val="left"/>
              <w:rPr>
                <w:rFonts w:cs="Arial"/>
                <w:b/>
              </w:rPr>
            </w:pPr>
            <w:r w:rsidRPr="00022931">
              <w:rPr>
                <w:rFonts w:cs="Arial"/>
                <w:b/>
              </w:rPr>
              <w:t>Pricing Band</w:t>
            </w:r>
          </w:p>
        </w:tc>
        <w:tc>
          <w:tcPr>
            <w:tcW w:w="2410" w:type="dxa"/>
            <w:shd w:val="clear" w:color="auto" w:fill="F2F2F2" w:themeFill="background1" w:themeFillShade="F2"/>
          </w:tcPr>
          <w:p w:rsidRPr="00022931" w:rsidR="006B2011" w:rsidP="00EA7C4F" w:rsidRDefault="006B2011" w14:paraId="49CE4E12" w14:textId="77777777">
            <w:pPr>
              <w:pStyle w:val="Default"/>
              <w:spacing w:before="120" w:after="120" w:line="240" w:lineRule="atLeast"/>
              <w:rPr>
                <w:rFonts w:ascii="Arial" w:hAnsi="Arial" w:cs="Arial"/>
                <w:sz w:val="20"/>
                <w:szCs w:val="20"/>
              </w:rPr>
            </w:pPr>
            <w:r w:rsidRPr="00022931">
              <w:rPr>
                <w:rFonts w:ascii="Arial" w:hAnsi="Arial" w:cs="Arial"/>
                <w:b/>
                <w:bCs/>
                <w:sz w:val="20"/>
                <w:szCs w:val="20"/>
              </w:rPr>
              <w:t>Service component</w:t>
            </w:r>
          </w:p>
        </w:tc>
        <w:tc>
          <w:tcPr>
            <w:tcW w:w="5386" w:type="dxa"/>
            <w:gridSpan w:val="5"/>
            <w:shd w:val="clear" w:color="auto" w:fill="F2F2F2" w:themeFill="background1" w:themeFillShade="F2"/>
          </w:tcPr>
          <w:p w:rsidRPr="00022931" w:rsidR="006B2011" w:rsidP="00EA7C4F" w:rsidRDefault="006B2011" w14:paraId="0A95E2FB" w14:textId="77777777">
            <w:pPr>
              <w:pStyle w:val="Default"/>
              <w:spacing w:before="120" w:after="120" w:line="240" w:lineRule="atLeast"/>
              <w:jc w:val="center"/>
              <w:rPr>
                <w:rFonts w:ascii="Arial" w:hAnsi="Arial" w:cs="Arial"/>
                <w:sz w:val="20"/>
                <w:szCs w:val="20"/>
              </w:rPr>
            </w:pPr>
            <w:r w:rsidRPr="00022931">
              <w:rPr>
                <w:rFonts w:ascii="Arial" w:hAnsi="Arial" w:cs="Arial"/>
                <w:b/>
                <w:sz w:val="20"/>
                <w:szCs w:val="20"/>
              </w:rPr>
              <w:t>Contract Year</w:t>
            </w:r>
            <w:r w:rsidRPr="005B667F">
              <w:rPr>
                <w:rFonts w:ascii="Arial" w:hAnsi="Arial" w:cs="Arial"/>
              </w:rPr>
              <w:t xml:space="preserve"> </w:t>
            </w:r>
          </w:p>
        </w:tc>
      </w:tr>
      <w:tr w:rsidRPr="00022931" w:rsidR="006B2011" w:rsidTr="00D802AE" w14:paraId="00C743BD" w14:textId="77777777">
        <w:tc>
          <w:tcPr>
            <w:tcW w:w="1701" w:type="dxa"/>
            <w:shd w:val="clear" w:color="auto" w:fill="F2F2F2" w:themeFill="background1" w:themeFillShade="F2"/>
          </w:tcPr>
          <w:p w:rsidRPr="00022931" w:rsidR="006B2011" w:rsidP="00EA7C4F" w:rsidRDefault="006B2011" w14:paraId="0B37372A" w14:textId="77777777">
            <w:pPr>
              <w:pStyle w:val="Body4"/>
              <w:spacing w:before="120" w:after="120" w:line="240" w:lineRule="atLeast"/>
              <w:ind w:left="0"/>
              <w:jc w:val="left"/>
              <w:rPr>
                <w:rFonts w:cs="Arial"/>
              </w:rPr>
            </w:pPr>
          </w:p>
        </w:tc>
        <w:tc>
          <w:tcPr>
            <w:tcW w:w="2410" w:type="dxa"/>
            <w:shd w:val="clear" w:color="auto" w:fill="F2F2F2" w:themeFill="background1" w:themeFillShade="F2"/>
          </w:tcPr>
          <w:p w:rsidRPr="00022931" w:rsidR="006B2011" w:rsidP="00EA7C4F" w:rsidRDefault="006B2011" w14:paraId="604BF11D" w14:textId="77777777">
            <w:pPr>
              <w:pStyle w:val="Body4"/>
              <w:spacing w:before="120" w:after="120" w:line="240" w:lineRule="atLeast"/>
              <w:ind w:left="0"/>
              <w:rPr>
                <w:rFonts w:cs="Arial"/>
              </w:rPr>
            </w:pPr>
          </w:p>
        </w:tc>
        <w:tc>
          <w:tcPr>
            <w:tcW w:w="1559" w:type="dxa"/>
            <w:shd w:val="clear" w:color="auto" w:fill="F2F2F2" w:themeFill="background1" w:themeFillShade="F2"/>
          </w:tcPr>
          <w:p w:rsidRPr="00022931" w:rsidR="006B2011" w:rsidP="00EA7C4F" w:rsidRDefault="006B2011" w14:paraId="5C6DE1D7" w14:textId="7D1FC215">
            <w:pPr>
              <w:pStyle w:val="Body4"/>
              <w:spacing w:before="120" w:after="120" w:line="240" w:lineRule="atLeast"/>
              <w:ind w:left="0"/>
              <w:jc w:val="center"/>
              <w:rPr>
                <w:rFonts w:cs="Arial"/>
                <w:b/>
              </w:rPr>
            </w:pPr>
            <w:r w:rsidRPr="00022931">
              <w:rPr>
                <w:rFonts w:cs="Arial"/>
                <w:b/>
              </w:rPr>
              <w:t xml:space="preserve">1 – 1 </w:t>
            </w:r>
            <w:r w:rsidR="00EB12DC">
              <w:rPr>
                <w:rFonts w:cs="Arial"/>
                <w:b/>
              </w:rPr>
              <w:t>April</w:t>
            </w:r>
            <w:r w:rsidRPr="00022931">
              <w:rPr>
                <w:rFonts w:cs="Arial"/>
                <w:b/>
              </w:rPr>
              <w:t xml:space="preserve"> 2025 – </w:t>
            </w:r>
            <w:r w:rsidR="00EB12DC">
              <w:rPr>
                <w:rFonts w:cs="Arial"/>
                <w:b/>
              </w:rPr>
              <w:t>31 March</w:t>
            </w:r>
            <w:r w:rsidRPr="00022931">
              <w:rPr>
                <w:rFonts w:cs="Arial"/>
                <w:b/>
              </w:rPr>
              <w:t xml:space="preserve"> 2026</w:t>
            </w:r>
          </w:p>
        </w:tc>
        <w:tc>
          <w:tcPr>
            <w:tcW w:w="992" w:type="dxa"/>
            <w:shd w:val="clear" w:color="auto" w:fill="F2F2F2" w:themeFill="background1" w:themeFillShade="F2"/>
          </w:tcPr>
          <w:p w:rsidRPr="00022931" w:rsidR="006B2011" w:rsidP="00EA7C4F" w:rsidRDefault="006B2011" w14:paraId="7E7DDC0E" w14:textId="41951870">
            <w:pPr>
              <w:pStyle w:val="Body4"/>
              <w:spacing w:before="120" w:after="120" w:line="240" w:lineRule="atLeast"/>
              <w:ind w:left="0"/>
              <w:jc w:val="center"/>
              <w:rPr>
                <w:rFonts w:cs="Arial"/>
                <w:b/>
              </w:rPr>
            </w:pPr>
            <w:r w:rsidRPr="00022931">
              <w:rPr>
                <w:rFonts w:cs="Arial"/>
                <w:b/>
              </w:rPr>
              <w:t xml:space="preserve">2 – 1 </w:t>
            </w:r>
            <w:r w:rsidR="00EB12DC">
              <w:rPr>
                <w:rFonts w:cs="Arial"/>
                <w:b/>
              </w:rPr>
              <w:t>April</w:t>
            </w:r>
            <w:r w:rsidRPr="00022931">
              <w:rPr>
                <w:rFonts w:cs="Arial"/>
                <w:b/>
              </w:rPr>
              <w:t xml:space="preserve"> 2026 – </w:t>
            </w:r>
            <w:r w:rsidR="00EB12DC">
              <w:rPr>
                <w:rFonts w:cs="Arial"/>
                <w:b/>
              </w:rPr>
              <w:t>31 March</w:t>
            </w:r>
            <w:r w:rsidRPr="00022931">
              <w:rPr>
                <w:rFonts w:cs="Arial"/>
                <w:b/>
              </w:rPr>
              <w:t xml:space="preserve"> 2027</w:t>
            </w:r>
          </w:p>
        </w:tc>
        <w:tc>
          <w:tcPr>
            <w:tcW w:w="851" w:type="dxa"/>
            <w:shd w:val="clear" w:color="auto" w:fill="F2F2F2" w:themeFill="background1" w:themeFillShade="F2"/>
          </w:tcPr>
          <w:p w:rsidRPr="00022931" w:rsidR="006B2011" w:rsidP="00EA7C4F" w:rsidRDefault="006B2011" w14:paraId="3D6FF4F4" w14:textId="55D24688">
            <w:pPr>
              <w:pStyle w:val="Body4"/>
              <w:spacing w:before="120" w:after="120" w:line="240" w:lineRule="atLeast"/>
              <w:ind w:left="0"/>
              <w:jc w:val="center"/>
              <w:rPr>
                <w:rFonts w:cs="Arial"/>
                <w:b/>
              </w:rPr>
            </w:pPr>
            <w:r w:rsidRPr="00022931">
              <w:rPr>
                <w:rFonts w:cs="Arial"/>
                <w:b/>
              </w:rPr>
              <w:t xml:space="preserve">3 – 1 </w:t>
            </w:r>
            <w:r w:rsidR="00EB12DC">
              <w:rPr>
                <w:rFonts w:cs="Arial"/>
                <w:b/>
              </w:rPr>
              <w:t>April</w:t>
            </w:r>
            <w:r w:rsidRPr="00022931">
              <w:rPr>
                <w:rFonts w:cs="Arial"/>
                <w:b/>
              </w:rPr>
              <w:t xml:space="preserve"> 2027 – </w:t>
            </w:r>
            <w:r w:rsidR="00EB12DC">
              <w:rPr>
                <w:rFonts w:cs="Arial"/>
                <w:b/>
              </w:rPr>
              <w:t>31 March</w:t>
            </w:r>
            <w:r w:rsidRPr="00022931">
              <w:rPr>
                <w:rFonts w:cs="Arial"/>
                <w:b/>
              </w:rPr>
              <w:t xml:space="preserve"> 2028</w:t>
            </w:r>
          </w:p>
        </w:tc>
        <w:tc>
          <w:tcPr>
            <w:tcW w:w="850" w:type="dxa"/>
            <w:shd w:val="clear" w:color="auto" w:fill="F2F2F2" w:themeFill="background1" w:themeFillShade="F2"/>
          </w:tcPr>
          <w:p w:rsidRPr="00022931" w:rsidR="006B2011" w:rsidP="00EA7C4F" w:rsidRDefault="006B2011" w14:paraId="0B1515D4" w14:textId="3E1F0E28">
            <w:pPr>
              <w:pStyle w:val="Body4"/>
              <w:spacing w:before="120" w:after="120" w:line="240" w:lineRule="atLeast"/>
              <w:ind w:left="0"/>
              <w:jc w:val="center"/>
              <w:rPr>
                <w:rFonts w:cs="Arial"/>
                <w:b/>
              </w:rPr>
            </w:pPr>
            <w:r w:rsidRPr="00022931">
              <w:rPr>
                <w:rFonts w:cs="Arial"/>
                <w:b/>
              </w:rPr>
              <w:t xml:space="preserve">4 – 1 </w:t>
            </w:r>
            <w:r w:rsidR="00EB12DC">
              <w:rPr>
                <w:rFonts w:cs="Arial"/>
                <w:b/>
              </w:rPr>
              <w:t>April</w:t>
            </w:r>
            <w:r w:rsidRPr="00022931">
              <w:rPr>
                <w:rFonts w:cs="Arial"/>
                <w:b/>
              </w:rPr>
              <w:t xml:space="preserve"> 2028 – </w:t>
            </w:r>
            <w:r w:rsidR="00EB12DC">
              <w:rPr>
                <w:rFonts w:cs="Arial"/>
                <w:b/>
              </w:rPr>
              <w:t>31 March</w:t>
            </w:r>
            <w:r w:rsidRPr="00022931">
              <w:rPr>
                <w:rFonts w:cs="Arial"/>
                <w:b/>
              </w:rPr>
              <w:t xml:space="preserve"> 2029</w:t>
            </w:r>
          </w:p>
        </w:tc>
        <w:tc>
          <w:tcPr>
            <w:tcW w:w="1134" w:type="dxa"/>
            <w:shd w:val="clear" w:color="auto" w:fill="F2F2F2" w:themeFill="background1" w:themeFillShade="F2"/>
          </w:tcPr>
          <w:p w:rsidRPr="00022931" w:rsidR="006B2011" w:rsidP="00EA7C4F" w:rsidRDefault="006B2011" w14:paraId="42F309AF" w14:textId="5FADA75C">
            <w:pPr>
              <w:pStyle w:val="Body4"/>
              <w:spacing w:before="120" w:after="120" w:line="240" w:lineRule="atLeast"/>
              <w:ind w:left="0"/>
              <w:jc w:val="center"/>
              <w:rPr>
                <w:rFonts w:cs="Arial"/>
                <w:b/>
              </w:rPr>
            </w:pPr>
            <w:r w:rsidRPr="00022931">
              <w:rPr>
                <w:rFonts w:cs="Arial"/>
                <w:b/>
              </w:rPr>
              <w:t xml:space="preserve">5 – 1 </w:t>
            </w:r>
            <w:r w:rsidR="00EB12DC">
              <w:rPr>
                <w:rFonts w:cs="Arial"/>
                <w:b/>
              </w:rPr>
              <w:t>April</w:t>
            </w:r>
            <w:r w:rsidRPr="00022931">
              <w:rPr>
                <w:rFonts w:cs="Arial"/>
                <w:b/>
              </w:rPr>
              <w:t xml:space="preserve"> 2029 – </w:t>
            </w:r>
            <w:r w:rsidR="00EB12DC">
              <w:rPr>
                <w:rFonts w:cs="Arial"/>
                <w:b/>
              </w:rPr>
              <w:t>31 March</w:t>
            </w:r>
            <w:r w:rsidRPr="00022931">
              <w:rPr>
                <w:rFonts w:cs="Arial"/>
                <w:b/>
              </w:rPr>
              <w:t xml:space="preserve"> 2030</w:t>
            </w:r>
          </w:p>
        </w:tc>
      </w:tr>
      <w:tr w:rsidRPr="00022931" w:rsidR="0037092A" w:rsidTr="00D802AE" w14:paraId="35BA68D8" w14:textId="77777777">
        <w:tc>
          <w:tcPr>
            <w:tcW w:w="1701" w:type="dxa"/>
            <w:shd w:val="clear" w:color="auto" w:fill="F2F2F2" w:themeFill="background1" w:themeFillShade="F2"/>
          </w:tcPr>
          <w:p w:rsidRPr="00022931" w:rsidR="0037092A" w:rsidP="0037092A" w:rsidRDefault="0037092A" w14:paraId="15A33F70" w14:textId="6EAAF6E6">
            <w:pPr>
              <w:pStyle w:val="Body4"/>
              <w:spacing w:before="120" w:after="120" w:line="240" w:lineRule="atLeast"/>
              <w:ind w:left="0"/>
              <w:jc w:val="left"/>
              <w:rPr>
                <w:rFonts w:cs="Arial"/>
              </w:rPr>
            </w:pPr>
            <w:proofErr w:type="spellStart"/>
            <w:r w:rsidRPr="000C3FDD">
              <w:rPr>
                <w:rFonts w:cs="Arial"/>
              </w:rPr>
              <w:t>AC</w:t>
            </w:r>
            <w:r w:rsidRPr="007A4444">
              <w:rPr>
                <w:rFonts w:cs="Arial"/>
                <w:vertAlign w:val="superscript"/>
              </w:rPr>
              <w:t>Fi</w:t>
            </w:r>
            <w:proofErr w:type="spellEnd"/>
            <w:r w:rsidRPr="00022931">
              <w:rPr>
                <w:rFonts w:cs="Arial"/>
              </w:rPr>
              <w:t xml:space="preserve"> SDA7 – Pricing Band 1</w:t>
            </w:r>
          </w:p>
        </w:tc>
        <w:tc>
          <w:tcPr>
            <w:tcW w:w="2410" w:type="dxa"/>
            <w:shd w:val="clear" w:color="auto" w:fill="F2F2F2" w:themeFill="background1" w:themeFillShade="F2"/>
          </w:tcPr>
          <w:p w:rsidRPr="00022931" w:rsidR="0037092A" w:rsidP="0037092A" w:rsidRDefault="0037092A" w14:paraId="32C55A12" w14:textId="08AB6198">
            <w:pPr>
              <w:pStyle w:val="Default"/>
              <w:spacing w:before="120" w:after="120" w:line="240" w:lineRule="atLeast"/>
              <w:jc w:val="left"/>
              <w:rPr>
                <w:rFonts w:ascii="Arial" w:hAnsi="Arial" w:cs="Arial"/>
                <w:sz w:val="20"/>
                <w:szCs w:val="20"/>
              </w:rPr>
            </w:pPr>
            <w:r w:rsidRPr="00022931">
              <w:rPr>
                <w:rFonts w:ascii="Arial" w:hAnsi="Arial" w:cs="Arial"/>
                <w:sz w:val="20"/>
                <w:szCs w:val="20"/>
              </w:rPr>
              <w:t>If Forecast / Actual Volume</w:t>
            </w:r>
            <w:r>
              <w:rPr>
                <w:rFonts w:ascii="Arial" w:hAnsi="Arial" w:cs="Arial"/>
                <w:sz w:val="20"/>
                <w:szCs w:val="20"/>
              </w:rPr>
              <w:t xml:space="preserve"> is greater than the Baseline volume plus 5% but less than or equal to the Maximum volume</w:t>
            </w:r>
          </w:p>
        </w:tc>
        <w:tc>
          <w:tcPr>
            <w:tcW w:w="1559" w:type="dxa"/>
          </w:tcPr>
          <w:p w:rsidRPr="00022931" w:rsidR="0037092A" w:rsidP="0037092A" w:rsidRDefault="0037092A" w14:paraId="581D28B9" w14:textId="77777777">
            <w:pPr>
              <w:pStyle w:val="Body4"/>
              <w:spacing w:before="120" w:after="120" w:line="240" w:lineRule="atLeast"/>
              <w:ind w:left="0"/>
              <w:jc w:val="center"/>
              <w:rPr>
                <w:rFonts w:cs="Arial"/>
              </w:rPr>
            </w:pPr>
            <w:r w:rsidRPr="00022931">
              <w:rPr>
                <w:rFonts w:cs="Arial"/>
              </w:rPr>
              <w:t>[c]</w:t>
            </w:r>
          </w:p>
        </w:tc>
        <w:tc>
          <w:tcPr>
            <w:tcW w:w="992" w:type="dxa"/>
          </w:tcPr>
          <w:p w:rsidRPr="00022931" w:rsidR="0037092A" w:rsidP="0037092A" w:rsidRDefault="0037092A" w14:paraId="71B02648" w14:textId="77777777">
            <w:pPr>
              <w:pStyle w:val="Body4"/>
              <w:spacing w:before="120" w:after="120" w:line="240" w:lineRule="atLeast"/>
              <w:ind w:left="0"/>
              <w:jc w:val="center"/>
              <w:rPr>
                <w:rFonts w:cs="Arial"/>
              </w:rPr>
            </w:pPr>
            <w:r w:rsidRPr="00022931">
              <w:rPr>
                <w:rFonts w:cs="Arial"/>
              </w:rPr>
              <w:t>[c]</w:t>
            </w:r>
          </w:p>
        </w:tc>
        <w:tc>
          <w:tcPr>
            <w:tcW w:w="851" w:type="dxa"/>
          </w:tcPr>
          <w:p w:rsidRPr="00022931" w:rsidR="0037092A" w:rsidP="0037092A" w:rsidRDefault="0037092A" w14:paraId="0DB999A3" w14:textId="77777777">
            <w:pPr>
              <w:pStyle w:val="Body4"/>
              <w:spacing w:before="120" w:after="120" w:line="240" w:lineRule="atLeast"/>
              <w:ind w:left="0"/>
              <w:jc w:val="center"/>
              <w:rPr>
                <w:rFonts w:cs="Arial"/>
              </w:rPr>
            </w:pPr>
            <w:r w:rsidRPr="00022931">
              <w:rPr>
                <w:rFonts w:cs="Arial"/>
              </w:rPr>
              <w:t>[c]</w:t>
            </w:r>
          </w:p>
        </w:tc>
        <w:tc>
          <w:tcPr>
            <w:tcW w:w="850" w:type="dxa"/>
          </w:tcPr>
          <w:p w:rsidRPr="00022931" w:rsidR="0037092A" w:rsidP="0037092A" w:rsidRDefault="0037092A" w14:paraId="2447B0E6" w14:textId="77777777">
            <w:pPr>
              <w:pStyle w:val="Body4"/>
              <w:spacing w:before="120" w:after="120" w:line="240" w:lineRule="atLeast"/>
              <w:ind w:left="0"/>
              <w:jc w:val="center"/>
              <w:rPr>
                <w:rFonts w:cs="Arial"/>
              </w:rPr>
            </w:pPr>
            <w:r w:rsidRPr="00022931">
              <w:rPr>
                <w:rFonts w:cs="Arial"/>
              </w:rPr>
              <w:t>[c]</w:t>
            </w:r>
          </w:p>
        </w:tc>
        <w:tc>
          <w:tcPr>
            <w:tcW w:w="1134" w:type="dxa"/>
          </w:tcPr>
          <w:p w:rsidRPr="00022931" w:rsidR="0037092A" w:rsidP="0037092A" w:rsidRDefault="0037092A" w14:paraId="6D5A213F" w14:textId="77777777">
            <w:pPr>
              <w:pStyle w:val="Body4"/>
              <w:spacing w:before="120" w:after="120" w:line="240" w:lineRule="atLeast"/>
              <w:ind w:left="0"/>
              <w:jc w:val="center"/>
              <w:rPr>
                <w:rFonts w:cs="Arial"/>
              </w:rPr>
            </w:pPr>
            <w:r w:rsidRPr="00022931">
              <w:rPr>
                <w:rFonts w:cs="Arial"/>
              </w:rPr>
              <w:t>[c]</w:t>
            </w:r>
          </w:p>
        </w:tc>
      </w:tr>
      <w:tr w:rsidRPr="00022931" w:rsidR="0037092A" w:rsidTr="00D802AE" w14:paraId="35D53FF7" w14:textId="77777777">
        <w:tc>
          <w:tcPr>
            <w:tcW w:w="1701" w:type="dxa"/>
            <w:shd w:val="clear" w:color="auto" w:fill="F2F2F2" w:themeFill="background1" w:themeFillShade="F2"/>
          </w:tcPr>
          <w:p w:rsidRPr="00022931" w:rsidR="0037092A" w:rsidP="0037092A" w:rsidRDefault="0037092A" w14:paraId="4B550328" w14:textId="2AAC5F17">
            <w:pPr>
              <w:pStyle w:val="Body4"/>
              <w:spacing w:before="120" w:after="120" w:line="240" w:lineRule="atLeast"/>
              <w:ind w:left="0"/>
              <w:jc w:val="left"/>
              <w:rPr>
                <w:rFonts w:cs="Arial"/>
              </w:rPr>
            </w:pPr>
            <w:proofErr w:type="spellStart"/>
            <w:r w:rsidRPr="000C3FDD">
              <w:rPr>
                <w:rFonts w:cs="Arial"/>
              </w:rPr>
              <w:lastRenderedPageBreak/>
              <w:t>AC</w:t>
            </w:r>
            <w:r w:rsidRPr="007A4444">
              <w:rPr>
                <w:rFonts w:cs="Arial"/>
                <w:vertAlign w:val="superscript"/>
              </w:rPr>
              <w:t>Fi</w:t>
            </w:r>
            <w:proofErr w:type="spellEnd"/>
            <w:r w:rsidRPr="00022931">
              <w:rPr>
                <w:rFonts w:cs="Arial"/>
              </w:rPr>
              <w:t xml:space="preserve"> SDA7 – Pricing Band 0</w:t>
            </w:r>
          </w:p>
        </w:tc>
        <w:tc>
          <w:tcPr>
            <w:tcW w:w="2410" w:type="dxa"/>
            <w:shd w:val="clear" w:color="auto" w:fill="F2F2F2" w:themeFill="background1" w:themeFillShade="F2"/>
          </w:tcPr>
          <w:p w:rsidRPr="00022931" w:rsidR="0037092A" w:rsidP="0037092A" w:rsidRDefault="0037092A" w14:paraId="1766E376" w14:textId="123B66F4">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If Forecast / Actual Volume = </w:t>
            </w:r>
            <w:r>
              <w:rPr>
                <w:rFonts w:ascii="Arial" w:hAnsi="Arial" w:cs="Arial"/>
                <w:sz w:val="20"/>
                <w:szCs w:val="20"/>
              </w:rPr>
              <w:t>Baseline volume plus or minus 5%</w:t>
            </w:r>
            <w:r>
              <w:rPr>
                <w:rStyle w:val="FootnoteReference"/>
                <w:rFonts w:ascii="Arial" w:hAnsi="Arial" w:cs="Arial"/>
                <w:sz w:val="20"/>
                <w:szCs w:val="20"/>
              </w:rPr>
              <w:footnoteReference w:id="3"/>
            </w:r>
          </w:p>
        </w:tc>
        <w:tc>
          <w:tcPr>
            <w:tcW w:w="1559" w:type="dxa"/>
          </w:tcPr>
          <w:p w:rsidRPr="00022931" w:rsidR="0037092A" w:rsidP="0037092A" w:rsidRDefault="0037092A" w14:paraId="6130D5BF" w14:textId="77777777">
            <w:pPr>
              <w:pStyle w:val="Body4"/>
              <w:spacing w:before="120" w:after="120" w:line="240" w:lineRule="atLeast"/>
              <w:ind w:left="0"/>
              <w:jc w:val="center"/>
              <w:rPr>
                <w:rFonts w:cs="Arial"/>
              </w:rPr>
            </w:pPr>
            <w:r w:rsidRPr="00022931">
              <w:rPr>
                <w:rFonts w:cs="Arial"/>
              </w:rPr>
              <w:t>[d]</w:t>
            </w:r>
          </w:p>
        </w:tc>
        <w:tc>
          <w:tcPr>
            <w:tcW w:w="992" w:type="dxa"/>
          </w:tcPr>
          <w:p w:rsidRPr="00022931" w:rsidR="0037092A" w:rsidP="0037092A" w:rsidRDefault="0037092A" w14:paraId="2984DCDA" w14:textId="77777777">
            <w:pPr>
              <w:pStyle w:val="Body4"/>
              <w:spacing w:before="120" w:after="120" w:line="240" w:lineRule="atLeast"/>
              <w:ind w:left="0"/>
              <w:jc w:val="center"/>
              <w:rPr>
                <w:rFonts w:cs="Arial"/>
              </w:rPr>
            </w:pPr>
            <w:r w:rsidRPr="00022931">
              <w:rPr>
                <w:rFonts w:cs="Arial"/>
              </w:rPr>
              <w:t>[d]</w:t>
            </w:r>
          </w:p>
        </w:tc>
        <w:tc>
          <w:tcPr>
            <w:tcW w:w="851" w:type="dxa"/>
          </w:tcPr>
          <w:p w:rsidRPr="00022931" w:rsidR="0037092A" w:rsidP="0037092A" w:rsidRDefault="0037092A" w14:paraId="69195037" w14:textId="77777777">
            <w:pPr>
              <w:pStyle w:val="Body4"/>
              <w:spacing w:before="120" w:after="120" w:line="240" w:lineRule="atLeast"/>
              <w:ind w:left="0"/>
              <w:jc w:val="center"/>
              <w:rPr>
                <w:rFonts w:cs="Arial"/>
              </w:rPr>
            </w:pPr>
            <w:r w:rsidRPr="00022931">
              <w:rPr>
                <w:rFonts w:cs="Arial"/>
              </w:rPr>
              <w:t>[d]</w:t>
            </w:r>
          </w:p>
        </w:tc>
        <w:tc>
          <w:tcPr>
            <w:tcW w:w="850" w:type="dxa"/>
          </w:tcPr>
          <w:p w:rsidRPr="00022931" w:rsidR="0037092A" w:rsidP="0037092A" w:rsidRDefault="0037092A" w14:paraId="0B273097" w14:textId="77777777">
            <w:pPr>
              <w:spacing w:before="120" w:after="120" w:line="240" w:lineRule="atLeast"/>
              <w:jc w:val="center"/>
              <w:rPr>
                <w:rFonts w:cs="Arial"/>
              </w:rPr>
            </w:pPr>
            <w:r w:rsidRPr="00022931">
              <w:rPr>
                <w:rFonts w:cs="Arial"/>
              </w:rPr>
              <w:t>[d]</w:t>
            </w:r>
          </w:p>
        </w:tc>
        <w:tc>
          <w:tcPr>
            <w:tcW w:w="1134" w:type="dxa"/>
          </w:tcPr>
          <w:p w:rsidRPr="00022931" w:rsidR="0037092A" w:rsidP="0037092A" w:rsidRDefault="0037092A" w14:paraId="797FC5D4" w14:textId="77777777">
            <w:pPr>
              <w:spacing w:before="120" w:after="120" w:line="240" w:lineRule="atLeast"/>
              <w:jc w:val="center"/>
              <w:rPr>
                <w:rFonts w:cs="Arial"/>
              </w:rPr>
            </w:pPr>
            <w:r w:rsidRPr="00022931">
              <w:rPr>
                <w:rFonts w:cs="Arial"/>
              </w:rPr>
              <w:t>[d]</w:t>
            </w:r>
          </w:p>
        </w:tc>
      </w:tr>
      <w:tr w:rsidRPr="00022931" w:rsidR="0037092A" w:rsidTr="00D802AE" w14:paraId="5DC5FD9C" w14:textId="77777777">
        <w:tc>
          <w:tcPr>
            <w:tcW w:w="1701" w:type="dxa"/>
            <w:shd w:val="clear" w:color="auto" w:fill="F2F2F2" w:themeFill="background1" w:themeFillShade="F2"/>
          </w:tcPr>
          <w:p w:rsidRPr="00022931" w:rsidR="0037092A" w:rsidP="0037092A" w:rsidRDefault="0037092A" w14:paraId="5103BA93" w14:textId="3EAB6573">
            <w:pPr>
              <w:pStyle w:val="Body4"/>
              <w:spacing w:before="120" w:after="120" w:line="240" w:lineRule="atLeast"/>
              <w:ind w:left="0"/>
              <w:jc w:val="left"/>
              <w:rPr>
                <w:rFonts w:cs="Arial"/>
              </w:rPr>
            </w:pPr>
            <w:proofErr w:type="spellStart"/>
            <w:r w:rsidRPr="000C3FDD">
              <w:rPr>
                <w:rFonts w:cs="Arial"/>
              </w:rPr>
              <w:t>AC</w:t>
            </w:r>
            <w:r w:rsidRPr="007A4444">
              <w:rPr>
                <w:rFonts w:cs="Arial"/>
                <w:vertAlign w:val="superscript"/>
              </w:rPr>
              <w:t>Fi</w:t>
            </w:r>
            <w:proofErr w:type="spellEnd"/>
            <w:r w:rsidRPr="00022931">
              <w:rPr>
                <w:rFonts w:cs="Arial"/>
              </w:rPr>
              <w:t xml:space="preserve"> SDA7 – Pricing Band -1</w:t>
            </w:r>
          </w:p>
        </w:tc>
        <w:tc>
          <w:tcPr>
            <w:tcW w:w="2410" w:type="dxa"/>
            <w:shd w:val="clear" w:color="auto" w:fill="F2F2F2" w:themeFill="background1" w:themeFillShade="F2"/>
          </w:tcPr>
          <w:p w:rsidRPr="00022931" w:rsidR="0037092A" w:rsidP="0037092A" w:rsidRDefault="0037092A" w14:paraId="17197D0F" w14:textId="08F04AF0">
            <w:pPr>
              <w:pStyle w:val="Default"/>
              <w:spacing w:before="120" w:after="120" w:line="240" w:lineRule="atLeast"/>
              <w:jc w:val="left"/>
              <w:rPr>
                <w:rFonts w:ascii="Arial" w:hAnsi="Arial" w:cs="Arial"/>
                <w:sz w:val="20"/>
                <w:szCs w:val="20"/>
              </w:rPr>
            </w:pPr>
            <w:r w:rsidRPr="00022931">
              <w:rPr>
                <w:rFonts w:ascii="Arial" w:hAnsi="Arial" w:cs="Arial"/>
                <w:sz w:val="20"/>
                <w:szCs w:val="20"/>
              </w:rPr>
              <w:t xml:space="preserve">If Forecast / Actual Volume </w:t>
            </w:r>
            <w:r>
              <w:rPr>
                <w:rFonts w:ascii="Arial" w:hAnsi="Arial" w:cs="Arial"/>
                <w:sz w:val="20"/>
                <w:szCs w:val="20"/>
              </w:rPr>
              <w:t>is less than the Baseline volume less 5% and greater than or equal to the Baseline volume less 15%</w:t>
            </w:r>
          </w:p>
        </w:tc>
        <w:tc>
          <w:tcPr>
            <w:tcW w:w="1559" w:type="dxa"/>
          </w:tcPr>
          <w:p w:rsidRPr="00022931" w:rsidR="0037092A" w:rsidP="0037092A" w:rsidRDefault="0037092A" w14:paraId="47DF7241" w14:textId="77777777">
            <w:pPr>
              <w:pStyle w:val="Body4"/>
              <w:spacing w:before="120" w:after="120" w:line="240" w:lineRule="atLeast"/>
              <w:ind w:left="0"/>
              <w:jc w:val="center"/>
              <w:rPr>
                <w:rFonts w:cs="Arial"/>
              </w:rPr>
            </w:pPr>
            <w:r w:rsidRPr="00022931">
              <w:rPr>
                <w:rFonts w:cs="Arial"/>
              </w:rPr>
              <w:t>[e]</w:t>
            </w:r>
          </w:p>
        </w:tc>
        <w:tc>
          <w:tcPr>
            <w:tcW w:w="992" w:type="dxa"/>
          </w:tcPr>
          <w:p w:rsidRPr="00022931" w:rsidR="0037092A" w:rsidP="0037092A" w:rsidRDefault="0037092A" w14:paraId="622EFE3B" w14:textId="77777777">
            <w:pPr>
              <w:pStyle w:val="Body4"/>
              <w:spacing w:before="120" w:after="120" w:line="240" w:lineRule="atLeast"/>
              <w:ind w:left="0"/>
              <w:jc w:val="center"/>
              <w:rPr>
                <w:rFonts w:cs="Arial"/>
              </w:rPr>
            </w:pPr>
            <w:r w:rsidRPr="00022931">
              <w:rPr>
                <w:rFonts w:cs="Arial"/>
              </w:rPr>
              <w:t>[e]</w:t>
            </w:r>
          </w:p>
        </w:tc>
        <w:tc>
          <w:tcPr>
            <w:tcW w:w="851" w:type="dxa"/>
          </w:tcPr>
          <w:p w:rsidRPr="00022931" w:rsidR="0037092A" w:rsidP="0037092A" w:rsidRDefault="0037092A" w14:paraId="3FDBF660" w14:textId="77777777">
            <w:pPr>
              <w:pStyle w:val="Body4"/>
              <w:spacing w:before="120" w:after="120" w:line="240" w:lineRule="atLeast"/>
              <w:ind w:left="0"/>
              <w:jc w:val="center"/>
              <w:rPr>
                <w:rFonts w:cs="Arial"/>
              </w:rPr>
            </w:pPr>
            <w:r w:rsidRPr="00022931">
              <w:rPr>
                <w:rFonts w:cs="Arial"/>
              </w:rPr>
              <w:t>[e]</w:t>
            </w:r>
          </w:p>
        </w:tc>
        <w:tc>
          <w:tcPr>
            <w:tcW w:w="850" w:type="dxa"/>
          </w:tcPr>
          <w:p w:rsidRPr="00022931" w:rsidR="0037092A" w:rsidP="0037092A" w:rsidRDefault="0037092A" w14:paraId="74878BA7" w14:textId="77777777">
            <w:pPr>
              <w:spacing w:before="120" w:after="120" w:line="240" w:lineRule="atLeast"/>
              <w:jc w:val="center"/>
              <w:rPr>
                <w:rFonts w:cs="Arial"/>
              </w:rPr>
            </w:pPr>
            <w:r w:rsidRPr="00022931">
              <w:rPr>
                <w:rFonts w:cs="Arial"/>
              </w:rPr>
              <w:t>[e]</w:t>
            </w:r>
          </w:p>
        </w:tc>
        <w:tc>
          <w:tcPr>
            <w:tcW w:w="1134" w:type="dxa"/>
          </w:tcPr>
          <w:p w:rsidRPr="00022931" w:rsidR="0037092A" w:rsidP="0037092A" w:rsidRDefault="0037092A" w14:paraId="0F056A26" w14:textId="77777777">
            <w:pPr>
              <w:spacing w:before="120" w:after="120" w:line="240" w:lineRule="atLeast"/>
              <w:jc w:val="center"/>
              <w:rPr>
                <w:rFonts w:cs="Arial"/>
              </w:rPr>
            </w:pPr>
            <w:r w:rsidRPr="00022931">
              <w:rPr>
                <w:rFonts w:cs="Arial"/>
              </w:rPr>
              <w:t>[e]</w:t>
            </w:r>
          </w:p>
        </w:tc>
      </w:tr>
    </w:tbl>
    <w:p w:rsidR="006B2011" w:rsidP="006B2011" w:rsidRDefault="006B2011" w14:paraId="250CC83F" w14:textId="1DCC0206">
      <w:pPr>
        <w:pStyle w:val="Body3"/>
        <w:tabs>
          <w:tab w:val="left" w:pos="5900"/>
        </w:tabs>
        <w:jc w:val="left"/>
        <w:rPr>
          <w:rFonts w:cs="Arial"/>
          <w:b/>
        </w:rPr>
      </w:pPr>
    </w:p>
    <w:p w:rsidRPr="005B667F" w:rsidR="006B2011" w:rsidP="009B6FDB" w:rsidRDefault="006B2011" w14:paraId="26FAB68C" w14:textId="77777777">
      <w:pPr>
        <w:pStyle w:val="Body3"/>
        <w:tabs>
          <w:tab w:val="left" w:pos="5900"/>
        </w:tabs>
        <w:jc w:val="left"/>
        <w:rPr>
          <w:rFonts w:cs="Arial"/>
          <w:b/>
        </w:rPr>
      </w:pPr>
    </w:p>
    <w:sectPr w:rsidRPr="005B667F" w:rsidR="006B2011" w:rsidSect="00D802AE">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31BA" w:rsidP="00A963BA" w:rsidRDefault="003931BA" w14:paraId="0CD4ECB5" w14:textId="77777777">
      <w:pPr>
        <w:spacing w:after="0" w:line="240" w:lineRule="auto"/>
      </w:pPr>
      <w:r>
        <w:separator/>
      </w:r>
    </w:p>
  </w:endnote>
  <w:endnote w:type="continuationSeparator" w:id="0">
    <w:p w:rsidR="003931BA" w:rsidP="00A963BA" w:rsidRDefault="003931BA" w14:paraId="3DD23E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YInterstate">
    <w:altName w:val="Corbel"/>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1BA" w:rsidRDefault="003931BA" w14:paraId="3178F4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040416"/>
      <w:docPartObj>
        <w:docPartGallery w:val="Page Numbers (Bottom of Page)"/>
        <w:docPartUnique/>
      </w:docPartObj>
    </w:sdtPr>
    <w:sdtEndPr>
      <w:rPr>
        <w:noProof/>
      </w:rPr>
    </w:sdtEndPr>
    <w:sdtContent>
      <w:p w:rsidR="003931BA" w:rsidRDefault="003931BA" w14:paraId="4C0B8DBE" w14:textId="6AE78D72">
        <w:pPr>
          <w:pStyle w:val="Footer"/>
          <w:jc w:val="center"/>
        </w:pPr>
        <w:r>
          <w:fldChar w:fldCharType="begin"/>
        </w:r>
        <w:r>
          <w:instrText xml:space="preserve"> PAGE   \* MERGEFORMAT </w:instrText>
        </w:r>
        <w:r>
          <w:fldChar w:fldCharType="separate"/>
        </w:r>
        <w:r w:rsidR="004458E3">
          <w:rPr>
            <w:noProof/>
          </w:rPr>
          <w:t>2</w:t>
        </w:r>
        <w:r>
          <w:rPr>
            <w:noProof/>
          </w:rPr>
          <w:fldChar w:fldCharType="end"/>
        </w:r>
      </w:p>
    </w:sdtContent>
  </w:sdt>
  <w:p w:rsidR="003931BA" w:rsidRDefault="003931BA" w14:paraId="5D1082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1BA" w:rsidRDefault="003931BA" w14:paraId="6170B7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31BA" w:rsidP="00A963BA" w:rsidRDefault="003931BA" w14:paraId="6B8C2B67" w14:textId="77777777">
      <w:pPr>
        <w:spacing w:after="0" w:line="240" w:lineRule="auto"/>
      </w:pPr>
      <w:r>
        <w:separator/>
      </w:r>
    </w:p>
  </w:footnote>
  <w:footnote w:type="continuationSeparator" w:id="0">
    <w:p w:rsidR="003931BA" w:rsidP="00A963BA" w:rsidRDefault="003931BA" w14:paraId="2B36442C" w14:textId="77777777">
      <w:pPr>
        <w:spacing w:after="0" w:line="240" w:lineRule="auto"/>
      </w:pPr>
      <w:r>
        <w:continuationSeparator/>
      </w:r>
    </w:p>
  </w:footnote>
  <w:footnote w:id="1">
    <w:p w:rsidR="003931BA" w:rsidRDefault="003931BA" w14:paraId="27CF8034" w14:textId="22FB34CD">
      <w:pPr>
        <w:pStyle w:val="FootnoteText"/>
      </w:pPr>
      <w:r>
        <w:rPr>
          <w:rStyle w:val="FootnoteReference"/>
        </w:rPr>
        <w:footnoteRef/>
      </w:r>
      <w:r>
        <w:t xml:space="preserve"> The Baseline volume is as set out in Schedule 2 (Statement of Requirement) and is equal to 85% of the Maximum volume.</w:t>
      </w:r>
    </w:p>
  </w:footnote>
  <w:footnote w:id="2">
    <w:p w:rsidR="003931BA" w:rsidRDefault="003931BA" w14:paraId="3C785C1D" w14:textId="2855C276">
      <w:pPr>
        <w:pStyle w:val="FootnoteText"/>
      </w:pPr>
      <w:r>
        <w:rPr>
          <w:rStyle w:val="FootnoteReference"/>
        </w:rPr>
        <w:footnoteRef/>
      </w:r>
      <w:r>
        <w:t xml:space="preserve"> The Baseline volume is as set out in Schedule 2 (Statement of Requirement) and is equal to 85% of the Maximum volume.</w:t>
      </w:r>
    </w:p>
  </w:footnote>
  <w:footnote w:id="3">
    <w:p w:rsidR="003931BA" w:rsidRDefault="003931BA" w14:paraId="4A1D4937" w14:textId="37326919">
      <w:pPr>
        <w:pStyle w:val="FootnoteText"/>
      </w:pPr>
      <w:r>
        <w:rPr>
          <w:rStyle w:val="FootnoteReference"/>
        </w:rPr>
        <w:footnoteRef/>
      </w:r>
      <w:r>
        <w:t xml:space="preserve"> The Baseline volume is as set out in Schedule 2 (Statement of Requirement) and is equal to 85% of the Maximum volume.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1BA" w:rsidRDefault="003931BA" w14:paraId="546C0E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D5245" w:rsidR="003931BA" w:rsidP="003D5245" w:rsidRDefault="003931BA" w14:paraId="0BAF53E2" w14:textId="1FBC5BD3">
    <w:pPr>
      <w:jc w:val="center"/>
      <w:rPr>
        <w:rFonts w:eastAsia="Arial" w:cs="Arial"/>
        <w:noProof/>
        <w:color w:val="000000"/>
      </w:rPr>
    </w:pPr>
    <w:r w:rsidRPr="003D5245">
      <w:rPr>
        <w:rFonts w:eastAsia="Arial" w:cs="Arial"/>
        <w:noProof/>
        <w:color w:val="00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1BA" w:rsidRDefault="003931BA" w14:paraId="4C50A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BDACF78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b w:val="0"/>
        <w:i w:val="0"/>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ED45055"/>
    <w:multiLevelType w:val="singleLevel"/>
    <w:tmpl w:val="FAF405C4"/>
    <w:lvl w:ilvl="0">
      <w:start w:val="1"/>
      <w:numFmt w:val="lowerRoman"/>
      <w:pStyle w:val="definitionsub-sub"/>
      <w:lvlText w:val="(%1)"/>
      <w:lvlJc w:val="left"/>
      <w:pPr>
        <w:ind w:left="360" w:hanging="360"/>
      </w:pPr>
      <w:rPr>
        <w:rFonts w:hint="default"/>
        <w:b w:val="0"/>
        <w:i w:val="0"/>
      </w:rPr>
    </w:lvl>
  </w:abstractNum>
  <w:abstractNum w:abstractNumId="3" w15:restartNumberingAfterBreak="0">
    <w:nsid w:val="43316AC0"/>
    <w:multiLevelType w:val="hybridMultilevel"/>
    <w:tmpl w:val="CF8A7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13D35"/>
    <w:multiLevelType w:val="multilevel"/>
    <w:tmpl w:val="6512CB64"/>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lowerLetter"/>
      <w:pStyle w:val="Heading3"/>
      <w:lvlText w:val="(%3)"/>
      <w:lvlJc w:val="left"/>
      <w:pPr>
        <w:tabs>
          <w:tab w:val="num" w:pos="1417"/>
        </w:tabs>
        <w:ind w:left="1417" w:hanging="708"/>
      </w:pPr>
      <w:rPr>
        <w:rFonts w:hint="default"/>
        <w:b w:val="0"/>
      </w:rPr>
    </w:lvl>
    <w:lvl w:ilvl="3">
      <w:start w:val="1"/>
      <w:numFmt w:val="lowerLetter"/>
      <w:pStyle w:val="Heading4"/>
      <w:lvlText w:val="(%4)"/>
      <w:lvlJc w:val="left"/>
      <w:pPr>
        <w:tabs>
          <w:tab w:val="num" w:pos="2694"/>
        </w:tabs>
        <w:ind w:left="2694" w:hanging="709"/>
      </w:pPr>
      <w:rPr>
        <w:rFonts w:hint="default" w:ascii="Arial" w:hAnsi="Arial" w:cs="Arial" w:eastAsiaTheme="minorHAnsi"/>
      </w:rPr>
    </w:lvl>
    <w:lvl w:ilvl="4">
      <w:start w:val="1"/>
      <w:numFmt w:val="lowerRoman"/>
      <w:pStyle w:val="Heading5"/>
      <w:lvlText w:val="(%5)"/>
      <w:lvlJc w:val="left"/>
      <w:pPr>
        <w:tabs>
          <w:tab w:val="num" w:pos="2835"/>
        </w:tabs>
        <w:ind w:left="2835" w:hanging="709"/>
      </w:pPr>
      <w:rPr>
        <w:rFonts w:hint="default" w:ascii="Arial" w:hAnsi="Arial" w:cs="Arial" w:eastAsiaTheme="minorHAnsi"/>
        <w:b w:val="0"/>
        <w:color w:val="auto"/>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6"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hint="default" w:ascii="Times New Roman" w:hAnsi="Times New Roman" w:cs="Times New Roman"/>
        <w:b w:val="0"/>
        <w:i w:val="0"/>
        <w:sz w:val="24"/>
        <w:szCs w:val="24"/>
      </w:rPr>
    </w:lvl>
  </w:abstractNum>
  <w:abstractNum w:abstractNumId="7"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pStyle w:val="Bullet8"/>
      <w:lvlText w:val=""/>
      <w:lvlJc w:val="left"/>
      <w:pPr>
        <w:tabs>
          <w:tab w:val="num" w:pos="4961"/>
        </w:tabs>
        <w:ind w:left="4961" w:hanging="709"/>
      </w:pPr>
      <w:rPr>
        <w:rFonts w:hint="default" w:ascii="Symbol" w:hAnsi="Symbol"/>
      </w:rPr>
    </w:lvl>
    <w:lvl w:ilvl="8">
      <w:start w:val="1"/>
      <w:numFmt w:val="bullet"/>
      <w:pStyle w:val="Bullet9"/>
      <w:lvlText w:val=""/>
      <w:lvlJc w:val="left"/>
      <w:pPr>
        <w:tabs>
          <w:tab w:val="num" w:pos="5669"/>
        </w:tabs>
        <w:ind w:left="5669" w:hanging="708"/>
      </w:pPr>
      <w:rPr>
        <w:rFonts w:hint="default" w:ascii="Symbol" w:hAnsi="Symbol"/>
      </w:rPr>
    </w:lvl>
  </w:abstractNum>
  <w:abstractNum w:abstractNumId="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9" w15:restartNumberingAfterBreak="0">
    <w:nsid w:val="7FC6215E"/>
    <w:multiLevelType w:val="multilevel"/>
    <w:tmpl w:val="97CAC22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7"/>
  </w:num>
  <w:num w:numId="2">
    <w:abstractNumId w:val="0"/>
  </w:num>
  <w:num w:numId="3">
    <w:abstractNumId w:val="2"/>
  </w:num>
  <w:num w:numId="4">
    <w:abstractNumId w:val="4"/>
  </w:num>
  <w:num w:numId="5">
    <w:abstractNumId w:val="8"/>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9"/>
  </w:num>
  <w:num w:numId="23">
    <w:abstractNumId w:val="6"/>
  </w:num>
  <w:num w:numId="24">
    <w:abstractNumId w:val="6"/>
    <w:lvlOverride w:ilvl="0">
      <w:startOverride w:val="1"/>
    </w:lvlOverride>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4"/>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4"/>
  </w:num>
  <w:num w:numId="52">
    <w:abstractNumId w:val="4"/>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4"/>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4"/>
  </w:num>
  <w:num w:numId="59">
    <w:abstractNumId w:val="4"/>
  </w:num>
  <w:num w:numId="60">
    <w:abstractNumId w:val="3"/>
  </w:num>
  <w:num w:numId="61">
    <w:abstractNumId w:val="1"/>
  </w:num>
  <w:num w:numId="62">
    <w:abstractNumId w:val="1"/>
  </w:num>
  <w:num w:numId="63">
    <w:abstractNumId w:val="4"/>
  </w:num>
  <w:num w:numId="64">
    <w:abstractNumId w:val="1"/>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View" w:val="3"/>
  </w:docVars>
  <w:rsids>
    <w:rsidRoot w:val="009C6FB6"/>
    <w:rsid w:val="000012C8"/>
    <w:rsid w:val="00002005"/>
    <w:rsid w:val="000024B1"/>
    <w:rsid w:val="00004445"/>
    <w:rsid w:val="00005FBF"/>
    <w:rsid w:val="00007001"/>
    <w:rsid w:val="00011841"/>
    <w:rsid w:val="00014A1D"/>
    <w:rsid w:val="00015A1E"/>
    <w:rsid w:val="00015D6A"/>
    <w:rsid w:val="00016FEE"/>
    <w:rsid w:val="00022931"/>
    <w:rsid w:val="00023175"/>
    <w:rsid w:val="00025DF7"/>
    <w:rsid w:val="00027A54"/>
    <w:rsid w:val="00030093"/>
    <w:rsid w:val="00031394"/>
    <w:rsid w:val="00032E69"/>
    <w:rsid w:val="00035ED5"/>
    <w:rsid w:val="00036F67"/>
    <w:rsid w:val="000410C0"/>
    <w:rsid w:val="00042420"/>
    <w:rsid w:val="0004247D"/>
    <w:rsid w:val="00044213"/>
    <w:rsid w:val="00044924"/>
    <w:rsid w:val="00045900"/>
    <w:rsid w:val="000459DD"/>
    <w:rsid w:val="00050FF2"/>
    <w:rsid w:val="00051F65"/>
    <w:rsid w:val="00052277"/>
    <w:rsid w:val="000539B8"/>
    <w:rsid w:val="00053F2D"/>
    <w:rsid w:val="00055073"/>
    <w:rsid w:val="00056C94"/>
    <w:rsid w:val="000606AE"/>
    <w:rsid w:val="000627F0"/>
    <w:rsid w:val="00064431"/>
    <w:rsid w:val="0006555B"/>
    <w:rsid w:val="00065990"/>
    <w:rsid w:val="00066579"/>
    <w:rsid w:val="0006704E"/>
    <w:rsid w:val="00072C0A"/>
    <w:rsid w:val="00072C31"/>
    <w:rsid w:val="00072D71"/>
    <w:rsid w:val="00073C41"/>
    <w:rsid w:val="0007468F"/>
    <w:rsid w:val="0007515B"/>
    <w:rsid w:val="00075348"/>
    <w:rsid w:val="00076638"/>
    <w:rsid w:val="00077585"/>
    <w:rsid w:val="00077B8B"/>
    <w:rsid w:val="00080492"/>
    <w:rsid w:val="00080A13"/>
    <w:rsid w:val="00080AA0"/>
    <w:rsid w:val="00080F38"/>
    <w:rsid w:val="00081B75"/>
    <w:rsid w:val="00083327"/>
    <w:rsid w:val="0008365C"/>
    <w:rsid w:val="00090B4A"/>
    <w:rsid w:val="000926C2"/>
    <w:rsid w:val="00093912"/>
    <w:rsid w:val="00093C3F"/>
    <w:rsid w:val="000947A0"/>
    <w:rsid w:val="000952F6"/>
    <w:rsid w:val="000A03ED"/>
    <w:rsid w:val="000A0914"/>
    <w:rsid w:val="000A2A04"/>
    <w:rsid w:val="000A2C0A"/>
    <w:rsid w:val="000A5692"/>
    <w:rsid w:val="000B09F7"/>
    <w:rsid w:val="000B1138"/>
    <w:rsid w:val="000B3C1F"/>
    <w:rsid w:val="000B5B32"/>
    <w:rsid w:val="000B60D3"/>
    <w:rsid w:val="000B7707"/>
    <w:rsid w:val="000C0A2E"/>
    <w:rsid w:val="000C11E5"/>
    <w:rsid w:val="000C2D58"/>
    <w:rsid w:val="000C4D8E"/>
    <w:rsid w:val="000D193D"/>
    <w:rsid w:val="000D2726"/>
    <w:rsid w:val="000D4BC0"/>
    <w:rsid w:val="000D4FA0"/>
    <w:rsid w:val="000D5B46"/>
    <w:rsid w:val="000D5F12"/>
    <w:rsid w:val="000E5065"/>
    <w:rsid w:val="000E5957"/>
    <w:rsid w:val="000F1430"/>
    <w:rsid w:val="000F2197"/>
    <w:rsid w:val="000F440C"/>
    <w:rsid w:val="000F670B"/>
    <w:rsid w:val="000F6D46"/>
    <w:rsid w:val="000F6DF7"/>
    <w:rsid w:val="00104CD4"/>
    <w:rsid w:val="001054D7"/>
    <w:rsid w:val="00106F7F"/>
    <w:rsid w:val="00110DF7"/>
    <w:rsid w:val="001133BD"/>
    <w:rsid w:val="00116FD5"/>
    <w:rsid w:val="00121117"/>
    <w:rsid w:val="001212F1"/>
    <w:rsid w:val="0012797A"/>
    <w:rsid w:val="001304C2"/>
    <w:rsid w:val="00133117"/>
    <w:rsid w:val="001352EF"/>
    <w:rsid w:val="0013564F"/>
    <w:rsid w:val="00135E91"/>
    <w:rsid w:val="00137AF1"/>
    <w:rsid w:val="00140440"/>
    <w:rsid w:val="00141084"/>
    <w:rsid w:val="00143DC5"/>
    <w:rsid w:val="00146A6B"/>
    <w:rsid w:val="00151627"/>
    <w:rsid w:val="00153FB6"/>
    <w:rsid w:val="001546C0"/>
    <w:rsid w:val="00154B1A"/>
    <w:rsid w:val="00155ED8"/>
    <w:rsid w:val="0015749C"/>
    <w:rsid w:val="001611C2"/>
    <w:rsid w:val="00161825"/>
    <w:rsid w:val="00161D52"/>
    <w:rsid w:val="00165916"/>
    <w:rsid w:val="00165C3B"/>
    <w:rsid w:val="0016765A"/>
    <w:rsid w:val="00167EB0"/>
    <w:rsid w:val="001745B1"/>
    <w:rsid w:val="0017598F"/>
    <w:rsid w:val="00175CBA"/>
    <w:rsid w:val="00180719"/>
    <w:rsid w:val="00180BE7"/>
    <w:rsid w:val="001819AC"/>
    <w:rsid w:val="00183A6C"/>
    <w:rsid w:val="001847E6"/>
    <w:rsid w:val="00185334"/>
    <w:rsid w:val="00187A96"/>
    <w:rsid w:val="001904CB"/>
    <w:rsid w:val="0019223C"/>
    <w:rsid w:val="00194158"/>
    <w:rsid w:val="00194555"/>
    <w:rsid w:val="00194A7D"/>
    <w:rsid w:val="00195CA6"/>
    <w:rsid w:val="001A18B9"/>
    <w:rsid w:val="001A2283"/>
    <w:rsid w:val="001A2FC2"/>
    <w:rsid w:val="001A4D1E"/>
    <w:rsid w:val="001A7AF7"/>
    <w:rsid w:val="001A7D55"/>
    <w:rsid w:val="001B023F"/>
    <w:rsid w:val="001B254D"/>
    <w:rsid w:val="001B2FA1"/>
    <w:rsid w:val="001B3809"/>
    <w:rsid w:val="001B3CCC"/>
    <w:rsid w:val="001B4ECB"/>
    <w:rsid w:val="001B4FEB"/>
    <w:rsid w:val="001B5500"/>
    <w:rsid w:val="001B7FDE"/>
    <w:rsid w:val="001C16AC"/>
    <w:rsid w:val="001C23E5"/>
    <w:rsid w:val="001C3511"/>
    <w:rsid w:val="001C6B19"/>
    <w:rsid w:val="001C7124"/>
    <w:rsid w:val="001D05B2"/>
    <w:rsid w:val="001D079D"/>
    <w:rsid w:val="001D0CD7"/>
    <w:rsid w:val="001D2B0F"/>
    <w:rsid w:val="001D3F1C"/>
    <w:rsid w:val="001D48C2"/>
    <w:rsid w:val="001D49FB"/>
    <w:rsid w:val="001D578C"/>
    <w:rsid w:val="001D5D55"/>
    <w:rsid w:val="001D6F3B"/>
    <w:rsid w:val="001D7AB9"/>
    <w:rsid w:val="001E32E7"/>
    <w:rsid w:val="001E78D6"/>
    <w:rsid w:val="001F0C51"/>
    <w:rsid w:val="001F3492"/>
    <w:rsid w:val="001F4487"/>
    <w:rsid w:val="001F55E5"/>
    <w:rsid w:val="001F7110"/>
    <w:rsid w:val="001F71E2"/>
    <w:rsid w:val="0020082B"/>
    <w:rsid w:val="00200C37"/>
    <w:rsid w:val="0020331C"/>
    <w:rsid w:val="00203A33"/>
    <w:rsid w:val="00204A52"/>
    <w:rsid w:val="002050C0"/>
    <w:rsid w:val="002059AB"/>
    <w:rsid w:val="002102BD"/>
    <w:rsid w:val="002116B9"/>
    <w:rsid w:val="002124E0"/>
    <w:rsid w:val="00213A94"/>
    <w:rsid w:val="00213AE8"/>
    <w:rsid w:val="00213B5C"/>
    <w:rsid w:val="0021410D"/>
    <w:rsid w:val="002170FD"/>
    <w:rsid w:val="002173DD"/>
    <w:rsid w:val="002227C2"/>
    <w:rsid w:val="0022358D"/>
    <w:rsid w:val="00224870"/>
    <w:rsid w:val="00224CA3"/>
    <w:rsid w:val="002254F1"/>
    <w:rsid w:val="00231B5C"/>
    <w:rsid w:val="00231FA6"/>
    <w:rsid w:val="00232D99"/>
    <w:rsid w:val="00233B61"/>
    <w:rsid w:val="002350B2"/>
    <w:rsid w:val="0023726F"/>
    <w:rsid w:val="00237C8E"/>
    <w:rsid w:val="00240942"/>
    <w:rsid w:val="00242487"/>
    <w:rsid w:val="0024502D"/>
    <w:rsid w:val="00245FA6"/>
    <w:rsid w:val="00251E78"/>
    <w:rsid w:val="00252756"/>
    <w:rsid w:val="002535C9"/>
    <w:rsid w:val="002555D4"/>
    <w:rsid w:val="0025790A"/>
    <w:rsid w:val="00257A5B"/>
    <w:rsid w:val="00261092"/>
    <w:rsid w:val="002610EC"/>
    <w:rsid w:val="00261C9B"/>
    <w:rsid w:val="00262207"/>
    <w:rsid w:val="002636C9"/>
    <w:rsid w:val="00263864"/>
    <w:rsid w:val="0026554C"/>
    <w:rsid w:val="00266982"/>
    <w:rsid w:val="002669AA"/>
    <w:rsid w:val="00271D75"/>
    <w:rsid w:val="00273324"/>
    <w:rsid w:val="0027347E"/>
    <w:rsid w:val="002741EC"/>
    <w:rsid w:val="00274ED6"/>
    <w:rsid w:val="00275F50"/>
    <w:rsid w:val="00276AE2"/>
    <w:rsid w:val="00277ED3"/>
    <w:rsid w:val="00285C94"/>
    <w:rsid w:val="002904DC"/>
    <w:rsid w:val="00292A63"/>
    <w:rsid w:val="00292CB4"/>
    <w:rsid w:val="00292D69"/>
    <w:rsid w:val="00293937"/>
    <w:rsid w:val="002964B2"/>
    <w:rsid w:val="00297816"/>
    <w:rsid w:val="00297E43"/>
    <w:rsid w:val="002A0FCC"/>
    <w:rsid w:val="002A1022"/>
    <w:rsid w:val="002A145E"/>
    <w:rsid w:val="002A288C"/>
    <w:rsid w:val="002A41EA"/>
    <w:rsid w:val="002A532F"/>
    <w:rsid w:val="002A56B7"/>
    <w:rsid w:val="002A5943"/>
    <w:rsid w:val="002B00C5"/>
    <w:rsid w:val="002B0C46"/>
    <w:rsid w:val="002B0EA3"/>
    <w:rsid w:val="002B2E6D"/>
    <w:rsid w:val="002B3937"/>
    <w:rsid w:val="002B5330"/>
    <w:rsid w:val="002B5CC0"/>
    <w:rsid w:val="002B691C"/>
    <w:rsid w:val="002B726C"/>
    <w:rsid w:val="002C092C"/>
    <w:rsid w:val="002C1A2A"/>
    <w:rsid w:val="002C1E7D"/>
    <w:rsid w:val="002C2B20"/>
    <w:rsid w:val="002C36A4"/>
    <w:rsid w:val="002C5A78"/>
    <w:rsid w:val="002C6AD3"/>
    <w:rsid w:val="002C72FC"/>
    <w:rsid w:val="002D0E9A"/>
    <w:rsid w:val="002D126D"/>
    <w:rsid w:val="002D26A9"/>
    <w:rsid w:val="002D4634"/>
    <w:rsid w:val="002D4DAA"/>
    <w:rsid w:val="002D6339"/>
    <w:rsid w:val="002D6729"/>
    <w:rsid w:val="002D6F05"/>
    <w:rsid w:val="002D7DBE"/>
    <w:rsid w:val="002E13FA"/>
    <w:rsid w:val="002E2BC6"/>
    <w:rsid w:val="002E3631"/>
    <w:rsid w:val="002E56DA"/>
    <w:rsid w:val="002E5820"/>
    <w:rsid w:val="002E5B1F"/>
    <w:rsid w:val="002E6CCA"/>
    <w:rsid w:val="002F31D4"/>
    <w:rsid w:val="002F4E22"/>
    <w:rsid w:val="002F5DEE"/>
    <w:rsid w:val="002F6986"/>
    <w:rsid w:val="0030128C"/>
    <w:rsid w:val="00301634"/>
    <w:rsid w:val="00301B77"/>
    <w:rsid w:val="00302E26"/>
    <w:rsid w:val="00303351"/>
    <w:rsid w:val="00303797"/>
    <w:rsid w:val="003057CB"/>
    <w:rsid w:val="0030638C"/>
    <w:rsid w:val="00306FC5"/>
    <w:rsid w:val="00310784"/>
    <w:rsid w:val="003117CB"/>
    <w:rsid w:val="003117D5"/>
    <w:rsid w:val="003174D2"/>
    <w:rsid w:val="00317853"/>
    <w:rsid w:val="00320408"/>
    <w:rsid w:val="00320707"/>
    <w:rsid w:val="0032387A"/>
    <w:rsid w:val="00323B16"/>
    <w:rsid w:val="0032494D"/>
    <w:rsid w:val="00324B67"/>
    <w:rsid w:val="00325175"/>
    <w:rsid w:val="00331A41"/>
    <w:rsid w:val="00332453"/>
    <w:rsid w:val="00333638"/>
    <w:rsid w:val="0033515A"/>
    <w:rsid w:val="0033532C"/>
    <w:rsid w:val="00336E84"/>
    <w:rsid w:val="003403ED"/>
    <w:rsid w:val="0034193E"/>
    <w:rsid w:val="003461E7"/>
    <w:rsid w:val="00347D41"/>
    <w:rsid w:val="00350C58"/>
    <w:rsid w:val="00351E12"/>
    <w:rsid w:val="003539E3"/>
    <w:rsid w:val="00353ABA"/>
    <w:rsid w:val="00355CCF"/>
    <w:rsid w:val="0035726B"/>
    <w:rsid w:val="0036139A"/>
    <w:rsid w:val="00361923"/>
    <w:rsid w:val="00361B9D"/>
    <w:rsid w:val="00361E32"/>
    <w:rsid w:val="0037092A"/>
    <w:rsid w:val="00370AE3"/>
    <w:rsid w:val="00372114"/>
    <w:rsid w:val="00373C15"/>
    <w:rsid w:val="00375FCA"/>
    <w:rsid w:val="00381280"/>
    <w:rsid w:val="00381285"/>
    <w:rsid w:val="003816D5"/>
    <w:rsid w:val="00381F5E"/>
    <w:rsid w:val="0038322D"/>
    <w:rsid w:val="00390BBF"/>
    <w:rsid w:val="0039167F"/>
    <w:rsid w:val="003927F7"/>
    <w:rsid w:val="00392B1F"/>
    <w:rsid w:val="003931BA"/>
    <w:rsid w:val="00393C22"/>
    <w:rsid w:val="00394234"/>
    <w:rsid w:val="00397625"/>
    <w:rsid w:val="00397808"/>
    <w:rsid w:val="003A2F6C"/>
    <w:rsid w:val="003A4D60"/>
    <w:rsid w:val="003A5192"/>
    <w:rsid w:val="003A58F0"/>
    <w:rsid w:val="003B100E"/>
    <w:rsid w:val="003B250A"/>
    <w:rsid w:val="003B3F38"/>
    <w:rsid w:val="003B5668"/>
    <w:rsid w:val="003B5E47"/>
    <w:rsid w:val="003C3EA1"/>
    <w:rsid w:val="003C4636"/>
    <w:rsid w:val="003C6C8B"/>
    <w:rsid w:val="003C7B1E"/>
    <w:rsid w:val="003D11BC"/>
    <w:rsid w:val="003D32F6"/>
    <w:rsid w:val="003D40C0"/>
    <w:rsid w:val="003D5245"/>
    <w:rsid w:val="003D5749"/>
    <w:rsid w:val="003D7439"/>
    <w:rsid w:val="003E043B"/>
    <w:rsid w:val="003E0E1B"/>
    <w:rsid w:val="003E332C"/>
    <w:rsid w:val="003E4AEF"/>
    <w:rsid w:val="003E6CE5"/>
    <w:rsid w:val="003E77AD"/>
    <w:rsid w:val="003E7C51"/>
    <w:rsid w:val="003F3FF9"/>
    <w:rsid w:val="003F4E4C"/>
    <w:rsid w:val="003F772A"/>
    <w:rsid w:val="004003EF"/>
    <w:rsid w:val="004007F8"/>
    <w:rsid w:val="00400DA7"/>
    <w:rsid w:val="00401776"/>
    <w:rsid w:val="00401967"/>
    <w:rsid w:val="00401EDA"/>
    <w:rsid w:val="00407370"/>
    <w:rsid w:val="0041496D"/>
    <w:rsid w:val="00415254"/>
    <w:rsid w:val="00415998"/>
    <w:rsid w:val="00415B5F"/>
    <w:rsid w:val="00415B70"/>
    <w:rsid w:val="00415DD4"/>
    <w:rsid w:val="00415E25"/>
    <w:rsid w:val="00417699"/>
    <w:rsid w:val="00420279"/>
    <w:rsid w:val="004239E9"/>
    <w:rsid w:val="00423C89"/>
    <w:rsid w:val="00426145"/>
    <w:rsid w:val="00426A84"/>
    <w:rsid w:val="0043076E"/>
    <w:rsid w:val="0043360B"/>
    <w:rsid w:val="004338FD"/>
    <w:rsid w:val="004358E6"/>
    <w:rsid w:val="004359AE"/>
    <w:rsid w:val="00437B8D"/>
    <w:rsid w:val="00440537"/>
    <w:rsid w:val="00440C4A"/>
    <w:rsid w:val="0044103D"/>
    <w:rsid w:val="00442276"/>
    <w:rsid w:val="00445000"/>
    <w:rsid w:val="004458E3"/>
    <w:rsid w:val="00445EB4"/>
    <w:rsid w:val="00446F5A"/>
    <w:rsid w:val="00447320"/>
    <w:rsid w:val="0045194F"/>
    <w:rsid w:val="00453A64"/>
    <w:rsid w:val="00454CCB"/>
    <w:rsid w:val="0045589F"/>
    <w:rsid w:val="00456812"/>
    <w:rsid w:val="00456CB0"/>
    <w:rsid w:val="00456DE2"/>
    <w:rsid w:val="004603F9"/>
    <w:rsid w:val="00460523"/>
    <w:rsid w:val="00463230"/>
    <w:rsid w:val="004634EC"/>
    <w:rsid w:val="00463D52"/>
    <w:rsid w:val="00465610"/>
    <w:rsid w:val="004714AD"/>
    <w:rsid w:val="00472A73"/>
    <w:rsid w:val="00472D4A"/>
    <w:rsid w:val="00472DB9"/>
    <w:rsid w:val="00472E30"/>
    <w:rsid w:val="004733E1"/>
    <w:rsid w:val="00473945"/>
    <w:rsid w:val="00474C1A"/>
    <w:rsid w:val="00474C5A"/>
    <w:rsid w:val="00476979"/>
    <w:rsid w:val="004804D8"/>
    <w:rsid w:val="00480A3B"/>
    <w:rsid w:val="0048538E"/>
    <w:rsid w:val="00485775"/>
    <w:rsid w:val="00486130"/>
    <w:rsid w:val="004873E7"/>
    <w:rsid w:val="00490986"/>
    <w:rsid w:val="00491EE3"/>
    <w:rsid w:val="004A0AE1"/>
    <w:rsid w:val="004A140C"/>
    <w:rsid w:val="004A2330"/>
    <w:rsid w:val="004A3B89"/>
    <w:rsid w:val="004A716A"/>
    <w:rsid w:val="004A768D"/>
    <w:rsid w:val="004A7B25"/>
    <w:rsid w:val="004B1720"/>
    <w:rsid w:val="004B1EF5"/>
    <w:rsid w:val="004B1F3E"/>
    <w:rsid w:val="004B3FA3"/>
    <w:rsid w:val="004B61A6"/>
    <w:rsid w:val="004B7182"/>
    <w:rsid w:val="004B7CBC"/>
    <w:rsid w:val="004C0ABB"/>
    <w:rsid w:val="004C1CE8"/>
    <w:rsid w:val="004C228B"/>
    <w:rsid w:val="004C306C"/>
    <w:rsid w:val="004C4078"/>
    <w:rsid w:val="004C6A1C"/>
    <w:rsid w:val="004C760B"/>
    <w:rsid w:val="004C7C94"/>
    <w:rsid w:val="004D0F18"/>
    <w:rsid w:val="004D11F5"/>
    <w:rsid w:val="004D204D"/>
    <w:rsid w:val="004D615F"/>
    <w:rsid w:val="004D67C3"/>
    <w:rsid w:val="004D7A71"/>
    <w:rsid w:val="004E307A"/>
    <w:rsid w:val="004E3C7C"/>
    <w:rsid w:val="004E4DBB"/>
    <w:rsid w:val="004E60B5"/>
    <w:rsid w:val="004E68F4"/>
    <w:rsid w:val="004E7441"/>
    <w:rsid w:val="004F01B6"/>
    <w:rsid w:val="004F6FF1"/>
    <w:rsid w:val="005018E4"/>
    <w:rsid w:val="00501B5F"/>
    <w:rsid w:val="00503008"/>
    <w:rsid w:val="005033A8"/>
    <w:rsid w:val="00503881"/>
    <w:rsid w:val="005056C0"/>
    <w:rsid w:val="00506C91"/>
    <w:rsid w:val="005100BA"/>
    <w:rsid w:val="0051268B"/>
    <w:rsid w:val="00512AA2"/>
    <w:rsid w:val="00513D61"/>
    <w:rsid w:val="005149F9"/>
    <w:rsid w:val="00515B9D"/>
    <w:rsid w:val="00515DAC"/>
    <w:rsid w:val="005169D4"/>
    <w:rsid w:val="00517119"/>
    <w:rsid w:val="00517DAB"/>
    <w:rsid w:val="005202E7"/>
    <w:rsid w:val="00521DDF"/>
    <w:rsid w:val="00522781"/>
    <w:rsid w:val="00522C49"/>
    <w:rsid w:val="00523B02"/>
    <w:rsid w:val="00525CDB"/>
    <w:rsid w:val="00527EB6"/>
    <w:rsid w:val="00531D48"/>
    <w:rsid w:val="00534049"/>
    <w:rsid w:val="00534127"/>
    <w:rsid w:val="00545503"/>
    <w:rsid w:val="00545635"/>
    <w:rsid w:val="00547D51"/>
    <w:rsid w:val="005503E8"/>
    <w:rsid w:val="00551CF4"/>
    <w:rsid w:val="0055330C"/>
    <w:rsid w:val="00554A21"/>
    <w:rsid w:val="00555751"/>
    <w:rsid w:val="005558A4"/>
    <w:rsid w:val="00557742"/>
    <w:rsid w:val="005601DC"/>
    <w:rsid w:val="00560435"/>
    <w:rsid w:val="0056146C"/>
    <w:rsid w:val="00562093"/>
    <w:rsid w:val="00562978"/>
    <w:rsid w:val="00564112"/>
    <w:rsid w:val="00564202"/>
    <w:rsid w:val="00567322"/>
    <w:rsid w:val="0056788B"/>
    <w:rsid w:val="00570C6A"/>
    <w:rsid w:val="00571111"/>
    <w:rsid w:val="0057137F"/>
    <w:rsid w:val="005714A5"/>
    <w:rsid w:val="00571BCF"/>
    <w:rsid w:val="00572CE3"/>
    <w:rsid w:val="005731FA"/>
    <w:rsid w:val="00573496"/>
    <w:rsid w:val="00573E7B"/>
    <w:rsid w:val="00574428"/>
    <w:rsid w:val="00574CF1"/>
    <w:rsid w:val="00576042"/>
    <w:rsid w:val="00580EFB"/>
    <w:rsid w:val="0058249A"/>
    <w:rsid w:val="005829E2"/>
    <w:rsid w:val="00584709"/>
    <w:rsid w:val="00584C95"/>
    <w:rsid w:val="00587698"/>
    <w:rsid w:val="00591B45"/>
    <w:rsid w:val="00592D1E"/>
    <w:rsid w:val="00592F41"/>
    <w:rsid w:val="00593883"/>
    <w:rsid w:val="0059616B"/>
    <w:rsid w:val="0059673F"/>
    <w:rsid w:val="00596933"/>
    <w:rsid w:val="005A0105"/>
    <w:rsid w:val="005A158A"/>
    <w:rsid w:val="005A2548"/>
    <w:rsid w:val="005A38F4"/>
    <w:rsid w:val="005A5F80"/>
    <w:rsid w:val="005A65E7"/>
    <w:rsid w:val="005B0381"/>
    <w:rsid w:val="005B1821"/>
    <w:rsid w:val="005B5BC2"/>
    <w:rsid w:val="005B667F"/>
    <w:rsid w:val="005B675A"/>
    <w:rsid w:val="005C0103"/>
    <w:rsid w:val="005C029C"/>
    <w:rsid w:val="005C03F0"/>
    <w:rsid w:val="005C0F6B"/>
    <w:rsid w:val="005C1B38"/>
    <w:rsid w:val="005C2744"/>
    <w:rsid w:val="005C3200"/>
    <w:rsid w:val="005C5D29"/>
    <w:rsid w:val="005C6E0B"/>
    <w:rsid w:val="005C736E"/>
    <w:rsid w:val="005C7E1A"/>
    <w:rsid w:val="005D0940"/>
    <w:rsid w:val="005D0C1B"/>
    <w:rsid w:val="005D3379"/>
    <w:rsid w:val="005D352F"/>
    <w:rsid w:val="005D39B7"/>
    <w:rsid w:val="005D4F0C"/>
    <w:rsid w:val="005D6756"/>
    <w:rsid w:val="005D6A28"/>
    <w:rsid w:val="005D7FF0"/>
    <w:rsid w:val="005E13F4"/>
    <w:rsid w:val="005E298B"/>
    <w:rsid w:val="005E2C0B"/>
    <w:rsid w:val="005E5FDF"/>
    <w:rsid w:val="005E66C3"/>
    <w:rsid w:val="005E73B2"/>
    <w:rsid w:val="005F0D2A"/>
    <w:rsid w:val="005F2B71"/>
    <w:rsid w:val="005F3AEB"/>
    <w:rsid w:val="005F6928"/>
    <w:rsid w:val="00601C4E"/>
    <w:rsid w:val="00601C96"/>
    <w:rsid w:val="00605391"/>
    <w:rsid w:val="00615422"/>
    <w:rsid w:val="00620D1F"/>
    <w:rsid w:val="00621D85"/>
    <w:rsid w:val="006220E3"/>
    <w:rsid w:val="00622371"/>
    <w:rsid w:val="006232A8"/>
    <w:rsid w:val="006242B0"/>
    <w:rsid w:val="00631094"/>
    <w:rsid w:val="00631DA5"/>
    <w:rsid w:val="0063344B"/>
    <w:rsid w:val="00633B98"/>
    <w:rsid w:val="006438C8"/>
    <w:rsid w:val="00644F06"/>
    <w:rsid w:val="00646A7E"/>
    <w:rsid w:val="00646FCA"/>
    <w:rsid w:val="00651B86"/>
    <w:rsid w:val="006537CC"/>
    <w:rsid w:val="006540DA"/>
    <w:rsid w:val="006548CE"/>
    <w:rsid w:val="00655F97"/>
    <w:rsid w:val="00660323"/>
    <w:rsid w:val="0066156E"/>
    <w:rsid w:val="00661625"/>
    <w:rsid w:val="00664DE0"/>
    <w:rsid w:val="00667A2D"/>
    <w:rsid w:val="00670346"/>
    <w:rsid w:val="00672BBB"/>
    <w:rsid w:val="00673BD4"/>
    <w:rsid w:val="00674EA5"/>
    <w:rsid w:val="00677079"/>
    <w:rsid w:val="006770AB"/>
    <w:rsid w:val="0067787B"/>
    <w:rsid w:val="00677ABC"/>
    <w:rsid w:val="006848DD"/>
    <w:rsid w:val="006855D4"/>
    <w:rsid w:val="006864C3"/>
    <w:rsid w:val="006902A7"/>
    <w:rsid w:val="00693518"/>
    <w:rsid w:val="00694821"/>
    <w:rsid w:val="00694DCE"/>
    <w:rsid w:val="00694F7E"/>
    <w:rsid w:val="0069596D"/>
    <w:rsid w:val="00695D31"/>
    <w:rsid w:val="00697AB4"/>
    <w:rsid w:val="006A15FE"/>
    <w:rsid w:val="006A1949"/>
    <w:rsid w:val="006A1B3E"/>
    <w:rsid w:val="006A470C"/>
    <w:rsid w:val="006A7E6F"/>
    <w:rsid w:val="006B172E"/>
    <w:rsid w:val="006B2011"/>
    <w:rsid w:val="006B54E2"/>
    <w:rsid w:val="006B6590"/>
    <w:rsid w:val="006B6798"/>
    <w:rsid w:val="006B6BA9"/>
    <w:rsid w:val="006C12F4"/>
    <w:rsid w:val="006C1589"/>
    <w:rsid w:val="006C3798"/>
    <w:rsid w:val="006C6422"/>
    <w:rsid w:val="006C690C"/>
    <w:rsid w:val="006C6A54"/>
    <w:rsid w:val="006C75CB"/>
    <w:rsid w:val="006D37E1"/>
    <w:rsid w:val="006D7773"/>
    <w:rsid w:val="006E06DF"/>
    <w:rsid w:val="006E7316"/>
    <w:rsid w:val="006F0183"/>
    <w:rsid w:val="006F04B3"/>
    <w:rsid w:val="006F344C"/>
    <w:rsid w:val="006F3B91"/>
    <w:rsid w:val="006F680D"/>
    <w:rsid w:val="006F6AF1"/>
    <w:rsid w:val="006F7F94"/>
    <w:rsid w:val="00700921"/>
    <w:rsid w:val="00702CDA"/>
    <w:rsid w:val="0070797A"/>
    <w:rsid w:val="00707988"/>
    <w:rsid w:val="0071058C"/>
    <w:rsid w:val="00712922"/>
    <w:rsid w:val="00713378"/>
    <w:rsid w:val="007212E6"/>
    <w:rsid w:val="00724023"/>
    <w:rsid w:val="0072407B"/>
    <w:rsid w:val="00724AB6"/>
    <w:rsid w:val="00730093"/>
    <w:rsid w:val="00730657"/>
    <w:rsid w:val="007308A0"/>
    <w:rsid w:val="00730904"/>
    <w:rsid w:val="0073208E"/>
    <w:rsid w:val="00732C1D"/>
    <w:rsid w:val="0073396B"/>
    <w:rsid w:val="00734DB8"/>
    <w:rsid w:val="00735381"/>
    <w:rsid w:val="00736CBA"/>
    <w:rsid w:val="00740620"/>
    <w:rsid w:val="007443F2"/>
    <w:rsid w:val="00744BAE"/>
    <w:rsid w:val="00746B97"/>
    <w:rsid w:val="007473F4"/>
    <w:rsid w:val="00750A57"/>
    <w:rsid w:val="00751D62"/>
    <w:rsid w:val="00753893"/>
    <w:rsid w:val="00754431"/>
    <w:rsid w:val="00755667"/>
    <w:rsid w:val="0075707C"/>
    <w:rsid w:val="00757663"/>
    <w:rsid w:val="00763A8D"/>
    <w:rsid w:val="00763DB8"/>
    <w:rsid w:val="00767DAB"/>
    <w:rsid w:val="007714EF"/>
    <w:rsid w:val="00771838"/>
    <w:rsid w:val="00772182"/>
    <w:rsid w:val="00774323"/>
    <w:rsid w:val="00774E27"/>
    <w:rsid w:val="007757C2"/>
    <w:rsid w:val="00775BAC"/>
    <w:rsid w:val="00782364"/>
    <w:rsid w:val="00783370"/>
    <w:rsid w:val="00783821"/>
    <w:rsid w:val="0078608E"/>
    <w:rsid w:val="007877C9"/>
    <w:rsid w:val="0079306D"/>
    <w:rsid w:val="0079333D"/>
    <w:rsid w:val="00794771"/>
    <w:rsid w:val="007952CB"/>
    <w:rsid w:val="00795AA5"/>
    <w:rsid w:val="00797A1D"/>
    <w:rsid w:val="007A1414"/>
    <w:rsid w:val="007A3F7C"/>
    <w:rsid w:val="007A4444"/>
    <w:rsid w:val="007B19D7"/>
    <w:rsid w:val="007B2ABF"/>
    <w:rsid w:val="007B31D5"/>
    <w:rsid w:val="007B490F"/>
    <w:rsid w:val="007B55F7"/>
    <w:rsid w:val="007B691D"/>
    <w:rsid w:val="007B7150"/>
    <w:rsid w:val="007B7B15"/>
    <w:rsid w:val="007C172A"/>
    <w:rsid w:val="007C1EE6"/>
    <w:rsid w:val="007C2341"/>
    <w:rsid w:val="007C2441"/>
    <w:rsid w:val="007C259F"/>
    <w:rsid w:val="007C2AF4"/>
    <w:rsid w:val="007C5A41"/>
    <w:rsid w:val="007C6195"/>
    <w:rsid w:val="007C6670"/>
    <w:rsid w:val="007C691E"/>
    <w:rsid w:val="007C6E2F"/>
    <w:rsid w:val="007C77B0"/>
    <w:rsid w:val="007D097E"/>
    <w:rsid w:val="007D2AF8"/>
    <w:rsid w:val="007D3F20"/>
    <w:rsid w:val="007D514D"/>
    <w:rsid w:val="007D5C3A"/>
    <w:rsid w:val="007D6D07"/>
    <w:rsid w:val="007D6EE0"/>
    <w:rsid w:val="007D7082"/>
    <w:rsid w:val="007D782E"/>
    <w:rsid w:val="007D7BA8"/>
    <w:rsid w:val="007E03E1"/>
    <w:rsid w:val="007E0F20"/>
    <w:rsid w:val="007E47FA"/>
    <w:rsid w:val="007E58E8"/>
    <w:rsid w:val="007E7A2E"/>
    <w:rsid w:val="007F5B7F"/>
    <w:rsid w:val="007F7100"/>
    <w:rsid w:val="007F7663"/>
    <w:rsid w:val="00800F31"/>
    <w:rsid w:val="00805094"/>
    <w:rsid w:val="0080659F"/>
    <w:rsid w:val="008065D3"/>
    <w:rsid w:val="008075F6"/>
    <w:rsid w:val="00810562"/>
    <w:rsid w:val="00811190"/>
    <w:rsid w:val="00812C8C"/>
    <w:rsid w:val="008136EA"/>
    <w:rsid w:val="008138DE"/>
    <w:rsid w:val="00820268"/>
    <w:rsid w:val="0082093D"/>
    <w:rsid w:val="0082380E"/>
    <w:rsid w:val="00824546"/>
    <w:rsid w:val="0082695D"/>
    <w:rsid w:val="00827BB7"/>
    <w:rsid w:val="00831CB3"/>
    <w:rsid w:val="0083216D"/>
    <w:rsid w:val="0083232D"/>
    <w:rsid w:val="00833AFA"/>
    <w:rsid w:val="00834AC0"/>
    <w:rsid w:val="00834E5D"/>
    <w:rsid w:val="00836D30"/>
    <w:rsid w:val="0084072D"/>
    <w:rsid w:val="00840777"/>
    <w:rsid w:val="008422C6"/>
    <w:rsid w:val="0084543C"/>
    <w:rsid w:val="00845788"/>
    <w:rsid w:val="00846388"/>
    <w:rsid w:val="008478C6"/>
    <w:rsid w:val="00850CCF"/>
    <w:rsid w:val="0085130C"/>
    <w:rsid w:val="008519E0"/>
    <w:rsid w:val="0085307A"/>
    <w:rsid w:val="0085370C"/>
    <w:rsid w:val="008565ED"/>
    <w:rsid w:val="008565EE"/>
    <w:rsid w:val="008578EF"/>
    <w:rsid w:val="0086022C"/>
    <w:rsid w:val="00861762"/>
    <w:rsid w:val="00862554"/>
    <w:rsid w:val="00862F8B"/>
    <w:rsid w:val="00865AF3"/>
    <w:rsid w:val="00865F3D"/>
    <w:rsid w:val="0086771A"/>
    <w:rsid w:val="00871688"/>
    <w:rsid w:val="0087220C"/>
    <w:rsid w:val="00872262"/>
    <w:rsid w:val="00873299"/>
    <w:rsid w:val="008736F8"/>
    <w:rsid w:val="00876C49"/>
    <w:rsid w:val="008773AE"/>
    <w:rsid w:val="00880E77"/>
    <w:rsid w:val="0088362C"/>
    <w:rsid w:val="0088367C"/>
    <w:rsid w:val="008849E3"/>
    <w:rsid w:val="0089023E"/>
    <w:rsid w:val="008917DC"/>
    <w:rsid w:val="00894822"/>
    <w:rsid w:val="008A0377"/>
    <w:rsid w:val="008A277C"/>
    <w:rsid w:val="008A3CA4"/>
    <w:rsid w:val="008A41F3"/>
    <w:rsid w:val="008A4287"/>
    <w:rsid w:val="008A7006"/>
    <w:rsid w:val="008B0D35"/>
    <w:rsid w:val="008B2834"/>
    <w:rsid w:val="008B439D"/>
    <w:rsid w:val="008B4D07"/>
    <w:rsid w:val="008B6E5E"/>
    <w:rsid w:val="008B7936"/>
    <w:rsid w:val="008C12AD"/>
    <w:rsid w:val="008C263F"/>
    <w:rsid w:val="008C2922"/>
    <w:rsid w:val="008C305F"/>
    <w:rsid w:val="008C3DDD"/>
    <w:rsid w:val="008C6C49"/>
    <w:rsid w:val="008C7325"/>
    <w:rsid w:val="008C7816"/>
    <w:rsid w:val="008D0AFF"/>
    <w:rsid w:val="008D0F46"/>
    <w:rsid w:val="008D1E14"/>
    <w:rsid w:val="008D58C5"/>
    <w:rsid w:val="008D78A0"/>
    <w:rsid w:val="008D7A5B"/>
    <w:rsid w:val="008E1DE7"/>
    <w:rsid w:val="008E2705"/>
    <w:rsid w:val="008E4174"/>
    <w:rsid w:val="008E5645"/>
    <w:rsid w:val="008E5A65"/>
    <w:rsid w:val="008E619A"/>
    <w:rsid w:val="008E76CF"/>
    <w:rsid w:val="008F2348"/>
    <w:rsid w:val="008F47DE"/>
    <w:rsid w:val="008F5179"/>
    <w:rsid w:val="008F54F0"/>
    <w:rsid w:val="008F5F2D"/>
    <w:rsid w:val="008F60DF"/>
    <w:rsid w:val="008F676A"/>
    <w:rsid w:val="009011FA"/>
    <w:rsid w:val="00901CB4"/>
    <w:rsid w:val="00901CE3"/>
    <w:rsid w:val="009029AC"/>
    <w:rsid w:val="00902C94"/>
    <w:rsid w:val="00906F97"/>
    <w:rsid w:val="009114C2"/>
    <w:rsid w:val="00912121"/>
    <w:rsid w:val="009130B4"/>
    <w:rsid w:val="009141C3"/>
    <w:rsid w:val="0091519A"/>
    <w:rsid w:val="00916877"/>
    <w:rsid w:val="00925A27"/>
    <w:rsid w:val="0092687A"/>
    <w:rsid w:val="00927B3F"/>
    <w:rsid w:val="00930FC3"/>
    <w:rsid w:val="00932BD8"/>
    <w:rsid w:val="00934BB0"/>
    <w:rsid w:val="00934CE7"/>
    <w:rsid w:val="00935503"/>
    <w:rsid w:val="00936A6A"/>
    <w:rsid w:val="009379E8"/>
    <w:rsid w:val="0094150F"/>
    <w:rsid w:val="00943AF2"/>
    <w:rsid w:val="009477A5"/>
    <w:rsid w:val="0095364B"/>
    <w:rsid w:val="00954697"/>
    <w:rsid w:val="00954D3E"/>
    <w:rsid w:val="00957099"/>
    <w:rsid w:val="00962A90"/>
    <w:rsid w:val="009637BC"/>
    <w:rsid w:val="00963B07"/>
    <w:rsid w:val="00965B55"/>
    <w:rsid w:val="0096770A"/>
    <w:rsid w:val="00967BFA"/>
    <w:rsid w:val="00973363"/>
    <w:rsid w:val="009770A1"/>
    <w:rsid w:val="00981B2F"/>
    <w:rsid w:val="009838D7"/>
    <w:rsid w:val="009850D2"/>
    <w:rsid w:val="0098708A"/>
    <w:rsid w:val="00987608"/>
    <w:rsid w:val="00987B07"/>
    <w:rsid w:val="00990064"/>
    <w:rsid w:val="00991F70"/>
    <w:rsid w:val="00993720"/>
    <w:rsid w:val="00994074"/>
    <w:rsid w:val="009A01CB"/>
    <w:rsid w:val="009A135D"/>
    <w:rsid w:val="009A3508"/>
    <w:rsid w:val="009A363A"/>
    <w:rsid w:val="009A4DF2"/>
    <w:rsid w:val="009A5CD1"/>
    <w:rsid w:val="009B1571"/>
    <w:rsid w:val="009B2693"/>
    <w:rsid w:val="009B31E5"/>
    <w:rsid w:val="009B632C"/>
    <w:rsid w:val="009B6D7C"/>
    <w:rsid w:val="009B6FDB"/>
    <w:rsid w:val="009C1F8E"/>
    <w:rsid w:val="009C3528"/>
    <w:rsid w:val="009C388D"/>
    <w:rsid w:val="009C50B9"/>
    <w:rsid w:val="009C6FB6"/>
    <w:rsid w:val="009C7166"/>
    <w:rsid w:val="009D209C"/>
    <w:rsid w:val="009D29C9"/>
    <w:rsid w:val="009D411D"/>
    <w:rsid w:val="009E2816"/>
    <w:rsid w:val="009E2A59"/>
    <w:rsid w:val="009E354E"/>
    <w:rsid w:val="009E4B65"/>
    <w:rsid w:val="009E5D12"/>
    <w:rsid w:val="009E6A8E"/>
    <w:rsid w:val="009E6CF3"/>
    <w:rsid w:val="009E70D8"/>
    <w:rsid w:val="009E7A7E"/>
    <w:rsid w:val="009E7BDE"/>
    <w:rsid w:val="009F09A4"/>
    <w:rsid w:val="009F106C"/>
    <w:rsid w:val="009F6842"/>
    <w:rsid w:val="00A009EB"/>
    <w:rsid w:val="00A027CA"/>
    <w:rsid w:val="00A053DD"/>
    <w:rsid w:val="00A05A88"/>
    <w:rsid w:val="00A06E0A"/>
    <w:rsid w:val="00A071B8"/>
    <w:rsid w:val="00A0740A"/>
    <w:rsid w:val="00A07646"/>
    <w:rsid w:val="00A10018"/>
    <w:rsid w:val="00A10F4A"/>
    <w:rsid w:val="00A1332D"/>
    <w:rsid w:val="00A15620"/>
    <w:rsid w:val="00A15C14"/>
    <w:rsid w:val="00A22F0F"/>
    <w:rsid w:val="00A2323C"/>
    <w:rsid w:val="00A2452B"/>
    <w:rsid w:val="00A25049"/>
    <w:rsid w:val="00A26316"/>
    <w:rsid w:val="00A300A4"/>
    <w:rsid w:val="00A30570"/>
    <w:rsid w:val="00A30AD0"/>
    <w:rsid w:val="00A3145C"/>
    <w:rsid w:val="00A35A22"/>
    <w:rsid w:val="00A439BD"/>
    <w:rsid w:val="00A444FF"/>
    <w:rsid w:val="00A4456C"/>
    <w:rsid w:val="00A45A8F"/>
    <w:rsid w:val="00A46C47"/>
    <w:rsid w:val="00A47673"/>
    <w:rsid w:val="00A52354"/>
    <w:rsid w:val="00A52CA8"/>
    <w:rsid w:val="00A56B8C"/>
    <w:rsid w:val="00A57043"/>
    <w:rsid w:val="00A57323"/>
    <w:rsid w:val="00A57D6B"/>
    <w:rsid w:val="00A57DBB"/>
    <w:rsid w:val="00A60A2D"/>
    <w:rsid w:val="00A61730"/>
    <w:rsid w:val="00A6245B"/>
    <w:rsid w:val="00A6488A"/>
    <w:rsid w:val="00A65D02"/>
    <w:rsid w:val="00A66471"/>
    <w:rsid w:val="00A67188"/>
    <w:rsid w:val="00A673C4"/>
    <w:rsid w:val="00A67EFD"/>
    <w:rsid w:val="00A7009E"/>
    <w:rsid w:val="00A70C4C"/>
    <w:rsid w:val="00A718E0"/>
    <w:rsid w:val="00A724B0"/>
    <w:rsid w:val="00A73915"/>
    <w:rsid w:val="00A75158"/>
    <w:rsid w:val="00A7613E"/>
    <w:rsid w:val="00A7744A"/>
    <w:rsid w:val="00A80183"/>
    <w:rsid w:val="00A803A7"/>
    <w:rsid w:val="00A8080C"/>
    <w:rsid w:val="00A8212A"/>
    <w:rsid w:val="00A8291F"/>
    <w:rsid w:val="00A85969"/>
    <w:rsid w:val="00A85B18"/>
    <w:rsid w:val="00A85CC8"/>
    <w:rsid w:val="00A85F40"/>
    <w:rsid w:val="00A86AE4"/>
    <w:rsid w:val="00A91A72"/>
    <w:rsid w:val="00A922BD"/>
    <w:rsid w:val="00A94A46"/>
    <w:rsid w:val="00A94C0C"/>
    <w:rsid w:val="00A95DFA"/>
    <w:rsid w:val="00A963BA"/>
    <w:rsid w:val="00A96616"/>
    <w:rsid w:val="00AA0A52"/>
    <w:rsid w:val="00AA0C23"/>
    <w:rsid w:val="00AA46C0"/>
    <w:rsid w:val="00AA5013"/>
    <w:rsid w:val="00AA7A5A"/>
    <w:rsid w:val="00AB2278"/>
    <w:rsid w:val="00AB328A"/>
    <w:rsid w:val="00AC0FF1"/>
    <w:rsid w:val="00AC1857"/>
    <w:rsid w:val="00AC2412"/>
    <w:rsid w:val="00AC3099"/>
    <w:rsid w:val="00AC3FC9"/>
    <w:rsid w:val="00AC4097"/>
    <w:rsid w:val="00AC4117"/>
    <w:rsid w:val="00AC55D0"/>
    <w:rsid w:val="00AC6A81"/>
    <w:rsid w:val="00AD2790"/>
    <w:rsid w:val="00AD28AE"/>
    <w:rsid w:val="00AD3155"/>
    <w:rsid w:val="00AD364B"/>
    <w:rsid w:val="00AD3832"/>
    <w:rsid w:val="00AD4385"/>
    <w:rsid w:val="00AD4E80"/>
    <w:rsid w:val="00AD72DA"/>
    <w:rsid w:val="00AE0843"/>
    <w:rsid w:val="00AE175B"/>
    <w:rsid w:val="00AE1DB4"/>
    <w:rsid w:val="00AE2751"/>
    <w:rsid w:val="00AE4D35"/>
    <w:rsid w:val="00AF0B26"/>
    <w:rsid w:val="00AF14D1"/>
    <w:rsid w:val="00AF17CD"/>
    <w:rsid w:val="00AF24F8"/>
    <w:rsid w:val="00AF255C"/>
    <w:rsid w:val="00AF3BDE"/>
    <w:rsid w:val="00AF679C"/>
    <w:rsid w:val="00AF6A38"/>
    <w:rsid w:val="00AF6A64"/>
    <w:rsid w:val="00B00EF6"/>
    <w:rsid w:val="00B014B3"/>
    <w:rsid w:val="00B022F6"/>
    <w:rsid w:val="00B02976"/>
    <w:rsid w:val="00B04FF3"/>
    <w:rsid w:val="00B05AA6"/>
    <w:rsid w:val="00B06AB9"/>
    <w:rsid w:val="00B06DCB"/>
    <w:rsid w:val="00B07560"/>
    <w:rsid w:val="00B127F6"/>
    <w:rsid w:val="00B13152"/>
    <w:rsid w:val="00B13C4C"/>
    <w:rsid w:val="00B154C6"/>
    <w:rsid w:val="00B16D04"/>
    <w:rsid w:val="00B17526"/>
    <w:rsid w:val="00B175EB"/>
    <w:rsid w:val="00B17F98"/>
    <w:rsid w:val="00B200DC"/>
    <w:rsid w:val="00B20363"/>
    <w:rsid w:val="00B21159"/>
    <w:rsid w:val="00B22899"/>
    <w:rsid w:val="00B24E5A"/>
    <w:rsid w:val="00B2673F"/>
    <w:rsid w:val="00B313FA"/>
    <w:rsid w:val="00B321DD"/>
    <w:rsid w:val="00B32691"/>
    <w:rsid w:val="00B337F3"/>
    <w:rsid w:val="00B36936"/>
    <w:rsid w:val="00B37838"/>
    <w:rsid w:val="00B41B30"/>
    <w:rsid w:val="00B42513"/>
    <w:rsid w:val="00B43C67"/>
    <w:rsid w:val="00B44C28"/>
    <w:rsid w:val="00B510F2"/>
    <w:rsid w:val="00B53380"/>
    <w:rsid w:val="00B53B42"/>
    <w:rsid w:val="00B56085"/>
    <w:rsid w:val="00B56311"/>
    <w:rsid w:val="00B56867"/>
    <w:rsid w:val="00B575BB"/>
    <w:rsid w:val="00B60598"/>
    <w:rsid w:val="00B620F8"/>
    <w:rsid w:val="00B63579"/>
    <w:rsid w:val="00B64BE5"/>
    <w:rsid w:val="00B66F15"/>
    <w:rsid w:val="00B7539D"/>
    <w:rsid w:val="00B818F5"/>
    <w:rsid w:val="00B84EE2"/>
    <w:rsid w:val="00B86FF0"/>
    <w:rsid w:val="00B90A2E"/>
    <w:rsid w:val="00B920D2"/>
    <w:rsid w:val="00B9285C"/>
    <w:rsid w:val="00B944B9"/>
    <w:rsid w:val="00B948E2"/>
    <w:rsid w:val="00B9536C"/>
    <w:rsid w:val="00B95D9B"/>
    <w:rsid w:val="00B95DC1"/>
    <w:rsid w:val="00B97A95"/>
    <w:rsid w:val="00BA0367"/>
    <w:rsid w:val="00BA1E72"/>
    <w:rsid w:val="00BA239C"/>
    <w:rsid w:val="00BA5D64"/>
    <w:rsid w:val="00BA74DD"/>
    <w:rsid w:val="00BB177E"/>
    <w:rsid w:val="00BB18DB"/>
    <w:rsid w:val="00BB1B3C"/>
    <w:rsid w:val="00BB4F73"/>
    <w:rsid w:val="00BB5A82"/>
    <w:rsid w:val="00BB5E7C"/>
    <w:rsid w:val="00BB67F4"/>
    <w:rsid w:val="00BB6F2E"/>
    <w:rsid w:val="00BB7DB4"/>
    <w:rsid w:val="00BC10FF"/>
    <w:rsid w:val="00BC3184"/>
    <w:rsid w:val="00BC3E43"/>
    <w:rsid w:val="00BC4D32"/>
    <w:rsid w:val="00BC5D4F"/>
    <w:rsid w:val="00BC6FFF"/>
    <w:rsid w:val="00BC7C79"/>
    <w:rsid w:val="00BD6C1B"/>
    <w:rsid w:val="00BE17B4"/>
    <w:rsid w:val="00BE1DB9"/>
    <w:rsid w:val="00BE2D56"/>
    <w:rsid w:val="00BE2FA1"/>
    <w:rsid w:val="00BE38C9"/>
    <w:rsid w:val="00BE43EE"/>
    <w:rsid w:val="00BE5811"/>
    <w:rsid w:val="00BE7062"/>
    <w:rsid w:val="00BF1592"/>
    <w:rsid w:val="00BF17F3"/>
    <w:rsid w:val="00BF1903"/>
    <w:rsid w:val="00BF3B5A"/>
    <w:rsid w:val="00BF77CD"/>
    <w:rsid w:val="00BF7917"/>
    <w:rsid w:val="00BF7D97"/>
    <w:rsid w:val="00C02591"/>
    <w:rsid w:val="00C03139"/>
    <w:rsid w:val="00C03B57"/>
    <w:rsid w:val="00C04B5C"/>
    <w:rsid w:val="00C04BD2"/>
    <w:rsid w:val="00C04F9C"/>
    <w:rsid w:val="00C1023D"/>
    <w:rsid w:val="00C11250"/>
    <w:rsid w:val="00C14EE4"/>
    <w:rsid w:val="00C14F53"/>
    <w:rsid w:val="00C15668"/>
    <w:rsid w:val="00C16149"/>
    <w:rsid w:val="00C2053E"/>
    <w:rsid w:val="00C20D7F"/>
    <w:rsid w:val="00C22B89"/>
    <w:rsid w:val="00C23C9B"/>
    <w:rsid w:val="00C26B6F"/>
    <w:rsid w:val="00C365BC"/>
    <w:rsid w:val="00C3662F"/>
    <w:rsid w:val="00C36B96"/>
    <w:rsid w:val="00C36CBB"/>
    <w:rsid w:val="00C3757D"/>
    <w:rsid w:val="00C40439"/>
    <w:rsid w:val="00C46019"/>
    <w:rsid w:val="00C46AEE"/>
    <w:rsid w:val="00C5033C"/>
    <w:rsid w:val="00C53A51"/>
    <w:rsid w:val="00C542C0"/>
    <w:rsid w:val="00C553A7"/>
    <w:rsid w:val="00C5579B"/>
    <w:rsid w:val="00C57335"/>
    <w:rsid w:val="00C57AB1"/>
    <w:rsid w:val="00C600CD"/>
    <w:rsid w:val="00C6029D"/>
    <w:rsid w:val="00C6141B"/>
    <w:rsid w:val="00C627F7"/>
    <w:rsid w:val="00C63D43"/>
    <w:rsid w:val="00C64194"/>
    <w:rsid w:val="00C64EF9"/>
    <w:rsid w:val="00C66061"/>
    <w:rsid w:val="00C70094"/>
    <w:rsid w:val="00C7101A"/>
    <w:rsid w:val="00C72CE1"/>
    <w:rsid w:val="00C74A12"/>
    <w:rsid w:val="00C81389"/>
    <w:rsid w:val="00C84335"/>
    <w:rsid w:val="00C87615"/>
    <w:rsid w:val="00C9377B"/>
    <w:rsid w:val="00C93CB3"/>
    <w:rsid w:val="00C93F0D"/>
    <w:rsid w:val="00C9478A"/>
    <w:rsid w:val="00C97B1E"/>
    <w:rsid w:val="00CA2AB8"/>
    <w:rsid w:val="00CA2AF3"/>
    <w:rsid w:val="00CA3B45"/>
    <w:rsid w:val="00CA5632"/>
    <w:rsid w:val="00CB032A"/>
    <w:rsid w:val="00CB0A0E"/>
    <w:rsid w:val="00CB58E5"/>
    <w:rsid w:val="00CB6FDB"/>
    <w:rsid w:val="00CC17CD"/>
    <w:rsid w:val="00CC2ED5"/>
    <w:rsid w:val="00CC4F35"/>
    <w:rsid w:val="00CC7DA1"/>
    <w:rsid w:val="00CD573F"/>
    <w:rsid w:val="00CE1C92"/>
    <w:rsid w:val="00CE2AC7"/>
    <w:rsid w:val="00CE5521"/>
    <w:rsid w:val="00CF452F"/>
    <w:rsid w:val="00CF4582"/>
    <w:rsid w:val="00CF5901"/>
    <w:rsid w:val="00D024CE"/>
    <w:rsid w:val="00D03E1B"/>
    <w:rsid w:val="00D06A72"/>
    <w:rsid w:val="00D06DCC"/>
    <w:rsid w:val="00D11164"/>
    <w:rsid w:val="00D114CD"/>
    <w:rsid w:val="00D11E5B"/>
    <w:rsid w:val="00D12087"/>
    <w:rsid w:val="00D1240A"/>
    <w:rsid w:val="00D13465"/>
    <w:rsid w:val="00D14751"/>
    <w:rsid w:val="00D147BD"/>
    <w:rsid w:val="00D15645"/>
    <w:rsid w:val="00D1620A"/>
    <w:rsid w:val="00D17296"/>
    <w:rsid w:val="00D17EA7"/>
    <w:rsid w:val="00D2063B"/>
    <w:rsid w:val="00D20A69"/>
    <w:rsid w:val="00D23EDE"/>
    <w:rsid w:val="00D26E93"/>
    <w:rsid w:val="00D30C55"/>
    <w:rsid w:val="00D31B0D"/>
    <w:rsid w:val="00D32296"/>
    <w:rsid w:val="00D32D8C"/>
    <w:rsid w:val="00D345FE"/>
    <w:rsid w:val="00D352AA"/>
    <w:rsid w:val="00D357CA"/>
    <w:rsid w:val="00D369FC"/>
    <w:rsid w:val="00D42CB9"/>
    <w:rsid w:val="00D4772A"/>
    <w:rsid w:val="00D47B8E"/>
    <w:rsid w:val="00D51533"/>
    <w:rsid w:val="00D52D1F"/>
    <w:rsid w:val="00D60152"/>
    <w:rsid w:val="00D61B9E"/>
    <w:rsid w:val="00D65AA4"/>
    <w:rsid w:val="00D662BC"/>
    <w:rsid w:val="00D66759"/>
    <w:rsid w:val="00D70493"/>
    <w:rsid w:val="00D705AC"/>
    <w:rsid w:val="00D73DB6"/>
    <w:rsid w:val="00D7772A"/>
    <w:rsid w:val="00D802AE"/>
    <w:rsid w:val="00D81306"/>
    <w:rsid w:val="00D81B6E"/>
    <w:rsid w:val="00D81D78"/>
    <w:rsid w:val="00D81EDC"/>
    <w:rsid w:val="00D82875"/>
    <w:rsid w:val="00D838E2"/>
    <w:rsid w:val="00D8610A"/>
    <w:rsid w:val="00D870B8"/>
    <w:rsid w:val="00D90D5D"/>
    <w:rsid w:val="00D92832"/>
    <w:rsid w:val="00D9326F"/>
    <w:rsid w:val="00D978C8"/>
    <w:rsid w:val="00DA25F1"/>
    <w:rsid w:val="00DA334A"/>
    <w:rsid w:val="00DA3B17"/>
    <w:rsid w:val="00DA4336"/>
    <w:rsid w:val="00DA4642"/>
    <w:rsid w:val="00DA645B"/>
    <w:rsid w:val="00DA6AE8"/>
    <w:rsid w:val="00DB018E"/>
    <w:rsid w:val="00DB5109"/>
    <w:rsid w:val="00DB6F3E"/>
    <w:rsid w:val="00DC42DD"/>
    <w:rsid w:val="00DC528F"/>
    <w:rsid w:val="00DC640F"/>
    <w:rsid w:val="00DC6A5C"/>
    <w:rsid w:val="00DD06BB"/>
    <w:rsid w:val="00DD1A79"/>
    <w:rsid w:val="00DD3F09"/>
    <w:rsid w:val="00DD522A"/>
    <w:rsid w:val="00DD6DA3"/>
    <w:rsid w:val="00DE311E"/>
    <w:rsid w:val="00DE32D7"/>
    <w:rsid w:val="00DE3439"/>
    <w:rsid w:val="00DE457D"/>
    <w:rsid w:val="00DE5989"/>
    <w:rsid w:val="00DF0987"/>
    <w:rsid w:val="00DF10CA"/>
    <w:rsid w:val="00DF3A79"/>
    <w:rsid w:val="00DF4BC0"/>
    <w:rsid w:val="00DF6CF5"/>
    <w:rsid w:val="00DF741E"/>
    <w:rsid w:val="00DF7BBE"/>
    <w:rsid w:val="00E00708"/>
    <w:rsid w:val="00E00783"/>
    <w:rsid w:val="00E02D3F"/>
    <w:rsid w:val="00E03C35"/>
    <w:rsid w:val="00E0407C"/>
    <w:rsid w:val="00E066A1"/>
    <w:rsid w:val="00E10B8D"/>
    <w:rsid w:val="00E10CB1"/>
    <w:rsid w:val="00E10D34"/>
    <w:rsid w:val="00E11312"/>
    <w:rsid w:val="00E131B3"/>
    <w:rsid w:val="00E13D84"/>
    <w:rsid w:val="00E23D1E"/>
    <w:rsid w:val="00E2433E"/>
    <w:rsid w:val="00E24C10"/>
    <w:rsid w:val="00E25493"/>
    <w:rsid w:val="00E25B74"/>
    <w:rsid w:val="00E25EF9"/>
    <w:rsid w:val="00E26515"/>
    <w:rsid w:val="00E2795C"/>
    <w:rsid w:val="00E27F3A"/>
    <w:rsid w:val="00E30312"/>
    <w:rsid w:val="00E312E9"/>
    <w:rsid w:val="00E354CF"/>
    <w:rsid w:val="00E3557C"/>
    <w:rsid w:val="00E35A70"/>
    <w:rsid w:val="00E379A2"/>
    <w:rsid w:val="00E42C9F"/>
    <w:rsid w:val="00E42D83"/>
    <w:rsid w:val="00E43187"/>
    <w:rsid w:val="00E4362D"/>
    <w:rsid w:val="00E4376C"/>
    <w:rsid w:val="00E43D0B"/>
    <w:rsid w:val="00E473EC"/>
    <w:rsid w:val="00E5024F"/>
    <w:rsid w:val="00E516D2"/>
    <w:rsid w:val="00E517D9"/>
    <w:rsid w:val="00E523F8"/>
    <w:rsid w:val="00E53FC5"/>
    <w:rsid w:val="00E541F1"/>
    <w:rsid w:val="00E544C5"/>
    <w:rsid w:val="00E60D6C"/>
    <w:rsid w:val="00E6344C"/>
    <w:rsid w:val="00E63E0E"/>
    <w:rsid w:val="00E65412"/>
    <w:rsid w:val="00E65BE3"/>
    <w:rsid w:val="00E66651"/>
    <w:rsid w:val="00E66B07"/>
    <w:rsid w:val="00E66DDF"/>
    <w:rsid w:val="00E67712"/>
    <w:rsid w:val="00E702FC"/>
    <w:rsid w:val="00E723B2"/>
    <w:rsid w:val="00E7264C"/>
    <w:rsid w:val="00E7530D"/>
    <w:rsid w:val="00E807AE"/>
    <w:rsid w:val="00E80858"/>
    <w:rsid w:val="00E81566"/>
    <w:rsid w:val="00E84792"/>
    <w:rsid w:val="00E8591C"/>
    <w:rsid w:val="00E864EE"/>
    <w:rsid w:val="00E86B51"/>
    <w:rsid w:val="00E86F50"/>
    <w:rsid w:val="00E9039C"/>
    <w:rsid w:val="00E90746"/>
    <w:rsid w:val="00E92ADB"/>
    <w:rsid w:val="00E93E7B"/>
    <w:rsid w:val="00E940AF"/>
    <w:rsid w:val="00E96379"/>
    <w:rsid w:val="00E9673F"/>
    <w:rsid w:val="00E96C0C"/>
    <w:rsid w:val="00E972EF"/>
    <w:rsid w:val="00EA012C"/>
    <w:rsid w:val="00EA4ED1"/>
    <w:rsid w:val="00EA6DE2"/>
    <w:rsid w:val="00EA7369"/>
    <w:rsid w:val="00EA745F"/>
    <w:rsid w:val="00EA7C4F"/>
    <w:rsid w:val="00EB12DC"/>
    <w:rsid w:val="00EB50AA"/>
    <w:rsid w:val="00EC15BB"/>
    <w:rsid w:val="00EC6489"/>
    <w:rsid w:val="00ED3FAD"/>
    <w:rsid w:val="00ED5D7F"/>
    <w:rsid w:val="00ED5E92"/>
    <w:rsid w:val="00EE047F"/>
    <w:rsid w:val="00EE21B6"/>
    <w:rsid w:val="00EE6D4F"/>
    <w:rsid w:val="00EF06C1"/>
    <w:rsid w:val="00EF0E20"/>
    <w:rsid w:val="00EF1FA7"/>
    <w:rsid w:val="00EF2EEE"/>
    <w:rsid w:val="00EF42BE"/>
    <w:rsid w:val="00EF62E7"/>
    <w:rsid w:val="00F02619"/>
    <w:rsid w:val="00F030F6"/>
    <w:rsid w:val="00F055F9"/>
    <w:rsid w:val="00F06B54"/>
    <w:rsid w:val="00F10B98"/>
    <w:rsid w:val="00F11908"/>
    <w:rsid w:val="00F131B6"/>
    <w:rsid w:val="00F1468D"/>
    <w:rsid w:val="00F15306"/>
    <w:rsid w:val="00F154F6"/>
    <w:rsid w:val="00F15DB6"/>
    <w:rsid w:val="00F166B8"/>
    <w:rsid w:val="00F23C84"/>
    <w:rsid w:val="00F3006E"/>
    <w:rsid w:val="00F30800"/>
    <w:rsid w:val="00F30ED0"/>
    <w:rsid w:val="00F31CCA"/>
    <w:rsid w:val="00F32809"/>
    <w:rsid w:val="00F35EAB"/>
    <w:rsid w:val="00F377AD"/>
    <w:rsid w:val="00F41242"/>
    <w:rsid w:val="00F471DF"/>
    <w:rsid w:val="00F50887"/>
    <w:rsid w:val="00F523E1"/>
    <w:rsid w:val="00F5331B"/>
    <w:rsid w:val="00F539FB"/>
    <w:rsid w:val="00F54A08"/>
    <w:rsid w:val="00F5691A"/>
    <w:rsid w:val="00F6145E"/>
    <w:rsid w:val="00F616C7"/>
    <w:rsid w:val="00F6470A"/>
    <w:rsid w:val="00F65117"/>
    <w:rsid w:val="00F661AE"/>
    <w:rsid w:val="00F66D66"/>
    <w:rsid w:val="00F671EF"/>
    <w:rsid w:val="00F700DF"/>
    <w:rsid w:val="00F70A37"/>
    <w:rsid w:val="00F71CCF"/>
    <w:rsid w:val="00F74C16"/>
    <w:rsid w:val="00F774E4"/>
    <w:rsid w:val="00F855CA"/>
    <w:rsid w:val="00F92661"/>
    <w:rsid w:val="00F954C1"/>
    <w:rsid w:val="00FA1368"/>
    <w:rsid w:val="00FA3667"/>
    <w:rsid w:val="00FA6FDA"/>
    <w:rsid w:val="00FB1112"/>
    <w:rsid w:val="00FB4695"/>
    <w:rsid w:val="00FB5342"/>
    <w:rsid w:val="00FB5465"/>
    <w:rsid w:val="00FB6424"/>
    <w:rsid w:val="00FB66BD"/>
    <w:rsid w:val="00FC11A5"/>
    <w:rsid w:val="00FC1C18"/>
    <w:rsid w:val="00FC31B6"/>
    <w:rsid w:val="00FC34D4"/>
    <w:rsid w:val="00FC3E94"/>
    <w:rsid w:val="00FC522A"/>
    <w:rsid w:val="00FC5DA6"/>
    <w:rsid w:val="00FC78B0"/>
    <w:rsid w:val="00FD1343"/>
    <w:rsid w:val="00FD4668"/>
    <w:rsid w:val="00FD77BD"/>
    <w:rsid w:val="00FE0B92"/>
    <w:rsid w:val="00FE27E5"/>
    <w:rsid w:val="00FE2BD3"/>
    <w:rsid w:val="00FE3B19"/>
    <w:rsid w:val="00FE3FEF"/>
    <w:rsid w:val="00FF0FB1"/>
    <w:rsid w:val="00FF1500"/>
    <w:rsid w:val="00FF327C"/>
    <w:rsid w:val="00FF32A9"/>
    <w:rsid w:val="00FF45AD"/>
    <w:rsid w:val="00FF5DE3"/>
    <w:rsid w:val="00FF5FC2"/>
    <w:rsid w:val="00FF6081"/>
    <w:rsid w:val="00FF62E5"/>
    <w:rsid w:val="00FF7974"/>
    <w:rsid w:val="139D1A11"/>
    <w:rsid w:val="23CD1BAD"/>
    <w:rsid w:val="531A3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12F502"/>
  <w15:chartTrackingRefBased/>
  <w15:docId w15:val="{C11103A9-86C6-4EB3-824D-E9502FF7E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0" w:semiHidden="1" w:unhideWhenUsed="1" w:qFormat="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6" w:semiHidden="1" w:unhideWhenUsed="1"/>
    <w:lsdException w:name="toc 2" w:uiPriority="6" w:semiHidden="1" w:unhideWhenUsed="1"/>
    <w:lsdException w:name="toc 3" w:uiPriority="6"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lsdException w:name="annotation text" w:semiHidden="1" w:unhideWhenUsed="1"/>
    <w:lsdException w:name="header" w:uiPriority="5" w:semiHidden="1" w:unhideWhenUsed="1" w:qFormat="1"/>
    <w:lsdException w:name="footer" w:semiHidden="1" w:unhideWhenUsed="1" w:qFormat="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semiHidden="1" w:unhideWhenUsed="1"/>
    <w:lsdException w:name="endnote reference" w:semiHidden="1" w:unhideWhenUsed="1"/>
    <w:lsdException w:name="endnote text" w:uiPriority="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072D71"/>
    <w:pPr>
      <w:spacing w:after="280" w:line="280" w:lineRule="atLeast"/>
      <w:jc w:val="both"/>
    </w:pPr>
    <w:rPr>
      <w:rFonts w:ascii="Arial" w:hAnsi="Arial"/>
      <w:sz w:val="20"/>
      <w:szCs w:val="20"/>
    </w:rPr>
  </w:style>
  <w:style w:type="paragraph" w:styleId="Heading1">
    <w:name w:val="heading 1"/>
    <w:next w:val="Body1"/>
    <w:link w:val="Heading1Char"/>
    <w:uiPriority w:val="1"/>
    <w:qFormat/>
    <w:rsid w:val="00072D71"/>
    <w:pPr>
      <w:keepNext/>
      <w:widowControl w:val="0"/>
      <w:numPr>
        <w:numId w:val="4"/>
      </w:numPr>
      <w:spacing w:after="280" w:line="280" w:lineRule="atLeast"/>
      <w:jc w:val="both"/>
      <w:outlineLvl w:val="0"/>
    </w:pPr>
    <w:rPr>
      <w:rFonts w:ascii="Arial" w:hAnsi="Arial" w:cs="Arial"/>
      <w:b/>
      <w:bCs/>
      <w:caps/>
      <w:kern w:val="32"/>
      <w:sz w:val="20"/>
      <w:szCs w:val="32"/>
    </w:rPr>
  </w:style>
  <w:style w:type="paragraph" w:styleId="Heading2">
    <w:name w:val="heading 2"/>
    <w:next w:val="Body2"/>
    <w:link w:val="Heading2Char"/>
    <w:uiPriority w:val="1"/>
    <w:qFormat/>
    <w:rsid w:val="00072D71"/>
    <w:pPr>
      <w:numPr>
        <w:ilvl w:val="1"/>
        <w:numId w:val="4"/>
      </w:numPr>
      <w:spacing w:after="280" w:line="280" w:lineRule="atLeast"/>
      <w:jc w:val="both"/>
      <w:outlineLvl w:val="1"/>
    </w:pPr>
    <w:rPr>
      <w:rFonts w:ascii="Arial" w:hAnsi="Arial" w:cs="Arial"/>
      <w:bCs/>
      <w:iCs/>
      <w:sz w:val="20"/>
      <w:szCs w:val="28"/>
    </w:rPr>
  </w:style>
  <w:style w:type="paragraph" w:styleId="Heading3">
    <w:name w:val="heading 3"/>
    <w:next w:val="Body3"/>
    <w:link w:val="Heading3Char"/>
    <w:uiPriority w:val="1"/>
    <w:qFormat/>
    <w:rsid w:val="00072D71"/>
    <w:pPr>
      <w:numPr>
        <w:ilvl w:val="2"/>
        <w:numId w:val="4"/>
      </w:numPr>
      <w:spacing w:after="280" w:line="280" w:lineRule="atLeast"/>
      <w:jc w:val="both"/>
      <w:outlineLvl w:val="2"/>
    </w:pPr>
    <w:rPr>
      <w:rFonts w:ascii="Arial" w:hAnsi="Arial" w:cs="Arial"/>
      <w:bCs/>
      <w:sz w:val="20"/>
      <w:szCs w:val="26"/>
    </w:rPr>
  </w:style>
  <w:style w:type="paragraph" w:styleId="Heading4">
    <w:name w:val="heading 4"/>
    <w:next w:val="Body4"/>
    <w:link w:val="Heading4Char"/>
    <w:uiPriority w:val="1"/>
    <w:qFormat/>
    <w:rsid w:val="00072D71"/>
    <w:pPr>
      <w:numPr>
        <w:ilvl w:val="3"/>
        <w:numId w:val="4"/>
      </w:numPr>
      <w:spacing w:after="280" w:line="280" w:lineRule="atLeast"/>
      <w:jc w:val="both"/>
      <w:outlineLvl w:val="3"/>
    </w:pPr>
    <w:rPr>
      <w:rFonts w:ascii="Arial" w:hAnsi="Arial"/>
      <w:bCs/>
      <w:sz w:val="20"/>
      <w:szCs w:val="28"/>
    </w:rPr>
  </w:style>
  <w:style w:type="paragraph" w:styleId="Heading5">
    <w:name w:val="heading 5"/>
    <w:next w:val="Body5"/>
    <w:link w:val="Heading5Char"/>
    <w:uiPriority w:val="1"/>
    <w:qFormat/>
    <w:rsid w:val="00072D71"/>
    <w:pPr>
      <w:numPr>
        <w:ilvl w:val="4"/>
        <w:numId w:val="4"/>
      </w:numPr>
      <w:spacing w:after="280" w:line="280" w:lineRule="atLeast"/>
      <w:jc w:val="both"/>
      <w:outlineLvl w:val="4"/>
    </w:pPr>
    <w:rPr>
      <w:rFonts w:ascii="Arial" w:hAnsi="Arial"/>
      <w:bCs/>
      <w:iCs/>
      <w:sz w:val="20"/>
      <w:szCs w:val="26"/>
    </w:rPr>
  </w:style>
  <w:style w:type="paragraph" w:styleId="Heading6">
    <w:name w:val="heading 6"/>
    <w:next w:val="Body6"/>
    <w:link w:val="Heading6Char"/>
    <w:uiPriority w:val="1"/>
    <w:qFormat/>
    <w:rsid w:val="00072D71"/>
    <w:pPr>
      <w:numPr>
        <w:ilvl w:val="5"/>
        <w:numId w:val="4"/>
      </w:numPr>
      <w:spacing w:after="280" w:line="280" w:lineRule="atLeast"/>
      <w:jc w:val="both"/>
      <w:outlineLvl w:val="5"/>
    </w:pPr>
    <w:rPr>
      <w:rFonts w:ascii="Arial" w:hAnsi="Arial"/>
      <w:bCs/>
      <w:sz w:val="20"/>
      <w:szCs w:val="20"/>
    </w:rPr>
  </w:style>
  <w:style w:type="paragraph" w:styleId="Heading7">
    <w:name w:val="heading 7"/>
    <w:next w:val="Body7"/>
    <w:link w:val="Heading7Char"/>
    <w:uiPriority w:val="10"/>
    <w:qFormat/>
    <w:rsid w:val="00072D71"/>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next w:val="Body8"/>
    <w:link w:val="Heading8Char"/>
    <w:uiPriority w:val="10"/>
    <w:rsid w:val="00072D71"/>
    <w:pPr>
      <w:widowControl w:val="0"/>
      <w:numPr>
        <w:ilvl w:val="7"/>
        <w:numId w:val="4"/>
      </w:numPr>
      <w:tabs>
        <w:tab w:val="left" w:pos="4253"/>
      </w:tabs>
      <w:spacing w:after="280" w:line="280" w:lineRule="atLeast"/>
      <w:jc w:val="both"/>
      <w:outlineLvl w:val="7"/>
    </w:pPr>
    <w:rPr>
      <w:rFonts w:ascii="Arial" w:hAnsi="Arial"/>
      <w:iCs/>
      <w:sz w:val="20"/>
      <w:szCs w:val="20"/>
    </w:rPr>
  </w:style>
  <w:style w:type="paragraph" w:styleId="Heading9">
    <w:name w:val="heading 9"/>
    <w:next w:val="Body9"/>
    <w:link w:val="Heading9Char"/>
    <w:uiPriority w:val="10"/>
    <w:rsid w:val="00072D71"/>
    <w:pPr>
      <w:widowControl w:val="0"/>
      <w:numPr>
        <w:ilvl w:val="8"/>
        <w:numId w:val="4"/>
      </w:numPr>
      <w:tabs>
        <w:tab w:val="left" w:pos="4961"/>
      </w:tabs>
      <w:spacing w:after="280" w:line="280" w:lineRule="atLeast"/>
      <w:jc w:val="both"/>
      <w:outlineLvl w:val="8"/>
    </w:pPr>
    <w:rPr>
      <w:rFonts w:ascii="Arial" w:hAnsi="Arial" w:cs="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072D71"/>
    <w:rPr>
      <w:rFonts w:ascii="Tahoma" w:hAnsi="Tahoma" w:cs="Tahoma"/>
      <w:sz w:val="16"/>
      <w:szCs w:val="16"/>
    </w:rPr>
  </w:style>
  <w:style w:type="character" w:styleId="BalloonTextChar" w:customStyle="1">
    <w:name w:val="Balloon Text Char"/>
    <w:basedOn w:val="DefaultParagraphFont"/>
    <w:link w:val="BalloonText"/>
    <w:uiPriority w:val="99"/>
    <w:semiHidden/>
    <w:rsid w:val="00072D71"/>
    <w:rPr>
      <w:rFonts w:ascii="Tahoma" w:hAnsi="Tahoma" w:cs="Tahoma"/>
      <w:sz w:val="16"/>
      <w:szCs w:val="16"/>
    </w:rPr>
  </w:style>
  <w:style w:type="paragraph" w:styleId="BlockText">
    <w:name w:val="Block Text"/>
    <w:basedOn w:val="Normal"/>
    <w:uiPriority w:val="99"/>
    <w:semiHidden/>
    <w:rsid w:val="00072D71"/>
    <w:pPr>
      <w:spacing w:after="120"/>
      <w:ind w:left="1440" w:right="1440"/>
    </w:pPr>
  </w:style>
  <w:style w:type="paragraph" w:styleId="BodyText">
    <w:name w:val="Body Text"/>
    <w:link w:val="BodyTextChar"/>
    <w:qFormat/>
    <w:rsid w:val="00072D71"/>
    <w:pPr>
      <w:spacing w:after="280" w:line="280" w:lineRule="atLeast"/>
      <w:jc w:val="both"/>
    </w:pPr>
    <w:rPr>
      <w:rFonts w:ascii="Arial" w:hAnsi="Arial"/>
      <w:sz w:val="20"/>
      <w:szCs w:val="20"/>
    </w:rPr>
  </w:style>
  <w:style w:type="character" w:styleId="BodyTextChar" w:customStyle="1">
    <w:name w:val="Body Text Char"/>
    <w:basedOn w:val="DefaultParagraphFont"/>
    <w:link w:val="BodyText"/>
    <w:rsid w:val="00072D71"/>
    <w:rPr>
      <w:rFonts w:ascii="Arial" w:hAnsi="Arial"/>
      <w:sz w:val="20"/>
      <w:szCs w:val="20"/>
    </w:rPr>
  </w:style>
  <w:style w:type="paragraph" w:styleId="BodyText2">
    <w:name w:val="Body Text 2"/>
    <w:basedOn w:val="BodyText"/>
    <w:link w:val="BodyText2Char"/>
    <w:uiPriority w:val="99"/>
    <w:semiHidden/>
    <w:unhideWhenUsed/>
    <w:rsid w:val="00072D71"/>
    <w:pPr>
      <w:spacing w:after="120" w:line="480" w:lineRule="auto"/>
    </w:pPr>
  </w:style>
  <w:style w:type="character" w:styleId="BodyText2Char" w:customStyle="1">
    <w:name w:val="Body Text 2 Char"/>
    <w:basedOn w:val="DefaultParagraphFont"/>
    <w:link w:val="BodyText2"/>
    <w:uiPriority w:val="99"/>
    <w:semiHidden/>
    <w:rsid w:val="00072D71"/>
    <w:rPr>
      <w:rFonts w:ascii="Arial" w:hAnsi="Arial"/>
      <w:sz w:val="20"/>
      <w:szCs w:val="20"/>
    </w:rPr>
  </w:style>
  <w:style w:type="paragraph" w:styleId="BodyText3">
    <w:name w:val="Body Text 3"/>
    <w:basedOn w:val="BodyText"/>
    <w:link w:val="BodyText3Char"/>
    <w:uiPriority w:val="99"/>
    <w:semiHidden/>
    <w:unhideWhenUsed/>
    <w:rsid w:val="00072D71"/>
    <w:pPr>
      <w:spacing w:after="120"/>
    </w:pPr>
    <w:rPr>
      <w:sz w:val="16"/>
      <w:szCs w:val="16"/>
    </w:rPr>
  </w:style>
  <w:style w:type="character" w:styleId="BodyText3Char" w:customStyle="1">
    <w:name w:val="Body Text 3 Char"/>
    <w:basedOn w:val="DefaultParagraphFont"/>
    <w:link w:val="BodyText3"/>
    <w:uiPriority w:val="99"/>
    <w:semiHidden/>
    <w:rsid w:val="00072D71"/>
    <w:rPr>
      <w:rFonts w:ascii="Arial" w:hAnsi="Arial"/>
      <w:sz w:val="16"/>
      <w:szCs w:val="16"/>
    </w:rPr>
  </w:style>
  <w:style w:type="paragraph" w:styleId="Body1" w:customStyle="1">
    <w:name w:val="Body1"/>
    <w:qFormat/>
    <w:rsid w:val="00072D71"/>
    <w:pPr>
      <w:spacing w:after="280" w:line="280" w:lineRule="atLeast"/>
      <w:ind w:left="709"/>
      <w:jc w:val="both"/>
    </w:pPr>
    <w:rPr>
      <w:rFonts w:ascii="Arial" w:hAnsi="Arial"/>
      <w:sz w:val="20"/>
      <w:szCs w:val="20"/>
    </w:rPr>
  </w:style>
  <w:style w:type="paragraph" w:styleId="BodyTextIndent2">
    <w:name w:val="Body Text Indent 2"/>
    <w:basedOn w:val="Body1"/>
    <w:link w:val="BodyTextIndent2Char"/>
    <w:uiPriority w:val="99"/>
    <w:semiHidden/>
    <w:unhideWhenUsed/>
    <w:qFormat/>
    <w:rsid w:val="00072D71"/>
    <w:rPr>
      <w:b/>
      <w:i/>
    </w:rPr>
  </w:style>
  <w:style w:type="character" w:styleId="BodyTextIndent2Char" w:customStyle="1">
    <w:name w:val="Body Text Indent 2 Char"/>
    <w:basedOn w:val="DefaultParagraphFont"/>
    <w:link w:val="BodyTextIndent2"/>
    <w:uiPriority w:val="99"/>
    <w:semiHidden/>
    <w:rsid w:val="00072D71"/>
    <w:rPr>
      <w:rFonts w:ascii="Arial" w:hAnsi="Arial"/>
      <w:b/>
      <w:i/>
      <w:sz w:val="20"/>
      <w:szCs w:val="20"/>
    </w:rPr>
  </w:style>
  <w:style w:type="paragraph" w:styleId="BodyTextIndent3">
    <w:name w:val="Body Text Indent 3"/>
    <w:basedOn w:val="BodyText"/>
    <w:link w:val="BodyTextIndent3Char"/>
    <w:uiPriority w:val="99"/>
    <w:semiHidden/>
    <w:unhideWhenUsed/>
    <w:rsid w:val="00072D7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072D71"/>
    <w:rPr>
      <w:rFonts w:ascii="Arial" w:hAnsi="Arial"/>
      <w:sz w:val="16"/>
      <w:szCs w:val="16"/>
    </w:rPr>
  </w:style>
  <w:style w:type="paragraph" w:styleId="Body2" w:customStyle="1">
    <w:name w:val="Body2"/>
    <w:qFormat/>
    <w:rsid w:val="00072D71"/>
    <w:pPr>
      <w:spacing w:after="280" w:line="280" w:lineRule="atLeast"/>
      <w:ind w:left="709"/>
      <w:jc w:val="both"/>
    </w:pPr>
    <w:rPr>
      <w:rFonts w:ascii="Arial" w:hAnsi="Arial"/>
      <w:sz w:val="20"/>
      <w:szCs w:val="20"/>
    </w:rPr>
  </w:style>
  <w:style w:type="paragraph" w:styleId="Body3" w:customStyle="1">
    <w:name w:val="Body3"/>
    <w:qFormat/>
    <w:rsid w:val="00072D71"/>
    <w:pPr>
      <w:spacing w:after="280" w:line="280" w:lineRule="atLeast"/>
      <w:ind w:left="1418"/>
      <w:jc w:val="both"/>
    </w:pPr>
    <w:rPr>
      <w:rFonts w:ascii="Arial" w:hAnsi="Arial"/>
      <w:sz w:val="20"/>
      <w:szCs w:val="20"/>
    </w:rPr>
  </w:style>
  <w:style w:type="paragraph" w:styleId="Body4" w:customStyle="1">
    <w:name w:val="Body4"/>
    <w:qFormat/>
    <w:rsid w:val="00072D71"/>
    <w:pPr>
      <w:spacing w:after="280" w:line="280" w:lineRule="atLeast"/>
      <w:ind w:left="2126"/>
      <w:jc w:val="both"/>
    </w:pPr>
    <w:rPr>
      <w:rFonts w:ascii="Arial" w:hAnsi="Arial"/>
      <w:sz w:val="20"/>
      <w:szCs w:val="20"/>
    </w:rPr>
  </w:style>
  <w:style w:type="paragraph" w:styleId="Body5" w:customStyle="1">
    <w:name w:val="Body5"/>
    <w:qFormat/>
    <w:rsid w:val="00072D71"/>
    <w:pPr>
      <w:spacing w:after="280" w:line="280" w:lineRule="atLeast"/>
      <w:ind w:left="2835"/>
      <w:jc w:val="both"/>
    </w:pPr>
    <w:rPr>
      <w:rFonts w:ascii="Arial" w:hAnsi="Arial"/>
      <w:sz w:val="20"/>
      <w:szCs w:val="20"/>
    </w:rPr>
  </w:style>
  <w:style w:type="paragraph" w:styleId="Body6" w:customStyle="1">
    <w:name w:val="Body6"/>
    <w:qFormat/>
    <w:rsid w:val="00072D71"/>
    <w:pPr>
      <w:spacing w:after="280" w:line="280" w:lineRule="atLeast"/>
      <w:ind w:left="3544"/>
      <w:jc w:val="both"/>
    </w:pPr>
    <w:rPr>
      <w:rFonts w:ascii="Arial" w:hAnsi="Arial"/>
      <w:sz w:val="20"/>
      <w:szCs w:val="20"/>
    </w:rPr>
  </w:style>
  <w:style w:type="paragraph" w:styleId="Body7" w:customStyle="1">
    <w:name w:val="Body7"/>
    <w:uiPriority w:val="10"/>
    <w:rsid w:val="00072D71"/>
    <w:pPr>
      <w:spacing w:after="280" w:line="280" w:lineRule="atLeast"/>
      <w:ind w:left="4253"/>
      <w:jc w:val="both"/>
    </w:pPr>
    <w:rPr>
      <w:rFonts w:ascii="Arial" w:hAnsi="Arial"/>
      <w:sz w:val="20"/>
      <w:szCs w:val="20"/>
    </w:rPr>
  </w:style>
  <w:style w:type="paragraph" w:styleId="Body8" w:customStyle="1">
    <w:name w:val="Body8"/>
    <w:uiPriority w:val="10"/>
    <w:rsid w:val="00072D71"/>
    <w:pPr>
      <w:spacing w:after="280" w:line="280" w:lineRule="atLeast"/>
      <w:ind w:left="4961"/>
      <w:jc w:val="both"/>
    </w:pPr>
    <w:rPr>
      <w:rFonts w:ascii="Arial" w:hAnsi="Arial"/>
      <w:sz w:val="20"/>
      <w:szCs w:val="20"/>
    </w:rPr>
  </w:style>
  <w:style w:type="paragraph" w:styleId="Body9" w:customStyle="1">
    <w:name w:val="Body9"/>
    <w:uiPriority w:val="10"/>
    <w:rsid w:val="00072D71"/>
    <w:pPr>
      <w:spacing w:after="280" w:line="280" w:lineRule="atLeast"/>
      <w:ind w:left="5670"/>
      <w:jc w:val="both"/>
    </w:pPr>
    <w:rPr>
      <w:rFonts w:ascii="Arial" w:hAnsi="Arial"/>
      <w:sz w:val="20"/>
      <w:szCs w:val="20"/>
    </w:rPr>
  </w:style>
  <w:style w:type="paragraph" w:styleId="Bullet1" w:customStyle="1">
    <w:name w:val="Bullet 1"/>
    <w:uiPriority w:val="4"/>
    <w:qFormat/>
    <w:rsid w:val="00072D71"/>
    <w:pPr>
      <w:numPr>
        <w:numId w:val="1"/>
      </w:numPr>
      <w:spacing w:after="280" w:line="280" w:lineRule="atLeast"/>
      <w:jc w:val="both"/>
    </w:pPr>
    <w:rPr>
      <w:rFonts w:ascii="Arial" w:hAnsi="Arial"/>
      <w:sz w:val="20"/>
      <w:szCs w:val="20"/>
    </w:rPr>
  </w:style>
  <w:style w:type="paragraph" w:styleId="Bullet2" w:customStyle="1">
    <w:name w:val="Bullet 2"/>
    <w:uiPriority w:val="4"/>
    <w:qFormat/>
    <w:rsid w:val="00072D71"/>
    <w:pPr>
      <w:numPr>
        <w:ilvl w:val="1"/>
        <w:numId w:val="1"/>
      </w:numPr>
      <w:spacing w:after="280" w:line="280" w:lineRule="atLeast"/>
      <w:jc w:val="both"/>
    </w:pPr>
    <w:rPr>
      <w:rFonts w:ascii="Arial" w:hAnsi="Arial"/>
      <w:sz w:val="20"/>
      <w:szCs w:val="20"/>
    </w:rPr>
  </w:style>
  <w:style w:type="paragraph" w:styleId="Bullet3" w:customStyle="1">
    <w:name w:val="Bullet 3"/>
    <w:uiPriority w:val="4"/>
    <w:qFormat/>
    <w:rsid w:val="00072D71"/>
    <w:pPr>
      <w:numPr>
        <w:ilvl w:val="2"/>
        <w:numId w:val="1"/>
      </w:numPr>
      <w:spacing w:after="280" w:line="280" w:lineRule="atLeast"/>
      <w:jc w:val="both"/>
    </w:pPr>
    <w:rPr>
      <w:rFonts w:ascii="Arial" w:hAnsi="Arial"/>
      <w:sz w:val="20"/>
      <w:szCs w:val="20"/>
    </w:rPr>
  </w:style>
  <w:style w:type="paragraph" w:styleId="Bullet4" w:customStyle="1">
    <w:name w:val="Bullet 4"/>
    <w:uiPriority w:val="4"/>
    <w:qFormat/>
    <w:rsid w:val="00072D71"/>
    <w:pPr>
      <w:numPr>
        <w:ilvl w:val="3"/>
        <w:numId w:val="1"/>
      </w:numPr>
      <w:spacing w:after="280" w:line="280" w:lineRule="atLeast"/>
      <w:jc w:val="both"/>
    </w:pPr>
    <w:rPr>
      <w:rFonts w:ascii="Arial" w:hAnsi="Arial"/>
      <w:sz w:val="20"/>
      <w:szCs w:val="20"/>
    </w:rPr>
  </w:style>
  <w:style w:type="paragraph" w:styleId="Bullet5" w:customStyle="1">
    <w:name w:val="Bullet 5"/>
    <w:uiPriority w:val="4"/>
    <w:qFormat/>
    <w:rsid w:val="00072D71"/>
    <w:pPr>
      <w:numPr>
        <w:ilvl w:val="4"/>
        <w:numId w:val="1"/>
      </w:numPr>
      <w:spacing w:after="280" w:line="280" w:lineRule="atLeast"/>
      <w:jc w:val="both"/>
    </w:pPr>
    <w:rPr>
      <w:rFonts w:ascii="Arial" w:hAnsi="Arial"/>
      <w:sz w:val="20"/>
      <w:szCs w:val="20"/>
    </w:rPr>
  </w:style>
  <w:style w:type="paragraph" w:styleId="Bullet6" w:customStyle="1">
    <w:name w:val="Bullet 6"/>
    <w:uiPriority w:val="4"/>
    <w:qFormat/>
    <w:rsid w:val="00072D71"/>
    <w:pPr>
      <w:numPr>
        <w:ilvl w:val="5"/>
        <w:numId w:val="1"/>
      </w:numPr>
      <w:spacing w:after="280" w:line="280" w:lineRule="atLeast"/>
      <w:jc w:val="both"/>
    </w:pPr>
    <w:rPr>
      <w:rFonts w:ascii="Arial" w:hAnsi="Arial"/>
      <w:sz w:val="20"/>
      <w:szCs w:val="20"/>
    </w:rPr>
  </w:style>
  <w:style w:type="paragraph" w:styleId="Bullet7" w:customStyle="1">
    <w:name w:val="Bullet 7"/>
    <w:uiPriority w:val="10"/>
    <w:qFormat/>
    <w:rsid w:val="00072D71"/>
    <w:pPr>
      <w:numPr>
        <w:ilvl w:val="6"/>
        <w:numId w:val="1"/>
      </w:numPr>
      <w:spacing w:after="280" w:line="280" w:lineRule="atLeast"/>
      <w:jc w:val="both"/>
    </w:pPr>
    <w:rPr>
      <w:rFonts w:ascii="Arial" w:hAnsi="Arial"/>
      <w:sz w:val="20"/>
      <w:szCs w:val="20"/>
    </w:rPr>
  </w:style>
  <w:style w:type="paragraph" w:styleId="Bullet8" w:customStyle="1">
    <w:name w:val="Bullet 8"/>
    <w:uiPriority w:val="10"/>
    <w:rsid w:val="00072D71"/>
    <w:pPr>
      <w:numPr>
        <w:ilvl w:val="7"/>
        <w:numId w:val="1"/>
      </w:numPr>
      <w:spacing w:after="280" w:line="280" w:lineRule="atLeast"/>
      <w:jc w:val="both"/>
    </w:pPr>
    <w:rPr>
      <w:rFonts w:ascii="Arial" w:hAnsi="Arial"/>
      <w:sz w:val="20"/>
      <w:szCs w:val="20"/>
    </w:rPr>
  </w:style>
  <w:style w:type="paragraph" w:styleId="Bullet9" w:customStyle="1">
    <w:name w:val="Bullet 9"/>
    <w:uiPriority w:val="10"/>
    <w:rsid w:val="00072D71"/>
    <w:pPr>
      <w:numPr>
        <w:ilvl w:val="8"/>
        <w:numId w:val="1"/>
      </w:numPr>
      <w:spacing w:after="280" w:line="280" w:lineRule="atLeast"/>
      <w:jc w:val="both"/>
    </w:pPr>
    <w:rPr>
      <w:rFonts w:ascii="Arial" w:hAnsi="Arial"/>
      <w:sz w:val="20"/>
      <w:szCs w:val="20"/>
    </w:rPr>
  </w:style>
  <w:style w:type="paragraph" w:styleId="Caption">
    <w:name w:val="caption"/>
    <w:basedOn w:val="Normal"/>
    <w:next w:val="Normal"/>
    <w:uiPriority w:val="8"/>
    <w:rsid w:val="00072D71"/>
    <w:pPr>
      <w:jc w:val="center"/>
    </w:pPr>
    <w:rPr>
      <w:b/>
      <w:bCs/>
    </w:rPr>
  </w:style>
  <w:style w:type="paragraph" w:styleId="CorrespondenceAddress" w:customStyle="1">
    <w:name w:val="CorrespondenceAddress"/>
    <w:basedOn w:val="Normal"/>
    <w:uiPriority w:val="8"/>
    <w:rsid w:val="00072D71"/>
  </w:style>
  <w:style w:type="paragraph" w:styleId="CorrespondenceDeliveryInfo" w:customStyle="1">
    <w:name w:val="CorrespondenceDeliveryInfo"/>
    <w:basedOn w:val="CorrespondenceAddress"/>
    <w:next w:val="CorrespondenceAddress"/>
    <w:uiPriority w:val="8"/>
    <w:rsid w:val="00072D71"/>
    <w:rPr>
      <w:b/>
    </w:rPr>
  </w:style>
  <w:style w:type="paragraph" w:styleId="CorrespondenceHeader" w:customStyle="1">
    <w:name w:val="CorrespondenceHeader"/>
    <w:basedOn w:val="BodyText"/>
    <w:uiPriority w:val="8"/>
    <w:rsid w:val="00072D71"/>
    <w:rPr>
      <w:sz w:val="16"/>
    </w:rPr>
  </w:style>
  <w:style w:type="paragraph" w:styleId="CorrespondenceSubject" w:customStyle="1">
    <w:name w:val="CorrespondenceSubject"/>
    <w:basedOn w:val="Normal"/>
    <w:next w:val="BodyText"/>
    <w:uiPriority w:val="8"/>
    <w:rsid w:val="00072D71"/>
    <w:rPr>
      <w:b/>
    </w:rPr>
  </w:style>
  <w:style w:type="paragraph" w:styleId="definition" w:customStyle="1">
    <w:name w:val="definition"/>
    <w:uiPriority w:val="7"/>
    <w:qFormat/>
    <w:rsid w:val="00072D71"/>
    <w:pPr>
      <w:numPr>
        <w:numId w:val="2"/>
      </w:numPr>
      <w:spacing w:after="280" w:line="280" w:lineRule="atLeast"/>
      <w:jc w:val="both"/>
    </w:pPr>
    <w:rPr>
      <w:rFonts w:ascii="Arial" w:hAnsi="Arial" w:eastAsia="Times New Roman" w:cs="Times New Roman"/>
      <w:sz w:val="20"/>
      <w:szCs w:val="20"/>
      <w:lang w:eastAsia="en-GB"/>
    </w:rPr>
  </w:style>
  <w:style w:type="paragraph" w:styleId="definitionsub" w:customStyle="1">
    <w:name w:val="definition sub"/>
    <w:link w:val="definitionsubChar"/>
    <w:uiPriority w:val="2"/>
    <w:qFormat/>
    <w:rsid w:val="00072D71"/>
    <w:pPr>
      <w:numPr>
        <w:ilvl w:val="1"/>
        <w:numId w:val="2"/>
      </w:numPr>
      <w:tabs>
        <w:tab w:val="left" w:pos="567"/>
      </w:tabs>
      <w:spacing w:after="280" w:line="280" w:lineRule="atLeast"/>
      <w:jc w:val="both"/>
    </w:pPr>
    <w:rPr>
      <w:rFonts w:ascii="Arial" w:hAnsi="Arial" w:eastAsia="Times New Roman" w:cs="Times New Roman"/>
      <w:sz w:val="20"/>
      <w:szCs w:val="20"/>
      <w:lang w:eastAsia="en-GB"/>
    </w:rPr>
  </w:style>
  <w:style w:type="character" w:styleId="definitionsubChar" w:customStyle="1">
    <w:name w:val="definition sub Char"/>
    <w:basedOn w:val="DefaultParagraphFont"/>
    <w:link w:val="definitionsub"/>
    <w:uiPriority w:val="2"/>
    <w:rsid w:val="00072D71"/>
    <w:rPr>
      <w:rFonts w:ascii="Arial" w:hAnsi="Arial" w:eastAsia="Times New Roman" w:cs="Times New Roman"/>
      <w:sz w:val="20"/>
      <w:szCs w:val="20"/>
      <w:lang w:eastAsia="en-GB"/>
    </w:rPr>
  </w:style>
  <w:style w:type="paragraph" w:styleId="definitionsub-sub" w:customStyle="1">
    <w:name w:val="definition sub-sub"/>
    <w:basedOn w:val="definitionsub"/>
    <w:link w:val="definitionsub-subChar"/>
    <w:uiPriority w:val="5"/>
    <w:qFormat/>
    <w:rsid w:val="00894822"/>
    <w:pPr>
      <w:numPr>
        <w:ilvl w:val="0"/>
        <w:numId w:val="3"/>
      </w:numPr>
      <w:tabs>
        <w:tab w:val="left" w:pos="1021"/>
      </w:tabs>
    </w:pPr>
  </w:style>
  <w:style w:type="character" w:styleId="definitionsub-subChar" w:customStyle="1">
    <w:name w:val="definition sub-sub Char"/>
    <w:basedOn w:val="definitionsubChar"/>
    <w:link w:val="definitionsub-sub"/>
    <w:uiPriority w:val="5"/>
    <w:rsid w:val="00072D71"/>
    <w:rPr>
      <w:rFonts w:ascii="Arial" w:hAnsi="Arial" w:eastAsia="Times New Roman" w:cs="Times New Roman"/>
      <w:sz w:val="20"/>
      <w:szCs w:val="20"/>
      <w:lang w:eastAsia="en-GB"/>
    </w:rPr>
  </w:style>
  <w:style w:type="paragraph" w:styleId="DLFrontPage" w:customStyle="1">
    <w:name w:val="DLFrontPage"/>
    <w:basedOn w:val="Normal"/>
    <w:uiPriority w:val="8"/>
    <w:rsid w:val="00072D71"/>
    <w:pPr>
      <w:tabs>
        <w:tab w:val="left" w:pos="5940"/>
        <w:tab w:val="left" w:pos="6480"/>
      </w:tabs>
      <w:spacing w:after="220"/>
    </w:pPr>
  </w:style>
  <w:style w:type="paragraph" w:styleId="DLFrontPageTitle" w:customStyle="1">
    <w:name w:val="DLFrontPageTitle"/>
    <w:basedOn w:val="DLFrontPage"/>
    <w:uiPriority w:val="5"/>
    <w:qFormat/>
    <w:rsid w:val="00072D71"/>
    <w:pPr>
      <w:tabs>
        <w:tab w:val="clear" w:pos="6480"/>
        <w:tab w:val="left" w:pos="6660"/>
      </w:tabs>
      <w:spacing w:line="240" w:lineRule="auto"/>
      <w:jc w:val="center"/>
    </w:pPr>
  </w:style>
  <w:style w:type="paragraph" w:styleId="EndnoteText">
    <w:name w:val="endnote text"/>
    <w:basedOn w:val="Normal"/>
    <w:link w:val="EndnoteTextChar"/>
    <w:uiPriority w:val="9"/>
    <w:rsid w:val="00072D71"/>
  </w:style>
  <w:style w:type="character" w:styleId="EndnoteTextChar" w:customStyle="1">
    <w:name w:val="Endnote Text Char"/>
    <w:basedOn w:val="DefaultParagraphFont"/>
    <w:link w:val="EndnoteText"/>
    <w:uiPriority w:val="9"/>
    <w:rsid w:val="00072D71"/>
    <w:rPr>
      <w:rFonts w:ascii="Arial" w:hAnsi="Arial"/>
      <w:sz w:val="20"/>
      <w:szCs w:val="20"/>
    </w:rPr>
  </w:style>
  <w:style w:type="paragraph" w:styleId="EnvelopeAddress">
    <w:name w:val="envelope address"/>
    <w:basedOn w:val="Normal"/>
    <w:uiPriority w:val="99"/>
    <w:semiHidden/>
    <w:unhideWhenUsed/>
    <w:rsid w:val="00072D71"/>
    <w:pPr>
      <w:framePr w:w="7920" w:h="1980" w:hSpace="180" w:wrap="auto" w:hAnchor="page" w:xAlign="center" w:yAlign="bottom" w:hRule="exact"/>
      <w:ind w:left="2880"/>
    </w:pPr>
    <w:rPr>
      <w:rFonts w:eastAsiaTheme="majorEastAsia" w:cstheme="majorBidi"/>
      <w:sz w:val="24"/>
      <w:szCs w:val="24"/>
    </w:rPr>
  </w:style>
  <w:style w:type="paragraph" w:styleId="EnvelopeReturn">
    <w:name w:val="envelope return"/>
    <w:basedOn w:val="Normal"/>
    <w:uiPriority w:val="99"/>
    <w:semiHidden/>
    <w:unhideWhenUsed/>
    <w:rsid w:val="00072D71"/>
    <w:rPr>
      <w:rFonts w:eastAsiaTheme="majorEastAsia" w:cstheme="majorBidi"/>
    </w:rPr>
  </w:style>
  <w:style w:type="paragraph" w:styleId="Footer">
    <w:name w:val="footer"/>
    <w:basedOn w:val="Normal"/>
    <w:link w:val="FooterChar"/>
    <w:uiPriority w:val="99"/>
    <w:qFormat/>
    <w:rsid w:val="00072D71"/>
    <w:pPr>
      <w:tabs>
        <w:tab w:val="center" w:pos="4536"/>
        <w:tab w:val="right" w:pos="8306"/>
      </w:tabs>
      <w:spacing w:after="120" w:line="240" w:lineRule="auto"/>
    </w:pPr>
  </w:style>
  <w:style w:type="character" w:styleId="FooterChar" w:customStyle="1">
    <w:name w:val="Footer Char"/>
    <w:basedOn w:val="DefaultParagraphFont"/>
    <w:link w:val="Footer"/>
    <w:uiPriority w:val="99"/>
    <w:rsid w:val="00072D71"/>
    <w:rPr>
      <w:rFonts w:ascii="Arial" w:hAnsi="Arial"/>
      <w:sz w:val="20"/>
      <w:szCs w:val="20"/>
    </w:rPr>
  </w:style>
  <w:style w:type="paragraph" w:styleId="FootnoteText">
    <w:name w:val="footnote text"/>
    <w:basedOn w:val="Normal"/>
    <w:link w:val="FootnoteTextChar"/>
    <w:uiPriority w:val="9"/>
    <w:rsid w:val="00072D71"/>
    <w:rPr>
      <w:sz w:val="18"/>
    </w:rPr>
  </w:style>
  <w:style w:type="character" w:styleId="FootnoteTextChar" w:customStyle="1">
    <w:name w:val="Footnote Text Char"/>
    <w:basedOn w:val="DefaultParagraphFont"/>
    <w:link w:val="FootnoteText"/>
    <w:uiPriority w:val="9"/>
    <w:rsid w:val="00072D71"/>
    <w:rPr>
      <w:rFonts w:ascii="Arial" w:hAnsi="Arial"/>
      <w:sz w:val="18"/>
      <w:szCs w:val="20"/>
    </w:rPr>
  </w:style>
  <w:style w:type="paragraph" w:styleId="Header">
    <w:name w:val="header"/>
    <w:basedOn w:val="Normal"/>
    <w:link w:val="HeaderChar"/>
    <w:uiPriority w:val="5"/>
    <w:qFormat/>
    <w:rsid w:val="00072D71"/>
    <w:pPr>
      <w:tabs>
        <w:tab w:val="center" w:pos="4536"/>
        <w:tab w:val="right" w:pos="8306"/>
      </w:tabs>
    </w:pPr>
  </w:style>
  <w:style w:type="character" w:styleId="HeaderChar" w:customStyle="1">
    <w:name w:val="Header Char"/>
    <w:basedOn w:val="DefaultParagraphFont"/>
    <w:link w:val="Header"/>
    <w:uiPriority w:val="5"/>
    <w:rsid w:val="00072D71"/>
    <w:rPr>
      <w:rFonts w:ascii="Arial" w:hAnsi="Arial"/>
      <w:sz w:val="20"/>
      <w:szCs w:val="20"/>
    </w:rPr>
  </w:style>
  <w:style w:type="character" w:styleId="Heading1Char" w:customStyle="1">
    <w:name w:val="Heading 1 Char"/>
    <w:basedOn w:val="DefaultParagraphFont"/>
    <w:link w:val="Heading1"/>
    <w:uiPriority w:val="1"/>
    <w:rsid w:val="00072D71"/>
    <w:rPr>
      <w:rFonts w:ascii="Arial" w:hAnsi="Arial" w:cs="Arial"/>
      <w:b/>
      <w:bCs/>
      <w:caps/>
      <w:kern w:val="32"/>
      <w:sz w:val="20"/>
      <w:szCs w:val="32"/>
    </w:rPr>
  </w:style>
  <w:style w:type="character" w:styleId="Heading2Char" w:customStyle="1">
    <w:name w:val="Heading 2 Char"/>
    <w:basedOn w:val="DefaultParagraphFont"/>
    <w:link w:val="Heading2"/>
    <w:uiPriority w:val="1"/>
    <w:rsid w:val="00072D71"/>
    <w:rPr>
      <w:rFonts w:ascii="Arial" w:hAnsi="Arial" w:cs="Arial"/>
      <w:bCs/>
      <w:iCs/>
      <w:sz w:val="20"/>
      <w:szCs w:val="28"/>
    </w:rPr>
  </w:style>
  <w:style w:type="character" w:styleId="Heading3Char" w:customStyle="1">
    <w:name w:val="Heading 3 Char"/>
    <w:basedOn w:val="DefaultParagraphFont"/>
    <w:link w:val="Heading3"/>
    <w:uiPriority w:val="1"/>
    <w:rsid w:val="00072D71"/>
    <w:rPr>
      <w:rFonts w:ascii="Arial" w:hAnsi="Arial" w:cs="Arial"/>
      <w:bCs/>
      <w:sz w:val="20"/>
      <w:szCs w:val="26"/>
    </w:rPr>
  </w:style>
  <w:style w:type="character" w:styleId="Heading4Char" w:customStyle="1">
    <w:name w:val="Heading 4 Char"/>
    <w:basedOn w:val="DefaultParagraphFont"/>
    <w:link w:val="Heading4"/>
    <w:uiPriority w:val="1"/>
    <w:rsid w:val="00072D71"/>
    <w:rPr>
      <w:rFonts w:ascii="Arial" w:hAnsi="Arial"/>
      <w:bCs/>
      <w:sz w:val="20"/>
      <w:szCs w:val="28"/>
    </w:rPr>
  </w:style>
  <w:style w:type="character" w:styleId="Heading5Char" w:customStyle="1">
    <w:name w:val="Heading 5 Char"/>
    <w:basedOn w:val="DefaultParagraphFont"/>
    <w:link w:val="Heading5"/>
    <w:uiPriority w:val="1"/>
    <w:rsid w:val="00072D71"/>
    <w:rPr>
      <w:rFonts w:ascii="Arial" w:hAnsi="Arial"/>
      <w:bCs/>
      <w:iCs/>
      <w:sz w:val="20"/>
      <w:szCs w:val="26"/>
    </w:rPr>
  </w:style>
  <w:style w:type="character" w:styleId="Heading6Char" w:customStyle="1">
    <w:name w:val="Heading 6 Char"/>
    <w:basedOn w:val="DefaultParagraphFont"/>
    <w:link w:val="Heading6"/>
    <w:uiPriority w:val="1"/>
    <w:rsid w:val="00072D71"/>
    <w:rPr>
      <w:rFonts w:ascii="Arial" w:hAnsi="Arial"/>
      <w:bCs/>
      <w:sz w:val="20"/>
      <w:szCs w:val="20"/>
    </w:rPr>
  </w:style>
  <w:style w:type="character" w:styleId="Heading7Char" w:customStyle="1">
    <w:name w:val="Heading 7 Char"/>
    <w:basedOn w:val="DefaultParagraphFont"/>
    <w:link w:val="Heading7"/>
    <w:uiPriority w:val="10"/>
    <w:rsid w:val="00072D71"/>
    <w:rPr>
      <w:rFonts w:ascii="Arial" w:hAnsi="Arial"/>
      <w:sz w:val="20"/>
      <w:szCs w:val="20"/>
    </w:rPr>
  </w:style>
  <w:style w:type="character" w:styleId="Heading8Char" w:customStyle="1">
    <w:name w:val="Heading 8 Char"/>
    <w:basedOn w:val="DefaultParagraphFont"/>
    <w:link w:val="Heading8"/>
    <w:uiPriority w:val="10"/>
    <w:rsid w:val="00072D71"/>
    <w:rPr>
      <w:rFonts w:ascii="Arial" w:hAnsi="Arial"/>
      <w:iCs/>
      <w:sz w:val="20"/>
      <w:szCs w:val="20"/>
    </w:rPr>
  </w:style>
  <w:style w:type="character" w:styleId="Heading9Char" w:customStyle="1">
    <w:name w:val="Heading 9 Char"/>
    <w:basedOn w:val="DefaultParagraphFont"/>
    <w:link w:val="Heading9"/>
    <w:uiPriority w:val="10"/>
    <w:rsid w:val="00072D71"/>
    <w:rPr>
      <w:rFonts w:ascii="Arial" w:hAnsi="Arial" w:cs="Arial"/>
      <w:sz w:val="20"/>
      <w:szCs w:val="20"/>
    </w:rPr>
  </w:style>
  <w:style w:type="character" w:styleId="Hyperlink">
    <w:name w:val="Hyperlink"/>
    <w:uiPriority w:val="9"/>
    <w:unhideWhenUsed/>
    <w:rsid w:val="00072D71"/>
    <w:rPr>
      <w:color w:val="0000FF"/>
      <w:u w:val="single"/>
    </w:rPr>
  </w:style>
  <w:style w:type="paragraph" w:styleId="Index1">
    <w:name w:val="index 1"/>
    <w:basedOn w:val="Normal"/>
    <w:next w:val="Normal"/>
    <w:autoRedefine/>
    <w:uiPriority w:val="99"/>
    <w:semiHidden/>
    <w:unhideWhenUsed/>
    <w:rsid w:val="00072D71"/>
    <w:pPr>
      <w:ind w:left="220" w:hanging="220"/>
    </w:pPr>
  </w:style>
  <w:style w:type="paragraph" w:styleId="IndexHeading">
    <w:name w:val="index heading"/>
    <w:basedOn w:val="Normal"/>
    <w:next w:val="Index1"/>
    <w:uiPriority w:val="99"/>
    <w:semiHidden/>
    <w:unhideWhenUsed/>
    <w:rsid w:val="00072D71"/>
    <w:rPr>
      <w:rFonts w:eastAsiaTheme="majorEastAsia" w:cstheme="majorBidi"/>
      <w:b/>
      <w:bCs/>
    </w:rPr>
  </w:style>
  <w:style w:type="paragraph" w:styleId="MessageHeader">
    <w:name w:val="Message Header"/>
    <w:basedOn w:val="Normal"/>
    <w:link w:val="MessageHeaderChar"/>
    <w:uiPriority w:val="99"/>
    <w:semiHidden/>
    <w:unhideWhenUsed/>
    <w:rsid w:val="00072D71"/>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szCs w:val="24"/>
    </w:rPr>
  </w:style>
  <w:style w:type="character" w:styleId="MessageHeaderChar" w:customStyle="1">
    <w:name w:val="Message Header Char"/>
    <w:basedOn w:val="DefaultParagraphFont"/>
    <w:link w:val="MessageHeader"/>
    <w:uiPriority w:val="99"/>
    <w:semiHidden/>
    <w:rsid w:val="00072D71"/>
    <w:rPr>
      <w:rFonts w:ascii="Arial" w:hAnsi="Arial" w:eastAsiaTheme="majorEastAsia" w:cstheme="majorBidi"/>
      <w:sz w:val="24"/>
      <w:szCs w:val="24"/>
      <w:shd w:val="pct20" w:color="auto" w:fill="auto"/>
    </w:rPr>
  </w:style>
  <w:style w:type="paragraph" w:styleId="Notes" w:customStyle="1">
    <w:name w:val="Notes"/>
    <w:basedOn w:val="Body1"/>
    <w:uiPriority w:val="5"/>
    <w:qFormat/>
    <w:rsid w:val="00072D71"/>
    <w:pPr>
      <w:shd w:val="clear" w:color="auto" w:fill="F2F2F2" w:themeFill="background1" w:themeFillShade="F2"/>
    </w:pPr>
    <w:rPr>
      <w:b/>
      <w:i/>
    </w:rPr>
  </w:style>
  <w:style w:type="character" w:styleId="PageNumber">
    <w:name w:val="page number"/>
    <w:basedOn w:val="DefaultParagraphFont"/>
    <w:uiPriority w:val="7"/>
    <w:rsid w:val="00072D71"/>
  </w:style>
  <w:style w:type="paragraph" w:styleId="Parties" w:customStyle="1">
    <w:name w:val="Parties"/>
    <w:uiPriority w:val="7"/>
    <w:qFormat/>
    <w:rsid w:val="00072D71"/>
    <w:pPr>
      <w:numPr>
        <w:numId w:val="5"/>
      </w:numPr>
      <w:tabs>
        <w:tab w:val="left" w:pos="709"/>
      </w:tabs>
      <w:spacing w:after="280" w:line="280" w:lineRule="atLeast"/>
      <w:jc w:val="both"/>
    </w:pPr>
    <w:rPr>
      <w:rFonts w:ascii="Arial" w:hAnsi="Arial" w:eastAsia="Times New Roman" w:cs="Times New Roman"/>
      <w:b/>
      <w:sz w:val="20"/>
      <w:szCs w:val="20"/>
      <w:lang w:eastAsia="en-GB"/>
    </w:rPr>
  </w:style>
  <w:style w:type="paragraph" w:styleId="PartiesFront" w:customStyle="1">
    <w:name w:val="Parties Front"/>
    <w:uiPriority w:val="7"/>
    <w:qFormat/>
    <w:rsid w:val="00072D71"/>
    <w:pPr>
      <w:tabs>
        <w:tab w:val="center" w:pos="4536"/>
        <w:tab w:val="left" w:pos="7921"/>
      </w:tabs>
      <w:spacing w:after="240" w:line="280" w:lineRule="atLeast"/>
      <w:ind w:right="1701"/>
      <w:jc w:val="both"/>
    </w:pPr>
    <w:rPr>
      <w:rFonts w:ascii="Arial" w:hAnsi="Arial" w:eastAsia="Times New Roman" w:cs="Times New Roman"/>
      <w:b/>
      <w:caps/>
      <w:sz w:val="20"/>
      <w:szCs w:val="20"/>
      <w:lang w:eastAsia="en-GB"/>
    </w:rPr>
  </w:style>
  <w:style w:type="paragraph" w:styleId="Recitals" w:customStyle="1">
    <w:name w:val="Recitals"/>
    <w:basedOn w:val="Body1"/>
    <w:uiPriority w:val="7"/>
    <w:qFormat/>
    <w:rsid w:val="00072D71"/>
    <w:pPr>
      <w:tabs>
        <w:tab w:val="left" w:pos="709"/>
        <w:tab w:val="num" w:pos="1134"/>
      </w:tabs>
      <w:ind w:left="1134" w:hanging="1134"/>
    </w:pPr>
    <w:rPr>
      <w:rFonts w:eastAsia="Times New Roman" w:cs="Times New Roman"/>
      <w:lang w:eastAsia="en-GB"/>
    </w:rPr>
  </w:style>
  <w:style w:type="paragraph" w:styleId="Schedule1" w:customStyle="1">
    <w:name w:val="Schedule 1"/>
    <w:basedOn w:val="BodyText"/>
    <w:next w:val="BodyText"/>
    <w:uiPriority w:val="2"/>
    <w:qFormat/>
    <w:rsid w:val="00072D71"/>
    <w:pPr>
      <w:keepNext/>
      <w:pageBreakBefore/>
      <w:jc w:val="center"/>
    </w:pPr>
    <w:rPr>
      <w:b/>
      <w:caps/>
    </w:rPr>
  </w:style>
  <w:style w:type="paragraph" w:styleId="Schedule2" w:customStyle="1">
    <w:name w:val="Schedule 2"/>
    <w:basedOn w:val="BodyText"/>
    <w:next w:val="BodyText"/>
    <w:uiPriority w:val="2"/>
    <w:qFormat/>
    <w:rsid w:val="00072D71"/>
    <w:pPr>
      <w:jc w:val="center"/>
    </w:pPr>
    <w:rPr>
      <w:b/>
    </w:rPr>
  </w:style>
  <w:style w:type="paragraph" w:styleId="Simple1" w:customStyle="1">
    <w:name w:val="Simple 1"/>
    <w:link w:val="Simple1Char"/>
    <w:uiPriority w:val="3"/>
    <w:qFormat/>
    <w:rsid w:val="00072D71"/>
    <w:pPr>
      <w:numPr>
        <w:numId w:val="7"/>
      </w:numPr>
      <w:tabs>
        <w:tab w:val="left" w:pos="6660"/>
      </w:tabs>
      <w:spacing w:after="280" w:line="280" w:lineRule="atLeast"/>
      <w:jc w:val="both"/>
    </w:pPr>
    <w:rPr>
      <w:rFonts w:ascii="Arial" w:hAnsi="Arial"/>
      <w:sz w:val="20"/>
      <w:szCs w:val="20"/>
    </w:rPr>
  </w:style>
  <w:style w:type="character" w:styleId="Simple1Char" w:customStyle="1">
    <w:name w:val="Simple 1 Char"/>
    <w:basedOn w:val="DefaultParagraphFont"/>
    <w:link w:val="Simple1"/>
    <w:uiPriority w:val="3"/>
    <w:rsid w:val="00072D71"/>
    <w:rPr>
      <w:rFonts w:ascii="Arial" w:hAnsi="Arial"/>
      <w:sz w:val="20"/>
      <w:szCs w:val="20"/>
    </w:rPr>
  </w:style>
  <w:style w:type="paragraph" w:styleId="Simple2" w:customStyle="1">
    <w:name w:val="Simple 2"/>
    <w:link w:val="Simple2Char"/>
    <w:uiPriority w:val="3"/>
    <w:qFormat/>
    <w:rsid w:val="00072D71"/>
    <w:pPr>
      <w:numPr>
        <w:ilvl w:val="1"/>
        <w:numId w:val="7"/>
      </w:numPr>
      <w:spacing w:after="280" w:line="280" w:lineRule="atLeast"/>
      <w:jc w:val="both"/>
    </w:pPr>
    <w:rPr>
      <w:rFonts w:ascii="Arial" w:hAnsi="Arial"/>
      <w:sz w:val="20"/>
      <w:szCs w:val="20"/>
    </w:rPr>
  </w:style>
  <w:style w:type="character" w:styleId="Simple2Char" w:customStyle="1">
    <w:name w:val="Simple 2 Char"/>
    <w:basedOn w:val="Simple1Char"/>
    <w:link w:val="Simple2"/>
    <w:uiPriority w:val="3"/>
    <w:rsid w:val="00072D71"/>
    <w:rPr>
      <w:rFonts w:ascii="Arial" w:hAnsi="Arial"/>
      <w:sz w:val="20"/>
      <w:szCs w:val="20"/>
    </w:rPr>
  </w:style>
  <w:style w:type="paragraph" w:styleId="Simple3" w:customStyle="1">
    <w:name w:val="Simple 3"/>
    <w:link w:val="Simple3Char"/>
    <w:uiPriority w:val="3"/>
    <w:qFormat/>
    <w:rsid w:val="00072D71"/>
    <w:pPr>
      <w:numPr>
        <w:ilvl w:val="2"/>
        <w:numId w:val="7"/>
      </w:numPr>
      <w:spacing w:after="280" w:line="280" w:lineRule="atLeast"/>
      <w:jc w:val="both"/>
    </w:pPr>
    <w:rPr>
      <w:rFonts w:ascii="Arial" w:hAnsi="Arial"/>
      <w:sz w:val="20"/>
      <w:szCs w:val="20"/>
    </w:rPr>
  </w:style>
  <w:style w:type="character" w:styleId="Simple3Char" w:customStyle="1">
    <w:name w:val="Simple 3 Char"/>
    <w:basedOn w:val="Simple1Char"/>
    <w:link w:val="Simple3"/>
    <w:uiPriority w:val="3"/>
    <w:rsid w:val="00072D71"/>
    <w:rPr>
      <w:rFonts w:ascii="Arial" w:hAnsi="Arial"/>
      <w:sz w:val="20"/>
      <w:szCs w:val="20"/>
    </w:rPr>
  </w:style>
  <w:style w:type="paragraph" w:styleId="Simple4" w:customStyle="1">
    <w:name w:val="Simple 4"/>
    <w:link w:val="Simple4Char"/>
    <w:uiPriority w:val="3"/>
    <w:qFormat/>
    <w:rsid w:val="00072D71"/>
    <w:pPr>
      <w:numPr>
        <w:ilvl w:val="3"/>
        <w:numId w:val="7"/>
      </w:numPr>
      <w:spacing w:after="280" w:line="280" w:lineRule="atLeast"/>
      <w:jc w:val="both"/>
    </w:pPr>
    <w:rPr>
      <w:rFonts w:ascii="Arial" w:hAnsi="Arial"/>
      <w:sz w:val="20"/>
      <w:szCs w:val="20"/>
    </w:rPr>
  </w:style>
  <w:style w:type="character" w:styleId="Simple4Char" w:customStyle="1">
    <w:name w:val="Simple 4 Char"/>
    <w:basedOn w:val="Simple1Char"/>
    <w:link w:val="Simple4"/>
    <w:uiPriority w:val="3"/>
    <w:rsid w:val="00072D71"/>
    <w:rPr>
      <w:rFonts w:ascii="Arial" w:hAnsi="Arial"/>
      <w:sz w:val="20"/>
      <w:szCs w:val="20"/>
    </w:rPr>
  </w:style>
  <w:style w:type="paragraph" w:styleId="Simple5" w:customStyle="1">
    <w:name w:val="Simple 5"/>
    <w:link w:val="Simple5Char"/>
    <w:uiPriority w:val="3"/>
    <w:qFormat/>
    <w:rsid w:val="00072D71"/>
    <w:pPr>
      <w:numPr>
        <w:ilvl w:val="4"/>
        <w:numId w:val="7"/>
      </w:numPr>
      <w:spacing w:after="280" w:line="280" w:lineRule="atLeast"/>
      <w:jc w:val="both"/>
    </w:pPr>
    <w:rPr>
      <w:rFonts w:ascii="Arial" w:hAnsi="Arial"/>
      <w:sz w:val="20"/>
      <w:szCs w:val="20"/>
    </w:rPr>
  </w:style>
  <w:style w:type="character" w:styleId="Simple5Char" w:customStyle="1">
    <w:name w:val="Simple 5 Char"/>
    <w:basedOn w:val="Simple1Char"/>
    <w:link w:val="Simple5"/>
    <w:uiPriority w:val="3"/>
    <w:rsid w:val="00072D71"/>
    <w:rPr>
      <w:rFonts w:ascii="Arial" w:hAnsi="Arial"/>
      <w:sz w:val="20"/>
      <w:szCs w:val="20"/>
    </w:rPr>
  </w:style>
  <w:style w:type="paragraph" w:styleId="Simple6" w:customStyle="1">
    <w:name w:val="Simple 6"/>
    <w:link w:val="Simple6Char"/>
    <w:uiPriority w:val="3"/>
    <w:qFormat/>
    <w:rsid w:val="00072D71"/>
    <w:pPr>
      <w:numPr>
        <w:ilvl w:val="5"/>
        <w:numId w:val="7"/>
      </w:numPr>
      <w:spacing w:after="280" w:line="280" w:lineRule="atLeast"/>
      <w:jc w:val="both"/>
    </w:pPr>
    <w:rPr>
      <w:rFonts w:ascii="Arial" w:hAnsi="Arial"/>
      <w:sz w:val="20"/>
      <w:szCs w:val="20"/>
    </w:rPr>
  </w:style>
  <w:style w:type="character" w:styleId="Simple6Char" w:customStyle="1">
    <w:name w:val="Simple 6 Char"/>
    <w:basedOn w:val="Simple5Char"/>
    <w:link w:val="Simple6"/>
    <w:uiPriority w:val="3"/>
    <w:rsid w:val="00072D71"/>
    <w:rPr>
      <w:rFonts w:ascii="Arial" w:hAnsi="Arial"/>
      <w:sz w:val="20"/>
      <w:szCs w:val="20"/>
    </w:rPr>
  </w:style>
  <w:style w:type="paragraph" w:styleId="Simple7" w:customStyle="1">
    <w:name w:val="Simple 7"/>
    <w:link w:val="Simple7Char"/>
    <w:uiPriority w:val="10"/>
    <w:qFormat/>
    <w:rsid w:val="00072D71"/>
    <w:pPr>
      <w:numPr>
        <w:numId w:val="6"/>
      </w:numPr>
      <w:tabs>
        <w:tab w:val="clear" w:pos="3402"/>
        <w:tab w:val="num" w:pos="4252"/>
      </w:tabs>
      <w:spacing w:after="280" w:line="280" w:lineRule="atLeast"/>
      <w:jc w:val="both"/>
    </w:pPr>
    <w:rPr>
      <w:rFonts w:ascii="Arial" w:hAnsi="Arial"/>
      <w:sz w:val="20"/>
      <w:szCs w:val="20"/>
    </w:rPr>
  </w:style>
  <w:style w:type="character" w:styleId="Simple7Char" w:customStyle="1">
    <w:name w:val="Simple 7 Char"/>
    <w:basedOn w:val="Simple5Char"/>
    <w:link w:val="Simple7"/>
    <w:uiPriority w:val="10"/>
    <w:rsid w:val="00072D71"/>
    <w:rPr>
      <w:rFonts w:ascii="Arial" w:hAnsi="Arial"/>
      <w:sz w:val="20"/>
      <w:szCs w:val="20"/>
    </w:rPr>
  </w:style>
  <w:style w:type="paragraph" w:styleId="Simple8" w:customStyle="1">
    <w:name w:val="Simple 8"/>
    <w:link w:val="Simple8Char"/>
    <w:uiPriority w:val="10"/>
    <w:rsid w:val="00072D71"/>
    <w:pPr>
      <w:numPr>
        <w:ilvl w:val="7"/>
        <w:numId w:val="7"/>
      </w:numPr>
      <w:spacing w:after="280" w:line="280" w:lineRule="atLeast"/>
      <w:jc w:val="both"/>
    </w:pPr>
    <w:rPr>
      <w:rFonts w:ascii="Arial" w:hAnsi="Arial"/>
      <w:sz w:val="20"/>
      <w:szCs w:val="20"/>
    </w:rPr>
  </w:style>
  <w:style w:type="character" w:styleId="Simple8Char" w:customStyle="1">
    <w:name w:val="Simple 8 Char"/>
    <w:basedOn w:val="Simple5Char"/>
    <w:link w:val="Simple8"/>
    <w:uiPriority w:val="10"/>
    <w:rsid w:val="00072D71"/>
    <w:rPr>
      <w:rFonts w:ascii="Arial" w:hAnsi="Arial"/>
      <w:sz w:val="20"/>
      <w:szCs w:val="20"/>
    </w:rPr>
  </w:style>
  <w:style w:type="paragraph" w:styleId="Simple9" w:customStyle="1">
    <w:name w:val="Simple 9"/>
    <w:link w:val="Simple9Char"/>
    <w:uiPriority w:val="10"/>
    <w:rsid w:val="00072D71"/>
    <w:pPr>
      <w:numPr>
        <w:ilvl w:val="8"/>
        <w:numId w:val="7"/>
      </w:numPr>
      <w:spacing w:after="280" w:line="280" w:lineRule="atLeast"/>
      <w:jc w:val="both"/>
    </w:pPr>
    <w:rPr>
      <w:rFonts w:ascii="Arial" w:hAnsi="Arial"/>
      <w:sz w:val="20"/>
      <w:szCs w:val="20"/>
    </w:rPr>
  </w:style>
  <w:style w:type="character" w:styleId="Simple9Char" w:customStyle="1">
    <w:name w:val="Simple 9 Char"/>
    <w:basedOn w:val="Simple5Char"/>
    <w:link w:val="Simple9"/>
    <w:uiPriority w:val="10"/>
    <w:rsid w:val="00072D71"/>
    <w:rPr>
      <w:rFonts w:ascii="Arial" w:hAnsi="Arial"/>
      <w:sz w:val="20"/>
      <w:szCs w:val="20"/>
    </w:rPr>
  </w:style>
  <w:style w:type="paragraph" w:styleId="Subject" w:customStyle="1">
    <w:name w:val="Subject"/>
    <w:basedOn w:val="Normal"/>
    <w:next w:val="Normal"/>
    <w:uiPriority w:val="8"/>
    <w:rsid w:val="00072D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072D71"/>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2"/>
    <w:rsid w:val="00072D71"/>
    <w:rPr>
      <w:rFonts w:ascii="Arial" w:hAnsi="Arial" w:eastAsiaTheme="majorEastAsia" w:cstheme="majorBidi"/>
      <w:i/>
      <w:iCs/>
      <w:sz w:val="28"/>
      <w:szCs w:val="24"/>
    </w:rPr>
  </w:style>
  <w:style w:type="table" w:styleId="TableGrid">
    <w:name w:val="Table Grid"/>
    <w:basedOn w:val="TableNormal"/>
    <w:rsid w:val="00072D71"/>
    <w:pPr>
      <w:spacing w:after="280" w:line="280" w:lineRule="atLeast"/>
      <w:jc w:val="both"/>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BodyText"/>
    <w:next w:val="BodyText"/>
    <w:link w:val="TitleChar"/>
    <w:uiPriority w:val="12"/>
    <w:unhideWhenUsed/>
    <w:qFormat/>
    <w:rsid w:val="00072D71"/>
    <w:pPr>
      <w:keepNext/>
      <w:spacing w:after="300"/>
      <w:contextualSpacing/>
      <w:jc w:val="left"/>
    </w:pPr>
    <w:rPr>
      <w:rFonts w:eastAsiaTheme="majorEastAsia" w:cstheme="majorBidi"/>
      <w:b/>
      <w:kern w:val="28"/>
      <w:sz w:val="32"/>
      <w:szCs w:val="52"/>
    </w:rPr>
  </w:style>
  <w:style w:type="character" w:styleId="TitleChar" w:customStyle="1">
    <w:name w:val="Title Char"/>
    <w:basedOn w:val="DefaultParagraphFont"/>
    <w:link w:val="Title"/>
    <w:uiPriority w:val="12"/>
    <w:rsid w:val="00072D71"/>
    <w:rPr>
      <w:rFonts w:ascii="Arial" w:hAnsi="Arial" w:eastAsiaTheme="majorEastAsia" w:cstheme="majorBidi"/>
      <w:b/>
      <w:kern w:val="28"/>
      <w:sz w:val="32"/>
      <w:szCs w:val="52"/>
    </w:rPr>
  </w:style>
  <w:style w:type="paragraph" w:styleId="TOAHeading">
    <w:name w:val="toa heading"/>
    <w:basedOn w:val="Normal"/>
    <w:next w:val="Normal"/>
    <w:uiPriority w:val="99"/>
    <w:semiHidden/>
    <w:unhideWhenUsed/>
    <w:rsid w:val="00072D71"/>
    <w:pPr>
      <w:spacing w:before="120"/>
    </w:pPr>
    <w:rPr>
      <w:rFonts w:eastAsiaTheme="majorEastAsia" w:cstheme="majorBidi"/>
      <w:b/>
      <w:bCs/>
      <w:sz w:val="24"/>
      <w:szCs w:val="24"/>
    </w:rPr>
  </w:style>
  <w:style w:type="paragraph" w:styleId="TOC1">
    <w:name w:val="toc 1"/>
    <w:next w:val="Normal"/>
    <w:autoRedefine/>
    <w:uiPriority w:val="6"/>
    <w:unhideWhenUsed/>
    <w:rsid w:val="00072D71"/>
    <w:pPr>
      <w:spacing w:after="280" w:line="280" w:lineRule="atLeast"/>
      <w:jc w:val="both"/>
    </w:pPr>
    <w:rPr>
      <w:rFonts w:ascii="Arial" w:hAnsi="Arial" w:eastAsia="Times New Roman" w:cs="Times New Roman"/>
      <w:sz w:val="20"/>
      <w:szCs w:val="24"/>
    </w:rPr>
  </w:style>
  <w:style w:type="paragraph" w:styleId="TOC2">
    <w:name w:val="toc 2"/>
    <w:next w:val="Normal"/>
    <w:autoRedefine/>
    <w:uiPriority w:val="6"/>
    <w:unhideWhenUsed/>
    <w:rsid w:val="00072D71"/>
    <w:pPr>
      <w:tabs>
        <w:tab w:val="right" w:leader="dot" w:pos="8278"/>
      </w:tabs>
      <w:spacing w:after="280" w:line="280" w:lineRule="atLeast"/>
      <w:ind w:left="240"/>
      <w:jc w:val="both"/>
    </w:pPr>
    <w:rPr>
      <w:rFonts w:ascii="Arial" w:hAnsi="Arial" w:eastAsia="Times New Roman" w:cs="Times New Roman"/>
      <w:sz w:val="20"/>
      <w:szCs w:val="24"/>
    </w:rPr>
  </w:style>
  <w:style w:type="paragraph" w:styleId="TOC3">
    <w:name w:val="toc 3"/>
    <w:next w:val="Normal"/>
    <w:autoRedefine/>
    <w:uiPriority w:val="6"/>
    <w:unhideWhenUsed/>
    <w:rsid w:val="00072D71"/>
    <w:pPr>
      <w:spacing w:after="100" w:line="280" w:lineRule="atLeast"/>
      <w:ind w:left="440"/>
      <w:jc w:val="both"/>
    </w:pPr>
    <w:rPr>
      <w:rFonts w:ascii="Arial" w:hAnsi="Arial"/>
      <w:sz w:val="20"/>
      <w:szCs w:val="20"/>
    </w:rPr>
  </w:style>
  <w:style w:type="paragraph" w:styleId="TOCHeading">
    <w:name w:val="TOC Heading"/>
    <w:basedOn w:val="Heading1"/>
    <w:next w:val="Normal"/>
    <w:uiPriority w:val="39"/>
    <w:semiHidden/>
    <w:unhideWhenUsed/>
    <w:qFormat/>
    <w:rsid w:val="00072D71"/>
    <w:pPr>
      <w:keepLines/>
      <w:widowControl/>
      <w:numPr>
        <w:numId w:val="0"/>
      </w:numPr>
      <w:spacing w:before="480" w:after="0"/>
      <w:outlineLvl w:val="9"/>
    </w:pPr>
    <w:rPr>
      <w:rFonts w:eastAsiaTheme="majorEastAsia" w:cstheme="majorBidi"/>
      <w:kern w:val="0"/>
      <w:sz w:val="28"/>
      <w:szCs w:val="28"/>
    </w:rPr>
  </w:style>
  <w:style w:type="paragraph" w:styleId="Witness" w:customStyle="1">
    <w:name w:val="Witness"/>
    <w:basedOn w:val="BodyText"/>
    <w:uiPriority w:val="7"/>
    <w:qFormat/>
    <w:rsid w:val="00072D71"/>
    <w:pPr>
      <w:keepNext/>
      <w:tabs>
        <w:tab w:val="left" w:pos="4253"/>
        <w:tab w:val="right" w:leader="dot" w:pos="8789"/>
      </w:tabs>
      <w:spacing w:before="120"/>
    </w:pPr>
    <w:rPr>
      <w:rFonts w:eastAsia="Times New Roman" w:cs="Times New Roman"/>
      <w:lang w:eastAsia="en-GB"/>
    </w:rPr>
  </w:style>
  <w:style w:type="paragraph" w:styleId="WitnessLit" w:customStyle="1">
    <w:name w:val="WitnessLit"/>
    <w:basedOn w:val="Witness"/>
    <w:uiPriority w:val="7"/>
    <w:qFormat/>
    <w:rsid w:val="00072D71"/>
    <w:pPr>
      <w:tabs>
        <w:tab w:val="left" w:pos="1134"/>
        <w:tab w:val="left" w:leader="dot" w:pos="5387"/>
      </w:tabs>
    </w:pPr>
  </w:style>
  <w:style w:type="paragraph" w:styleId="Default" w:customStyle="1">
    <w:name w:val="Default"/>
    <w:rsid w:val="00840777"/>
    <w:pPr>
      <w:autoSpaceDE w:val="0"/>
      <w:autoSpaceDN w:val="0"/>
      <w:adjustRightInd w:val="0"/>
      <w:spacing w:after="0" w:line="240" w:lineRule="auto"/>
    </w:pPr>
    <w:rPr>
      <w:rFonts w:ascii="EYInterstate" w:hAnsi="EYInterstate" w:cs="EYInterstate"/>
      <w:color w:val="000000"/>
      <w:sz w:val="24"/>
      <w:szCs w:val="24"/>
    </w:rPr>
  </w:style>
  <w:style w:type="character" w:styleId="FootnoteReference">
    <w:name w:val="footnote reference"/>
    <w:basedOn w:val="DefaultParagraphFont"/>
    <w:uiPriority w:val="99"/>
    <w:semiHidden/>
    <w:unhideWhenUsed/>
    <w:rsid w:val="00A963BA"/>
    <w:rPr>
      <w:vertAlign w:val="superscript"/>
    </w:rPr>
  </w:style>
  <w:style w:type="character" w:styleId="CommentReference">
    <w:name w:val="annotation reference"/>
    <w:basedOn w:val="DefaultParagraphFont"/>
    <w:uiPriority w:val="99"/>
    <w:semiHidden/>
    <w:unhideWhenUsed/>
    <w:rsid w:val="007C5A41"/>
    <w:rPr>
      <w:sz w:val="16"/>
      <w:szCs w:val="16"/>
    </w:rPr>
  </w:style>
  <w:style w:type="paragraph" w:styleId="CommentText">
    <w:name w:val="annotation text"/>
    <w:basedOn w:val="Normal"/>
    <w:link w:val="CommentTextChar"/>
    <w:uiPriority w:val="99"/>
    <w:unhideWhenUsed/>
    <w:rsid w:val="007C5A41"/>
    <w:pPr>
      <w:spacing w:line="240" w:lineRule="auto"/>
    </w:pPr>
  </w:style>
  <w:style w:type="character" w:styleId="CommentTextChar" w:customStyle="1">
    <w:name w:val="Comment Text Char"/>
    <w:basedOn w:val="DefaultParagraphFont"/>
    <w:link w:val="CommentText"/>
    <w:uiPriority w:val="99"/>
    <w:rsid w:val="007C5A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C5A41"/>
    <w:rPr>
      <w:b/>
      <w:bCs/>
    </w:rPr>
  </w:style>
  <w:style w:type="character" w:styleId="CommentSubjectChar" w:customStyle="1">
    <w:name w:val="Comment Subject Char"/>
    <w:basedOn w:val="CommentTextChar"/>
    <w:link w:val="CommentSubject"/>
    <w:uiPriority w:val="99"/>
    <w:semiHidden/>
    <w:rsid w:val="007C5A41"/>
    <w:rPr>
      <w:rFonts w:ascii="Arial" w:hAnsi="Arial"/>
      <w:b/>
      <w:bCs/>
      <w:sz w:val="20"/>
      <w:szCs w:val="20"/>
    </w:rPr>
  </w:style>
  <w:style w:type="character" w:styleId="EndnoteReference">
    <w:name w:val="endnote reference"/>
    <w:basedOn w:val="DefaultParagraphFont"/>
    <w:uiPriority w:val="99"/>
    <w:semiHidden/>
    <w:unhideWhenUsed/>
    <w:rsid w:val="000D4BC0"/>
    <w:rPr>
      <w:vertAlign w:val="superscript"/>
    </w:rPr>
  </w:style>
  <w:style w:type="paragraph" w:styleId="alpha2" w:customStyle="1">
    <w:name w:val="alpha 2"/>
    <w:basedOn w:val="Normal"/>
    <w:rsid w:val="0073396B"/>
    <w:pPr>
      <w:numPr>
        <w:numId w:val="23"/>
      </w:numPr>
      <w:spacing w:after="140" w:line="290" w:lineRule="auto"/>
    </w:pPr>
    <w:rPr>
      <w:rFonts w:eastAsia="Times New Roman" w:cs="Times New Roman"/>
      <w:kern w:val="20"/>
    </w:rPr>
  </w:style>
  <w:style w:type="paragraph" w:styleId="Revision">
    <w:name w:val="Revision"/>
    <w:hidden/>
    <w:uiPriority w:val="99"/>
    <w:semiHidden/>
    <w:rsid w:val="00AC0FF1"/>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0154">
      <w:bodyDiv w:val="1"/>
      <w:marLeft w:val="0"/>
      <w:marRight w:val="0"/>
      <w:marTop w:val="0"/>
      <w:marBottom w:val="0"/>
      <w:divBdr>
        <w:top w:val="none" w:sz="0" w:space="0" w:color="auto"/>
        <w:left w:val="none" w:sz="0" w:space="0" w:color="auto"/>
        <w:bottom w:val="none" w:sz="0" w:space="0" w:color="auto"/>
        <w:right w:val="none" w:sz="0" w:space="0" w:color="auto"/>
      </w:divBdr>
    </w:div>
    <w:div w:id="251553081">
      <w:bodyDiv w:val="1"/>
      <w:marLeft w:val="0"/>
      <w:marRight w:val="0"/>
      <w:marTop w:val="0"/>
      <w:marBottom w:val="0"/>
      <w:divBdr>
        <w:top w:val="none" w:sz="0" w:space="0" w:color="auto"/>
        <w:left w:val="none" w:sz="0" w:space="0" w:color="auto"/>
        <w:bottom w:val="none" w:sz="0" w:space="0" w:color="auto"/>
        <w:right w:val="none" w:sz="0" w:space="0" w:color="auto"/>
      </w:divBdr>
    </w:div>
    <w:div w:id="3607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171a9dd02389424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0ae896-c049-4202-a79a-8997ec875aa9}"/>
      </w:docPartPr>
      <w:docPartBody>
        <w:p w14:paraId="38BE9E2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3CF39-1E85-40BA-82FF-5DD27E768431}">
  <ds:schemaRefs>
    <ds:schemaRef ds:uri="http://schemas.openxmlformats.org/officeDocument/2006/bibliography"/>
  </ds:schemaRefs>
</ds:datastoreItem>
</file>

<file path=customXml/itemProps2.xml><?xml version="1.0" encoding="utf-8"?>
<ds:datastoreItem xmlns:ds="http://schemas.openxmlformats.org/officeDocument/2006/customXml" ds:itemID="{80A87860-C5C0-411F-9B3E-920B9810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434BA-394E-461A-A0B1-46C40132C547}">
  <ds:schemaRefs>
    <ds:schemaRef ds:uri="http://schemas.microsoft.com/sharepoint/v3/contenttype/forms"/>
  </ds:schemaRefs>
</ds:datastoreItem>
</file>

<file path=customXml/itemProps4.xml><?xml version="1.0" encoding="utf-8"?>
<ds:datastoreItem xmlns:ds="http://schemas.openxmlformats.org/officeDocument/2006/customXml" ds:itemID="{EC288B78-3303-4EAF-AFFB-A522122FCBE1}">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18fa3007-f04b-4dc5-99b3-2efe5a4bb16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White, Lee C1 (NAVY FD-COMRCL-Snr Mngr 12)</dc:creator>
  <keywords/>
  <dc:description/>
  <lastModifiedBy>Watkins, Jean-paul C2 (NAVY ACQ-DMS-NG PROJ MAN4)</lastModifiedBy>
  <revision>3</revision>
  <dcterms:created xsi:type="dcterms:W3CDTF">2022-11-22T11:12:00.0000000Z</dcterms:created>
  <dcterms:modified xsi:type="dcterms:W3CDTF">2022-11-22T12:18:28.1652839Z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Legal02#100558367v1[ALM1]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MSIP_Label_d8a60473-494b-4586-a1bb-b0e663054676_Enabled">
    <vt:lpwstr>true</vt:lpwstr>
  </property>
  <property fmtid="{D5CDD505-2E9C-101B-9397-08002B2CF9AE}" pid="23" name="MSIP_Label_d8a60473-494b-4586-a1bb-b0e663054676_SetDate">
    <vt:lpwstr>2022-11-22T11:08:27Z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ceb362f9-7cf9-4ee7-95f1-145051090d24</vt:lpwstr>
  </property>
  <property fmtid="{D5CDD505-2E9C-101B-9397-08002B2CF9AE}" pid="28" name="MSIP_Label_d8a60473-494b-4586-a1bb-b0e663054676_ContentBits">
    <vt:lpwstr>0</vt:lpwstr>
  </property>
  <property fmtid="{D5CDD505-2E9C-101B-9397-08002B2CF9AE}" pid="29" name="ContentTypeId">
    <vt:lpwstr>0x010100A8A35BAB14765240A655D3232FF9ADBD</vt:lpwstr>
  </property>
</Properties>
</file>