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C4359" w14:textId="77777777" w:rsidR="00D13E08" w:rsidRDefault="00D13E08" w:rsidP="009F6B5F">
      <w:pPr>
        <w:jc w:val="center"/>
        <w:rPr>
          <w:b/>
          <w:bCs/>
          <w:sz w:val="28"/>
          <w:szCs w:val="28"/>
          <w:u w:val="single"/>
        </w:rPr>
      </w:pPr>
    </w:p>
    <w:p w14:paraId="067D4E91" w14:textId="508B8222" w:rsidR="00CD1C37" w:rsidRPr="009F6B5F" w:rsidRDefault="00CD1C37" w:rsidP="009F6B5F">
      <w:pPr>
        <w:jc w:val="center"/>
        <w:rPr>
          <w:b/>
          <w:bCs/>
          <w:sz w:val="28"/>
          <w:szCs w:val="28"/>
          <w:u w:val="single"/>
        </w:rPr>
      </w:pPr>
      <w:r w:rsidRPr="009F6B5F">
        <w:rPr>
          <w:b/>
          <w:bCs/>
          <w:sz w:val="28"/>
          <w:szCs w:val="28"/>
          <w:u w:val="single"/>
        </w:rPr>
        <w:t>Expression of Interest (EOI) Request</w:t>
      </w:r>
    </w:p>
    <w:p w14:paraId="103BC594" w14:textId="77777777" w:rsidR="00CD1C37" w:rsidRPr="009F6B5F" w:rsidRDefault="00CD1C37" w:rsidP="00CD1C37">
      <w:pPr>
        <w:rPr>
          <w:b/>
          <w:bCs/>
          <w:sz w:val="24"/>
          <w:szCs w:val="24"/>
        </w:rPr>
      </w:pPr>
      <w:r w:rsidRPr="009F6B5F">
        <w:rPr>
          <w:b/>
          <w:bCs/>
          <w:sz w:val="24"/>
          <w:szCs w:val="24"/>
        </w:rPr>
        <w:t>Project Title: Expression of Interest for Outsourced Podiatry Services to Clear Backlog</w:t>
      </w:r>
    </w:p>
    <w:p w14:paraId="60177B62" w14:textId="77777777" w:rsidR="00CD1C37" w:rsidRPr="009F6B5F" w:rsidRDefault="00CD1C37" w:rsidP="00CD1C37">
      <w:pPr>
        <w:rPr>
          <w:b/>
          <w:bCs/>
          <w:sz w:val="24"/>
          <w:szCs w:val="24"/>
        </w:rPr>
      </w:pPr>
      <w:r w:rsidRPr="009F6B5F">
        <w:rPr>
          <w:b/>
          <w:bCs/>
          <w:sz w:val="24"/>
          <w:szCs w:val="24"/>
        </w:rPr>
        <w:t>Contracting Authority: East Suffolk and North Essex NHS Foundation Trust (ESNEFT)</w:t>
      </w:r>
    </w:p>
    <w:p w14:paraId="7FE5366A" w14:textId="4FFDF2BC" w:rsidR="00CD1C37" w:rsidRPr="009F6B5F" w:rsidRDefault="00CD1C37" w:rsidP="00CD1C37">
      <w:pPr>
        <w:rPr>
          <w:b/>
          <w:bCs/>
        </w:rPr>
      </w:pPr>
      <w:r w:rsidRPr="009F6B5F">
        <w:rPr>
          <w:b/>
          <w:bCs/>
        </w:rPr>
        <w:t>Issue Date: 29</w:t>
      </w:r>
      <w:r w:rsidRPr="009F6B5F">
        <w:rPr>
          <w:b/>
          <w:bCs/>
          <w:vertAlign w:val="superscript"/>
        </w:rPr>
        <w:t>th</w:t>
      </w:r>
      <w:r w:rsidRPr="009F6B5F">
        <w:rPr>
          <w:b/>
          <w:bCs/>
        </w:rPr>
        <w:t xml:space="preserve"> October 2024</w:t>
      </w:r>
    </w:p>
    <w:p w14:paraId="17657C38" w14:textId="78B5F35D" w:rsidR="00CD1C37" w:rsidRPr="009F6B5F" w:rsidRDefault="00CD1C37" w:rsidP="00CD1C37">
      <w:pPr>
        <w:rPr>
          <w:b/>
          <w:bCs/>
        </w:rPr>
      </w:pPr>
      <w:r w:rsidRPr="009F6B5F">
        <w:rPr>
          <w:b/>
          <w:bCs/>
        </w:rPr>
        <w:t xml:space="preserve">Deadline for Submission of EOI: </w:t>
      </w:r>
      <w:r w:rsidR="00900D81" w:rsidRPr="009F6B5F">
        <w:rPr>
          <w:b/>
          <w:bCs/>
        </w:rPr>
        <w:t>8</w:t>
      </w:r>
      <w:r w:rsidR="00900D81" w:rsidRPr="009F6B5F">
        <w:rPr>
          <w:b/>
          <w:bCs/>
          <w:vertAlign w:val="superscript"/>
        </w:rPr>
        <w:t>th</w:t>
      </w:r>
      <w:r w:rsidR="00900D81" w:rsidRPr="009F6B5F">
        <w:rPr>
          <w:b/>
          <w:bCs/>
        </w:rPr>
        <w:t xml:space="preserve"> November 2024</w:t>
      </w:r>
    </w:p>
    <w:p w14:paraId="61D90834" w14:textId="77777777" w:rsidR="00CD1C37" w:rsidRPr="009F6B5F" w:rsidRDefault="00CD1C37" w:rsidP="00CD1C37">
      <w:pPr>
        <w:rPr>
          <w:b/>
          <w:bCs/>
        </w:rPr>
      </w:pPr>
      <w:r w:rsidRPr="009F6B5F">
        <w:rPr>
          <w:b/>
          <w:bCs/>
        </w:rPr>
        <w:t>1. Introduction</w:t>
      </w:r>
    </w:p>
    <w:p w14:paraId="5E1C8CE1" w14:textId="77777777" w:rsidR="00CD1C37" w:rsidRDefault="00CD1C37" w:rsidP="00CD1C37">
      <w:r>
        <w:t>East Suffolk and North Essex NHS Foundation Trust (ESNEFT) is seeking expressions of interest (EOI) from qualified providers who can deliver outsourced podiatry services to help clear a backlog of patients. This opportunity is open to providers within a specified radius of ESNEFT locations, and multiple providers may be engaged if necessary to meet the demand.</w:t>
      </w:r>
    </w:p>
    <w:p w14:paraId="5136EE7B" w14:textId="77777777" w:rsidR="00CD1C37" w:rsidRPr="009F6B5F" w:rsidRDefault="00CD1C37" w:rsidP="00CD1C37">
      <w:pPr>
        <w:rPr>
          <w:b/>
          <w:bCs/>
        </w:rPr>
      </w:pPr>
      <w:r w:rsidRPr="009F6B5F">
        <w:rPr>
          <w:b/>
          <w:bCs/>
        </w:rPr>
        <w:t>2. Background</w:t>
      </w:r>
    </w:p>
    <w:p w14:paraId="4367B3A8" w14:textId="71CCD142" w:rsidR="00CD1C37" w:rsidRDefault="00CD1C37" w:rsidP="00CD1C37">
      <w:r>
        <w:t>ESNEFT is experiencing a backlog of patients awaiting podiatry services. Approximately 1</w:t>
      </w:r>
      <w:r w:rsidR="00EA5040">
        <w:t>000</w:t>
      </w:r>
      <w:r>
        <w:t xml:space="preserve"> patients are currently on the waitlist. The goal is to outsource care to external providers who can deliver efficient and high-quality podiatry services at their own premises, ensuring patients receive timely treatment and appropriate self-management advice.</w:t>
      </w:r>
    </w:p>
    <w:p w14:paraId="280A17F1" w14:textId="77777777" w:rsidR="00CD1C37" w:rsidRPr="009F6B5F" w:rsidRDefault="00CD1C37" w:rsidP="00CD1C37">
      <w:pPr>
        <w:rPr>
          <w:b/>
          <w:bCs/>
        </w:rPr>
      </w:pPr>
      <w:r w:rsidRPr="009F6B5F">
        <w:rPr>
          <w:b/>
          <w:bCs/>
        </w:rPr>
        <w:t>3. Scope of Service</w:t>
      </w:r>
    </w:p>
    <w:p w14:paraId="6A1E82DE" w14:textId="20242748" w:rsidR="00CD1C37" w:rsidRDefault="00CD1C37" w:rsidP="00CD1C37">
      <w:r>
        <w:t xml:space="preserve">Scope of Service is provided in the specification for service under </w:t>
      </w:r>
      <w:r w:rsidRPr="009F6B5F">
        <w:rPr>
          <w:b/>
          <w:bCs/>
        </w:rPr>
        <w:t>Appendix A</w:t>
      </w:r>
      <w:r w:rsidR="009F6B5F">
        <w:rPr>
          <w:b/>
          <w:bCs/>
        </w:rPr>
        <w:t xml:space="preserve"> </w:t>
      </w:r>
      <w:r w:rsidR="009F6B5F" w:rsidRPr="009F6B5F">
        <w:t>below</w:t>
      </w:r>
      <w:r w:rsidR="009F6B5F">
        <w:t>.</w:t>
      </w:r>
    </w:p>
    <w:p w14:paraId="032E05E9" w14:textId="77777777" w:rsidR="00CD1C37" w:rsidRPr="009F6B5F" w:rsidRDefault="00CD1C37" w:rsidP="00CD1C37">
      <w:pPr>
        <w:rPr>
          <w:b/>
          <w:bCs/>
        </w:rPr>
      </w:pPr>
      <w:r w:rsidRPr="009F6B5F">
        <w:rPr>
          <w:b/>
          <w:bCs/>
        </w:rPr>
        <w:t>5. Essential Criteria for Providers</w:t>
      </w:r>
    </w:p>
    <w:p w14:paraId="17A56515" w14:textId="77777777" w:rsidR="00CD1C37" w:rsidRDefault="00CD1C37" w:rsidP="00CD1C37">
      <w:r>
        <w:t>Interested providers must meet the following essential criteria:</w:t>
      </w:r>
    </w:p>
    <w:p w14:paraId="0884E60C" w14:textId="761C979E" w:rsidR="009F6B5F" w:rsidRDefault="009F6B5F" w:rsidP="00CD1C37">
      <w:r>
        <w:t>(Please strike</w:t>
      </w:r>
      <w:r w:rsidR="00D13E08">
        <w:t>through YES/NO  as relevant)</w:t>
      </w:r>
    </w:p>
    <w:p w14:paraId="4169FF2F" w14:textId="23133F16" w:rsidR="00F867E0" w:rsidRDefault="00F867E0" w:rsidP="00F867E0">
      <w:pPr>
        <w:pStyle w:val="ListParagraph"/>
        <w:numPr>
          <w:ilvl w:val="0"/>
          <w:numId w:val="1"/>
        </w:numPr>
      </w:pPr>
      <w:r>
        <w:t xml:space="preserve">Do you have a premises within 20 mile radius of Colchester/Clacton which you could provide this podiatry service from within 2 week time period of start of contract and before end of March 2025?  If YES, Please provide the address. </w:t>
      </w:r>
    </w:p>
    <w:p w14:paraId="11341517" w14:textId="77777777" w:rsidR="00F867E0" w:rsidRDefault="00F867E0" w:rsidP="00F867E0">
      <w:pPr>
        <w:pStyle w:val="ListParagraph"/>
      </w:pPr>
    </w:p>
    <w:tbl>
      <w:tblPr>
        <w:tblStyle w:val="TableGrid"/>
        <w:tblW w:w="0" w:type="auto"/>
        <w:tblInd w:w="2122" w:type="dxa"/>
        <w:tblLook w:val="04A0" w:firstRow="1" w:lastRow="0" w:firstColumn="1" w:lastColumn="0" w:noHBand="0" w:noVBand="1"/>
      </w:tblPr>
      <w:tblGrid>
        <w:gridCol w:w="1134"/>
        <w:gridCol w:w="1134"/>
      </w:tblGrid>
      <w:tr w:rsidR="00F867E0" w14:paraId="4CF7BF3E" w14:textId="77777777" w:rsidTr="00F867E0">
        <w:tc>
          <w:tcPr>
            <w:tcW w:w="1134" w:type="dxa"/>
          </w:tcPr>
          <w:p w14:paraId="1709DD36" w14:textId="345B04DE" w:rsidR="00F867E0" w:rsidRDefault="00F867E0" w:rsidP="00F867E0">
            <w:pPr>
              <w:pStyle w:val="ListParagraph"/>
              <w:ind w:left="0"/>
              <w:jc w:val="center"/>
            </w:pPr>
            <w:r>
              <w:t>YES</w:t>
            </w:r>
          </w:p>
        </w:tc>
        <w:tc>
          <w:tcPr>
            <w:tcW w:w="1134" w:type="dxa"/>
          </w:tcPr>
          <w:p w14:paraId="70782A32" w14:textId="1A743178" w:rsidR="00F867E0" w:rsidRDefault="00F867E0" w:rsidP="00F867E0">
            <w:pPr>
              <w:pStyle w:val="ListParagraph"/>
              <w:ind w:left="0"/>
              <w:jc w:val="center"/>
            </w:pPr>
            <w:r>
              <w:t>NO</w:t>
            </w:r>
          </w:p>
        </w:tc>
      </w:tr>
    </w:tbl>
    <w:p w14:paraId="76A5A2C5" w14:textId="77777777" w:rsidR="00F867E0" w:rsidRDefault="00F867E0" w:rsidP="00F867E0">
      <w:pPr>
        <w:pStyle w:val="ListParagraph"/>
      </w:pPr>
    </w:p>
    <w:p w14:paraId="1A6F981A" w14:textId="4E0E0DD0" w:rsidR="00F867E0" w:rsidRDefault="00F867E0" w:rsidP="00F867E0">
      <w:pPr>
        <w:pStyle w:val="ListParagraph"/>
        <w:numPr>
          <w:ilvl w:val="0"/>
          <w:numId w:val="1"/>
        </w:numPr>
      </w:pPr>
      <w:r>
        <w:t>Will you be able to provide evidence of:</w:t>
      </w:r>
    </w:p>
    <w:p w14:paraId="3A0C5A68" w14:textId="77777777" w:rsidR="00F867E0" w:rsidRDefault="00F867E0" w:rsidP="00F867E0">
      <w:pPr>
        <w:pStyle w:val="ListParagraph"/>
      </w:pPr>
    </w:p>
    <w:p w14:paraId="249C0A29" w14:textId="3E701757" w:rsidR="00F867E0" w:rsidRDefault="00F867E0" w:rsidP="00F867E0">
      <w:pPr>
        <w:pStyle w:val="ListParagraph"/>
        <w:numPr>
          <w:ilvl w:val="0"/>
          <w:numId w:val="2"/>
        </w:numPr>
      </w:pPr>
      <w:r>
        <w:t xml:space="preserve">The  HCPC professional registration of the clinicians </w:t>
      </w:r>
    </w:p>
    <w:p w14:paraId="37B3FE3C" w14:textId="77777777" w:rsidR="00F867E0" w:rsidRDefault="00F867E0" w:rsidP="00F867E0">
      <w:pPr>
        <w:pStyle w:val="ListParagraph"/>
        <w:ind w:left="1080"/>
      </w:pPr>
    </w:p>
    <w:tbl>
      <w:tblPr>
        <w:tblStyle w:val="TableGrid"/>
        <w:tblW w:w="0" w:type="auto"/>
        <w:tblInd w:w="2122" w:type="dxa"/>
        <w:tblLook w:val="04A0" w:firstRow="1" w:lastRow="0" w:firstColumn="1" w:lastColumn="0" w:noHBand="0" w:noVBand="1"/>
      </w:tblPr>
      <w:tblGrid>
        <w:gridCol w:w="1134"/>
        <w:gridCol w:w="1134"/>
      </w:tblGrid>
      <w:tr w:rsidR="00F867E0" w14:paraId="7E77779F" w14:textId="77777777" w:rsidTr="002B1EEE">
        <w:tc>
          <w:tcPr>
            <w:tcW w:w="1134" w:type="dxa"/>
          </w:tcPr>
          <w:p w14:paraId="113E85EA" w14:textId="77777777" w:rsidR="00F867E0" w:rsidRDefault="00F867E0" w:rsidP="002B1EEE">
            <w:pPr>
              <w:pStyle w:val="ListParagraph"/>
              <w:ind w:left="0"/>
              <w:jc w:val="center"/>
            </w:pPr>
            <w:r>
              <w:t>YES</w:t>
            </w:r>
          </w:p>
        </w:tc>
        <w:tc>
          <w:tcPr>
            <w:tcW w:w="1134" w:type="dxa"/>
          </w:tcPr>
          <w:p w14:paraId="26A40C45" w14:textId="77777777" w:rsidR="00F867E0" w:rsidRDefault="00F867E0" w:rsidP="002B1EEE">
            <w:pPr>
              <w:pStyle w:val="ListParagraph"/>
              <w:ind w:left="0"/>
              <w:jc w:val="center"/>
            </w:pPr>
            <w:r>
              <w:t>NO</w:t>
            </w:r>
          </w:p>
        </w:tc>
      </w:tr>
    </w:tbl>
    <w:p w14:paraId="462AD1BF" w14:textId="1D06B009" w:rsidR="00F867E0" w:rsidRDefault="00F867E0" w:rsidP="00F867E0">
      <w:pPr>
        <w:pStyle w:val="ListParagraph"/>
        <w:ind w:left="1080"/>
      </w:pPr>
    </w:p>
    <w:p w14:paraId="1C6864CA" w14:textId="6B8D6600" w:rsidR="00F867E0" w:rsidRDefault="00F867E0" w:rsidP="00F867E0">
      <w:pPr>
        <w:pStyle w:val="ListParagraph"/>
        <w:numPr>
          <w:ilvl w:val="0"/>
          <w:numId w:val="2"/>
        </w:numPr>
      </w:pPr>
      <w:r>
        <w:t xml:space="preserve">CQC registration where applicable </w:t>
      </w:r>
    </w:p>
    <w:p w14:paraId="43070D71" w14:textId="77777777" w:rsidR="00F867E0" w:rsidRDefault="00F867E0" w:rsidP="00F867E0">
      <w:pPr>
        <w:pStyle w:val="ListParagraph"/>
        <w:ind w:left="1080"/>
      </w:pPr>
    </w:p>
    <w:tbl>
      <w:tblPr>
        <w:tblStyle w:val="TableGrid"/>
        <w:tblW w:w="0" w:type="auto"/>
        <w:tblInd w:w="2122" w:type="dxa"/>
        <w:tblLook w:val="04A0" w:firstRow="1" w:lastRow="0" w:firstColumn="1" w:lastColumn="0" w:noHBand="0" w:noVBand="1"/>
      </w:tblPr>
      <w:tblGrid>
        <w:gridCol w:w="1134"/>
        <w:gridCol w:w="1134"/>
      </w:tblGrid>
      <w:tr w:rsidR="00F867E0" w14:paraId="0B9D0BE5" w14:textId="6C54FDE2" w:rsidTr="005C1867">
        <w:tc>
          <w:tcPr>
            <w:tcW w:w="1134" w:type="dxa"/>
          </w:tcPr>
          <w:p w14:paraId="6BEF5BD8" w14:textId="77777777" w:rsidR="00F867E0" w:rsidRDefault="00F867E0" w:rsidP="002B1EEE">
            <w:pPr>
              <w:pStyle w:val="ListParagraph"/>
              <w:ind w:left="0"/>
              <w:jc w:val="center"/>
            </w:pPr>
            <w:r>
              <w:t>YES</w:t>
            </w:r>
          </w:p>
        </w:tc>
        <w:tc>
          <w:tcPr>
            <w:tcW w:w="1134" w:type="dxa"/>
          </w:tcPr>
          <w:p w14:paraId="58A34BBA" w14:textId="77777777" w:rsidR="00F867E0" w:rsidRDefault="00F867E0" w:rsidP="002B1EEE">
            <w:pPr>
              <w:pStyle w:val="ListParagraph"/>
              <w:ind w:left="0"/>
              <w:jc w:val="center"/>
            </w:pPr>
            <w:r>
              <w:t>NO</w:t>
            </w:r>
          </w:p>
        </w:tc>
      </w:tr>
    </w:tbl>
    <w:p w14:paraId="73BD5DFB" w14:textId="59E0B40E" w:rsidR="00F867E0" w:rsidRDefault="00F867E0" w:rsidP="00F867E0">
      <w:pPr>
        <w:pStyle w:val="ListParagraph"/>
        <w:ind w:left="1080"/>
      </w:pPr>
    </w:p>
    <w:p w14:paraId="22117687" w14:textId="77777777" w:rsidR="00D13E08" w:rsidRDefault="00D13E08" w:rsidP="00D13E08">
      <w:pPr>
        <w:pStyle w:val="ListParagraph"/>
        <w:ind w:left="1080"/>
      </w:pPr>
    </w:p>
    <w:p w14:paraId="0B9A29D0" w14:textId="77777777" w:rsidR="00D13E08" w:rsidRDefault="00D13E08" w:rsidP="00D13E08">
      <w:pPr>
        <w:ind w:left="720"/>
      </w:pPr>
    </w:p>
    <w:p w14:paraId="42CB5EF8" w14:textId="12FCE998" w:rsidR="00F867E0" w:rsidRDefault="00F867E0" w:rsidP="00F867E0">
      <w:pPr>
        <w:pStyle w:val="ListParagraph"/>
        <w:numPr>
          <w:ilvl w:val="0"/>
          <w:numId w:val="2"/>
        </w:numPr>
      </w:pPr>
      <w:r>
        <w:t xml:space="preserve">Evidence for professional indemnity insurance </w:t>
      </w:r>
    </w:p>
    <w:p w14:paraId="006DC289" w14:textId="77777777" w:rsidR="00900D81" w:rsidRDefault="00900D81" w:rsidP="00900D81">
      <w:pPr>
        <w:pStyle w:val="ListParagraph"/>
        <w:ind w:left="1080"/>
      </w:pPr>
    </w:p>
    <w:tbl>
      <w:tblPr>
        <w:tblStyle w:val="TableGrid"/>
        <w:tblW w:w="0" w:type="auto"/>
        <w:tblInd w:w="2122" w:type="dxa"/>
        <w:tblLook w:val="04A0" w:firstRow="1" w:lastRow="0" w:firstColumn="1" w:lastColumn="0" w:noHBand="0" w:noVBand="1"/>
      </w:tblPr>
      <w:tblGrid>
        <w:gridCol w:w="1134"/>
        <w:gridCol w:w="1134"/>
      </w:tblGrid>
      <w:tr w:rsidR="00900D81" w14:paraId="56DBF53D" w14:textId="77777777" w:rsidTr="002B1EEE">
        <w:tc>
          <w:tcPr>
            <w:tcW w:w="1134" w:type="dxa"/>
          </w:tcPr>
          <w:p w14:paraId="2960CBFA" w14:textId="77777777" w:rsidR="00900D81" w:rsidRDefault="00900D81" w:rsidP="002B1EEE">
            <w:pPr>
              <w:pStyle w:val="ListParagraph"/>
              <w:ind w:left="0"/>
              <w:jc w:val="center"/>
            </w:pPr>
            <w:r>
              <w:t>YES</w:t>
            </w:r>
          </w:p>
        </w:tc>
        <w:tc>
          <w:tcPr>
            <w:tcW w:w="1134" w:type="dxa"/>
          </w:tcPr>
          <w:p w14:paraId="017DEC39" w14:textId="77777777" w:rsidR="00900D81" w:rsidRDefault="00900D81" w:rsidP="002B1EEE">
            <w:pPr>
              <w:pStyle w:val="ListParagraph"/>
              <w:ind w:left="0"/>
              <w:jc w:val="center"/>
            </w:pPr>
            <w:r>
              <w:t>NO</w:t>
            </w:r>
          </w:p>
        </w:tc>
      </w:tr>
    </w:tbl>
    <w:p w14:paraId="587F5EB3" w14:textId="77777777" w:rsidR="00900D81" w:rsidRDefault="00900D81" w:rsidP="00900D81">
      <w:pPr>
        <w:pStyle w:val="ListParagraph"/>
        <w:ind w:left="1080"/>
      </w:pPr>
    </w:p>
    <w:p w14:paraId="1E80B89F" w14:textId="069FE3A2" w:rsidR="00F867E0" w:rsidRDefault="00F867E0" w:rsidP="00F867E0">
      <w:pPr>
        <w:pStyle w:val="ListParagraph"/>
        <w:numPr>
          <w:ilvl w:val="0"/>
          <w:numId w:val="2"/>
        </w:numPr>
      </w:pPr>
      <w:r>
        <w:t>Evidence of public liability insurance</w:t>
      </w:r>
    </w:p>
    <w:p w14:paraId="42506FCE" w14:textId="77777777" w:rsidR="00900D81" w:rsidRDefault="00900D81" w:rsidP="00900D81">
      <w:pPr>
        <w:pStyle w:val="ListParagraph"/>
        <w:ind w:left="1080"/>
      </w:pPr>
    </w:p>
    <w:tbl>
      <w:tblPr>
        <w:tblStyle w:val="TableGrid"/>
        <w:tblW w:w="0" w:type="auto"/>
        <w:tblInd w:w="2122" w:type="dxa"/>
        <w:tblLook w:val="04A0" w:firstRow="1" w:lastRow="0" w:firstColumn="1" w:lastColumn="0" w:noHBand="0" w:noVBand="1"/>
      </w:tblPr>
      <w:tblGrid>
        <w:gridCol w:w="1134"/>
        <w:gridCol w:w="1134"/>
      </w:tblGrid>
      <w:tr w:rsidR="00900D81" w14:paraId="1BEDC5DE" w14:textId="77777777" w:rsidTr="002B1EEE">
        <w:tc>
          <w:tcPr>
            <w:tcW w:w="1134" w:type="dxa"/>
          </w:tcPr>
          <w:p w14:paraId="74B5F559" w14:textId="77777777" w:rsidR="00900D81" w:rsidRDefault="00900D81" w:rsidP="002B1EEE">
            <w:pPr>
              <w:pStyle w:val="ListParagraph"/>
              <w:ind w:left="0"/>
              <w:jc w:val="center"/>
            </w:pPr>
            <w:r>
              <w:t>YES</w:t>
            </w:r>
          </w:p>
        </w:tc>
        <w:tc>
          <w:tcPr>
            <w:tcW w:w="1134" w:type="dxa"/>
          </w:tcPr>
          <w:p w14:paraId="03923AFE" w14:textId="77777777" w:rsidR="00900D81" w:rsidRDefault="00900D81" w:rsidP="002B1EEE">
            <w:pPr>
              <w:pStyle w:val="ListParagraph"/>
              <w:ind w:left="0"/>
              <w:jc w:val="center"/>
            </w:pPr>
            <w:r>
              <w:t>NO</w:t>
            </w:r>
          </w:p>
        </w:tc>
      </w:tr>
    </w:tbl>
    <w:p w14:paraId="162A6D76" w14:textId="77777777" w:rsidR="00900D81" w:rsidRDefault="00900D81" w:rsidP="00900D81">
      <w:pPr>
        <w:pStyle w:val="ListParagraph"/>
        <w:ind w:left="1080"/>
      </w:pPr>
    </w:p>
    <w:p w14:paraId="3F239B44" w14:textId="77777777" w:rsidR="00CD1C37" w:rsidRDefault="00CD1C37" w:rsidP="00CD1C37"/>
    <w:p w14:paraId="1EE0F56F" w14:textId="77777777" w:rsidR="00CD1C37" w:rsidRPr="00D13E08" w:rsidRDefault="00CD1C37" w:rsidP="00CD1C37">
      <w:pPr>
        <w:rPr>
          <w:b/>
          <w:bCs/>
        </w:rPr>
      </w:pPr>
      <w:r w:rsidRPr="00D13E08">
        <w:rPr>
          <w:b/>
          <w:bCs/>
        </w:rPr>
        <w:t>6. Expression of Interest Submission</w:t>
      </w:r>
    </w:p>
    <w:p w14:paraId="36202886" w14:textId="77777777" w:rsidR="00900D81" w:rsidRDefault="00CD1C37" w:rsidP="00CD1C37">
      <w:r>
        <w:t xml:space="preserve">Interested providers are invited to submit their EOI by </w:t>
      </w:r>
      <w:r w:rsidR="00900D81" w:rsidRPr="00D13E08">
        <w:rPr>
          <w:b/>
          <w:bCs/>
        </w:rPr>
        <w:t>16:00 hours on 8</w:t>
      </w:r>
      <w:r w:rsidR="00900D81" w:rsidRPr="00D13E08">
        <w:rPr>
          <w:b/>
          <w:bCs/>
          <w:vertAlign w:val="superscript"/>
        </w:rPr>
        <w:t>th</w:t>
      </w:r>
      <w:r w:rsidR="00900D81" w:rsidRPr="00D13E08">
        <w:rPr>
          <w:b/>
          <w:bCs/>
        </w:rPr>
        <w:t xml:space="preserve"> November 2024</w:t>
      </w:r>
      <w:r w:rsidRPr="00D13E08">
        <w:rPr>
          <w:b/>
          <w:bCs/>
        </w:rPr>
        <w:t xml:space="preserve">. </w:t>
      </w:r>
    </w:p>
    <w:p w14:paraId="66BC942D" w14:textId="77777777" w:rsidR="00D13E08" w:rsidRDefault="00D13E08" w:rsidP="00CD1C37"/>
    <w:p w14:paraId="37345680" w14:textId="41F17259" w:rsidR="00CD1C37" w:rsidRDefault="00CD1C37" w:rsidP="00CD1C37">
      <w:r>
        <w:t>The EOI should include the following:</w:t>
      </w:r>
    </w:p>
    <w:p w14:paraId="5CDB6544" w14:textId="77777777" w:rsidR="00CD1C37" w:rsidRDefault="00CD1C37" w:rsidP="00CD1C37">
      <w:r>
        <w:t>Provider Information: Name, address, and contact details.</w:t>
      </w:r>
    </w:p>
    <w:p w14:paraId="67C8D4DE" w14:textId="77777777" w:rsidR="00CD1C37" w:rsidRDefault="00CD1C37" w:rsidP="00CD1C37">
      <w:r>
        <w:t>Service Capability Statement: A brief outline of the services you can offer, including the conditions you can treat, and the capacity for both clinic and home visits.</w:t>
      </w:r>
    </w:p>
    <w:p w14:paraId="1E9B2975" w14:textId="77777777" w:rsidR="00CD1C37" w:rsidRDefault="00CD1C37" w:rsidP="00CD1C37">
      <w:r>
        <w:t>Service Location: Confirmation of your ability to provide services within the specified radius of ESNEFT locations. Please specify your clinic address(es) and area of operation.</w:t>
      </w:r>
    </w:p>
    <w:p w14:paraId="41923B0E" w14:textId="77777777" w:rsidR="00CD1C37" w:rsidRDefault="00CD1C37" w:rsidP="00CD1C37">
      <w:r>
        <w:t>Compliance with Essential Criteria: Brief descriptions or documentation evidencing compliance with the essential criteria listed above.</w:t>
      </w:r>
    </w:p>
    <w:p w14:paraId="21F061DA" w14:textId="77777777" w:rsidR="00CD1C37" w:rsidRDefault="00CD1C37" w:rsidP="00CD1C37">
      <w:r>
        <w:t>Additional Information (Optional): Any other relevant information you believe supports your expression of interest.</w:t>
      </w:r>
    </w:p>
    <w:p w14:paraId="1DE6B2E7" w14:textId="77777777" w:rsidR="00CD1C37" w:rsidRPr="00E05B50" w:rsidRDefault="00CD1C37" w:rsidP="00CD1C37">
      <w:pPr>
        <w:rPr>
          <w:b/>
          <w:bCs/>
        </w:rPr>
      </w:pPr>
      <w:r w:rsidRPr="00E05B50">
        <w:rPr>
          <w:b/>
          <w:bCs/>
        </w:rPr>
        <w:t>7. Next Steps</w:t>
      </w:r>
    </w:p>
    <w:p w14:paraId="3669FF11" w14:textId="77777777" w:rsidR="00CD1C37" w:rsidRDefault="00CD1C37" w:rsidP="00CD1C37">
      <w:r>
        <w:t>Based on the expressions of interest received, ESNEFT may proceed to a formal tender process. Providers who demonstrate the ability to meet the essential criteria and service requirements may be invited to participate. Multiple providers may be appointed to ensure full coverage of patient needs.</w:t>
      </w:r>
    </w:p>
    <w:p w14:paraId="7279C4D0" w14:textId="77777777" w:rsidR="00CD1C37" w:rsidRPr="00E05B50" w:rsidRDefault="00CD1C37" w:rsidP="00CD1C37">
      <w:pPr>
        <w:rPr>
          <w:b/>
          <w:bCs/>
        </w:rPr>
      </w:pPr>
      <w:r w:rsidRPr="00E05B50">
        <w:rPr>
          <w:b/>
          <w:bCs/>
        </w:rPr>
        <w:t>8. Submission Details</w:t>
      </w:r>
    </w:p>
    <w:p w14:paraId="44806682" w14:textId="338261C2" w:rsidR="00CD1C37" w:rsidRDefault="00CD1C37" w:rsidP="00CD1C37">
      <w:r>
        <w:t xml:space="preserve">Please submit your EOI </w:t>
      </w:r>
      <w:r w:rsidR="00900D81" w:rsidRPr="00D13E08">
        <w:rPr>
          <w:b/>
          <w:bCs/>
        </w:rPr>
        <w:t xml:space="preserve">via </w:t>
      </w:r>
      <w:r w:rsidR="00F97DB8">
        <w:rPr>
          <w:b/>
          <w:bCs/>
        </w:rPr>
        <w:t xml:space="preserve">Email to </w:t>
      </w:r>
      <w:hyperlink r:id="rId7" w:history="1">
        <w:r w:rsidR="006D0AF9" w:rsidRPr="00BF69CD">
          <w:rPr>
            <w:rStyle w:val="Hyperlink"/>
            <w:b/>
            <w:bCs/>
          </w:rPr>
          <w:t>Jennis.Varghese@esneft.nhs.uk</w:t>
        </w:r>
      </w:hyperlink>
      <w:r w:rsidR="006D0AF9">
        <w:rPr>
          <w:b/>
          <w:bCs/>
        </w:rPr>
        <w:t xml:space="preserve"> </w:t>
      </w:r>
      <w:r w:rsidR="00900D81" w:rsidRPr="00D13E08">
        <w:rPr>
          <w:b/>
          <w:bCs/>
        </w:rPr>
        <w:t xml:space="preserve"> </w:t>
      </w:r>
      <w:r w:rsidRPr="00D13E08">
        <w:rPr>
          <w:b/>
          <w:bCs/>
        </w:rPr>
        <w:t xml:space="preserve">by </w:t>
      </w:r>
      <w:r w:rsidR="00900D81" w:rsidRPr="00D13E08">
        <w:rPr>
          <w:b/>
          <w:bCs/>
        </w:rPr>
        <w:t>16:00 hours on 8</w:t>
      </w:r>
      <w:r w:rsidR="00900D81" w:rsidRPr="00D13E08">
        <w:rPr>
          <w:b/>
          <w:bCs/>
          <w:vertAlign w:val="superscript"/>
        </w:rPr>
        <w:t>th</w:t>
      </w:r>
      <w:r w:rsidR="00900D81" w:rsidRPr="00D13E08">
        <w:rPr>
          <w:b/>
          <w:bCs/>
        </w:rPr>
        <w:t xml:space="preserve"> November 2024</w:t>
      </w:r>
      <w:r w:rsidRPr="00D13E08">
        <w:rPr>
          <w:b/>
          <w:bCs/>
        </w:rPr>
        <w:t xml:space="preserve">. </w:t>
      </w:r>
    </w:p>
    <w:p w14:paraId="71538BCB" w14:textId="77777777" w:rsidR="00CD1C37" w:rsidRPr="00E05B50" w:rsidRDefault="00CD1C37" w:rsidP="00CD1C37">
      <w:pPr>
        <w:rPr>
          <w:b/>
          <w:bCs/>
        </w:rPr>
      </w:pPr>
      <w:r w:rsidRPr="00E05B50">
        <w:rPr>
          <w:b/>
          <w:bCs/>
        </w:rPr>
        <w:t>9. Contact for Queries</w:t>
      </w:r>
    </w:p>
    <w:p w14:paraId="2D26D692" w14:textId="5CBE3F0C" w:rsidR="00CD1C37" w:rsidRDefault="00CD1C37" w:rsidP="00CD1C37">
      <w:r>
        <w:t xml:space="preserve">For any questions or further information, please contact: Contact Name: </w:t>
      </w:r>
      <w:r w:rsidR="00900D81">
        <w:t>Jennis Varghese</w:t>
      </w:r>
      <w:r w:rsidR="00900D81">
        <w:tab/>
      </w:r>
    </w:p>
    <w:p w14:paraId="46026133" w14:textId="3A4F383B" w:rsidR="00CD1C37" w:rsidRDefault="00CD1C37" w:rsidP="00CD1C37">
      <w:r>
        <w:t xml:space="preserve">Email: </w:t>
      </w:r>
      <w:r w:rsidR="00900D81">
        <w:t>Jennis.Varghese@esneft.nhs.uk</w:t>
      </w:r>
    </w:p>
    <w:p w14:paraId="2FECF54F" w14:textId="4FF69F2E" w:rsidR="00BB28DD" w:rsidRDefault="00BB28DD" w:rsidP="00CD1C37"/>
    <w:p w14:paraId="44A83354" w14:textId="77777777" w:rsidR="009F6B5F" w:rsidRDefault="009F6B5F" w:rsidP="00CD1C37"/>
    <w:p w14:paraId="5EDFB683" w14:textId="77777777" w:rsidR="009F6B5F" w:rsidRDefault="009F6B5F" w:rsidP="00CD1C37"/>
    <w:p w14:paraId="396C3FEB" w14:textId="77777777" w:rsidR="009F6B5F" w:rsidRDefault="009F6B5F" w:rsidP="00CD1C37"/>
    <w:p w14:paraId="1E07BF02" w14:textId="77777777" w:rsidR="009F6B5F" w:rsidRDefault="009F6B5F" w:rsidP="00CD1C37"/>
    <w:p w14:paraId="2DF344E1" w14:textId="663FB18C" w:rsidR="009F6B5F" w:rsidRDefault="009F6B5F" w:rsidP="009F6B5F">
      <w:pPr>
        <w:jc w:val="center"/>
        <w:rPr>
          <w:b/>
          <w:bCs/>
          <w:sz w:val="28"/>
          <w:szCs w:val="28"/>
          <w:u w:val="single"/>
        </w:rPr>
      </w:pPr>
      <w:r w:rsidRPr="009F6B5F">
        <w:rPr>
          <w:b/>
          <w:bCs/>
          <w:sz w:val="28"/>
          <w:szCs w:val="28"/>
          <w:u w:val="single"/>
        </w:rPr>
        <w:t>Appendix A</w:t>
      </w:r>
    </w:p>
    <w:p w14:paraId="497CA3FC" w14:textId="77777777" w:rsidR="009F6B5F" w:rsidRDefault="009F6B5F" w:rsidP="009F6B5F">
      <w:pPr>
        <w:jc w:val="center"/>
        <w:rPr>
          <w:b/>
          <w:bCs/>
          <w:sz w:val="28"/>
          <w:szCs w:val="28"/>
          <w:u w:val="single"/>
        </w:rPr>
      </w:pPr>
    </w:p>
    <w:p w14:paraId="3BFCFCBA" w14:textId="77777777" w:rsidR="009F6B5F" w:rsidRPr="009E14A0" w:rsidRDefault="009F6B5F" w:rsidP="009F6B5F">
      <w:pPr>
        <w:jc w:val="center"/>
        <w:rPr>
          <w:b/>
          <w:bCs/>
          <w:sz w:val="28"/>
          <w:szCs w:val="28"/>
          <w:u w:val="single"/>
        </w:rPr>
      </w:pPr>
      <w:r w:rsidRPr="009E14A0">
        <w:rPr>
          <w:b/>
          <w:bCs/>
          <w:sz w:val="28"/>
          <w:szCs w:val="28"/>
          <w:u w:val="single"/>
        </w:rPr>
        <w:t>Outsourcing of Podiatry Services – ESNEFT 2338</w:t>
      </w:r>
    </w:p>
    <w:p w14:paraId="089365CA" w14:textId="77777777" w:rsidR="009F6B5F" w:rsidRPr="00322EAE" w:rsidRDefault="009F6B5F" w:rsidP="009F6B5F">
      <w:pPr>
        <w:spacing w:before="100" w:beforeAutospacing="1" w:after="100" w:afterAutospacing="1" w:line="240" w:lineRule="auto"/>
        <w:outlineLvl w:val="2"/>
        <w:rPr>
          <w:rFonts w:eastAsia="Times New Roman" w:cstheme="minorHAnsi"/>
          <w:b/>
          <w:bCs/>
          <w:kern w:val="0"/>
          <w:sz w:val="24"/>
          <w:szCs w:val="24"/>
          <w:lang w:eastAsia="en-GB"/>
          <w14:ligatures w14:val="none"/>
        </w:rPr>
      </w:pPr>
      <w:r w:rsidRPr="00322EAE">
        <w:rPr>
          <w:rFonts w:eastAsia="Times New Roman" w:cstheme="minorHAnsi"/>
          <w:b/>
          <w:bCs/>
          <w:kern w:val="0"/>
          <w:sz w:val="24"/>
          <w:szCs w:val="24"/>
          <w:lang w:eastAsia="en-GB"/>
          <w14:ligatures w14:val="none"/>
        </w:rPr>
        <w:t>3. Scope of Services</w:t>
      </w:r>
    </w:p>
    <w:p w14:paraId="19B4BBD8" w14:textId="77777777" w:rsidR="009F6B5F" w:rsidRPr="00322EAE" w:rsidRDefault="009F6B5F" w:rsidP="009F6B5F">
      <w:pPr>
        <w:spacing w:before="100" w:beforeAutospacing="1" w:after="100" w:afterAutospacing="1" w:line="240" w:lineRule="auto"/>
        <w:rPr>
          <w:rFonts w:eastAsia="Times New Roman" w:cstheme="minorHAnsi"/>
          <w:kern w:val="0"/>
          <w:sz w:val="24"/>
          <w:szCs w:val="24"/>
          <w:lang w:eastAsia="en-GB"/>
          <w14:ligatures w14:val="none"/>
        </w:rPr>
      </w:pPr>
      <w:r w:rsidRPr="00322EAE">
        <w:rPr>
          <w:rFonts w:eastAsia="Times New Roman" w:cstheme="minorHAnsi"/>
          <w:kern w:val="0"/>
          <w:sz w:val="24"/>
          <w:szCs w:val="24"/>
          <w:lang w:eastAsia="en-GB"/>
          <w14:ligatures w14:val="none"/>
        </w:rPr>
        <w:t>The scope of this tender includes the following:</w:t>
      </w:r>
    </w:p>
    <w:p w14:paraId="45970F8E" w14:textId="77777777" w:rsidR="009F6B5F" w:rsidRPr="00322EAE" w:rsidRDefault="009F6B5F" w:rsidP="009F6B5F">
      <w:pPr>
        <w:spacing w:before="100" w:beforeAutospacing="1" w:after="100" w:afterAutospacing="1" w:line="240" w:lineRule="auto"/>
        <w:outlineLvl w:val="3"/>
        <w:rPr>
          <w:rFonts w:eastAsia="Times New Roman"/>
          <w:b/>
          <w:bCs/>
          <w:kern w:val="0"/>
          <w:sz w:val="24"/>
          <w:szCs w:val="24"/>
          <w:lang w:eastAsia="en-GB"/>
          <w14:ligatures w14:val="none"/>
        </w:rPr>
      </w:pPr>
      <w:r w:rsidRPr="0D80741D">
        <w:rPr>
          <w:rFonts w:eastAsia="Times New Roman"/>
          <w:b/>
          <w:bCs/>
          <w:kern w:val="0"/>
          <w:sz w:val="24"/>
          <w:szCs w:val="24"/>
          <w:lang w:eastAsia="en-GB"/>
          <w14:ligatures w14:val="none"/>
        </w:rPr>
        <w:t>3.1 Types of Patients Included, and who will be referred to the provider by ESNEFT once validated</w:t>
      </w:r>
    </w:p>
    <w:p w14:paraId="4F3C9C5E" w14:textId="77777777" w:rsidR="009F6B5F" w:rsidRPr="00322EAE" w:rsidRDefault="009F6B5F" w:rsidP="009F6B5F">
      <w:pPr>
        <w:numPr>
          <w:ilvl w:val="0"/>
          <w:numId w:val="3"/>
        </w:numPr>
        <w:spacing w:before="100" w:beforeAutospacing="1" w:after="100" w:afterAutospacing="1" w:line="240" w:lineRule="auto"/>
        <w:rPr>
          <w:rFonts w:eastAsia="Times New Roman" w:cstheme="minorHAnsi"/>
          <w:kern w:val="0"/>
          <w:sz w:val="24"/>
          <w:szCs w:val="24"/>
          <w:lang w:eastAsia="en-GB"/>
          <w14:ligatures w14:val="none"/>
        </w:rPr>
      </w:pPr>
      <w:r w:rsidRPr="00322EAE">
        <w:rPr>
          <w:rFonts w:eastAsia="Times New Roman" w:cstheme="minorHAnsi"/>
          <w:kern w:val="0"/>
          <w:sz w:val="24"/>
          <w:szCs w:val="24"/>
          <w:lang w:eastAsia="en-GB"/>
          <w14:ligatures w14:val="none"/>
        </w:rPr>
        <w:t>Bio</w:t>
      </w:r>
      <w:r>
        <w:rPr>
          <w:rFonts w:eastAsia="Times New Roman" w:cstheme="minorHAnsi"/>
          <w:kern w:val="0"/>
          <w:sz w:val="24"/>
          <w:szCs w:val="24"/>
          <w:lang w:eastAsia="en-GB"/>
          <w14:ligatures w14:val="none"/>
        </w:rPr>
        <w:t>mechanics issues</w:t>
      </w:r>
    </w:p>
    <w:p w14:paraId="63479D8F" w14:textId="77777777" w:rsidR="009F6B5F" w:rsidRPr="00322EAE" w:rsidRDefault="009F6B5F" w:rsidP="009F6B5F">
      <w:pPr>
        <w:numPr>
          <w:ilvl w:val="0"/>
          <w:numId w:val="3"/>
        </w:numPr>
        <w:spacing w:before="100" w:beforeAutospacing="1" w:after="100" w:afterAutospacing="1" w:line="240" w:lineRule="auto"/>
        <w:rPr>
          <w:rFonts w:eastAsia="Times New Roman" w:cstheme="minorHAnsi"/>
          <w:kern w:val="0"/>
          <w:sz w:val="24"/>
          <w:szCs w:val="24"/>
          <w:lang w:eastAsia="en-GB"/>
          <w14:ligatures w14:val="none"/>
        </w:rPr>
      </w:pPr>
      <w:r w:rsidRPr="00322EAE">
        <w:rPr>
          <w:rFonts w:eastAsia="Times New Roman" w:cstheme="minorHAnsi"/>
          <w:kern w:val="0"/>
          <w:sz w:val="24"/>
          <w:szCs w:val="24"/>
          <w:lang w:eastAsia="en-GB"/>
          <w14:ligatures w14:val="none"/>
        </w:rPr>
        <w:t>Routine, non-urgent cases</w:t>
      </w:r>
    </w:p>
    <w:p w14:paraId="4D7467DE" w14:textId="77777777" w:rsidR="009F6B5F" w:rsidRPr="00322EAE" w:rsidRDefault="009F6B5F" w:rsidP="009F6B5F">
      <w:pPr>
        <w:numPr>
          <w:ilvl w:val="0"/>
          <w:numId w:val="3"/>
        </w:numPr>
        <w:spacing w:before="100" w:beforeAutospacing="1" w:after="100" w:afterAutospacing="1" w:line="240" w:lineRule="auto"/>
        <w:rPr>
          <w:rFonts w:eastAsia="Times New Roman"/>
          <w:kern w:val="0"/>
          <w:sz w:val="24"/>
          <w:szCs w:val="24"/>
          <w:lang w:eastAsia="en-GB"/>
          <w14:ligatures w14:val="none"/>
        </w:rPr>
      </w:pPr>
      <w:r w:rsidRPr="0D80741D">
        <w:rPr>
          <w:rFonts w:eastAsia="Times New Roman"/>
          <w:kern w:val="0"/>
          <w:sz w:val="24"/>
          <w:szCs w:val="24"/>
          <w:lang w:eastAsia="en-GB"/>
          <w14:ligatures w14:val="none"/>
        </w:rPr>
        <w:t>Heel pain requiring 121 assessment and intervention, not suitable for groups, e.g., previously seen by physiotherapy or shockwave therapy.</w:t>
      </w:r>
    </w:p>
    <w:p w14:paraId="05C17F3A" w14:textId="77777777" w:rsidR="009F6B5F" w:rsidRPr="00322EAE" w:rsidRDefault="009F6B5F" w:rsidP="009F6B5F">
      <w:pPr>
        <w:numPr>
          <w:ilvl w:val="0"/>
          <w:numId w:val="3"/>
        </w:numPr>
        <w:spacing w:before="100" w:beforeAutospacing="1" w:after="100" w:afterAutospacing="1" w:line="240" w:lineRule="auto"/>
        <w:rPr>
          <w:rFonts w:eastAsia="Times New Roman" w:cstheme="minorHAnsi"/>
          <w:kern w:val="0"/>
          <w:sz w:val="24"/>
          <w:szCs w:val="24"/>
          <w:lang w:eastAsia="en-GB"/>
          <w14:ligatures w14:val="none"/>
        </w:rPr>
      </w:pPr>
      <w:r w:rsidRPr="00322EAE">
        <w:rPr>
          <w:rFonts w:eastAsia="Times New Roman" w:cstheme="minorHAnsi"/>
          <w:kern w:val="0"/>
          <w:sz w:val="24"/>
          <w:szCs w:val="24"/>
          <w:lang w:eastAsia="en-GB"/>
          <w14:ligatures w14:val="none"/>
        </w:rPr>
        <w:t>Bunions</w:t>
      </w:r>
    </w:p>
    <w:p w14:paraId="6B3A83CC" w14:textId="77777777" w:rsidR="009F6B5F" w:rsidRPr="00322EAE" w:rsidRDefault="009F6B5F" w:rsidP="009F6B5F">
      <w:pPr>
        <w:numPr>
          <w:ilvl w:val="0"/>
          <w:numId w:val="3"/>
        </w:numPr>
        <w:spacing w:before="100" w:beforeAutospacing="1" w:after="100" w:afterAutospacing="1" w:line="240" w:lineRule="auto"/>
        <w:rPr>
          <w:rFonts w:eastAsia="Times New Roman" w:cstheme="minorHAnsi"/>
          <w:kern w:val="0"/>
          <w:sz w:val="24"/>
          <w:szCs w:val="24"/>
          <w:lang w:eastAsia="en-GB"/>
          <w14:ligatures w14:val="none"/>
        </w:rPr>
      </w:pPr>
      <w:r w:rsidRPr="00322EAE">
        <w:rPr>
          <w:rFonts w:eastAsia="Times New Roman" w:cstheme="minorHAnsi"/>
          <w:kern w:val="0"/>
          <w:sz w:val="24"/>
          <w:szCs w:val="24"/>
          <w:lang w:eastAsia="en-GB"/>
          <w14:ligatures w14:val="none"/>
        </w:rPr>
        <w:t>Neuroma</w:t>
      </w:r>
    </w:p>
    <w:p w14:paraId="3EDF1DFF" w14:textId="77777777" w:rsidR="009F6B5F" w:rsidRPr="00322EAE" w:rsidRDefault="009F6B5F" w:rsidP="009F6B5F">
      <w:pPr>
        <w:numPr>
          <w:ilvl w:val="0"/>
          <w:numId w:val="3"/>
        </w:numPr>
        <w:spacing w:before="100" w:beforeAutospacing="1" w:after="100" w:afterAutospacing="1" w:line="240" w:lineRule="auto"/>
        <w:rPr>
          <w:rFonts w:eastAsia="Times New Roman" w:cstheme="minorHAnsi"/>
          <w:kern w:val="0"/>
          <w:sz w:val="24"/>
          <w:szCs w:val="24"/>
          <w:lang w:eastAsia="en-GB"/>
          <w14:ligatures w14:val="none"/>
        </w:rPr>
      </w:pPr>
      <w:r w:rsidRPr="00322EAE">
        <w:rPr>
          <w:rFonts w:eastAsia="Times New Roman" w:cstheme="minorHAnsi"/>
          <w:kern w:val="0"/>
          <w:sz w:val="24"/>
          <w:szCs w:val="24"/>
          <w:lang w:eastAsia="en-GB"/>
          <w14:ligatures w14:val="none"/>
        </w:rPr>
        <w:t>Corns</w:t>
      </w:r>
    </w:p>
    <w:p w14:paraId="0382D528" w14:textId="77777777" w:rsidR="00D13E08" w:rsidRDefault="00D13E08" w:rsidP="00D13E08">
      <w:pPr>
        <w:spacing w:before="100" w:beforeAutospacing="1" w:after="100" w:afterAutospacing="1" w:line="240" w:lineRule="auto"/>
        <w:ind w:left="720"/>
        <w:rPr>
          <w:rFonts w:eastAsia="Times New Roman" w:cstheme="minorHAnsi"/>
          <w:kern w:val="0"/>
          <w:sz w:val="24"/>
          <w:szCs w:val="24"/>
          <w:lang w:eastAsia="en-GB"/>
          <w14:ligatures w14:val="none"/>
        </w:rPr>
      </w:pPr>
    </w:p>
    <w:p w14:paraId="108EA744" w14:textId="4D381196" w:rsidR="009F6B5F" w:rsidRPr="00322EAE" w:rsidRDefault="009F6B5F" w:rsidP="009F6B5F">
      <w:pPr>
        <w:numPr>
          <w:ilvl w:val="0"/>
          <w:numId w:val="3"/>
        </w:numPr>
        <w:spacing w:before="100" w:beforeAutospacing="1" w:after="100" w:afterAutospacing="1" w:line="240" w:lineRule="auto"/>
        <w:rPr>
          <w:rFonts w:eastAsia="Times New Roman" w:cstheme="minorHAnsi"/>
          <w:kern w:val="0"/>
          <w:sz w:val="24"/>
          <w:szCs w:val="24"/>
          <w:lang w:eastAsia="en-GB"/>
          <w14:ligatures w14:val="none"/>
        </w:rPr>
      </w:pPr>
      <w:r w:rsidRPr="00322EAE">
        <w:rPr>
          <w:rFonts w:eastAsia="Times New Roman" w:cstheme="minorHAnsi"/>
          <w:kern w:val="0"/>
          <w:sz w:val="24"/>
          <w:szCs w:val="24"/>
          <w:lang w:eastAsia="en-GB"/>
          <w14:ligatures w14:val="none"/>
        </w:rPr>
        <w:t xml:space="preserve">Non-specific </w:t>
      </w:r>
      <w:r>
        <w:rPr>
          <w:rFonts w:eastAsia="Times New Roman" w:cstheme="minorHAnsi"/>
          <w:kern w:val="0"/>
          <w:sz w:val="24"/>
          <w:szCs w:val="24"/>
          <w:lang w:eastAsia="en-GB"/>
          <w14:ligatures w14:val="none"/>
        </w:rPr>
        <w:t xml:space="preserve">foot </w:t>
      </w:r>
      <w:r w:rsidRPr="00322EAE">
        <w:rPr>
          <w:rFonts w:eastAsia="Times New Roman" w:cstheme="minorHAnsi"/>
          <w:kern w:val="0"/>
          <w:sz w:val="24"/>
          <w:szCs w:val="24"/>
          <w:lang w:eastAsia="en-GB"/>
          <w14:ligatures w14:val="none"/>
        </w:rPr>
        <w:t>pain</w:t>
      </w:r>
    </w:p>
    <w:p w14:paraId="4BB39732" w14:textId="77777777" w:rsidR="009F6B5F" w:rsidRPr="00322EAE" w:rsidRDefault="009F6B5F" w:rsidP="009F6B5F">
      <w:pPr>
        <w:numPr>
          <w:ilvl w:val="0"/>
          <w:numId w:val="3"/>
        </w:numPr>
        <w:spacing w:before="100" w:beforeAutospacing="1" w:after="100" w:afterAutospacing="1" w:line="240" w:lineRule="auto"/>
        <w:rPr>
          <w:rFonts w:eastAsia="Times New Roman"/>
          <w:kern w:val="0"/>
          <w:sz w:val="24"/>
          <w:szCs w:val="24"/>
          <w:lang w:eastAsia="en-GB"/>
          <w14:ligatures w14:val="none"/>
        </w:rPr>
      </w:pPr>
      <w:r w:rsidRPr="0D80741D">
        <w:rPr>
          <w:rFonts w:eastAsia="Times New Roman"/>
          <w:kern w:val="0"/>
          <w:sz w:val="24"/>
          <w:szCs w:val="24"/>
          <w:lang w:eastAsia="en-GB"/>
          <w14:ligatures w14:val="none"/>
        </w:rPr>
        <w:t>Fungal nails</w:t>
      </w:r>
    </w:p>
    <w:p w14:paraId="43BC3B8C" w14:textId="77777777" w:rsidR="009F6B5F" w:rsidRPr="00322EAE" w:rsidRDefault="009F6B5F" w:rsidP="009F6B5F">
      <w:pPr>
        <w:spacing w:before="100" w:beforeAutospacing="1" w:after="100" w:afterAutospacing="1" w:line="240" w:lineRule="auto"/>
        <w:outlineLvl w:val="3"/>
        <w:rPr>
          <w:rFonts w:eastAsia="Times New Roman" w:cstheme="minorHAnsi"/>
          <w:b/>
          <w:bCs/>
          <w:kern w:val="0"/>
          <w:sz w:val="24"/>
          <w:szCs w:val="24"/>
          <w:lang w:eastAsia="en-GB"/>
          <w14:ligatures w14:val="none"/>
        </w:rPr>
      </w:pPr>
      <w:r w:rsidRPr="00322EAE">
        <w:rPr>
          <w:rFonts w:eastAsia="Times New Roman" w:cstheme="minorHAnsi"/>
          <w:b/>
          <w:bCs/>
          <w:kern w:val="0"/>
          <w:sz w:val="24"/>
          <w:szCs w:val="24"/>
          <w:lang w:eastAsia="en-GB"/>
          <w14:ligatures w14:val="none"/>
        </w:rPr>
        <w:t>3.2 Exclusions</w:t>
      </w:r>
    </w:p>
    <w:p w14:paraId="2745304B" w14:textId="77777777" w:rsidR="009F6B5F" w:rsidRPr="00322EAE" w:rsidRDefault="009F6B5F" w:rsidP="009F6B5F">
      <w:pPr>
        <w:numPr>
          <w:ilvl w:val="0"/>
          <w:numId w:val="4"/>
        </w:numPr>
        <w:spacing w:before="100" w:beforeAutospacing="1" w:after="100" w:afterAutospacing="1" w:line="240" w:lineRule="auto"/>
        <w:rPr>
          <w:rFonts w:eastAsia="Times New Roman" w:cstheme="minorHAnsi"/>
          <w:kern w:val="0"/>
          <w:sz w:val="24"/>
          <w:szCs w:val="24"/>
          <w:lang w:eastAsia="en-GB"/>
          <w14:ligatures w14:val="none"/>
        </w:rPr>
      </w:pPr>
      <w:r w:rsidRPr="00322EAE">
        <w:rPr>
          <w:rFonts w:eastAsia="Times New Roman" w:cstheme="minorHAnsi"/>
          <w:kern w:val="0"/>
          <w:sz w:val="24"/>
          <w:szCs w:val="24"/>
          <w:lang w:eastAsia="en-GB"/>
          <w14:ligatures w14:val="none"/>
        </w:rPr>
        <w:t>Patients under 18 years of age</w:t>
      </w:r>
    </w:p>
    <w:p w14:paraId="245A7D32" w14:textId="77777777" w:rsidR="009F6B5F" w:rsidRDefault="009F6B5F" w:rsidP="009F6B5F">
      <w:pPr>
        <w:numPr>
          <w:ilvl w:val="0"/>
          <w:numId w:val="4"/>
        </w:numPr>
        <w:spacing w:before="100" w:beforeAutospacing="1" w:after="100" w:afterAutospacing="1" w:line="240" w:lineRule="auto"/>
        <w:rPr>
          <w:rFonts w:eastAsia="Times New Roman" w:cstheme="minorHAnsi"/>
          <w:kern w:val="0"/>
          <w:sz w:val="24"/>
          <w:szCs w:val="24"/>
          <w:lang w:eastAsia="en-GB"/>
          <w14:ligatures w14:val="none"/>
        </w:rPr>
      </w:pPr>
      <w:r w:rsidRPr="00322EAE">
        <w:rPr>
          <w:rFonts w:eastAsia="Times New Roman" w:cstheme="minorHAnsi"/>
          <w:kern w:val="0"/>
          <w:sz w:val="24"/>
          <w:szCs w:val="24"/>
          <w:lang w:eastAsia="en-GB"/>
          <w14:ligatures w14:val="none"/>
        </w:rPr>
        <w:t>Patients with moderate and high-risk diabetic foot (as defined by NICE guidelines) at the point of referral.</w:t>
      </w:r>
    </w:p>
    <w:p w14:paraId="3E81B9BC" w14:textId="77777777" w:rsidR="009F6B5F" w:rsidRPr="00322EAE" w:rsidRDefault="009F6B5F" w:rsidP="009F6B5F">
      <w:pPr>
        <w:numPr>
          <w:ilvl w:val="0"/>
          <w:numId w:val="4"/>
        </w:numPr>
        <w:spacing w:before="100" w:beforeAutospacing="1" w:after="100" w:afterAutospacing="1" w:line="240" w:lineRule="auto"/>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Patients who have not engaged with ESNEFTs positive response programme to confirm still requiring treatment.</w:t>
      </w:r>
    </w:p>
    <w:p w14:paraId="11BF4195" w14:textId="77777777" w:rsidR="009F6B5F" w:rsidRPr="00322EAE" w:rsidRDefault="009F6B5F" w:rsidP="009F6B5F">
      <w:pPr>
        <w:spacing w:before="100" w:beforeAutospacing="1" w:after="100" w:afterAutospacing="1" w:line="240" w:lineRule="auto"/>
        <w:outlineLvl w:val="2"/>
        <w:rPr>
          <w:rFonts w:eastAsia="Times New Roman" w:cstheme="minorHAnsi"/>
          <w:b/>
          <w:bCs/>
          <w:kern w:val="0"/>
          <w:sz w:val="24"/>
          <w:szCs w:val="24"/>
          <w:lang w:eastAsia="en-GB"/>
          <w14:ligatures w14:val="none"/>
        </w:rPr>
      </w:pPr>
      <w:r w:rsidRPr="00322EAE">
        <w:rPr>
          <w:rFonts w:eastAsia="Times New Roman" w:cstheme="minorHAnsi"/>
          <w:b/>
          <w:bCs/>
          <w:kern w:val="0"/>
          <w:sz w:val="24"/>
          <w:szCs w:val="24"/>
          <w:lang w:eastAsia="en-GB"/>
          <w14:ligatures w14:val="none"/>
        </w:rPr>
        <w:t>4. Service Model</w:t>
      </w:r>
    </w:p>
    <w:p w14:paraId="7143B443" w14:textId="77777777" w:rsidR="009F6B5F" w:rsidRPr="00322EAE" w:rsidRDefault="009F6B5F" w:rsidP="009F6B5F">
      <w:pPr>
        <w:spacing w:before="100" w:beforeAutospacing="1" w:after="100" w:afterAutospacing="1" w:line="240" w:lineRule="auto"/>
        <w:rPr>
          <w:rFonts w:eastAsia="Times New Roman" w:cstheme="minorHAnsi"/>
          <w:kern w:val="0"/>
          <w:sz w:val="24"/>
          <w:szCs w:val="24"/>
          <w:lang w:eastAsia="en-GB"/>
          <w14:ligatures w14:val="none"/>
        </w:rPr>
      </w:pPr>
      <w:r w:rsidRPr="00322EAE">
        <w:rPr>
          <w:rFonts w:eastAsia="Times New Roman" w:cstheme="minorHAnsi"/>
          <w:kern w:val="0"/>
          <w:sz w:val="24"/>
          <w:szCs w:val="24"/>
          <w:lang w:eastAsia="en-GB"/>
          <w14:ligatures w14:val="none"/>
        </w:rPr>
        <w:t>The provider will be responsible for the entire episode of care, including:</w:t>
      </w:r>
    </w:p>
    <w:p w14:paraId="4D6764F3" w14:textId="77777777" w:rsidR="009F6B5F" w:rsidRPr="00322EAE" w:rsidRDefault="009F6B5F" w:rsidP="009F6B5F">
      <w:pPr>
        <w:numPr>
          <w:ilvl w:val="0"/>
          <w:numId w:val="5"/>
        </w:numPr>
        <w:spacing w:before="100" w:beforeAutospacing="1" w:after="100" w:afterAutospacing="1" w:line="240" w:lineRule="auto"/>
        <w:rPr>
          <w:rFonts w:eastAsia="Times New Roman" w:cstheme="minorHAnsi"/>
          <w:kern w:val="0"/>
          <w:sz w:val="24"/>
          <w:szCs w:val="24"/>
          <w:lang w:eastAsia="en-GB"/>
          <w14:ligatures w14:val="none"/>
        </w:rPr>
      </w:pPr>
      <w:r w:rsidRPr="00322EAE">
        <w:rPr>
          <w:rFonts w:eastAsia="Times New Roman" w:cstheme="minorHAnsi"/>
          <w:b/>
          <w:bCs/>
          <w:kern w:val="0"/>
          <w:sz w:val="24"/>
          <w:szCs w:val="24"/>
          <w:lang w:eastAsia="en-GB"/>
          <w14:ligatures w14:val="none"/>
        </w:rPr>
        <w:t>Assessment:</w:t>
      </w:r>
      <w:r w:rsidRPr="00322EAE">
        <w:rPr>
          <w:rFonts w:eastAsia="Times New Roman" w:cstheme="minorHAnsi"/>
          <w:kern w:val="0"/>
          <w:sz w:val="24"/>
          <w:szCs w:val="24"/>
          <w:lang w:eastAsia="en-GB"/>
          <w14:ligatures w14:val="none"/>
        </w:rPr>
        <w:t xml:space="preserve"> Evaluate the patient and determine necessary treatment.</w:t>
      </w:r>
    </w:p>
    <w:p w14:paraId="1298ACCD" w14:textId="77777777" w:rsidR="009F6B5F" w:rsidRPr="00322EAE" w:rsidRDefault="009F6B5F" w:rsidP="009F6B5F">
      <w:pPr>
        <w:numPr>
          <w:ilvl w:val="0"/>
          <w:numId w:val="5"/>
        </w:numPr>
        <w:spacing w:before="100" w:beforeAutospacing="1" w:after="100" w:afterAutospacing="1" w:line="240" w:lineRule="auto"/>
        <w:rPr>
          <w:rFonts w:eastAsia="Times New Roman" w:cstheme="minorHAnsi"/>
          <w:kern w:val="0"/>
          <w:sz w:val="24"/>
          <w:szCs w:val="24"/>
          <w:lang w:eastAsia="en-GB"/>
          <w14:ligatures w14:val="none"/>
        </w:rPr>
      </w:pPr>
      <w:r w:rsidRPr="00322EAE">
        <w:rPr>
          <w:rFonts w:eastAsia="Times New Roman" w:cstheme="minorHAnsi"/>
          <w:b/>
          <w:bCs/>
          <w:kern w:val="0"/>
          <w:sz w:val="24"/>
          <w:szCs w:val="24"/>
          <w:lang w:eastAsia="en-GB"/>
          <w14:ligatures w14:val="none"/>
        </w:rPr>
        <w:t>Treatment:</w:t>
      </w:r>
      <w:r w:rsidRPr="00322EAE">
        <w:rPr>
          <w:rFonts w:eastAsia="Times New Roman" w:cstheme="minorHAnsi"/>
          <w:kern w:val="0"/>
          <w:sz w:val="24"/>
          <w:szCs w:val="24"/>
          <w:lang w:eastAsia="en-GB"/>
          <w14:ligatures w14:val="none"/>
        </w:rPr>
        <w:t xml:space="preserve"> Deliver appropriate podiatry treatment based on assessment.</w:t>
      </w:r>
    </w:p>
    <w:p w14:paraId="0629E4E1" w14:textId="77777777" w:rsidR="009F6B5F" w:rsidRPr="00322EAE" w:rsidRDefault="009F6B5F" w:rsidP="009F6B5F">
      <w:pPr>
        <w:numPr>
          <w:ilvl w:val="0"/>
          <w:numId w:val="5"/>
        </w:numPr>
        <w:spacing w:before="100" w:beforeAutospacing="1" w:after="100" w:afterAutospacing="1" w:line="240" w:lineRule="auto"/>
        <w:rPr>
          <w:rFonts w:eastAsia="Times New Roman" w:cstheme="minorHAnsi"/>
          <w:kern w:val="0"/>
          <w:sz w:val="24"/>
          <w:szCs w:val="24"/>
          <w:lang w:eastAsia="en-GB"/>
          <w14:ligatures w14:val="none"/>
        </w:rPr>
      </w:pPr>
      <w:r w:rsidRPr="00322EAE">
        <w:rPr>
          <w:rFonts w:eastAsia="Times New Roman" w:cstheme="minorHAnsi"/>
          <w:b/>
          <w:bCs/>
          <w:kern w:val="0"/>
          <w:sz w:val="24"/>
          <w:szCs w:val="24"/>
          <w:lang w:eastAsia="en-GB"/>
          <w14:ligatures w14:val="none"/>
        </w:rPr>
        <w:t>Discharge:</w:t>
      </w:r>
      <w:r w:rsidRPr="00322EAE">
        <w:rPr>
          <w:rFonts w:eastAsia="Times New Roman" w:cstheme="minorHAnsi"/>
          <w:kern w:val="0"/>
          <w:sz w:val="24"/>
          <w:szCs w:val="24"/>
          <w:lang w:eastAsia="en-GB"/>
          <w14:ligatures w14:val="none"/>
        </w:rPr>
        <w:t xml:space="preserve"> Provide self-management advice and discharge patients when appropriate.</w:t>
      </w:r>
      <w:r>
        <w:rPr>
          <w:rFonts w:eastAsia="Times New Roman" w:cstheme="minorHAnsi"/>
          <w:kern w:val="0"/>
          <w:sz w:val="24"/>
          <w:szCs w:val="24"/>
          <w:lang w:eastAsia="en-GB"/>
          <w14:ligatures w14:val="none"/>
        </w:rPr>
        <w:t xml:space="preserve">  NB if the patient is referred back to us within 12 weeks for the same </w:t>
      </w:r>
      <w:r>
        <w:rPr>
          <w:rFonts w:eastAsia="Times New Roman" w:cstheme="minorHAnsi"/>
          <w:kern w:val="0"/>
          <w:sz w:val="24"/>
          <w:szCs w:val="24"/>
          <w:lang w:eastAsia="en-GB"/>
          <w14:ligatures w14:val="none"/>
        </w:rPr>
        <w:lastRenderedPageBreak/>
        <w:t>issue they were seen by provider for, the provider is expected to see the patient again within the same episode of care.</w:t>
      </w:r>
    </w:p>
    <w:p w14:paraId="103E4C41" w14:textId="77777777" w:rsidR="009F6B5F" w:rsidRPr="00322EAE" w:rsidRDefault="009F6B5F" w:rsidP="009F6B5F">
      <w:pPr>
        <w:numPr>
          <w:ilvl w:val="0"/>
          <w:numId w:val="5"/>
        </w:numPr>
        <w:spacing w:before="100" w:beforeAutospacing="1" w:after="100" w:afterAutospacing="1" w:line="240" w:lineRule="auto"/>
        <w:rPr>
          <w:rFonts w:eastAsia="Times New Roman" w:cstheme="minorHAnsi"/>
          <w:kern w:val="0"/>
          <w:sz w:val="24"/>
          <w:szCs w:val="24"/>
          <w:lang w:eastAsia="en-GB"/>
          <w14:ligatures w14:val="none"/>
        </w:rPr>
      </w:pPr>
      <w:r w:rsidRPr="00322EAE">
        <w:rPr>
          <w:rFonts w:eastAsia="Times New Roman" w:cstheme="minorHAnsi"/>
          <w:b/>
          <w:bCs/>
          <w:kern w:val="0"/>
          <w:sz w:val="24"/>
          <w:szCs w:val="24"/>
          <w:lang w:eastAsia="en-GB"/>
          <w14:ligatures w14:val="none"/>
        </w:rPr>
        <w:t>Onward Referrals:</w:t>
      </w:r>
      <w:r w:rsidRPr="00322EAE">
        <w:rPr>
          <w:rFonts w:eastAsia="Times New Roman" w:cstheme="minorHAnsi"/>
          <w:kern w:val="0"/>
          <w:sz w:val="24"/>
          <w:szCs w:val="24"/>
          <w:lang w:eastAsia="en-GB"/>
          <w14:ligatures w14:val="none"/>
        </w:rPr>
        <w:t xml:space="preserve"> Complete necessary referrals, either to another service or back to the patient's GP if direct referral is not possible.</w:t>
      </w:r>
      <w:r>
        <w:rPr>
          <w:rFonts w:eastAsia="Times New Roman" w:cstheme="minorHAnsi"/>
          <w:kern w:val="0"/>
          <w:sz w:val="24"/>
          <w:szCs w:val="24"/>
          <w:lang w:eastAsia="en-GB"/>
          <w14:ligatures w14:val="none"/>
        </w:rPr>
        <w:t xml:space="preserve">  This includes but is not limited to clinical issues and social concerns, need for social prescribing, safeguarding, wellbeing and befriending.</w:t>
      </w:r>
    </w:p>
    <w:p w14:paraId="41001C26" w14:textId="77777777" w:rsidR="009F6B5F" w:rsidRPr="00EE212C" w:rsidRDefault="009F6B5F" w:rsidP="009F6B5F">
      <w:pPr>
        <w:spacing w:before="100" w:beforeAutospacing="1" w:after="100" w:afterAutospacing="1" w:line="240" w:lineRule="auto"/>
        <w:rPr>
          <w:rFonts w:eastAsia="Times New Roman" w:cstheme="minorHAnsi"/>
          <w:kern w:val="0"/>
          <w:sz w:val="24"/>
          <w:szCs w:val="24"/>
          <w:lang w:eastAsia="en-GB"/>
          <w14:ligatures w14:val="none"/>
        </w:rPr>
      </w:pPr>
      <w:r w:rsidRPr="00EE212C">
        <w:rPr>
          <w:rFonts w:eastAsia="Times New Roman" w:cstheme="minorHAnsi"/>
          <w:kern w:val="0"/>
          <w:sz w:val="24"/>
          <w:szCs w:val="24"/>
          <w:lang w:eastAsia="en-GB"/>
          <w14:ligatures w14:val="none"/>
        </w:rPr>
        <w:t>The service is to be provided by HCPC registered podiatrists</w:t>
      </w:r>
      <w:r>
        <w:rPr>
          <w:rFonts w:eastAsia="Times New Roman" w:cstheme="minorHAnsi"/>
          <w:kern w:val="0"/>
          <w:sz w:val="24"/>
          <w:szCs w:val="24"/>
          <w:lang w:eastAsia="en-GB"/>
          <w14:ligatures w14:val="none"/>
        </w:rPr>
        <w:t xml:space="preserve"> in your own premises or home visits.</w:t>
      </w:r>
    </w:p>
    <w:p w14:paraId="3C44C309" w14:textId="77777777" w:rsidR="009F6B5F" w:rsidRDefault="009F6B5F" w:rsidP="009F6B5F">
      <w:pPr>
        <w:spacing w:before="100" w:beforeAutospacing="1" w:after="100" w:afterAutospacing="1" w:line="240" w:lineRule="auto"/>
        <w:rPr>
          <w:rFonts w:eastAsia="Times New Roman" w:cstheme="minorHAnsi"/>
          <w:kern w:val="0"/>
          <w:sz w:val="24"/>
          <w:szCs w:val="24"/>
          <w:lang w:eastAsia="en-GB"/>
          <w14:ligatures w14:val="none"/>
        </w:rPr>
      </w:pPr>
      <w:r w:rsidRPr="00322EAE">
        <w:rPr>
          <w:rFonts w:eastAsia="Times New Roman" w:cstheme="minorHAnsi"/>
          <w:kern w:val="0"/>
          <w:sz w:val="24"/>
          <w:szCs w:val="24"/>
          <w:lang w:eastAsia="en-GB"/>
          <w14:ligatures w14:val="none"/>
        </w:rPr>
        <w:t>The service must align with ESNEFT’s criteria, ensuring patients are informed about what to expect for future podiatry needs.</w:t>
      </w:r>
    </w:p>
    <w:p w14:paraId="34FAF2F5" w14:textId="77777777" w:rsidR="009F6B5F" w:rsidRDefault="009F6B5F" w:rsidP="009F6B5F">
      <w:pPr>
        <w:spacing w:before="100" w:beforeAutospacing="1" w:after="100" w:afterAutospacing="1" w:line="240" w:lineRule="auto"/>
        <w:rPr>
          <w:rFonts w:eastAsia="Times New Roman"/>
          <w:kern w:val="0"/>
          <w:sz w:val="24"/>
          <w:szCs w:val="24"/>
          <w:lang w:eastAsia="en-GB"/>
          <w14:ligatures w14:val="none"/>
        </w:rPr>
      </w:pPr>
      <w:r w:rsidRPr="0D80741D">
        <w:rPr>
          <w:rFonts w:eastAsia="Times New Roman"/>
          <w:kern w:val="0"/>
          <w:sz w:val="24"/>
          <w:szCs w:val="24"/>
          <w:lang w:eastAsia="en-GB"/>
          <w14:ligatures w14:val="none"/>
        </w:rPr>
        <w:t>The ESNEFT service cannot provide routine nail care.</w:t>
      </w:r>
    </w:p>
    <w:p w14:paraId="1A476DCF" w14:textId="77777777" w:rsidR="009F6B5F" w:rsidRDefault="009F6B5F" w:rsidP="009F6B5F">
      <w:pPr>
        <w:spacing w:before="100" w:beforeAutospacing="1" w:after="100" w:afterAutospacing="1" w:line="240" w:lineRule="auto"/>
        <w:rPr>
          <w:rFonts w:eastAsia="Times New Roman"/>
          <w:kern w:val="0"/>
          <w:sz w:val="24"/>
          <w:szCs w:val="24"/>
          <w:lang w:eastAsia="en-GB"/>
          <w14:ligatures w14:val="none"/>
        </w:rPr>
      </w:pPr>
      <w:r w:rsidRPr="0D80741D">
        <w:rPr>
          <w:rFonts w:eastAsia="Times New Roman"/>
          <w:kern w:val="0"/>
          <w:sz w:val="24"/>
          <w:szCs w:val="24"/>
          <w:lang w:eastAsia="en-GB"/>
          <w14:ligatures w14:val="none"/>
        </w:rPr>
        <w:t>We assess podiatric and medical need using the below grid.  The highest single score for podiatrist need is added with the highest medical need to create the final score.  The box content is indicative, and clinician judgement on best fit should be applied.</w:t>
      </w:r>
      <w:r>
        <w:rPr>
          <w:rFonts w:eastAsia="Times New Roman"/>
          <w:kern w:val="0"/>
          <w:sz w:val="24"/>
          <w:szCs w:val="24"/>
          <w:lang w:eastAsia="en-GB"/>
          <w14:ligatures w14:val="none"/>
        </w:rPr>
        <w:t xml:space="preserve">  Scores of 4 and under are advised to self-manage.  </w:t>
      </w:r>
    </w:p>
    <w:p w14:paraId="414C58A5" w14:textId="77777777" w:rsidR="009F6B5F" w:rsidRDefault="009F6B5F" w:rsidP="009F6B5F">
      <w:pPr>
        <w:spacing w:after="120"/>
      </w:pPr>
    </w:p>
    <w:p w14:paraId="28F17F7E" w14:textId="77777777" w:rsidR="009F6B5F" w:rsidRDefault="009F6B5F" w:rsidP="009F6B5F">
      <w:pPr>
        <w:spacing w:after="120"/>
      </w:pPr>
      <w:r w:rsidRPr="00310B4F">
        <w:rPr>
          <w:noProof/>
        </w:rPr>
        <w:drawing>
          <wp:inline distT="0" distB="0" distL="0" distR="0" wp14:anchorId="0EED8887" wp14:editId="7DB1EC01">
            <wp:extent cx="5857875" cy="2790825"/>
            <wp:effectExtent l="0" t="0" r="9525" b="9525"/>
            <wp:docPr id="3632165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58050" cy="2790908"/>
                    </a:xfrm>
                    <a:prstGeom prst="rect">
                      <a:avLst/>
                    </a:prstGeom>
                    <a:noFill/>
                    <a:ln>
                      <a:noFill/>
                    </a:ln>
                  </pic:spPr>
                </pic:pic>
              </a:graphicData>
            </a:graphic>
          </wp:inline>
        </w:drawing>
      </w:r>
    </w:p>
    <w:p w14:paraId="53B4DE89" w14:textId="77777777" w:rsidR="009F6B5F" w:rsidRPr="003D52E1" w:rsidRDefault="009F6B5F" w:rsidP="009F6B5F">
      <w:pPr>
        <w:spacing w:after="120"/>
        <w:rPr>
          <w:bCs/>
        </w:rPr>
      </w:pPr>
    </w:p>
    <w:p w14:paraId="5CCA1ED6" w14:textId="77777777" w:rsidR="009F6B5F" w:rsidRPr="003D52E1" w:rsidRDefault="009F6B5F" w:rsidP="009F6B5F">
      <w:pPr>
        <w:spacing w:after="120"/>
        <w:rPr>
          <w:rFonts w:ascii="Arial" w:hAnsi="Arial" w:cs="Arial"/>
          <w:bCs/>
          <w:sz w:val="20"/>
          <w:szCs w:val="20"/>
        </w:rPr>
      </w:pPr>
      <w:r w:rsidRPr="003D52E1">
        <w:rPr>
          <w:rFonts w:ascii="Arial" w:hAnsi="Arial" w:cs="Arial"/>
          <w:bCs/>
          <w:sz w:val="20"/>
          <w:szCs w:val="20"/>
        </w:rPr>
        <w:t xml:space="preserve">It is anticipated that most referrals sent over will score 4 </w:t>
      </w:r>
      <w:r>
        <w:rPr>
          <w:rFonts w:ascii="Arial" w:hAnsi="Arial" w:cs="Arial"/>
          <w:bCs/>
          <w:sz w:val="20"/>
          <w:szCs w:val="20"/>
        </w:rPr>
        <w:t xml:space="preserve">on assessment </w:t>
      </w:r>
      <w:r w:rsidRPr="003D52E1">
        <w:rPr>
          <w:rFonts w:ascii="Arial" w:hAnsi="Arial" w:cs="Arial"/>
          <w:bCs/>
          <w:sz w:val="20"/>
          <w:szCs w:val="20"/>
        </w:rPr>
        <w:t>or will be able to score 4 after intervention by the provider.</w:t>
      </w:r>
    </w:p>
    <w:p w14:paraId="510DD541" w14:textId="77777777" w:rsidR="009F6B5F" w:rsidRDefault="009F6B5F" w:rsidP="009F6B5F">
      <w:pPr>
        <w:spacing w:before="100" w:beforeAutospacing="1" w:after="100" w:afterAutospacing="1" w:line="240" w:lineRule="auto"/>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Patients will be allocated to provider on the basis patient choice and capacity offered by the provider, and the cost of the episode of care.</w:t>
      </w:r>
    </w:p>
    <w:p w14:paraId="1ABAEC77" w14:textId="77777777" w:rsidR="009F6B5F" w:rsidRPr="00322EAE" w:rsidRDefault="009F6B5F" w:rsidP="009F6B5F">
      <w:pPr>
        <w:spacing w:before="100" w:beforeAutospacing="1" w:after="100" w:afterAutospacing="1" w:line="240" w:lineRule="auto"/>
        <w:outlineLvl w:val="3"/>
        <w:rPr>
          <w:rFonts w:eastAsia="Times New Roman" w:cstheme="minorHAnsi"/>
          <w:b/>
          <w:bCs/>
          <w:kern w:val="0"/>
          <w:sz w:val="24"/>
          <w:szCs w:val="24"/>
          <w:lang w:eastAsia="en-GB"/>
          <w14:ligatures w14:val="none"/>
        </w:rPr>
      </w:pPr>
      <w:r w:rsidRPr="00322EAE">
        <w:rPr>
          <w:rFonts w:eastAsia="Times New Roman" w:cstheme="minorHAnsi"/>
          <w:b/>
          <w:bCs/>
          <w:kern w:val="0"/>
          <w:sz w:val="24"/>
          <w:szCs w:val="24"/>
          <w:lang w:eastAsia="en-GB"/>
          <w14:ligatures w14:val="none"/>
        </w:rPr>
        <w:t>4.1 Handling of Wound Management</w:t>
      </w:r>
    </w:p>
    <w:p w14:paraId="100E6082" w14:textId="77777777" w:rsidR="009F6B5F" w:rsidRPr="00322EAE" w:rsidRDefault="009F6B5F" w:rsidP="009F6B5F">
      <w:pPr>
        <w:spacing w:before="100" w:beforeAutospacing="1" w:after="100" w:afterAutospacing="1" w:line="240" w:lineRule="auto"/>
        <w:rPr>
          <w:rFonts w:eastAsia="Times New Roman" w:cstheme="minorHAnsi"/>
          <w:kern w:val="0"/>
          <w:sz w:val="24"/>
          <w:szCs w:val="24"/>
          <w:lang w:eastAsia="en-GB"/>
          <w14:ligatures w14:val="none"/>
        </w:rPr>
      </w:pPr>
      <w:r w:rsidRPr="00322EAE">
        <w:rPr>
          <w:rFonts w:eastAsia="Times New Roman" w:cstheme="minorHAnsi"/>
          <w:kern w:val="0"/>
          <w:sz w:val="24"/>
          <w:szCs w:val="24"/>
          <w:lang w:eastAsia="en-GB"/>
          <w14:ligatures w14:val="none"/>
        </w:rPr>
        <w:lastRenderedPageBreak/>
        <w:t xml:space="preserve">Patients with known wounds will not be outsourced to the provider. However, if a wound is identified upon presentation at the provider’s premises, the provider is expected to offer first-line management and contact ESNEFT’s duty podiatrist </w:t>
      </w:r>
      <w:r>
        <w:rPr>
          <w:rFonts w:eastAsia="Times New Roman" w:cstheme="minorHAnsi"/>
          <w:kern w:val="0"/>
          <w:sz w:val="24"/>
          <w:szCs w:val="24"/>
          <w:lang w:eastAsia="en-GB"/>
          <w14:ligatures w14:val="none"/>
        </w:rPr>
        <w:t>to discuss</w:t>
      </w:r>
      <w:r w:rsidRPr="00322EAE">
        <w:rPr>
          <w:rFonts w:eastAsia="Times New Roman" w:cstheme="minorHAnsi"/>
          <w:kern w:val="0"/>
          <w:sz w:val="24"/>
          <w:szCs w:val="24"/>
          <w:lang w:eastAsia="en-GB"/>
          <w14:ligatures w14:val="none"/>
        </w:rPr>
        <w:t xml:space="preserve"> transfer back to ESNEFT’s wound management service.</w:t>
      </w:r>
    </w:p>
    <w:p w14:paraId="12991573" w14:textId="77777777" w:rsidR="009F6B5F" w:rsidRPr="00322EAE" w:rsidRDefault="009F6B5F" w:rsidP="009F6B5F">
      <w:pPr>
        <w:spacing w:before="100" w:beforeAutospacing="1" w:after="100" w:afterAutospacing="1" w:line="240" w:lineRule="auto"/>
        <w:outlineLvl w:val="3"/>
        <w:rPr>
          <w:rFonts w:eastAsia="Times New Roman" w:cstheme="minorHAnsi"/>
          <w:b/>
          <w:bCs/>
          <w:kern w:val="0"/>
          <w:sz w:val="24"/>
          <w:szCs w:val="24"/>
          <w:lang w:eastAsia="en-GB"/>
          <w14:ligatures w14:val="none"/>
        </w:rPr>
      </w:pPr>
      <w:r w:rsidRPr="00322EAE">
        <w:rPr>
          <w:rFonts w:eastAsia="Times New Roman" w:cstheme="minorHAnsi"/>
          <w:b/>
          <w:bCs/>
          <w:kern w:val="0"/>
          <w:sz w:val="24"/>
          <w:szCs w:val="24"/>
          <w:lang w:eastAsia="en-GB"/>
          <w14:ligatures w14:val="none"/>
        </w:rPr>
        <w:t>4.2 Information Sharing</w:t>
      </w:r>
    </w:p>
    <w:p w14:paraId="15D8956D" w14:textId="77777777" w:rsidR="009F6B5F" w:rsidRPr="00322EAE" w:rsidRDefault="009F6B5F" w:rsidP="009F6B5F">
      <w:pPr>
        <w:spacing w:before="100" w:beforeAutospacing="1" w:after="100" w:afterAutospacing="1" w:line="240" w:lineRule="auto"/>
        <w:rPr>
          <w:rFonts w:eastAsia="Times New Roman" w:cstheme="minorHAnsi"/>
          <w:kern w:val="0"/>
          <w:sz w:val="24"/>
          <w:szCs w:val="24"/>
          <w:lang w:eastAsia="en-GB"/>
          <w14:ligatures w14:val="none"/>
        </w:rPr>
      </w:pPr>
      <w:r w:rsidRPr="00322EAE">
        <w:rPr>
          <w:rFonts w:eastAsia="Times New Roman" w:cstheme="minorHAnsi"/>
          <w:kern w:val="0"/>
          <w:sz w:val="24"/>
          <w:szCs w:val="24"/>
          <w:lang w:eastAsia="en-GB"/>
          <w14:ligatures w14:val="none"/>
        </w:rPr>
        <w:t xml:space="preserve">At the point of transfer to the provider, patients will no longer be under the care of ESNEFT. Patients </w:t>
      </w:r>
      <w:r>
        <w:rPr>
          <w:rFonts w:eastAsia="Times New Roman" w:cstheme="minorHAnsi"/>
          <w:kern w:val="0"/>
          <w:sz w:val="24"/>
          <w:szCs w:val="24"/>
          <w:lang w:eastAsia="en-GB"/>
          <w14:ligatures w14:val="none"/>
        </w:rPr>
        <w:t>will be consented by ESNEFT to have</w:t>
      </w:r>
      <w:r w:rsidRPr="00322EAE">
        <w:rPr>
          <w:rFonts w:eastAsia="Times New Roman" w:cstheme="minorHAnsi"/>
          <w:kern w:val="0"/>
          <w:sz w:val="24"/>
          <w:szCs w:val="24"/>
          <w:lang w:eastAsia="en-GB"/>
          <w14:ligatures w14:val="none"/>
        </w:rPr>
        <w:t xml:space="preserve"> their information, including the original referral and any relevant local notes (pertinent to podiatry), transferred to the provider.</w:t>
      </w:r>
    </w:p>
    <w:p w14:paraId="30E9365D" w14:textId="77777777" w:rsidR="009F6B5F" w:rsidRPr="00322EAE" w:rsidRDefault="009F6B5F" w:rsidP="009F6B5F">
      <w:pPr>
        <w:spacing w:before="100" w:beforeAutospacing="1" w:after="100" w:afterAutospacing="1" w:line="240" w:lineRule="auto"/>
        <w:rPr>
          <w:rFonts w:eastAsia="Times New Roman" w:cstheme="minorHAnsi"/>
          <w:kern w:val="0"/>
          <w:sz w:val="24"/>
          <w:szCs w:val="24"/>
          <w:lang w:eastAsia="en-GB"/>
          <w14:ligatures w14:val="none"/>
        </w:rPr>
      </w:pPr>
      <w:r w:rsidRPr="00322EAE">
        <w:rPr>
          <w:rFonts w:eastAsia="Times New Roman" w:cstheme="minorHAnsi"/>
          <w:kern w:val="0"/>
          <w:sz w:val="24"/>
          <w:szCs w:val="24"/>
          <w:lang w:eastAsia="en-GB"/>
          <w14:ligatures w14:val="none"/>
        </w:rPr>
        <w:t>The provider must comply with all relevant data protection regulations and standards for handling personal information.</w:t>
      </w:r>
    </w:p>
    <w:p w14:paraId="7DD7575C" w14:textId="77777777" w:rsidR="009F6B5F" w:rsidRPr="00322EAE" w:rsidRDefault="009F6B5F" w:rsidP="009F6B5F">
      <w:pPr>
        <w:spacing w:before="100" w:beforeAutospacing="1" w:after="100" w:afterAutospacing="1" w:line="240" w:lineRule="auto"/>
        <w:outlineLvl w:val="2"/>
        <w:rPr>
          <w:rFonts w:eastAsia="Times New Roman" w:cstheme="minorHAnsi"/>
          <w:b/>
          <w:bCs/>
          <w:kern w:val="0"/>
          <w:sz w:val="24"/>
          <w:szCs w:val="24"/>
          <w:lang w:eastAsia="en-GB"/>
          <w14:ligatures w14:val="none"/>
        </w:rPr>
      </w:pPr>
      <w:r w:rsidRPr="00322EAE">
        <w:rPr>
          <w:rFonts w:eastAsia="Times New Roman" w:cstheme="minorHAnsi"/>
          <w:b/>
          <w:bCs/>
          <w:kern w:val="0"/>
          <w:sz w:val="24"/>
          <w:szCs w:val="24"/>
          <w:lang w:eastAsia="en-GB"/>
          <w14:ligatures w14:val="none"/>
        </w:rPr>
        <w:t>5. Requirements for Providers</w:t>
      </w:r>
    </w:p>
    <w:p w14:paraId="493F72DC" w14:textId="77777777" w:rsidR="009F6B5F" w:rsidRPr="00322EAE" w:rsidRDefault="009F6B5F" w:rsidP="009F6B5F">
      <w:pPr>
        <w:spacing w:before="100" w:beforeAutospacing="1" w:after="100" w:afterAutospacing="1" w:line="240" w:lineRule="auto"/>
        <w:rPr>
          <w:rFonts w:eastAsia="Times New Roman" w:cstheme="minorHAnsi"/>
          <w:kern w:val="0"/>
          <w:sz w:val="24"/>
          <w:szCs w:val="24"/>
          <w:lang w:eastAsia="en-GB"/>
          <w14:ligatures w14:val="none"/>
        </w:rPr>
      </w:pPr>
      <w:r w:rsidRPr="00322EAE">
        <w:rPr>
          <w:rFonts w:eastAsia="Times New Roman" w:cstheme="minorHAnsi"/>
          <w:kern w:val="0"/>
          <w:sz w:val="24"/>
          <w:szCs w:val="24"/>
          <w:lang w:eastAsia="en-GB"/>
          <w14:ligatures w14:val="none"/>
        </w:rPr>
        <w:t>Providers must</w:t>
      </w:r>
      <w:r>
        <w:rPr>
          <w:rFonts w:eastAsia="Times New Roman" w:cstheme="minorHAnsi"/>
          <w:kern w:val="0"/>
          <w:sz w:val="24"/>
          <w:szCs w:val="24"/>
          <w:lang w:eastAsia="en-GB"/>
          <w14:ligatures w14:val="none"/>
        </w:rPr>
        <w:t xml:space="preserve"> accept responsibility for</w:t>
      </w:r>
      <w:r w:rsidRPr="00322EAE">
        <w:rPr>
          <w:rFonts w:eastAsia="Times New Roman" w:cstheme="minorHAnsi"/>
          <w:kern w:val="0"/>
          <w:sz w:val="24"/>
          <w:szCs w:val="24"/>
          <w:lang w:eastAsia="en-GB"/>
          <w14:ligatures w14:val="none"/>
        </w:rPr>
        <w:t>:</w:t>
      </w:r>
    </w:p>
    <w:p w14:paraId="2226474D" w14:textId="77777777" w:rsidR="009F6B5F" w:rsidRPr="00322EAE" w:rsidRDefault="009F6B5F" w:rsidP="009F6B5F">
      <w:pPr>
        <w:numPr>
          <w:ilvl w:val="0"/>
          <w:numId w:val="6"/>
        </w:numPr>
        <w:spacing w:before="100" w:beforeAutospacing="1" w:after="100" w:afterAutospacing="1" w:line="240" w:lineRule="auto"/>
        <w:rPr>
          <w:rFonts w:eastAsia="Times New Roman" w:cstheme="minorHAnsi"/>
          <w:kern w:val="0"/>
          <w:sz w:val="24"/>
          <w:szCs w:val="24"/>
          <w:lang w:eastAsia="en-GB"/>
          <w14:ligatures w14:val="none"/>
        </w:rPr>
      </w:pPr>
      <w:r w:rsidRPr="00322EAE">
        <w:rPr>
          <w:rFonts w:eastAsia="Times New Roman" w:cstheme="minorHAnsi"/>
          <w:kern w:val="0"/>
          <w:sz w:val="24"/>
          <w:szCs w:val="24"/>
          <w:lang w:eastAsia="en-GB"/>
          <w14:ligatures w14:val="none"/>
        </w:rPr>
        <w:t>Professional registration with appropriate bodie</w:t>
      </w:r>
      <w:r>
        <w:rPr>
          <w:rFonts w:eastAsia="Times New Roman" w:cstheme="minorHAnsi"/>
          <w:kern w:val="0"/>
          <w:sz w:val="24"/>
          <w:szCs w:val="24"/>
          <w:lang w:eastAsia="en-GB"/>
          <w14:ligatures w14:val="none"/>
        </w:rPr>
        <w:t>s</w:t>
      </w:r>
    </w:p>
    <w:p w14:paraId="318A2599" w14:textId="77777777" w:rsidR="009F6B5F" w:rsidRPr="00322EAE" w:rsidRDefault="009F6B5F" w:rsidP="009F6B5F">
      <w:pPr>
        <w:numPr>
          <w:ilvl w:val="0"/>
          <w:numId w:val="6"/>
        </w:numPr>
        <w:spacing w:before="100" w:beforeAutospacing="1" w:after="100" w:afterAutospacing="1" w:line="240" w:lineRule="auto"/>
        <w:rPr>
          <w:rFonts w:eastAsia="Times New Roman" w:cstheme="minorHAnsi"/>
          <w:kern w:val="0"/>
          <w:sz w:val="24"/>
          <w:szCs w:val="24"/>
          <w:lang w:eastAsia="en-GB"/>
          <w14:ligatures w14:val="none"/>
        </w:rPr>
      </w:pPr>
      <w:r w:rsidRPr="00322EAE">
        <w:rPr>
          <w:rFonts w:eastAsia="Times New Roman" w:cstheme="minorHAnsi"/>
          <w:kern w:val="0"/>
          <w:sz w:val="24"/>
          <w:szCs w:val="24"/>
          <w:lang w:eastAsia="en-GB"/>
          <w14:ligatures w14:val="none"/>
        </w:rPr>
        <w:t>Adequate insurance coverage</w:t>
      </w:r>
    </w:p>
    <w:p w14:paraId="1BD12325" w14:textId="77777777" w:rsidR="009F6B5F" w:rsidRPr="00322EAE" w:rsidRDefault="009F6B5F" w:rsidP="009F6B5F">
      <w:pPr>
        <w:numPr>
          <w:ilvl w:val="0"/>
          <w:numId w:val="6"/>
        </w:numPr>
        <w:spacing w:before="100" w:beforeAutospacing="1" w:after="100" w:afterAutospacing="1" w:line="240" w:lineRule="auto"/>
        <w:rPr>
          <w:rFonts w:eastAsia="Times New Roman" w:cstheme="minorHAnsi"/>
          <w:kern w:val="0"/>
          <w:sz w:val="24"/>
          <w:szCs w:val="24"/>
          <w:lang w:eastAsia="en-GB"/>
          <w14:ligatures w14:val="none"/>
        </w:rPr>
      </w:pPr>
      <w:r w:rsidRPr="00322EAE">
        <w:rPr>
          <w:rFonts w:eastAsia="Times New Roman" w:cstheme="minorHAnsi"/>
          <w:kern w:val="0"/>
          <w:sz w:val="24"/>
          <w:szCs w:val="24"/>
          <w:lang w:eastAsia="en-GB"/>
          <w14:ligatures w14:val="none"/>
        </w:rPr>
        <w:t>Information Governance (IG) compliance</w:t>
      </w:r>
    </w:p>
    <w:p w14:paraId="413DFDA3" w14:textId="77777777" w:rsidR="009F6B5F" w:rsidRPr="00322EAE" w:rsidRDefault="009F6B5F" w:rsidP="009F6B5F">
      <w:pPr>
        <w:numPr>
          <w:ilvl w:val="0"/>
          <w:numId w:val="6"/>
        </w:numPr>
        <w:spacing w:before="100" w:beforeAutospacing="1" w:after="100" w:afterAutospacing="1" w:line="240" w:lineRule="auto"/>
        <w:rPr>
          <w:rFonts w:eastAsia="Times New Roman" w:cstheme="minorHAnsi"/>
          <w:kern w:val="0"/>
          <w:sz w:val="24"/>
          <w:szCs w:val="24"/>
          <w:lang w:eastAsia="en-GB"/>
          <w14:ligatures w14:val="none"/>
        </w:rPr>
      </w:pPr>
      <w:r w:rsidRPr="00322EAE">
        <w:rPr>
          <w:rFonts w:eastAsia="Times New Roman" w:cstheme="minorHAnsi"/>
          <w:kern w:val="0"/>
          <w:sz w:val="24"/>
          <w:szCs w:val="24"/>
          <w:lang w:eastAsia="en-GB"/>
          <w14:ligatures w14:val="none"/>
        </w:rPr>
        <w:t>Infection Prevention and Control (IPC) protocols</w:t>
      </w:r>
    </w:p>
    <w:p w14:paraId="02381CBA" w14:textId="1A36F869" w:rsidR="009F6B5F" w:rsidRDefault="009F6B5F" w:rsidP="009F6B5F">
      <w:pPr>
        <w:numPr>
          <w:ilvl w:val="0"/>
          <w:numId w:val="6"/>
        </w:numPr>
        <w:spacing w:before="100" w:beforeAutospacing="1" w:after="100" w:afterAutospacing="1" w:line="240" w:lineRule="auto"/>
        <w:rPr>
          <w:rFonts w:eastAsia="Times New Roman" w:cstheme="minorHAnsi"/>
          <w:kern w:val="0"/>
          <w:sz w:val="24"/>
          <w:szCs w:val="24"/>
          <w:lang w:eastAsia="en-GB"/>
          <w14:ligatures w14:val="none"/>
        </w:rPr>
      </w:pPr>
      <w:r w:rsidRPr="00322EAE">
        <w:rPr>
          <w:rFonts w:eastAsia="Times New Roman" w:cstheme="minorHAnsi"/>
          <w:kern w:val="0"/>
          <w:sz w:val="24"/>
          <w:szCs w:val="24"/>
          <w:lang w:eastAsia="en-GB"/>
          <w14:ligatures w14:val="none"/>
        </w:rPr>
        <w:t>Health and safety policies, including lone working arrangements</w:t>
      </w:r>
      <w:r>
        <w:rPr>
          <w:rFonts w:eastAsia="Times New Roman" w:cstheme="minorHAnsi"/>
          <w:kern w:val="0"/>
          <w:sz w:val="24"/>
          <w:szCs w:val="24"/>
          <w:lang w:eastAsia="en-GB"/>
          <w14:ligatures w14:val="none"/>
        </w:rPr>
        <w:t xml:space="preserve"> and risk </w:t>
      </w:r>
      <w:r w:rsidR="00EA5040">
        <w:rPr>
          <w:rFonts w:eastAsia="Times New Roman" w:cstheme="minorHAnsi"/>
          <w:kern w:val="0"/>
          <w:sz w:val="24"/>
          <w:szCs w:val="24"/>
          <w:lang w:eastAsia="en-GB"/>
          <w14:ligatures w14:val="none"/>
        </w:rPr>
        <w:t>assessments</w:t>
      </w:r>
      <w:r>
        <w:rPr>
          <w:rFonts w:eastAsia="Times New Roman" w:cstheme="minorHAnsi"/>
          <w:kern w:val="0"/>
          <w:sz w:val="24"/>
          <w:szCs w:val="24"/>
          <w:lang w:eastAsia="en-GB"/>
          <w14:ligatures w14:val="none"/>
        </w:rPr>
        <w:t>.</w:t>
      </w:r>
    </w:p>
    <w:p w14:paraId="3DB2BC20" w14:textId="77777777" w:rsidR="009F6B5F" w:rsidRPr="00322EAE" w:rsidRDefault="009F6B5F" w:rsidP="009F6B5F">
      <w:pPr>
        <w:numPr>
          <w:ilvl w:val="0"/>
          <w:numId w:val="6"/>
        </w:numPr>
        <w:spacing w:before="100" w:beforeAutospacing="1" w:after="100" w:afterAutospacing="1" w:line="240" w:lineRule="auto"/>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Clinic space in which to complete the contacts within 20 miles of central Colchester or Clacton, or own arrangements to home visit within that radius.</w:t>
      </w:r>
    </w:p>
    <w:p w14:paraId="0CE7E615" w14:textId="77777777" w:rsidR="009F6B5F" w:rsidRPr="00322EAE" w:rsidRDefault="009F6B5F" w:rsidP="009F6B5F">
      <w:pPr>
        <w:spacing w:before="100" w:beforeAutospacing="1" w:after="100" w:afterAutospacing="1" w:line="240" w:lineRule="auto"/>
        <w:outlineLvl w:val="2"/>
        <w:rPr>
          <w:rFonts w:eastAsia="Times New Roman" w:cstheme="minorHAnsi"/>
          <w:b/>
          <w:bCs/>
          <w:kern w:val="0"/>
          <w:sz w:val="24"/>
          <w:szCs w:val="24"/>
          <w:lang w:eastAsia="en-GB"/>
          <w14:ligatures w14:val="none"/>
        </w:rPr>
      </w:pPr>
      <w:r w:rsidRPr="00322EAE">
        <w:rPr>
          <w:rFonts w:eastAsia="Times New Roman" w:cstheme="minorHAnsi"/>
          <w:b/>
          <w:bCs/>
          <w:kern w:val="0"/>
          <w:sz w:val="24"/>
          <w:szCs w:val="24"/>
          <w:lang w:eastAsia="en-GB"/>
          <w14:ligatures w14:val="none"/>
        </w:rPr>
        <w:t>6. Contract Reporting</w:t>
      </w:r>
    </w:p>
    <w:p w14:paraId="37725E90" w14:textId="77777777" w:rsidR="009F6B5F" w:rsidRPr="00322EAE" w:rsidRDefault="009F6B5F" w:rsidP="009F6B5F">
      <w:pPr>
        <w:spacing w:before="100" w:beforeAutospacing="1" w:after="100" w:afterAutospacing="1" w:line="240" w:lineRule="auto"/>
        <w:rPr>
          <w:rFonts w:eastAsia="Times New Roman" w:cstheme="minorHAnsi"/>
          <w:kern w:val="0"/>
          <w:sz w:val="24"/>
          <w:szCs w:val="24"/>
          <w:lang w:eastAsia="en-GB"/>
          <w14:ligatures w14:val="none"/>
        </w:rPr>
      </w:pPr>
      <w:r w:rsidRPr="00322EAE">
        <w:rPr>
          <w:rFonts w:eastAsia="Times New Roman" w:cstheme="minorHAnsi"/>
          <w:kern w:val="0"/>
          <w:sz w:val="24"/>
          <w:szCs w:val="24"/>
          <w:lang w:eastAsia="en-GB"/>
          <w14:ligatures w14:val="none"/>
        </w:rPr>
        <w:t>The service provider must submit monthly reports to ESNEFT that include:</w:t>
      </w:r>
    </w:p>
    <w:p w14:paraId="39A29739" w14:textId="77777777" w:rsidR="009F6B5F" w:rsidRPr="00322EAE" w:rsidRDefault="009F6B5F" w:rsidP="009F6B5F">
      <w:pPr>
        <w:numPr>
          <w:ilvl w:val="0"/>
          <w:numId w:val="7"/>
        </w:numPr>
        <w:spacing w:before="100" w:beforeAutospacing="1" w:after="100" w:afterAutospacing="1" w:line="240" w:lineRule="auto"/>
        <w:rPr>
          <w:rFonts w:eastAsia="Times New Roman" w:cstheme="minorHAnsi"/>
          <w:kern w:val="0"/>
          <w:sz w:val="24"/>
          <w:szCs w:val="24"/>
          <w:lang w:eastAsia="en-GB"/>
          <w14:ligatures w14:val="none"/>
        </w:rPr>
      </w:pPr>
      <w:r w:rsidRPr="00322EAE">
        <w:rPr>
          <w:rFonts w:eastAsia="Times New Roman" w:cstheme="minorHAnsi"/>
          <w:kern w:val="0"/>
          <w:sz w:val="24"/>
          <w:szCs w:val="24"/>
          <w:lang w:eastAsia="en-GB"/>
          <w14:ligatures w14:val="none"/>
        </w:rPr>
        <w:t>Number of patients accepted and treated.</w:t>
      </w:r>
    </w:p>
    <w:p w14:paraId="2D90488A" w14:textId="77777777" w:rsidR="009F6B5F" w:rsidRPr="00322EAE" w:rsidRDefault="009F6B5F" w:rsidP="009F6B5F">
      <w:pPr>
        <w:numPr>
          <w:ilvl w:val="0"/>
          <w:numId w:val="7"/>
        </w:numPr>
        <w:spacing w:before="100" w:beforeAutospacing="1" w:after="100" w:afterAutospacing="1" w:line="240" w:lineRule="auto"/>
        <w:rPr>
          <w:rFonts w:eastAsia="Times New Roman" w:cstheme="minorHAnsi"/>
          <w:kern w:val="0"/>
          <w:sz w:val="24"/>
          <w:szCs w:val="24"/>
          <w:lang w:eastAsia="en-GB"/>
          <w14:ligatures w14:val="none"/>
        </w:rPr>
      </w:pPr>
      <w:r w:rsidRPr="00322EAE">
        <w:rPr>
          <w:rFonts w:eastAsia="Times New Roman" w:cstheme="minorHAnsi"/>
          <w:kern w:val="0"/>
          <w:sz w:val="24"/>
          <w:szCs w:val="24"/>
          <w:lang w:eastAsia="en-GB"/>
          <w14:ligatures w14:val="none"/>
        </w:rPr>
        <w:t>Number of contacts per month</w:t>
      </w:r>
    </w:p>
    <w:p w14:paraId="133BA004" w14:textId="77777777" w:rsidR="009F6B5F" w:rsidRPr="00322EAE" w:rsidRDefault="009F6B5F" w:rsidP="009F6B5F">
      <w:pPr>
        <w:numPr>
          <w:ilvl w:val="0"/>
          <w:numId w:val="7"/>
        </w:numPr>
        <w:spacing w:before="100" w:beforeAutospacing="1" w:after="100" w:afterAutospacing="1" w:line="240" w:lineRule="auto"/>
        <w:rPr>
          <w:rFonts w:eastAsia="Times New Roman" w:cstheme="minorHAnsi"/>
          <w:kern w:val="0"/>
          <w:sz w:val="24"/>
          <w:szCs w:val="24"/>
          <w:lang w:eastAsia="en-GB"/>
          <w14:ligatures w14:val="none"/>
        </w:rPr>
      </w:pPr>
      <w:r w:rsidRPr="00322EAE">
        <w:rPr>
          <w:rFonts w:eastAsia="Times New Roman" w:cstheme="minorHAnsi"/>
          <w:kern w:val="0"/>
          <w:sz w:val="24"/>
          <w:szCs w:val="24"/>
          <w:lang w:eastAsia="en-GB"/>
          <w14:ligatures w14:val="none"/>
        </w:rPr>
        <w:t>Average contacts per episode of care</w:t>
      </w:r>
    </w:p>
    <w:p w14:paraId="717670AC" w14:textId="77777777" w:rsidR="009F6B5F" w:rsidRPr="00322EAE" w:rsidRDefault="009F6B5F" w:rsidP="009F6B5F">
      <w:pPr>
        <w:numPr>
          <w:ilvl w:val="0"/>
          <w:numId w:val="7"/>
        </w:numPr>
        <w:spacing w:before="100" w:beforeAutospacing="1" w:after="100" w:afterAutospacing="1" w:line="240" w:lineRule="auto"/>
        <w:rPr>
          <w:rFonts w:eastAsia="Times New Roman" w:cstheme="minorHAnsi"/>
          <w:kern w:val="0"/>
          <w:sz w:val="24"/>
          <w:szCs w:val="24"/>
          <w:lang w:eastAsia="en-GB"/>
          <w14:ligatures w14:val="none"/>
        </w:rPr>
      </w:pPr>
      <w:r w:rsidRPr="00322EAE">
        <w:rPr>
          <w:rFonts w:eastAsia="Times New Roman" w:cstheme="minorHAnsi"/>
          <w:kern w:val="0"/>
          <w:sz w:val="24"/>
          <w:szCs w:val="24"/>
          <w:lang w:eastAsia="en-GB"/>
          <w14:ligatures w14:val="none"/>
        </w:rPr>
        <w:t>Length of each episode of care</w:t>
      </w:r>
    </w:p>
    <w:p w14:paraId="67CD71AA" w14:textId="77777777" w:rsidR="009F6B5F" w:rsidRDefault="009F6B5F" w:rsidP="009F6B5F">
      <w:pPr>
        <w:numPr>
          <w:ilvl w:val="0"/>
          <w:numId w:val="7"/>
        </w:numPr>
        <w:spacing w:before="100" w:beforeAutospacing="1" w:after="100" w:afterAutospacing="1" w:line="240" w:lineRule="auto"/>
        <w:rPr>
          <w:rFonts w:eastAsia="Times New Roman" w:cstheme="minorHAnsi"/>
          <w:kern w:val="0"/>
          <w:sz w:val="24"/>
          <w:szCs w:val="24"/>
          <w:lang w:eastAsia="en-GB"/>
          <w14:ligatures w14:val="none"/>
        </w:rPr>
      </w:pPr>
      <w:r w:rsidRPr="00322EAE">
        <w:rPr>
          <w:rFonts w:eastAsia="Times New Roman" w:cstheme="minorHAnsi"/>
          <w:kern w:val="0"/>
          <w:sz w:val="24"/>
          <w:szCs w:val="24"/>
          <w:lang w:eastAsia="en-GB"/>
          <w14:ligatures w14:val="none"/>
        </w:rPr>
        <w:t>Number of patients discharged per month.</w:t>
      </w:r>
    </w:p>
    <w:p w14:paraId="4F8E7846" w14:textId="77777777" w:rsidR="009F6B5F" w:rsidRDefault="009F6B5F" w:rsidP="009F6B5F">
      <w:pPr>
        <w:numPr>
          <w:ilvl w:val="0"/>
          <w:numId w:val="7"/>
        </w:numPr>
        <w:spacing w:before="100" w:beforeAutospacing="1" w:after="100" w:afterAutospacing="1" w:line="240" w:lineRule="auto"/>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Outcome of discharge e.g. improved and discharged; deteriorated; referred on.</w:t>
      </w:r>
    </w:p>
    <w:p w14:paraId="27A8F664" w14:textId="77777777" w:rsidR="009F6B5F" w:rsidRPr="00322EAE" w:rsidRDefault="009F6B5F" w:rsidP="009F6B5F">
      <w:pPr>
        <w:numPr>
          <w:ilvl w:val="0"/>
          <w:numId w:val="7"/>
        </w:numPr>
        <w:spacing w:before="100" w:beforeAutospacing="1" w:after="100" w:afterAutospacing="1" w:line="240" w:lineRule="auto"/>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Declaration of any complaints/safeguards</w:t>
      </w:r>
    </w:p>
    <w:p w14:paraId="18010F74" w14:textId="77777777" w:rsidR="009F6B5F" w:rsidRPr="00322EAE" w:rsidRDefault="009F6B5F" w:rsidP="009F6B5F">
      <w:pPr>
        <w:spacing w:before="100" w:beforeAutospacing="1" w:after="100" w:afterAutospacing="1" w:line="240" w:lineRule="auto"/>
        <w:outlineLvl w:val="2"/>
        <w:rPr>
          <w:rFonts w:eastAsia="Times New Roman" w:cstheme="minorHAnsi"/>
          <w:b/>
          <w:bCs/>
          <w:kern w:val="0"/>
          <w:sz w:val="24"/>
          <w:szCs w:val="24"/>
          <w:lang w:eastAsia="en-GB"/>
          <w14:ligatures w14:val="none"/>
        </w:rPr>
      </w:pPr>
      <w:r w:rsidRPr="00322EAE">
        <w:rPr>
          <w:rFonts w:eastAsia="Times New Roman" w:cstheme="minorHAnsi"/>
          <w:b/>
          <w:bCs/>
          <w:kern w:val="0"/>
          <w:sz w:val="24"/>
          <w:szCs w:val="24"/>
          <w:lang w:eastAsia="en-GB"/>
          <w14:ligatures w14:val="none"/>
        </w:rPr>
        <w:t>7. Financial Arrangements</w:t>
      </w:r>
    </w:p>
    <w:p w14:paraId="7BBAA6A9" w14:textId="77777777" w:rsidR="009F6B5F" w:rsidRPr="00322EAE" w:rsidRDefault="009F6B5F" w:rsidP="009F6B5F">
      <w:pPr>
        <w:spacing w:before="100" w:beforeAutospacing="1" w:after="100" w:afterAutospacing="1" w:line="240" w:lineRule="auto"/>
        <w:rPr>
          <w:rFonts w:eastAsia="Times New Roman" w:cstheme="minorHAnsi"/>
          <w:kern w:val="0"/>
          <w:sz w:val="24"/>
          <w:szCs w:val="24"/>
          <w:lang w:eastAsia="en-GB"/>
          <w14:ligatures w14:val="none"/>
        </w:rPr>
      </w:pPr>
      <w:r w:rsidRPr="00322EAE">
        <w:rPr>
          <w:rFonts w:eastAsia="Times New Roman" w:cstheme="minorHAnsi"/>
          <w:kern w:val="0"/>
          <w:sz w:val="24"/>
          <w:szCs w:val="24"/>
          <w:lang w:eastAsia="en-GB"/>
          <w14:ligatures w14:val="none"/>
        </w:rPr>
        <w:t>The contract will be based on a "cost per patient/episode of care" model. Providers are requested to submit their proposed costs on this basis, taking into consideration that</w:t>
      </w:r>
      <w:r>
        <w:rPr>
          <w:rFonts w:eastAsia="Times New Roman" w:cstheme="minorHAnsi"/>
          <w:kern w:val="0"/>
          <w:sz w:val="24"/>
          <w:szCs w:val="24"/>
          <w:lang w:eastAsia="en-GB"/>
          <w14:ligatures w14:val="none"/>
        </w:rPr>
        <w:t xml:space="preserve"> a si</w:t>
      </w:r>
      <w:r w:rsidRPr="00322EAE">
        <w:rPr>
          <w:rFonts w:eastAsia="Times New Roman" w:cstheme="minorHAnsi"/>
          <w:kern w:val="0"/>
          <w:sz w:val="24"/>
          <w:szCs w:val="24"/>
          <w:lang w:eastAsia="en-GB"/>
          <w14:ligatures w14:val="none"/>
        </w:rPr>
        <w:t xml:space="preserve">gnificant proportion of cases may only </w:t>
      </w:r>
      <w:r>
        <w:rPr>
          <w:rFonts w:eastAsia="Times New Roman" w:cstheme="minorHAnsi"/>
          <w:kern w:val="0"/>
          <w:sz w:val="24"/>
          <w:szCs w:val="24"/>
          <w:lang w:eastAsia="en-GB"/>
          <w14:ligatures w14:val="none"/>
        </w:rPr>
        <w:t>a short course of intervention.</w:t>
      </w:r>
    </w:p>
    <w:p w14:paraId="0A70C1A0" w14:textId="77777777" w:rsidR="009F6B5F" w:rsidRDefault="009F6B5F" w:rsidP="009F6B5F">
      <w:pPr>
        <w:spacing w:before="100" w:beforeAutospacing="1" w:after="100" w:afterAutospacing="1" w:line="240" w:lineRule="auto"/>
        <w:rPr>
          <w:rFonts w:eastAsia="Times New Roman" w:cstheme="minorHAnsi"/>
          <w:b/>
          <w:bCs/>
          <w:kern w:val="0"/>
          <w:sz w:val="24"/>
          <w:szCs w:val="24"/>
          <w:lang w:eastAsia="en-GB"/>
          <w14:ligatures w14:val="none"/>
        </w:rPr>
      </w:pPr>
      <w:r w:rsidRPr="009E14A0">
        <w:rPr>
          <w:rFonts w:eastAsia="Times New Roman" w:cstheme="minorHAnsi"/>
          <w:b/>
          <w:bCs/>
          <w:kern w:val="0"/>
          <w:sz w:val="24"/>
          <w:szCs w:val="24"/>
          <w:lang w:eastAsia="en-GB"/>
          <w14:ligatures w14:val="none"/>
        </w:rPr>
        <w:t>11. Terms &amp; Conditions</w:t>
      </w:r>
    </w:p>
    <w:p w14:paraId="22C0D76A" w14:textId="25372BD2" w:rsidR="009F6B5F" w:rsidRPr="003F21DA" w:rsidRDefault="009F6B5F" w:rsidP="009F6B5F">
      <w:pPr>
        <w:pStyle w:val="ListParagraph"/>
        <w:numPr>
          <w:ilvl w:val="0"/>
          <w:numId w:val="11"/>
        </w:numPr>
        <w:spacing w:before="100" w:beforeAutospacing="1" w:after="100" w:afterAutospacing="1" w:line="240" w:lineRule="auto"/>
        <w:rPr>
          <w:rFonts w:eastAsia="Times New Roman" w:cstheme="minorHAnsi"/>
          <w:kern w:val="0"/>
          <w:sz w:val="24"/>
          <w:szCs w:val="24"/>
          <w:lang w:eastAsia="en-GB"/>
          <w14:ligatures w14:val="none"/>
        </w:rPr>
      </w:pPr>
      <w:r w:rsidRPr="003F21DA">
        <w:rPr>
          <w:rFonts w:eastAsia="Times New Roman" w:cstheme="minorHAnsi"/>
          <w:kern w:val="0"/>
          <w:sz w:val="24"/>
          <w:szCs w:val="24"/>
          <w:lang w:eastAsia="en-GB"/>
          <w14:ligatures w14:val="none"/>
        </w:rPr>
        <w:lastRenderedPageBreak/>
        <w:t xml:space="preserve">Terms and Conditions for the contract will be based on NHS </w:t>
      </w:r>
      <w:r>
        <w:rPr>
          <w:rFonts w:eastAsia="Times New Roman" w:cstheme="minorHAnsi"/>
          <w:kern w:val="0"/>
          <w:sz w:val="24"/>
          <w:szCs w:val="24"/>
          <w:lang w:eastAsia="en-GB"/>
          <w14:ligatures w14:val="none"/>
        </w:rPr>
        <w:t>T</w:t>
      </w:r>
      <w:r w:rsidRPr="003F21DA">
        <w:rPr>
          <w:rFonts w:eastAsia="Times New Roman" w:cstheme="minorHAnsi"/>
          <w:kern w:val="0"/>
          <w:sz w:val="24"/>
          <w:szCs w:val="24"/>
          <w:lang w:eastAsia="en-GB"/>
          <w14:ligatures w14:val="none"/>
        </w:rPr>
        <w:t xml:space="preserve">erms and </w:t>
      </w:r>
      <w:r>
        <w:rPr>
          <w:rFonts w:eastAsia="Times New Roman" w:cstheme="minorHAnsi"/>
          <w:kern w:val="0"/>
          <w:sz w:val="24"/>
          <w:szCs w:val="24"/>
          <w:lang w:eastAsia="en-GB"/>
          <w14:ligatures w14:val="none"/>
        </w:rPr>
        <w:t>C</w:t>
      </w:r>
      <w:r w:rsidRPr="003F21DA">
        <w:rPr>
          <w:rFonts w:eastAsia="Times New Roman" w:cstheme="minorHAnsi"/>
          <w:kern w:val="0"/>
          <w:sz w:val="24"/>
          <w:szCs w:val="24"/>
          <w:lang w:eastAsia="en-GB"/>
          <w14:ligatures w14:val="none"/>
        </w:rPr>
        <w:t xml:space="preserve">onditions for the </w:t>
      </w:r>
      <w:r>
        <w:rPr>
          <w:rFonts w:eastAsia="Times New Roman" w:cstheme="minorHAnsi"/>
          <w:kern w:val="0"/>
          <w:sz w:val="24"/>
          <w:szCs w:val="24"/>
          <w:lang w:eastAsia="en-GB"/>
          <w14:ligatures w14:val="none"/>
        </w:rPr>
        <w:t>P</w:t>
      </w:r>
      <w:r w:rsidRPr="003F21DA">
        <w:rPr>
          <w:rFonts w:eastAsia="Times New Roman" w:cstheme="minorHAnsi"/>
          <w:kern w:val="0"/>
          <w:sz w:val="24"/>
          <w:szCs w:val="24"/>
          <w:lang w:eastAsia="en-GB"/>
          <w14:ligatures w14:val="none"/>
        </w:rPr>
        <w:t xml:space="preserve">rovision of </w:t>
      </w:r>
      <w:r>
        <w:rPr>
          <w:rFonts w:eastAsia="Times New Roman" w:cstheme="minorHAnsi"/>
          <w:kern w:val="0"/>
          <w:sz w:val="24"/>
          <w:szCs w:val="24"/>
          <w:lang w:eastAsia="en-GB"/>
          <w14:ligatures w14:val="none"/>
        </w:rPr>
        <w:t>S</w:t>
      </w:r>
      <w:r w:rsidRPr="003F21DA">
        <w:rPr>
          <w:rFonts w:eastAsia="Times New Roman" w:cstheme="minorHAnsi"/>
          <w:kern w:val="0"/>
          <w:sz w:val="24"/>
          <w:szCs w:val="24"/>
          <w:lang w:eastAsia="en-GB"/>
          <w14:ligatures w14:val="none"/>
        </w:rPr>
        <w:t>ervices</w:t>
      </w:r>
      <w:r w:rsidR="008C1490">
        <w:rPr>
          <w:rFonts w:eastAsia="Times New Roman" w:cstheme="minorHAnsi"/>
          <w:kern w:val="0"/>
          <w:sz w:val="24"/>
          <w:szCs w:val="24"/>
          <w:lang w:eastAsia="en-GB"/>
          <w14:ligatures w14:val="none"/>
        </w:rPr>
        <w:t xml:space="preserve"> under the new Provider Selection Regime (PSR)</w:t>
      </w:r>
      <w:r>
        <w:rPr>
          <w:rFonts w:eastAsia="Times New Roman" w:cstheme="minorHAnsi"/>
          <w:kern w:val="0"/>
          <w:sz w:val="24"/>
          <w:szCs w:val="24"/>
          <w:lang w:eastAsia="en-GB"/>
          <w14:ligatures w14:val="none"/>
        </w:rPr>
        <w:t>.</w:t>
      </w:r>
    </w:p>
    <w:p w14:paraId="0B211349" w14:textId="77777777" w:rsidR="009F6B5F" w:rsidRDefault="009F6B5F" w:rsidP="009F6B5F"/>
    <w:p w14:paraId="54478867" w14:textId="77777777" w:rsidR="009F6B5F" w:rsidRPr="009F6B5F" w:rsidRDefault="009F6B5F" w:rsidP="009F6B5F">
      <w:pPr>
        <w:jc w:val="center"/>
        <w:rPr>
          <w:b/>
          <w:bCs/>
          <w:sz w:val="28"/>
          <w:szCs w:val="28"/>
          <w:u w:val="single"/>
        </w:rPr>
      </w:pPr>
    </w:p>
    <w:sectPr w:rsidR="009F6B5F" w:rsidRPr="009F6B5F">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1D500" w14:textId="77777777" w:rsidR="00D13E08" w:rsidRDefault="00D13E08" w:rsidP="00D13E08">
      <w:pPr>
        <w:spacing w:after="0" w:line="240" w:lineRule="auto"/>
      </w:pPr>
      <w:r>
        <w:separator/>
      </w:r>
    </w:p>
  </w:endnote>
  <w:endnote w:type="continuationSeparator" w:id="0">
    <w:p w14:paraId="77888C0C" w14:textId="77777777" w:rsidR="00D13E08" w:rsidRDefault="00D13E08" w:rsidP="00D13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7870E" w14:textId="77777777" w:rsidR="00D13E08" w:rsidRDefault="00D13E08">
    <w:pPr>
      <w:pStyle w:val="Footer"/>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4AEBF465" w14:textId="77777777" w:rsidR="00D13E08" w:rsidRDefault="00D13E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1F7EF" w14:textId="77777777" w:rsidR="00D13E08" w:rsidRDefault="00D13E08" w:rsidP="00D13E08">
      <w:pPr>
        <w:spacing w:after="0" w:line="240" w:lineRule="auto"/>
      </w:pPr>
      <w:r>
        <w:separator/>
      </w:r>
    </w:p>
  </w:footnote>
  <w:footnote w:type="continuationSeparator" w:id="0">
    <w:p w14:paraId="47F3CC62" w14:textId="77777777" w:rsidR="00D13E08" w:rsidRDefault="00D13E08" w:rsidP="00D13E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03E5A" w14:textId="5996890C" w:rsidR="00D13E08" w:rsidRDefault="00D13E08" w:rsidP="00D13E08">
    <w:pPr>
      <w:spacing w:line="264" w:lineRule="auto"/>
      <w:jc w:val="right"/>
    </w:pPr>
    <w:bookmarkStart w:id="0" w:name="_Toc11244826"/>
    <w:bookmarkStart w:id="1" w:name="_Toc11245490"/>
    <w:r>
      <w:rPr>
        <w:noProof/>
      </w:rPr>
      <w:drawing>
        <wp:anchor distT="0" distB="0" distL="114300" distR="114300" simplePos="0" relativeHeight="251661312" behindDoc="0" locked="0" layoutInCell="1" allowOverlap="1" wp14:anchorId="2AAB7C35" wp14:editId="30348540">
          <wp:simplePos x="0" y="0"/>
          <wp:positionH relativeFrom="margin">
            <wp:posOffset>4514850</wp:posOffset>
          </wp:positionH>
          <wp:positionV relativeFrom="paragraph">
            <wp:posOffset>7619</wp:posOffset>
          </wp:positionV>
          <wp:extent cx="1790700" cy="695325"/>
          <wp:effectExtent l="0" t="0" r="0" b="9525"/>
          <wp:wrapNone/>
          <wp:docPr id="6" name="Picture 6" descr="C:\Users\tadiles\AppData\Local\Microsoft\Windows\INetCache\Content.Outlook\XL8PMCI7\ESNEFT logo right stacked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diles\AppData\Local\Microsoft\Windows\INetCache\Content.Outlook\XL8PMCI7\ESNEFT logo right stacked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6953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r>
      <w:rPr>
        <w:noProof/>
        <w:color w:val="000000"/>
      </w:rPr>
      <mc:AlternateContent>
        <mc:Choice Requires="wps">
          <w:drawing>
            <wp:anchor distT="0" distB="0" distL="114300" distR="114300" simplePos="0" relativeHeight="251659264" behindDoc="0" locked="0" layoutInCell="1" allowOverlap="1" wp14:anchorId="579500B9" wp14:editId="0A49A721">
              <wp:simplePos x="0" y="0"/>
              <wp:positionH relativeFrom="page">
                <wp:align>center</wp:align>
              </wp:positionH>
              <wp:positionV relativeFrom="page">
                <wp:align>center</wp:align>
              </wp:positionV>
              <wp:extent cx="7376160" cy="9555480"/>
              <wp:effectExtent l="0" t="0" r="26670" b="26670"/>
              <wp:wrapNone/>
              <wp:docPr id="222" name="Rectangle 7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2D2FC98" id="Rectangle 7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47070 [1614]" strokeweight="1.25pt">
              <w10:wrap anchorx="page" anchory="page"/>
            </v:rect>
          </w:pict>
        </mc:Fallback>
      </mc:AlternateContent>
    </w:r>
    <w:sdt>
      <w:sdtPr>
        <w:rPr>
          <w:color w:val="4472C4" w:themeColor="accent1"/>
          <w:sz w:val="20"/>
          <w:szCs w:val="20"/>
        </w:rPr>
        <w:alias w:val="Title"/>
        <w:id w:val="15524250"/>
        <w:placeholder>
          <w:docPart w:val="6018B88FB7254930B4ABCC2CC990B7BB"/>
        </w:placeholder>
        <w:showingPlcHdr/>
        <w:dataBinding w:prefixMappings="xmlns:ns0='http://schemas.openxmlformats.org/package/2006/metadata/core-properties' xmlns:ns1='http://purl.org/dc/elements/1.1/'" w:xpath="/ns0:coreProperties[1]/ns1:title[1]" w:storeItemID="{6C3C8BC8-F283-45AE-878A-BAB7291924A1}"/>
        <w:text/>
      </w:sdtPr>
      <w:sdtEndPr/>
      <w:sdtContent>
        <w:r>
          <w:rPr>
            <w:color w:val="4472C4" w:themeColor="accent1"/>
            <w:sz w:val="20"/>
            <w:szCs w:val="20"/>
          </w:rPr>
          <w:t>[Document title]</w:t>
        </w:r>
      </w:sdtContent>
    </w:sdt>
  </w:p>
  <w:p w14:paraId="170F8F04" w14:textId="77777777" w:rsidR="00D13E08" w:rsidRDefault="00D13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722D1"/>
    <w:multiLevelType w:val="hybridMultilevel"/>
    <w:tmpl w:val="EAA0B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75199"/>
    <w:multiLevelType w:val="multilevel"/>
    <w:tmpl w:val="5678D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021C72"/>
    <w:multiLevelType w:val="multilevel"/>
    <w:tmpl w:val="D15E8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424DA7"/>
    <w:multiLevelType w:val="multilevel"/>
    <w:tmpl w:val="6BECC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3C6FA3"/>
    <w:multiLevelType w:val="multilevel"/>
    <w:tmpl w:val="3A565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4A0B89"/>
    <w:multiLevelType w:val="hybridMultilevel"/>
    <w:tmpl w:val="894C99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D8E2105"/>
    <w:multiLevelType w:val="multilevel"/>
    <w:tmpl w:val="D3D2B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481EA8"/>
    <w:multiLevelType w:val="hybridMultilevel"/>
    <w:tmpl w:val="C68A4F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4C4547C"/>
    <w:multiLevelType w:val="multilevel"/>
    <w:tmpl w:val="BC0A7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F92F7B"/>
    <w:multiLevelType w:val="multilevel"/>
    <w:tmpl w:val="67BE4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E149F7"/>
    <w:multiLevelType w:val="multilevel"/>
    <w:tmpl w:val="B14E8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5354758">
    <w:abstractNumId w:val="7"/>
  </w:num>
  <w:num w:numId="2" w16cid:durableId="1140149441">
    <w:abstractNumId w:val="5"/>
  </w:num>
  <w:num w:numId="3" w16cid:durableId="46028962">
    <w:abstractNumId w:val="9"/>
  </w:num>
  <w:num w:numId="4" w16cid:durableId="951741779">
    <w:abstractNumId w:val="8"/>
  </w:num>
  <w:num w:numId="5" w16cid:durableId="123086736">
    <w:abstractNumId w:val="4"/>
  </w:num>
  <w:num w:numId="6" w16cid:durableId="2131513435">
    <w:abstractNumId w:val="1"/>
  </w:num>
  <w:num w:numId="7" w16cid:durableId="401099684">
    <w:abstractNumId w:val="10"/>
  </w:num>
  <w:num w:numId="8" w16cid:durableId="37358857">
    <w:abstractNumId w:val="6"/>
  </w:num>
  <w:num w:numId="9" w16cid:durableId="1127432754">
    <w:abstractNumId w:val="3"/>
  </w:num>
  <w:num w:numId="10" w16cid:durableId="1498425869">
    <w:abstractNumId w:val="2"/>
  </w:num>
  <w:num w:numId="11" w16cid:durableId="1310397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C37"/>
    <w:rsid w:val="001826DF"/>
    <w:rsid w:val="004968BF"/>
    <w:rsid w:val="006D0AF9"/>
    <w:rsid w:val="008C1490"/>
    <w:rsid w:val="00900D81"/>
    <w:rsid w:val="009F6B5F"/>
    <w:rsid w:val="00BB28DD"/>
    <w:rsid w:val="00CD1C37"/>
    <w:rsid w:val="00D13E08"/>
    <w:rsid w:val="00E05B50"/>
    <w:rsid w:val="00EA5040"/>
    <w:rsid w:val="00F867E0"/>
    <w:rsid w:val="00F97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B11D9D"/>
  <w15:chartTrackingRefBased/>
  <w15:docId w15:val="{48B59EB9-6AFD-40D0-B886-3EF64C14D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7E0"/>
    <w:pPr>
      <w:ind w:left="720"/>
      <w:contextualSpacing/>
    </w:pPr>
  </w:style>
  <w:style w:type="table" w:styleId="TableGrid">
    <w:name w:val="Table Grid"/>
    <w:basedOn w:val="TableNormal"/>
    <w:uiPriority w:val="39"/>
    <w:rsid w:val="00F86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3E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3E08"/>
  </w:style>
  <w:style w:type="paragraph" w:styleId="Footer">
    <w:name w:val="footer"/>
    <w:basedOn w:val="Normal"/>
    <w:link w:val="FooterChar"/>
    <w:uiPriority w:val="99"/>
    <w:unhideWhenUsed/>
    <w:rsid w:val="00D13E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3E08"/>
  </w:style>
  <w:style w:type="character" w:styleId="Hyperlink">
    <w:name w:val="Hyperlink"/>
    <w:basedOn w:val="DefaultParagraphFont"/>
    <w:uiPriority w:val="99"/>
    <w:unhideWhenUsed/>
    <w:rsid w:val="006D0AF9"/>
    <w:rPr>
      <w:color w:val="0563C1" w:themeColor="hyperlink"/>
      <w:u w:val="single"/>
    </w:rPr>
  </w:style>
  <w:style w:type="character" w:styleId="UnresolvedMention">
    <w:name w:val="Unresolved Mention"/>
    <w:basedOn w:val="DefaultParagraphFont"/>
    <w:uiPriority w:val="99"/>
    <w:semiHidden/>
    <w:unhideWhenUsed/>
    <w:rsid w:val="006D0A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ennis.Varghese@esneft.nhs.uk"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18B88FB7254930B4ABCC2CC990B7BB"/>
        <w:category>
          <w:name w:val="General"/>
          <w:gallery w:val="placeholder"/>
        </w:category>
        <w:types>
          <w:type w:val="bbPlcHdr"/>
        </w:types>
        <w:behaviors>
          <w:behavior w:val="content"/>
        </w:behaviors>
        <w:guid w:val="{AD1838B5-1B96-4239-AF59-E8AEB316EB89}"/>
      </w:docPartPr>
      <w:docPartBody>
        <w:p w:rsidR="00706CC2" w:rsidRDefault="00706CC2" w:rsidP="00706CC2">
          <w:pPr>
            <w:pStyle w:val="6018B88FB7254930B4ABCC2CC990B7BB"/>
          </w:pPr>
          <w:r>
            <w:rPr>
              <w:color w:val="4472C4"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CC2"/>
    <w:rsid w:val="00706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18B88FB7254930B4ABCC2CC990B7BB">
    <w:name w:val="6018B88FB7254930B4ABCC2CC990B7BB"/>
    <w:rsid w:val="00706C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6</Pages>
  <Words>1153</Words>
  <Characters>6574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East Suffolk and North Essex NHS Foundation Trust</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Varghese, Jennis</dc:creator>
  <cp:keywords/>
  <dc:description/>
  <cp:lastModifiedBy>Varghese, Jennis</cp:lastModifiedBy>
  <cp:revision>6</cp:revision>
  <dcterms:created xsi:type="dcterms:W3CDTF">2024-10-29T08:50:00Z</dcterms:created>
  <dcterms:modified xsi:type="dcterms:W3CDTF">2024-10-29T11:17:00Z</dcterms:modified>
</cp:coreProperties>
</file>