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981B0" w14:textId="61EA3C2A" w:rsidR="00C130DF" w:rsidRPr="00482593" w:rsidRDefault="00C52860">
      <w:pPr>
        <w:pStyle w:val="Heading3"/>
        <w:rPr>
          <w:rFonts w:ascii="Arial" w:hAnsi="Arial" w:cs="Arial"/>
        </w:rPr>
      </w:pPr>
      <w:r w:rsidRPr="00C52860">
        <w:rPr>
          <w:rFonts w:ascii="Arial" w:hAnsi="Arial" w:cs="Arial"/>
          <w:sz w:val="28"/>
          <w:szCs w:val="28"/>
        </w:rPr>
        <w:t>Attachment 10b  - Framework Schedule 1 (Specification Appendix B) Lot 6 Additional Technical Requirements</w:t>
      </w:r>
    </w:p>
    <w:p w14:paraId="00000002" w14:textId="1FEABFB7" w:rsidR="00786B3A" w:rsidRPr="00482593" w:rsidRDefault="00E23DF7" w:rsidP="00482593">
      <w:pPr>
        <w:pStyle w:val="Heading3"/>
        <w:numPr>
          <w:ilvl w:val="0"/>
          <w:numId w:val="5"/>
        </w:numPr>
        <w:ind w:left="567" w:hanging="567"/>
        <w:rPr>
          <w:rFonts w:ascii="Arial" w:hAnsi="Arial" w:cs="Arial"/>
        </w:rPr>
      </w:pPr>
      <w:r w:rsidRPr="00482593">
        <w:rPr>
          <w:rFonts w:ascii="Arial" w:hAnsi="Arial" w:cs="Arial"/>
        </w:rPr>
        <w:t>Overview</w:t>
      </w:r>
    </w:p>
    <w:p w14:paraId="00000003" w14:textId="0E6CA1AC" w:rsidR="00786B3A" w:rsidRPr="00482593" w:rsidRDefault="00E23DF7" w:rsidP="00482593">
      <w:pPr>
        <w:pStyle w:val="ListParagraph"/>
        <w:numPr>
          <w:ilvl w:val="1"/>
          <w:numId w:val="5"/>
        </w:numPr>
        <w:ind w:left="567" w:hanging="567"/>
        <w:rPr>
          <w:rFonts w:ascii="Arial" w:hAnsi="Arial" w:cs="Arial"/>
        </w:rPr>
      </w:pPr>
      <w:r w:rsidRPr="00482593">
        <w:rPr>
          <w:rFonts w:ascii="Arial" w:hAnsi="Arial" w:cs="Arial"/>
        </w:rPr>
        <w:t xml:space="preserve">The service includes all </w:t>
      </w:r>
      <w:r w:rsidR="005D6551">
        <w:rPr>
          <w:rFonts w:ascii="Arial" w:hAnsi="Arial" w:cs="Arial"/>
        </w:rPr>
        <w:t>Buyer</w:t>
      </w:r>
      <w:r w:rsidRPr="00482593">
        <w:rPr>
          <w:rFonts w:ascii="Arial" w:hAnsi="Arial" w:cs="Arial"/>
        </w:rPr>
        <w:t xml:space="preserve"> and Payee User Interfaces and Transaction services. </w:t>
      </w:r>
    </w:p>
    <w:p w14:paraId="00000004" w14:textId="52DAD145" w:rsidR="00786B3A" w:rsidRPr="00482593" w:rsidRDefault="005D6551" w:rsidP="00482593">
      <w:pPr>
        <w:pStyle w:val="Heading3"/>
        <w:numPr>
          <w:ilvl w:val="0"/>
          <w:numId w:val="5"/>
        </w:numPr>
        <w:ind w:left="567" w:hanging="567"/>
        <w:rPr>
          <w:rFonts w:ascii="Arial" w:hAnsi="Arial" w:cs="Arial"/>
        </w:rPr>
      </w:pPr>
      <w:r>
        <w:rPr>
          <w:rFonts w:ascii="Arial" w:hAnsi="Arial" w:cs="Arial"/>
        </w:rPr>
        <w:t>Buyer</w:t>
      </w:r>
      <w:r w:rsidR="00E23DF7" w:rsidRPr="00482593">
        <w:rPr>
          <w:rFonts w:ascii="Arial" w:hAnsi="Arial" w:cs="Arial"/>
        </w:rPr>
        <w:t xml:space="preserve"> User Journey</w:t>
      </w:r>
    </w:p>
    <w:p w14:paraId="00000005" w14:textId="56C9C5FD" w:rsidR="00786B3A" w:rsidRDefault="00E23DF7" w:rsidP="00482593">
      <w:pPr>
        <w:pStyle w:val="ListParagraph"/>
        <w:numPr>
          <w:ilvl w:val="1"/>
          <w:numId w:val="5"/>
        </w:numPr>
        <w:ind w:left="567" w:hanging="567"/>
        <w:rPr>
          <w:rFonts w:ascii="Arial" w:hAnsi="Arial" w:cs="Arial"/>
        </w:rPr>
      </w:pPr>
      <w:r w:rsidRPr="00482593">
        <w:rPr>
          <w:rFonts w:ascii="Arial" w:hAnsi="Arial" w:cs="Arial"/>
        </w:rPr>
        <w:t xml:space="preserve">The </w:t>
      </w:r>
      <w:r w:rsidR="00D6203C">
        <w:rPr>
          <w:rFonts w:ascii="Arial" w:hAnsi="Arial" w:cs="Arial"/>
        </w:rPr>
        <w:t>Buyer</w:t>
      </w:r>
      <w:r w:rsidR="00482593">
        <w:rPr>
          <w:rFonts w:ascii="Arial" w:hAnsi="Arial" w:cs="Arial"/>
        </w:rPr>
        <w:t xml:space="preserve"> User Journey sh</w:t>
      </w:r>
      <w:bookmarkStart w:id="0" w:name="_GoBack"/>
      <w:bookmarkEnd w:id="0"/>
      <w:r w:rsidR="00482593">
        <w:rPr>
          <w:rFonts w:ascii="Arial" w:hAnsi="Arial" w:cs="Arial"/>
        </w:rPr>
        <w:t>all be developed between the Authority and the Supplier during agreed consultation phase of the Implementation Period.</w:t>
      </w:r>
    </w:p>
    <w:p w14:paraId="2FD6F1C3" w14:textId="371D48EB" w:rsidR="00D6203C" w:rsidRPr="00D6203C" w:rsidRDefault="00D6203C" w:rsidP="00D6203C">
      <w:pPr>
        <w:pStyle w:val="Heading3"/>
        <w:numPr>
          <w:ilvl w:val="0"/>
          <w:numId w:val="5"/>
        </w:numPr>
        <w:ind w:left="567" w:hanging="567"/>
        <w:rPr>
          <w:rFonts w:ascii="Arial" w:hAnsi="Arial" w:cs="Arial"/>
        </w:rPr>
      </w:pPr>
      <w:r w:rsidRPr="00D6203C">
        <w:rPr>
          <w:rFonts w:ascii="Arial" w:hAnsi="Arial" w:cs="Arial"/>
        </w:rPr>
        <w:t>Implementation Period</w:t>
      </w:r>
    </w:p>
    <w:p w14:paraId="64058E5E" w14:textId="7857BFAE" w:rsidR="00D6203C" w:rsidRPr="00D6203C" w:rsidRDefault="00D6203C" w:rsidP="00D6203C">
      <w:pPr>
        <w:pStyle w:val="ListParagraph"/>
        <w:numPr>
          <w:ilvl w:val="1"/>
          <w:numId w:val="5"/>
        </w:numPr>
        <w:ind w:left="567" w:hanging="567"/>
        <w:rPr>
          <w:rFonts w:ascii="Arial" w:hAnsi="Arial" w:cs="Arial"/>
        </w:rPr>
      </w:pPr>
      <w:r w:rsidRPr="00D6203C">
        <w:rPr>
          <w:rFonts w:ascii="Arial" w:hAnsi="Arial" w:cs="Arial"/>
        </w:rPr>
        <w:t>The Implementation Period means the period after the Framework Award Date during which the Co-Design will be agreed and the date you will implement the Specification and Co-Designed services for User Acceptance Testing (</w:t>
      </w:r>
      <w:r>
        <w:rPr>
          <w:rFonts w:ascii="Arial" w:hAnsi="Arial" w:cs="Arial"/>
        </w:rPr>
        <w:t xml:space="preserve">Lot 6 </w:t>
      </w:r>
      <w:r w:rsidRPr="00D6203C">
        <w:rPr>
          <w:rFonts w:ascii="Arial" w:hAnsi="Arial" w:cs="Arial"/>
        </w:rPr>
        <w:t>Go-Live date).</w:t>
      </w:r>
    </w:p>
    <w:p w14:paraId="4433A5C2" w14:textId="77777777" w:rsidR="00D6203C" w:rsidRPr="00D6203C" w:rsidRDefault="00D6203C" w:rsidP="00D6203C">
      <w:pPr>
        <w:pStyle w:val="ListParagraph"/>
        <w:ind w:left="567"/>
        <w:rPr>
          <w:rFonts w:ascii="Arial" w:hAnsi="Arial" w:cs="Arial"/>
        </w:rPr>
      </w:pPr>
    </w:p>
    <w:p w14:paraId="44202833" w14:textId="7A7F8467" w:rsidR="0049084F" w:rsidRDefault="00D6203C" w:rsidP="0049084F">
      <w:pPr>
        <w:pStyle w:val="ListParagraph"/>
        <w:numPr>
          <w:ilvl w:val="1"/>
          <w:numId w:val="5"/>
        </w:numPr>
        <w:ind w:left="567" w:hanging="567"/>
        <w:rPr>
          <w:rFonts w:ascii="Arial" w:hAnsi="Arial" w:cs="Arial"/>
        </w:rPr>
      </w:pPr>
      <w:r w:rsidRPr="00D6203C">
        <w:rPr>
          <w:rFonts w:ascii="Arial" w:hAnsi="Arial" w:cs="Arial"/>
        </w:rPr>
        <w:t xml:space="preserve">Within the first three weeks of the Implementation Period, </w:t>
      </w:r>
      <w:r w:rsidR="0049084F" w:rsidRPr="0049084F">
        <w:rPr>
          <w:rFonts w:ascii="Arial" w:hAnsi="Arial" w:cs="Arial"/>
        </w:rPr>
        <w:t xml:space="preserve">You shall appoint an implementation team with a named implementation manager who shall have a minimum of two (2) years’ experience in a relevant </w:t>
      </w:r>
      <w:r w:rsidR="0049084F">
        <w:rPr>
          <w:rFonts w:ascii="Arial" w:hAnsi="Arial" w:cs="Arial"/>
        </w:rPr>
        <w:t>Payment Acceptance</w:t>
      </w:r>
      <w:r w:rsidR="0049084F" w:rsidRPr="0049084F">
        <w:rPr>
          <w:rFonts w:ascii="Arial" w:hAnsi="Arial" w:cs="Arial"/>
        </w:rPr>
        <w:t xml:space="preserve"> and online portal environment </w:t>
      </w:r>
      <w:r w:rsidR="0049084F" w:rsidRPr="00D6203C">
        <w:rPr>
          <w:rFonts w:ascii="Arial" w:hAnsi="Arial" w:cs="Arial"/>
        </w:rPr>
        <w:t xml:space="preserve">to </w:t>
      </w:r>
      <w:r w:rsidR="0049084F">
        <w:rPr>
          <w:rFonts w:ascii="Arial" w:hAnsi="Arial" w:cs="Arial"/>
        </w:rPr>
        <w:t xml:space="preserve">develop the Co-Design stage and start to </w:t>
      </w:r>
      <w:r w:rsidR="0049084F" w:rsidRPr="00D6203C">
        <w:rPr>
          <w:rFonts w:ascii="Arial" w:hAnsi="Arial" w:cs="Arial"/>
        </w:rPr>
        <w:t>develop the Buyer Journey.</w:t>
      </w:r>
    </w:p>
    <w:p w14:paraId="2FA91561" w14:textId="77777777" w:rsidR="0049084F" w:rsidRPr="0049084F" w:rsidRDefault="0049084F" w:rsidP="0049084F">
      <w:pPr>
        <w:pStyle w:val="ListParagraph"/>
        <w:rPr>
          <w:rFonts w:ascii="Arial" w:hAnsi="Arial" w:cs="Arial"/>
        </w:rPr>
      </w:pPr>
    </w:p>
    <w:p w14:paraId="55375CCE" w14:textId="77777777" w:rsidR="0049084F" w:rsidRDefault="0049084F" w:rsidP="0049084F">
      <w:pPr>
        <w:pStyle w:val="ListParagraph"/>
        <w:numPr>
          <w:ilvl w:val="1"/>
          <w:numId w:val="5"/>
        </w:numPr>
        <w:ind w:left="567" w:hanging="567"/>
        <w:rPr>
          <w:rFonts w:ascii="Arial" w:hAnsi="Arial" w:cs="Arial"/>
        </w:rPr>
      </w:pPr>
      <w:r>
        <w:rPr>
          <w:rFonts w:ascii="Arial" w:hAnsi="Arial" w:cs="Arial"/>
        </w:rPr>
        <w:t>T</w:t>
      </w:r>
      <w:r w:rsidRPr="00575A59">
        <w:rPr>
          <w:rFonts w:ascii="Arial" w:hAnsi="Arial" w:cs="Arial"/>
        </w:rPr>
        <w:t xml:space="preserve">he timings of Co-Design </w:t>
      </w:r>
      <w:r>
        <w:rPr>
          <w:rFonts w:ascii="Arial" w:hAnsi="Arial" w:cs="Arial"/>
        </w:rPr>
        <w:t>shall be agreed between Us and You</w:t>
      </w:r>
      <w:r w:rsidRPr="00575A59">
        <w:rPr>
          <w:rFonts w:ascii="Arial" w:hAnsi="Arial" w:cs="Arial"/>
        </w:rPr>
        <w:t xml:space="preserve"> </w:t>
      </w:r>
      <w:r>
        <w:rPr>
          <w:rFonts w:ascii="Arial" w:hAnsi="Arial" w:cs="Arial"/>
        </w:rPr>
        <w:t>in the period of collaboration as set out in paragraph 3.2 above.</w:t>
      </w:r>
    </w:p>
    <w:p w14:paraId="3D84C1B8" w14:textId="77777777" w:rsidR="0049084F" w:rsidRPr="0049084F" w:rsidRDefault="0049084F" w:rsidP="0049084F">
      <w:pPr>
        <w:pStyle w:val="ListParagraph"/>
        <w:rPr>
          <w:rFonts w:ascii="Arial" w:hAnsi="Arial" w:cs="Arial"/>
        </w:rPr>
      </w:pPr>
    </w:p>
    <w:p w14:paraId="5A833917" w14:textId="7CE48F20" w:rsidR="00575A59" w:rsidRPr="0049084F" w:rsidRDefault="0049084F" w:rsidP="0049084F">
      <w:pPr>
        <w:pStyle w:val="ListParagraph"/>
        <w:numPr>
          <w:ilvl w:val="1"/>
          <w:numId w:val="5"/>
        </w:numPr>
        <w:ind w:left="567" w:hanging="567"/>
        <w:rPr>
          <w:rFonts w:ascii="Arial" w:hAnsi="Arial" w:cs="Arial"/>
        </w:rPr>
      </w:pPr>
      <w:r w:rsidRPr="0049084F">
        <w:rPr>
          <w:rFonts w:ascii="Arial" w:hAnsi="Arial" w:cs="Arial"/>
        </w:rPr>
        <w:t>Resources must be maintained during the implementation period irrespective of other Framework Supplier activities.</w:t>
      </w:r>
      <w:r>
        <w:rPr>
          <w:rFonts w:ascii="Arial" w:hAnsi="Arial" w:cs="Arial"/>
        </w:rPr>
        <w:t xml:space="preserve"> </w:t>
      </w:r>
    </w:p>
    <w:p w14:paraId="7996EB28" w14:textId="77777777" w:rsidR="00D6203C" w:rsidRPr="00D6203C" w:rsidRDefault="00D6203C" w:rsidP="00D6203C">
      <w:pPr>
        <w:pStyle w:val="ListParagraph"/>
        <w:ind w:left="567"/>
        <w:rPr>
          <w:rFonts w:ascii="Arial" w:hAnsi="Arial" w:cs="Arial"/>
        </w:rPr>
      </w:pPr>
    </w:p>
    <w:p w14:paraId="2DC85784" w14:textId="5FFE6EB4" w:rsidR="00D6203C" w:rsidRDefault="00D6203C" w:rsidP="000263AA">
      <w:pPr>
        <w:pStyle w:val="ListParagraph"/>
        <w:numPr>
          <w:ilvl w:val="1"/>
          <w:numId w:val="5"/>
        </w:numPr>
        <w:ind w:left="567" w:hanging="567"/>
        <w:rPr>
          <w:rFonts w:ascii="Arial" w:hAnsi="Arial" w:cs="Arial"/>
        </w:rPr>
      </w:pPr>
      <w:r w:rsidRPr="00D6203C">
        <w:rPr>
          <w:rFonts w:ascii="Arial" w:hAnsi="Arial" w:cs="Arial"/>
        </w:rPr>
        <w:t>The objective of Co-Design is for the Authority and the successful Tenderer (Supplier) to develop and agree an ambitious and viable proposition that would successfully provide the support that the Authority and Buyers require, which include</w:t>
      </w:r>
      <w:r>
        <w:rPr>
          <w:rFonts w:ascii="Arial" w:hAnsi="Arial" w:cs="Arial"/>
        </w:rPr>
        <w:t>s those areas highlighted in this Appendix B</w:t>
      </w:r>
      <w:r w:rsidR="000263AA">
        <w:rPr>
          <w:rFonts w:ascii="Arial" w:hAnsi="Arial" w:cs="Arial"/>
        </w:rPr>
        <w:t>,</w:t>
      </w:r>
      <w:r>
        <w:rPr>
          <w:rFonts w:ascii="Arial" w:hAnsi="Arial" w:cs="Arial"/>
        </w:rPr>
        <w:t xml:space="preserve"> set out in </w:t>
      </w:r>
      <w:r w:rsidRPr="00D6203C">
        <w:rPr>
          <w:rFonts w:ascii="Arial" w:hAnsi="Arial" w:cs="Arial"/>
        </w:rPr>
        <w:t xml:space="preserve">Framework Schedule 1 (Specification) </w:t>
      </w:r>
      <w:r w:rsidR="000263AA">
        <w:rPr>
          <w:rFonts w:ascii="Arial" w:hAnsi="Arial" w:cs="Arial"/>
        </w:rPr>
        <w:t xml:space="preserve">and </w:t>
      </w:r>
      <w:r w:rsidR="000263AA" w:rsidRPr="000263AA">
        <w:rPr>
          <w:rFonts w:ascii="Arial" w:hAnsi="Arial" w:cs="Arial"/>
        </w:rPr>
        <w:t>Appendix A – Technical Requirements</w:t>
      </w:r>
      <w:r w:rsidR="000263AA">
        <w:rPr>
          <w:rFonts w:ascii="Arial" w:hAnsi="Arial" w:cs="Arial"/>
        </w:rPr>
        <w:t xml:space="preserve">, </w:t>
      </w:r>
      <w:r w:rsidR="00575A59">
        <w:rPr>
          <w:rFonts w:ascii="Arial" w:hAnsi="Arial" w:cs="Arial"/>
        </w:rPr>
        <w:t>including, but not limited to,</w:t>
      </w:r>
      <w:r w:rsidRPr="00D6203C">
        <w:rPr>
          <w:rFonts w:ascii="Arial" w:hAnsi="Arial" w:cs="Arial"/>
        </w:rPr>
        <w:t xml:space="preserve"> the following</w:t>
      </w:r>
      <w:r>
        <w:rPr>
          <w:rFonts w:ascii="Arial" w:hAnsi="Arial" w:cs="Arial"/>
        </w:rPr>
        <w:t xml:space="preserve"> (the t</w:t>
      </w:r>
      <w:r w:rsidRPr="00D6203C">
        <w:rPr>
          <w:rFonts w:ascii="Arial" w:hAnsi="Arial" w:cs="Arial"/>
        </w:rPr>
        <w:t>imings of Co-Design are to be clarified in due course</w:t>
      </w:r>
      <w:r>
        <w:rPr>
          <w:rFonts w:ascii="Arial" w:hAnsi="Arial" w:cs="Arial"/>
        </w:rPr>
        <w:t xml:space="preserve">): </w:t>
      </w:r>
    </w:p>
    <w:p w14:paraId="0C575A71" w14:textId="5600C3DB" w:rsidR="00D6203C" w:rsidRPr="00D6203C" w:rsidRDefault="00D6203C" w:rsidP="00D6203C">
      <w:pPr>
        <w:spacing w:after="0"/>
        <w:rPr>
          <w:rFonts w:ascii="Arial" w:hAnsi="Arial" w:cs="Arial"/>
        </w:rPr>
      </w:pPr>
    </w:p>
    <w:p w14:paraId="0FC99C90" w14:textId="77777777" w:rsidR="00D6203C" w:rsidRPr="00D6203C" w:rsidRDefault="00D6203C" w:rsidP="00D6203C">
      <w:pPr>
        <w:pStyle w:val="ListParagraph"/>
        <w:numPr>
          <w:ilvl w:val="2"/>
          <w:numId w:val="5"/>
        </w:numPr>
        <w:ind w:left="1560" w:hanging="788"/>
        <w:rPr>
          <w:rFonts w:ascii="Arial" w:hAnsi="Arial" w:cs="Arial"/>
        </w:rPr>
      </w:pPr>
      <w:r w:rsidRPr="00D6203C">
        <w:rPr>
          <w:rFonts w:ascii="Arial" w:hAnsi="Arial" w:cs="Arial"/>
        </w:rPr>
        <w:t>The extent of the Authority’s obligations under the Contract;</w:t>
      </w:r>
    </w:p>
    <w:p w14:paraId="4487EF98" w14:textId="77777777" w:rsidR="00D6203C" w:rsidRPr="00D6203C" w:rsidRDefault="00D6203C" w:rsidP="00D6203C">
      <w:pPr>
        <w:pStyle w:val="ListParagraph"/>
        <w:numPr>
          <w:ilvl w:val="2"/>
          <w:numId w:val="5"/>
        </w:numPr>
        <w:ind w:left="1560" w:hanging="788"/>
        <w:rPr>
          <w:rFonts w:ascii="Arial" w:hAnsi="Arial" w:cs="Arial"/>
        </w:rPr>
      </w:pPr>
      <w:r w:rsidRPr="00D6203C">
        <w:rPr>
          <w:rFonts w:ascii="Arial" w:hAnsi="Arial" w:cs="Arial"/>
        </w:rPr>
        <w:t>The impact of the Services on Buyers;</w:t>
      </w:r>
    </w:p>
    <w:p w14:paraId="2DFF654C" w14:textId="77777777" w:rsidR="00D6203C" w:rsidRPr="00D6203C" w:rsidRDefault="00D6203C" w:rsidP="00D6203C">
      <w:pPr>
        <w:pStyle w:val="ListParagraph"/>
        <w:numPr>
          <w:ilvl w:val="2"/>
          <w:numId w:val="5"/>
        </w:numPr>
        <w:ind w:left="1560" w:hanging="788"/>
        <w:rPr>
          <w:rFonts w:ascii="Arial" w:hAnsi="Arial" w:cs="Arial"/>
        </w:rPr>
      </w:pPr>
      <w:r w:rsidRPr="00D6203C">
        <w:rPr>
          <w:rFonts w:ascii="Arial" w:hAnsi="Arial" w:cs="Arial"/>
        </w:rPr>
        <w:t>Services’ innovation;</w:t>
      </w:r>
    </w:p>
    <w:p w14:paraId="39DDEE99" w14:textId="77777777" w:rsidR="00D6203C" w:rsidRPr="00D6203C" w:rsidRDefault="00D6203C" w:rsidP="00D6203C">
      <w:pPr>
        <w:pStyle w:val="ListParagraph"/>
        <w:numPr>
          <w:ilvl w:val="2"/>
          <w:numId w:val="5"/>
        </w:numPr>
        <w:ind w:left="1560" w:hanging="788"/>
        <w:rPr>
          <w:rFonts w:ascii="Arial" w:hAnsi="Arial" w:cs="Arial"/>
        </w:rPr>
      </w:pPr>
      <w:r w:rsidRPr="00D6203C">
        <w:rPr>
          <w:rFonts w:ascii="Arial" w:hAnsi="Arial" w:cs="Arial"/>
        </w:rPr>
        <w:t>The use of technology to support Buyers;</w:t>
      </w:r>
    </w:p>
    <w:p w14:paraId="12174332" w14:textId="77777777" w:rsidR="00D6203C" w:rsidRPr="00D6203C" w:rsidRDefault="00D6203C" w:rsidP="00D6203C">
      <w:pPr>
        <w:pStyle w:val="ListParagraph"/>
        <w:numPr>
          <w:ilvl w:val="2"/>
          <w:numId w:val="5"/>
        </w:numPr>
        <w:ind w:left="1560" w:hanging="788"/>
        <w:rPr>
          <w:rFonts w:ascii="Arial" w:hAnsi="Arial" w:cs="Arial"/>
        </w:rPr>
      </w:pPr>
      <w:r w:rsidRPr="00D6203C">
        <w:rPr>
          <w:rFonts w:ascii="Arial" w:hAnsi="Arial" w:cs="Arial"/>
        </w:rPr>
        <w:t>Changes in the Services;</w:t>
      </w:r>
    </w:p>
    <w:p w14:paraId="21797FF3" w14:textId="77777777" w:rsidR="00D6203C" w:rsidRPr="00D6203C" w:rsidRDefault="00D6203C" w:rsidP="00D6203C">
      <w:pPr>
        <w:pStyle w:val="ListParagraph"/>
        <w:numPr>
          <w:ilvl w:val="2"/>
          <w:numId w:val="5"/>
        </w:numPr>
        <w:ind w:left="1560" w:hanging="788"/>
        <w:rPr>
          <w:rFonts w:ascii="Arial" w:hAnsi="Arial" w:cs="Arial"/>
        </w:rPr>
      </w:pPr>
      <w:r w:rsidRPr="00D6203C">
        <w:rPr>
          <w:rFonts w:ascii="Arial" w:hAnsi="Arial" w:cs="Arial"/>
        </w:rPr>
        <w:t>Branding of Services;</w:t>
      </w:r>
    </w:p>
    <w:p w14:paraId="4D2E5C40" w14:textId="77777777" w:rsidR="00D6203C" w:rsidRPr="00D6203C" w:rsidRDefault="00D6203C" w:rsidP="00D6203C">
      <w:pPr>
        <w:pStyle w:val="ListParagraph"/>
        <w:numPr>
          <w:ilvl w:val="2"/>
          <w:numId w:val="5"/>
        </w:numPr>
        <w:ind w:left="1560" w:hanging="788"/>
        <w:rPr>
          <w:rFonts w:ascii="Arial" w:hAnsi="Arial" w:cs="Arial"/>
        </w:rPr>
      </w:pPr>
      <w:r w:rsidRPr="00D6203C">
        <w:rPr>
          <w:rFonts w:ascii="Arial" w:hAnsi="Arial" w:cs="Arial"/>
        </w:rPr>
        <w:t>Collaborative marketing approach;</w:t>
      </w:r>
    </w:p>
    <w:p w14:paraId="0695EE54" w14:textId="77777777" w:rsidR="00D6203C" w:rsidRPr="00D6203C" w:rsidRDefault="00D6203C" w:rsidP="00D6203C">
      <w:pPr>
        <w:pStyle w:val="ListParagraph"/>
        <w:numPr>
          <w:ilvl w:val="2"/>
          <w:numId w:val="5"/>
        </w:numPr>
        <w:ind w:left="1560" w:hanging="788"/>
        <w:rPr>
          <w:rFonts w:ascii="Arial" w:hAnsi="Arial" w:cs="Arial"/>
        </w:rPr>
      </w:pPr>
      <w:r w:rsidRPr="00D6203C">
        <w:rPr>
          <w:rFonts w:ascii="Arial" w:hAnsi="Arial" w:cs="Arial"/>
        </w:rPr>
        <w:t>Buyer focus groups User Acceptance Testing and creating a Buyer journey to suit Buyers; and</w:t>
      </w:r>
    </w:p>
    <w:p w14:paraId="40E4AF48" w14:textId="77777777" w:rsidR="00D6203C" w:rsidRPr="00D6203C" w:rsidRDefault="00D6203C" w:rsidP="00D6203C">
      <w:pPr>
        <w:pStyle w:val="ListParagraph"/>
        <w:numPr>
          <w:ilvl w:val="2"/>
          <w:numId w:val="5"/>
        </w:numPr>
        <w:ind w:left="1560" w:hanging="788"/>
        <w:rPr>
          <w:rFonts w:ascii="Arial" w:hAnsi="Arial" w:cs="Arial"/>
        </w:rPr>
      </w:pPr>
      <w:r w:rsidRPr="00D6203C">
        <w:rPr>
          <w:rFonts w:ascii="Arial" w:hAnsi="Arial" w:cs="Arial"/>
        </w:rPr>
        <w:t>Any additional design of the Services</w:t>
      </w:r>
    </w:p>
    <w:p w14:paraId="00000008" w14:textId="77777777" w:rsidR="00786B3A" w:rsidRPr="00482593" w:rsidRDefault="00E23DF7">
      <w:pPr>
        <w:pStyle w:val="Heading2"/>
        <w:rPr>
          <w:rFonts w:ascii="Arial" w:hAnsi="Arial" w:cs="Arial"/>
        </w:rPr>
      </w:pPr>
      <w:bookmarkStart w:id="1" w:name="_pq2l3kwoh5vs" w:colFirst="0" w:colLast="0"/>
      <w:bookmarkEnd w:id="1"/>
      <w:r w:rsidRPr="00482593">
        <w:rPr>
          <w:rFonts w:ascii="Arial" w:hAnsi="Arial" w:cs="Arial"/>
        </w:rPr>
        <w:t>Service Security</w:t>
      </w:r>
    </w:p>
    <w:p w14:paraId="00000009" w14:textId="77777777" w:rsidR="00786B3A" w:rsidRPr="00482593" w:rsidRDefault="00E23DF7" w:rsidP="00482593">
      <w:pPr>
        <w:pStyle w:val="Heading3"/>
        <w:numPr>
          <w:ilvl w:val="0"/>
          <w:numId w:val="5"/>
        </w:numPr>
        <w:ind w:left="567" w:hanging="567"/>
        <w:rPr>
          <w:rFonts w:ascii="Arial" w:hAnsi="Arial" w:cs="Arial"/>
        </w:rPr>
      </w:pPr>
      <w:bookmarkStart w:id="2" w:name="_x8bdbuyzxfhr" w:colFirst="0" w:colLast="0"/>
      <w:bookmarkEnd w:id="2"/>
      <w:r w:rsidRPr="00482593">
        <w:rPr>
          <w:rFonts w:ascii="Arial" w:hAnsi="Arial" w:cs="Arial"/>
        </w:rPr>
        <w:t>Security Architectural Principles</w:t>
      </w:r>
    </w:p>
    <w:p w14:paraId="5B5E30CB" w14:textId="77777777" w:rsidR="00C130DF" w:rsidRPr="00482593" w:rsidRDefault="00E23DF7" w:rsidP="00482593">
      <w:pPr>
        <w:pStyle w:val="ListParagraph"/>
        <w:numPr>
          <w:ilvl w:val="1"/>
          <w:numId w:val="5"/>
        </w:numPr>
        <w:ind w:left="567" w:hanging="567"/>
        <w:rPr>
          <w:rFonts w:ascii="Arial" w:hAnsi="Arial" w:cs="Arial"/>
        </w:rPr>
      </w:pPr>
      <w:r w:rsidRPr="00482593">
        <w:rPr>
          <w:rFonts w:ascii="Arial" w:hAnsi="Arial" w:cs="Arial"/>
        </w:rPr>
        <w:t>The Service Provider should adhere to the CCS Service Security Arc</w:t>
      </w:r>
      <w:r w:rsidR="00105530" w:rsidRPr="00482593">
        <w:rPr>
          <w:rFonts w:ascii="Arial" w:hAnsi="Arial" w:cs="Arial"/>
        </w:rPr>
        <w:t xml:space="preserve">hitectural Principles and as a </w:t>
      </w:r>
      <w:r w:rsidRPr="00482593">
        <w:rPr>
          <w:rFonts w:ascii="Arial" w:hAnsi="Arial" w:cs="Arial"/>
        </w:rPr>
        <w:t xml:space="preserve">Government service it will need to be delivered and operated </w:t>
      </w:r>
      <w:r w:rsidRPr="00482593">
        <w:rPr>
          <w:rFonts w:ascii="Arial" w:hAnsi="Arial" w:cs="Arial"/>
        </w:rPr>
        <w:lastRenderedPageBreak/>
        <w:t xml:space="preserve">under the HMG Security Policy Framework </w:t>
      </w:r>
      <w:hyperlink r:id="rId7">
        <w:r w:rsidRPr="00482593">
          <w:rPr>
            <w:rFonts w:ascii="Arial" w:hAnsi="Arial" w:cs="Arial"/>
            <w:color w:val="1155CC"/>
            <w:u w:val="single"/>
          </w:rPr>
          <w:t>https://www.gov.uk/government/publications/security-policy-framework</w:t>
        </w:r>
      </w:hyperlink>
      <w:r w:rsidRPr="00482593">
        <w:rPr>
          <w:rFonts w:ascii="Arial" w:hAnsi="Arial" w:cs="Arial"/>
        </w:rPr>
        <w:t xml:space="preserve">.  </w:t>
      </w:r>
    </w:p>
    <w:p w14:paraId="2D6F3D1B" w14:textId="10710875" w:rsidR="00C130DF" w:rsidRPr="00482593" w:rsidRDefault="00E23DF7" w:rsidP="00C130DF">
      <w:pPr>
        <w:pStyle w:val="ListParagraph"/>
        <w:ind w:left="567"/>
        <w:rPr>
          <w:rFonts w:ascii="Arial" w:hAnsi="Arial" w:cs="Arial"/>
        </w:rPr>
      </w:pPr>
      <w:r w:rsidRPr="00482593">
        <w:rPr>
          <w:rFonts w:ascii="Arial" w:hAnsi="Arial" w:cs="Arial"/>
        </w:rPr>
        <w:t xml:space="preserve"> </w:t>
      </w:r>
    </w:p>
    <w:p w14:paraId="7B9CD740" w14:textId="7FD4C7EF" w:rsidR="00C130DF" w:rsidRPr="00482593" w:rsidRDefault="00E23DF7" w:rsidP="00482593">
      <w:pPr>
        <w:pStyle w:val="ListParagraph"/>
        <w:numPr>
          <w:ilvl w:val="1"/>
          <w:numId w:val="5"/>
        </w:numPr>
        <w:ind w:left="567" w:hanging="567"/>
        <w:rPr>
          <w:rFonts w:ascii="Arial" w:hAnsi="Arial" w:cs="Arial"/>
        </w:rPr>
      </w:pPr>
      <w:r w:rsidRPr="00482593">
        <w:rPr>
          <w:rFonts w:ascii="Arial" w:hAnsi="Arial" w:cs="Arial"/>
        </w:rPr>
        <w:t xml:space="preserve">In order to be able to consume a solution with the confidence, each HMG Department and CCS Suppliers has developed bespoke security profile which they expect the service to be assured against.  However, in order that Crown Commercial is able to deliver common goods and services across Government, there is a need to define a common set of security controls.  </w:t>
      </w:r>
      <w:r w:rsidR="00C130DF" w:rsidRPr="00482593">
        <w:rPr>
          <w:rFonts w:ascii="Arial" w:hAnsi="Arial" w:cs="Arial"/>
        </w:rPr>
        <w:br/>
      </w:r>
    </w:p>
    <w:p w14:paraId="0000000B" w14:textId="5966D56F" w:rsidR="00786B3A" w:rsidRPr="00482593" w:rsidRDefault="00E23DF7" w:rsidP="00482593">
      <w:pPr>
        <w:pStyle w:val="ListParagraph"/>
        <w:numPr>
          <w:ilvl w:val="1"/>
          <w:numId w:val="5"/>
        </w:numPr>
        <w:ind w:left="567" w:hanging="567"/>
        <w:rPr>
          <w:rFonts w:ascii="Arial" w:hAnsi="Arial" w:cs="Arial"/>
        </w:rPr>
      </w:pPr>
      <w:r w:rsidRPr="00482593">
        <w:rPr>
          <w:rFonts w:ascii="Arial" w:hAnsi="Arial" w:cs="Arial"/>
        </w:rPr>
        <w:t xml:space="preserve">The service provided must be </w:t>
      </w:r>
      <w:r w:rsidRPr="00482593">
        <w:rPr>
          <w:rFonts w:ascii="Arial" w:hAnsi="Arial" w:cs="Arial"/>
          <w:b/>
          <w:i/>
        </w:rPr>
        <w:t xml:space="preserve">designed </w:t>
      </w:r>
      <w:r w:rsidRPr="00482593">
        <w:rPr>
          <w:rFonts w:ascii="Arial" w:hAnsi="Arial" w:cs="Arial"/>
          <w:i/>
        </w:rPr>
        <w:t>to achieve the following</w:t>
      </w:r>
      <w:r w:rsidR="00105530" w:rsidRPr="00482593">
        <w:rPr>
          <w:rFonts w:ascii="Arial" w:hAnsi="Arial" w:cs="Arial"/>
          <w:i/>
        </w:rPr>
        <w:t xml:space="preserve"> minimum</w:t>
      </w:r>
      <w:r w:rsidRPr="00482593">
        <w:rPr>
          <w:rFonts w:ascii="Arial" w:hAnsi="Arial" w:cs="Arial"/>
          <w:i/>
        </w:rPr>
        <w:t> </w:t>
      </w:r>
      <w:r w:rsidRPr="00482593">
        <w:rPr>
          <w:rFonts w:ascii="Arial" w:hAnsi="Arial" w:cs="Arial"/>
          <w:b/>
          <w:i/>
        </w:rPr>
        <w:t>security goals</w:t>
      </w:r>
      <w:r w:rsidRPr="00482593">
        <w:rPr>
          <w:rFonts w:ascii="Arial" w:hAnsi="Arial" w:cs="Arial"/>
        </w:rPr>
        <w:t>:</w:t>
      </w:r>
    </w:p>
    <w:p w14:paraId="0000000C" w14:textId="0BB197EA" w:rsidR="00786B3A" w:rsidRPr="00482593" w:rsidRDefault="00E23DF7" w:rsidP="00C130DF">
      <w:pPr>
        <w:pStyle w:val="ListParagraph"/>
        <w:numPr>
          <w:ilvl w:val="2"/>
          <w:numId w:val="5"/>
        </w:numPr>
        <w:ind w:left="1560" w:hanging="788"/>
        <w:rPr>
          <w:rFonts w:ascii="Arial" w:hAnsi="Arial" w:cs="Arial"/>
        </w:rPr>
      </w:pPr>
      <w:r w:rsidRPr="00482593">
        <w:rPr>
          <w:rFonts w:ascii="Arial" w:hAnsi="Arial" w:cs="Arial"/>
        </w:rPr>
        <w:t>make an initial compromise of the system difficult</w:t>
      </w:r>
      <w:r w:rsidR="00575A59">
        <w:rPr>
          <w:rFonts w:ascii="Arial" w:hAnsi="Arial" w:cs="Arial"/>
        </w:rPr>
        <w:t>;</w:t>
      </w:r>
    </w:p>
    <w:p w14:paraId="0000000D" w14:textId="2F80792F" w:rsidR="00786B3A" w:rsidRPr="00482593" w:rsidRDefault="00E23DF7" w:rsidP="00C130DF">
      <w:pPr>
        <w:pStyle w:val="ListParagraph"/>
        <w:numPr>
          <w:ilvl w:val="2"/>
          <w:numId w:val="5"/>
        </w:numPr>
        <w:ind w:left="1560" w:hanging="788"/>
        <w:rPr>
          <w:rFonts w:ascii="Arial" w:hAnsi="Arial" w:cs="Arial"/>
        </w:rPr>
      </w:pPr>
      <w:r w:rsidRPr="00482593">
        <w:rPr>
          <w:rFonts w:ascii="Arial" w:hAnsi="Arial" w:cs="Arial"/>
        </w:rPr>
        <w:t>limit the impact of any compromise</w:t>
      </w:r>
      <w:r w:rsidR="00575A59">
        <w:rPr>
          <w:rFonts w:ascii="Arial" w:hAnsi="Arial" w:cs="Arial"/>
        </w:rPr>
        <w:t>;</w:t>
      </w:r>
    </w:p>
    <w:p w14:paraId="0000000E" w14:textId="7644CBC7" w:rsidR="00786B3A" w:rsidRPr="00482593" w:rsidRDefault="00E23DF7" w:rsidP="00C130DF">
      <w:pPr>
        <w:pStyle w:val="ListParagraph"/>
        <w:numPr>
          <w:ilvl w:val="2"/>
          <w:numId w:val="5"/>
        </w:numPr>
        <w:ind w:left="1560" w:hanging="788"/>
        <w:rPr>
          <w:rFonts w:ascii="Arial" w:hAnsi="Arial" w:cs="Arial"/>
        </w:rPr>
      </w:pPr>
      <w:r w:rsidRPr="00482593">
        <w:rPr>
          <w:rFonts w:ascii="Arial" w:hAnsi="Arial" w:cs="Arial"/>
        </w:rPr>
        <w:t>make disruption of the system difficult</w:t>
      </w:r>
      <w:r w:rsidR="00575A59">
        <w:rPr>
          <w:rFonts w:ascii="Arial" w:hAnsi="Arial" w:cs="Arial"/>
        </w:rPr>
        <w:t>; and</w:t>
      </w:r>
    </w:p>
    <w:p w14:paraId="0000000F" w14:textId="21071C54" w:rsidR="00786B3A" w:rsidRPr="00482593" w:rsidRDefault="00E23DF7" w:rsidP="00C130DF">
      <w:pPr>
        <w:pStyle w:val="ListParagraph"/>
        <w:numPr>
          <w:ilvl w:val="2"/>
          <w:numId w:val="5"/>
        </w:numPr>
        <w:ind w:left="1560" w:hanging="788"/>
        <w:rPr>
          <w:rFonts w:ascii="Arial" w:hAnsi="Arial" w:cs="Arial"/>
        </w:rPr>
      </w:pPr>
      <w:r w:rsidRPr="00482593">
        <w:rPr>
          <w:rFonts w:ascii="Arial" w:hAnsi="Arial" w:cs="Arial"/>
        </w:rPr>
        <w:t>make detection of a compromise easy</w:t>
      </w:r>
      <w:r w:rsidR="00C130DF" w:rsidRPr="00482593">
        <w:rPr>
          <w:rFonts w:ascii="Arial" w:hAnsi="Arial" w:cs="Arial"/>
        </w:rPr>
        <w:br/>
      </w:r>
    </w:p>
    <w:p w14:paraId="00000010" w14:textId="28D689C6" w:rsidR="00786B3A" w:rsidRPr="00482593" w:rsidRDefault="00E23DF7" w:rsidP="00482593">
      <w:pPr>
        <w:pStyle w:val="ListParagraph"/>
        <w:numPr>
          <w:ilvl w:val="1"/>
          <w:numId w:val="5"/>
        </w:numPr>
        <w:ind w:left="567" w:hanging="567"/>
        <w:rPr>
          <w:rFonts w:ascii="Arial" w:hAnsi="Arial" w:cs="Arial"/>
        </w:rPr>
      </w:pPr>
      <w:r w:rsidRPr="00482593">
        <w:rPr>
          <w:rFonts w:ascii="Arial" w:hAnsi="Arial" w:cs="Arial"/>
        </w:rPr>
        <w:t xml:space="preserve">An attacker can attempt to subvert </w:t>
      </w:r>
      <w:r w:rsidR="00105530" w:rsidRPr="00482593">
        <w:rPr>
          <w:rFonts w:ascii="Arial" w:hAnsi="Arial" w:cs="Arial"/>
          <w:b/>
        </w:rPr>
        <w:t>technology, </w:t>
      </w:r>
      <w:r w:rsidRPr="00482593">
        <w:rPr>
          <w:rFonts w:ascii="Arial" w:hAnsi="Arial" w:cs="Arial"/>
          <w:b/>
        </w:rPr>
        <w:t>people and processes</w:t>
      </w:r>
      <w:r w:rsidRPr="00482593">
        <w:rPr>
          <w:rFonts w:ascii="Arial" w:hAnsi="Arial" w:cs="Arial"/>
        </w:rPr>
        <w:t xml:space="preserve"> to undermine security, </w:t>
      </w:r>
      <w:r w:rsidR="00105530" w:rsidRPr="00482593">
        <w:rPr>
          <w:rFonts w:ascii="Arial" w:hAnsi="Arial" w:cs="Arial"/>
        </w:rPr>
        <w:t>a Supplier’s se</w:t>
      </w:r>
      <w:r w:rsidRPr="00482593">
        <w:rPr>
          <w:rFonts w:ascii="Arial" w:hAnsi="Arial" w:cs="Arial"/>
        </w:rPr>
        <w:t xml:space="preserve">curity architecture </w:t>
      </w:r>
      <w:r w:rsidR="00105530" w:rsidRPr="00482593">
        <w:rPr>
          <w:rFonts w:ascii="Arial" w:hAnsi="Arial" w:cs="Arial"/>
        </w:rPr>
        <w:t>shall</w:t>
      </w:r>
      <w:r w:rsidRPr="00482593">
        <w:rPr>
          <w:rFonts w:ascii="Arial" w:hAnsi="Arial" w:cs="Arial"/>
        </w:rPr>
        <w:t xml:space="preserve"> consider all the technology, people and processes relating to the service.</w:t>
      </w:r>
      <w:r w:rsidR="00C130DF" w:rsidRPr="00482593">
        <w:rPr>
          <w:rFonts w:ascii="Arial" w:hAnsi="Arial" w:cs="Arial"/>
        </w:rPr>
        <w:br/>
      </w:r>
    </w:p>
    <w:p w14:paraId="00000011" w14:textId="58BD5EB2" w:rsidR="00786B3A" w:rsidRPr="00482593" w:rsidRDefault="00E23DF7" w:rsidP="00482593">
      <w:pPr>
        <w:pStyle w:val="ListParagraph"/>
        <w:numPr>
          <w:ilvl w:val="1"/>
          <w:numId w:val="5"/>
        </w:numPr>
        <w:ind w:left="567" w:hanging="567"/>
        <w:rPr>
          <w:rFonts w:ascii="Arial" w:hAnsi="Arial" w:cs="Arial"/>
        </w:rPr>
      </w:pPr>
      <w:r w:rsidRPr="00482593">
        <w:rPr>
          <w:rFonts w:ascii="Arial" w:hAnsi="Arial" w:cs="Arial"/>
        </w:rPr>
        <w:t xml:space="preserve">In support of achieving the security goals, outlined above, the </w:t>
      </w:r>
      <w:r w:rsidR="00105530" w:rsidRPr="00482593">
        <w:rPr>
          <w:rFonts w:ascii="Arial" w:hAnsi="Arial" w:cs="Arial"/>
        </w:rPr>
        <w:t>Supplier</w:t>
      </w:r>
      <w:r w:rsidRPr="00482593">
        <w:rPr>
          <w:rFonts w:ascii="Arial" w:hAnsi="Arial" w:cs="Arial"/>
        </w:rPr>
        <w:t xml:space="preserve"> shall undertake the following security controls:</w:t>
      </w:r>
    </w:p>
    <w:p w14:paraId="00000012" w14:textId="0351FEE9" w:rsidR="00786B3A" w:rsidRPr="00482593" w:rsidRDefault="00E23DF7" w:rsidP="00C130DF">
      <w:pPr>
        <w:pStyle w:val="ListParagraph"/>
        <w:numPr>
          <w:ilvl w:val="2"/>
          <w:numId w:val="5"/>
        </w:numPr>
        <w:ind w:left="1560" w:hanging="788"/>
        <w:rPr>
          <w:rFonts w:ascii="Arial" w:hAnsi="Arial" w:cs="Arial"/>
        </w:rPr>
      </w:pPr>
      <w:r w:rsidRPr="00482593">
        <w:rPr>
          <w:rFonts w:ascii="Arial" w:hAnsi="Arial" w:cs="Arial"/>
        </w:rPr>
        <w:t xml:space="preserve">Incorporate the security standards defined with the Crown Commercial Service Digital and Technology Strategy into the Service Specification. </w:t>
      </w:r>
      <w:r w:rsidR="00341192">
        <w:rPr>
          <w:rFonts w:ascii="Arial" w:hAnsi="Arial" w:cs="Arial"/>
          <w:color w:val="1155CC"/>
          <w:u w:val="single"/>
        </w:rPr>
        <w:object w:dxaOrig="1504" w:dyaOrig="982" w14:anchorId="664DE7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8" o:title=""/>
          </v:shape>
          <o:OLEObject Type="Embed" ProgID="Package" ShapeID="_x0000_i1025" DrawAspect="Icon" ObjectID="_1632022621" r:id="rId9"/>
        </w:object>
      </w:r>
      <w:r w:rsidR="00341192" w:rsidRPr="00482593">
        <w:rPr>
          <w:rFonts w:ascii="Arial" w:hAnsi="Arial" w:cs="Arial"/>
        </w:rPr>
        <w:t xml:space="preserve"> </w:t>
      </w:r>
    </w:p>
    <w:p w14:paraId="00000013" w14:textId="77777777" w:rsidR="00786B3A" w:rsidRPr="00482593" w:rsidRDefault="00E23DF7" w:rsidP="00C130DF">
      <w:pPr>
        <w:pStyle w:val="ListParagraph"/>
        <w:numPr>
          <w:ilvl w:val="2"/>
          <w:numId w:val="5"/>
        </w:numPr>
        <w:ind w:left="1560" w:hanging="788"/>
        <w:rPr>
          <w:rFonts w:ascii="Arial" w:hAnsi="Arial" w:cs="Arial"/>
        </w:rPr>
      </w:pPr>
      <w:r w:rsidRPr="00482593">
        <w:rPr>
          <w:rFonts w:ascii="Arial" w:hAnsi="Arial" w:cs="Arial"/>
        </w:rPr>
        <w:t xml:space="preserve">Evidence compliance with the HMG Minimum  Cyber Security Standard </w:t>
      </w:r>
      <w:hyperlink r:id="rId10">
        <w:r w:rsidRPr="00361CC7">
          <w:rPr>
            <w:rFonts w:ascii="Arial" w:hAnsi="Arial" w:cs="Arial"/>
            <w:color w:val="1155CC"/>
            <w:u w:val="single"/>
          </w:rPr>
          <w:t>https://www.gov.uk/government/publications/the-minimum-cyber-security-standard</w:t>
        </w:r>
      </w:hyperlink>
    </w:p>
    <w:p w14:paraId="00000014" w14:textId="77777777" w:rsidR="00786B3A" w:rsidRPr="00482593" w:rsidRDefault="00E23DF7" w:rsidP="00C130DF">
      <w:pPr>
        <w:pStyle w:val="ListParagraph"/>
        <w:numPr>
          <w:ilvl w:val="2"/>
          <w:numId w:val="5"/>
        </w:numPr>
        <w:ind w:left="1560" w:hanging="788"/>
        <w:rPr>
          <w:rFonts w:ascii="Arial" w:hAnsi="Arial" w:cs="Arial"/>
        </w:rPr>
      </w:pPr>
      <w:r w:rsidRPr="00482593">
        <w:rPr>
          <w:rFonts w:ascii="Arial" w:hAnsi="Arial" w:cs="Arial"/>
        </w:rPr>
        <w:t xml:space="preserve">Demonstrate delivery of  the NCSC Cloud Security Principles outcomes </w:t>
      </w:r>
      <w:hyperlink r:id="rId11">
        <w:r w:rsidRPr="00361CC7">
          <w:rPr>
            <w:rFonts w:ascii="Arial" w:hAnsi="Arial" w:cs="Arial"/>
            <w:color w:val="1155CC"/>
            <w:u w:val="single"/>
          </w:rPr>
          <w:t>https://www.ncsc.gov.uk/collection/cloud-security?curPage=/collection/cloud-security/implementing-the-cloud-security-principles</w:t>
        </w:r>
      </w:hyperlink>
    </w:p>
    <w:p w14:paraId="00000015" w14:textId="77777777" w:rsidR="00786B3A" w:rsidRPr="00482593" w:rsidRDefault="00E23DF7" w:rsidP="00C130DF">
      <w:pPr>
        <w:pStyle w:val="ListParagraph"/>
        <w:numPr>
          <w:ilvl w:val="2"/>
          <w:numId w:val="5"/>
        </w:numPr>
        <w:ind w:left="1560" w:hanging="788"/>
        <w:rPr>
          <w:rFonts w:ascii="Arial" w:hAnsi="Arial" w:cs="Arial"/>
        </w:rPr>
      </w:pPr>
      <w:r w:rsidRPr="00482593">
        <w:rPr>
          <w:rFonts w:ascii="Arial" w:hAnsi="Arial" w:cs="Arial"/>
        </w:rPr>
        <w:t xml:space="preserve">Evidence the Software Delivery  Life cycle is undertaken securely through the application of the NCSC Secure Development and Deployment </w:t>
      </w:r>
      <w:r w:rsidRPr="00361CC7">
        <w:rPr>
          <w:rFonts w:ascii="Arial" w:hAnsi="Arial" w:cs="Arial"/>
          <w:color w:val="1155CC"/>
          <w:u w:val="single"/>
        </w:rPr>
        <w:t>guidance.</w:t>
      </w:r>
      <w:hyperlink r:id="rId12">
        <w:r w:rsidRPr="00361CC7">
          <w:rPr>
            <w:rFonts w:ascii="Arial" w:hAnsi="Arial" w:cs="Arial"/>
            <w:color w:val="1155CC"/>
            <w:u w:val="single"/>
          </w:rPr>
          <w:t>https://www.ncsc.gov.uk/collection/developers-collection?curPage=/collection/developers-collection/principles</w:t>
        </w:r>
      </w:hyperlink>
    </w:p>
    <w:p w14:paraId="00000016" w14:textId="5A293607" w:rsidR="00786B3A" w:rsidRPr="00482593" w:rsidRDefault="00E23DF7" w:rsidP="00C130DF">
      <w:pPr>
        <w:pStyle w:val="ListParagraph"/>
        <w:numPr>
          <w:ilvl w:val="2"/>
          <w:numId w:val="5"/>
        </w:numPr>
        <w:ind w:left="1560" w:hanging="788"/>
        <w:rPr>
          <w:rFonts w:ascii="Arial" w:hAnsi="Arial" w:cs="Arial"/>
        </w:rPr>
      </w:pPr>
      <w:r w:rsidRPr="00482593">
        <w:rPr>
          <w:rFonts w:ascii="Arial" w:hAnsi="Arial" w:cs="Arial"/>
        </w:rPr>
        <w:t xml:space="preserve">An CHECK/CREST IT Security Health Check (ITSHC) of the Service has been performed within 12 months of go-live and annually thereafter.  The testing has been undertaken in accordance with HMG best practice. </w:t>
      </w:r>
      <w:hyperlink r:id="rId13">
        <w:r w:rsidRPr="00361CC7">
          <w:rPr>
            <w:rFonts w:ascii="Arial" w:hAnsi="Arial" w:cs="Arial"/>
            <w:color w:val="1155CC"/>
            <w:u w:val="single"/>
          </w:rPr>
          <w:t>https://www.gov.uk/government/publications/it-health-check-ithc-supporting-guidance/it-health-check-ithc-supporting-guidance</w:t>
        </w:r>
      </w:hyperlink>
    </w:p>
    <w:p w14:paraId="00000017" w14:textId="5FB0E82E" w:rsidR="00786B3A" w:rsidRPr="00482593" w:rsidRDefault="00E23DF7" w:rsidP="00C130DF">
      <w:pPr>
        <w:pStyle w:val="ListParagraph"/>
        <w:numPr>
          <w:ilvl w:val="2"/>
          <w:numId w:val="5"/>
        </w:numPr>
        <w:ind w:left="1560" w:hanging="788"/>
        <w:rPr>
          <w:rFonts w:ascii="Arial" w:hAnsi="Arial" w:cs="Arial"/>
        </w:rPr>
      </w:pPr>
      <w:r w:rsidRPr="00482593">
        <w:rPr>
          <w:rFonts w:ascii="Arial" w:hAnsi="Arial" w:cs="Arial"/>
        </w:rPr>
        <w:t xml:space="preserve">Comply with the </w:t>
      </w:r>
      <w:r w:rsidR="00361CC7">
        <w:rPr>
          <w:rFonts w:ascii="Arial" w:hAnsi="Arial" w:cs="Arial"/>
        </w:rPr>
        <w:t>relevant</w:t>
      </w:r>
      <w:r w:rsidRPr="00482593">
        <w:rPr>
          <w:rFonts w:ascii="Arial" w:hAnsi="Arial" w:cs="Arial"/>
        </w:rPr>
        <w:t xml:space="preserve"> Supplier Information Security Assurance Policy </w:t>
      </w:r>
      <w:r w:rsidR="00482593">
        <w:rPr>
          <w:rFonts w:ascii="Arial" w:hAnsi="Arial" w:cs="Arial"/>
        </w:rPr>
        <w:br/>
      </w:r>
    </w:p>
    <w:p w14:paraId="00000018" w14:textId="1212E046" w:rsidR="00786B3A" w:rsidRPr="00482593" w:rsidRDefault="00E23DF7" w:rsidP="00482593">
      <w:pPr>
        <w:pStyle w:val="ListParagraph"/>
        <w:numPr>
          <w:ilvl w:val="1"/>
          <w:numId w:val="5"/>
        </w:numPr>
        <w:ind w:left="567" w:hanging="567"/>
        <w:rPr>
          <w:rFonts w:ascii="Arial" w:hAnsi="Arial" w:cs="Arial"/>
        </w:rPr>
      </w:pPr>
      <w:r w:rsidRPr="00482593">
        <w:rPr>
          <w:rFonts w:ascii="Arial" w:hAnsi="Arial" w:cs="Arial"/>
        </w:rPr>
        <w:t xml:space="preserve">The Supplier shall nominate an individual who is responsible for ensuring achievement of the security goals described above and will work </w:t>
      </w:r>
      <w:r w:rsidR="00361CC7">
        <w:rPr>
          <w:rFonts w:ascii="Arial" w:hAnsi="Arial" w:cs="Arial"/>
        </w:rPr>
        <w:t>with the Authority</w:t>
      </w:r>
      <w:r w:rsidRPr="00482593">
        <w:rPr>
          <w:rFonts w:ascii="Arial" w:hAnsi="Arial" w:cs="Arial"/>
        </w:rPr>
        <w:t xml:space="preserve"> to ensure these are acted upon.   </w:t>
      </w:r>
    </w:p>
    <w:p w14:paraId="00000019" w14:textId="77777777" w:rsidR="00786B3A" w:rsidRPr="00482593" w:rsidRDefault="00E23DF7" w:rsidP="00482593">
      <w:pPr>
        <w:pStyle w:val="Heading3"/>
        <w:numPr>
          <w:ilvl w:val="0"/>
          <w:numId w:val="5"/>
        </w:numPr>
        <w:ind w:left="567" w:hanging="567"/>
        <w:rPr>
          <w:rFonts w:ascii="Arial" w:hAnsi="Arial" w:cs="Arial"/>
        </w:rPr>
      </w:pPr>
      <w:r w:rsidRPr="00482593">
        <w:rPr>
          <w:rFonts w:ascii="Arial" w:hAnsi="Arial" w:cs="Arial"/>
        </w:rPr>
        <w:t>Data Management</w:t>
      </w:r>
    </w:p>
    <w:p w14:paraId="77E9CF31" w14:textId="77777777" w:rsidR="00105530" w:rsidRPr="00482593" w:rsidRDefault="00E23DF7" w:rsidP="00482593">
      <w:pPr>
        <w:pStyle w:val="ListParagraph"/>
        <w:numPr>
          <w:ilvl w:val="1"/>
          <w:numId w:val="5"/>
        </w:numPr>
        <w:ind w:left="567" w:hanging="567"/>
        <w:rPr>
          <w:rFonts w:ascii="Arial" w:hAnsi="Arial" w:cs="Arial"/>
        </w:rPr>
      </w:pPr>
      <w:r w:rsidRPr="00482593">
        <w:rPr>
          <w:rFonts w:ascii="Arial" w:hAnsi="Arial" w:cs="Arial"/>
        </w:rPr>
        <w:t xml:space="preserve">It is the responsibility of the Service Provider to ensure that all data obtained through this Agreement is kept up to date, accurate and is held and maintained within a secure system in the EEA or in a country or territory that ensures an adequate level of </w:t>
      </w:r>
      <w:r w:rsidRPr="00482593">
        <w:rPr>
          <w:rFonts w:ascii="Arial" w:hAnsi="Arial" w:cs="Arial"/>
        </w:rPr>
        <w:lastRenderedPageBreak/>
        <w:t xml:space="preserve">protection for the rights and freedoms of data subjects in relation to the processing of personal data. </w:t>
      </w:r>
    </w:p>
    <w:p w14:paraId="2821A291" w14:textId="77777777" w:rsidR="00105530" w:rsidRPr="00482593" w:rsidRDefault="00105530">
      <w:pPr>
        <w:spacing w:after="0"/>
        <w:jc w:val="both"/>
        <w:rPr>
          <w:rFonts w:ascii="Arial" w:hAnsi="Arial" w:cs="Arial"/>
        </w:rPr>
      </w:pPr>
    </w:p>
    <w:p w14:paraId="552FB7C8" w14:textId="7595C47A" w:rsidR="00105530" w:rsidRPr="00482593" w:rsidRDefault="00E23DF7" w:rsidP="00482593">
      <w:pPr>
        <w:pStyle w:val="ListParagraph"/>
        <w:numPr>
          <w:ilvl w:val="1"/>
          <w:numId w:val="5"/>
        </w:numPr>
        <w:ind w:left="567" w:hanging="567"/>
        <w:rPr>
          <w:rFonts w:ascii="Arial" w:hAnsi="Arial" w:cs="Arial"/>
        </w:rPr>
      </w:pPr>
      <w:r w:rsidRPr="00482593">
        <w:rPr>
          <w:rFonts w:ascii="Arial" w:hAnsi="Arial" w:cs="Arial"/>
        </w:rPr>
        <w:t xml:space="preserve">We believe there may be higher </w:t>
      </w:r>
      <w:r w:rsidR="005D6551">
        <w:rPr>
          <w:rFonts w:ascii="Arial" w:hAnsi="Arial" w:cs="Arial"/>
        </w:rPr>
        <w:t>Customer</w:t>
      </w:r>
      <w:r w:rsidRPr="00482593">
        <w:rPr>
          <w:rFonts w:ascii="Arial" w:hAnsi="Arial" w:cs="Arial"/>
        </w:rPr>
        <w:t xml:space="preserve"> take up if the Service is hosted in the United Kingdom, but this </w:t>
      </w:r>
      <w:r w:rsidR="00105530" w:rsidRPr="00482593">
        <w:rPr>
          <w:rFonts w:ascii="Arial" w:hAnsi="Arial" w:cs="Arial"/>
        </w:rPr>
        <w:t>is not a mandatory r</w:t>
      </w:r>
      <w:r w:rsidRPr="00482593">
        <w:rPr>
          <w:rFonts w:ascii="Arial" w:hAnsi="Arial" w:cs="Arial"/>
        </w:rPr>
        <w:t xml:space="preserve">equirement. </w:t>
      </w:r>
    </w:p>
    <w:p w14:paraId="7C5FFC4D" w14:textId="77777777" w:rsidR="00105530" w:rsidRPr="00482593" w:rsidRDefault="00105530">
      <w:pPr>
        <w:spacing w:after="0"/>
        <w:jc w:val="both"/>
        <w:rPr>
          <w:rFonts w:ascii="Arial" w:hAnsi="Arial" w:cs="Arial"/>
        </w:rPr>
      </w:pPr>
    </w:p>
    <w:p w14:paraId="0000001A" w14:textId="513E6B75" w:rsidR="00786B3A" w:rsidRPr="00482593" w:rsidRDefault="00E23DF7" w:rsidP="00482593">
      <w:pPr>
        <w:pStyle w:val="ListParagraph"/>
        <w:numPr>
          <w:ilvl w:val="1"/>
          <w:numId w:val="5"/>
        </w:numPr>
        <w:ind w:left="567" w:hanging="567"/>
        <w:rPr>
          <w:rFonts w:ascii="Arial" w:hAnsi="Arial" w:cs="Arial"/>
        </w:rPr>
      </w:pPr>
      <w:r w:rsidRPr="00482593">
        <w:rPr>
          <w:rFonts w:ascii="Arial" w:hAnsi="Arial" w:cs="Arial"/>
        </w:rPr>
        <w:t xml:space="preserve">The </w:t>
      </w:r>
      <w:r w:rsidR="00105530" w:rsidRPr="00482593">
        <w:rPr>
          <w:rFonts w:ascii="Arial" w:hAnsi="Arial" w:cs="Arial"/>
        </w:rPr>
        <w:t>Supplier shall provide the data</w:t>
      </w:r>
      <w:r w:rsidRPr="00482593">
        <w:rPr>
          <w:rFonts w:ascii="Arial" w:hAnsi="Arial" w:cs="Arial"/>
        </w:rPr>
        <w:t xml:space="preserve"> to the Authority as and when required, and in a format specified by </w:t>
      </w:r>
      <w:r w:rsidR="00361CC7">
        <w:rPr>
          <w:rFonts w:ascii="Arial" w:hAnsi="Arial" w:cs="Arial"/>
        </w:rPr>
        <w:t>the Authority</w:t>
      </w:r>
      <w:r w:rsidR="00105530" w:rsidRPr="00482593">
        <w:rPr>
          <w:rFonts w:ascii="Arial" w:hAnsi="Arial" w:cs="Arial"/>
        </w:rPr>
        <w:t>.</w:t>
      </w:r>
    </w:p>
    <w:p w14:paraId="0000001B" w14:textId="77777777" w:rsidR="00786B3A" w:rsidRPr="00482593" w:rsidRDefault="00E23DF7" w:rsidP="00482593">
      <w:pPr>
        <w:pStyle w:val="Heading3"/>
        <w:numPr>
          <w:ilvl w:val="0"/>
          <w:numId w:val="5"/>
        </w:numPr>
        <w:ind w:left="567" w:hanging="567"/>
        <w:rPr>
          <w:rFonts w:ascii="Arial" w:hAnsi="Arial" w:cs="Arial"/>
        </w:rPr>
      </w:pPr>
      <w:bookmarkStart w:id="3" w:name="_h5tqrq58hvno" w:colFirst="0" w:colLast="0"/>
      <w:bookmarkEnd w:id="3"/>
      <w:r w:rsidRPr="00482593">
        <w:rPr>
          <w:rFonts w:ascii="Arial" w:hAnsi="Arial" w:cs="Arial"/>
        </w:rPr>
        <w:t>Transaction Security</w:t>
      </w:r>
    </w:p>
    <w:p w14:paraId="0000001C" w14:textId="77777777" w:rsidR="00786B3A" w:rsidRPr="00482593" w:rsidRDefault="00E23DF7" w:rsidP="00482593">
      <w:pPr>
        <w:pStyle w:val="ListParagraph"/>
        <w:numPr>
          <w:ilvl w:val="1"/>
          <w:numId w:val="5"/>
        </w:numPr>
        <w:ind w:left="567" w:hanging="567"/>
        <w:rPr>
          <w:rFonts w:ascii="Arial" w:hAnsi="Arial" w:cs="Arial"/>
        </w:rPr>
      </w:pPr>
      <w:r w:rsidRPr="00482593">
        <w:rPr>
          <w:rFonts w:ascii="Arial" w:hAnsi="Arial" w:cs="Arial"/>
        </w:rPr>
        <w:t xml:space="preserve">It is the responsibility of the Service Provider to ensure all data collected through this Contract is classified as OFFICIAL SENSITIVE under the Government Security Classifications Scheme. Further information can be found on the following link: </w:t>
      </w:r>
      <w:hyperlink r:id="rId14">
        <w:r w:rsidRPr="00482593">
          <w:rPr>
            <w:rFonts w:ascii="Arial" w:hAnsi="Arial" w:cs="Arial"/>
            <w:color w:val="1155CC"/>
            <w:highlight w:val="white"/>
            <w:u w:val="single"/>
          </w:rPr>
          <w:t>https://www.gov.uk/government/publications/government-security-classifications</w:t>
        </w:r>
      </w:hyperlink>
      <w:r w:rsidRPr="00482593">
        <w:rPr>
          <w:rFonts w:ascii="Arial" w:hAnsi="Arial" w:cs="Arial"/>
          <w:highlight w:val="white"/>
        </w:rPr>
        <w:t xml:space="preserve"> </w:t>
      </w:r>
    </w:p>
    <w:p w14:paraId="0000001D" w14:textId="77777777" w:rsidR="00786B3A" w:rsidRPr="00482593" w:rsidRDefault="00786B3A">
      <w:pPr>
        <w:spacing w:after="0"/>
        <w:jc w:val="both"/>
        <w:rPr>
          <w:rFonts w:ascii="Arial" w:hAnsi="Arial" w:cs="Arial"/>
        </w:rPr>
      </w:pPr>
    </w:p>
    <w:p w14:paraId="0000001E" w14:textId="77777777" w:rsidR="00786B3A" w:rsidRPr="00482593" w:rsidRDefault="00E23DF7" w:rsidP="00482593">
      <w:pPr>
        <w:pStyle w:val="ListParagraph"/>
        <w:numPr>
          <w:ilvl w:val="1"/>
          <w:numId w:val="5"/>
        </w:numPr>
        <w:ind w:left="567" w:hanging="567"/>
        <w:rPr>
          <w:rFonts w:ascii="Arial" w:hAnsi="Arial" w:cs="Arial"/>
        </w:rPr>
      </w:pPr>
      <w:r w:rsidRPr="00482593">
        <w:rPr>
          <w:rFonts w:ascii="Arial" w:hAnsi="Arial" w:cs="Arial"/>
        </w:rPr>
        <w:t xml:space="preserve">All employees who will be handling data collected as part of this Contract will be required to undergo basic recruitment checks, applying the requirements of the HMG Baseline Personnel Security Standard (BPSS) for all individuals with access to OFFICIAL SENSITIVE information. Further details can be found on the following link: </w:t>
      </w:r>
      <w:hyperlink r:id="rId15">
        <w:r w:rsidRPr="00361CC7">
          <w:rPr>
            <w:rFonts w:ascii="Arial" w:hAnsi="Arial" w:cs="Arial"/>
            <w:color w:val="1155CC"/>
            <w:u w:val="single"/>
          </w:rPr>
          <w:t>https://www.gov.uk/government/publications/hmg-personnel-security-controls</w:t>
        </w:r>
      </w:hyperlink>
      <w:r w:rsidRPr="00361CC7">
        <w:rPr>
          <w:rFonts w:ascii="Arial" w:hAnsi="Arial" w:cs="Arial"/>
          <w:color w:val="1155CC"/>
          <w:u w:val="single"/>
        </w:rPr>
        <w:t>.</w:t>
      </w:r>
      <w:r w:rsidRPr="00482593">
        <w:rPr>
          <w:rFonts w:ascii="Arial" w:hAnsi="Arial" w:cs="Arial"/>
        </w:rPr>
        <w:t xml:space="preserve"> </w:t>
      </w:r>
    </w:p>
    <w:p w14:paraId="0000001F" w14:textId="77777777" w:rsidR="00786B3A" w:rsidRPr="00482593" w:rsidRDefault="00786B3A">
      <w:pPr>
        <w:spacing w:after="0"/>
        <w:jc w:val="both"/>
        <w:rPr>
          <w:rFonts w:ascii="Arial" w:hAnsi="Arial" w:cs="Arial"/>
        </w:rPr>
      </w:pPr>
    </w:p>
    <w:p w14:paraId="00000020" w14:textId="77777777" w:rsidR="00786B3A" w:rsidRPr="00482593" w:rsidRDefault="00E23DF7" w:rsidP="00482593">
      <w:pPr>
        <w:pStyle w:val="ListParagraph"/>
        <w:numPr>
          <w:ilvl w:val="1"/>
          <w:numId w:val="5"/>
        </w:numPr>
        <w:ind w:left="567" w:hanging="567"/>
        <w:rPr>
          <w:rFonts w:ascii="Arial" w:hAnsi="Arial" w:cs="Arial"/>
        </w:rPr>
      </w:pPr>
      <w:r w:rsidRPr="00482593">
        <w:rPr>
          <w:rFonts w:ascii="Arial" w:hAnsi="Arial" w:cs="Arial"/>
        </w:rPr>
        <w:t>CCS reserves the right to request, and you should upon that request, undertake a further Security Check (SC) clearance for those individuals who have access to the entire data set or frequent and uncontrolled access to SECRET assets and/or occasional, supervised access to TOP SECRET assets.</w:t>
      </w:r>
    </w:p>
    <w:p w14:paraId="00000021" w14:textId="77777777" w:rsidR="00786B3A" w:rsidRPr="00482593" w:rsidRDefault="00786B3A">
      <w:pPr>
        <w:spacing w:after="0"/>
        <w:jc w:val="both"/>
        <w:rPr>
          <w:rFonts w:ascii="Arial" w:hAnsi="Arial" w:cs="Arial"/>
        </w:rPr>
      </w:pPr>
    </w:p>
    <w:p w14:paraId="00000022" w14:textId="77777777" w:rsidR="00786B3A" w:rsidRPr="00482593" w:rsidRDefault="00E23DF7" w:rsidP="00C130DF">
      <w:pPr>
        <w:pStyle w:val="ListParagraph"/>
        <w:numPr>
          <w:ilvl w:val="1"/>
          <w:numId w:val="5"/>
        </w:numPr>
        <w:ind w:left="567"/>
        <w:rPr>
          <w:rFonts w:ascii="Arial" w:hAnsi="Arial" w:cs="Arial"/>
        </w:rPr>
      </w:pPr>
      <w:r w:rsidRPr="00482593">
        <w:rPr>
          <w:rFonts w:ascii="Arial" w:hAnsi="Arial" w:cs="Arial"/>
        </w:rPr>
        <w:t>The Service Provider should be able to demonstrate to CCS, at any time, that the business solutions meet the required levels of personal, procedural, policy, data and technical security as set out in this Specification and the Concession Contract.</w:t>
      </w:r>
    </w:p>
    <w:p w14:paraId="00000023" w14:textId="77777777" w:rsidR="00786B3A" w:rsidRPr="00482593" w:rsidRDefault="00786B3A">
      <w:pPr>
        <w:spacing w:after="0"/>
        <w:jc w:val="both"/>
        <w:rPr>
          <w:rFonts w:ascii="Arial" w:hAnsi="Arial" w:cs="Arial"/>
        </w:rPr>
      </w:pPr>
    </w:p>
    <w:p w14:paraId="00000024" w14:textId="77777777" w:rsidR="00786B3A" w:rsidRPr="00482593" w:rsidRDefault="00E23DF7" w:rsidP="00C130DF">
      <w:pPr>
        <w:pStyle w:val="ListParagraph"/>
        <w:numPr>
          <w:ilvl w:val="1"/>
          <w:numId w:val="5"/>
        </w:numPr>
        <w:ind w:left="567"/>
        <w:rPr>
          <w:rFonts w:ascii="Arial" w:hAnsi="Arial" w:cs="Arial"/>
        </w:rPr>
      </w:pPr>
      <w:r w:rsidRPr="00482593">
        <w:rPr>
          <w:rFonts w:ascii="Arial" w:hAnsi="Arial" w:cs="Arial"/>
        </w:rPr>
        <w:t xml:space="preserve">The Service Provider must meet a minimum security standard of Cyber Essentials accreditation by Go Live Date. Further information can be found on the following link: </w:t>
      </w:r>
    </w:p>
    <w:p w14:paraId="00000025" w14:textId="77777777" w:rsidR="00786B3A" w:rsidRPr="00482593" w:rsidRDefault="00195DDE">
      <w:pPr>
        <w:spacing w:before="160" w:after="0"/>
        <w:jc w:val="both"/>
        <w:rPr>
          <w:rFonts w:ascii="Arial" w:hAnsi="Arial" w:cs="Arial"/>
        </w:rPr>
      </w:pPr>
      <w:hyperlink r:id="rId16">
        <w:r w:rsidR="00E23DF7" w:rsidRPr="00482593">
          <w:rPr>
            <w:rFonts w:ascii="Arial" w:hAnsi="Arial" w:cs="Arial"/>
            <w:color w:val="1155CC"/>
            <w:u w:val="single"/>
          </w:rPr>
          <w:t>https://www.cyberaware.gov.uk/cyberessentials/</w:t>
        </w:r>
      </w:hyperlink>
      <w:r w:rsidR="00E23DF7" w:rsidRPr="00482593">
        <w:rPr>
          <w:rFonts w:ascii="Arial" w:hAnsi="Arial" w:cs="Arial"/>
        </w:rPr>
        <w:t xml:space="preserve"> </w:t>
      </w:r>
    </w:p>
    <w:p w14:paraId="00000026" w14:textId="77777777" w:rsidR="00786B3A" w:rsidRPr="00482593" w:rsidRDefault="00786B3A">
      <w:pPr>
        <w:spacing w:after="0"/>
        <w:ind w:left="690" w:firstLine="19"/>
        <w:jc w:val="both"/>
        <w:rPr>
          <w:rFonts w:ascii="Arial" w:hAnsi="Arial" w:cs="Arial"/>
        </w:rPr>
      </w:pPr>
    </w:p>
    <w:p w14:paraId="00000027" w14:textId="77777777" w:rsidR="00786B3A" w:rsidRPr="00482593" w:rsidRDefault="00E23DF7" w:rsidP="00482593">
      <w:pPr>
        <w:pStyle w:val="ListParagraph"/>
        <w:numPr>
          <w:ilvl w:val="1"/>
          <w:numId w:val="5"/>
        </w:numPr>
        <w:ind w:left="567" w:hanging="567"/>
        <w:rPr>
          <w:rFonts w:ascii="Arial" w:hAnsi="Arial" w:cs="Arial"/>
        </w:rPr>
      </w:pPr>
      <w:r w:rsidRPr="00482593">
        <w:rPr>
          <w:rFonts w:ascii="Arial" w:hAnsi="Arial" w:cs="Arial"/>
        </w:rPr>
        <w:t>Software that interconnects with HMG systems or manage HMG data will be required to undergo assessment to identify technical risks. Proportionate assurance processes shall be demonstrated to provide confidence that these identified risks are properly managed.</w:t>
      </w:r>
    </w:p>
    <w:p w14:paraId="00000028" w14:textId="77777777" w:rsidR="00786B3A" w:rsidRPr="00482593" w:rsidRDefault="00786B3A">
      <w:pPr>
        <w:spacing w:after="0"/>
        <w:jc w:val="both"/>
        <w:rPr>
          <w:rFonts w:ascii="Arial" w:hAnsi="Arial" w:cs="Arial"/>
        </w:rPr>
      </w:pPr>
    </w:p>
    <w:p w14:paraId="00000029" w14:textId="77777777" w:rsidR="00786B3A" w:rsidRPr="00482593" w:rsidRDefault="00E23DF7" w:rsidP="00482593">
      <w:pPr>
        <w:pStyle w:val="ListParagraph"/>
        <w:numPr>
          <w:ilvl w:val="1"/>
          <w:numId w:val="5"/>
        </w:numPr>
        <w:ind w:left="567" w:hanging="567"/>
        <w:rPr>
          <w:rFonts w:ascii="Arial" w:hAnsi="Arial" w:cs="Arial"/>
        </w:rPr>
      </w:pPr>
      <w:r w:rsidRPr="00482593">
        <w:rPr>
          <w:rFonts w:ascii="Arial" w:hAnsi="Arial" w:cs="Arial"/>
        </w:rPr>
        <w:t>The Service Provider will be required to demonstrate evidence of Cyber Security procedures at the relevant milestones as scheduled in schedule 9 of the Contract.</w:t>
      </w:r>
    </w:p>
    <w:p w14:paraId="0000002A" w14:textId="77777777" w:rsidR="00786B3A" w:rsidRPr="00482593" w:rsidRDefault="00786B3A">
      <w:pPr>
        <w:spacing w:after="0"/>
        <w:jc w:val="both"/>
        <w:rPr>
          <w:rFonts w:ascii="Arial" w:hAnsi="Arial" w:cs="Arial"/>
        </w:rPr>
      </w:pPr>
    </w:p>
    <w:p w14:paraId="0000002B" w14:textId="77777777" w:rsidR="00786B3A" w:rsidRPr="00482593" w:rsidRDefault="00E23DF7" w:rsidP="00482593">
      <w:pPr>
        <w:pStyle w:val="ListParagraph"/>
        <w:numPr>
          <w:ilvl w:val="1"/>
          <w:numId w:val="5"/>
        </w:numPr>
        <w:ind w:left="567" w:hanging="567"/>
        <w:rPr>
          <w:rFonts w:ascii="Arial" w:hAnsi="Arial" w:cs="Arial"/>
        </w:rPr>
      </w:pPr>
      <w:r w:rsidRPr="00482593">
        <w:rPr>
          <w:rFonts w:ascii="Arial" w:hAnsi="Arial" w:cs="Arial"/>
        </w:rPr>
        <w:t>CCS will work with you as required to ensure the proportionality of the contract and establish the:</w:t>
      </w:r>
    </w:p>
    <w:p w14:paraId="0000002C" w14:textId="77777777" w:rsidR="00786B3A" w:rsidRPr="00482593" w:rsidRDefault="00E23DF7" w:rsidP="00361CC7">
      <w:pPr>
        <w:pStyle w:val="ListParagraph"/>
        <w:numPr>
          <w:ilvl w:val="2"/>
          <w:numId w:val="5"/>
        </w:numPr>
        <w:ind w:left="1560" w:hanging="788"/>
        <w:rPr>
          <w:rFonts w:ascii="Arial" w:hAnsi="Arial" w:cs="Arial"/>
        </w:rPr>
      </w:pPr>
      <w:r w:rsidRPr="00482593">
        <w:rPr>
          <w:rFonts w:ascii="Arial" w:hAnsi="Arial" w:cs="Arial"/>
        </w:rPr>
        <w:t>accreditation/assurance plan prior to Go Live Date and during the Term of the Agreement;</w:t>
      </w:r>
    </w:p>
    <w:p w14:paraId="0000002D" w14:textId="77777777" w:rsidR="00786B3A" w:rsidRPr="00482593" w:rsidRDefault="00E23DF7" w:rsidP="00361CC7">
      <w:pPr>
        <w:pStyle w:val="ListParagraph"/>
        <w:numPr>
          <w:ilvl w:val="2"/>
          <w:numId w:val="5"/>
        </w:numPr>
        <w:ind w:left="1560" w:hanging="788"/>
        <w:rPr>
          <w:rFonts w:ascii="Arial" w:hAnsi="Arial" w:cs="Arial"/>
        </w:rPr>
      </w:pPr>
      <w:r w:rsidRPr="00482593">
        <w:rPr>
          <w:rFonts w:ascii="Arial" w:hAnsi="Arial" w:cs="Arial"/>
        </w:rPr>
        <w:t>Roles and Responsibility of the various Stakeholders within the Organisation.</w:t>
      </w:r>
    </w:p>
    <w:p w14:paraId="0000002E" w14:textId="77777777" w:rsidR="00786B3A" w:rsidRPr="00482593" w:rsidRDefault="00786B3A">
      <w:pPr>
        <w:spacing w:after="0"/>
        <w:ind w:left="720"/>
        <w:jc w:val="both"/>
        <w:rPr>
          <w:rFonts w:ascii="Arial" w:hAnsi="Arial" w:cs="Arial"/>
        </w:rPr>
      </w:pPr>
    </w:p>
    <w:p w14:paraId="0000002F" w14:textId="77777777" w:rsidR="00786B3A" w:rsidRPr="00482593" w:rsidRDefault="00E23DF7" w:rsidP="00482593">
      <w:pPr>
        <w:pStyle w:val="ListParagraph"/>
        <w:numPr>
          <w:ilvl w:val="1"/>
          <w:numId w:val="5"/>
        </w:numPr>
        <w:ind w:left="567" w:hanging="567"/>
        <w:rPr>
          <w:rFonts w:ascii="Arial" w:hAnsi="Arial" w:cs="Arial"/>
        </w:rPr>
      </w:pPr>
      <w:r w:rsidRPr="00482593">
        <w:rPr>
          <w:rFonts w:ascii="Arial" w:hAnsi="Arial" w:cs="Arial"/>
        </w:rPr>
        <w:lastRenderedPageBreak/>
        <w:t>Before the Service Live Date and annually thereafter, the Service Provider will be required to undertake CHECK Assurance with an approved National Cyber Security Centre provider in accordance with Schedule 9. More information can be found on the following links:</w:t>
      </w:r>
    </w:p>
    <w:p w14:paraId="00000030" w14:textId="77777777" w:rsidR="00786B3A" w:rsidRPr="00482593" w:rsidRDefault="00E23DF7">
      <w:pPr>
        <w:spacing w:before="160" w:after="160"/>
        <w:ind w:left="720" w:hanging="363"/>
        <w:jc w:val="both"/>
        <w:rPr>
          <w:rFonts w:ascii="Arial" w:hAnsi="Arial" w:cs="Arial"/>
        </w:rPr>
      </w:pPr>
      <w:r w:rsidRPr="00482593">
        <w:rPr>
          <w:rFonts w:ascii="Arial" w:hAnsi="Arial" w:cs="Arial"/>
        </w:rPr>
        <w:tab/>
      </w:r>
      <w:hyperlink r:id="rId17">
        <w:r w:rsidRPr="00482593">
          <w:rPr>
            <w:rFonts w:ascii="Arial" w:hAnsi="Arial" w:cs="Arial"/>
            <w:color w:val="1155CC"/>
            <w:u w:val="single"/>
          </w:rPr>
          <w:t>https://www.ncsc.gov.uk/scheme/penetration-testing</w:t>
        </w:r>
      </w:hyperlink>
    </w:p>
    <w:p w14:paraId="00000031" w14:textId="77777777" w:rsidR="00786B3A" w:rsidRPr="00482593" w:rsidRDefault="00E23DF7">
      <w:pPr>
        <w:spacing w:before="160" w:after="160"/>
        <w:ind w:left="720" w:hanging="363"/>
        <w:jc w:val="both"/>
        <w:rPr>
          <w:rFonts w:ascii="Arial" w:hAnsi="Arial" w:cs="Arial"/>
        </w:rPr>
      </w:pPr>
      <w:r w:rsidRPr="00482593">
        <w:rPr>
          <w:rFonts w:ascii="Arial" w:hAnsi="Arial" w:cs="Arial"/>
        </w:rPr>
        <w:tab/>
      </w:r>
      <w:hyperlink r:id="rId18">
        <w:r w:rsidRPr="00482593">
          <w:rPr>
            <w:rFonts w:ascii="Arial" w:hAnsi="Arial" w:cs="Arial"/>
            <w:color w:val="1155CC"/>
            <w:u w:val="single"/>
          </w:rPr>
          <w:t>https://www.ncsc.gov.uk/articles/using-check-provider</w:t>
        </w:r>
      </w:hyperlink>
    </w:p>
    <w:p w14:paraId="00000032" w14:textId="11D4F797" w:rsidR="00786B3A" w:rsidRPr="00482593" w:rsidRDefault="00E23DF7" w:rsidP="00482593">
      <w:pPr>
        <w:pStyle w:val="ListParagraph"/>
        <w:numPr>
          <w:ilvl w:val="1"/>
          <w:numId w:val="5"/>
        </w:numPr>
        <w:ind w:left="567" w:hanging="567"/>
        <w:rPr>
          <w:rFonts w:ascii="Arial" w:hAnsi="Arial" w:cs="Arial"/>
        </w:rPr>
      </w:pPr>
      <w:r w:rsidRPr="00482593">
        <w:rPr>
          <w:rFonts w:ascii="Arial" w:hAnsi="Arial" w:cs="Arial"/>
        </w:rPr>
        <w:t xml:space="preserve">The Service Provider should comply with all current and future legislation appropriate to the secure operation and use of IT systems in providing services and systems to </w:t>
      </w:r>
      <w:r w:rsidR="005D6551">
        <w:rPr>
          <w:rFonts w:ascii="Arial" w:hAnsi="Arial" w:cs="Arial"/>
        </w:rPr>
        <w:t>Customer</w:t>
      </w:r>
      <w:r w:rsidRPr="00482593">
        <w:rPr>
          <w:rFonts w:ascii="Arial" w:hAnsi="Arial" w:cs="Arial"/>
        </w:rPr>
        <w:t>s.</w:t>
      </w:r>
    </w:p>
    <w:p w14:paraId="00000033" w14:textId="77777777" w:rsidR="00786B3A" w:rsidRPr="00482593" w:rsidRDefault="00786B3A">
      <w:pPr>
        <w:spacing w:after="0"/>
        <w:jc w:val="both"/>
        <w:rPr>
          <w:rFonts w:ascii="Arial" w:hAnsi="Arial" w:cs="Arial"/>
        </w:rPr>
      </w:pPr>
    </w:p>
    <w:p w14:paraId="00000034" w14:textId="77777777" w:rsidR="00786B3A" w:rsidRPr="00482593" w:rsidRDefault="00E23DF7" w:rsidP="00482593">
      <w:pPr>
        <w:pStyle w:val="ListParagraph"/>
        <w:numPr>
          <w:ilvl w:val="1"/>
          <w:numId w:val="5"/>
        </w:numPr>
        <w:ind w:left="567" w:hanging="567"/>
        <w:rPr>
          <w:rFonts w:ascii="Arial" w:hAnsi="Arial" w:cs="Arial"/>
        </w:rPr>
      </w:pPr>
      <w:r w:rsidRPr="00482593">
        <w:rPr>
          <w:rFonts w:ascii="Arial" w:hAnsi="Arial" w:cs="Arial"/>
        </w:rPr>
        <w:t>Where the Service Provider proposes to use sub-contractors to provision part of the services and systems and these sub-contractors will be involved in handling commercially sensitive and/ or personal information with regard to the services and systems, such sub-contractors shall also be compliant with the above data security requirements.</w:t>
      </w:r>
    </w:p>
    <w:p w14:paraId="00000035" w14:textId="77777777" w:rsidR="00786B3A" w:rsidRPr="00482593" w:rsidRDefault="00786B3A">
      <w:pPr>
        <w:spacing w:after="0"/>
        <w:jc w:val="both"/>
        <w:rPr>
          <w:rFonts w:ascii="Arial" w:hAnsi="Arial" w:cs="Arial"/>
        </w:rPr>
      </w:pPr>
    </w:p>
    <w:p w14:paraId="00000036" w14:textId="77777777" w:rsidR="00786B3A" w:rsidRPr="00482593" w:rsidRDefault="00E23DF7" w:rsidP="00482593">
      <w:pPr>
        <w:pStyle w:val="ListParagraph"/>
        <w:numPr>
          <w:ilvl w:val="1"/>
          <w:numId w:val="5"/>
        </w:numPr>
        <w:ind w:left="567" w:hanging="567"/>
        <w:rPr>
          <w:rFonts w:ascii="Arial" w:hAnsi="Arial" w:cs="Arial"/>
        </w:rPr>
      </w:pPr>
      <w:r w:rsidRPr="00482593">
        <w:rPr>
          <w:rFonts w:ascii="Arial" w:hAnsi="Arial" w:cs="Arial"/>
        </w:rPr>
        <w:t>The Service Provider must comply with the forthcoming EU General Data Protection Regulation (GDPR) and the Data Protection Act 2018 when they come into force on 28 May 2018.</w:t>
      </w:r>
    </w:p>
    <w:p w14:paraId="00000037" w14:textId="77777777" w:rsidR="00786B3A" w:rsidRPr="00482593" w:rsidRDefault="00E23DF7">
      <w:pPr>
        <w:pStyle w:val="Heading2"/>
        <w:spacing w:after="0"/>
        <w:jc w:val="both"/>
        <w:rPr>
          <w:rFonts w:ascii="Arial" w:hAnsi="Arial" w:cs="Arial"/>
        </w:rPr>
      </w:pPr>
      <w:bookmarkStart w:id="4" w:name="_trd1qgucvc4b" w:colFirst="0" w:colLast="0"/>
      <w:bookmarkEnd w:id="4"/>
      <w:r w:rsidRPr="00482593">
        <w:rPr>
          <w:rFonts w:ascii="Arial" w:hAnsi="Arial" w:cs="Arial"/>
        </w:rPr>
        <w:t>Service Provision</w:t>
      </w:r>
    </w:p>
    <w:p w14:paraId="00000038" w14:textId="77777777" w:rsidR="00786B3A" w:rsidRPr="00482593" w:rsidRDefault="00E23DF7" w:rsidP="00482593">
      <w:pPr>
        <w:pStyle w:val="Heading3"/>
        <w:numPr>
          <w:ilvl w:val="0"/>
          <w:numId w:val="5"/>
        </w:numPr>
        <w:ind w:left="567" w:hanging="567"/>
        <w:rPr>
          <w:rFonts w:ascii="Arial" w:hAnsi="Arial" w:cs="Arial"/>
        </w:rPr>
      </w:pPr>
      <w:r w:rsidRPr="00482593">
        <w:rPr>
          <w:rFonts w:ascii="Arial" w:hAnsi="Arial" w:cs="Arial"/>
        </w:rPr>
        <w:t>Service Documentation</w:t>
      </w:r>
    </w:p>
    <w:p w14:paraId="00000039" w14:textId="77777777" w:rsidR="00786B3A" w:rsidRPr="00482593" w:rsidRDefault="00E23DF7" w:rsidP="00482593">
      <w:pPr>
        <w:pStyle w:val="ListParagraph"/>
        <w:numPr>
          <w:ilvl w:val="1"/>
          <w:numId w:val="5"/>
        </w:numPr>
        <w:ind w:left="567" w:hanging="567"/>
        <w:rPr>
          <w:rFonts w:ascii="Arial" w:hAnsi="Arial" w:cs="Arial"/>
        </w:rPr>
      </w:pPr>
      <w:r w:rsidRPr="00482593">
        <w:rPr>
          <w:rFonts w:ascii="Arial" w:hAnsi="Arial" w:cs="Arial"/>
        </w:rPr>
        <w:t>Documentation for the service should cover the setup, management and configuration of the service. Documentation must be aligned with the current version of the service. Documentation must be available online and via PDF’s, and ideally be supported by a demonstration site.</w:t>
      </w:r>
    </w:p>
    <w:p w14:paraId="0000003A" w14:textId="77777777" w:rsidR="00786B3A" w:rsidRPr="00482593" w:rsidRDefault="00E23DF7" w:rsidP="00482593">
      <w:pPr>
        <w:pStyle w:val="Heading3"/>
        <w:numPr>
          <w:ilvl w:val="0"/>
          <w:numId w:val="5"/>
        </w:numPr>
        <w:ind w:left="567" w:hanging="567"/>
        <w:rPr>
          <w:rFonts w:ascii="Arial" w:hAnsi="Arial" w:cs="Arial"/>
        </w:rPr>
      </w:pPr>
      <w:r w:rsidRPr="00482593">
        <w:rPr>
          <w:rFonts w:ascii="Arial" w:hAnsi="Arial" w:cs="Arial"/>
        </w:rPr>
        <w:t>Service Environments</w:t>
      </w:r>
    </w:p>
    <w:p w14:paraId="0000003B" w14:textId="058A067E" w:rsidR="00786B3A" w:rsidRPr="00482593" w:rsidRDefault="00E23DF7" w:rsidP="00482593">
      <w:pPr>
        <w:pStyle w:val="ListParagraph"/>
        <w:numPr>
          <w:ilvl w:val="1"/>
          <w:numId w:val="5"/>
        </w:numPr>
        <w:ind w:left="567" w:hanging="567"/>
        <w:rPr>
          <w:rFonts w:ascii="Arial" w:hAnsi="Arial" w:cs="Arial"/>
        </w:rPr>
      </w:pPr>
      <w:r w:rsidRPr="00482593">
        <w:rPr>
          <w:rFonts w:ascii="Arial" w:hAnsi="Arial" w:cs="Arial"/>
          <w:b/>
        </w:rPr>
        <w:t>Sandbox:</w:t>
      </w:r>
      <w:r w:rsidRPr="00482593">
        <w:rPr>
          <w:rFonts w:ascii="Arial" w:hAnsi="Arial" w:cs="Arial"/>
        </w:rPr>
        <w:t xml:space="preserve"> The Service should include a test or Sandbox environment for </w:t>
      </w:r>
      <w:r w:rsidR="005D6551">
        <w:rPr>
          <w:rFonts w:ascii="Arial" w:hAnsi="Arial" w:cs="Arial"/>
        </w:rPr>
        <w:t>Customer</w:t>
      </w:r>
      <w:r w:rsidRPr="00482593">
        <w:rPr>
          <w:rFonts w:ascii="Arial" w:hAnsi="Arial" w:cs="Arial"/>
        </w:rPr>
        <w:t xml:space="preserve">s. This will allow a </w:t>
      </w:r>
      <w:r w:rsidR="005D6551">
        <w:rPr>
          <w:rFonts w:ascii="Arial" w:hAnsi="Arial" w:cs="Arial"/>
        </w:rPr>
        <w:t>Customer</w:t>
      </w:r>
      <w:r w:rsidRPr="00482593">
        <w:rPr>
          <w:rFonts w:ascii="Arial" w:hAnsi="Arial" w:cs="Arial"/>
        </w:rPr>
        <w:t xml:space="preserve"> to setup and test service usage without incurring fees. Switching from Sandbox to Production should be minimal effort for the </w:t>
      </w:r>
      <w:r w:rsidR="005D6551">
        <w:rPr>
          <w:rFonts w:ascii="Arial" w:hAnsi="Arial" w:cs="Arial"/>
        </w:rPr>
        <w:t>Customer</w:t>
      </w:r>
      <w:r w:rsidRPr="00482593">
        <w:rPr>
          <w:rFonts w:ascii="Arial" w:hAnsi="Arial" w:cs="Arial"/>
        </w:rPr>
        <w:t>.</w:t>
      </w:r>
      <w:r w:rsidR="00482593">
        <w:rPr>
          <w:rFonts w:ascii="Arial" w:hAnsi="Arial" w:cs="Arial"/>
        </w:rPr>
        <w:br/>
      </w:r>
    </w:p>
    <w:p w14:paraId="0000003C" w14:textId="5DED91C4" w:rsidR="00786B3A" w:rsidRPr="00482593" w:rsidRDefault="00E23DF7" w:rsidP="00482593">
      <w:pPr>
        <w:pStyle w:val="ListParagraph"/>
        <w:numPr>
          <w:ilvl w:val="1"/>
          <w:numId w:val="5"/>
        </w:numPr>
        <w:ind w:left="567" w:hanging="567"/>
        <w:rPr>
          <w:rFonts w:ascii="Arial" w:hAnsi="Arial" w:cs="Arial"/>
        </w:rPr>
      </w:pPr>
      <w:r w:rsidRPr="00482593">
        <w:rPr>
          <w:rFonts w:ascii="Arial" w:hAnsi="Arial" w:cs="Arial"/>
          <w:b/>
        </w:rPr>
        <w:t>Production:</w:t>
      </w:r>
      <w:r w:rsidRPr="00482593">
        <w:rPr>
          <w:rFonts w:ascii="Arial" w:hAnsi="Arial" w:cs="Arial"/>
        </w:rPr>
        <w:t xml:space="preserve"> The service must include a live or Production environment for </w:t>
      </w:r>
      <w:r w:rsidR="005D6551">
        <w:rPr>
          <w:rFonts w:ascii="Arial" w:hAnsi="Arial" w:cs="Arial"/>
        </w:rPr>
        <w:t>Customer</w:t>
      </w:r>
      <w:r w:rsidRPr="00482593">
        <w:rPr>
          <w:rFonts w:ascii="Arial" w:hAnsi="Arial" w:cs="Arial"/>
        </w:rPr>
        <w:t xml:space="preserve">s. This will be used for live transactions. </w:t>
      </w:r>
    </w:p>
    <w:p w14:paraId="0000003D" w14:textId="151ACFDF" w:rsidR="00786B3A" w:rsidRPr="00482593" w:rsidRDefault="005D6551" w:rsidP="00482593">
      <w:pPr>
        <w:pStyle w:val="Heading3"/>
        <w:numPr>
          <w:ilvl w:val="0"/>
          <w:numId w:val="5"/>
        </w:numPr>
        <w:ind w:left="567" w:hanging="567"/>
        <w:rPr>
          <w:rFonts w:ascii="Arial" w:hAnsi="Arial" w:cs="Arial"/>
        </w:rPr>
      </w:pPr>
      <w:r>
        <w:rPr>
          <w:rFonts w:ascii="Arial" w:hAnsi="Arial" w:cs="Arial"/>
        </w:rPr>
        <w:t>Customer</w:t>
      </w:r>
      <w:r w:rsidR="00E23DF7" w:rsidRPr="00482593">
        <w:rPr>
          <w:rFonts w:ascii="Arial" w:hAnsi="Arial" w:cs="Arial"/>
        </w:rPr>
        <w:t xml:space="preserve"> Onboarding</w:t>
      </w:r>
    </w:p>
    <w:p w14:paraId="0000003E" w14:textId="22F465E9" w:rsidR="00786B3A" w:rsidRPr="00482593" w:rsidRDefault="005D6551" w:rsidP="00482593">
      <w:pPr>
        <w:pStyle w:val="ListParagraph"/>
        <w:numPr>
          <w:ilvl w:val="1"/>
          <w:numId w:val="5"/>
        </w:numPr>
        <w:ind w:left="567" w:hanging="567"/>
        <w:rPr>
          <w:rFonts w:ascii="Arial" w:hAnsi="Arial" w:cs="Arial"/>
        </w:rPr>
      </w:pPr>
      <w:r>
        <w:rPr>
          <w:rFonts w:ascii="Arial" w:hAnsi="Arial" w:cs="Arial"/>
        </w:rPr>
        <w:t>Customer</w:t>
      </w:r>
      <w:r w:rsidR="00E23DF7" w:rsidRPr="00482593">
        <w:rPr>
          <w:rFonts w:ascii="Arial" w:hAnsi="Arial" w:cs="Arial"/>
        </w:rPr>
        <w:t>s should be able to plug-in the service using REST API’s. The Onboarding process should be as simple as possible and be configurable without changing code in the service.</w:t>
      </w:r>
    </w:p>
    <w:p w14:paraId="0000003F" w14:textId="49995AAC" w:rsidR="00786B3A" w:rsidRPr="00482593" w:rsidRDefault="005D6551" w:rsidP="00482593">
      <w:pPr>
        <w:pStyle w:val="Heading3"/>
        <w:numPr>
          <w:ilvl w:val="0"/>
          <w:numId w:val="5"/>
        </w:numPr>
        <w:ind w:left="567" w:hanging="567"/>
        <w:rPr>
          <w:rFonts w:ascii="Arial" w:hAnsi="Arial" w:cs="Arial"/>
        </w:rPr>
      </w:pPr>
      <w:r>
        <w:rPr>
          <w:rFonts w:ascii="Arial" w:hAnsi="Arial" w:cs="Arial"/>
        </w:rPr>
        <w:t>Customer</w:t>
      </w:r>
      <w:r w:rsidR="00E23DF7" w:rsidRPr="00482593">
        <w:rPr>
          <w:rFonts w:ascii="Arial" w:hAnsi="Arial" w:cs="Arial"/>
        </w:rPr>
        <w:t xml:space="preserve"> Offboarding</w:t>
      </w:r>
    </w:p>
    <w:p w14:paraId="00000040" w14:textId="2CB2CFAA" w:rsidR="00786B3A" w:rsidRPr="00482593" w:rsidRDefault="00E23DF7" w:rsidP="00482593">
      <w:pPr>
        <w:pStyle w:val="ListParagraph"/>
        <w:numPr>
          <w:ilvl w:val="1"/>
          <w:numId w:val="5"/>
        </w:numPr>
        <w:ind w:left="567" w:hanging="567"/>
        <w:rPr>
          <w:rFonts w:ascii="Arial" w:hAnsi="Arial" w:cs="Arial"/>
        </w:rPr>
      </w:pPr>
      <w:r w:rsidRPr="00482593">
        <w:rPr>
          <w:rFonts w:ascii="Arial" w:hAnsi="Arial" w:cs="Arial"/>
        </w:rPr>
        <w:t xml:space="preserve">At the end of the service contract period </w:t>
      </w:r>
      <w:r w:rsidR="005D6551">
        <w:rPr>
          <w:rFonts w:ascii="Arial" w:hAnsi="Arial" w:cs="Arial"/>
        </w:rPr>
        <w:t>Customer</w:t>
      </w:r>
      <w:r w:rsidRPr="00482593">
        <w:rPr>
          <w:rFonts w:ascii="Arial" w:hAnsi="Arial" w:cs="Arial"/>
        </w:rPr>
        <w:t xml:space="preserve">s should be able to manage (test, schedule and end) the transition from the current service to any new service provider without incurring additional costs, unless this is part of the contract agreement. The </w:t>
      </w:r>
      <w:r w:rsidR="005D6551">
        <w:rPr>
          <w:rFonts w:ascii="Arial" w:hAnsi="Arial" w:cs="Arial"/>
        </w:rPr>
        <w:t>Customer</w:t>
      </w:r>
      <w:r w:rsidRPr="00482593">
        <w:rPr>
          <w:rFonts w:ascii="Arial" w:hAnsi="Arial" w:cs="Arial"/>
        </w:rPr>
        <w:t xml:space="preserve"> will be considered offboarded 30 days after their last transaction has been completed and any dispute period finished. </w:t>
      </w:r>
    </w:p>
    <w:p w14:paraId="00000041" w14:textId="77777777" w:rsidR="00786B3A" w:rsidRPr="00482593" w:rsidRDefault="00E23DF7" w:rsidP="00482593">
      <w:pPr>
        <w:pStyle w:val="Heading3"/>
        <w:numPr>
          <w:ilvl w:val="0"/>
          <w:numId w:val="5"/>
        </w:numPr>
        <w:ind w:left="567" w:hanging="567"/>
        <w:rPr>
          <w:rFonts w:ascii="Arial" w:hAnsi="Arial" w:cs="Arial"/>
        </w:rPr>
      </w:pPr>
      <w:r w:rsidRPr="00482593">
        <w:rPr>
          <w:rFonts w:ascii="Arial" w:hAnsi="Arial" w:cs="Arial"/>
        </w:rPr>
        <w:lastRenderedPageBreak/>
        <w:t>Service Availability</w:t>
      </w:r>
    </w:p>
    <w:p w14:paraId="7651FDDF" w14:textId="77777777" w:rsidR="00105530" w:rsidRPr="00482593" w:rsidRDefault="00E23DF7" w:rsidP="00482593">
      <w:pPr>
        <w:pStyle w:val="ListParagraph"/>
        <w:numPr>
          <w:ilvl w:val="1"/>
          <w:numId w:val="5"/>
        </w:numPr>
        <w:ind w:left="567" w:hanging="567"/>
        <w:rPr>
          <w:rFonts w:ascii="Arial" w:hAnsi="Arial" w:cs="Arial"/>
        </w:rPr>
      </w:pPr>
      <w:r w:rsidRPr="00482593">
        <w:rPr>
          <w:rFonts w:ascii="Arial" w:hAnsi="Arial" w:cs="Arial"/>
        </w:rPr>
        <w:t xml:space="preserve">The service should be available 99.8% of the time; outside published and scheduled service maintenance times, and security patches/updates times. </w:t>
      </w:r>
    </w:p>
    <w:p w14:paraId="00000042" w14:textId="3448F0E0" w:rsidR="00786B3A" w:rsidRPr="00482593" w:rsidRDefault="005D6551" w:rsidP="00482593">
      <w:pPr>
        <w:pStyle w:val="ListParagraph"/>
        <w:numPr>
          <w:ilvl w:val="1"/>
          <w:numId w:val="5"/>
        </w:numPr>
        <w:ind w:left="567" w:hanging="567"/>
        <w:rPr>
          <w:rFonts w:ascii="Arial" w:hAnsi="Arial" w:cs="Arial"/>
        </w:rPr>
      </w:pPr>
      <w:r>
        <w:rPr>
          <w:rFonts w:ascii="Arial" w:hAnsi="Arial" w:cs="Arial"/>
        </w:rPr>
        <w:t>Customer</w:t>
      </w:r>
      <w:r w:rsidR="00E23DF7" w:rsidRPr="00482593">
        <w:rPr>
          <w:rFonts w:ascii="Arial" w:hAnsi="Arial" w:cs="Arial"/>
        </w:rPr>
        <w:t xml:space="preserve">s </w:t>
      </w:r>
      <w:r w:rsidR="00105530" w:rsidRPr="00482593">
        <w:rPr>
          <w:rFonts w:ascii="Arial" w:hAnsi="Arial" w:cs="Arial"/>
        </w:rPr>
        <w:t>shall</w:t>
      </w:r>
      <w:r w:rsidR="00E23DF7" w:rsidRPr="00482593">
        <w:rPr>
          <w:rFonts w:ascii="Arial" w:hAnsi="Arial" w:cs="Arial"/>
        </w:rPr>
        <w:t xml:space="preserve"> be notified of all scheduled/unscheduled service outages and availability figures published on a regular basis.</w:t>
      </w:r>
    </w:p>
    <w:p w14:paraId="00000043" w14:textId="77777777" w:rsidR="00786B3A" w:rsidRPr="00482593" w:rsidRDefault="00E23DF7" w:rsidP="00482593">
      <w:pPr>
        <w:pStyle w:val="Heading3"/>
        <w:numPr>
          <w:ilvl w:val="0"/>
          <w:numId w:val="5"/>
        </w:numPr>
        <w:ind w:left="567" w:hanging="567"/>
        <w:rPr>
          <w:rFonts w:ascii="Arial" w:hAnsi="Arial" w:cs="Arial"/>
        </w:rPr>
      </w:pPr>
      <w:r w:rsidRPr="00482593">
        <w:rPr>
          <w:rFonts w:ascii="Arial" w:hAnsi="Arial" w:cs="Arial"/>
        </w:rPr>
        <w:t>Service Updates</w:t>
      </w:r>
    </w:p>
    <w:p w14:paraId="00000044" w14:textId="2DFEEA8A" w:rsidR="00786B3A" w:rsidRPr="00482593" w:rsidRDefault="00E23DF7" w:rsidP="00482593">
      <w:pPr>
        <w:pStyle w:val="ListParagraph"/>
        <w:numPr>
          <w:ilvl w:val="1"/>
          <w:numId w:val="5"/>
        </w:numPr>
        <w:ind w:left="567" w:hanging="567"/>
        <w:rPr>
          <w:rFonts w:ascii="Arial" w:hAnsi="Arial" w:cs="Arial"/>
        </w:rPr>
      </w:pPr>
      <w:r w:rsidRPr="00482593">
        <w:rPr>
          <w:rFonts w:ascii="Arial" w:hAnsi="Arial" w:cs="Arial"/>
        </w:rPr>
        <w:t xml:space="preserve">The Service Provider must ensure that any updates to the service are fully tested and secure before being applied. Unless </w:t>
      </w:r>
      <w:r w:rsidR="005D6551">
        <w:rPr>
          <w:rFonts w:ascii="Arial" w:hAnsi="Arial" w:cs="Arial"/>
        </w:rPr>
        <w:t>Customer</w:t>
      </w:r>
      <w:r w:rsidRPr="00482593">
        <w:rPr>
          <w:rFonts w:ascii="Arial" w:hAnsi="Arial" w:cs="Arial"/>
        </w:rPr>
        <w:t xml:space="preserve">s are notified and given the opportunity to test and schedule service updates, any service update must not impact on a </w:t>
      </w:r>
      <w:r w:rsidR="005D6551">
        <w:rPr>
          <w:rFonts w:ascii="Arial" w:hAnsi="Arial" w:cs="Arial"/>
        </w:rPr>
        <w:t>Customer</w:t>
      </w:r>
      <w:r w:rsidRPr="00482593">
        <w:rPr>
          <w:rFonts w:ascii="Arial" w:hAnsi="Arial" w:cs="Arial"/>
        </w:rPr>
        <w:t xml:space="preserve">s </w:t>
      </w:r>
      <w:r w:rsidR="005D6551">
        <w:rPr>
          <w:rFonts w:ascii="Arial" w:hAnsi="Arial" w:cs="Arial"/>
        </w:rPr>
        <w:t>payment</w:t>
      </w:r>
      <w:r w:rsidRPr="00482593">
        <w:rPr>
          <w:rFonts w:ascii="Arial" w:hAnsi="Arial" w:cs="Arial"/>
        </w:rPr>
        <w:t xml:space="preserve"> environment. The service should be extensible by design and free to </w:t>
      </w:r>
      <w:r w:rsidR="00D515B6">
        <w:rPr>
          <w:rFonts w:ascii="Arial" w:hAnsi="Arial" w:cs="Arial"/>
        </w:rPr>
        <w:t>c</w:t>
      </w:r>
      <w:r w:rsidRPr="00482593">
        <w:rPr>
          <w:rFonts w:ascii="Arial" w:hAnsi="Arial" w:cs="Arial"/>
        </w:rPr>
        <w:t xml:space="preserve">ontracted </w:t>
      </w:r>
      <w:r w:rsidR="005D6551">
        <w:rPr>
          <w:rFonts w:ascii="Arial" w:hAnsi="Arial" w:cs="Arial"/>
        </w:rPr>
        <w:t>Customer</w:t>
      </w:r>
      <w:r w:rsidRPr="00482593">
        <w:rPr>
          <w:rFonts w:ascii="Arial" w:hAnsi="Arial" w:cs="Arial"/>
        </w:rPr>
        <w:t>s of the Service.</w:t>
      </w:r>
    </w:p>
    <w:p w14:paraId="00000045" w14:textId="77777777" w:rsidR="00786B3A" w:rsidRPr="00482593" w:rsidRDefault="00E23DF7" w:rsidP="00482593">
      <w:pPr>
        <w:pStyle w:val="Heading3"/>
        <w:numPr>
          <w:ilvl w:val="0"/>
          <w:numId w:val="5"/>
        </w:numPr>
        <w:ind w:left="567" w:hanging="567"/>
        <w:rPr>
          <w:rFonts w:ascii="Arial" w:hAnsi="Arial" w:cs="Arial"/>
        </w:rPr>
      </w:pPr>
      <w:r w:rsidRPr="00482593">
        <w:rPr>
          <w:rFonts w:ascii="Arial" w:hAnsi="Arial" w:cs="Arial"/>
        </w:rPr>
        <w:t>Service Disputes</w:t>
      </w:r>
    </w:p>
    <w:p w14:paraId="00000046" w14:textId="6DC6F5E1" w:rsidR="00786B3A" w:rsidRPr="00482593" w:rsidRDefault="00E23DF7" w:rsidP="00482593">
      <w:pPr>
        <w:pStyle w:val="ListParagraph"/>
        <w:numPr>
          <w:ilvl w:val="1"/>
          <w:numId w:val="5"/>
        </w:numPr>
        <w:ind w:left="567" w:hanging="567"/>
        <w:rPr>
          <w:rFonts w:ascii="Arial" w:hAnsi="Arial" w:cs="Arial"/>
        </w:rPr>
      </w:pPr>
      <w:r w:rsidRPr="00482593">
        <w:rPr>
          <w:rFonts w:ascii="Arial" w:hAnsi="Arial" w:cs="Arial"/>
        </w:rPr>
        <w:t xml:space="preserve">The Service provider must have a dispute management process to support </w:t>
      </w:r>
      <w:r w:rsidR="005D6551">
        <w:rPr>
          <w:rFonts w:ascii="Arial" w:hAnsi="Arial" w:cs="Arial"/>
        </w:rPr>
        <w:t>Customer</w:t>
      </w:r>
      <w:r w:rsidRPr="00482593">
        <w:rPr>
          <w:rFonts w:ascii="Arial" w:hAnsi="Arial" w:cs="Arial"/>
        </w:rPr>
        <w:t xml:space="preserve">s. This must cover disputes between </w:t>
      </w:r>
      <w:r w:rsidR="005D6551">
        <w:rPr>
          <w:rFonts w:ascii="Arial" w:hAnsi="Arial" w:cs="Arial"/>
        </w:rPr>
        <w:t>Customer</w:t>
      </w:r>
      <w:r w:rsidRPr="00482593">
        <w:rPr>
          <w:rFonts w:ascii="Arial" w:hAnsi="Arial" w:cs="Arial"/>
        </w:rPr>
        <w:t xml:space="preserve"> and Payee and </w:t>
      </w:r>
      <w:r w:rsidR="005D6551">
        <w:rPr>
          <w:rFonts w:ascii="Arial" w:hAnsi="Arial" w:cs="Arial"/>
        </w:rPr>
        <w:t>Customer</w:t>
      </w:r>
      <w:r w:rsidRPr="00482593">
        <w:rPr>
          <w:rFonts w:ascii="Arial" w:hAnsi="Arial" w:cs="Arial"/>
        </w:rPr>
        <w:t xml:space="preserve"> and Service Provider. The Dispute process should be documented and regularly reviewed.</w:t>
      </w:r>
    </w:p>
    <w:p w14:paraId="00000047" w14:textId="77777777" w:rsidR="00786B3A" w:rsidRPr="00482593" w:rsidRDefault="00E23DF7" w:rsidP="00482593">
      <w:pPr>
        <w:pStyle w:val="Heading3"/>
        <w:numPr>
          <w:ilvl w:val="0"/>
          <w:numId w:val="5"/>
        </w:numPr>
        <w:ind w:left="567" w:hanging="567"/>
        <w:rPr>
          <w:rFonts w:ascii="Arial" w:hAnsi="Arial" w:cs="Arial"/>
        </w:rPr>
      </w:pPr>
      <w:r w:rsidRPr="00482593">
        <w:rPr>
          <w:rFonts w:ascii="Arial" w:hAnsi="Arial" w:cs="Arial"/>
        </w:rPr>
        <w:t>End of Service Provision</w:t>
      </w:r>
    </w:p>
    <w:p w14:paraId="00000048" w14:textId="1ADA67A8" w:rsidR="00786B3A" w:rsidRPr="00482593" w:rsidRDefault="00E23DF7" w:rsidP="00482593">
      <w:pPr>
        <w:pStyle w:val="ListParagraph"/>
        <w:numPr>
          <w:ilvl w:val="1"/>
          <w:numId w:val="5"/>
        </w:numPr>
        <w:ind w:left="567" w:hanging="567"/>
        <w:rPr>
          <w:rFonts w:ascii="Arial" w:hAnsi="Arial" w:cs="Arial"/>
        </w:rPr>
      </w:pPr>
      <w:r w:rsidRPr="00482593">
        <w:rPr>
          <w:rFonts w:ascii="Arial" w:hAnsi="Arial" w:cs="Arial"/>
        </w:rPr>
        <w:t xml:space="preserve">End of service provision will be enacted 30 days after the last contracted </w:t>
      </w:r>
      <w:r w:rsidR="005D6551">
        <w:rPr>
          <w:rFonts w:ascii="Arial" w:hAnsi="Arial" w:cs="Arial"/>
        </w:rPr>
        <w:t>Customer</w:t>
      </w:r>
      <w:r w:rsidRPr="00482593">
        <w:rPr>
          <w:rFonts w:ascii="Arial" w:hAnsi="Arial" w:cs="Arial"/>
        </w:rPr>
        <w:t xml:space="preserve"> of the service is offboarded (see above). As part of the service termination, all </w:t>
      </w:r>
      <w:r w:rsidR="005D6551">
        <w:rPr>
          <w:rFonts w:ascii="Arial" w:hAnsi="Arial" w:cs="Arial"/>
        </w:rPr>
        <w:t>Customer</w:t>
      </w:r>
      <w:r w:rsidRPr="00482593">
        <w:rPr>
          <w:rFonts w:ascii="Arial" w:hAnsi="Arial" w:cs="Arial"/>
        </w:rPr>
        <w:t xml:space="preserve"> data must be securely removed (see GDPR) and transactions logs cleared. Any end-of-service costs should be covered by the Service Provider within the Commercial Agreement, if not these costs must be covered in the Commercial Agreement.</w:t>
      </w:r>
    </w:p>
    <w:p w14:paraId="00000049" w14:textId="77777777" w:rsidR="00786B3A" w:rsidRPr="00482593" w:rsidRDefault="00E23DF7" w:rsidP="00482593">
      <w:pPr>
        <w:pStyle w:val="Heading3"/>
        <w:numPr>
          <w:ilvl w:val="0"/>
          <w:numId w:val="5"/>
        </w:numPr>
        <w:ind w:left="567" w:hanging="567"/>
        <w:rPr>
          <w:rFonts w:ascii="Arial" w:hAnsi="Arial" w:cs="Arial"/>
        </w:rPr>
      </w:pPr>
      <w:r w:rsidRPr="00482593">
        <w:rPr>
          <w:rFonts w:ascii="Arial" w:hAnsi="Arial" w:cs="Arial"/>
        </w:rPr>
        <w:t>Service Termination</w:t>
      </w:r>
    </w:p>
    <w:p w14:paraId="0000004A" w14:textId="324C0BA6" w:rsidR="00786B3A" w:rsidRPr="00482593" w:rsidRDefault="00E23DF7" w:rsidP="00482593">
      <w:pPr>
        <w:pStyle w:val="ListParagraph"/>
        <w:numPr>
          <w:ilvl w:val="1"/>
          <w:numId w:val="5"/>
        </w:numPr>
        <w:ind w:left="567" w:hanging="567"/>
        <w:rPr>
          <w:rFonts w:ascii="Arial" w:hAnsi="Arial" w:cs="Arial"/>
        </w:rPr>
      </w:pPr>
      <w:r w:rsidRPr="00482593">
        <w:rPr>
          <w:rFonts w:ascii="Arial" w:hAnsi="Arial" w:cs="Arial"/>
        </w:rPr>
        <w:t xml:space="preserve">If for any reason the Service Provision is Terminated whilst </w:t>
      </w:r>
      <w:r w:rsidR="005D6551">
        <w:rPr>
          <w:rFonts w:ascii="Arial" w:hAnsi="Arial" w:cs="Arial"/>
        </w:rPr>
        <w:t>Customer</w:t>
      </w:r>
      <w:r w:rsidRPr="00482593">
        <w:rPr>
          <w:rFonts w:ascii="Arial" w:hAnsi="Arial" w:cs="Arial"/>
        </w:rPr>
        <w:t xml:space="preserve">s are still in Production, the service provider must complete all transactions, including the dispute period, and allow the bulk transition of </w:t>
      </w:r>
      <w:r w:rsidR="005D6551">
        <w:rPr>
          <w:rFonts w:ascii="Arial" w:hAnsi="Arial" w:cs="Arial"/>
        </w:rPr>
        <w:t>Customer</w:t>
      </w:r>
      <w:r w:rsidRPr="00482593">
        <w:rPr>
          <w:rFonts w:ascii="Arial" w:hAnsi="Arial" w:cs="Arial"/>
        </w:rPr>
        <w:t>s onto a new service provider or via a managed termination of service process. Any Service Termination costs should be covered by the Service Provider within the Commercial Agreement, if not these costs must be covered in the Commercial Agreement.</w:t>
      </w:r>
    </w:p>
    <w:p w14:paraId="0000004B" w14:textId="77777777" w:rsidR="00786B3A" w:rsidRPr="00482593" w:rsidRDefault="00E23DF7">
      <w:pPr>
        <w:pStyle w:val="Heading2"/>
        <w:spacing w:line="240" w:lineRule="auto"/>
        <w:jc w:val="both"/>
        <w:rPr>
          <w:rFonts w:ascii="Arial" w:hAnsi="Arial" w:cs="Arial"/>
        </w:rPr>
      </w:pPr>
      <w:bookmarkStart w:id="5" w:name="_lckmf4da3zsy" w:colFirst="0" w:colLast="0"/>
      <w:bookmarkEnd w:id="5"/>
      <w:r w:rsidRPr="00482593">
        <w:rPr>
          <w:rFonts w:ascii="Arial" w:hAnsi="Arial" w:cs="Arial"/>
        </w:rPr>
        <w:t>Service Usage</w:t>
      </w:r>
    </w:p>
    <w:p w14:paraId="0000004C" w14:textId="77777777" w:rsidR="00786B3A" w:rsidRPr="00482593" w:rsidRDefault="00E23DF7" w:rsidP="00482593">
      <w:pPr>
        <w:pStyle w:val="Heading3"/>
        <w:numPr>
          <w:ilvl w:val="0"/>
          <w:numId w:val="5"/>
        </w:numPr>
        <w:ind w:left="567" w:hanging="567"/>
        <w:rPr>
          <w:rFonts w:ascii="Arial" w:hAnsi="Arial" w:cs="Arial"/>
        </w:rPr>
      </w:pPr>
      <w:bookmarkStart w:id="6" w:name="_7e3dp3bqj3f2" w:colFirst="0" w:colLast="0"/>
      <w:bookmarkEnd w:id="6"/>
      <w:r w:rsidRPr="00482593">
        <w:rPr>
          <w:rFonts w:ascii="Arial" w:hAnsi="Arial" w:cs="Arial"/>
        </w:rPr>
        <w:t>Payee Onboarding</w:t>
      </w:r>
    </w:p>
    <w:p w14:paraId="0000004D" w14:textId="650356F8" w:rsidR="00786B3A" w:rsidRPr="00482593" w:rsidRDefault="00E23DF7" w:rsidP="00482593">
      <w:pPr>
        <w:pStyle w:val="ListParagraph"/>
        <w:numPr>
          <w:ilvl w:val="1"/>
          <w:numId w:val="5"/>
        </w:numPr>
        <w:ind w:left="567" w:hanging="567"/>
        <w:rPr>
          <w:rFonts w:ascii="Arial" w:hAnsi="Arial" w:cs="Arial"/>
        </w:rPr>
      </w:pPr>
      <w:r w:rsidRPr="00482593">
        <w:rPr>
          <w:rFonts w:ascii="Arial" w:hAnsi="Arial" w:cs="Arial"/>
        </w:rPr>
        <w:t xml:space="preserve">The service must allow a Payee to be on-boarded onto the service for free. The service must adhere to the FCA regulations that apply to the service provision. Payees that share </w:t>
      </w:r>
      <w:r w:rsidR="005D6551">
        <w:rPr>
          <w:rFonts w:ascii="Arial" w:hAnsi="Arial" w:cs="Arial"/>
        </w:rPr>
        <w:t>Customer</w:t>
      </w:r>
      <w:r w:rsidRPr="00482593">
        <w:rPr>
          <w:rFonts w:ascii="Arial" w:hAnsi="Arial" w:cs="Arial"/>
        </w:rPr>
        <w:t xml:space="preserve">s should be able to setup multiple payments without creating multiple service accounts.   </w:t>
      </w:r>
    </w:p>
    <w:p w14:paraId="0000004E" w14:textId="77777777" w:rsidR="00786B3A" w:rsidRPr="00482593" w:rsidRDefault="00E23DF7" w:rsidP="00482593">
      <w:pPr>
        <w:pStyle w:val="Heading3"/>
        <w:numPr>
          <w:ilvl w:val="0"/>
          <w:numId w:val="5"/>
        </w:numPr>
        <w:ind w:left="567" w:hanging="567"/>
        <w:rPr>
          <w:rFonts w:ascii="Arial" w:hAnsi="Arial" w:cs="Arial"/>
        </w:rPr>
      </w:pPr>
      <w:bookmarkStart w:id="7" w:name="_5l47j295z3cm" w:colFirst="0" w:colLast="0"/>
      <w:bookmarkEnd w:id="7"/>
      <w:r w:rsidRPr="00482593">
        <w:rPr>
          <w:rFonts w:ascii="Arial" w:hAnsi="Arial" w:cs="Arial"/>
        </w:rPr>
        <w:t>Payee Offboarding</w:t>
      </w:r>
    </w:p>
    <w:p w14:paraId="0000004F" w14:textId="77777777" w:rsidR="00786B3A" w:rsidRPr="00482593" w:rsidRDefault="00E23DF7" w:rsidP="00482593">
      <w:pPr>
        <w:pStyle w:val="ListParagraph"/>
        <w:numPr>
          <w:ilvl w:val="1"/>
          <w:numId w:val="5"/>
        </w:numPr>
        <w:ind w:left="567" w:hanging="567"/>
        <w:rPr>
          <w:rFonts w:ascii="Arial" w:hAnsi="Arial" w:cs="Arial"/>
        </w:rPr>
      </w:pPr>
      <w:r w:rsidRPr="00482593">
        <w:rPr>
          <w:rFonts w:ascii="Arial" w:hAnsi="Arial" w:cs="Arial"/>
        </w:rPr>
        <w:t xml:space="preserve">The service must allow a Payee to close their account without incurring costs. All transactional data and history must be removed in accordance to GDPR and FCA regulations. </w:t>
      </w:r>
    </w:p>
    <w:p w14:paraId="00000050" w14:textId="77777777" w:rsidR="00786B3A" w:rsidRPr="00482593" w:rsidRDefault="00E23DF7" w:rsidP="00482593">
      <w:pPr>
        <w:pStyle w:val="Heading3"/>
        <w:numPr>
          <w:ilvl w:val="0"/>
          <w:numId w:val="5"/>
        </w:numPr>
        <w:ind w:left="567" w:hanging="567"/>
        <w:rPr>
          <w:rFonts w:ascii="Arial" w:hAnsi="Arial" w:cs="Arial"/>
        </w:rPr>
      </w:pPr>
      <w:bookmarkStart w:id="8" w:name="_bt4cq0jg6ec1" w:colFirst="0" w:colLast="0"/>
      <w:bookmarkEnd w:id="8"/>
      <w:r w:rsidRPr="00482593">
        <w:rPr>
          <w:rFonts w:ascii="Arial" w:hAnsi="Arial" w:cs="Arial"/>
        </w:rPr>
        <w:t>Payee Disputes</w:t>
      </w:r>
    </w:p>
    <w:p w14:paraId="00000051" w14:textId="5C627788" w:rsidR="00786B3A" w:rsidRPr="00482593" w:rsidRDefault="00E23DF7" w:rsidP="00482593">
      <w:pPr>
        <w:pStyle w:val="ListParagraph"/>
        <w:numPr>
          <w:ilvl w:val="1"/>
          <w:numId w:val="5"/>
        </w:numPr>
        <w:ind w:left="567" w:hanging="567"/>
        <w:rPr>
          <w:rFonts w:ascii="Arial" w:hAnsi="Arial" w:cs="Arial"/>
        </w:rPr>
      </w:pPr>
      <w:r w:rsidRPr="00482593">
        <w:rPr>
          <w:rFonts w:ascii="Arial" w:hAnsi="Arial" w:cs="Arial"/>
        </w:rPr>
        <w:t xml:space="preserve">The service must provide dispute management capabilities between the </w:t>
      </w:r>
      <w:r w:rsidR="005D6551">
        <w:rPr>
          <w:rFonts w:ascii="Arial" w:hAnsi="Arial" w:cs="Arial"/>
        </w:rPr>
        <w:t>Customer</w:t>
      </w:r>
      <w:r w:rsidRPr="00482593">
        <w:rPr>
          <w:rFonts w:ascii="Arial" w:hAnsi="Arial" w:cs="Arial"/>
        </w:rPr>
        <w:t xml:space="preserve"> and Payee.</w:t>
      </w:r>
    </w:p>
    <w:p w14:paraId="00000052" w14:textId="77777777" w:rsidR="00786B3A" w:rsidRPr="00482593" w:rsidRDefault="00E23DF7" w:rsidP="00482593">
      <w:pPr>
        <w:pStyle w:val="Heading3"/>
        <w:numPr>
          <w:ilvl w:val="0"/>
          <w:numId w:val="5"/>
        </w:numPr>
        <w:ind w:left="567" w:hanging="567"/>
        <w:rPr>
          <w:rFonts w:ascii="Arial" w:hAnsi="Arial" w:cs="Arial"/>
        </w:rPr>
      </w:pPr>
      <w:bookmarkStart w:id="9" w:name="_j1ki6f9denke" w:colFirst="0" w:colLast="0"/>
      <w:bookmarkEnd w:id="9"/>
      <w:r w:rsidRPr="00482593">
        <w:rPr>
          <w:rFonts w:ascii="Arial" w:hAnsi="Arial" w:cs="Arial"/>
        </w:rPr>
        <w:lastRenderedPageBreak/>
        <w:t>Payee Refunds</w:t>
      </w:r>
    </w:p>
    <w:p w14:paraId="00000053" w14:textId="6DA70BEC" w:rsidR="00786B3A" w:rsidRPr="00482593" w:rsidRDefault="00E23DF7" w:rsidP="00482593">
      <w:pPr>
        <w:pStyle w:val="ListParagraph"/>
        <w:numPr>
          <w:ilvl w:val="1"/>
          <w:numId w:val="5"/>
        </w:numPr>
        <w:ind w:left="567" w:hanging="567"/>
        <w:rPr>
          <w:rFonts w:ascii="Arial" w:hAnsi="Arial" w:cs="Arial"/>
        </w:rPr>
      </w:pPr>
      <w:r w:rsidRPr="00482593">
        <w:rPr>
          <w:rFonts w:ascii="Arial" w:hAnsi="Arial" w:cs="Arial"/>
        </w:rPr>
        <w:t xml:space="preserve">The service must provide refund capabilities between the </w:t>
      </w:r>
      <w:r w:rsidR="005D6551">
        <w:rPr>
          <w:rFonts w:ascii="Arial" w:hAnsi="Arial" w:cs="Arial"/>
        </w:rPr>
        <w:t>Customer</w:t>
      </w:r>
      <w:r w:rsidRPr="00482593">
        <w:rPr>
          <w:rFonts w:ascii="Arial" w:hAnsi="Arial" w:cs="Arial"/>
        </w:rPr>
        <w:t xml:space="preserve"> and Payee.</w:t>
      </w:r>
    </w:p>
    <w:p w14:paraId="00000054" w14:textId="77777777" w:rsidR="00786B3A" w:rsidRPr="00482593" w:rsidRDefault="00E23DF7">
      <w:pPr>
        <w:pStyle w:val="Heading2"/>
        <w:spacing w:line="240" w:lineRule="auto"/>
        <w:jc w:val="both"/>
        <w:rPr>
          <w:rFonts w:ascii="Arial" w:hAnsi="Arial" w:cs="Arial"/>
        </w:rPr>
      </w:pPr>
      <w:bookmarkStart w:id="10" w:name="_e7uvu779ww8o" w:colFirst="0" w:colLast="0"/>
      <w:bookmarkEnd w:id="10"/>
      <w:r w:rsidRPr="00482593">
        <w:rPr>
          <w:rFonts w:ascii="Arial" w:hAnsi="Arial" w:cs="Arial"/>
        </w:rPr>
        <w:t>Management Information</w:t>
      </w:r>
    </w:p>
    <w:p w14:paraId="00000055" w14:textId="77777777" w:rsidR="00786B3A" w:rsidRPr="00482593" w:rsidRDefault="00E23DF7" w:rsidP="00482593">
      <w:pPr>
        <w:pStyle w:val="Heading3"/>
        <w:numPr>
          <w:ilvl w:val="0"/>
          <w:numId w:val="5"/>
        </w:numPr>
        <w:ind w:left="567" w:hanging="567"/>
        <w:rPr>
          <w:rFonts w:ascii="Arial" w:hAnsi="Arial" w:cs="Arial"/>
        </w:rPr>
      </w:pPr>
      <w:r w:rsidRPr="00482593">
        <w:rPr>
          <w:rFonts w:ascii="Arial" w:hAnsi="Arial" w:cs="Arial"/>
        </w:rPr>
        <w:t>Transaction Data</w:t>
      </w:r>
    </w:p>
    <w:p w14:paraId="00000056" w14:textId="6EB33D46" w:rsidR="00786B3A" w:rsidRPr="00482593" w:rsidRDefault="00E23DF7" w:rsidP="00482593">
      <w:pPr>
        <w:pStyle w:val="ListParagraph"/>
        <w:numPr>
          <w:ilvl w:val="1"/>
          <w:numId w:val="5"/>
        </w:numPr>
        <w:ind w:left="567" w:hanging="567"/>
        <w:rPr>
          <w:rFonts w:ascii="Arial" w:hAnsi="Arial" w:cs="Arial"/>
        </w:rPr>
      </w:pPr>
      <w:r w:rsidRPr="00482593">
        <w:rPr>
          <w:rFonts w:ascii="Arial" w:hAnsi="Arial" w:cs="Arial"/>
        </w:rPr>
        <w:t xml:space="preserve">To support disputes, refunds and report each </w:t>
      </w:r>
      <w:r w:rsidR="005D6551">
        <w:rPr>
          <w:rFonts w:ascii="Arial" w:hAnsi="Arial" w:cs="Arial"/>
        </w:rPr>
        <w:t>Customer</w:t>
      </w:r>
      <w:r w:rsidRPr="00482593">
        <w:rPr>
          <w:rFonts w:ascii="Arial" w:hAnsi="Arial" w:cs="Arial"/>
        </w:rPr>
        <w:t xml:space="preserve">/Payee transaction should be traceable and uniquely identified. Once a transaction is deemed to be completed; outside the dispute period and reported, the transaction data should be sort for </w:t>
      </w:r>
      <w:r w:rsidR="005D6551">
        <w:rPr>
          <w:rFonts w:ascii="Arial" w:hAnsi="Arial" w:cs="Arial"/>
        </w:rPr>
        <w:t>Customer</w:t>
      </w:r>
      <w:r w:rsidRPr="00482593">
        <w:rPr>
          <w:rFonts w:ascii="Arial" w:hAnsi="Arial" w:cs="Arial"/>
        </w:rPr>
        <w:t xml:space="preserve"> and CCS reporting, however no account data should be available as per GDPR and/or FCA regulations. Storage of historical account data should be available without cost to </w:t>
      </w:r>
      <w:r w:rsidR="005D6551">
        <w:rPr>
          <w:rFonts w:ascii="Arial" w:hAnsi="Arial" w:cs="Arial"/>
        </w:rPr>
        <w:t>Customer</w:t>
      </w:r>
      <w:r w:rsidRPr="00482593">
        <w:rPr>
          <w:rFonts w:ascii="Arial" w:hAnsi="Arial" w:cs="Arial"/>
        </w:rPr>
        <w:t>s and Payees.</w:t>
      </w:r>
    </w:p>
    <w:p w14:paraId="00000057" w14:textId="77777777" w:rsidR="00786B3A" w:rsidRPr="00482593" w:rsidRDefault="00E23DF7" w:rsidP="00361CC7">
      <w:pPr>
        <w:pStyle w:val="Heading3"/>
        <w:numPr>
          <w:ilvl w:val="0"/>
          <w:numId w:val="5"/>
        </w:numPr>
        <w:ind w:left="567" w:hanging="567"/>
        <w:rPr>
          <w:rFonts w:ascii="Arial" w:hAnsi="Arial" w:cs="Arial"/>
        </w:rPr>
      </w:pPr>
      <w:r w:rsidRPr="00482593">
        <w:rPr>
          <w:rFonts w:ascii="Arial" w:hAnsi="Arial" w:cs="Arial"/>
        </w:rPr>
        <w:t>Management &amp; Usage Reporting</w:t>
      </w:r>
    </w:p>
    <w:p w14:paraId="00000058" w14:textId="30476EE0" w:rsidR="00786B3A" w:rsidRPr="00482593" w:rsidRDefault="00E23DF7" w:rsidP="00482593">
      <w:pPr>
        <w:pStyle w:val="ListParagraph"/>
        <w:numPr>
          <w:ilvl w:val="1"/>
          <w:numId w:val="5"/>
        </w:numPr>
        <w:ind w:left="567" w:hanging="567"/>
        <w:rPr>
          <w:rFonts w:ascii="Arial" w:hAnsi="Arial" w:cs="Arial"/>
        </w:rPr>
      </w:pPr>
      <w:r w:rsidRPr="00482593">
        <w:rPr>
          <w:rFonts w:ascii="Arial" w:hAnsi="Arial" w:cs="Arial"/>
        </w:rPr>
        <w:t xml:space="preserve">The service provider should on an agreed and scheduled basis provide CCS with usage reports covering transactional and historical data. This should include the transaction ID, Payee ID, </w:t>
      </w:r>
      <w:r w:rsidR="005D6551">
        <w:rPr>
          <w:rFonts w:ascii="Arial" w:hAnsi="Arial" w:cs="Arial"/>
        </w:rPr>
        <w:t>Customer</w:t>
      </w:r>
      <w:r w:rsidRPr="00482593">
        <w:rPr>
          <w:rFonts w:ascii="Arial" w:hAnsi="Arial" w:cs="Arial"/>
        </w:rPr>
        <w:t xml:space="preserve"> ID, Transaction Date, Amount and any reference information but NOT account data.  </w:t>
      </w:r>
    </w:p>
    <w:p w14:paraId="714500C1" w14:textId="77777777" w:rsidR="00341192" w:rsidRDefault="00341192">
      <w:pPr>
        <w:rPr>
          <w:rFonts w:ascii="Arial" w:hAnsi="Arial" w:cs="Arial"/>
        </w:rPr>
        <w:sectPr w:rsidR="00341192">
          <w:footerReference w:type="default" r:id="rId19"/>
          <w:pgSz w:w="11909" w:h="16834"/>
          <w:pgMar w:top="1440" w:right="1440" w:bottom="1440" w:left="1440" w:header="720" w:footer="720" w:gutter="0"/>
          <w:pgNumType w:start="1"/>
          <w:cols w:space="720"/>
        </w:sectPr>
      </w:pPr>
      <w:bookmarkStart w:id="11" w:name="_1w3kuy6p72aw" w:colFirst="0" w:colLast="0"/>
      <w:bookmarkEnd w:id="11"/>
    </w:p>
    <w:p w14:paraId="00000071" w14:textId="174FF3B4" w:rsidR="00786B3A" w:rsidRPr="00482593" w:rsidRDefault="00786B3A">
      <w:pPr>
        <w:rPr>
          <w:rFonts w:ascii="Arial" w:hAnsi="Arial" w:cs="Arial"/>
        </w:rPr>
      </w:pPr>
    </w:p>
    <w:sectPr w:rsidR="00786B3A" w:rsidRPr="0048259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945ECB" w14:textId="77777777" w:rsidR="00195DDE" w:rsidRDefault="00195DDE" w:rsidP="00C130DF">
      <w:pPr>
        <w:spacing w:after="0"/>
      </w:pPr>
      <w:r>
        <w:separator/>
      </w:r>
    </w:p>
  </w:endnote>
  <w:endnote w:type="continuationSeparator" w:id="0">
    <w:p w14:paraId="586703D9" w14:textId="77777777" w:rsidR="00195DDE" w:rsidRDefault="00195DDE" w:rsidP="00C130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elvetica Neue">
    <w:altName w:val="MV Boli"/>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EE7F4" w14:textId="76C5DCDB" w:rsidR="00C130DF" w:rsidRPr="00C52860" w:rsidRDefault="00C130DF" w:rsidP="00C130DF">
    <w:pPr>
      <w:pStyle w:val="Footer"/>
      <w:rPr>
        <w:rFonts w:ascii="Arial" w:hAnsi="Arial" w:cs="Arial"/>
        <w:sz w:val="12"/>
        <w:szCs w:val="12"/>
      </w:rPr>
    </w:pPr>
    <w:r w:rsidRPr="00C52860">
      <w:rPr>
        <w:rFonts w:ascii="Arial" w:hAnsi="Arial" w:cs="Arial"/>
        <w:sz w:val="12"/>
        <w:szCs w:val="12"/>
      </w:rPr>
      <w:ptab w:relativeTo="margin" w:alignment="right" w:leader="none"/>
    </w:r>
    <w:r w:rsidRPr="00C52860">
      <w:rPr>
        <w:rFonts w:ascii="Arial" w:hAnsi="Arial" w:cs="Arial"/>
        <w:sz w:val="12"/>
        <w:szCs w:val="12"/>
      </w:rPr>
      <w:t xml:space="preserve">Page </w:t>
    </w:r>
    <w:r w:rsidRPr="00C52860">
      <w:rPr>
        <w:rFonts w:ascii="Arial" w:hAnsi="Arial" w:cs="Arial"/>
        <w:sz w:val="12"/>
        <w:szCs w:val="12"/>
      </w:rPr>
      <w:fldChar w:fldCharType="begin"/>
    </w:r>
    <w:r w:rsidRPr="00C52860">
      <w:rPr>
        <w:rFonts w:ascii="Arial" w:hAnsi="Arial" w:cs="Arial"/>
        <w:sz w:val="12"/>
        <w:szCs w:val="12"/>
      </w:rPr>
      <w:instrText xml:space="preserve"> PAGE   \* MERGEFORMAT </w:instrText>
    </w:r>
    <w:r w:rsidRPr="00C52860">
      <w:rPr>
        <w:rFonts w:ascii="Arial" w:hAnsi="Arial" w:cs="Arial"/>
        <w:sz w:val="12"/>
        <w:szCs w:val="12"/>
      </w:rPr>
      <w:fldChar w:fldCharType="separate"/>
    </w:r>
    <w:r w:rsidR="00C52860">
      <w:rPr>
        <w:rFonts w:ascii="Arial" w:hAnsi="Arial" w:cs="Arial"/>
        <w:noProof/>
        <w:sz w:val="12"/>
        <w:szCs w:val="12"/>
      </w:rPr>
      <w:t>1</w:t>
    </w:r>
    <w:r w:rsidRPr="00C52860">
      <w:rPr>
        <w:rFonts w:ascii="Arial" w:hAnsi="Arial" w:cs="Arial"/>
        <w:sz w:val="12"/>
        <w:szCs w:val="12"/>
      </w:rPr>
      <w:fldChar w:fldCharType="end"/>
    </w:r>
    <w:r w:rsidRPr="00C52860">
      <w:rPr>
        <w:rFonts w:ascii="Arial" w:hAnsi="Arial" w:cs="Arial"/>
        <w:sz w:val="12"/>
        <w:szCs w:val="12"/>
      </w:rPr>
      <w:t xml:space="preserve"> of </w:t>
    </w:r>
    <w:r w:rsidRPr="00C52860">
      <w:rPr>
        <w:rFonts w:ascii="Arial" w:hAnsi="Arial" w:cs="Arial"/>
        <w:sz w:val="12"/>
        <w:szCs w:val="12"/>
      </w:rPr>
      <w:fldChar w:fldCharType="begin"/>
    </w:r>
    <w:r w:rsidRPr="00C52860">
      <w:rPr>
        <w:rFonts w:ascii="Arial" w:hAnsi="Arial" w:cs="Arial"/>
        <w:sz w:val="12"/>
        <w:szCs w:val="12"/>
      </w:rPr>
      <w:instrText xml:space="preserve"> NUMPAGES   \* MERGEFORMAT </w:instrText>
    </w:r>
    <w:r w:rsidRPr="00C52860">
      <w:rPr>
        <w:rFonts w:ascii="Arial" w:hAnsi="Arial" w:cs="Arial"/>
        <w:sz w:val="12"/>
        <w:szCs w:val="12"/>
      </w:rPr>
      <w:fldChar w:fldCharType="separate"/>
    </w:r>
    <w:r w:rsidR="00C52860">
      <w:rPr>
        <w:rFonts w:ascii="Arial" w:hAnsi="Arial" w:cs="Arial"/>
        <w:noProof/>
        <w:sz w:val="12"/>
        <w:szCs w:val="12"/>
      </w:rPr>
      <w:t>7</w:t>
    </w:r>
    <w:r w:rsidRPr="00C52860">
      <w:rPr>
        <w:rFonts w:ascii="Arial" w:hAnsi="Arial" w:cs="Arial"/>
        <w:sz w:val="12"/>
        <w:szCs w:val="12"/>
      </w:rPr>
      <w:fldChar w:fldCharType="end"/>
    </w:r>
  </w:p>
  <w:p w14:paraId="3B7528D3" w14:textId="77777777" w:rsidR="00C130DF" w:rsidRPr="00575A59" w:rsidRDefault="00C130DF" w:rsidP="00C130DF">
    <w:pPr>
      <w:spacing w:after="0"/>
      <w:rPr>
        <w:rFonts w:ascii="Arial" w:hAnsi="Arial" w:cs="Arial"/>
        <w:sz w:val="12"/>
        <w:szCs w:val="12"/>
      </w:rPr>
    </w:pPr>
    <w:r w:rsidRPr="00575A59">
      <w:rPr>
        <w:rFonts w:ascii="Arial" w:hAnsi="Arial" w:cs="Arial"/>
        <w:sz w:val="12"/>
        <w:szCs w:val="12"/>
      </w:rPr>
      <w:t>RM6118 Payment Acceptance</w:t>
    </w:r>
  </w:p>
  <w:p w14:paraId="16E6F29E" w14:textId="597A3E3E" w:rsidR="00C130DF" w:rsidRPr="00575A59" w:rsidRDefault="00C52860" w:rsidP="00C130DF">
    <w:pPr>
      <w:spacing w:after="0"/>
      <w:rPr>
        <w:rFonts w:ascii="Arial" w:hAnsi="Arial" w:cs="Arial"/>
        <w:sz w:val="12"/>
        <w:szCs w:val="12"/>
      </w:rPr>
    </w:pPr>
    <w:r w:rsidRPr="00C52860">
      <w:rPr>
        <w:rFonts w:ascii="Arial" w:hAnsi="Arial" w:cs="Arial"/>
        <w:sz w:val="12"/>
        <w:szCs w:val="12"/>
      </w:rPr>
      <w:t>Attachment 10b  - Framework Schedule 1 (Specification Appendix B) Lot 6 Additional Technical Requirements</w:t>
    </w:r>
    <w:r>
      <w:rPr>
        <w:rFonts w:ascii="Arial" w:hAnsi="Arial" w:cs="Arial"/>
        <w:sz w:val="12"/>
        <w:szCs w:val="12"/>
      </w:rPr>
      <w:t xml:space="preserve"> V 1.0</w:t>
    </w:r>
  </w:p>
  <w:p w14:paraId="45197C6C" w14:textId="41B2C137" w:rsidR="00C130DF" w:rsidRPr="00C52860" w:rsidRDefault="00C130DF">
    <w:pPr>
      <w:pStyle w:val="Footer"/>
      <w:rPr>
        <w:rFonts w:ascii="Arial" w:hAnsi="Arial" w:cs="Arial"/>
        <w:sz w:val="12"/>
        <w:szCs w:val="12"/>
      </w:rPr>
    </w:pPr>
    <w:r w:rsidRPr="00575A59">
      <w:rPr>
        <w:rFonts w:ascii="Arial" w:hAnsi="Arial" w:cs="Arial"/>
        <w:sz w:val="12"/>
        <w:szCs w:val="12"/>
      </w:rPr>
      <w:t>© Crown Copyright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1A57A3" w14:textId="77777777" w:rsidR="00195DDE" w:rsidRDefault="00195DDE" w:rsidP="00C130DF">
      <w:pPr>
        <w:spacing w:after="0"/>
      </w:pPr>
      <w:r>
        <w:separator/>
      </w:r>
    </w:p>
  </w:footnote>
  <w:footnote w:type="continuationSeparator" w:id="0">
    <w:p w14:paraId="628B7F11" w14:textId="77777777" w:rsidR="00195DDE" w:rsidRDefault="00195DDE" w:rsidP="00C130D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2613F"/>
    <w:multiLevelType w:val="multilevel"/>
    <w:tmpl w:val="FE8AC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926722F"/>
    <w:multiLevelType w:val="multilevel"/>
    <w:tmpl w:val="A32C48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A7B1EB5"/>
    <w:multiLevelType w:val="multilevel"/>
    <w:tmpl w:val="655A88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5CF3C56"/>
    <w:multiLevelType w:val="multilevel"/>
    <w:tmpl w:val="F1A4BF6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FAE0442"/>
    <w:multiLevelType w:val="multilevel"/>
    <w:tmpl w:val="F1CA8D38"/>
    <w:lvl w:ilvl="0">
      <w:start w:val="1"/>
      <w:numFmt w:val="upperRoman"/>
      <w:lvlText w:val="%1."/>
      <w:lvlJc w:val="right"/>
      <w:pPr>
        <w:ind w:left="3600" w:hanging="360"/>
      </w:pPr>
      <w:rPr>
        <w:u w:val="none"/>
      </w:rPr>
    </w:lvl>
    <w:lvl w:ilvl="1">
      <w:start w:val="1"/>
      <w:numFmt w:val="upperLetter"/>
      <w:lvlText w:val="%2."/>
      <w:lvlJc w:val="lef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decimal"/>
      <w:lvlText w:val="(%5)"/>
      <w:lvlJc w:val="left"/>
      <w:pPr>
        <w:ind w:left="6480" w:hanging="360"/>
      </w:pPr>
      <w:rPr>
        <w:u w:val="none"/>
      </w:rPr>
    </w:lvl>
    <w:lvl w:ilvl="5">
      <w:start w:val="1"/>
      <w:numFmt w:val="lowerLetter"/>
      <w:lvlText w:val="(%6)"/>
      <w:lvlJc w:val="left"/>
      <w:pPr>
        <w:ind w:left="7200" w:hanging="360"/>
      </w:pPr>
      <w:rPr>
        <w:u w:val="none"/>
      </w:rPr>
    </w:lvl>
    <w:lvl w:ilvl="6">
      <w:start w:val="1"/>
      <w:numFmt w:val="lowerRoman"/>
      <w:lvlText w:val="(%7)"/>
      <w:lvlJc w:val="right"/>
      <w:pPr>
        <w:ind w:left="7920" w:hanging="360"/>
      </w:pPr>
      <w:rPr>
        <w:u w:val="none"/>
      </w:rPr>
    </w:lvl>
    <w:lvl w:ilvl="7">
      <w:start w:val="1"/>
      <w:numFmt w:val="lowerLetter"/>
      <w:lvlText w:val="(%8)"/>
      <w:lvlJc w:val="left"/>
      <w:pPr>
        <w:ind w:left="8640" w:hanging="360"/>
      </w:pPr>
      <w:rPr>
        <w:u w:val="none"/>
      </w:rPr>
    </w:lvl>
    <w:lvl w:ilvl="8">
      <w:start w:val="1"/>
      <w:numFmt w:val="lowerRoman"/>
      <w:lvlText w:val="(%9)"/>
      <w:lvlJc w:val="right"/>
      <w:pPr>
        <w:ind w:left="9360" w:hanging="360"/>
      </w:pPr>
      <w:rPr>
        <w:u w:val="none"/>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B3A"/>
    <w:rsid w:val="000263AA"/>
    <w:rsid w:val="000B4B5E"/>
    <w:rsid w:val="00105530"/>
    <w:rsid w:val="00195DDE"/>
    <w:rsid w:val="00341192"/>
    <w:rsid w:val="00361CC7"/>
    <w:rsid w:val="00482593"/>
    <w:rsid w:val="0049084F"/>
    <w:rsid w:val="00575A59"/>
    <w:rsid w:val="005D5DEF"/>
    <w:rsid w:val="005D6551"/>
    <w:rsid w:val="006E1561"/>
    <w:rsid w:val="00786B3A"/>
    <w:rsid w:val="00965A1E"/>
    <w:rsid w:val="009A5B62"/>
    <w:rsid w:val="00A56B61"/>
    <w:rsid w:val="00C130DF"/>
    <w:rsid w:val="00C52860"/>
    <w:rsid w:val="00D515B6"/>
    <w:rsid w:val="00D6203C"/>
    <w:rsid w:val="00E23DF7"/>
    <w:rsid w:val="00F524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2932F"/>
  <w15:docId w15:val="{4F4B5EB7-1B58-4204-9437-05457908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lvetica Neue" w:eastAsia="Helvetica Neue" w:hAnsi="Helvetica Neue" w:cs="Helvetica Neue"/>
        <w:sz w:val="22"/>
        <w:szCs w:val="22"/>
        <w:lang w:val="en-GB" w:eastAsia="en-GB"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pBdr>
        <w:bottom w:val="single" w:sz="8" w:space="2" w:color="000000"/>
      </w:pBdr>
      <w:spacing w:before="480" w:after="0" w:line="276" w:lineRule="auto"/>
      <w:outlineLvl w:val="0"/>
    </w:pPr>
    <w:rPr>
      <w:b/>
      <w:color w:val="222222"/>
      <w:sz w:val="36"/>
      <w:szCs w:val="36"/>
      <w:highlight w:val="white"/>
    </w:rPr>
  </w:style>
  <w:style w:type="paragraph" w:styleId="Heading2">
    <w:name w:val="heading 2"/>
    <w:basedOn w:val="Normal"/>
    <w:next w:val="Normal"/>
    <w:pPr>
      <w:keepNext/>
      <w:keepLines/>
      <w:spacing w:before="360" w:line="276" w:lineRule="auto"/>
      <w:outlineLvl w:val="1"/>
    </w:pPr>
    <w:rPr>
      <w:b/>
      <w:sz w:val="28"/>
      <w:szCs w:val="28"/>
    </w:rPr>
  </w:style>
  <w:style w:type="paragraph" w:styleId="Heading3">
    <w:name w:val="heading 3"/>
    <w:basedOn w:val="Normal"/>
    <w:next w:val="Normal"/>
    <w:pPr>
      <w:keepNext/>
      <w:keepLines/>
      <w:spacing w:before="280" w:after="80"/>
      <w:outlineLvl w:val="2"/>
    </w:pPr>
    <w:rPr>
      <w:b/>
      <w:sz w:val="24"/>
      <w:szCs w:val="24"/>
    </w:rPr>
  </w:style>
  <w:style w:type="paragraph" w:styleId="Heading4">
    <w:name w:val="heading 4"/>
    <w:basedOn w:val="Normal"/>
    <w:next w:val="Normal"/>
    <w:pPr>
      <w:keepNext/>
      <w:keepLines/>
      <w:pBdr>
        <w:top w:val="nil"/>
        <w:left w:val="nil"/>
        <w:bottom w:val="nil"/>
        <w:right w:val="nil"/>
        <w:between w:val="nil"/>
      </w:pBdr>
      <w:spacing w:before="240" w:after="40" w:line="276" w:lineRule="auto"/>
      <w:outlineLvl w:val="3"/>
    </w:pPr>
    <w:rPr>
      <w:rFonts w:ascii="Calibri" w:eastAsia="Calibri" w:hAnsi="Calibri" w:cs="Calibri"/>
      <w:b/>
      <w:color w:val="000000"/>
      <w:sz w:val="24"/>
      <w:szCs w:val="24"/>
    </w:rPr>
  </w:style>
  <w:style w:type="paragraph" w:styleId="Heading5">
    <w:name w:val="heading 5"/>
    <w:basedOn w:val="Normal"/>
    <w:next w:val="Normal"/>
    <w:pPr>
      <w:keepNext/>
      <w:keepLines/>
      <w:pBdr>
        <w:top w:val="nil"/>
        <w:left w:val="nil"/>
        <w:bottom w:val="nil"/>
        <w:right w:val="nil"/>
        <w:between w:val="nil"/>
      </w:pBdr>
      <w:spacing w:before="220" w:after="40" w:line="276" w:lineRule="auto"/>
      <w:outlineLvl w:val="4"/>
    </w:pPr>
    <w:rPr>
      <w:rFonts w:ascii="Calibri" w:eastAsia="Calibri" w:hAnsi="Calibri" w:cs="Calibri"/>
      <w:b/>
      <w:color w:val="000000"/>
    </w:rPr>
  </w:style>
  <w:style w:type="paragraph" w:styleId="Heading6">
    <w:name w:val="heading 6"/>
    <w:basedOn w:val="Normal"/>
    <w:next w:val="Normal"/>
    <w:pPr>
      <w:keepNext/>
      <w:keepLines/>
      <w:pBdr>
        <w:top w:val="nil"/>
        <w:left w:val="nil"/>
        <w:bottom w:val="nil"/>
        <w:right w:val="nil"/>
        <w:between w:val="nil"/>
      </w:pBdr>
      <w:spacing w:before="200" w:after="40" w:line="276" w:lineRule="auto"/>
      <w:outlineLvl w:val="5"/>
    </w:pPr>
    <w:rPr>
      <w:rFonts w:ascii="Calibri" w:eastAsia="Calibri" w:hAnsi="Calibri" w:cs="Calibri"/>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line="276" w:lineRule="auto"/>
    </w:pPr>
    <w:rPr>
      <w:rFonts w:ascii="Calibri" w:eastAsia="Calibri" w:hAnsi="Calibri" w:cs="Calibri"/>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line="276" w:lineRule="auto"/>
    </w:pPr>
    <w:rPr>
      <w:rFonts w:ascii="Georgia" w:eastAsia="Georgia" w:hAnsi="Georgia" w:cs="Georgia"/>
      <w:i/>
      <w:color w:val="666666"/>
      <w:sz w:val="48"/>
      <w:szCs w:val="48"/>
    </w:rPr>
  </w:style>
  <w:style w:type="paragraph" w:styleId="ListParagraph">
    <w:name w:val="List Paragraph"/>
    <w:basedOn w:val="Normal"/>
    <w:uiPriority w:val="34"/>
    <w:qFormat/>
    <w:rsid w:val="00C130DF"/>
    <w:pPr>
      <w:ind w:left="720"/>
      <w:contextualSpacing/>
    </w:pPr>
  </w:style>
  <w:style w:type="paragraph" w:styleId="Header">
    <w:name w:val="header"/>
    <w:basedOn w:val="Normal"/>
    <w:link w:val="HeaderChar"/>
    <w:uiPriority w:val="99"/>
    <w:unhideWhenUsed/>
    <w:rsid w:val="00C130DF"/>
    <w:pPr>
      <w:tabs>
        <w:tab w:val="center" w:pos="4513"/>
        <w:tab w:val="right" w:pos="9026"/>
      </w:tabs>
      <w:spacing w:after="0"/>
    </w:pPr>
  </w:style>
  <w:style w:type="character" w:customStyle="1" w:styleId="HeaderChar">
    <w:name w:val="Header Char"/>
    <w:basedOn w:val="DefaultParagraphFont"/>
    <w:link w:val="Header"/>
    <w:uiPriority w:val="99"/>
    <w:rsid w:val="00C130DF"/>
  </w:style>
  <w:style w:type="paragraph" w:styleId="Footer">
    <w:name w:val="footer"/>
    <w:basedOn w:val="Normal"/>
    <w:link w:val="FooterChar"/>
    <w:unhideWhenUsed/>
    <w:rsid w:val="00C130DF"/>
    <w:pPr>
      <w:tabs>
        <w:tab w:val="center" w:pos="4513"/>
        <w:tab w:val="right" w:pos="9026"/>
      </w:tabs>
      <w:spacing w:after="0"/>
    </w:pPr>
  </w:style>
  <w:style w:type="character" w:customStyle="1" w:styleId="FooterChar">
    <w:name w:val="Footer Char"/>
    <w:basedOn w:val="DefaultParagraphFont"/>
    <w:link w:val="Footer"/>
    <w:rsid w:val="00C13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gov.uk/government/publications/it-health-check-ithc-supporting-guidance/it-health-check-ithc-supporting-guidance" TargetMode="External"/><Relationship Id="rId18" Type="http://schemas.openxmlformats.org/officeDocument/2006/relationships/hyperlink" Target="https://www.ncsc.gov.uk/articles/using-check-provider"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gov.uk/government/publications/security-policy-framework" TargetMode="External"/><Relationship Id="rId12" Type="http://schemas.openxmlformats.org/officeDocument/2006/relationships/hyperlink" Target="https://www.ncsc.gov.uk/collection/developers-collection?curPage=/collection/developers-collection/principles" TargetMode="External"/><Relationship Id="rId17" Type="http://schemas.openxmlformats.org/officeDocument/2006/relationships/hyperlink" Target="https://www.ncsc.gov.uk/scheme/penetration-testing" TargetMode="External"/><Relationship Id="rId2" Type="http://schemas.openxmlformats.org/officeDocument/2006/relationships/styles" Target="styles.xml"/><Relationship Id="rId16" Type="http://schemas.openxmlformats.org/officeDocument/2006/relationships/hyperlink" Target="https://www.cyberaware.gov.uk/cyberessential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sc.gov.uk/collection/cloud-security?curPage=/collection/cloud-security/implementing-the-cloud-security-principles" TargetMode="External"/><Relationship Id="rId5" Type="http://schemas.openxmlformats.org/officeDocument/2006/relationships/footnotes" Target="footnotes.xml"/><Relationship Id="rId15" Type="http://schemas.openxmlformats.org/officeDocument/2006/relationships/hyperlink" Target="https://www.gov.uk/government/publications/hmg-personnel-security-controls" TargetMode="External"/><Relationship Id="rId10" Type="http://schemas.openxmlformats.org/officeDocument/2006/relationships/hyperlink" Target="https://www.gov.uk/government/publications/the-minimum-cyber-security-standard"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s://www.gov.uk/government/publications/government-security-classif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2128</Words>
  <Characters>12131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14231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Kowe</dc:creator>
  <cp:lastModifiedBy>Richard Landor</cp:lastModifiedBy>
  <cp:revision>2</cp:revision>
  <dcterms:created xsi:type="dcterms:W3CDTF">2019-10-08T05:51:00Z</dcterms:created>
  <dcterms:modified xsi:type="dcterms:W3CDTF">2019-10-08T05:51:00Z</dcterms:modified>
</cp:coreProperties>
</file>