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12C76" w:rsidRDefault="00382483" w14:paraId="5100127F" w14:textId="77777777">
      <w:r>
        <w:rPr>
          <w:noProof/>
        </w:rPr>
        <w:drawing>
          <wp:anchor distT="0" distB="0" distL="114300" distR="114300" simplePos="0" relativeHeight="251658240" behindDoc="0" locked="0" layoutInCell="1" allowOverlap="1" wp14:anchorId="3DA5A755" wp14:editId="171136EE">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476440" cy="2070000"/>
                    </a:xfrm>
                    <a:prstGeom prst="rect">
                      <a:avLst/>
                    </a:prstGeom>
                    <a:noFill/>
                    <a:ln>
                      <a:noFill/>
                      <a:prstDash/>
                    </a:ln>
                  </pic:spPr>
                </pic:pic>
              </a:graphicData>
            </a:graphic>
          </wp:anchor>
        </w:drawing>
      </w:r>
      <w:r>
        <w:br/>
      </w:r>
    </w:p>
    <w:p w:rsidR="00012C76" w:rsidRDefault="00012C76" w14:paraId="0AD2817C" w14:textId="77777777">
      <w:pPr>
        <w:pStyle w:val="Heading1"/>
      </w:pPr>
      <w:bookmarkStart w:name="_Toc32303547" w:id="0"/>
    </w:p>
    <w:p w:rsidR="00012C76" w:rsidRDefault="00012C76" w14:paraId="48BE2260" w14:textId="77777777">
      <w:pPr>
        <w:pStyle w:val="Heading1"/>
      </w:pPr>
    </w:p>
    <w:p w:rsidR="00012C76" w:rsidRDefault="00012C76" w14:paraId="41399CC9" w14:textId="77777777">
      <w:pPr>
        <w:pStyle w:val="Heading1"/>
      </w:pPr>
    </w:p>
    <w:p w:rsidR="00012C76" w:rsidRDefault="00382483" w14:paraId="5A4091AD" w14:textId="77777777">
      <w:pPr>
        <w:pStyle w:val="Heading1"/>
      </w:pPr>
      <w:bookmarkStart w:name="_Toc33176231" w:id="1"/>
      <w:bookmarkStart w:name="_Toc89701653" w:id="2"/>
      <w:r>
        <w:t>G-Cloud 12 Call-Off Contract</w:t>
      </w:r>
      <w:bookmarkEnd w:id="0"/>
      <w:bookmarkEnd w:id="1"/>
      <w:bookmarkEnd w:id="2"/>
    </w:p>
    <w:p w:rsidR="00012C76" w:rsidRDefault="00012C76" w14:paraId="7A217EB3" w14:textId="77777777">
      <w:pPr>
        <w:rPr>
          <w:sz w:val="28"/>
          <w:szCs w:val="28"/>
        </w:rPr>
      </w:pPr>
    </w:p>
    <w:p w:rsidR="00012C76" w:rsidRDefault="00012C76" w14:paraId="72068599" w14:textId="77777777">
      <w:pPr>
        <w:rPr>
          <w:sz w:val="28"/>
          <w:szCs w:val="28"/>
        </w:rPr>
      </w:pPr>
    </w:p>
    <w:p w:rsidR="00012C76" w:rsidRDefault="00382483" w14:paraId="7F40200F" w14:textId="77777777">
      <w:pPr>
        <w:rPr>
          <w:rFonts w:eastAsia="Times New Roman"/>
          <w:lang w:eastAsia="en-US"/>
        </w:rPr>
      </w:pPr>
      <w:r>
        <w:rPr>
          <w:rFonts w:eastAsia="Times New Roman"/>
          <w:lang w:eastAsia="en-US"/>
        </w:rPr>
        <w:t>This Call-Off Contract for the G-Cloud 12 Framework Agreement (RM1557.12) includes:</w:t>
      </w:r>
    </w:p>
    <w:p w:rsidRPr="002D6BCB" w:rsidR="002D6BCB" w:rsidRDefault="00382483" w14:paraId="46400D2C" w14:textId="627348EF">
      <w:pPr>
        <w:pStyle w:val="TOC1"/>
        <w:rPr>
          <w:rFonts w:ascii="Arial" w:hAnsi="Arial" w:cs="Arial" w:eastAsiaTheme="minorEastAsia"/>
          <w:b w:val="0"/>
          <w:bCs w:val="0"/>
          <w:i w:val="0"/>
          <w:iCs w:val="0"/>
          <w:noProof/>
        </w:rPr>
      </w:pPr>
      <w:r w:rsidRPr="002D6BCB">
        <w:rPr>
          <w:rFonts w:ascii="Arial" w:hAnsi="Arial" w:eastAsia="Arial" w:cs="Arial"/>
          <w:b w:val="0"/>
          <w:bCs w:val="0"/>
          <w:i w:val="0"/>
          <w:iCs w:val="0"/>
          <w:sz w:val="22"/>
          <w:szCs w:val="22"/>
        </w:rPr>
        <w:fldChar w:fldCharType="begin"/>
      </w:r>
      <w:r w:rsidRPr="002D6BCB">
        <w:rPr>
          <w:rFonts w:ascii="Arial" w:hAnsi="Arial" w:cs="Arial"/>
        </w:rPr>
        <w:instrText xml:space="preserve"> TOC \o "1-2" \u \h </w:instrText>
      </w:r>
      <w:r w:rsidRPr="002D6BCB">
        <w:rPr>
          <w:rFonts w:ascii="Arial" w:hAnsi="Arial" w:eastAsia="Arial" w:cs="Arial"/>
          <w:b w:val="0"/>
          <w:bCs w:val="0"/>
          <w:i w:val="0"/>
          <w:iCs w:val="0"/>
          <w:sz w:val="22"/>
          <w:szCs w:val="22"/>
        </w:rPr>
        <w:fldChar w:fldCharType="separate"/>
      </w:r>
      <w:hyperlink w:history="1" w:anchor="_Toc89701653">
        <w:r w:rsidRPr="002D6BCB" w:rsidR="002D6BCB">
          <w:rPr>
            <w:rStyle w:val="Hyperlink"/>
            <w:rFonts w:ascii="Arial" w:hAnsi="Arial" w:cs="Arial"/>
            <w:noProof/>
          </w:rPr>
          <w:t>G-Cloud 12 Call-Off Contract</w:t>
        </w:r>
        <w:r w:rsidRPr="002D6BCB" w:rsidR="002D6BCB">
          <w:rPr>
            <w:rFonts w:ascii="Arial" w:hAnsi="Arial" w:cs="Arial"/>
            <w:noProof/>
          </w:rPr>
          <w:tab/>
        </w:r>
        <w:r w:rsidRPr="002D6BCB" w:rsidR="002D6BCB">
          <w:rPr>
            <w:rFonts w:ascii="Arial" w:hAnsi="Arial" w:cs="Arial"/>
            <w:noProof/>
          </w:rPr>
          <w:fldChar w:fldCharType="begin"/>
        </w:r>
        <w:r w:rsidRPr="002D6BCB" w:rsidR="002D6BCB">
          <w:rPr>
            <w:rFonts w:ascii="Arial" w:hAnsi="Arial" w:cs="Arial"/>
            <w:noProof/>
          </w:rPr>
          <w:instrText xml:space="preserve"> PAGEREF _Toc89701653 \h </w:instrText>
        </w:r>
        <w:r w:rsidRPr="002D6BCB" w:rsidR="002D6BCB">
          <w:rPr>
            <w:rFonts w:ascii="Arial" w:hAnsi="Arial" w:cs="Arial"/>
            <w:noProof/>
          </w:rPr>
        </w:r>
        <w:r w:rsidRPr="002D6BCB" w:rsidR="002D6BCB">
          <w:rPr>
            <w:rFonts w:ascii="Arial" w:hAnsi="Arial" w:cs="Arial"/>
            <w:noProof/>
          </w:rPr>
          <w:fldChar w:fldCharType="separate"/>
        </w:r>
        <w:r w:rsidRPr="002D6BCB" w:rsidR="002D6BCB">
          <w:rPr>
            <w:rFonts w:ascii="Arial" w:hAnsi="Arial" w:cs="Arial"/>
            <w:noProof/>
          </w:rPr>
          <w:t>1</w:t>
        </w:r>
        <w:r w:rsidRPr="002D6BCB" w:rsidR="002D6BCB">
          <w:rPr>
            <w:rFonts w:ascii="Arial" w:hAnsi="Arial" w:cs="Arial"/>
            <w:noProof/>
          </w:rPr>
          <w:fldChar w:fldCharType="end"/>
        </w:r>
      </w:hyperlink>
    </w:p>
    <w:p w:rsidRPr="002D6BCB" w:rsidR="002D6BCB" w:rsidRDefault="002D6BCB" w14:paraId="22461D6A" w14:textId="56D89DCA">
      <w:pPr>
        <w:pStyle w:val="TOC2"/>
        <w:rPr>
          <w:rFonts w:ascii="Arial" w:hAnsi="Arial" w:cs="Arial" w:eastAsiaTheme="minorEastAsia"/>
          <w:b w:val="0"/>
          <w:bCs w:val="0"/>
          <w:noProof/>
          <w:sz w:val="24"/>
          <w:szCs w:val="24"/>
        </w:rPr>
      </w:pPr>
      <w:hyperlink w:history="1" w:anchor="_Toc89701654">
        <w:r w:rsidRPr="002D6BCB">
          <w:rPr>
            <w:rStyle w:val="Hyperlink"/>
            <w:rFonts w:ascii="Arial" w:hAnsi="Arial" w:cs="Arial"/>
            <w:noProof/>
          </w:rPr>
          <w:t>Part A: Order Form</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_Toc89701654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2</w:t>
        </w:r>
        <w:r w:rsidRPr="002D6BCB">
          <w:rPr>
            <w:rFonts w:ascii="Arial" w:hAnsi="Arial" w:cs="Arial"/>
            <w:noProof/>
          </w:rPr>
          <w:fldChar w:fldCharType="end"/>
        </w:r>
      </w:hyperlink>
    </w:p>
    <w:p w:rsidRPr="002D6BCB" w:rsidR="002D6BCB" w:rsidRDefault="002D6BCB" w14:paraId="76E32978" w14:textId="394D54CD">
      <w:pPr>
        <w:pStyle w:val="TOC2"/>
        <w:rPr>
          <w:rFonts w:ascii="Arial" w:hAnsi="Arial" w:cs="Arial" w:eastAsiaTheme="minorEastAsia"/>
          <w:b w:val="0"/>
          <w:bCs w:val="0"/>
          <w:noProof/>
          <w:sz w:val="24"/>
          <w:szCs w:val="24"/>
        </w:rPr>
      </w:pPr>
      <w:hyperlink w:history="1" w:anchor="_Toc89701655">
        <w:r w:rsidRPr="002D6BCB">
          <w:rPr>
            <w:rStyle w:val="Hyperlink"/>
            <w:rFonts w:ascii="Arial" w:hAnsi="Arial" w:cs="Arial"/>
            <w:noProof/>
          </w:rPr>
          <w:t>Schedule 1: Services</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_Toc89701655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12</w:t>
        </w:r>
        <w:r w:rsidRPr="002D6BCB">
          <w:rPr>
            <w:rFonts w:ascii="Arial" w:hAnsi="Arial" w:cs="Arial"/>
            <w:noProof/>
          </w:rPr>
          <w:fldChar w:fldCharType="end"/>
        </w:r>
      </w:hyperlink>
    </w:p>
    <w:p w:rsidRPr="002D6BCB" w:rsidR="002D6BCB" w:rsidRDefault="002D6BCB" w14:paraId="03BAE91E" w14:textId="580BF5D6">
      <w:pPr>
        <w:pStyle w:val="TOC2"/>
        <w:rPr>
          <w:rFonts w:ascii="Arial" w:hAnsi="Arial" w:cs="Arial" w:eastAsiaTheme="minorEastAsia"/>
          <w:b w:val="0"/>
          <w:bCs w:val="0"/>
          <w:noProof/>
          <w:sz w:val="24"/>
          <w:szCs w:val="24"/>
        </w:rPr>
      </w:pPr>
      <w:hyperlink w:history="1" w:anchor="_Toc89701656">
        <w:r w:rsidRPr="002D6BCB">
          <w:rPr>
            <w:rStyle w:val="Hyperlink"/>
            <w:rFonts w:ascii="Arial" w:hAnsi="Arial" w:cs="Arial"/>
            <w:noProof/>
          </w:rPr>
          <w:t>Schedule 2: Call-Off Contract charges</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_Toc89701656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12</w:t>
        </w:r>
        <w:r w:rsidRPr="002D6BCB">
          <w:rPr>
            <w:rFonts w:ascii="Arial" w:hAnsi="Arial" w:cs="Arial"/>
            <w:noProof/>
          </w:rPr>
          <w:fldChar w:fldCharType="end"/>
        </w:r>
      </w:hyperlink>
    </w:p>
    <w:p w:rsidRPr="002D6BCB" w:rsidR="002D6BCB" w:rsidRDefault="002D6BCB" w14:paraId="348DD594" w14:textId="5924E936">
      <w:pPr>
        <w:pStyle w:val="TOC2"/>
        <w:rPr>
          <w:rFonts w:ascii="Arial" w:hAnsi="Arial" w:cs="Arial" w:eastAsiaTheme="minorEastAsia"/>
          <w:b w:val="0"/>
          <w:bCs w:val="0"/>
          <w:noProof/>
          <w:sz w:val="24"/>
          <w:szCs w:val="24"/>
        </w:rPr>
      </w:pPr>
      <w:hyperlink w:history="1" w:anchor="_Toc89701657">
        <w:r w:rsidRPr="002D6BCB">
          <w:rPr>
            <w:rStyle w:val="Hyperlink"/>
            <w:rFonts w:ascii="Arial" w:hAnsi="Arial" w:cs="Arial"/>
            <w:noProof/>
          </w:rPr>
          <w:t>Part B: Terms and conditions</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_Toc89701657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14</w:t>
        </w:r>
        <w:r w:rsidRPr="002D6BCB">
          <w:rPr>
            <w:rFonts w:ascii="Arial" w:hAnsi="Arial" w:cs="Arial"/>
            <w:noProof/>
          </w:rPr>
          <w:fldChar w:fldCharType="end"/>
        </w:r>
      </w:hyperlink>
    </w:p>
    <w:p w:rsidRPr="002D6BCB" w:rsidR="002D6BCB" w:rsidRDefault="002D6BCB" w14:paraId="404752A7" w14:textId="4B5791F0">
      <w:pPr>
        <w:pStyle w:val="TOC2"/>
        <w:rPr>
          <w:rFonts w:ascii="Arial" w:hAnsi="Arial" w:cs="Arial" w:eastAsiaTheme="minorEastAsia"/>
          <w:b w:val="0"/>
          <w:bCs w:val="0"/>
          <w:noProof/>
          <w:sz w:val="24"/>
          <w:szCs w:val="24"/>
        </w:rPr>
      </w:pPr>
      <w:hyperlink w:history="1" w:anchor="_Toc89701658">
        <w:r w:rsidRPr="002D6BCB">
          <w:rPr>
            <w:rStyle w:val="Hyperlink"/>
            <w:rFonts w:ascii="Arial" w:hAnsi="Arial" w:cs="Arial"/>
            <w:noProof/>
          </w:rPr>
          <w:t>Schedule 3: Collaboration agreement</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_Toc89701658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32</w:t>
        </w:r>
        <w:r w:rsidRPr="002D6BCB">
          <w:rPr>
            <w:rFonts w:ascii="Arial" w:hAnsi="Arial" w:cs="Arial"/>
            <w:noProof/>
          </w:rPr>
          <w:fldChar w:fldCharType="end"/>
        </w:r>
      </w:hyperlink>
    </w:p>
    <w:p w:rsidRPr="002D6BCB" w:rsidR="002D6BCB" w:rsidRDefault="002D6BCB" w14:paraId="0B3A99E0" w14:textId="1345A663">
      <w:pPr>
        <w:pStyle w:val="TOC2"/>
        <w:rPr>
          <w:rFonts w:ascii="Arial" w:hAnsi="Arial" w:cs="Arial" w:eastAsiaTheme="minorEastAsia"/>
          <w:b w:val="0"/>
          <w:bCs w:val="0"/>
          <w:noProof/>
          <w:sz w:val="24"/>
          <w:szCs w:val="24"/>
        </w:rPr>
      </w:pPr>
      <w:hyperlink w:history="1" w:anchor="_Toc89701659">
        <w:r w:rsidRPr="002D6BCB">
          <w:rPr>
            <w:rStyle w:val="Hyperlink"/>
            <w:rFonts w:ascii="Arial" w:hAnsi="Arial" w:cs="Arial"/>
            <w:noProof/>
          </w:rPr>
          <w:t>Schedule 4: Alternative clauses</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_Toc89701659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32</w:t>
        </w:r>
        <w:r w:rsidRPr="002D6BCB">
          <w:rPr>
            <w:rFonts w:ascii="Arial" w:hAnsi="Arial" w:cs="Arial"/>
            <w:noProof/>
          </w:rPr>
          <w:fldChar w:fldCharType="end"/>
        </w:r>
      </w:hyperlink>
    </w:p>
    <w:p w:rsidRPr="002D6BCB" w:rsidR="002D6BCB" w:rsidRDefault="002D6BCB" w14:paraId="622DEB9B" w14:textId="74962012">
      <w:pPr>
        <w:pStyle w:val="TOC2"/>
        <w:rPr>
          <w:rFonts w:ascii="Arial" w:hAnsi="Arial" w:cs="Arial" w:eastAsiaTheme="minorEastAsia"/>
          <w:b w:val="0"/>
          <w:bCs w:val="0"/>
          <w:noProof/>
          <w:sz w:val="24"/>
          <w:szCs w:val="24"/>
        </w:rPr>
      </w:pPr>
      <w:hyperlink w:history="1" w:anchor="_Toc89701660">
        <w:r w:rsidRPr="002D6BCB">
          <w:rPr>
            <w:rStyle w:val="Hyperlink"/>
            <w:rFonts w:ascii="Arial" w:hAnsi="Arial" w:cs="Arial"/>
            <w:noProof/>
          </w:rPr>
          <w:t>Schedule 6: Glossary and interpretations</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_Toc89701660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32</w:t>
        </w:r>
        <w:r w:rsidRPr="002D6BCB">
          <w:rPr>
            <w:rFonts w:ascii="Arial" w:hAnsi="Arial" w:cs="Arial"/>
            <w:noProof/>
          </w:rPr>
          <w:fldChar w:fldCharType="end"/>
        </w:r>
      </w:hyperlink>
    </w:p>
    <w:p w:rsidRPr="002D6BCB" w:rsidR="002D6BCB" w:rsidRDefault="002D6BCB" w14:paraId="16B49338" w14:textId="73746F7A">
      <w:pPr>
        <w:pStyle w:val="TOC2"/>
        <w:rPr>
          <w:rFonts w:ascii="Arial" w:hAnsi="Arial" w:cs="Arial" w:eastAsiaTheme="minorEastAsia"/>
          <w:b w:val="0"/>
          <w:bCs w:val="0"/>
          <w:noProof/>
          <w:sz w:val="24"/>
          <w:szCs w:val="24"/>
        </w:rPr>
      </w:pPr>
      <w:hyperlink w:history="1" w:anchor="_Toc89701661">
        <w:r w:rsidRPr="002D6BCB">
          <w:rPr>
            <w:rStyle w:val="Hyperlink"/>
            <w:rFonts w:ascii="Arial" w:hAnsi="Arial" w:cs="Arial"/>
            <w:noProof/>
          </w:rPr>
          <w:t>Schedule 7: GDPR Information</w:t>
        </w:r>
        <w:r w:rsidRPr="002D6BCB">
          <w:rPr>
            <w:rFonts w:ascii="Arial" w:hAnsi="Arial" w:cs="Arial"/>
            <w:noProof/>
          </w:rPr>
          <w:tab/>
        </w:r>
        <w:r w:rsidRPr="002D6BCB">
          <w:rPr>
            <w:rFonts w:ascii="Arial" w:hAnsi="Arial" w:cs="Arial"/>
            <w:noProof/>
          </w:rPr>
          <w:fldChar w:fldCharType="begin"/>
        </w:r>
        <w:r w:rsidRPr="002D6BCB">
          <w:rPr>
            <w:rFonts w:ascii="Arial" w:hAnsi="Arial" w:cs="Arial"/>
            <w:noProof/>
          </w:rPr>
          <w:instrText xml:space="preserve"> PAGEREF _Toc89701661 \h </w:instrText>
        </w:r>
        <w:r w:rsidRPr="002D6BCB">
          <w:rPr>
            <w:rFonts w:ascii="Arial" w:hAnsi="Arial" w:cs="Arial"/>
            <w:noProof/>
          </w:rPr>
        </w:r>
        <w:r w:rsidRPr="002D6BCB">
          <w:rPr>
            <w:rFonts w:ascii="Arial" w:hAnsi="Arial" w:cs="Arial"/>
            <w:noProof/>
          </w:rPr>
          <w:fldChar w:fldCharType="separate"/>
        </w:r>
        <w:r w:rsidRPr="002D6BCB">
          <w:rPr>
            <w:rFonts w:ascii="Arial" w:hAnsi="Arial" w:cs="Arial"/>
            <w:noProof/>
          </w:rPr>
          <w:t>43</w:t>
        </w:r>
        <w:r w:rsidRPr="002D6BCB">
          <w:rPr>
            <w:rFonts w:ascii="Arial" w:hAnsi="Arial" w:cs="Arial"/>
            <w:noProof/>
          </w:rPr>
          <w:fldChar w:fldCharType="end"/>
        </w:r>
      </w:hyperlink>
    </w:p>
    <w:p w:rsidR="00012C76" w:rsidRDefault="00382483" w14:paraId="7276AAE0" w14:textId="28809320">
      <w:pPr>
        <w:pageBreakBefore/>
      </w:pPr>
      <w:r w:rsidRPr="002D6BCB">
        <w:rPr>
          <w:rFonts w:eastAsia="Cambria"/>
          <w:b/>
          <w:bCs/>
        </w:rPr>
        <w:lastRenderedPageBreak/>
        <w:fldChar w:fldCharType="end"/>
      </w:r>
    </w:p>
    <w:p w:rsidR="00012C76" w:rsidRDefault="00382483" w14:paraId="4D8649D6" w14:textId="77777777">
      <w:pPr>
        <w:pStyle w:val="Heading2"/>
      </w:pPr>
      <w:bookmarkStart w:name="_Toc33176232" w:id="3"/>
      <w:bookmarkStart w:name="_Toc89701654" w:id="4"/>
      <w:r>
        <w:t>Part A: Order Form</w:t>
      </w:r>
      <w:bookmarkEnd w:id="3"/>
      <w:bookmarkEnd w:id="4"/>
    </w:p>
    <w:p w:rsidR="00012C76" w:rsidRDefault="00382483" w14:paraId="33CB7753" w14:textId="77777777">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12C76" w:rsidTr="426876C5" w14:paraId="38BE08C3" w14:textId="77777777">
        <w:trPr>
          <w:trHeight w:val="780"/>
        </w:trPr>
        <w:tc>
          <w:tcPr>
            <w:tcW w:w="4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1FAD8A2A" w14:textId="77777777">
            <w:pPr>
              <w:spacing w:before="240"/>
              <w:rPr>
                <w:b/>
              </w:rPr>
            </w:pPr>
            <w:r>
              <w:rPr>
                <w:b/>
              </w:rPr>
              <w:t>Digital Marketplace service ID number</w:t>
            </w:r>
          </w:p>
        </w:tc>
        <w:tc>
          <w:tcPr>
            <w:tcW w:w="436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5F9A2D05" w14:textId="77777777">
            <w:pPr>
              <w:spacing w:before="240"/>
            </w:pPr>
            <w:r>
              <w:t>2107 4835 2904 117</w:t>
            </w:r>
          </w:p>
        </w:tc>
      </w:tr>
      <w:tr w:rsidR="00012C76" w:rsidTr="426876C5" w14:paraId="04DEA4B4"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6D62E28D" w14:textId="77777777">
            <w:pPr>
              <w:spacing w:before="240"/>
              <w:rPr>
                <w:b/>
              </w:rPr>
            </w:pPr>
            <w:r>
              <w:rPr>
                <w:b/>
              </w:rPr>
              <w:t>Call-Off Contract reference</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vAlign w:val="center"/>
          </w:tcPr>
          <w:p w:rsidRPr="00F8262C" w:rsidR="00012C76" w:rsidP="00D666C9" w:rsidRDefault="00F8262C" w14:paraId="059A2088" w14:textId="704BA3DC">
            <w:pPr>
              <w:suppressAutoHyphens w:val="0"/>
            </w:pPr>
            <w:r w:rsidRPr="00D666C9">
              <w:rPr>
                <w:color w:val="242424"/>
                <w:shd w:val="clear" w:color="auto" w:fill="FFFFFF"/>
              </w:rPr>
              <w:t>5526/11/2021</w:t>
            </w:r>
          </w:p>
        </w:tc>
      </w:tr>
      <w:tr w:rsidR="00012C76" w:rsidTr="426876C5" w14:paraId="51B9A84A"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6C612FB5" w14:textId="77777777">
            <w:pPr>
              <w:spacing w:before="240"/>
              <w:rPr>
                <w:b/>
              </w:rPr>
            </w:pPr>
            <w:r>
              <w:rPr>
                <w:b/>
              </w:rPr>
              <w:t>Call-Off Contract title</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RDefault="0028374D" w14:paraId="677013EF" w14:textId="6BEF83B7">
            <w:pPr>
              <w:spacing w:before="240"/>
            </w:pPr>
            <w:r>
              <w:t xml:space="preserve">Provision of </w:t>
            </w:r>
            <w:r w:rsidR="00382483">
              <w:t xml:space="preserve">Long Arm </w:t>
            </w:r>
            <w:r>
              <w:t>Licences to BEIS Investment Security Unit</w:t>
            </w:r>
          </w:p>
        </w:tc>
      </w:tr>
      <w:tr w:rsidR="00012C76" w:rsidTr="426876C5" w14:paraId="53BE8128"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5A7A115F" w14:textId="77777777">
            <w:pPr>
              <w:spacing w:before="240"/>
              <w:rPr>
                <w:b/>
              </w:rPr>
            </w:pPr>
            <w:r>
              <w:rPr>
                <w:b/>
              </w:rPr>
              <w:t>Call-Off Contract description</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RDefault="0028374D" w14:paraId="17F95855" w14:textId="20DA2F34">
            <w:pPr>
              <w:spacing w:before="240"/>
            </w:pPr>
            <w:r>
              <w:t xml:space="preserve">This Call-Off Contract is for the provision of licences for </w:t>
            </w:r>
            <w:r w:rsidR="00382483">
              <w:t>Internet Intelligence &amp; Investigation platform (Long Arm)</w:t>
            </w:r>
            <w:r>
              <w:t>,</w:t>
            </w:r>
            <w:r w:rsidR="001D0626">
              <w:t xml:space="preserve"> </w:t>
            </w:r>
            <w:proofErr w:type="gramStart"/>
            <w:r w:rsidR="001D0626">
              <w:t xml:space="preserve">and </w:t>
            </w:r>
            <w:r>
              <w:t xml:space="preserve"> associated</w:t>
            </w:r>
            <w:proofErr w:type="gramEnd"/>
            <w:r>
              <w:t xml:space="preserve"> t</w:t>
            </w:r>
            <w:r w:rsidR="001D0626">
              <w:t>raining</w:t>
            </w:r>
          </w:p>
        </w:tc>
      </w:tr>
      <w:tr w:rsidR="00012C76" w:rsidTr="426876C5" w14:paraId="4519107E"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4E6DB1EC" w14:textId="77777777">
            <w:pPr>
              <w:spacing w:before="240"/>
              <w:rPr>
                <w:b/>
              </w:rPr>
            </w:pPr>
            <w:r>
              <w:rPr>
                <w:b/>
              </w:rPr>
              <w:t>Start date</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P="000447F0" w:rsidRDefault="00F8262C" w14:paraId="614F9521" w14:textId="29EE0155">
            <w:pPr>
              <w:spacing w:before="240"/>
            </w:pPr>
            <w:r w:rsidR="00F8262C">
              <w:rPr/>
              <w:t>1</w:t>
            </w:r>
            <w:r w:rsidR="089A11DD">
              <w:rPr/>
              <w:t>6</w:t>
            </w:r>
            <w:r w:rsidR="00F8262C">
              <w:rPr/>
              <w:t xml:space="preserve"> December 2021</w:t>
            </w:r>
          </w:p>
        </w:tc>
      </w:tr>
      <w:tr w:rsidR="00012C76" w:rsidTr="426876C5" w14:paraId="6D509C54"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6D9A9520" w14:textId="77777777">
            <w:pPr>
              <w:spacing w:before="240"/>
              <w:rPr>
                <w:b/>
              </w:rPr>
            </w:pPr>
            <w:r>
              <w:rPr>
                <w:b/>
              </w:rPr>
              <w:t>Expiry date</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tcPr>
          <w:p w:rsidRPr="00F8262C" w:rsidR="00012C76" w:rsidP="000447F0" w:rsidRDefault="00F8262C" w14:paraId="5E57E748" w14:textId="1FA465CA">
            <w:pPr>
              <w:spacing w:before="240"/>
            </w:pPr>
            <w:r w:rsidR="00F8262C">
              <w:rPr/>
              <w:t>1</w:t>
            </w:r>
            <w:r w:rsidR="33DF9EA4">
              <w:rPr/>
              <w:t>6</w:t>
            </w:r>
            <w:r w:rsidR="00F8262C">
              <w:rPr/>
              <w:t xml:space="preserve"> December 2022</w:t>
            </w:r>
          </w:p>
        </w:tc>
      </w:tr>
      <w:tr w:rsidR="00012C76" w:rsidTr="426876C5" w14:paraId="03B402AD"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488A474A" w14:textId="77777777">
            <w:pPr>
              <w:spacing w:before="240"/>
              <w:rPr>
                <w:b/>
              </w:rPr>
            </w:pPr>
            <w:r>
              <w:rPr>
                <w:b/>
              </w:rPr>
              <w:t>Call-Off Contract value</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RDefault="00855B82" w14:paraId="7BDDB6A0" w14:textId="49ED7794">
            <w:pPr>
              <w:spacing w:before="240"/>
            </w:pPr>
            <w:r w:rsidRPr="00D666C9">
              <w:t xml:space="preserve">Up to </w:t>
            </w:r>
            <w:r w:rsidRPr="00D666C9" w:rsidR="00ED26D6">
              <w:t>£70,000 (excluding VAT, including extension period)</w:t>
            </w:r>
          </w:p>
        </w:tc>
      </w:tr>
      <w:tr w:rsidR="00012C76" w:rsidTr="426876C5" w14:paraId="3C559E6C"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2BD765B7" w14:textId="77777777">
            <w:pPr>
              <w:spacing w:before="240"/>
              <w:rPr>
                <w:b/>
              </w:rPr>
            </w:pPr>
            <w:r>
              <w:rPr>
                <w:b/>
              </w:rPr>
              <w:t>Charging method</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0165E02C" w14:textId="77777777">
            <w:pPr>
              <w:spacing w:before="240"/>
            </w:pPr>
            <w:r>
              <w:t>BACS</w:t>
            </w:r>
            <w:r w:rsidR="0078275C">
              <w:t xml:space="preserve"> Payment, billed annually</w:t>
            </w:r>
          </w:p>
        </w:tc>
      </w:tr>
      <w:tr w:rsidR="00012C76" w:rsidTr="426876C5" w14:paraId="0FE90DD7" w14:textId="77777777">
        <w:trPr>
          <w:trHeight w:val="480"/>
        </w:trPr>
        <w:tc>
          <w:tcPr>
            <w:tcW w:w="4530"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3BAB760B" w14:textId="77777777">
            <w:pPr>
              <w:spacing w:before="240"/>
              <w:rPr>
                <w:b/>
              </w:rPr>
            </w:pPr>
            <w:r>
              <w:rPr>
                <w:b/>
              </w:rPr>
              <w:t>Purchase order number</w:t>
            </w:r>
          </w:p>
        </w:tc>
        <w:tc>
          <w:tcPr>
            <w:tcW w:w="4365"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RDefault="000447F0" w14:paraId="3BDC5D03" w14:textId="0CE8A682">
            <w:pPr>
              <w:spacing w:before="240"/>
            </w:pPr>
            <w:r>
              <w:t>T</w:t>
            </w:r>
            <w:r w:rsidR="0028374D">
              <w:t>o be provided by the Buyer to the Supplier as soon as practicable following Call-Off Contract signature</w:t>
            </w:r>
          </w:p>
        </w:tc>
      </w:tr>
    </w:tbl>
    <w:p w:rsidR="00012C76" w:rsidP="0060192A" w:rsidRDefault="00012C76" w14:paraId="7AC4AB19" w14:textId="77777777">
      <w:pPr>
        <w:pStyle w:val="ListParagraph"/>
        <w:spacing w:before="240"/>
        <w:ind w:left="780"/>
      </w:pPr>
    </w:p>
    <w:p w:rsidR="00012C76" w:rsidRDefault="00382483" w14:paraId="65E4CE8C" w14:textId="77777777">
      <w:pPr>
        <w:spacing w:before="240" w:after="240"/>
      </w:pPr>
      <w:r>
        <w:t>This Order Form is issued under the G-Cloud 12 Framework Agreement (RM1557.12).</w:t>
      </w:r>
    </w:p>
    <w:p w:rsidR="00012C76" w:rsidRDefault="00382483" w14:paraId="15D4C36D" w14:textId="77777777">
      <w:pPr>
        <w:spacing w:before="240"/>
      </w:pPr>
      <w:r>
        <w:t>Buyers can use this Order Form to specify their G-Cloud service requirements when placing an Order.</w:t>
      </w:r>
    </w:p>
    <w:p w:rsidR="00012C76" w:rsidRDefault="00382483" w14:paraId="1E59FC06" w14:textId="77777777">
      <w:pPr>
        <w:spacing w:before="240"/>
      </w:pPr>
      <w:r>
        <w:t>The Order Form cannot be used to alter existing terms or add any extra terms that materially change the Deliverables offered by the Supplier and defined in the Application.</w:t>
      </w:r>
    </w:p>
    <w:p w:rsidR="00012C76" w:rsidRDefault="00382483" w14:paraId="7D263A55" w14:textId="77777777">
      <w:pPr>
        <w:spacing w:before="240"/>
      </w:pPr>
      <w:r>
        <w:t>There are terms in the Call-Off Contract that may be defined in the Order Form. These are identified in the contract with square brackets.</w:t>
      </w:r>
    </w:p>
    <w:p w:rsidR="0060192A" w:rsidP="0060192A" w:rsidRDefault="0060192A" w14:paraId="3E98CC02" w14:textId="77777777">
      <w:pPr>
        <w:spacing w:before="240"/>
      </w:pP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12C76" w:rsidTr="00EB5448" w14:paraId="7094AA7A" w14:textId="77777777">
        <w:trPr>
          <w:trHeight w:val="1723"/>
        </w:trPr>
        <w:tc>
          <w:tcPr>
            <w:tcW w:w="20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6D74FC2" w14:textId="77777777">
            <w:pPr>
              <w:spacing w:before="240"/>
              <w:rPr>
                <w:b/>
              </w:rPr>
            </w:pPr>
            <w:r>
              <w:rPr>
                <w:b/>
              </w:rPr>
              <w:t>From the Buyer</w:t>
            </w:r>
          </w:p>
        </w:tc>
        <w:tc>
          <w:tcPr>
            <w:tcW w:w="6825"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012C76" w:rsidP="001D0626" w:rsidRDefault="0028374D" w14:paraId="21E3EBF6" w14:textId="4EAB0C30">
            <w:pPr>
              <w:spacing w:before="240"/>
            </w:pPr>
            <w:r>
              <w:t xml:space="preserve">The Department for Business, </w:t>
            </w:r>
            <w:proofErr w:type="gramStart"/>
            <w:r>
              <w:t>Energy</w:t>
            </w:r>
            <w:proofErr w:type="gramEnd"/>
            <w:r>
              <w:t xml:space="preserve"> and Industrial Strategy, on behalf of the Secretary of State for Business, Energy and Industrial Strategy </w:t>
            </w:r>
          </w:p>
          <w:p w:rsidR="00265944" w:rsidP="001D0626" w:rsidRDefault="00265944" w14:paraId="69E9E53E" w14:textId="77777777">
            <w:pPr>
              <w:spacing w:before="240"/>
            </w:pPr>
            <w:r>
              <w:t>1 Victoria Street</w:t>
            </w:r>
          </w:p>
          <w:p w:rsidR="00265944" w:rsidP="001D0626" w:rsidRDefault="00265944" w14:paraId="35FF7DF7" w14:textId="77777777">
            <w:pPr>
              <w:spacing w:before="240"/>
            </w:pPr>
            <w:r>
              <w:t>London</w:t>
            </w:r>
          </w:p>
          <w:p w:rsidR="00265944" w:rsidP="001D0626" w:rsidRDefault="00265944" w14:paraId="0D1B6F97" w14:textId="62DACE9B">
            <w:pPr>
              <w:spacing w:before="240"/>
            </w:pPr>
            <w:r>
              <w:t>SW1h 0ET</w:t>
            </w:r>
          </w:p>
        </w:tc>
      </w:tr>
      <w:tr w:rsidR="00012C76" w14:paraId="33A28629" w14:textId="77777777">
        <w:trPr>
          <w:trHeight w:val="5220"/>
        </w:trPr>
        <w:tc>
          <w:tcPr>
            <w:tcW w:w="2055"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25CF41F" w14:textId="77777777">
            <w:pPr>
              <w:spacing w:before="240"/>
              <w:rPr>
                <w:b/>
              </w:rPr>
            </w:pPr>
            <w:r>
              <w:rPr>
                <w:b/>
              </w:rPr>
              <w:t>To the Supplier</w:t>
            </w:r>
          </w:p>
        </w:tc>
        <w:tc>
          <w:tcPr>
            <w:tcW w:w="6825" w:type="dxa"/>
            <w:tcBorders>
              <w:bottom w:val="single" w:color="000000" w:sz="8" w:space="0"/>
              <w:right w:val="single" w:color="000000" w:sz="8" w:space="0"/>
            </w:tcBorders>
            <w:tcMar>
              <w:top w:w="100" w:type="dxa"/>
              <w:left w:w="100" w:type="dxa"/>
              <w:bottom w:w="100" w:type="dxa"/>
              <w:right w:w="100" w:type="dxa"/>
            </w:tcMar>
          </w:tcPr>
          <w:p w:rsidR="00012C76" w:rsidP="00D061F3" w:rsidRDefault="00382483" w14:paraId="130E0F06" w14:textId="77777777">
            <w:pPr>
              <w:spacing w:before="240" w:line="240" w:lineRule="auto"/>
            </w:pPr>
            <w:r>
              <w:t>Internet Investigation Solutions Ltd</w:t>
            </w:r>
          </w:p>
          <w:p w:rsidR="00382483" w:rsidP="00D061F3" w:rsidRDefault="00382483" w14:paraId="1D6310C7" w14:textId="77777777">
            <w:pPr>
              <w:spacing w:before="240" w:line="240" w:lineRule="auto"/>
            </w:pPr>
            <w:r>
              <w:t>0344 247 0115</w:t>
            </w:r>
          </w:p>
          <w:p w:rsidR="00382483" w:rsidP="00D061F3" w:rsidRDefault="00382483" w14:paraId="7C877396" w14:textId="77777777">
            <w:pPr>
              <w:spacing w:before="240" w:line="240" w:lineRule="auto"/>
            </w:pPr>
            <w:r>
              <w:t>Supplier address:</w:t>
            </w:r>
          </w:p>
          <w:p w:rsidR="00382483" w:rsidP="00D061F3" w:rsidRDefault="00382483" w14:paraId="736A44C4" w14:textId="77777777">
            <w:pPr>
              <w:spacing w:before="240" w:line="240" w:lineRule="auto"/>
            </w:pPr>
            <w:r>
              <w:t>20-22 Wenlock Road</w:t>
            </w:r>
          </w:p>
          <w:p w:rsidR="00382483" w:rsidP="00D061F3" w:rsidRDefault="00382483" w14:paraId="4EDCF608" w14:textId="77777777">
            <w:pPr>
              <w:spacing w:before="240" w:line="240" w:lineRule="auto"/>
            </w:pPr>
            <w:r>
              <w:t>London</w:t>
            </w:r>
          </w:p>
          <w:p w:rsidR="00382483" w:rsidP="00D061F3" w:rsidRDefault="00382483" w14:paraId="0DD7813A" w14:textId="77777777">
            <w:pPr>
              <w:spacing w:before="240" w:line="240" w:lineRule="auto"/>
            </w:pPr>
            <w:r>
              <w:t>N1 7GU</w:t>
            </w:r>
          </w:p>
          <w:p w:rsidR="00382483" w:rsidP="00D061F3" w:rsidRDefault="00382483" w14:paraId="1F854C43" w14:textId="77777777">
            <w:pPr>
              <w:spacing w:before="240" w:line="240" w:lineRule="auto"/>
            </w:pPr>
            <w:r>
              <w:t>United Kin</w:t>
            </w:r>
            <w:r w:rsidR="002460F1">
              <w:t>g</w:t>
            </w:r>
            <w:r>
              <w:t>dom</w:t>
            </w:r>
          </w:p>
          <w:p w:rsidR="00012C76" w:rsidP="00D061F3" w:rsidRDefault="00382483" w14:paraId="57CB7709" w14:textId="77777777">
            <w:pPr>
              <w:spacing w:before="240" w:line="240" w:lineRule="auto"/>
            </w:pPr>
            <w:r>
              <w:t>Company number: 08902949</w:t>
            </w:r>
          </w:p>
        </w:tc>
      </w:tr>
      <w:tr w:rsidR="00012C76" w14:paraId="44D673C3" w14:textId="77777777">
        <w:trPr>
          <w:trHeight w:val="480"/>
        </w:trPr>
        <w:tc>
          <w:tcPr>
            <w:tcW w:w="8880" w:type="dxa"/>
            <w:gridSpan w:val="2"/>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D01B054" w14:textId="77777777">
            <w:pPr>
              <w:spacing w:before="240" w:after="240"/>
              <w:rPr>
                <w:b/>
              </w:rPr>
            </w:pPr>
            <w:r>
              <w:rPr>
                <w:b/>
              </w:rPr>
              <w:t>Together the ‘Parties’</w:t>
            </w:r>
          </w:p>
        </w:tc>
      </w:tr>
    </w:tbl>
    <w:p w:rsidR="00012C76" w:rsidRDefault="00012C76" w14:paraId="7223D362" w14:textId="77777777">
      <w:pPr>
        <w:spacing w:before="240" w:after="240"/>
        <w:rPr>
          <w:b/>
        </w:rPr>
      </w:pPr>
    </w:p>
    <w:p w:rsidR="00012C76" w:rsidRDefault="00382483" w14:paraId="637144BF" w14:textId="77777777">
      <w:pPr>
        <w:pStyle w:val="Heading3"/>
        <w:rPr>
          <w:color w:val="auto"/>
        </w:rPr>
      </w:pPr>
      <w:r>
        <w:rPr>
          <w:color w:val="auto"/>
        </w:rPr>
        <w:t>Principal contact details</w:t>
      </w:r>
    </w:p>
    <w:p w:rsidR="00012C76" w:rsidRDefault="00382483" w14:paraId="0B672DD4" w14:textId="77777777">
      <w:pPr>
        <w:spacing w:before="240" w:after="120" w:line="480" w:lineRule="auto"/>
        <w:rPr>
          <w:b/>
        </w:rPr>
      </w:pPr>
      <w:r>
        <w:rPr>
          <w:b/>
        </w:rPr>
        <w:t>For the Buyer:</w:t>
      </w:r>
    </w:p>
    <w:p w:rsidRPr="00D666C9" w:rsidR="00012C76" w:rsidRDefault="00382483" w14:paraId="1055DAB6" w14:textId="6118360A">
      <w:pPr>
        <w:spacing w:after="120"/>
      </w:pPr>
      <w:r w:rsidR="00382483">
        <w:rPr/>
        <w:t>Title:</w:t>
      </w:r>
      <w:r w:rsidR="00265944">
        <w:rPr/>
        <w:t xml:space="preserve"> </w:t>
      </w:r>
      <w:r w:rsidR="596A55F6">
        <w:rPr/>
        <w:t>[Redacted]</w:t>
      </w:r>
    </w:p>
    <w:p w:rsidRPr="00D666C9" w:rsidR="00012C76" w:rsidRDefault="00382483" w14:paraId="48B4308A" w14:textId="4153488F">
      <w:pPr>
        <w:spacing w:after="120" w:line="240" w:lineRule="auto"/>
      </w:pPr>
      <w:r w:rsidR="00382483">
        <w:rPr/>
        <w:t xml:space="preserve">Name: </w:t>
      </w:r>
      <w:r w:rsidR="3914B304">
        <w:rPr/>
        <w:t>[Redacted]</w:t>
      </w:r>
    </w:p>
    <w:p w:rsidR="00012C76" w:rsidP="426876C5" w:rsidRDefault="00012C76" w14:paraId="7BAEFB8A" w14:textId="6C2DF994">
      <w:pPr>
        <w:spacing w:after="120" w:line="240" w:lineRule="auto"/>
      </w:pPr>
      <w:r w:rsidR="00382483">
        <w:rPr/>
        <w:t>Email:</w:t>
      </w:r>
      <w:r w:rsidR="308EA5BE">
        <w:rPr/>
        <w:t xml:space="preserve"> [Redacted]</w:t>
      </w:r>
    </w:p>
    <w:p w:rsidR="00012C76" w:rsidP="426876C5" w:rsidRDefault="00012C76" w14:paraId="6BB582F3" w14:textId="340AB356">
      <w:pPr>
        <w:spacing w:after="120" w:line="240" w:lineRule="auto"/>
      </w:pPr>
      <w:r w:rsidR="00382483">
        <w:rPr/>
        <w:t>Phone:</w:t>
      </w:r>
      <w:r w:rsidR="00265944">
        <w:rPr/>
        <w:t xml:space="preserve"> </w:t>
      </w:r>
      <w:r w:rsidR="368394B6">
        <w:rPr/>
        <w:t>[Redacted]</w:t>
      </w:r>
    </w:p>
    <w:p w:rsidR="00012C76" w:rsidRDefault="00382483" w14:paraId="2D6D9426" w14:textId="77777777">
      <w:pPr>
        <w:spacing w:line="480" w:lineRule="auto"/>
        <w:rPr>
          <w:b/>
        </w:rPr>
      </w:pPr>
      <w:r w:rsidRPr="426876C5" w:rsidR="00382483">
        <w:rPr>
          <w:b w:val="1"/>
          <w:bCs w:val="1"/>
        </w:rPr>
        <w:t>For the Supplier:</w:t>
      </w:r>
    </w:p>
    <w:p w:rsidR="13DF5F1B" w:rsidP="426876C5" w:rsidRDefault="13DF5F1B" w14:paraId="4006AE5B" w14:textId="6118360A">
      <w:pPr>
        <w:spacing w:after="120"/>
      </w:pPr>
      <w:r w:rsidR="13DF5F1B">
        <w:rPr/>
        <w:t>Title: [Redacted]</w:t>
      </w:r>
    </w:p>
    <w:p w:rsidR="13DF5F1B" w:rsidP="426876C5" w:rsidRDefault="13DF5F1B" w14:paraId="5FC9194F" w14:textId="4153488F">
      <w:pPr>
        <w:spacing w:after="120" w:line="240" w:lineRule="auto"/>
      </w:pPr>
      <w:r w:rsidR="13DF5F1B">
        <w:rPr/>
        <w:t>Name: [Redacted]</w:t>
      </w:r>
    </w:p>
    <w:p w:rsidR="13DF5F1B" w:rsidP="426876C5" w:rsidRDefault="13DF5F1B" w14:paraId="1EF953AB" w14:textId="6C2DF994">
      <w:pPr>
        <w:spacing w:after="120" w:line="240" w:lineRule="auto"/>
      </w:pPr>
      <w:r w:rsidR="13DF5F1B">
        <w:rPr/>
        <w:t>Email: [Redacted]</w:t>
      </w:r>
    </w:p>
    <w:p w:rsidR="13DF5F1B" w:rsidP="426876C5" w:rsidRDefault="13DF5F1B" w14:paraId="0CED6EEC" w14:textId="340AB356">
      <w:pPr>
        <w:spacing w:after="120" w:line="240" w:lineRule="auto"/>
      </w:pPr>
      <w:r w:rsidR="13DF5F1B">
        <w:rPr/>
        <w:t>Phone: [Redacted]</w:t>
      </w:r>
    </w:p>
    <w:p w:rsidR="426876C5" w:rsidP="426876C5" w:rsidRDefault="426876C5" w14:paraId="75B1BC38" w14:textId="04CB0BCD">
      <w:pPr>
        <w:pStyle w:val="Normal"/>
        <w:spacing w:after="120" w:line="240" w:lineRule="auto"/>
      </w:pPr>
    </w:p>
    <w:p w:rsidR="00012C76" w:rsidRDefault="00012C76" w14:paraId="56CD6CA4" w14:textId="77777777">
      <w:pPr>
        <w:spacing w:before="240" w:after="240"/>
      </w:pPr>
    </w:p>
    <w:p w:rsidR="00012C76" w:rsidRDefault="00382483" w14:paraId="21CDA97F" w14:textId="77777777">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12C76" w:rsidTr="426876C5" w14:paraId="69E6836C" w14:textId="77777777">
        <w:trPr>
          <w:trHeight w:val="1020"/>
        </w:trPr>
        <w:tc>
          <w:tcPr>
            <w:tcW w:w="26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69EC1F69" w14:textId="77777777">
            <w:pPr>
              <w:spacing w:before="240"/>
            </w:pPr>
            <w:r>
              <w:rPr>
                <w:b/>
              </w:rPr>
              <w:t>Start date</w:t>
            </w:r>
          </w:p>
        </w:tc>
        <w:tc>
          <w:tcPr>
            <w:tcW w:w="6270"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227DFAC7" w14:textId="562F7532">
            <w:pPr>
              <w:spacing w:before="240"/>
            </w:pPr>
            <w:r w:rsidR="00382483">
              <w:rPr/>
              <w:t>This Call-Off Contract Starts on</w:t>
            </w:r>
            <w:r w:rsidR="66305CFA">
              <w:rPr/>
              <w:t xml:space="preserve"> 16 December 2021 </w:t>
            </w:r>
            <w:r w:rsidR="00382483">
              <w:rPr/>
              <w:t>and is valid for</w:t>
            </w:r>
            <w:r w:rsidRPr="426876C5" w:rsidR="00382483">
              <w:rPr>
                <w:b w:val="1"/>
                <w:bCs w:val="1"/>
              </w:rPr>
              <w:t xml:space="preserve"> </w:t>
            </w:r>
            <w:r w:rsidRPr="426876C5" w:rsidR="689C3A61">
              <w:rPr>
                <w:b w:val="1"/>
                <w:bCs w:val="1"/>
              </w:rPr>
              <w:t>12</w:t>
            </w:r>
            <w:r w:rsidRPr="426876C5" w:rsidR="01244940">
              <w:rPr>
                <w:b w:val="1"/>
                <w:bCs w:val="1"/>
              </w:rPr>
              <w:t xml:space="preserve"> months</w:t>
            </w:r>
            <w:r w:rsidRPr="426876C5" w:rsidR="689C3A61">
              <w:rPr>
                <w:b w:val="1"/>
                <w:bCs w:val="1"/>
              </w:rPr>
              <w:t>.</w:t>
            </w:r>
            <w:r w:rsidRPr="426876C5" w:rsidR="01244940">
              <w:rPr>
                <w:b w:val="1"/>
                <w:bCs w:val="1"/>
              </w:rPr>
              <w:t xml:space="preserve"> </w:t>
            </w:r>
          </w:p>
          <w:p w:rsidR="00012C76" w:rsidRDefault="00382483" w14:paraId="560A72E4" w14:textId="77777777">
            <w:pPr>
              <w:spacing w:before="240"/>
            </w:pPr>
            <w:r>
              <w:t>The date and n</w:t>
            </w:r>
            <w:r w:rsidR="008C610B">
              <w:t>umber of</w:t>
            </w:r>
            <w:r>
              <w:t xml:space="preserve"> months is subject</w:t>
            </w:r>
            <w:r w:rsidR="008C610B">
              <w:t xml:space="preserve"> to clause</w:t>
            </w:r>
            <w:r w:rsidR="007A6735">
              <w:t>s</w:t>
            </w:r>
            <w:r w:rsidR="008C610B">
              <w:t xml:space="preserve"> 1.2</w:t>
            </w:r>
            <w:r w:rsidR="007A6735">
              <w:t xml:space="preserve"> 1.3 and 1.4</w:t>
            </w:r>
            <w:r w:rsidR="008C610B">
              <w:t xml:space="preserve"> in Part B below.</w:t>
            </w:r>
          </w:p>
        </w:tc>
      </w:tr>
      <w:tr w:rsidR="00012C76" w:rsidTr="426876C5" w14:paraId="2AE47E84" w14:textId="77777777">
        <w:trPr>
          <w:trHeight w:val="1340"/>
        </w:trPr>
        <w:tc>
          <w:tcPr>
            <w:tcW w:w="262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4B4CA3F8" w14:textId="77777777">
            <w:pPr>
              <w:spacing w:before="60" w:after="60"/>
              <w:ind w:right="300"/>
              <w:rPr>
                <w:b/>
              </w:rPr>
            </w:pPr>
            <w:r>
              <w:rPr>
                <w:b/>
              </w:rPr>
              <w:t>Ending (termination)</w:t>
            </w:r>
          </w:p>
        </w:tc>
        <w:tc>
          <w:tcPr>
            <w:tcW w:w="6270"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563B43D9" w14:textId="77777777">
            <w:pPr>
              <w:spacing w:before="240"/>
            </w:pPr>
            <w:r>
              <w:t xml:space="preserve">The notice period for the Supplier needed for Ending the Call-Off Contract is at least </w:t>
            </w:r>
            <w:r w:rsidR="00FE4F54">
              <w:rPr>
                <w:b/>
              </w:rPr>
              <w:t>90</w:t>
            </w:r>
            <w:r>
              <w:rPr>
                <w:b/>
              </w:rPr>
              <w:t xml:space="preserve"> </w:t>
            </w:r>
            <w:r>
              <w:t>Working Days from the date of written notice for undisputed sums (as per clause 18.6).</w:t>
            </w:r>
          </w:p>
          <w:p w:rsidR="00012C76" w:rsidRDefault="00382483" w14:paraId="3AA6C51B" w14:textId="45D23068">
            <w:pPr>
              <w:spacing w:before="240"/>
            </w:pPr>
            <w:r>
              <w:t xml:space="preserve">The notice period for the Buyer is a maximum of </w:t>
            </w:r>
            <w:r w:rsidR="00FE4F54">
              <w:rPr>
                <w:b/>
              </w:rPr>
              <w:t>30</w:t>
            </w:r>
            <w:r>
              <w:t xml:space="preserve"> days from the date of written notice for Ending without cause (as per clause 18.1).</w:t>
            </w:r>
          </w:p>
        </w:tc>
      </w:tr>
      <w:tr w:rsidR="00012C76" w:rsidTr="426876C5" w14:paraId="56C525DC" w14:textId="77777777">
        <w:trPr>
          <w:trHeight w:val="5220"/>
        </w:trPr>
        <w:tc>
          <w:tcPr>
            <w:tcW w:w="262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1AD66266" w14:textId="77777777">
            <w:pPr>
              <w:spacing w:before="60" w:after="60"/>
              <w:ind w:right="300"/>
            </w:pPr>
            <w:r>
              <w:rPr>
                <w:b/>
              </w:rPr>
              <w:t>Extension period</w:t>
            </w:r>
          </w:p>
        </w:tc>
        <w:tc>
          <w:tcPr>
            <w:tcW w:w="6270" w:type="dxa"/>
            <w:tcBorders>
              <w:bottom w:val="single" w:color="000000" w:themeColor="text1" w:sz="8" w:space="0"/>
              <w:right w:val="single" w:color="000000" w:themeColor="text1" w:sz="8" w:space="0"/>
            </w:tcBorders>
            <w:tcMar>
              <w:top w:w="100" w:type="dxa"/>
              <w:left w:w="100" w:type="dxa"/>
              <w:bottom w:w="100" w:type="dxa"/>
              <w:right w:w="100" w:type="dxa"/>
            </w:tcMar>
          </w:tcPr>
          <w:p w:rsidR="00012C76" w:rsidRDefault="008C610B" w14:paraId="2D89B1BB" w14:textId="77777777">
            <w:pPr>
              <w:spacing w:before="240"/>
            </w:pPr>
            <w:r>
              <w:t>This Call-off Contract is intended to be</w:t>
            </w:r>
            <w:r w:rsidR="00382483">
              <w:t xml:space="preserve"> extended by the Buyer for </w:t>
            </w:r>
            <w:r w:rsidR="003930D1">
              <w:t>one</w:t>
            </w:r>
            <w:r w:rsidR="000447F0">
              <w:t xml:space="preserve"> </w:t>
            </w:r>
            <w:r>
              <w:t>period</w:t>
            </w:r>
            <w:r w:rsidR="00382483">
              <w:t xml:space="preserve"> of </w:t>
            </w:r>
            <w:r w:rsidR="003930D1">
              <w:t>12</w:t>
            </w:r>
            <w:r w:rsidR="00382483">
              <w:t xml:space="preserve"> months, by giving the Supplier </w:t>
            </w:r>
            <w:r w:rsidR="0078275C">
              <w:t>4 weeks</w:t>
            </w:r>
            <w:r w:rsidR="00382483">
              <w:t xml:space="preserve"> written notice before i</w:t>
            </w:r>
            <w:r>
              <w:t>ts expiry. The extension period is</w:t>
            </w:r>
            <w:r w:rsidR="00382483">
              <w:t xml:space="preserve"> subject to clauses 1.3 and 1.4 in Part B below.</w:t>
            </w:r>
          </w:p>
          <w:p w:rsidR="00012C76" w:rsidRDefault="00012C76" w14:paraId="16742223" w14:textId="77777777">
            <w:pPr>
              <w:spacing w:before="240"/>
            </w:pPr>
          </w:p>
          <w:p w:rsidR="00012C76" w:rsidRDefault="00012C76" w14:paraId="004E4BF8" w14:textId="77777777">
            <w:pPr>
              <w:spacing w:before="240"/>
            </w:pPr>
          </w:p>
        </w:tc>
      </w:tr>
    </w:tbl>
    <w:p w:rsidR="0078275C" w:rsidRDefault="0078275C" w14:paraId="644A4EAD" w14:textId="77777777">
      <w:pPr>
        <w:pStyle w:val="Heading3"/>
        <w:rPr>
          <w:color w:val="auto"/>
        </w:rPr>
      </w:pPr>
    </w:p>
    <w:p w:rsidR="0078275C" w:rsidRDefault="0078275C" w14:paraId="11B91E57" w14:textId="77777777">
      <w:pPr>
        <w:suppressAutoHyphens w:val="0"/>
        <w:rPr>
          <w:sz w:val="28"/>
          <w:szCs w:val="28"/>
        </w:rPr>
      </w:pPr>
      <w:r>
        <w:br w:type="page"/>
      </w:r>
    </w:p>
    <w:p w:rsidR="00012C76" w:rsidRDefault="00382483" w14:paraId="05CD9AC5" w14:textId="77777777">
      <w:pPr>
        <w:pStyle w:val="Heading3"/>
        <w:rPr>
          <w:color w:val="auto"/>
        </w:rPr>
      </w:pPr>
      <w:r>
        <w:rPr>
          <w:color w:val="auto"/>
        </w:rPr>
        <w:lastRenderedPageBreak/>
        <w:t>Buyer contractual details</w:t>
      </w:r>
    </w:p>
    <w:p w:rsidR="00012C76" w:rsidRDefault="00382483" w14:paraId="3BB71CA8" w14:textId="77777777">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12C76" w14:paraId="097138B5" w14:textId="77777777">
        <w:trPr>
          <w:trHeight w:val="1665"/>
        </w:trPr>
        <w:tc>
          <w:tcPr>
            <w:tcW w:w="26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AD32F7F" w14:textId="77777777">
            <w:pPr>
              <w:spacing w:before="240"/>
              <w:rPr>
                <w:b/>
              </w:rPr>
            </w:pPr>
            <w:r>
              <w:rPr>
                <w:b/>
              </w:rPr>
              <w:t>G-Cloud lot</w:t>
            </w:r>
          </w:p>
        </w:tc>
        <w:tc>
          <w:tcPr>
            <w:tcW w:w="6289" w:type="dxa"/>
            <w:gridSpan w:val="2"/>
            <w:tcBorders>
              <w:top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2D20C82" w14:textId="77777777">
            <w:pPr>
              <w:spacing w:before="240"/>
            </w:pPr>
            <w:r>
              <w:t>This Call-Off Contract is for the provision of Services under:</w:t>
            </w:r>
          </w:p>
          <w:p w:rsidR="00012C76" w:rsidP="002460F1" w:rsidRDefault="00382483" w14:paraId="1F3683F6" w14:textId="77777777">
            <w:pPr>
              <w:pStyle w:val="ListParagraph"/>
              <w:numPr>
                <w:ilvl w:val="0"/>
                <w:numId w:val="1"/>
              </w:numPr>
              <w:spacing w:before="240"/>
            </w:pPr>
            <w:r>
              <w:t>Lot 1: Cloud hosting</w:t>
            </w:r>
            <w:r>
              <w:rPr>
                <w:b/>
              </w:rPr>
              <w:t xml:space="preserve"> </w:t>
            </w:r>
          </w:p>
        </w:tc>
      </w:tr>
      <w:tr w:rsidR="00012C76" w14:paraId="43910BC8" w14:textId="77777777">
        <w:trPr>
          <w:trHeight w:val="360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7991E0B" w14:textId="77777777">
            <w:pPr>
              <w:spacing w:before="240"/>
              <w:rPr>
                <w:b/>
              </w:rPr>
            </w:pPr>
            <w:r>
              <w:rPr>
                <w:b/>
              </w:rPr>
              <w:t>G-Cloud services required</w:t>
            </w:r>
          </w:p>
        </w:tc>
        <w:tc>
          <w:tcPr>
            <w:tcW w:w="6289" w:type="dxa"/>
            <w:gridSpan w:val="2"/>
            <w:tcBorders>
              <w:bottom w:val="single" w:color="000000" w:sz="8" w:space="0"/>
              <w:right w:val="single" w:color="000000" w:sz="8" w:space="0"/>
            </w:tcBorders>
            <w:tcMar>
              <w:top w:w="100" w:type="dxa"/>
              <w:left w:w="100" w:type="dxa"/>
              <w:bottom w:w="100" w:type="dxa"/>
              <w:right w:w="100" w:type="dxa"/>
            </w:tcMar>
          </w:tcPr>
          <w:p w:rsidRPr="00DD58A5" w:rsidR="003930D1" w:rsidP="00D666C9" w:rsidRDefault="00382483" w14:paraId="08B44F19" w14:textId="35EBA883">
            <w:pPr>
              <w:spacing w:before="240"/>
            </w:pPr>
            <w:r>
              <w:t xml:space="preserve">The Services to be provided by the Supplier under the above Lot are listed in Framework Section 2 and </w:t>
            </w:r>
            <w:r w:rsidR="00726659">
              <w:t>further detailed in Schedules 1 and 2.</w:t>
            </w:r>
          </w:p>
          <w:p w:rsidRPr="00DD58A5" w:rsidR="00D82B32" w:rsidP="007E349E" w:rsidRDefault="00D82B32" w14:paraId="084B15D4" w14:textId="77777777">
            <w:pPr>
              <w:pStyle w:val="ListParagraph"/>
              <w:rPr>
                <w:b/>
              </w:rPr>
            </w:pPr>
          </w:p>
        </w:tc>
      </w:tr>
      <w:tr w:rsidR="00012C76" w14:paraId="1339D5F5" w14:textId="77777777">
        <w:trPr>
          <w:trHeight w:val="160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E7DC01D" w14:textId="77777777">
            <w:pPr>
              <w:spacing w:before="240"/>
              <w:rPr>
                <w:b/>
              </w:rPr>
            </w:pPr>
            <w:r>
              <w:rPr>
                <w:b/>
              </w:rPr>
              <w:t>Additional Services</w:t>
            </w:r>
          </w:p>
        </w:tc>
        <w:tc>
          <w:tcPr>
            <w:tcW w:w="6289" w:type="dxa"/>
            <w:gridSpan w:val="2"/>
            <w:tcBorders>
              <w:bottom w:val="single" w:color="000000" w:sz="8" w:space="0"/>
              <w:right w:val="single" w:color="000000" w:sz="8" w:space="0"/>
            </w:tcBorders>
            <w:tcMar>
              <w:top w:w="100" w:type="dxa"/>
              <w:left w:w="100" w:type="dxa"/>
              <w:bottom w:w="100" w:type="dxa"/>
              <w:right w:w="100" w:type="dxa"/>
            </w:tcMar>
          </w:tcPr>
          <w:p w:rsidR="00012C76" w:rsidRDefault="002460F1" w14:paraId="293FE4D0" w14:textId="77777777">
            <w:pPr>
              <w:spacing w:before="240"/>
            </w:pPr>
            <w:r>
              <w:rPr>
                <w:b/>
              </w:rPr>
              <w:t>N/A</w:t>
            </w:r>
          </w:p>
        </w:tc>
      </w:tr>
      <w:tr w:rsidR="00012C76" w:rsidTr="00C664CB" w14:paraId="708089D0" w14:textId="77777777">
        <w:trPr>
          <w:trHeight w:val="1608"/>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CD1DC0A" w14:textId="77777777">
            <w:pPr>
              <w:spacing w:before="240"/>
              <w:rPr>
                <w:b/>
              </w:rPr>
            </w:pPr>
            <w:r>
              <w:rPr>
                <w:b/>
              </w:rPr>
              <w:t>Location</w:t>
            </w:r>
          </w:p>
        </w:tc>
        <w:tc>
          <w:tcPr>
            <w:tcW w:w="6289" w:type="dxa"/>
            <w:gridSpan w:val="2"/>
            <w:tcBorders>
              <w:bottom w:val="single" w:color="000000" w:sz="8" w:space="0"/>
              <w:right w:val="single" w:color="000000" w:sz="8" w:space="0"/>
            </w:tcBorders>
            <w:tcMar>
              <w:top w:w="100" w:type="dxa"/>
              <w:left w:w="100" w:type="dxa"/>
              <w:bottom w:w="100" w:type="dxa"/>
              <w:right w:w="100" w:type="dxa"/>
            </w:tcMar>
          </w:tcPr>
          <w:p w:rsidRPr="00C664CB" w:rsidR="00C664CB" w:rsidP="00C664CB" w:rsidRDefault="00C664CB" w14:paraId="09F342C7" w14:textId="1184E404">
            <w:pPr>
              <w:suppressAutoHyphens w:val="0"/>
              <w:autoSpaceDE w:val="0"/>
              <w:adjustRightInd w:val="0"/>
              <w:spacing w:line="240" w:lineRule="auto"/>
              <w:textAlignment w:val="auto"/>
            </w:pPr>
            <w:r w:rsidRPr="00C664CB">
              <w:t xml:space="preserve">The Services </w:t>
            </w:r>
            <w:proofErr w:type="gramStart"/>
            <w:r w:rsidRPr="00C664CB">
              <w:t xml:space="preserve">will be delivered </w:t>
            </w:r>
            <w:r w:rsidR="00286ACB">
              <w:t>remotely,</w:t>
            </w:r>
            <w:proofErr w:type="gramEnd"/>
            <w:r w:rsidR="00286ACB">
              <w:t xml:space="preserve"> to Buyer staff’s official computer hardware.</w:t>
            </w:r>
          </w:p>
          <w:p w:rsidR="0014461F" w:rsidP="0014461F" w:rsidRDefault="0014461F" w14:paraId="54558949" w14:textId="77777777"/>
        </w:tc>
      </w:tr>
      <w:tr w:rsidR="00012C76" w14:paraId="4CA6A5EA" w14:textId="77777777">
        <w:trPr>
          <w:trHeight w:val="78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E33D7AB" w14:textId="77777777">
            <w:pPr>
              <w:spacing w:before="240"/>
              <w:rPr>
                <w:b/>
              </w:rPr>
            </w:pPr>
            <w:r>
              <w:rPr>
                <w:b/>
              </w:rPr>
              <w:t>Quality standards</w:t>
            </w:r>
          </w:p>
        </w:tc>
        <w:tc>
          <w:tcPr>
            <w:tcW w:w="6243" w:type="dxa"/>
            <w:tcBorders>
              <w:bottom w:val="single" w:color="000000" w:sz="8" w:space="0"/>
              <w:right w:val="single" w:color="000000" w:sz="8" w:space="0"/>
            </w:tcBorders>
            <w:tcMar>
              <w:top w:w="100" w:type="dxa"/>
              <w:left w:w="100" w:type="dxa"/>
              <w:bottom w:w="100" w:type="dxa"/>
              <w:right w:w="100" w:type="dxa"/>
            </w:tcMar>
          </w:tcPr>
          <w:p w:rsidRPr="00C664CB" w:rsidR="00C664CB" w:rsidP="00C664CB" w:rsidRDefault="00C664CB" w14:paraId="75E56C32" w14:textId="77777777">
            <w:pPr>
              <w:suppressAutoHyphens w:val="0"/>
              <w:autoSpaceDE w:val="0"/>
              <w:adjustRightInd w:val="0"/>
              <w:spacing w:line="240" w:lineRule="auto"/>
              <w:textAlignment w:val="auto"/>
            </w:pPr>
            <w:r w:rsidRPr="00C664CB">
              <w:t>The quality standards required for this Call-Off Contract are:</w:t>
            </w:r>
          </w:p>
          <w:p w:rsidR="00012C76" w:rsidP="00C664CB" w:rsidRDefault="00C664CB" w14:paraId="7D74B964" w14:textId="77777777">
            <w:pPr>
              <w:suppressAutoHyphens w:val="0"/>
              <w:autoSpaceDE w:val="0"/>
              <w:adjustRightInd w:val="0"/>
              <w:spacing w:line="240" w:lineRule="auto"/>
              <w:textAlignment w:val="auto"/>
            </w:pPr>
            <w:r w:rsidRPr="00C664CB">
              <w:t>The Supplier must host the whole solution within a PASF Accredited</w:t>
            </w:r>
            <w:r>
              <w:t xml:space="preserve"> </w:t>
            </w:r>
            <w:r w:rsidRPr="00C664CB">
              <w:t>Datacentre.</w:t>
            </w:r>
          </w:p>
        </w:tc>
        <w:tc>
          <w:tcPr>
            <w:tcW w:w="46" w:type="dxa"/>
          </w:tcPr>
          <w:p w:rsidR="00012C76" w:rsidRDefault="00012C76" w14:paraId="01F91BA8" w14:textId="77777777">
            <w:pPr>
              <w:spacing w:before="240"/>
            </w:pPr>
          </w:p>
        </w:tc>
      </w:tr>
      <w:tr w:rsidR="00012C76" w14:paraId="4A518274" w14:textId="77777777">
        <w:trPr>
          <w:trHeight w:val="1880"/>
        </w:trPr>
        <w:tc>
          <w:tcPr>
            <w:tcW w:w="26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037F075" w14:textId="77777777">
            <w:pPr>
              <w:spacing w:before="240"/>
              <w:rPr>
                <w:b/>
              </w:rPr>
            </w:pPr>
            <w:r>
              <w:rPr>
                <w:b/>
              </w:rPr>
              <w:t>Technical standards:</w:t>
            </w:r>
          </w:p>
        </w:tc>
        <w:tc>
          <w:tcPr>
            <w:tcW w:w="6243" w:type="dxa"/>
            <w:tcBorders>
              <w:top w:val="single" w:color="000000" w:sz="8" w:space="0"/>
              <w:bottom w:val="single" w:color="000000" w:sz="8" w:space="0"/>
              <w:right w:val="single" w:color="000000" w:sz="8" w:space="0"/>
            </w:tcBorders>
            <w:tcMar>
              <w:top w:w="100" w:type="dxa"/>
              <w:left w:w="100" w:type="dxa"/>
              <w:bottom w:w="100" w:type="dxa"/>
              <w:right w:w="100" w:type="dxa"/>
            </w:tcMar>
          </w:tcPr>
          <w:p w:rsidR="00DD58A5" w:rsidP="00DD58A5" w:rsidRDefault="00382483" w14:paraId="6D1078F1" w14:textId="77777777">
            <w:pPr>
              <w:spacing w:before="240"/>
            </w:pPr>
            <w:r>
              <w:t xml:space="preserve">The technical standards </w:t>
            </w:r>
            <w:r w:rsidR="00DD58A5">
              <w:t>required for this Call-Off Contract are as already defined in Schedule 1</w:t>
            </w:r>
          </w:p>
          <w:p w:rsidR="00012C76" w:rsidRDefault="00012C76" w14:paraId="2BFC977C" w14:textId="77777777">
            <w:pPr>
              <w:spacing w:before="240"/>
            </w:pPr>
          </w:p>
        </w:tc>
        <w:tc>
          <w:tcPr>
            <w:tcW w:w="46" w:type="dxa"/>
          </w:tcPr>
          <w:p w:rsidR="00012C76" w:rsidRDefault="00012C76" w14:paraId="144C331C" w14:textId="77777777">
            <w:pPr>
              <w:spacing w:before="240"/>
            </w:pPr>
          </w:p>
        </w:tc>
      </w:tr>
      <w:tr w:rsidR="00012C76" w14:paraId="7A28878F" w14:textId="77777777">
        <w:trPr>
          <w:trHeight w:val="302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4066858" w14:textId="77777777">
            <w:pPr>
              <w:spacing w:before="240"/>
              <w:rPr>
                <w:b/>
              </w:rPr>
            </w:pPr>
            <w:r>
              <w:rPr>
                <w:b/>
              </w:rPr>
              <w:lastRenderedPageBreak/>
              <w:t>Service level agreement:</w:t>
            </w:r>
          </w:p>
        </w:tc>
        <w:tc>
          <w:tcPr>
            <w:tcW w:w="6243" w:type="dxa"/>
            <w:tcBorders>
              <w:bottom w:val="single" w:color="000000" w:sz="8" w:space="0"/>
              <w:right w:val="single" w:color="000000" w:sz="8" w:space="0"/>
            </w:tcBorders>
            <w:tcMar>
              <w:top w:w="100" w:type="dxa"/>
              <w:left w:w="100" w:type="dxa"/>
              <w:bottom w:w="100" w:type="dxa"/>
              <w:right w:w="100" w:type="dxa"/>
            </w:tcMar>
          </w:tcPr>
          <w:p w:rsidRPr="004A4A8C" w:rsidR="00DD58A5" w:rsidP="00DD58A5" w:rsidRDefault="00DD58A5" w14:paraId="74DDC764" w14:textId="77777777">
            <w:pPr>
              <w:pStyle w:val="Header"/>
              <w:keepNext/>
              <w:keepLines/>
              <w:tabs>
                <w:tab w:val="left" w:pos="720"/>
              </w:tabs>
            </w:pPr>
            <w:r w:rsidRPr="004A4A8C">
              <w:t>Long Arm® is a fully managed Platform as a Service (PaaS) offering supplied by Internet Investigation Solutions Ltd and hosted in our own private cloud, which is supported and managed by Internet Investigation Solutions Ltd.</w:t>
            </w:r>
          </w:p>
          <w:p w:rsidRPr="004A4A8C" w:rsidR="004A4A8C" w:rsidP="00DD58A5" w:rsidRDefault="004A4A8C" w14:paraId="7B3735D8" w14:textId="77777777">
            <w:pPr>
              <w:pStyle w:val="Header"/>
              <w:keepNext/>
              <w:keepLines/>
              <w:tabs>
                <w:tab w:val="left" w:pos="720"/>
              </w:tabs>
            </w:pPr>
          </w:p>
          <w:p w:rsidRPr="004A4A8C" w:rsidR="004A4A8C" w:rsidP="00DD58A5" w:rsidRDefault="004A4A8C" w14:paraId="10199CAD" w14:textId="77777777">
            <w:pPr>
              <w:pStyle w:val="Header"/>
              <w:keepNext/>
              <w:keepLines/>
              <w:tabs>
                <w:tab w:val="left" w:pos="720"/>
              </w:tabs>
            </w:pPr>
            <w:r w:rsidRPr="004A4A8C">
              <w:t>The service level agreement information is contained within the IIS_POL_009 document.</w:t>
            </w:r>
          </w:p>
          <w:p w:rsidR="00012C76" w:rsidP="00DD58A5" w:rsidRDefault="00012C76" w14:paraId="419C6068" w14:textId="77777777"/>
          <w:p w:rsidR="00DD58A5" w:rsidP="00DD58A5" w:rsidRDefault="00DD58A5" w14:paraId="272B3B2B" w14:textId="77777777"/>
        </w:tc>
        <w:tc>
          <w:tcPr>
            <w:tcW w:w="46" w:type="dxa"/>
          </w:tcPr>
          <w:p w:rsidR="00012C76" w:rsidRDefault="00012C76" w14:paraId="40899BBD" w14:textId="77777777">
            <w:pPr>
              <w:pStyle w:val="ListParagraph"/>
            </w:pPr>
          </w:p>
        </w:tc>
      </w:tr>
      <w:tr w:rsidR="00012C76" w14:paraId="6E825E5D" w14:textId="77777777">
        <w:trPr>
          <w:trHeight w:val="188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FE57A59" w14:textId="77777777">
            <w:pPr>
              <w:spacing w:before="240"/>
              <w:rPr>
                <w:b/>
              </w:rPr>
            </w:pPr>
            <w:r>
              <w:rPr>
                <w:b/>
              </w:rPr>
              <w:t>Onboarding</w:t>
            </w:r>
          </w:p>
        </w:tc>
        <w:tc>
          <w:tcPr>
            <w:tcW w:w="6243" w:type="dxa"/>
            <w:tcBorders>
              <w:bottom w:val="single" w:color="000000" w:sz="8" w:space="0"/>
              <w:right w:val="single" w:color="000000" w:sz="8" w:space="0"/>
            </w:tcBorders>
            <w:tcMar>
              <w:top w:w="100" w:type="dxa"/>
              <w:left w:w="100" w:type="dxa"/>
              <w:bottom w:w="100" w:type="dxa"/>
              <w:right w:w="100" w:type="dxa"/>
            </w:tcMar>
          </w:tcPr>
          <w:p w:rsidR="00012C76" w:rsidP="004A4A8C" w:rsidRDefault="004A4A8C" w14:paraId="21939CD9" w14:textId="77777777">
            <w:r>
              <w:t xml:space="preserve">n/a </w:t>
            </w:r>
          </w:p>
        </w:tc>
        <w:tc>
          <w:tcPr>
            <w:tcW w:w="46" w:type="dxa"/>
          </w:tcPr>
          <w:p w:rsidR="00012C76" w:rsidRDefault="00012C76" w14:paraId="36F4F5B1" w14:textId="77777777">
            <w:pPr>
              <w:pStyle w:val="ListParagraph"/>
            </w:pPr>
          </w:p>
        </w:tc>
      </w:tr>
      <w:tr w:rsidR="00012C76" w14:paraId="072BC5B4" w14:textId="77777777">
        <w:trPr>
          <w:trHeight w:val="188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A6B188A" w14:textId="77777777">
            <w:pPr>
              <w:spacing w:before="240"/>
              <w:rPr>
                <w:b/>
              </w:rPr>
            </w:pPr>
            <w:r>
              <w:rPr>
                <w:b/>
              </w:rPr>
              <w:t>Offboarding</w:t>
            </w:r>
          </w:p>
        </w:tc>
        <w:tc>
          <w:tcPr>
            <w:tcW w:w="6243" w:type="dxa"/>
            <w:tcBorders>
              <w:bottom w:val="single" w:color="000000" w:sz="8" w:space="0"/>
              <w:right w:val="single" w:color="000000" w:sz="8" w:space="0"/>
            </w:tcBorders>
            <w:tcMar>
              <w:top w:w="100" w:type="dxa"/>
              <w:left w:w="100" w:type="dxa"/>
              <w:bottom w:w="100" w:type="dxa"/>
              <w:right w:w="100" w:type="dxa"/>
            </w:tcMar>
          </w:tcPr>
          <w:p w:rsidRPr="004A4A8C" w:rsidR="004A4A8C" w:rsidP="004A4A8C" w:rsidRDefault="004A4A8C" w14:paraId="19991843" w14:textId="77777777">
            <w:pPr>
              <w:rPr>
                <w:rFonts w:eastAsia="Helvetica Neue"/>
              </w:rPr>
            </w:pPr>
            <w:r w:rsidRPr="004A4A8C">
              <w:rPr>
                <w:rFonts w:eastAsia="Helvetica Neue"/>
              </w:rPr>
              <w:t>The offboarding plan for this Call-Off Contract is:</w:t>
            </w:r>
          </w:p>
          <w:p w:rsidRPr="004A4A8C" w:rsidR="004A4A8C" w:rsidP="004A4A8C" w:rsidRDefault="004A4A8C" w14:paraId="214489AC" w14:textId="77777777">
            <w:pPr>
              <w:pStyle w:val="ListParagraph"/>
              <w:widowControl w:val="0"/>
              <w:numPr>
                <w:ilvl w:val="0"/>
                <w:numId w:val="5"/>
              </w:numPr>
              <w:suppressAutoHyphens w:val="0"/>
              <w:autoSpaceDN/>
              <w:contextualSpacing/>
              <w:textAlignment w:val="auto"/>
              <w:rPr>
                <w:rFonts w:eastAsia="Helvetica Neue"/>
              </w:rPr>
            </w:pPr>
            <w:r w:rsidRPr="004A4A8C">
              <w:rPr>
                <w:rFonts w:eastAsia="Helvetica Neue"/>
              </w:rPr>
              <w:t>Users must be able to be removed from the system on request based on the SAAS Service Model.</w:t>
            </w:r>
          </w:p>
          <w:p w:rsidRPr="004A4A8C" w:rsidR="004A4A8C" w:rsidP="004A4A8C" w:rsidRDefault="004A4A8C" w14:paraId="5D626253" w14:textId="77777777">
            <w:pPr>
              <w:pStyle w:val="ListParagraph"/>
              <w:widowControl w:val="0"/>
              <w:numPr>
                <w:ilvl w:val="0"/>
                <w:numId w:val="5"/>
              </w:numPr>
              <w:suppressAutoHyphens w:val="0"/>
              <w:autoSpaceDN/>
              <w:contextualSpacing/>
              <w:textAlignment w:val="auto"/>
              <w:rPr>
                <w:rFonts w:eastAsia="Helvetica Neue"/>
              </w:rPr>
            </w:pPr>
            <w:r w:rsidRPr="004A4A8C">
              <w:rPr>
                <w:rFonts w:eastAsia="Helvetica Neue"/>
              </w:rPr>
              <w:t>Any Evidence available on the Evidence Portal must be exportable, and access provided to the customer securely. This information must then be securely removed from the Evidence Portal.</w:t>
            </w:r>
          </w:p>
          <w:p w:rsidRPr="004A4A8C" w:rsidR="004A4A8C" w:rsidP="004A4A8C" w:rsidRDefault="004A4A8C" w14:paraId="2262F800" w14:textId="77777777">
            <w:pPr>
              <w:pStyle w:val="ListParagraph"/>
              <w:widowControl w:val="0"/>
              <w:numPr>
                <w:ilvl w:val="0"/>
                <w:numId w:val="5"/>
              </w:numPr>
              <w:suppressAutoHyphens w:val="0"/>
              <w:autoSpaceDN/>
              <w:contextualSpacing/>
              <w:textAlignment w:val="auto"/>
              <w:rPr>
                <w:rFonts w:eastAsia="Helvetica Neue"/>
              </w:rPr>
            </w:pPr>
            <w:r w:rsidRPr="004A4A8C">
              <w:rPr>
                <w:rFonts w:eastAsia="Helvetica Neue"/>
              </w:rPr>
              <w:t xml:space="preserve">Audit Logs </w:t>
            </w:r>
            <w:r>
              <w:rPr>
                <w:rFonts w:eastAsia="Helvetica Neue"/>
              </w:rPr>
              <w:t>for the C</w:t>
            </w:r>
            <w:r w:rsidRPr="004A4A8C">
              <w:rPr>
                <w:rFonts w:eastAsia="Helvetica Neue"/>
              </w:rPr>
              <w:t>ustomers user</w:t>
            </w:r>
            <w:r>
              <w:rPr>
                <w:rFonts w:eastAsia="Helvetica Neue"/>
              </w:rPr>
              <w:t>base</w:t>
            </w:r>
            <w:r w:rsidRPr="004A4A8C">
              <w:rPr>
                <w:rFonts w:eastAsia="Helvetica Neue"/>
              </w:rPr>
              <w:t xml:space="preserve"> must be s</w:t>
            </w:r>
            <w:r>
              <w:rPr>
                <w:rFonts w:eastAsia="Helvetica Neue"/>
              </w:rPr>
              <w:t>e</w:t>
            </w:r>
            <w:r w:rsidRPr="004A4A8C">
              <w:rPr>
                <w:rFonts w:eastAsia="Helvetica Neue"/>
              </w:rPr>
              <w:t>curely removed.</w:t>
            </w:r>
          </w:p>
          <w:p w:rsidR="00012C76" w:rsidP="004A4A8C" w:rsidRDefault="00012C76" w14:paraId="49D0D66A" w14:textId="77777777">
            <w:pPr>
              <w:pStyle w:val="ListParagraph"/>
            </w:pPr>
          </w:p>
        </w:tc>
        <w:tc>
          <w:tcPr>
            <w:tcW w:w="46" w:type="dxa"/>
          </w:tcPr>
          <w:p w:rsidR="00012C76" w:rsidRDefault="00012C76" w14:paraId="6BBE861C" w14:textId="77777777">
            <w:pPr>
              <w:pStyle w:val="ListParagraph"/>
            </w:pPr>
          </w:p>
        </w:tc>
      </w:tr>
      <w:tr w:rsidR="00012C76" w14:paraId="2A0DEDEA" w14:textId="77777777">
        <w:trPr>
          <w:trHeight w:val="218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54C42AA" w14:textId="77777777">
            <w:pPr>
              <w:spacing w:before="240"/>
              <w:rPr>
                <w:b/>
              </w:rPr>
            </w:pPr>
            <w:r>
              <w:rPr>
                <w:b/>
              </w:rPr>
              <w:t>Collaboration agreement</w:t>
            </w:r>
          </w:p>
        </w:tc>
        <w:tc>
          <w:tcPr>
            <w:tcW w:w="6243" w:type="dxa"/>
            <w:tcBorders>
              <w:bottom w:val="single" w:color="000000" w:sz="8" w:space="0"/>
              <w:right w:val="single" w:color="000000" w:sz="8" w:space="0"/>
            </w:tcBorders>
            <w:tcMar>
              <w:top w:w="100" w:type="dxa"/>
              <w:left w:w="100" w:type="dxa"/>
              <w:bottom w:w="100" w:type="dxa"/>
              <w:right w:w="100" w:type="dxa"/>
            </w:tcMar>
          </w:tcPr>
          <w:p w:rsidR="00012C76" w:rsidRDefault="004A4A8C" w14:paraId="49A6370B" w14:textId="77777777">
            <w:pPr>
              <w:spacing w:before="240"/>
            </w:pPr>
            <w:r>
              <w:t>n/a</w:t>
            </w:r>
          </w:p>
        </w:tc>
        <w:tc>
          <w:tcPr>
            <w:tcW w:w="46" w:type="dxa"/>
          </w:tcPr>
          <w:p w:rsidR="00012C76" w:rsidRDefault="00012C76" w14:paraId="089A7F2F" w14:textId="77777777">
            <w:pPr>
              <w:spacing w:before="240"/>
            </w:pPr>
          </w:p>
        </w:tc>
      </w:tr>
      <w:tr w:rsidR="00012C76" w14:paraId="66B1474C" w14:textId="77777777">
        <w:trPr>
          <w:trHeight w:val="5460"/>
        </w:trPr>
        <w:tc>
          <w:tcPr>
            <w:tcW w:w="26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36CFA8E" w14:textId="77777777">
            <w:pPr>
              <w:spacing w:before="240"/>
              <w:rPr>
                <w:b/>
              </w:rPr>
            </w:pPr>
            <w:r>
              <w:rPr>
                <w:b/>
              </w:rPr>
              <w:lastRenderedPageBreak/>
              <w:t>Limit on Parties’ liability</w:t>
            </w:r>
          </w:p>
        </w:tc>
        <w:tc>
          <w:tcPr>
            <w:tcW w:w="6243" w:type="dxa"/>
            <w:tcBorders>
              <w:top w:val="single" w:color="000000" w:sz="8" w:space="0"/>
              <w:bottom w:val="single" w:color="000000" w:sz="8" w:space="0"/>
              <w:right w:val="single" w:color="000000" w:sz="8" w:space="0"/>
            </w:tcBorders>
            <w:tcMar>
              <w:top w:w="100" w:type="dxa"/>
              <w:left w:w="100" w:type="dxa"/>
              <w:bottom w:w="100" w:type="dxa"/>
              <w:right w:w="100" w:type="dxa"/>
            </w:tcMar>
          </w:tcPr>
          <w:p w:rsidR="005A039A" w:rsidP="00A56EA5" w:rsidRDefault="00A56EA5" w14:paraId="36D4FD8B" w14:textId="0850E6F6">
            <w:pPr>
              <w:rPr>
                <w:rFonts w:eastAsia="Helvetica Neue"/>
              </w:rPr>
            </w:pPr>
            <w:r w:rsidRPr="00A56EA5">
              <w:rPr>
                <w:rFonts w:eastAsia="Helvetica Neue"/>
              </w:rPr>
              <w:t>The annual total liability of either Party for all Property def</w:t>
            </w:r>
            <w:r w:rsidR="005A039A">
              <w:rPr>
                <w:rFonts w:eastAsia="Helvetica Neue"/>
              </w:rPr>
              <w:t xml:space="preserve">aults will not exceed </w:t>
            </w:r>
            <w:r w:rsidR="00726659">
              <w:rPr>
                <w:rFonts w:eastAsia="Helvetica Neue"/>
              </w:rPr>
              <w:t>125% of the Charges payable by the Buyer to the Supplier during the Call-Off Contract Term.</w:t>
            </w:r>
          </w:p>
          <w:p w:rsidR="005A039A" w:rsidP="00A56EA5" w:rsidRDefault="005A039A" w14:paraId="240F7CF6" w14:textId="77777777">
            <w:pPr>
              <w:rPr>
                <w:rFonts w:eastAsia="Helvetica Neue"/>
              </w:rPr>
            </w:pPr>
          </w:p>
          <w:p w:rsidR="00A56EA5" w:rsidP="00A56EA5" w:rsidRDefault="00A56EA5" w14:paraId="0139BD71" w14:textId="22B92C55">
            <w:pPr>
              <w:rPr>
                <w:rFonts w:eastAsia="Helvetica Neue"/>
              </w:rPr>
            </w:pPr>
            <w:r w:rsidRPr="00A56EA5">
              <w:rPr>
                <w:rFonts w:eastAsia="Helvetica Neue"/>
              </w:rPr>
              <w:t>The annual total liability for Buyer Data default</w:t>
            </w:r>
            <w:r w:rsidR="005A039A">
              <w:rPr>
                <w:rFonts w:eastAsia="Helvetica Neue"/>
              </w:rPr>
              <w:t xml:space="preserve">s will not exceed </w:t>
            </w:r>
            <w:r w:rsidRPr="00A56EA5">
              <w:rPr>
                <w:rFonts w:eastAsia="Helvetica Neue"/>
              </w:rPr>
              <w:t>125% of the Charges payable by the Buyer to the Supplier during the Call-Off Contract Term</w:t>
            </w:r>
            <w:r w:rsidR="00726659">
              <w:rPr>
                <w:rFonts w:eastAsia="Helvetica Neue"/>
              </w:rPr>
              <w:t>.</w:t>
            </w:r>
          </w:p>
          <w:p w:rsidRPr="00A56EA5" w:rsidR="00A56EA5" w:rsidP="00A56EA5" w:rsidRDefault="00A56EA5" w14:paraId="1F2543E3" w14:textId="77777777">
            <w:pPr>
              <w:rPr>
                <w:rFonts w:eastAsia="Helvetica Neue"/>
              </w:rPr>
            </w:pPr>
          </w:p>
          <w:p w:rsidR="005A039A" w:rsidP="005A039A" w:rsidRDefault="005A039A" w14:paraId="73AA18E8" w14:textId="77777777">
            <w:pPr>
              <w:pStyle w:val="Default"/>
            </w:pPr>
            <w:r>
              <w:rPr>
                <w:sz w:val="22"/>
                <w:szCs w:val="22"/>
              </w:rPr>
              <w:t xml:space="preserve">The annual total liability for all other Defaults will not exceed 125% of the Charges payable by the Buyer to the Supplier in the contract year that such Defaults occur during the Call-Off Contract Term. </w:t>
            </w:r>
          </w:p>
          <w:p w:rsidRPr="00A56EA5" w:rsidR="00012C76" w:rsidP="005A039A" w:rsidRDefault="00012C76" w14:paraId="5F8A5F86" w14:textId="77777777"/>
        </w:tc>
        <w:tc>
          <w:tcPr>
            <w:tcW w:w="46" w:type="dxa"/>
          </w:tcPr>
          <w:p w:rsidR="00012C76" w:rsidRDefault="00012C76" w14:paraId="5A7F74D0" w14:textId="77777777">
            <w:pPr>
              <w:spacing w:before="240"/>
            </w:pPr>
          </w:p>
        </w:tc>
      </w:tr>
      <w:tr w:rsidR="00012C76" w14:paraId="54FDDF89" w14:textId="77777777">
        <w:trPr>
          <w:trHeight w:val="560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A09127D" w14:textId="77777777">
            <w:pPr>
              <w:spacing w:before="240"/>
              <w:rPr>
                <w:b/>
              </w:rPr>
            </w:pPr>
            <w:r>
              <w:rPr>
                <w:b/>
              </w:rPr>
              <w:t>Insurance</w:t>
            </w:r>
          </w:p>
        </w:tc>
        <w:tc>
          <w:tcPr>
            <w:tcW w:w="6243" w:type="dxa"/>
            <w:tcBorders>
              <w:bottom w:val="single" w:color="000000" w:sz="8" w:space="0"/>
              <w:right w:val="single" w:color="000000" w:sz="8" w:space="0"/>
            </w:tcBorders>
            <w:tcMar>
              <w:top w:w="100" w:type="dxa"/>
              <w:left w:w="100" w:type="dxa"/>
              <w:bottom w:w="100" w:type="dxa"/>
              <w:right w:w="100" w:type="dxa"/>
            </w:tcMar>
          </w:tcPr>
          <w:p w:rsidR="00012C76" w:rsidRDefault="00382483" w14:paraId="09172420" w14:textId="77777777">
            <w:pPr>
              <w:spacing w:before="240"/>
            </w:pPr>
            <w:r>
              <w:t>The insurance(s) required will be:</w:t>
            </w:r>
          </w:p>
          <w:p w:rsidR="00012C76" w:rsidRDefault="00382483" w14:paraId="57D18384" w14:textId="77777777">
            <w:pPr>
              <w:numPr>
                <w:ilvl w:val="0"/>
                <w:numId w:val="6"/>
              </w:numPr>
            </w:pPr>
            <w:r>
              <w:rPr>
                <w:sz w:val="14"/>
                <w:szCs w:val="14"/>
              </w:rPr>
              <w:t xml:space="preserve"> </w:t>
            </w:r>
            <w:r w:rsidR="007A6735">
              <w:t>a minimum insurance period of 6 years</w:t>
            </w:r>
            <w:r>
              <w:t xml:space="preserve"> following the expiration or E</w:t>
            </w:r>
            <w:r w:rsidR="007A6735">
              <w:t>nding of this Call-Off Contract</w:t>
            </w:r>
          </w:p>
          <w:p w:rsidR="00012C76" w:rsidRDefault="00382483" w14:paraId="1BAF3905" w14:textId="77777777">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7A6735">
              <w:t>quires (and as required by Law)</w:t>
            </w:r>
          </w:p>
          <w:p w:rsidR="00012C76" w:rsidRDefault="00382483" w14:paraId="2C2B3508" w14:textId="77777777">
            <w:pPr>
              <w:numPr>
                <w:ilvl w:val="0"/>
                <w:numId w:val="6"/>
              </w:numPr>
            </w:pPr>
            <w:r>
              <w:rPr>
                <w:sz w:val="14"/>
                <w:szCs w:val="14"/>
              </w:rPr>
              <w:t xml:space="preserve"> </w:t>
            </w:r>
            <w:r>
              <w:t>employers' liability insurance with a minimum limit of £5,000,000 or any highe</w:t>
            </w:r>
            <w:r w:rsidR="007A6735">
              <w:t>r minimum limit required by Law</w:t>
            </w:r>
          </w:p>
          <w:p w:rsidR="00012C76" w:rsidRDefault="00012C76" w14:paraId="109E40F0" w14:textId="77777777">
            <w:pPr>
              <w:spacing w:before="240"/>
            </w:pPr>
          </w:p>
        </w:tc>
        <w:tc>
          <w:tcPr>
            <w:tcW w:w="46" w:type="dxa"/>
          </w:tcPr>
          <w:p w:rsidR="00012C76" w:rsidRDefault="00012C76" w14:paraId="222DE02D" w14:textId="77777777">
            <w:pPr>
              <w:spacing w:before="240"/>
            </w:pPr>
          </w:p>
        </w:tc>
      </w:tr>
      <w:tr w:rsidR="00012C76" w14:paraId="63F4DD2B" w14:textId="77777777">
        <w:trPr>
          <w:trHeight w:val="1060"/>
        </w:trPr>
        <w:tc>
          <w:tcPr>
            <w:tcW w:w="26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A7565A9" w14:textId="77777777">
            <w:pPr>
              <w:spacing w:before="240"/>
              <w:rPr>
                <w:b/>
              </w:rPr>
            </w:pPr>
            <w:r>
              <w:rPr>
                <w:b/>
              </w:rPr>
              <w:t>Force majeure</w:t>
            </w:r>
          </w:p>
        </w:tc>
        <w:tc>
          <w:tcPr>
            <w:tcW w:w="6243" w:type="dxa"/>
            <w:tcBorders>
              <w:top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4C9C488" w14:textId="77777777">
            <w:pPr>
              <w:spacing w:before="240"/>
            </w:pPr>
            <w:r>
              <w:t xml:space="preserve">A Party may End this Call-Off Contract if the Other Party is affected by a Force Majeure Event that lasts for more than </w:t>
            </w:r>
            <w:r w:rsidR="00A56EA5">
              <w:t>120</w:t>
            </w:r>
            <w:r>
              <w:t xml:space="preserve"> consecutive days.</w:t>
            </w:r>
          </w:p>
          <w:p w:rsidR="00012C76" w:rsidRDefault="00012C76" w14:paraId="7B8581D3" w14:textId="77777777">
            <w:pPr>
              <w:spacing w:before="240"/>
            </w:pPr>
          </w:p>
        </w:tc>
        <w:tc>
          <w:tcPr>
            <w:tcW w:w="46" w:type="dxa"/>
          </w:tcPr>
          <w:p w:rsidR="00012C76" w:rsidRDefault="00012C76" w14:paraId="4BD2758F" w14:textId="77777777">
            <w:pPr>
              <w:spacing w:before="240"/>
            </w:pPr>
          </w:p>
        </w:tc>
      </w:tr>
      <w:tr w:rsidR="00012C76" w14:paraId="461B68AE" w14:textId="77777777">
        <w:trPr>
          <w:trHeight w:val="2009"/>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3D59BE1" w14:textId="77777777">
            <w:pPr>
              <w:spacing w:before="240"/>
              <w:rPr>
                <w:b/>
              </w:rPr>
            </w:pPr>
            <w:r>
              <w:rPr>
                <w:b/>
              </w:rPr>
              <w:lastRenderedPageBreak/>
              <w:t>Audit</w:t>
            </w:r>
          </w:p>
        </w:tc>
        <w:tc>
          <w:tcPr>
            <w:tcW w:w="6243" w:type="dxa"/>
            <w:tcBorders>
              <w:bottom w:val="single" w:color="000000" w:sz="8" w:space="0"/>
              <w:right w:val="single" w:color="000000" w:sz="8" w:space="0"/>
            </w:tcBorders>
            <w:tcMar>
              <w:top w:w="100" w:type="dxa"/>
              <w:left w:w="100" w:type="dxa"/>
              <w:bottom w:w="100" w:type="dxa"/>
              <w:right w:w="100" w:type="dxa"/>
            </w:tcMar>
          </w:tcPr>
          <w:p w:rsidR="00012C76" w:rsidRDefault="00382483" w14:paraId="74C9D7BC" w14:textId="77777777">
            <w:pPr>
              <w:spacing w:before="240"/>
            </w:pPr>
            <w:r>
              <w:t>The following Framework Agreement audit provisions will be incorporated under clause 2.1 of this Call-Off Contract to enable the Buyer to carry out audits</w:t>
            </w:r>
            <w:r w:rsidR="00A56EA5">
              <w:t>.</w:t>
            </w:r>
          </w:p>
          <w:p w:rsidRPr="00A56EA5" w:rsidR="00A56EA5" w:rsidP="00A56EA5" w:rsidRDefault="00A56EA5" w14:paraId="7E662EB2"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7.4</w:t>
            </w:r>
          </w:p>
          <w:p w:rsidRPr="00A56EA5" w:rsidR="00A56EA5" w:rsidP="00A56EA5" w:rsidRDefault="00A56EA5" w14:paraId="311A55FB"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7.5</w:t>
            </w:r>
          </w:p>
          <w:p w:rsidRPr="00A56EA5" w:rsidR="00A56EA5" w:rsidP="00A56EA5" w:rsidRDefault="00A56EA5" w14:paraId="5A6146A3"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7.6</w:t>
            </w:r>
          </w:p>
          <w:p w:rsidRPr="00A56EA5" w:rsidR="00A56EA5" w:rsidP="00A56EA5" w:rsidRDefault="00A56EA5" w14:paraId="60DFCDDA"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7.7</w:t>
            </w:r>
          </w:p>
          <w:p w:rsidRPr="00A56EA5" w:rsidR="00A56EA5" w:rsidP="00A56EA5" w:rsidRDefault="00A56EA5" w14:paraId="04E920F4"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7.8</w:t>
            </w:r>
          </w:p>
          <w:p w:rsidRPr="00A56EA5" w:rsidR="00A56EA5" w:rsidP="00A56EA5" w:rsidRDefault="00A56EA5" w14:paraId="7EA1F4AC"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7.9</w:t>
            </w:r>
          </w:p>
          <w:p w:rsidRPr="00A56EA5" w:rsidR="00A56EA5" w:rsidP="00A56EA5" w:rsidRDefault="00A56EA5" w14:paraId="263467FE"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7.10</w:t>
            </w:r>
          </w:p>
          <w:p w:rsidRPr="00A56EA5" w:rsidR="00A56EA5" w:rsidP="00A56EA5" w:rsidRDefault="00A56EA5" w14:paraId="43863857" w14:textId="77777777">
            <w:pPr>
              <w:pStyle w:val="ListParagraph"/>
              <w:widowControl w:val="0"/>
              <w:numPr>
                <w:ilvl w:val="0"/>
                <w:numId w:val="39"/>
              </w:numPr>
              <w:suppressAutoHyphens w:val="0"/>
              <w:autoSpaceDN/>
              <w:spacing w:line="240" w:lineRule="auto"/>
              <w:contextualSpacing/>
              <w:textAlignment w:val="auto"/>
              <w:rPr>
                <w:rFonts w:eastAsia="Helvetica Neue"/>
              </w:rPr>
            </w:pPr>
            <w:r w:rsidRPr="00A56EA5">
              <w:rPr>
                <w:rFonts w:eastAsia="Helvetica Neue"/>
              </w:rPr>
              <w:t>7.11</w:t>
            </w:r>
          </w:p>
          <w:p w:rsidRPr="00A56EA5" w:rsidR="00A56EA5" w:rsidP="00A56EA5" w:rsidRDefault="00A56EA5" w14:paraId="0F2C3CDF" w14:textId="77777777">
            <w:pPr>
              <w:pStyle w:val="ListParagraph"/>
              <w:widowControl w:val="0"/>
              <w:numPr>
                <w:ilvl w:val="0"/>
                <w:numId w:val="39"/>
              </w:numPr>
              <w:suppressAutoHyphens w:val="0"/>
              <w:autoSpaceDN/>
              <w:spacing w:line="240" w:lineRule="auto"/>
              <w:contextualSpacing/>
              <w:textAlignment w:val="auto"/>
            </w:pPr>
            <w:r w:rsidRPr="00A56EA5">
              <w:rPr>
                <w:rFonts w:eastAsia="Helvetica Neue"/>
              </w:rPr>
              <w:t>7.12</w:t>
            </w:r>
          </w:p>
          <w:p w:rsidR="00012C76" w:rsidP="00A56EA5" w:rsidRDefault="00A56EA5" w14:paraId="2F27F3A1" w14:textId="77777777">
            <w:pPr>
              <w:pStyle w:val="ListParagraph"/>
              <w:widowControl w:val="0"/>
              <w:numPr>
                <w:ilvl w:val="0"/>
                <w:numId w:val="39"/>
              </w:numPr>
              <w:suppressAutoHyphens w:val="0"/>
              <w:autoSpaceDN/>
              <w:spacing w:line="240" w:lineRule="auto"/>
              <w:contextualSpacing/>
              <w:textAlignment w:val="auto"/>
            </w:pPr>
            <w:r w:rsidRPr="00A56EA5">
              <w:rPr>
                <w:rFonts w:eastAsia="Helvetica Neue"/>
              </w:rPr>
              <w:t>7.13</w:t>
            </w:r>
          </w:p>
        </w:tc>
        <w:tc>
          <w:tcPr>
            <w:tcW w:w="46" w:type="dxa"/>
          </w:tcPr>
          <w:p w:rsidR="00012C76" w:rsidRDefault="00012C76" w14:paraId="2ABA3F4E" w14:textId="77777777">
            <w:pPr>
              <w:spacing w:before="240"/>
            </w:pPr>
          </w:p>
        </w:tc>
      </w:tr>
      <w:tr w:rsidR="00012C76" w14:paraId="6921467E" w14:textId="77777777">
        <w:trPr>
          <w:trHeight w:val="218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48BB0C8" w14:textId="77777777">
            <w:pPr>
              <w:spacing w:before="240"/>
              <w:rPr>
                <w:b/>
              </w:rPr>
            </w:pPr>
            <w:r>
              <w:rPr>
                <w:b/>
              </w:rPr>
              <w:t>Buyer’s responsibilities</w:t>
            </w:r>
          </w:p>
        </w:tc>
        <w:tc>
          <w:tcPr>
            <w:tcW w:w="6243" w:type="dxa"/>
            <w:tcBorders>
              <w:bottom w:val="single" w:color="000000" w:sz="8" w:space="0"/>
              <w:right w:val="single" w:color="000000" w:sz="8" w:space="0"/>
            </w:tcBorders>
            <w:tcMar>
              <w:top w:w="100" w:type="dxa"/>
              <w:left w:w="100" w:type="dxa"/>
              <w:bottom w:w="100" w:type="dxa"/>
              <w:right w:w="100" w:type="dxa"/>
            </w:tcMar>
          </w:tcPr>
          <w:p w:rsidRPr="00A56EA5" w:rsidR="00012C76" w:rsidRDefault="00A56EA5" w14:paraId="1E09ACC5" w14:textId="77777777">
            <w:pPr>
              <w:spacing w:before="240"/>
              <w:rPr>
                <w:rFonts w:eastAsia="Helvetica Neue"/>
              </w:rPr>
            </w:pPr>
            <w:r w:rsidRPr="00A56EA5">
              <w:rPr>
                <w:rFonts w:eastAsia="Helvetica Neue"/>
              </w:rPr>
              <w:t>The Buyer is responsible for providing to the Supplier the appropriate contact details of the buyer’s personnel deemed necessary in carrying out the services under this contract.</w:t>
            </w:r>
          </w:p>
          <w:p w:rsidRPr="00A56EA5" w:rsidR="00A56EA5" w:rsidP="00A56EA5" w:rsidRDefault="00A56EA5" w14:paraId="7435B94F" w14:textId="77777777">
            <w:pPr>
              <w:suppressAutoHyphens w:val="0"/>
              <w:autoSpaceDE w:val="0"/>
              <w:adjustRightInd w:val="0"/>
              <w:spacing w:line="240" w:lineRule="auto"/>
              <w:textAlignment w:val="auto"/>
            </w:pPr>
          </w:p>
          <w:p w:rsidR="00A56EA5" w:rsidP="00A56EA5" w:rsidRDefault="00A56EA5" w14:paraId="4C13114C" w14:textId="77777777">
            <w:pPr>
              <w:suppressAutoHyphens w:val="0"/>
              <w:autoSpaceDE w:val="0"/>
              <w:adjustRightInd w:val="0"/>
              <w:spacing w:line="240" w:lineRule="auto"/>
              <w:textAlignment w:val="auto"/>
            </w:pPr>
            <w:r w:rsidRPr="00A56EA5">
              <w:t xml:space="preserve">The </w:t>
            </w:r>
            <w:r>
              <w:t>Buyer</w:t>
            </w:r>
            <w:r w:rsidRPr="00A56EA5">
              <w:t xml:space="preserve"> is responsible for provision of end user equipment used to access the service and ensuring the equipment meets the agreed minimum standards, network / internet access required for successful integration of the VPN appliance with the necessary bandwidth to support the user base, security certificate installation, email configuration and firewall access rules. </w:t>
            </w:r>
          </w:p>
          <w:p w:rsidR="00A56EA5" w:rsidP="00A56EA5" w:rsidRDefault="00A56EA5" w14:paraId="128B655B" w14:textId="77777777">
            <w:pPr>
              <w:suppressAutoHyphens w:val="0"/>
              <w:autoSpaceDE w:val="0"/>
              <w:adjustRightInd w:val="0"/>
              <w:spacing w:line="240" w:lineRule="auto"/>
              <w:textAlignment w:val="auto"/>
            </w:pPr>
          </w:p>
          <w:p w:rsidR="00056FA2" w:rsidP="00056FA2" w:rsidRDefault="00A56EA5" w14:paraId="08BC183F" w14:textId="77777777">
            <w:pPr>
              <w:suppressAutoHyphens w:val="0"/>
              <w:autoSpaceDE w:val="0"/>
              <w:adjustRightInd w:val="0"/>
              <w:spacing w:line="240" w:lineRule="auto"/>
              <w:textAlignment w:val="auto"/>
            </w:pPr>
            <w:r w:rsidRPr="00A56EA5">
              <w:t xml:space="preserve">The </w:t>
            </w:r>
            <w:r>
              <w:t>Buyer</w:t>
            </w:r>
            <w:r w:rsidRPr="00A56EA5">
              <w:t xml:space="preserve"> will provide the necessary internal resources </w:t>
            </w:r>
            <w:r>
              <w:t xml:space="preserve">when required to do so in order for the Supplier to deliver the service.  </w:t>
            </w:r>
          </w:p>
          <w:p w:rsidR="00A56EA5" w:rsidP="00A56EA5" w:rsidRDefault="00A56EA5" w14:paraId="32FAE79A" w14:textId="77777777">
            <w:pPr>
              <w:suppressAutoHyphens w:val="0"/>
              <w:autoSpaceDE w:val="0"/>
              <w:adjustRightInd w:val="0"/>
              <w:spacing w:line="240" w:lineRule="auto"/>
              <w:textAlignment w:val="auto"/>
            </w:pPr>
          </w:p>
        </w:tc>
        <w:tc>
          <w:tcPr>
            <w:tcW w:w="46" w:type="dxa"/>
          </w:tcPr>
          <w:p w:rsidR="00012C76" w:rsidRDefault="00012C76" w14:paraId="5E93DA0E" w14:textId="77777777">
            <w:pPr>
              <w:spacing w:before="240"/>
            </w:pPr>
          </w:p>
        </w:tc>
      </w:tr>
      <w:tr w:rsidR="00012C76" w14:paraId="01345D82" w14:textId="77777777">
        <w:trPr>
          <w:trHeight w:val="3260"/>
        </w:trPr>
        <w:tc>
          <w:tcPr>
            <w:tcW w:w="2606" w:type="dxa"/>
            <w:tcBorders>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C9A2FD5" w14:textId="77777777">
            <w:pPr>
              <w:spacing w:before="240"/>
              <w:rPr>
                <w:b/>
              </w:rPr>
            </w:pPr>
            <w:r>
              <w:rPr>
                <w:b/>
              </w:rPr>
              <w:t>Buyer’s equipment</w:t>
            </w:r>
          </w:p>
        </w:tc>
        <w:tc>
          <w:tcPr>
            <w:tcW w:w="6243" w:type="dxa"/>
            <w:tcBorders>
              <w:bottom w:val="single" w:color="000000" w:sz="8" w:space="0"/>
              <w:right w:val="single" w:color="000000" w:sz="8" w:space="0"/>
            </w:tcBorders>
            <w:tcMar>
              <w:top w:w="100" w:type="dxa"/>
              <w:left w:w="100" w:type="dxa"/>
              <w:bottom w:w="100" w:type="dxa"/>
              <w:right w:w="100" w:type="dxa"/>
            </w:tcMar>
          </w:tcPr>
          <w:p w:rsidR="00446C79" w:rsidRDefault="00446C79" w14:paraId="242A735F" w14:textId="20632F6F">
            <w:pPr>
              <w:spacing w:before="240"/>
            </w:pPr>
            <w:r>
              <w:t xml:space="preserve">The </w:t>
            </w:r>
            <w:r w:rsidR="00726659">
              <w:t>B</w:t>
            </w:r>
            <w:r>
              <w:t>uyer</w:t>
            </w:r>
            <w:r w:rsidR="00726659">
              <w:t>’</w:t>
            </w:r>
            <w:r>
              <w:t>s equipment used with this Call-Off contract includes the existing Z-scaler End Points hosted within the IIS Cloud.</w:t>
            </w:r>
          </w:p>
          <w:p w:rsidR="00012C76" w:rsidRDefault="00012C76" w14:paraId="198F7712" w14:textId="77777777">
            <w:pPr>
              <w:spacing w:before="240"/>
            </w:pPr>
          </w:p>
        </w:tc>
        <w:tc>
          <w:tcPr>
            <w:tcW w:w="46" w:type="dxa"/>
          </w:tcPr>
          <w:p w:rsidR="00012C76" w:rsidRDefault="00012C76" w14:paraId="2FD7B480" w14:textId="77777777">
            <w:pPr>
              <w:spacing w:before="240"/>
            </w:pPr>
          </w:p>
        </w:tc>
      </w:tr>
    </w:tbl>
    <w:p w:rsidR="00012C76" w:rsidRDefault="00012C76" w14:paraId="50F3F0E2" w14:textId="77777777">
      <w:pPr>
        <w:spacing w:before="240" w:after="120"/>
      </w:pPr>
    </w:p>
    <w:p w:rsidR="00012C76" w:rsidRDefault="00382483" w14:paraId="396CF1D5" w14:textId="77777777">
      <w:pPr>
        <w:pStyle w:val="Heading3"/>
        <w:rPr>
          <w:color w:val="auto"/>
        </w:rPr>
      </w:pPr>
      <w:r>
        <w:rPr>
          <w:color w:val="auto"/>
        </w:rPr>
        <w:lastRenderedPageBreak/>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12C76" w14:paraId="1D93AF59" w14:textId="77777777">
        <w:trPr>
          <w:trHeight w:val="1600"/>
        </w:trPr>
        <w:tc>
          <w:tcPr>
            <w:tcW w:w="26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386549E" w14:textId="77777777">
            <w:pPr>
              <w:spacing w:before="240"/>
              <w:rPr>
                <w:b/>
              </w:rPr>
            </w:pPr>
            <w:r>
              <w:rPr>
                <w:b/>
              </w:rPr>
              <w:t>Subcontractors or partners</w:t>
            </w:r>
          </w:p>
        </w:tc>
        <w:tc>
          <w:tcPr>
            <w:tcW w:w="6285" w:type="dxa"/>
            <w:tcBorders>
              <w:top w:val="single" w:color="000000" w:sz="8" w:space="0"/>
              <w:bottom w:val="single" w:color="000000" w:sz="8" w:space="0"/>
              <w:right w:val="single" w:color="000000" w:sz="8" w:space="0"/>
            </w:tcBorders>
            <w:tcMar>
              <w:top w:w="100" w:type="dxa"/>
              <w:left w:w="100" w:type="dxa"/>
              <w:bottom w:w="100" w:type="dxa"/>
              <w:right w:w="100" w:type="dxa"/>
            </w:tcMar>
          </w:tcPr>
          <w:p w:rsidR="00012C76" w:rsidRDefault="00DE36D0" w14:paraId="7368FBE0" w14:textId="77777777">
            <w:pPr>
              <w:spacing w:before="240"/>
            </w:pPr>
            <w:r>
              <w:t>n/a</w:t>
            </w:r>
          </w:p>
        </w:tc>
      </w:tr>
    </w:tbl>
    <w:p w:rsidR="00012C76" w:rsidRDefault="00012C76" w14:paraId="45BA9D42" w14:textId="77777777">
      <w:pPr>
        <w:spacing w:before="240" w:after="120"/>
      </w:pPr>
    </w:p>
    <w:p w:rsidR="00012C76" w:rsidRDefault="00382483" w14:paraId="232FC219" w14:textId="77777777">
      <w:pPr>
        <w:pStyle w:val="Heading3"/>
        <w:rPr>
          <w:color w:val="auto"/>
        </w:rPr>
      </w:pPr>
      <w:r>
        <w:rPr>
          <w:color w:val="auto"/>
        </w:rPr>
        <w:t>Call-Off Contract charges and payment</w:t>
      </w:r>
    </w:p>
    <w:p w:rsidR="00012C76" w:rsidRDefault="00382483" w14:paraId="7A35F9BE" w14:textId="77777777">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12C76" w14:paraId="4C6475D2" w14:textId="77777777">
        <w:trPr>
          <w:trHeight w:val="780"/>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3BAE4DD" w14:textId="77777777">
            <w:pPr>
              <w:spacing w:before="240"/>
              <w:rPr>
                <w:b/>
              </w:rPr>
            </w:pPr>
            <w:r>
              <w:rPr>
                <w:b/>
              </w:rPr>
              <w:t>Payment method</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3EAA90F" w14:textId="77777777">
            <w:pPr>
              <w:spacing w:before="240"/>
            </w:pPr>
            <w:r>
              <w:t xml:space="preserve">The payment method for this Call-Off Contract is </w:t>
            </w:r>
            <w:r w:rsidR="00DE36D0">
              <w:t>BACS transfer.</w:t>
            </w:r>
          </w:p>
        </w:tc>
      </w:tr>
      <w:tr w:rsidR="00012C76" w14:paraId="711C1C21" w14:textId="77777777">
        <w:trPr>
          <w:trHeight w:val="1880"/>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508DD2B" w14:textId="77777777">
            <w:pPr>
              <w:spacing w:before="240"/>
              <w:rPr>
                <w:b/>
              </w:rPr>
            </w:pPr>
            <w:r>
              <w:rPr>
                <w:b/>
              </w:rPr>
              <w:t>Payment profile</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0199956" w14:textId="77777777">
            <w:pPr>
              <w:spacing w:before="240"/>
            </w:pPr>
            <w:r>
              <w:t xml:space="preserve">The payment profile for this Call-Off Contract is </w:t>
            </w:r>
            <w:r w:rsidR="00DE36D0">
              <w:t>annually in advance</w:t>
            </w:r>
            <w:r>
              <w:t>.</w:t>
            </w:r>
          </w:p>
        </w:tc>
      </w:tr>
      <w:tr w:rsidR="00012C76" w14:paraId="0A99943A" w14:textId="77777777">
        <w:trPr>
          <w:trHeight w:val="1060"/>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E701E6A" w14:textId="77777777">
            <w:pPr>
              <w:spacing w:before="240"/>
              <w:rPr>
                <w:b/>
              </w:rPr>
            </w:pPr>
            <w:r>
              <w:rPr>
                <w:b/>
              </w:rPr>
              <w:t>Invoice details</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E4BBCE0" w14:textId="77777777">
            <w:pPr>
              <w:spacing w:before="240"/>
            </w:pPr>
            <w:r>
              <w:t xml:space="preserve">The Supplier will issue electronic invoices </w:t>
            </w:r>
            <w:r w:rsidR="00DE36D0">
              <w:t>annually in advance.</w:t>
            </w:r>
            <w:r>
              <w:t xml:space="preserve"> The Buyer will pay the Supplier within </w:t>
            </w:r>
            <w:r w:rsidRPr="00DE36D0">
              <w:t>30</w:t>
            </w:r>
            <w:r>
              <w:t xml:space="preserve"> days of receipt of a valid invoice.</w:t>
            </w:r>
          </w:p>
        </w:tc>
      </w:tr>
      <w:tr w:rsidR="00012C76" w14:paraId="346F78FC" w14:textId="77777777">
        <w:trPr>
          <w:trHeight w:val="509"/>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0D8270C" w14:textId="77777777">
            <w:pPr>
              <w:spacing w:before="240"/>
              <w:rPr>
                <w:b/>
              </w:rPr>
            </w:pPr>
            <w:r>
              <w:rPr>
                <w:b/>
              </w:rPr>
              <w:t>Who and where to send invoices to</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D666C9" w:rsidR="00012C76" w:rsidP="00B1538D" w:rsidRDefault="00286ACB" w14:paraId="3F5ED71E" w14:textId="5D6BEC94">
            <w:pPr>
              <w:pStyle w:val="Default"/>
              <w:rPr>
                <w:sz w:val="22"/>
                <w:szCs w:val="22"/>
              </w:rPr>
            </w:pPr>
            <w:r w:rsidRPr="00D666C9">
              <w:rPr>
                <w:sz w:val="22"/>
                <w:szCs w:val="22"/>
              </w:rPr>
              <w:t>Buyer Principal Contact</w:t>
            </w:r>
          </w:p>
        </w:tc>
      </w:tr>
      <w:tr w:rsidR="00012C76" w14:paraId="2AA20119" w14:textId="77777777">
        <w:trPr>
          <w:trHeight w:val="1161"/>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3812248" w14:textId="77777777">
            <w:pPr>
              <w:spacing w:before="240"/>
            </w:pPr>
            <w:r>
              <w:rPr>
                <w:b/>
              </w:rPr>
              <w:t>Invoice information required</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DE36D0" w:rsidP="00DE36D0" w:rsidRDefault="00382483" w14:paraId="7C0CE99D" w14:textId="77777777">
            <w:pPr>
              <w:spacing w:before="240"/>
            </w:pPr>
            <w:r>
              <w:t>All invoices must include</w:t>
            </w:r>
            <w:r w:rsidR="00DE36D0">
              <w:t>:</w:t>
            </w:r>
          </w:p>
          <w:p w:rsidR="00012C76" w:rsidP="00E82232" w:rsidRDefault="00DE36D0" w14:paraId="166B147D" w14:textId="77777777">
            <w:pPr>
              <w:pStyle w:val="ListParagraph"/>
              <w:numPr>
                <w:ilvl w:val="0"/>
                <w:numId w:val="40"/>
              </w:numPr>
            </w:pPr>
            <w:r>
              <w:t>Purchase Order number;</w:t>
            </w:r>
          </w:p>
          <w:p w:rsidR="00DE36D0" w:rsidP="00E82232" w:rsidRDefault="00DE36D0" w14:paraId="24FDBAFB" w14:textId="77777777">
            <w:pPr>
              <w:pStyle w:val="ListParagraph"/>
              <w:numPr>
                <w:ilvl w:val="0"/>
                <w:numId w:val="40"/>
              </w:numPr>
            </w:pPr>
            <w:r>
              <w:t>Invoice number;</w:t>
            </w:r>
          </w:p>
          <w:p w:rsidR="00DE36D0" w:rsidP="00E82232" w:rsidRDefault="00DE36D0" w14:paraId="34FAF22C" w14:textId="77777777">
            <w:pPr>
              <w:pStyle w:val="ListParagraph"/>
              <w:numPr>
                <w:ilvl w:val="0"/>
                <w:numId w:val="40"/>
              </w:numPr>
            </w:pPr>
            <w:r>
              <w:t>Suppliers VAT number;</w:t>
            </w:r>
          </w:p>
          <w:p w:rsidR="00DE36D0" w:rsidP="00E82232" w:rsidRDefault="00DE36D0" w14:paraId="1A29444C" w14:textId="77777777">
            <w:pPr>
              <w:pStyle w:val="ListParagraph"/>
              <w:numPr>
                <w:ilvl w:val="0"/>
                <w:numId w:val="40"/>
              </w:numPr>
            </w:pPr>
            <w:r>
              <w:t>Amount due exclusive of VAT;</w:t>
            </w:r>
          </w:p>
          <w:p w:rsidR="00DE36D0" w:rsidP="00E82232" w:rsidRDefault="00DE36D0" w14:paraId="3C2DE7EF" w14:textId="77777777">
            <w:pPr>
              <w:pStyle w:val="ListParagraph"/>
              <w:numPr>
                <w:ilvl w:val="0"/>
                <w:numId w:val="40"/>
              </w:numPr>
            </w:pPr>
            <w:r>
              <w:t>Amount</w:t>
            </w:r>
            <w:r w:rsidR="00E82232">
              <w:t>s due inclusive of VAT;</w:t>
            </w:r>
          </w:p>
          <w:p w:rsidR="00DE36D0" w:rsidP="00E82232" w:rsidRDefault="00DE36D0" w14:paraId="48278AE0" w14:textId="77777777">
            <w:pPr>
              <w:pStyle w:val="ListParagraph"/>
              <w:numPr>
                <w:ilvl w:val="0"/>
                <w:numId w:val="40"/>
              </w:numPr>
            </w:pPr>
            <w:r>
              <w:t>Suppliers BACS details</w:t>
            </w:r>
          </w:p>
          <w:p w:rsidR="00286ACB" w:rsidP="00E82232" w:rsidRDefault="00E82232" w14:paraId="463313B8" w14:textId="77777777">
            <w:pPr>
              <w:pStyle w:val="ListParagraph"/>
              <w:numPr>
                <w:ilvl w:val="0"/>
                <w:numId w:val="40"/>
              </w:numPr>
            </w:pPr>
            <w:r>
              <w:t>Supplier’s name and registered address</w:t>
            </w:r>
          </w:p>
          <w:p w:rsidR="00E82232" w:rsidP="00E82232" w:rsidRDefault="00286ACB" w14:paraId="30077F0E" w14:textId="7E021283">
            <w:pPr>
              <w:pStyle w:val="ListParagraph"/>
              <w:numPr>
                <w:ilvl w:val="0"/>
                <w:numId w:val="40"/>
              </w:numPr>
            </w:pPr>
            <w:r>
              <w:t>Breakdown of the total amount being invoiced</w:t>
            </w:r>
            <w:r w:rsidR="00E82232">
              <w:t>;</w:t>
            </w:r>
          </w:p>
        </w:tc>
      </w:tr>
      <w:tr w:rsidR="00012C76" w14:paraId="65F0B8DC" w14:textId="77777777">
        <w:trPr>
          <w:trHeight w:val="500"/>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410DAB9" w14:textId="77777777">
            <w:pPr>
              <w:spacing w:before="240"/>
              <w:rPr>
                <w:b/>
              </w:rPr>
            </w:pPr>
            <w:r>
              <w:rPr>
                <w:b/>
              </w:rPr>
              <w:t>Invoice frequency</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5A3BF5A" w14:textId="77777777">
            <w:pPr>
              <w:spacing w:before="240"/>
            </w:pPr>
            <w:r>
              <w:t xml:space="preserve">Invoice will be sent to the Buyer </w:t>
            </w:r>
            <w:r w:rsidR="00E82232">
              <w:t>annually</w:t>
            </w:r>
            <w:r>
              <w:t>.</w:t>
            </w:r>
          </w:p>
        </w:tc>
      </w:tr>
      <w:tr w:rsidR="00012C76" w14:paraId="1F101174" w14:textId="77777777">
        <w:trPr>
          <w:trHeight w:val="780"/>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EF0AF9B" w14:textId="77777777">
            <w:pPr>
              <w:spacing w:before="240"/>
              <w:rPr>
                <w:b/>
              </w:rPr>
            </w:pPr>
            <w:r>
              <w:rPr>
                <w:b/>
              </w:rPr>
              <w:lastRenderedPageBreak/>
              <w:t>Call-Off Contract value</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28DA56C" w14:textId="181F7C19">
            <w:pPr>
              <w:spacing w:before="240"/>
            </w:pPr>
            <w:r>
              <w:t xml:space="preserve">The total </w:t>
            </w:r>
            <w:r w:rsidR="00855B82">
              <w:t xml:space="preserve">maximum </w:t>
            </w:r>
            <w:r>
              <w:t xml:space="preserve">value of this Call-Off Contract is </w:t>
            </w:r>
            <w:r w:rsidR="00855B82">
              <w:t xml:space="preserve">up to </w:t>
            </w:r>
            <w:r w:rsidRPr="00D666C9" w:rsidR="00E82232">
              <w:t>£</w:t>
            </w:r>
            <w:r w:rsidR="00726659">
              <w:t>70,000</w:t>
            </w:r>
            <w:r w:rsidRPr="00D061F3" w:rsidR="00E82232">
              <w:t xml:space="preserve"> </w:t>
            </w:r>
            <w:r w:rsidRPr="00E82232" w:rsidR="00E82232">
              <w:t>(ex</w:t>
            </w:r>
            <w:r w:rsidR="00855B82">
              <w:t>cluding</w:t>
            </w:r>
            <w:r w:rsidRPr="00E82232" w:rsidR="00E82232">
              <w:t xml:space="preserve"> </w:t>
            </w:r>
            <w:r w:rsidR="00855B82">
              <w:t>VAT</w:t>
            </w:r>
            <w:r w:rsidRPr="00E82232" w:rsidR="00E82232">
              <w:t>)</w:t>
            </w:r>
          </w:p>
        </w:tc>
      </w:tr>
      <w:tr w:rsidR="00012C76" w14:paraId="63D3A273" w14:textId="77777777">
        <w:trPr>
          <w:trHeight w:val="1880"/>
        </w:trPr>
        <w:tc>
          <w:tcPr>
            <w:tcW w:w="25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67A5439" w14:textId="77777777">
            <w:pPr>
              <w:spacing w:before="240"/>
              <w:rPr>
                <w:b/>
              </w:rPr>
            </w:pPr>
            <w:r>
              <w:rPr>
                <w:b/>
              </w:rPr>
              <w:t>Call-Off Contract charges</w:t>
            </w:r>
          </w:p>
        </w:tc>
        <w:tc>
          <w:tcPr>
            <w:tcW w:w="63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E017DF" w:rsidP="00D666C9" w:rsidRDefault="00382483" w14:paraId="524CB7DD" w14:textId="287E7E6E">
            <w:pPr>
              <w:spacing w:before="240"/>
            </w:pPr>
            <w:r>
              <w:t xml:space="preserve">The breakdown of the Charges is </w:t>
            </w:r>
            <w:r w:rsidR="00726659">
              <w:t>detailed in Schedule 2.</w:t>
            </w:r>
          </w:p>
          <w:p w:rsidR="00D061F3" w:rsidP="00E82232" w:rsidRDefault="00D061F3" w14:paraId="6436737F" w14:textId="77777777">
            <w:pPr>
              <w:pStyle w:val="ListParagraph"/>
            </w:pPr>
          </w:p>
          <w:p w:rsidR="00D061F3" w:rsidP="00594C84" w:rsidRDefault="00D061F3" w14:paraId="17F9C3A7" w14:textId="77777777">
            <w:pPr>
              <w:pStyle w:val="ListParagraph"/>
            </w:pPr>
          </w:p>
        </w:tc>
      </w:tr>
    </w:tbl>
    <w:p w:rsidR="00012C76" w:rsidRDefault="00012C76" w14:paraId="490C0C3D" w14:textId="77777777"/>
    <w:p w:rsidR="00012C76" w:rsidRDefault="00382483" w14:paraId="6E3E60AA" w14:textId="77777777">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12C76" w14:paraId="33A3126E" w14:textId="77777777">
        <w:trPr>
          <w:trHeight w:val="164"/>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A0F5829" w14:textId="77777777">
            <w:pPr>
              <w:spacing w:before="240"/>
              <w:rPr>
                <w:b/>
              </w:rPr>
            </w:pPr>
            <w:r>
              <w:rPr>
                <w:b/>
              </w:rPr>
              <w:t>Performance of the Service and Deliverables</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9B60737" w14:textId="77777777">
            <w:pPr>
              <w:spacing w:before="240"/>
            </w:pPr>
            <w:r>
              <w:t>This Call-Off Contract will include the following Implementation Plan, exit and offboarding plans and milestones:</w:t>
            </w:r>
          </w:p>
          <w:p w:rsidR="00012C76" w:rsidP="00D666C9" w:rsidRDefault="00286ACB" w14:paraId="073FBF85" w14:textId="7AF7309F">
            <w:pPr>
              <w:pStyle w:val="ListParagraph"/>
              <w:numPr>
                <w:ilvl w:val="0"/>
                <w:numId w:val="48"/>
              </w:numPr>
              <w:spacing w:before="240"/>
            </w:pPr>
            <w:r>
              <w:t>Onboarding of users within 2 Business Days of being provided with all required d</w:t>
            </w:r>
            <w:r w:rsidR="00726659">
              <w:t>e</w:t>
            </w:r>
            <w:r>
              <w:t>tails by the Buyer</w:t>
            </w:r>
          </w:p>
        </w:tc>
      </w:tr>
      <w:tr w:rsidR="00012C76" w14:paraId="03ACF079" w14:textId="77777777">
        <w:trPr>
          <w:trHeight w:val="21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206D9E2" w14:textId="77777777">
            <w:pPr>
              <w:spacing w:before="240"/>
              <w:rPr>
                <w:b/>
              </w:rPr>
            </w:pPr>
            <w:r>
              <w:rPr>
                <w:b/>
              </w:rPr>
              <w:t>Guarantee</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C26913" w14:paraId="2BE1775D" w14:textId="77777777">
            <w:pPr>
              <w:spacing w:before="240"/>
            </w:pPr>
            <w:r>
              <w:t>n/a</w:t>
            </w:r>
          </w:p>
        </w:tc>
      </w:tr>
      <w:tr w:rsidR="00012C76" w14:paraId="6CDB0C2E" w14:textId="77777777">
        <w:trPr>
          <w:trHeight w:val="1613"/>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C920297" w14:textId="77777777">
            <w:pPr>
              <w:spacing w:before="240"/>
              <w:rPr>
                <w:b/>
              </w:rPr>
            </w:pPr>
            <w:r>
              <w:rPr>
                <w:b/>
              </w:rPr>
              <w:t>Warranties, representations</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C26913" w14:paraId="287A09EA" w14:textId="77777777">
            <w:pPr>
              <w:spacing w:before="240"/>
            </w:pPr>
            <w:r>
              <w:t>n/a</w:t>
            </w:r>
          </w:p>
        </w:tc>
      </w:tr>
      <w:tr w:rsidR="00012C76" w14:paraId="2DD25210" w14:textId="77777777">
        <w:trPr>
          <w:trHeight w:val="13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A6F2711" w14:textId="77777777">
            <w:pPr>
              <w:spacing w:before="240"/>
              <w:rPr>
                <w:b/>
              </w:rPr>
            </w:pPr>
            <w:r>
              <w:rPr>
                <w:b/>
              </w:rPr>
              <w:t>Supplemental requirements in addition to the Call-Off terms</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C26913" w14:paraId="053A6F73" w14:textId="77777777">
            <w:pPr>
              <w:spacing w:before="240"/>
            </w:pPr>
            <w:r>
              <w:t>n/a</w:t>
            </w:r>
          </w:p>
        </w:tc>
      </w:tr>
      <w:tr w:rsidR="00012C76" w14:paraId="5E8469A7" w14:textId="77777777">
        <w:trPr>
          <w:trHeight w:val="219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8A30DFF" w14:textId="77777777">
            <w:pPr>
              <w:spacing w:before="240"/>
              <w:rPr>
                <w:b/>
              </w:rPr>
            </w:pPr>
            <w:r>
              <w:rPr>
                <w:b/>
              </w:rPr>
              <w:t>Alternative clauses</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C26913" w14:paraId="225CD5D7" w14:textId="77777777">
            <w:pPr>
              <w:spacing w:before="240"/>
            </w:pPr>
            <w:r>
              <w:t>n/a</w:t>
            </w:r>
          </w:p>
        </w:tc>
      </w:tr>
      <w:tr w:rsidR="00012C76" w14:paraId="250FB130" w14:textId="77777777">
        <w:trPr>
          <w:trHeight w:val="140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8D60FA0" w14:textId="77777777">
            <w:pPr>
              <w:spacing w:before="240"/>
              <w:rPr>
                <w:b/>
              </w:rPr>
            </w:pPr>
            <w:r>
              <w:rPr>
                <w:b/>
              </w:rPr>
              <w:lastRenderedPageBreak/>
              <w:t>Buyer specific amendments to/refinements of the Call-Off Contract terms</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C26913" w14:paraId="67222C70" w14:textId="77777777">
            <w:pPr>
              <w:spacing w:before="240"/>
            </w:pPr>
            <w:r>
              <w:t>n/a</w:t>
            </w:r>
          </w:p>
        </w:tc>
      </w:tr>
      <w:tr w:rsidR="00012C76" w14:paraId="75D3CEB9" w14:textId="77777777">
        <w:trPr>
          <w:trHeight w:val="21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60D3283" w14:textId="77777777">
            <w:pPr>
              <w:spacing w:before="240"/>
              <w:rPr>
                <w:b/>
              </w:rPr>
            </w:pPr>
            <w:r>
              <w:rPr>
                <w:b/>
              </w:rPr>
              <w:t>Public Services Network (PSN)</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C26913" w14:paraId="2357AEA6" w14:textId="77777777">
            <w:pPr>
              <w:spacing w:before="240"/>
            </w:pPr>
            <w:r>
              <w:t>n/a</w:t>
            </w:r>
          </w:p>
        </w:tc>
      </w:tr>
      <w:tr w:rsidR="00012C76" w14:paraId="227919E4" w14:textId="77777777">
        <w:trPr>
          <w:trHeight w:val="873"/>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9AE86CB" w14:textId="77777777">
            <w:pPr>
              <w:spacing w:before="240"/>
              <w:rPr>
                <w:b/>
              </w:rPr>
            </w:pPr>
            <w:r>
              <w:rPr>
                <w:b/>
              </w:rPr>
              <w:t>Personal Data and Data Subjects</w:t>
            </w:r>
          </w:p>
        </w:tc>
        <w:tc>
          <w:tcPr>
            <w:tcW w:w="62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775EFB1" w14:textId="77777777">
            <w:pPr>
              <w:spacing w:before="240"/>
            </w:pPr>
            <w:r>
              <w:t>Confirm whether Annex 1 (and Annex 2, if applicable) of Schedule 7 is being used:</w:t>
            </w:r>
            <w:r w:rsidR="00C26913">
              <w:t xml:space="preserve"> </w:t>
            </w:r>
            <w:r>
              <w:t>Annex 1</w:t>
            </w:r>
          </w:p>
        </w:tc>
      </w:tr>
    </w:tbl>
    <w:p w:rsidR="00012C76" w:rsidRDefault="00382483" w14:paraId="1AE30956" w14:textId="77777777">
      <w:pPr>
        <w:spacing w:before="240" w:after="240"/>
      </w:pPr>
      <w:r>
        <w:t xml:space="preserve"> </w:t>
      </w:r>
    </w:p>
    <w:p w:rsidR="00012C76" w:rsidRDefault="00382483" w14:paraId="12E9E2FD" w14:textId="77777777">
      <w:pPr>
        <w:pStyle w:val="Heading3"/>
        <w:rPr>
          <w:color w:val="auto"/>
        </w:rPr>
      </w:pPr>
      <w:r>
        <w:rPr>
          <w:color w:val="auto"/>
        </w:rPr>
        <w:t xml:space="preserve">1. </w:t>
      </w:r>
      <w:r>
        <w:rPr>
          <w:color w:val="auto"/>
        </w:rPr>
        <w:tab/>
      </w:r>
      <w:r>
        <w:rPr>
          <w:color w:val="auto"/>
        </w:rPr>
        <w:t>Formation of contract</w:t>
      </w:r>
    </w:p>
    <w:p w:rsidR="00012C76" w:rsidRDefault="00382483" w14:paraId="31B5C6F9" w14:textId="77777777">
      <w:pPr>
        <w:ind w:left="720" w:hanging="720"/>
      </w:pPr>
      <w:r>
        <w:t>1.1</w:t>
      </w:r>
      <w:r>
        <w:tab/>
      </w:r>
      <w:r>
        <w:t>By signing and returning this Order Form (Part A), the Supplier agrees to enter into a Call-Off Contract with the Buyer.</w:t>
      </w:r>
    </w:p>
    <w:p w:rsidR="00012C76" w:rsidRDefault="00012C76" w14:paraId="259F07BD" w14:textId="77777777">
      <w:pPr>
        <w:ind w:firstLine="720"/>
      </w:pPr>
    </w:p>
    <w:p w:rsidR="00012C76" w:rsidRDefault="00382483" w14:paraId="60F8A9DC" w14:textId="77777777">
      <w:pPr>
        <w:ind w:left="720" w:hanging="720"/>
      </w:pPr>
      <w:r>
        <w:t>1.2</w:t>
      </w:r>
      <w:r>
        <w:tab/>
      </w:r>
      <w:r>
        <w:t>The Parties agree that they have read the Order Form (Part A) and the Call-Off Contract terms and by signing below agree to be bound by this Call-Off Contract.</w:t>
      </w:r>
    </w:p>
    <w:p w:rsidR="00012C76" w:rsidRDefault="00012C76" w14:paraId="3E9952B6" w14:textId="77777777">
      <w:pPr>
        <w:ind w:firstLine="720"/>
      </w:pPr>
    </w:p>
    <w:p w:rsidR="00012C76" w:rsidRDefault="00382483" w14:paraId="1B06D847" w14:textId="77777777">
      <w:pPr>
        <w:ind w:left="720" w:hanging="720"/>
      </w:pPr>
      <w:r>
        <w:t>1.3</w:t>
      </w:r>
      <w:r>
        <w:tab/>
      </w:r>
      <w:r>
        <w:t>This Call-Off Contract will be formed when the Buyer acknowledges receipt of the signed copy of the Order Form from the Supplier.</w:t>
      </w:r>
    </w:p>
    <w:p w:rsidR="00012C76" w:rsidRDefault="00012C76" w14:paraId="70A3CC32" w14:textId="77777777">
      <w:pPr>
        <w:ind w:firstLine="720"/>
      </w:pPr>
    </w:p>
    <w:p w:rsidR="00012C76" w:rsidRDefault="00382483" w14:paraId="56DD810A" w14:textId="77777777">
      <w:pPr>
        <w:ind w:left="720" w:hanging="720"/>
      </w:pPr>
      <w:r>
        <w:t>1.4</w:t>
      </w:r>
      <w:r>
        <w:tab/>
      </w:r>
      <w:r>
        <w:t>In cases of any ambiguity or conflict, the terms and conditions of the Call-Off Contract (Part B) and Order Form (Part A) will supersede those of the Supplier Terms and Conditions as per the order of precedence set out in clause 8.3 of the Framework Agreement.</w:t>
      </w:r>
    </w:p>
    <w:p w:rsidR="00012C76" w:rsidRDefault="00012C76" w14:paraId="0AAC459C" w14:textId="77777777"/>
    <w:p w:rsidR="00012C76" w:rsidRDefault="00382483" w14:paraId="0DF73782" w14:textId="77777777">
      <w:pPr>
        <w:pStyle w:val="Heading3"/>
        <w:rPr>
          <w:color w:val="auto"/>
        </w:rPr>
      </w:pPr>
      <w:r>
        <w:rPr>
          <w:color w:val="auto"/>
        </w:rPr>
        <w:t xml:space="preserve">2. </w:t>
      </w:r>
      <w:r>
        <w:rPr>
          <w:color w:val="auto"/>
        </w:rPr>
        <w:tab/>
      </w:r>
      <w:r>
        <w:rPr>
          <w:color w:val="auto"/>
        </w:rPr>
        <w:t>Background to the agreement</w:t>
      </w:r>
    </w:p>
    <w:p w:rsidR="00012C76" w:rsidRDefault="00382483" w14:paraId="601934CA" w14:textId="77777777">
      <w:pPr>
        <w:ind w:left="720" w:hanging="720"/>
      </w:pPr>
      <w:r>
        <w:t>2.1</w:t>
      </w:r>
      <w:r>
        <w:tab/>
      </w:r>
      <w:r>
        <w:t>The Supplier is a provider of G-Cloud Services and agreed to provide the Services under the terms of Framework Agreement number RM1557.12.</w:t>
      </w:r>
    </w:p>
    <w:p w:rsidR="00012C76" w:rsidRDefault="00012C76" w14:paraId="420B1CEC" w14:textId="77777777">
      <w:pPr>
        <w:ind w:left="720"/>
      </w:pPr>
    </w:p>
    <w:p w:rsidR="00012C76" w:rsidRDefault="00382483" w14:paraId="3F616705" w14:textId="77777777">
      <w:r>
        <w:t>2.2</w:t>
      </w:r>
      <w:r>
        <w:tab/>
      </w:r>
      <w:r>
        <w:t>The Buyer provided an Order Form for Services to the Supplier.</w:t>
      </w:r>
    </w:p>
    <w:p w:rsidR="00012C76" w:rsidRDefault="00012C76" w14:paraId="16BA0A21" w14:textId="77777777"/>
    <w:p w:rsidR="00012C76" w:rsidRDefault="00012C76" w14:paraId="7A234942" w14:textId="77777777">
      <w:pPr>
        <w:pageBreakBefore/>
      </w:pPr>
    </w:p>
    <w:p w:rsidR="00012C76" w:rsidRDefault="00012C76" w14:paraId="36BE6ECD" w14:textId="77777777"/>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12C76" w:rsidTr="426876C5" w14:paraId="72916854" w14:textId="77777777">
        <w:trPr>
          <w:trHeight w:val="480"/>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42AD71D5" w14:textId="77777777">
            <w:pPr>
              <w:spacing w:before="240"/>
              <w:rPr>
                <w:b/>
              </w:rPr>
            </w:pPr>
            <w:r>
              <w:rPr>
                <w:b/>
              </w:rPr>
              <w:t>Signed</w:t>
            </w:r>
          </w:p>
        </w:tc>
        <w:tc>
          <w:tcPr>
            <w:tcW w:w="3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12F4DD89" w14:textId="77777777">
            <w:pPr>
              <w:spacing w:before="240"/>
            </w:pPr>
            <w:r>
              <w:t>Supplier</w:t>
            </w:r>
          </w:p>
        </w:tc>
        <w:tc>
          <w:tcPr>
            <w:tcW w:w="3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B1538D" w14:paraId="56E38C7C" w14:textId="77777777">
            <w:pPr>
              <w:spacing w:before="240"/>
            </w:pPr>
            <w:r>
              <w:t>Buyer</w:t>
            </w:r>
          </w:p>
        </w:tc>
      </w:tr>
      <w:tr w:rsidR="00012C76" w:rsidTr="426876C5" w14:paraId="4F24D0ED" w14:textId="77777777">
        <w:trPr>
          <w:trHeight w:val="480"/>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4F5C6550" w14:textId="77777777">
            <w:pPr>
              <w:spacing w:before="240"/>
              <w:rPr>
                <w:b/>
              </w:rPr>
            </w:pPr>
            <w:r>
              <w:rPr>
                <w:b/>
              </w:rPr>
              <w:t>Name</w:t>
            </w:r>
          </w:p>
        </w:tc>
        <w:tc>
          <w:tcPr>
            <w:tcW w:w="7080"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tcPr>
          <w:p w:rsidR="2E514D06" w:rsidP="426876C5" w:rsidRDefault="2E514D06" w14:paraId="0E636135" w14:textId="4FDBABB6">
            <w:pPr>
              <w:spacing w:before="240"/>
              <w:jc w:val="center"/>
            </w:pPr>
            <w:r w:rsidR="2E514D06">
              <w:rPr/>
              <w:t>[REDACTED]</w:t>
            </w:r>
          </w:p>
        </w:tc>
      </w:tr>
      <w:tr w:rsidR="00012C76" w:rsidTr="426876C5" w14:paraId="38A7E852" w14:textId="77777777">
        <w:trPr>
          <w:trHeight w:val="480"/>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52700398" w14:textId="77777777">
            <w:pPr>
              <w:spacing w:before="240"/>
              <w:rPr>
                <w:b/>
              </w:rPr>
            </w:pPr>
            <w:r>
              <w:rPr>
                <w:b/>
              </w:rPr>
              <w:t>Title</w:t>
            </w:r>
          </w:p>
        </w:tc>
        <w:tc>
          <w:tcPr>
            <w:tcW w:w="7080" w:type="dxa"/>
            <w:gridSpan w:val="2"/>
            <w:vMerge/>
            <w:tcBorders>
              <w:left w:val="single" w:color="000000" w:themeColor="text1" w:sz="8" w:space="0"/>
              <w:right w:val="single" w:color="000000" w:themeColor="text1" w:sz="8" w:space="0"/>
            </w:tcBorders>
            <w:tcMar>
              <w:top w:w="100" w:type="dxa"/>
              <w:left w:w="100" w:type="dxa"/>
              <w:bottom w:w="100" w:type="dxa"/>
              <w:right w:w="100" w:type="dxa"/>
            </w:tcMar>
          </w:tcPr>
          <w:p w:rsidR="00012C76" w:rsidRDefault="00C26913" w14:paraId="2E46B37D" w14:textId="77777777">
            <w:pPr>
              <w:spacing w:before="240"/>
            </w:pPr>
            <w:r>
              <w:t>Managing Director</w:t>
            </w:r>
          </w:p>
        </w:tc>
      </w:tr>
      <w:tr w:rsidR="00012C76" w:rsidTr="426876C5" w14:paraId="66206849" w14:textId="77777777">
        <w:trPr>
          <w:trHeight w:val="840"/>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2C40DC" w14:paraId="1C886F87" w14:textId="77777777">
            <w:pPr>
              <w:spacing w:before="240"/>
              <w:rPr>
                <w:b/>
              </w:rPr>
            </w:pPr>
            <w:r>
              <w:rPr>
                <w:b/>
              </w:rPr>
              <w:t>Signature</w:t>
            </w:r>
          </w:p>
        </w:tc>
        <w:tc>
          <w:tcPr>
            <w:tcW w:w="7080" w:type="dxa"/>
            <w:gridSpan w:val="2"/>
            <w:vMerge/>
            <w:tcBorders>
              <w:left w:val="single" w:color="000000" w:themeColor="text1" w:sz="8" w:space="0"/>
              <w:right w:val="single" w:color="000000" w:themeColor="text1" w:sz="8" w:space="0"/>
            </w:tcBorders>
            <w:tcMar>
              <w:top w:w="100" w:type="dxa"/>
              <w:left w:w="100" w:type="dxa"/>
              <w:bottom w:w="100" w:type="dxa"/>
              <w:right w:w="100" w:type="dxa"/>
            </w:tcMar>
          </w:tcPr>
          <w:p w:rsidR="00012C76" w:rsidRDefault="00012C76" w14:paraId="392B4A70" w14:textId="77777777"/>
        </w:tc>
      </w:tr>
      <w:tr w:rsidR="00012C76" w:rsidTr="426876C5" w14:paraId="2306D09E" w14:textId="77777777">
        <w:trPr>
          <w:trHeight w:val="480"/>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382483" w14:paraId="044DB355" w14:textId="77777777">
            <w:pPr>
              <w:spacing w:before="240"/>
              <w:rPr>
                <w:b/>
              </w:rPr>
            </w:pPr>
            <w:r>
              <w:rPr>
                <w:b/>
              </w:rPr>
              <w:t>Date</w:t>
            </w:r>
          </w:p>
        </w:tc>
        <w:tc>
          <w:tcPr>
            <w:tcW w:w="7080" w:type="dxa"/>
            <w:gridSpan w:val="2"/>
            <w:vMerge/>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12C76" w:rsidRDefault="00012C76" w14:paraId="33E56C31" w14:textId="77777777">
            <w:pPr>
              <w:spacing w:before="240"/>
            </w:pPr>
          </w:p>
        </w:tc>
      </w:tr>
    </w:tbl>
    <w:p w:rsidR="00012C76" w:rsidRDefault="00382483" w14:paraId="577DFA2A" w14:textId="77777777">
      <w:pPr>
        <w:spacing w:before="240"/>
        <w:rPr>
          <w:b/>
        </w:rPr>
      </w:pPr>
      <w:r>
        <w:rPr>
          <w:b/>
        </w:rPr>
        <w:t xml:space="preserve"> </w:t>
      </w:r>
    </w:p>
    <w:p w:rsidR="00012C76" w:rsidRDefault="00382483" w14:paraId="16F30303" w14:textId="77777777">
      <w:pPr>
        <w:pStyle w:val="Heading2"/>
      </w:pPr>
      <w:bookmarkStart w:name="_Toc33176233" w:id="5"/>
      <w:bookmarkStart w:name="_Toc89701655" w:id="6"/>
      <w:r>
        <w:t>Schedule 1: Services</w:t>
      </w:r>
      <w:bookmarkEnd w:id="5"/>
      <w:bookmarkEnd w:id="6"/>
    </w:p>
    <w:p w:rsidR="00C04681" w:rsidP="00C04681" w:rsidRDefault="00C04681" w14:paraId="1168C91F" w14:textId="77777777">
      <w:pPr>
        <w:suppressAutoHyphens w:val="0"/>
        <w:autoSpaceDN/>
        <w:spacing w:after="160" w:line="259" w:lineRule="auto"/>
        <w:contextualSpacing/>
        <w:textAlignment w:val="auto"/>
        <w:rPr>
          <w:color w:val="263263"/>
        </w:rPr>
      </w:pPr>
    </w:p>
    <w:p w:rsidR="00012C76" w:rsidP="00C04681" w:rsidRDefault="00C26913" w14:paraId="7BF86753" w14:textId="6C9866CB">
      <w:r>
        <w:t>Long Arm</w:t>
      </w:r>
    </w:p>
    <w:p w:rsidR="00E017DF" w:rsidP="00C04681" w:rsidRDefault="00E017DF" w14:paraId="4D42A16C" w14:textId="77777777">
      <w:r>
        <w:t>Reporting Dashboard</w:t>
      </w:r>
    </w:p>
    <w:p w:rsidRPr="00E017DF" w:rsidR="00E017DF" w:rsidP="00C04681" w:rsidRDefault="00E017DF" w14:paraId="103791FE" w14:textId="4BEB9265">
      <w:r>
        <w:t>Reporting User Licence</w:t>
      </w:r>
      <w:r w:rsidR="000F40A6">
        <w:t>s</w:t>
      </w:r>
    </w:p>
    <w:p w:rsidR="00C04681" w:rsidP="00C04681" w:rsidRDefault="00C04681" w14:paraId="3EE86403" w14:textId="77777777">
      <w:pPr>
        <w:suppressAutoHyphens w:val="0"/>
        <w:autoSpaceDN/>
        <w:spacing w:after="160" w:line="259" w:lineRule="auto"/>
        <w:contextualSpacing/>
        <w:textAlignment w:val="auto"/>
      </w:pPr>
      <w:r>
        <w:t>Annual Service Review</w:t>
      </w:r>
      <w:r w:rsidRPr="00C04681">
        <w:t xml:space="preserve"> </w:t>
      </w:r>
    </w:p>
    <w:p w:rsidR="00C04681" w:rsidP="00C04681" w:rsidRDefault="00C04681" w14:paraId="74519D68" w14:textId="726553D7">
      <w:r w:rsidRPr="00C04681">
        <w:t>Audit Log retention – 6</w:t>
      </w:r>
      <w:r w:rsidR="00DE1370">
        <w:t xml:space="preserve"> </w:t>
      </w:r>
      <w:r w:rsidRPr="00C04681">
        <w:t>months</w:t>
      </w:r>
    </w:p>
    <w:p w:rsidRPr="000666BB" w:rsidR="00C04681" w:rsidP="00C04681" w:rsidRDefault="00C04681" w14:paraId="7A108235" w14:textId="77777777">
      <w:pPr>
        <w:suppressAutoHyphens w:val="0"/>
        <w:autoSpaceDN/>
        <w:spacing w:after="160" w:line="259" w:lineRule="auto"/>
        <w:contextualSpacing/>
        <w:textAlignment w:val="auto"/>
        <w:rPr>
          <w:sz w:val="20"/>
        </w:rPr>
      </w:pPr>
      <w:r w:rsidRPr="000666BB">
        <w:rPr>
          <w:sz w:val="20"/>
        </w:rPr>
        <w:t>*A Long Arm® license is a named individual and cannot be shared or used in a concurrent model</w:t>
      </w:r>
    </w:p>
    <w:p w:rsidR="000666BB" w:rsidP="000666BB" w:rsidRDefault="000666BB" w14:paraId="66602CF4" w14:textId="2DF01E6C">
      <w:pPr>
        <w:suppressAutoHyphens w:val="0"/>
        <w:autoSpaceDN/>
        <w:spacing w:after="160" w:line="259" w:lineRule="auto"/>
        <w:contextualSpacing/>
        <w:textAlignment w:val="auto"/>
      </w:pPr>
    </w:p>
    <w:p w:rsidR="000F40A6" w:rsidP="000666BB" w:rsidRDefault="000F40A6" w14:paraId="2C5EAEC3" w14:textId="5168378A">
      <w:pPr>
        <w:suppressAutoHyphens w:val="0"/>
        <w:autoSpaceDN/>
        <w:spacing w:after="160" w:line="259" w:lineRule="auto"/>
        <w:contextualSpacing/>
        <w:textAlignment w:val="auto"/>
      </w:pPr>
      <w:r>
        <w:t xml:space="preserve">See G Cloud Service Offering for further details, accessible at this link: </w:t>
      </w:r>
      <w:r w:rsidRPr="00CC60E3" w:rsidR="00CC60E3">
        <w:t>https://www.digitalmarketplace.service.gov.uk/g-cloud/services/210748352904117</w:t>
      </w:r>
    </w:p>
    <w:p w:rsidR="00012C76" w:rsidRDefault="00382483" w14:paraId="12A976AB" w14:textId="77777777">
      <w:pPr>
        <w:pStyle w:val="Heading2"/>
      </w:pPr>
      <w:bookmarkStart w:name="_Toc33176234" w:id="7"/>
      <w:bookmarkStart w:name="_Toc89701656" w:id="8"/>
      <w:r>
        <w:t>Schedule 2: Call-Off Contract charges</w:t>
      </w:r>
      <w:bookmarkEnd w:id="7"/>
      <w:bookmarkEnd w:id="8"/>
    </w:p>
    <w:p w:rsidR="00012C76" w:rsidRDefault="00382483" w14:paraId="0A3A326D" w14:textId="77777777">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Pr="002D6BCB" w:rsidR="00E017DF" w:rsidP="00E017DF" w:rsidRDefault="00382483" w14:paraId="75AD2AD4" w14:textId="0E3A3AB0">
      <w:pPr>
        <w:spacing w:before="240"/>
        <w:rPr>
          <w:b/>
        </w:rPr>
      </w:pPr>
      <w:r>
        <w:rPr>
          <w:b/>
        </w:rPr>
        <w:t xml:space="preserve"> </w:t>
      </w:r>
      <w:r w:rsidRPr="002D6BCB" w:rsidR="00337974">
        <w:rPr>
          <w:b/>
        </w:rPr>
        <w:t>At Call-Off Contract Start Date:</w:t>
      </w:r>
    </w:p>
    <w:p w:rsidRPr="002D6BCB" w:rsidR="00594C84" w:rsidP="00E017DF" w:rsidRDefault="00E017DF" w14:paraId="0F50FFCE" w14:textId="06D8715D">
      <w:pPr>
        <w:pStyle w:val="ListParagraph"/>
        <w:numPr>
          <w:ilvl w:val="0"/>
          <w:numId w:val="2"/>
        </w:numPr>
      </w:pPr>
      <w:r w:rsidRPr="002D6BCB">
        <w:t xml:space="preserve">Long Arm – </w:t>
      </w:r>
      <w:r w:rsidRPr="002D6BCB" w:rsidR="006F4E44">
        <w:t>30</w:t>
      </w:r>
      <w:r w:rsidRPr="002D6BCB">
        <w:t xml:space="preserve"> users </w:t>
      </w:r>
      <w:r w:rsidRPr="002D6BCB" w:rsidR="002D6BCB">
        <w:t>–</w:t>
      </w:r>
      <w:r w:rsidRPr="002D6BCB">
        <w:t xml:space="preserve"> </w:t>
      </w:r>
      <w:r w:rsidRPr="002D6BCB" w:rsidR="002D6BCB">
        <w:t>[</w:t>
      </w:r>
      <w:r w:rsidRPr="002D6BCB" w:rsidR="002D6BCB">
        <w:rPr>
          <w:b/>
          <w:bCs/>
        </w:rPr>
        <w:t>redacted</w:t>
      </w:r>
      <w:r w:rsidRPr="002D6BCB" w:rsidR="002D6BCB">
        <w:t>]</w:t>
      </w:r>
    </w:p>
    <w:p w:rsidRPr="002D6BCB" w:rsidR="0069607C" w:rsidP="00E017DF" w:rsidRDefault="0069607C" w14:paraId="20513B5C" w14:textId="64949402">
      <w:pPr>
        <w:pStyle w:val="ListParagraph"/>
        <w:numPr>
          <w:ilvl w:val="0"/>
          <w:numId w:val="2"/>
        </w:numPr>
      </w:pPr>
      <w:r w:rsidRPr="002D6BCB">
        <w:t>Training Course for 30 users -</w:t>
      </w:r>
      <w:r w:rsidR="002D6BCB">
        <w:t xml:space="preserve"> </w:t>
      </w:r>
      <w:r w:rsidRPr="002D6BCB" w:rsidR="002D6BCB">
        <w:t>[</w:t>
      </w:r>
      <w:r w:rsidRPr="002D6BCB" w:rsidR="002D6BCB">
        <w:rPr>
          <w:b/>
          <w:bCs/>
        </w:rPr>
        <w:t>redacted</w:t>
      </w:r>
      <w:r w:rsidRPr="002D6BCB" w:rsidR="002D6BCB">
        <w:t>]</w:t>
      </w:r>
    </w:p>
    <w:p w:rsidRPr="002D6BCB" w:rsidR="00E017DF" w:rsidP="00E017DF" w:rsidRDefault="00E017DF" w14:paraId="04549CAC" w14:textId="7A1D3B76">
      <w:pPr>
        <w:pStyle w:val="ListParagraph"/>
        <w:numPr>
          <w:ilvl w:val="0"/>
          <w:numId w:val="2"/>
        </w:numPr>
      </w:pPr>
      <w:r w:rsidRPr="002D6BCB">
        <w:t xml:space="preserve">Reporting Dashboard - </w:t>
      </w:r>
      <w:r w:rsidRPr="002D6BCB" w:rsidR="002D6BCB">
        <w:t>[</w:t>
      </w:r>
      <w:r w:rsidRPr="002D6BCB" w:rsidR="002D6BCB">
        <w:rPr>
          <w:b/>
          <w:bCs/>
        </w:rPr>
        <w:t>redacted</w:t>
      </w:r>
      <w:r w:rsidRPr="002D6BCB" w:rsidR="002D6BCB">
        <w:t>]</w:t>
      </w:r>
    </w:p>
    <w:p w:rsidRPr="002D6BCB" w:rsidR="00E017DF" w:rsidP="00E017DF" w:rsidRDefault="00E017DF" w14:paraId="3D0B1B9F" w14:textId="7F71D61C">
      <w:pPr>
        <w:pStyle w:val="ListParagraph"/>
        <w:numPr>
          <w:ilvl w:val="0"/>
          <w:numId w:val="2"/>
        </w:numPr>
      </w:pPr>
      <w:r w:rsidRPr="002D6BCB">
        <w:t>Reporting User Licence</w:t>
      </w:r>
      <w:r w:rsidRPr="002D6BCB" w:rsidR="00855B82">
        <w:t>s</w:t>
      </w:r>
      <w:r w:rsidRPr="002D6BCB">
        <w:t xml:space="preserve"> – </w:t>
      </w:r>
      <w:r w:rsidRPr="002D6BCB" w:rsidR="002D6BCB">
        <w:t>[</w:t>
      </w:r>
      <w:r w:rsidRPr="002D6BCB" w:rsidR="002D6BCB">
        <w:rPr>
          <w:b/>
          <w:bCs/>
        </w:rPr>
        <w:t>redacted</w:t>
      </w:r>
      <w:r w:rsidRPr="002D6BCB" w:rsidR="002D6BCB">
        <w:t>]</w:t>
      </w:r>
    </w:p>
    <w:p w:rsidR="00E017DF" w:rsidP="00E017DF" w:rsidRDefault="00E017DF" w14:paraId="6E2F71E2" w14:textId="77777777">
      <w:pPr>
        <w:pStyle w:val="ListParagraph"/>
      </w:pPr>
    </w:p>
    <w:p w:rsidRPr="00E017DF" w:rsidR="00E017DF" w:rsidP="00E017DF" w:rsidRDefault="00E017DF" w14:paraId="2D30E41D" w14:textId="5B2B453E">
      <w:pPr>
        <w:pStyle w:val="ListParagraph"/>
        <w:rPr>
          <w:b/>
        </w:rPr>
      </w:pPr>
      <w:r w:rsidRPr="00E017DF">
        <w:rPr>
          <w:b/>
        </w:rPr>
        <w:t>T</w:t>
      </w:r>
      <w:r w:rsidR="00673950">
        <w:rPr>
          <w:b/>
        </w:rPr>
        <w:t>otal</w:t>
      </w:r>
      <w:r w:rsidR="00EC747B">
        <w:rPr>
          <w:b/>
        </w:rPr>
        <w:t xml:space="preserve"> </w:t>
      </w:r>
      <w:r w:rsidR="00337974">
        <w:rPr>
          <w:b/>
        </w:rPr>
        <w:t xml:space="preserve">Initial </w:t>
      </w:r>
      <w:r w:rsidR="005D2A6E">
        <w:rPr>
          <w:b/>
        </w:rPr>
        <w:t>Charges</w:t>
      </w:r>
      <w:r w:rsidRPr="00E017DF">
        <w:rPr>
          <w:b/>
        </w:rPr>
        <w:t xml:space="preserve"> </w:t>
      </w:r>
      <w:r w:rsidRPr="00D666C9">
        <w:rPr>
          <w:b/>
        </w:rPr>
        <w:t>= £</w:t>
      </w:r>
      <w:r w:rsidRPr="00D666C9" w:rsidR="00673950">
        <w:rPr>
          <w:b/>
        </w:rPr>
        <w:t>18,548.63</w:t>
      </w:r>
    </w:p>
    <w:p w:rsidR="00EC747B" w:rsidP="00EC747B" w:rsidRDefault="00EC747B" w14:paraId="7D568FAA" w14:textId="4D134803"/>
    <w:p w:rsidR="00C15E65" w:rsidP="00EC747B" w:rsidRDefault="00EC747B" w14:paraId="5C611C44" w14:textId="77777777">
      <w:pPr>
        <w:suppressAutoHyphens w:val="0"/>
        <w:autoSpaceDN/>
        <w:spacing w:after="160" w:line="259" w:lineRule="auto"/>
        <w:contextualSpacing/>
        <w:textAlignment w:val="auto"/>
      </w:pPr>
      <w:r>
        <w:t xml:space="preserve">The Buyer shall be entitled to request licences for additional users, up to the maximum of </w:t>
      </w:r>
      <w:r w:rsidR="00997D1A">
        <w:t>60</w:t>
      </w:r>
      <w:r>
        <w:t>, at any time during the Contract Term. If this occurs part way through a year, the Supplier shall charge the Buyer a pro-rate amount. For example, if a new user is added six months after the commencement of the Call-Off Contract, the charge for that licence shall be half the annual amount</w:t>
      </w:r>
      <w:r w:rsidR="00E6087C">
        <w:t xml:space="preserve">, which will </w:t>
      </w:r>
      <w:r w:rsidR="00E6087C">
        <w:lastRenderedPageBreak/>
        <w:t>provide that user access until the end of the Contract term</w:t>
      </w:r>
      <w:r>
        <w:t>.</w:t>
      </w:r>
      <w:r w:rsidR="00E6087C">
        <w:t xml:space="preserve"> If the extension option is utilised, </w:t>
      </w:r>
      <w:r w:rsidR="00C15E65">
        <w:t>the annual volume for that 2</w:t>
      </w:r>
      <w:r w:rsidRPr="00D666C9" w:rsidR="00C15E65">
        <w:rPr>
          <w:vertAlign w:val="superscript"/>
        </w:rPr>
        <w:t>nd</w:t>
      </w:r>
      <w:r w:rsidR="00C15E65">
        <w:t xml:space="preserve"> year will be agreed at the same time the required notice is given.</w:t>
      </w:r>
    </w:p>
    <w:p w:rsidR="00C15E65" w:rsidP="00EC747B" w:rsidRDefault="00C15E65" w14:paraId="7C012300" w14:textId="77777777">
      <w:pPr>
        <w:suppressAutoHyphens w:val="0"/>
        <w:autoSpaceDN/>
        <w:spacing w:after="160" w:line="259" w:lineRule="auto"/>
        <w:contextualSpacing/>
        <w:textAlignment w:val="auto"/>
      </w:pPr>
    </w:p>
    <w:p w:rsidR="005D2A6E" w:rsidP="00EC747B" w:rsidRDefault="005D2A6E" w14:paraId="59350F3C" w14:textId="260C4852">
      <w:pPr>
        <w:suppressAutoHyphens w:val="0"/>
        <w:autoSpaceDN/>
        <w:spacing w:after="160" w:line="259" w:lineRule="auto"/>
        <w:contextualSpacing/>
        <w:textAlignment w:val="auto"/>
      </w:pPr>
      <w:r>
        <w:t>The following table sets out the annual cost per user (which varies depending on overall user volume at the time a new user is added</w:t>
      </w:r>
      <w:r w:rsidR="00A644CC">
        <w:t>)</w:t>
      </w:r>
      <w:r>
        <w:t>:</w:t>
      </w:r>
    </w:p>
    <w:p w:rsidR="005D2A6E" w:rsidP="00EC747B" w:rsidRDefault="005D2A6E" w14:paraId="5FB022BB" w14:textId="77777777">
      <w:pPr>
        <w:suppressAutoHyphens w:val="0"/>
        <w:autoSpaceDN/>
        <w:spacing w:after="160" w:line="259" w:lineRule="auto"/>
        <w:contextualSpacing/>
        <w:textAlignment w:val="auto"/>
      </w:pPr>
    </w:p>
    <w:tbl>
      <w:tblPr>
        <w:tblStyle w:val="TableGrid"/>
        <w:tblW w:w="0" w:type="auto"/>
        <w:jc w:val="center"/>
        <w:tblLook w:val="04A0" w:firstRow="1" w:lastRow="0" w:firstColumn="1" w:lastColumn="0" w:noHBand="0" w:noVBand="1"/>
      </w:tblPr>
      <w:tblGrid>
        <w:gridCol w:w="2122"/>
        <w:gridCol w:w="3260"/>
      </w:tblGrid>
      <w:tr w:rsidRPr="00A644CC" w:rsidR="008667C4" w:rsidTr="00D666C9" w14:paraId="145797AC" w14:textId="77777777">
        <w:trPr>
          <w:jc w:val="center"/>
        </w:trPr>
        <w:tc>
          <w:tcPr>
            <w:tcW w:w="2122" w:type="dxa"/>
            <w:shd w:val="clear" w:color="auto" w:fill="B4C6E7" w:themeFill="accent1" w:themeFillTint="66"/>
          </w:tcPr>
          <w:p w:rsidRPr="00D666C9" w:rsidR="008667C4" w:rsidP="00EC747B" w:rsidRDefault="008667C4" w14:paraId="7349BA16" w14:textId="2CB90A34">
            <w:pPr>
              <w:suppressAutoHyphens w:val="0"/>
              <w:autoSpaceDN/>
              <w:spacing w:after="160" w:line="259" w:lineRule="auto"/>
              <w:contextualSpacing/>
              <w:textAlignment w:val="auto"/>
              <w:rPr>
                <w:b/>
                <w:bCs/>
              </w:rPr>
            </w:pPr>
            <w:r w:rsidRPr="00D666C9">
              <w:rPr>
                <w:b/>
                <w:bCs/>
              </w:rPr>
              <w:t>Number of users</w:t>
            </w:r>
          </w:p>
        </w:tc>
        <w:tc>
          <w:tcPr>
            <w:tcW w:w="3260" w:type="dxa"/>
            <w:shd w:val="clear" w:color="auto" w:fill="B4C6E7" w:themeFill="accent1" w:themeFillTint="66"/>
          </w:tcPr>
          <w:p w:rsidRPr="00D666C9" w:rsidR="008667C4" w:rsidP="00EC747B" w:rsidRDefault="00A644CC" w14:paraId="6E74DD38" w14:textId="78F7855A">
            <w:pPr>
              <w:suppressAutoHyphens w:val="0"/>
              <w:autoSpaceDN/>
              <w:spacing w:after="160" w:line="259" w:lineRule="auto"/>
              <w:contextualSpacing/>
              <w:textAlignment w:val="auto"/>
              <w:rPr>
                <w:b/>
                <w:bCs/>
              </w:rPr>
            </w:pPr>
            <w:r w:rsidRPr="00D666C9">
              <w:rPr>
                <w:b/>
                <w:bCs/>
              </w:rPr>
              <w:t xml:space="preserve">Annual Price Per </w:t>
            </w:r>
            <w:r w:rsidR="006D69AF">
              <w:rPr>
                <w:b/>
                <w:bCs/>
              </w:rPr>
              <w:t>u</w:t>
            </w:r>
            <w:r w:rsidRPr="00D666C9">
              <w:rPr>
                <w:b/>
                <w:bCs/>
              </w:rPr>
              <w:t>ser (£, excluding VAT)</w:t>
            </w:r>
          </w:p>
        </w:tc>
      </w:tr>
      <w:tr w:rsidR="008667C4" w:rsidTr="00D666C9" w14:paraId="0117EE2C" w14:textId="77777777">
        <w:trPr>
          <w:jc w:val="center"/>
        </w:trPr>
        <w:tc>
          <w:tcPr>
            <w:tcW w:w="2122" w:type="dxa"/>
          </w:tcPr>
          <w:p w:rsidR="008667C4" w:rsidP="00EC747B" w:rsidRDefault="00A644CC" w14:paraId="7F624B5E" w14:textId="3C65F8B0">
            <w:pPr>
              <w:suppressAutoHyphens w:val="0"/>
              <w:autoSpaceDN/>
              <w:spacing w:after="160" w:line="259" w:lineRule="auto"/>
              <w:contextualSpacing/>
              <w:textAlignment w:val="auto"/>
            </w:pPr>
            <w:r>
              <w:t>0-50</w:t>
            </w:r>
          </w:p>
        </w:tc>
        <w:tc>
          <w:tcPr>
            <w:tcW w:w="3260" w:type="dxa"/>
          </w:tcPr>
          <w:p w:rsidR="00A644CC" w:rsidP="00EC747B" w:rsidRDefault="002D6BCB" w14:paraId="78F24397" w14:textId="641618F1">
            <w:pPr>
              <w:suppressAutoHyphens w:val="0"/>
              <w:autoSpaceDN/>
              <w:spacing w:after="160" w:line="259" w:lineRule="auto"/>
              <w:contextualSpacing/>
              <w:textAlignment w:val="auto"/>
            </w:pPr>
            <w:r w:rsidRPr="002D6BCB">
              <w:t>[</w:t>
            </w:r>
            <w:r w:rsidRPr="002D6BCB">
              <w:rPr>
                <w:b/>
                <w:bCs/>
              </w:rPr>
              <w:t>redacted</w:t>
            </w:r>
            <w:r w:rsidRPr="002D6BCB">
              <w:t>]</w:t>
            </w:r>
          </w:p>
        </w:tc>
      </w:tr>
      <w:tr w:rsidR="00A644CC" w:rsidTr="00D666C9" w14:paraId="08C77F18" w14:textId="77777777">
        <w:trPr>
          <w:jc w:val="center"/>
        </w:trPr>
        <w:tc>
          <w:tcPr>
            <w:tcW w:w="2122" w:type="dxa"/>
          </w:tcPr>
          <w:p w:rsidR="00A644CC" w:rsidP="00EC747B" w:rsidRDefault="00A644CC" w14:paraId="0448580D" w14:textId="2ED17634">
            <w:pPr>
              <w:suppressAutoHyphens w:val="0"/>
              <w:autoSpaceDN/>
              <w:spacing w:after="160" w:line="259" w:lineRule="auto"/>
              <w:contextualSpacing/>
              <w:textAlignment w:val="auto"/>
            </w:pPr>
            <w:r>
              <w:t>50-100</w:t>
            </w:r>
          </w:p>
        </w:tc>
        <w:tc>
          <w:tcPr>
            <w:tcW w:w="3260" w:type="dxa"/>
          </w:tcPr>
          <w:p w:rsidR="00A644CC" w:rsidP="00EC747B" w:rsidRDefault="002D6BCB" w14:paraId="6666974E" w14:textId="3D7BF1F8">
            <w:pPr>
              <w:suppressAutoHyphens w:val="0"/>
              <w:autoSpaceDN/>
              <w:spacing w:after="160" w:line="259" w:lineRule="auto"/>
              <w:contextualSpacing/>
              <w:textAlignment w:val="auto"/>
            </w:pPr>
            <w:r w:rsidRPr="002D6BCB">
              <w:t>[</w:t>
            </w:r>
            <w:r w:rsidRPr="002D6BCB">
              <w:rPr>
                <w:b/>
                <w:bCs/>
              </w:rPr>
              <w:t>redacted</w:t>
            </w:r>
            <w:r w:rsidRPr="002D6BCB">
              <w:t>]</w:t>
            </w:r>
          </w:p>
        </w:tc>
      </w:tr>
    </w:tbl>
    <w:p w:rsidR="00CB5139" w:rsidP="00DE1370" w:rsidRDefault="00CB5139" w14:paraId="2669FFDB" w14:textId="43149E8F">
      <w:pPr>
        <w:suppressAutoHyphens w:val="0"/>
        <w:autoSpaceDN/>
        <w:spacing w:after="160" w:line="259" w:lineRule="auto"/>
        <w:contextualSpacing/>
        <w:textAlignment w:val="auto"/>
      </w:pPr>
    </w:p>
    <w:p w:rsidR="000F40A6" w:rsidP="00DE1370" w:rsidRDefault="000F40A6" w14:paraId="403A922C" w14:textId="2589E236">
      <w:pPr>
        <w:suppressAutoHyphens w:val="0"/>
        <w:autoSpaceDN/>
        <w:spacing w:after="160" w:line="259" w:lineRule="auto"/>
        <w:contextualSpacing/>
        <w:textAlignment w:val="auto"/>
      </w:pPr>
      <w:r w:rsidR="000F40A6">
        <w:rPr/>
        <w:t xml:space="preserve">Each additional user will also require a reporting module, chargeable at </w:t>
      </w:r>
      <w:r w:rsidR="2C3BABCE">
        <w:rPr/>
        <w:t xml:space="preserve">[redacted] </w:t>
      </w:r>
      <w:r w:rsidR="000F40A6">
        <w:rPr/>
        <w:t>excluding VAT per user per year.</w:t>
      </w:r>
    </w:p>
    <w:p w:rsidR="00EC747B" w:rsidP="00D666C9" w:rsidRDefault="00EC747B" w14:paraId="77BE78D2" w14:textId="77777777"/>
    <w:p w:rsidR="00012C76" w:rsidRDefault="00382483" w14:paraId="29C30D7C" w14:textId="77777777">
      <w:pPr>
        <w:pStyle w:val="Heading2"/>
        <w:pageBreakBefore/>
      </w:pPr>
      <w:bookmarkStart w:name="_Toc33176235" w:id="9"/>
      <w:bookmarkStart w:name="_Toc89701657" w:id="10"/>
      <w:r>
        <w:lastRenderedPageBreak/>
        <w:t>Part B: Terms and conditions</w:t>
      </w:r>
      <w:bookmarkEnd w:id="9"/>
      <w:bookmarkEnd w:id="10"/>
    </w:p>
    <w:p w:rsidR="00012C76" w:rsidRDefault="00382483" w14:paraId="3AE91A8D" w14:textId="77777777">
      <w:pPr>
        <w:pStyle w:val="Heading3"/>
        <w:spacing w:before="0" w:after="100"/>
        <w:rPr>
          <w:color w:val="auto"/>
        </w:rPr>
      </w:pPr>
      <w:r>
        <w:rPr>
          <w:color w:val="auto"/>
        </w:rPr>
        <w:t>1.</w:t>
      </w:r>
      <w:r>
        <w:rPr>
          <w:color w:val="auto"/>
        </w:rPr>
        <w:tab/>
      </w:r>
      <w:r>
        <w:rPr>
          <w:color w:val="auto"/>
        </w:rPr>
        <w:t>Call-Off Contract Start date and length</w:t>
      </w:r>
    </w:p>
    <w:p w:rsidR="00012C76" w:rsidRDefault="00382483" w14:paraId="1BAC5829" w14:textId="77777777">
      <w:r>
        <w:t>1.1</w:t>
      </w:r>
      <w:r>
        <w:tab/>
      </w:r>
      <w:r>
        <w:t>The Supplier must start providing the Services on the date specified in the Order Form.</w:t>
      </w:r>
    </w:p>
    <w:p w:rsidR="00012C76" w:rsidRDefault="00012C76" w14:paraId="3DBED491" w14:textId="77777777">
      <w:pPr>
        <w:ind w:firstLine="720"/>
      </w:pPr>
    </w:p>
    <w:p w:rsidR="00012C76" w:rsidRDefault="00382483" w14:paraId="5CED96F1" w14:textId="77777777">
      <w:pPr>
        <w:ind w:left="720" w:hanging="720"/>
      </w:pPr>
      <w:r>
        <w:t>1.2</w:t>
      </w:r>
      <w:r>
        <w:tab/>
      </w:r>
      <w:r>
        <w:t>This Call-Off Contract will expire on the Expiry Date in the Order Form. It will be for up to 24 months from the Start date unless Ended earlier under clause 18 or extended by the Buyer under clause 1.3.</w:t>
      </w:r>
    </w:p>
    <w:p w:rsidR="00012C76" w:rsidRDefault="00012C76" w14:paraId="21C47458" w14:textId="77777777">
      <w:pPr>
        <w:ind w:left="720"/>
      </w:pPr>
    </w:p>
    <w:p w:rsidR="00012C76" w:rsidRDefault="00382483" w14:paraId="08B010D0" w14:textId="77777777">
      <w:pPr>
        <w:ind w:left="720" w:hanging="720"/>
      </w:pPr>
      <w:r>
        <w:t>1.3</w:t>
      </w:r>
      <w:r>
        <w:tab/>
      </w:r>
      <w:r>
        <w:t>The Buyer can extend this Call-Off Contract, with written notice to the Supplier, by the period in the Order Form, provided that this is within the maximum permitted under the Framework Agreement of 2 periods of up to 12 months each.</w:t>
      </w:r>
    </w:p>
    <w:p w:rsidR="00012C76" w:rsidRDefault="00012C76" w14:paraId="6581C1EB" w14:textId="77777777">
      <w:pPr>
        <w:ind w:left="720"/>
      </w:pPr>
    </w:p>
    <w:p w:rsidR="00012C76" w:rsidRDefault="00382483" w14:paraId="3DF943B7" w14:textId="77777777">
      <w:pPr>
        <w:ind w:left="720" w:hanging="720"/>
      </w:pPr>
      <w:r>
        <w:t>1.4</w:t>
      </w:r>
      <w:r>
        <w:tab/>
      </w:r>
      <w:r>
        <w:t>The Parties must comply with the requirements under clauses 21.3 to 21.8 if the Buyer reserves the right in the Order Form to extend the contract beyond 24 months.</w:t>
      </w:r>
    </w:p>
    <w:p w:rsidR="00012C76" w:rsidRDefault="00012C76" w14:paraId="1EA79A2D" w14:textId="77777777">
      <w:pPr>
        <w:spacing w:before="240" w:after="240"/>
      </w:pPr>
    </w:p>
    <w:p w:rsidR="00012C76" w:rsidRDefault="00382483" w14:paraId="1ED269E5" w14:textId="77777777">
      <w:pPr>
        <w:pStyle w:val="Heading3"/>
        <w:spacing w:before="0" w:after="100"/>
        <w:rPr>
          <w:color w:val="auto"/>
        </w:rPr>
      </w:pPr>
      <w:r>
        <w:rPr>
          <w:color w:val="auto"/>
        </w:rPr>
        <w:t>2.</w:t>
      </w:r>
      <w:r>
        <w:rPr>
          <w:color w:val="auto"/>
        </w:rPr>
        <w:tab/>
      </w:r>
      <w:r>
        <w:rPr>
          <w:color w:val="auto"/>
        </w:rPr>
        <w:t>Incorporation of terms</w:t>
      </w:r>
    </w:p>
    <w:p w:rsidR="00012C76" w:rsidRDefault="00382483" w14:paraId="09353CDA" w14:textId="77777777">
      <w:pPr>
        <w:spacing w:after="240"/>
        <w:ind w:left="720" w:hanging="720"/>
      </w:pPr>
      <w:r>
        <w:t>2.1</w:t>
      </w:r>
      <w:r>
        <w:tab/>
      </w:r>
      <w:r>
        <w:t>The following Framework Agreement clauses (including clauses and defined terms referenced by them) as modified under clause 2.2 are incorporated as separate Call-Off Contract obligations and apply between the Supplier and the Buyer:</w:t>
      </w:r>
    </w:p>
    <w:p w:rsidR="00012C76" w:rsidRDefault="00382483" w14:paraId="5A6C35AF" w14:textId="77777777">
      <w:pPr>
        <w:pStyle w:val="ListParagraph"/>
        <w:numPr>
          <w:ilvl w:val="0"/>
          <w:numId w:val="9"/>
        </w:numPr>
      </w:pPr>
      <w:r>
        <w:rPr>
          <w:sz w:val="14"/>
          <w:szCs w:val="14"/>
        </w:rPr>
        <w:t xml:space="preserve"> </w:t>
      </w:r>
      <w:r>
        <w:t>4.1 (Warranties and representations)</w:t>
      </w:r>
    </w:p>
    <w:p w:rsidR="00012C76" w:rsidRDefault="00382483" w14:paraId="04546726" w14:textId="77777777">
      <w:pPr>
        <w:pStyle w:val="ListParagraph"/>
        <w:numPr>
          <w:ilvl w:val="0"/>
          <w:numId w:val="9"/>
        </w:numPr>
      </w:pPr>
      <w:r>
        <w:t>4.2 to 4.7 (Liability)</w:t>
      </w:r>
    </w:p>
    <w:p w:rsidR="00012C76" w:rsidRDefault="00382483" w14:paraId="3505D7D9" w14:textId="77777777">
      <w:pPr>
        <w:pStyle w:val="ListParagraph"/>
        <w:numPr>
          <w:ilvl w:val="0"/>
          <w:numId w:val="9"/>
        </w:numPr>
      </w:pPr>
      <w:r>
        <w:t>4.11 to 4.12 (IR35)</w:t>
      </w:r>
    </w:p>
    <w:p w:rsidR="00012C76" w:rsidRDefault="00382483" w14:paraId="3C367EC4" w14:textId="77777777">
      <w:pPr>
        <w:pStyle w:val="ListParagraph"/>
        <w:numPr>
          <w:ilvl w:val="0"/>
          <w:numId w:val="9"/>
        </w:numPr>
      </w:pPr>
      <w:r>
        <w:t>5.4 to 5.5 (Force majeure)</w:t>
      </w:r>
    </w:p>
    <w:p w:rsidR="00012C76" w:rsidRDefault="00382483" w14:paraId="11AA045D" w14:textId="77777777">
      <w:pPr>
        <w:pStyle w:val="ListParagraph"/>
        <w:numPr>
          <w:ilvl w:val="0"/>
          <w:numId w:val="9"/>
        </w:numPr>
      </w:pPr>
      <w:r>
        <w:t>5.8 (Continuing rights)</w:t>
      </w:r>
    </w:p>
    <w:p w:rsidR="00012C76" w:rsidRDefault="00382483" w14:paraId="4276317C" w14:textId="77777777">
      <w:pPr>
        <w:pStyle w:val="ListParagraph"/>
        <w:numPr>
          <w:ilvl w:val="0"/>
          <w:numId w:val="9"/>
        </w:numPr>
      </w:pPr>
      <w:r>
        <w:t>5.9 to 5.11 (Change of control)</w:t>
      </w:r>
    </w:p>
    <w:p w:rsidR="00012C76" w:rsidRDefault="00382483" w14:paraId="4B5549BF" w14:textId="77777777">
      <w:pPr>
        <w:pStyle w:val="ListParagraph"/>
        <w:numPr>
          <w:ilvl w:val="0"/>
          <w:numId w:val="9"/>
        </w:numPr>
      </w:pPr>
      <w:r>
        <w:t>5.12 (Fraud)</w:t>
      </w:r>
    </w:p>
    <w:p w:rsidR="00012C76" w:rsidRDefault="00382483" w14:paraId="21FB0D37" w14:textId="77777777">
      <w:pPr>
        <w:pStyle w:val="ListParagraph"/>
        <w:numPr>
          <w:ilvl w:val="0"/>
          <w:numId w:val="9"/>
        </w:numPr>
      </w:pPr>
      <w:r>
        <w:t>5.13 (Notice of fraud)</w:t>
      </w:r>
    </w:p>
    <w:p w:rsidR="00012C76" w:rsidRDefault="00382483" w14:paraId="3736AEE1" w14:textId="77777777">
      <w:pPr>
        <w:pStyle w:val="ListParagraph"/>
        <w:numPr>
          <w:ilvl w:val="0"/>
          <w:numId w:val="9"/>
        </w:numPr>
      </w:pPr>
      <w:r>
        <w:t>7.1 to 7.2 (Transparency)</w:t>
      </w:r>
    </w:p>
    <w:p w:rsidR="00012C76" w:rsidRDefault="00382483" w14:paraId="47DFB48C" w14:textId="77777777">
      <w:pPr>
        <w:pStyle w:val="ListParagraph"/>
        <w:numPr>
          <w:ilvl w:val="0"/>
          <w:numId w:val="9"/>
        </w:numPr>
      </w:pPr>
      <w:r>
        <w:t>8.3 (Order of precedence)</w:t>
      </w:r>
    </w:p>
    <w:p w:rsidR="00012C76" w:rsidRDefault="00382483" w14:paraId="6C1E2B49" w14:textId="77777777">
      <w:pPr>
        <w:pStyle w:val="ListParagraph"/>
        <w:numPr>
          <w:ilvl w:val="0"/>
          <w:numId w:val="9"/>
        </w:numPr>
      </w:pPr>
      <w:r>
        <w:t>8.6 (Relationship)</w:t>
      </w:r>
    </w:p>
    <w:p w:rsidR="00012C76" w:rsidRDefault="00382483" w14:paraId="5C6F73D9" w14:textId="77777777">
      <w:pPr>
        <w:pStyle w:val="ListParagraph"/>
        <w:numPr>
          <w:ilvl w:val="0"/>
          <w:numId w:val="9"/>
        </w:numPr>
      </w:pPr>
      <w:r>
        <w:t>8.9 to 8.11 (Entire agreement)</w:t>
      </w:r>
    </w:p>
    <w:p w:rsidR="00012C76" w:rsidRDefault="00382483" w14:paraId="3ABC2E10" w14:textId="77777777">
      <w:pPr>
        <w:pStyle w:val="ListParagraph"/>
        <w:numPr>
          <w:ilvl w:val="0"/>
          <w:numId w:val="9"/>
        </w:numPr>
      </w:pPr>
      <w:r>
        <w:t>8.12 (Law and jurisdiction)</w:t>
      </w:r>
    </w:p>
    <w:p w:rsidR="00012C76" w:rsidRDefault="00382483" w14:paraId="603FFAAC" w14:textId="77777777">
      <w:pPr>
        <w:pStyle w:val="ListParagraph"/>
        <w:numPr>
          <w:ilvl w:val="0"/>
          <w:numId w:val="9"/>
        </w:numPr>
      </w:pPr>
      <w:r>
        <w:t>8.13 to 8.14 (Legislative change)</w:t>
      </w:r>
    </w:p>
    <w:p w:rsidR="00012C76" w:rsidRDefault="00382483" w14:paraId="118070AE" w14:textId="77777777">
      <w:pPr>
        <w:pStyle w:val="ListParagraph"/>
        <w:numPr>
          <w:ilvl w:val="0"/>
          <w:numId w:val="9"/>
        </w:numPr>
      </w:pPr>
      <w:r>
        <w:t>8.15 to 8.19 (Bribery and corruption)</w:t>
      </w:r>
    </w:p>
    <w:p w:rsidR="00012C76" w:rsidRDefault="00382483" w14:paraId="076F6EAC" w14:textId="77777777">
      <w:pPr>
        <w:pStyle w:val="ListParagraph"/>
        <w:numPr>
          <w:ilvl w:val="0"/>
          <w:numId w:val="9"/>
        </w:numPr>
      </w:pPr>
      <w:r>
        <w:t>8.20 to 8.29 (Freedom of Information Act)</w:t>
      </w:r>
    </w:p>
    <w:p w:rsidR="00012C76" w:rsidRDefault="00382483" w14:paraId="58F57D72" w14:textId="77777777">
      <w:pPr>
        <w:pStyle w:val="ListParagraph"/>
        <w:numPr>
          <w:ilvl w:val="0"/>
          <w:numId w:val="9"/>
        </w:numPr>
      </w:pPr>
      <w:r>
        <w:t>8.30 to 8.31 (Promoting tax compliance)</w:t>
      </w:r>
    </w:p>
    <w:p w:rsidR="00012C76" w:rsidRDefault="00382483" w14:paraId="5CDA6AC2" w14:textId="77777777">
      <w:pPr>
        <w:pStyle w:val="ListParagraph"/>
        <w:numPr>
          <w:ilvl w:val="0"/>
          <w:numId w:val="9"/>
        </w:numPr>
      </w:pPr>
      <w:r>
        <w:t>8.32 to 8.33 (Official Secrets Act)</w:t>
      </w:r>
    </w:p>
    <w:p w:rsidR="00012C76" w:rsidRDefault="00382483" w14:paraId="423E8758" w14:textId="77777777">
      <w:pPr>
        <w:pStyle w:val="ListParagraph"/>
        <w:numPr>
          <w:ilvl w:val="0"/>
          <w:numId w:val="9"/>
        </w:numPr>
      </w:pPr>
      <w:r>
        <w:t>8.34 to 8.37 (Transfer and subcontracting)</w:t>
      </w:r>
    </w:p>
    <w:p w:rsidR="00012C76" w:rsidRDefault="00382483" w14:paraId="73DAFFE6" w14:textId="77777777">
      <w:pPr>
        <w:pStyle w:val="ListParagraph"/>
        <w:numPr>
          <w:ilvl w:val="0"/>
          <w:numId w:val="9"/>
        </w:numPr>
      </w:pPr>
      <w:r>
        <w:t>8.40 to 8.43 (Complaints handling and resolution)</w:t>
      </w:r>
    </w:p>
    <w:p w:rsidR="00012C76" w:rsidRDefault="00382483" w14:paraId="33981EF4" w14:textId="77777777">
      <w:pPr>
        <w:pStyle w:val="ListParagraph"/>
        <w:numPr>
          <w:ilvl w:val="0"/>
          <w:numId w:val="9"/>
        </w:numPr>
      </w:pPr>
      <w:r>
        <w:t>8.44 to 8.50 (Conflicts of interest and ethical walls)</w:t>
      </w:r>
    </w:p>
    <w:p w:rsidR="00012C76" w:rsidRDefault="00382483" w14:paraId="6DE84EFB" w14:textId="77777777">
      <w:pPr>
        <w:pStyle w:val="ListParagraph"/>
        <w:numPr>
          <w:ilvl w:val="0"/>
          <w:numId w:val="9"/>
        </w:numPr>
      </w:pPr>
      <w:r>
        <w:t>8.51 to 8.53 (Publicity and branding)</w:t>
      </w:r>
    </w:p>
    <w:p w:rsidR="00012C76" w:rsidRDefault="00382483" w14:paraId="042AD2F2" w14:textId="77777777">
      <w:pPr>
        <w:pStyle w:val="ListParagraph"/>
        <w:numPr>
          <w:ilvl w:val="0"/>
          <w:numId w:val="9"/>
        </w:numPr>
      </w:pPr>
      <w:r>
        <w:t>8.54 to 8.56 (Equality and diversity)</w:t>
      </w:r>
    </w:p>
    <w:p w:rsidR="00012C76" w:rsidRDefault="00382483" w14:paraId="79EB46C8" w14:textId="77777777">
      <w:pPr>
        <w:pStyle w:val="ListParagraph"/>
        <w:numPr>
          <w:ilvl w:val="0"/>
          <w:numId w:val="9"/>
        </w:numPr>
      </w:pPr>
      <w:r>
        <w:t>8.59 to 8.60 (Data protection</w:t>
      </w:r>
    </w:p>
    <w:p w:rsidR="00012C76" w:rsidRDefault="00382483" w14:paraId="520761B0" w14:textId="77777777">
      <w:pPr>
        <w:pStyle w:val="ListParagraph"/>
        <w:numPr>
          <w:ilvl w:val="0"/>
          <w:numId w:val="9"/>
        </w:numPr>
      </w:pPr>
      <w:r>
        <w:t>8.64 to 8.65 (Severability)</w:t>
      </w:r>
    </w:p>
    <w:p w:rsidR="00012C76" w:rsidRDefault="00382483" w14:paraId="003B80AC" w14:textId="77777777">
      <w:pPr>
        <w:pStyle w:val="ListParagraph"/>
        <w:numPr>
          <w:ilvl w:val="0"/>
          <w:numId w:val="9"/>
        </w:numPr>
      </w:pPr>
      <w:r>
        <w:t>8.66 to 8.69 (Managing disputes and Mediation)</w:t>
      </w:r>
    </w:p>
    <w:p w:rsidR="00012C76" w:rsidRDefault="00382483" w14:paraId="05C3F0E6" w14:textId="77777777">
      <w:pPr>
        <w:pStyle w:val="ListParagraph"/>
        <w:numPr>
          <w:ilvl w:val="0"/>
          <w:numId w:val="9"/>
        </w:numPr>
      </w:pPr>
      <w:r>
        <w:lastRenderedPageBreak/>
        <w:t>8.80 to 8.88 (Confidentiality)</w:t>
      </w:r>
    </w:p>
    <w:p w:rsidR="00012C76" w:rsidRDefault="00382483" w14:paraId="48FD53B0" w14:textId="77777777">
      <w:pPr>
        <w:pStyle w:val="ListParagraph"/>
        <w:numPr>
          <w:ilvl w:val="0"/>
          <w:numId w:val="9"/>
        </w:numPr>
      </w:pPr>
      <w:r>
        <w:t>8.89 to 8.90 (Waiver and cumulative remedies)</w:t>
      </w:r>
    </w:p>
    <w:p w:rsidR="00012C76" w:rsidRDefault="00382483" w14:paraId="39806EA0" w14:textId="77777777">
      <w:pPr>
        <w:pStyle w:val="ListParagraph"/>
        <w:numPr>
          <w:ilvl w:val="0"/>
          <w:numId w:val="9"/>
        </w:numPr>
      </w:pPr>
      <w:r>
        <w:t>8.91 to 8.101 (Corporate Social Responsibility)</w:t>
      </w:r>
    </w:p>
    <w:p w:rsidR="00012C76" w:rsidRDefault="00382483" w14:paraId="0F20C21A" w14:textId="77777777">
      <w:pPr>
        <w:pStyle w:val="ListParagraph"/>
        <w:numPr>
          <w:ilvl w:val="0"/>
          <w:numId w:val="9"/>
        </w:numPr>
      </w:pPr>
      <w:r>
        <w:t>paragraphs 1 to 10 of the Framework Agreement glossary and interpretation</w:t>
      </w:r>
    </w:p>
    <w:p w:rsidR="00012C76" w:rsidRDefault="00382483" w14:paraId="76C307FA" w14:textId="77777777">
      <w:pPr>
        <w:pStyle w:val="ListParagraph"/>
        <w:numPr>
          <w:ilvl w:val="0"/>
          <w:numId w:val="10"/>
        </w:numPr>
      </w:pPr>
      <w:r>
        <w:t>any audit provisions from the Framework Agreement set out by the Buyer in the Order Form</w:t>
      </w:r>
    </w:p>
    <w:p w:rsidR="00012C76" w:rsidRDefault="00382483" w14:paraId="33160C4A" w14:textId="77777777">
      <w:pPr>
        <w:ind w:left="720"/>
      </w:pPr>
      <w:r>
        <w:t xml:space="preserve"> </w:t>
      </w:r>
    </w:p>
    <w:p w:rsidR="00012C76" w:rsidRDefault="00382483" w14:paraId="6FE24022" w14:textId="77777777">
      <w:pPr>
        <w:spacing w:after="240"/>
      </w:pPr>
      <w:r>
        <w:t>2.2</w:t>
      </w:r>
      <w:r>
        <w:tab/>
      </w:r>
      <w:r>
        <w:t>The Framework Agreement provisions in clause 2.1 will be modified as follows:</w:t>
      </w:r>
    </w:p>
    <w:p w:rsidR="00012C76" w:rsidRDefault="00382483" w14:paraId="55C33C9B" w14:textId="77777777">
      <w:pPr>
        <w:ind w:left="1440" w:hanging="720"/>
      </w:pPr>
      <w:r>
        <w:t>2.2.1</w:t>
      </w:r>
      <w:r>
        <w:tab/>
      </w:r>
      <w:r>
        <w:t>a reference to the ‘Framework Agreement’ will be a reference to the ‘Call-Off Contract’</w:t>
      </w:r>
    </w:p>
    <w:p w:rsidR="00012C76" w:rsidRDefault="00382483" w14:paraId="3DF8E1A6" w14:textId="77777777">
      <w:pPr>
        <w:ind w:firstLine="720"/>
      </w:pPr>
      <w:r>
        <w:t>2.2.2</w:t>
      </w:r>
      <w:r>
        <w:tab/>
      </w:r>
      <w:r>
        <w:t>a reference to ‘CCS’ will be a reference to ‘the Buyer’</w:t>
      </w:r>
    </w:p>
    <w:p w:rsidR="00012C76" w:rsidRDefault="00382483" w14:paraId="0FF560E5" w14:textId="77777777">
      <w:pPr>
        <w:ind w:left="1440" w:hanging="720"/>
      </w:pPr>
      <w:r>
        <w:t>2.2.3</w:t>
      </w:r>
      <w:r>
        <w:tab/>
      </w:r>
      <w:r>
        <w:t>a reference to the ‘Parties’ and a ‘Party’ will be a reference to the Buyer and Supplier as Parties under this Call-Off Contract</w:t>
      </w:r>
    </w:p>
    <w:p w:rsidR="00012C76" w:rsidRDefault="00012C76" w14:paraId="5392DE86" w14:textId="77777777"/>
    <w:p w:rsidR="00012C76" w:rsidRDefault="00382483" w14:paraId="446F9066" w14:textId="77777777">
      <w:pPr>
        <w:ind w:left="720" w:hanging="720"/>
      </w:pPr>
      <w:r>
        <w:t>2.3</w:t>
      </w:r>
      <w:r>
        <w:tab/>
      </w:r>
      <w: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12C76" w:rsidRDefault="00012C76" w14:paraId="07036B1B" w14:textId="77777777">
      <w:pPr>
        <w:ind w:left="720"/>
      </w:pPr>
    </w:p>
    <w:p w:rsidR="00012C76" w:rsidRDefault="00382483" w14:paraId="29309A51" w14:textId="77777777">
      <w:pPr>
        <w:ind w:left="720" w:hanging="720"/>
      </w:pPr>
      <w:r>
        <w:t>2.4</w:t>
      </w:r>
      <w:r>
        <w:tab/>
      </w:r>
      <w:r>
        <w:t>The Framework Agreement incorporated clauses will be referred to as incorporated Framework clause ‘XX’, where ‘XX’ is the Framework Agreement clause number.</w:t>
      </w:r>
    </w:p>
    <w:p w:rsidR="00012C76" w:rsidRDefault="00012C76" w14:paraId="489CCF0C" w14:textId="77777777">
      <w:pPr>
        <w:ind w:firstLine="720"/>
      </w:pPr>
    </w:p>
    <w:p w:rsidR="00012C76" w:rsidRDefault="00382483" w14:paraId="42BFCCFC" w14:textId="77777777">
      <w:pPr>
        <w:ind w:left="720" w:hanging="720"/>
      </w:pPr>
      <w:r>
        <w:t>2.5</w:t>
      </w:r>
      <w:r>
        <w:tab/>
      </w:r>
      <w:r>
        <w:t>When an Order Form is signed, the terms and conditions agreed in it will be incorporated into this Call-Off Contract.</w:t>
      </w:r>
    </w:p>
    <w:p w:rsidR="00012C76" w:rsidRDefault="00012C76" w14:paraId="5327C047" w14:textId="77777777"/>
    <w:p w:rsidR="00012C76" w:rsidRDefault="00382483" w14:paraId="370850BD" w14:textId="77777777">
      <w:pPr>
        <w:pStyle w:val="Heading3"/>
        <w:spacing w:before="0" w:after="100"/>
        <w:rPr>
          <w:color w:val="auto"/>
        </w:rPr>
      </w:pPr>
      <w:r>
        <w:rPr>
          <w:color w:val="auto"/>
        </w:rPr>
        <w:t>3.</w:t>
      </w:r>
      <w:r>
        <w:rPr>
          <w:color w:val="auto"/>
        </w:rPr>
        <w:tab/>
      </w:r>
      <w:r>
        <w:rPr>
          <w:color w:val="auto"/>
        </w:rPr>
        <w:t>Supply of services</w:t>
      </w:r>
    </w:p>
    <w:p w:rsidR="00012C76" w:rsidRDefault="00382483" w14:paraId="550E408B" w14:textId="77777777">
      <w:pPr>
        <w:spacing w:before="240" w:after="240"/>
        <w:ind w:left="720" w:hanging="720"/>
      </w:pPr>
      <w:r>
        <w:t>3.1</w:t>
      </w:r>
      <w:r>
        <w:tab/>
      </w:r>
      <w:r>
        <w:t>The Supplier agrees to supply the G-Cloud Services and any Additional Services under the terms of the Call-Off Contract and the Supplier’s Application.</w:t>
      </w:r>
    </w:p>
    <w:p w:rsidR="00012C76" w:rsidRDefault="00382483" w14:paraId="1ECF0531" w14:textId="77777777">
      <w:pPr>
        <w:ind w:left="720" w:hanging="720"/>
      </w:pPr>
      <w:r>
        <w:t>3.2</w:t>
      </w:r>
      <w:r>
        <w:tab/>
      </w:r>
      <w:r>
        <w:t>The Supplier undertakes that each G-Cloud Service will meet the Buyer’s acceptance criteria, as defined in the Order Form.</w:t>
      </w:r>
    </w:p>
    <w:p w:rsidR="00012C76" w:rsidRDefault="00012C76" w14:paraId="0706E379" w14:textId="77777777"/>
    <w:p w:rsidR="00012C76" w:rsidRDefault="00382483" w14:paraId="2E51550D" w14:textId="77777777">
      <w:pPr>
        <w:pStyle w:val="Heading3"/>
        <w:spacing w:before="0" w:after="100"/>
        <w:rPr>
          <w:color w:val="auto"/>
        </w:rPr>
      </w:pPr>
      <w:r>
        <w:rPr>
          <w:color w:val="auto"/>
        </w:rPr>
        <w:t>4.</w:t>
      </w:r>
      <w:r>
        <w:rPr>
          <w:color w:val="auto"/>
        </w:rPr>
        <w:tab/>
      </w:r>
      <w:r>
        <w:rPr>
          <w:color w:val="auto"/>
        </w:rPr>
        <w:t>Supplier staff</w:t>
      </w:r>
    </w:p>
    <w:p w:rsidR="00012C76" w:rsidRDefault="00382483" w14:paraId="0138A121" w14:textId="77777777">
      <w:pPr>
        <w:spacing w:before="240" w:after="240"/>
      </w:pPr>
      <w:r>
        <w:t>4.1</w:t>
      </w:r>
      <w:r>
        <w:tab/>
      </w:r>
      <w:r>
        <w:t>The Supplier Staff must:</w:t>
      </w:r>
    </w:p>
    <w:p w:rsidR="00012C76" w:rsidRDefault="00382483" w14:paraId="748A1473" w14:textId="77777777">
      <w:pPr>
        <w:ind w:firstLine="720"/>
      </w:pPr>
      <w:r>
        <w:t>4.1.1</w:t>
      </w:r>
      <w:r>
        <w:tab/>
      </w:r>
      <w:r>
        <w:t>be appropriately experienced, qualified and trained to supply the Services</w:t>
      </w:r>
    </w:p>
    <w:p w:rsidR="00012C76" w:rsidRDefault="00012C76" w14:paraId="703F7916" w14:textId="77777777"/>
    <w:p w:rsidR="00012C76" w:rsidRDefault="00382483" w14:paraId="4E15295E" w14:textId="77777777">
      <w:pPr>
        <w:ind w:firstLine="720"/>
      </w:pPr>
      <w:r>
        <w:t>4.1.2</w:t>
      </w:r>
      <w:r>
        <w:tab/>
      </w:r>
      <w:r>
        <w:t>apply all due skill, care and diligence in faithfully performing those duties</w:t>
      </w:r>
    </w:p>
    <w:p w:rsidR="00012C76" w:rsidRDefault="00012C76" w14:paraId="1CE0D60A" w14:textId="77777777"/>
    <w:p w:rsidR="00012C76" w:rsidRDefault="00382483" w14:paraId="787FFDC5" w14:textId="77777777">
      <w:pPr>
        <w:ind w:left="720"/>
      </w:pPr>
      <w:r>
        <w:t>4.1.3</w:t>
      </w:r>
      <w:r>
        <w:tab/>
      </w:r>
      <w:r>
        <w:t>obey all lawful instructions and reasonable directions of the Buyer and provide the Services to the reasonable satisfaction of the Buyer</w:t>
      </w:r>
    </w:p>
    <w:p w:rsidR="00012C76" w:rsidRDefault="00012C76" w14:paraId="61375AFC" w14:textId="77777777"/>
    <w:p w:rsidR="00012C76" w:rsidRDefault="00382483" w14:paraId="23AA6F75" w14:textId="77777777">
      <w:pPr>
        <w:ind w:firstLine="720"/>
      </w:pPr>
      <w:r>
        <w:t>4.1.4</w:t>
      </w:r>
      <w:r>
        <w:tab/>
      </w:r>
      <w:r>
        <w:t>respond to any enquiries about the Services as soon as reasonably possible</w:t>
      </w:r>
    </w:p>
    <w:p w:rsidR="00012C76" w:rsidRDefault="00012C76" w14:paraId="5C82A349" w14:textId="77777777"/>
    <w:p w:rsidR="00012C76" w:rsidRDefault="00382483" w14:paraId="1ABF01D0" w14:textId="77777777">
      <w:pPr>
        <w:ind w:firstLine="720"/>
      </w:pPr>
      <w:r>
        <w:t>4.1.5</w:t>
      </w:r>
      <w:r>
        <w:tab/>
      </w:r>
      <w:r>
        <w:t>complete any necessary Supplier Staff vetting as specified by the Buyer</w:t>
      </w:r>
    </w:p>
    <w:p w:rsidR="00012C76" w:rsidRDefault="00012C76" w14:paraId="2CB53752" w14:textId="77777777"/>
    <w:p w:rsidR="00012C76" w:rsidRDefault="00382483" w14:paraId="3F180574" w14:textId="77777777">
      <w:pPr>
        <w:ind w:left="720" w:hanging="720"/>
      </w:pPr>
      <w:r>
        <w:t>4.2</w:t>
      </w:r>
      <w:r>
        <w:tab/>
      </w:r>
      <w:r>
        <w:t>The Supplier must retain overall control of the Supplier Staff so that they are not considered to be employees, workers, agents or contractors of the Buyer.</w:t>
      </w:r>
    </w:p>
    <w:p w:rsidR="00012C76" w:rsidRDefault="00012C76" w14:paraId="1796039E" w14:textId="77777777">
      <w:pPr>
        <w:ind w:firstLine="720"/>
      </w:pPr>
    </w:p>
    <w:p w:rsidR="00012C76" w:rsidRDefault="00382483" w14:paraId="71157B05" w14:textId="77777777">
      <w:pPr>
        <w:ind w:left="720" w:hanging="720"/>
      </w:pPr>
      <w:r>
        <w:t>4.3</w:t>
      </w:r>
      <w:r>
        <w:tab/>
      </w:r>
      <w:r>
        <w:t>The Supplier may substitute any Supplier Staff as long as they have the equivalent experience and qualifications to the substituted staff member.</w:t>
      </w:r>
    </w:p>
    <w:p w:rsidR="00012C76" w:rsidRDefault="00012C76" w14:paraId="601D589D" w14:textId="77777777">
      <w:pPr>
        <w:ind w:firstLine="720"/>
      </w:pPr>
    </w:p>
    <w:p w:rsidR="00012C76" w:rsidRDefault="00382483" w14:paraId="60DD6B28" w14:textId="77777777">
      <w:pPr>
        <w:ind w:left="720" w:hanging="720"/>
      </w:pPr>
      <w:r>
        <w:t>4.4</w:t>
      </w:r>
      <w:r>
        <w:tab/>
      </w:r>
      <w:r>
        <w:t>The Buyer may conduct IR35 Assessments using the ESI tool to assess whether the Supplier’s engagement under the Call-Off Contract is Inside or Outside IR35.</w:t>
      </w:r>
    </w:p>
    <w:p w:rsidR="00012C76" w:rsidRDefault="00012C76" w14:paraId="2964BB7E" w14:textId="77777777">
      <w:pPr>
        <w:ind w:firstLine="720"/>
      </w:pPr>
    </w:p>
    <w:p w:rsidR="00012C76" w:rsidRDefault="00382483" w14:paraId="1879A213" w14:textId="77777777">
      <w:pPr>
        <w:ind w:left="720" w:hanging="720"/>
      </w:pPr>
      <w:r>
        <w:t>4.5</w:t>
      </w:r>
      <w:r>
        <w:tab/>
      </w:r>
      <w:r>
        <w:t>The Buyer may End this Call-Off Contract for Material Breach as per clause 18.5 hereunder if the Supplier is delivering the Services Inside IR35.</w:t>
      </w:r>
    </w:p>
    <w:p w:rsidR="00012C76" w:rsidRDefault="00012C76" w14:paraId="0D4B6974" w14:textId="77777777">
      <w:pPr>
        <w:ind w:firstLine="720"/>
      </w:pPr>
    </w:p>
    <w:p w:rsidR="00012C76" w:rsidRDefault="00382483" w14:paraId="2119439C" w14:textId="77777777">
      <w:pPr>
        <w:ind w:left="720" w:hanging="720"/>
      </w:pPr>
      <w:r>
        <w:t>4.6</w:t>
      </w:r>
      <w:r>
        <w:tab/>
      </w:r>
      <w: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12C76" w:rsidRDefault="00012C76" w14:paraId="6143818D" w14:textId="77777777">
      <w:pPr>
        <w:ind w:left="720"/>
      </w:pPr>
    </w:p>
    <w:p w:rsidR="00012C76" w:rsidRDefault="00382483" w14:paraId="75CDDBCE" w14:textId="77777777">
      <w:pPr>
        <w:ind w:left="720" w:hanging="720"/>
      </w:pPr>
      <w:r>
        <w:t>4.7</w:t>
      </w:r>
      <w:r>
        <w:tab/>
      </w:r>
      <w:r>
        <w:t>If the Indicative Test indicates the delivery of the Services could potentially be Inside IR35, the Supplier must provide the Buyer with all relevant information needed to enable the Buyer to conduct its own IR35 Assessment.</w:t>
      </w:r>
    </w:p>
    <w:p w:rsidR="00012C76" w:rsidRDefault="00012C76" w14:paraId="75766904" w14:textId="77777777">
      <w:pPr>
        <w:ind w:left="720"/>
      </w:pPr>
    </w:p>
    <w:p w:rsidR="00012C76" w:rsidRDefault="00382483" w14:paraId="5AA7AFF8" w14:textId="77777777">
      <w:pPr>
        <w:ind w:left="720" w:hanging="720"/>
      </w:pPr>
      <w:r>
        <w:t>4.8</w:t>
      </w:r>
      <w:r>
        <w:tab/>
      </w:r>
      <w:r>
        <w:t>If it is determined by the Buyer that the Supplier is Outside IR35, the Buyer will provide the ESI reference number and a copy of the PDF to the Supplier.</w:t>
      </w:r>
    </w:p>
    <w:p w:rsidR="00012C76" w:rsidRDefault="00012C76" w14:paraId="6E169E20" w14:textId="77777777">
      <w:pPr>
        <w:spacing w:before="240" w:after="240"/>
        <w:ind w:left="720"/>
      </w:pPr>
    </w:p>
    <w:p w:rsidR="00012C76" w:rsidRDefault="00382483" w14:paraId="74BD1414" w14:textId="77777777">
      <w:pPr>
        <w:pStyle w:val="Heading3"/>
        <w:spacing w:before="0" w:after="100"/>
        <w:rPr>
          <w:color w:val="auto"/>
        </w:rPr>
      </w:pPr>
      <w:r>
        <w:rPr>
          <w:color w:val="auto"/>
        </w:rPr>
        <w:t>5.</w:t>
      </w:r>
      <w:r>
        <w:rPr>
          <w:color w:val="auto"/>
        </w:rPr>
        <w:tab/>
      </w:r>
      <w:r>
        <w:rPr>
          <w:color w:val="auto"/>
        </w:rPr>
        <w:t>Due diligence</w:t>
      </w:r>
    </w:p>
    <w:p w:rsidR="00012C76" w:rsidRDefault="00382483" w14:paraId="14B8372F" w14:textId="77777777">
      <w:pPr>
        <w:spacing w:before="240" w:after="120"/>
      </w:pPr>
      <w:r>
        <w:t xml:space="preserve"> 5.1</w:t>
      </w:r>
      <w:r>
        <w:tab/>
      </w:r>
      <w:r>
        <w:t>Both Parties agree that when entering into a Call-Off Contract they:</w:t>
      </w:r>
    </w:p>
    <w:p w:rsidR="00012C76" w:rsidRDefault="00382483" w14:paraId="7A29B98C" w14:textId="77777777">
      <w:pPr>
        <w:spacing w:after="120"/>
        <w:ind w:left="1440" w:hanging="720"/>
      </w:pPr>
      <w:r>
        <w:t>5.1.1</w:t>
      </w:r>
      <w:r>
        <w:tab/>
      </w:r>
      <w:r>
        <w:t>have made their own enquiries and are satisfied by the accuracy of any information supplied by the other Party</w:t>
      </w:r>
    </w:p>
    <w:p w:rsidR="00012C76" w:rsidRDefault="00382483" w14:paraId="2DC027E5" w14:textId="77777777">
      <w:pPr>
        <w:spacing w:after="120"/>
        <w:ind w:left="1440" w:hanging="720"/>
      </w:pPr>
      <w:r>
        <w:t>5.1.2</w:t>
      </w:r>
      <w:r>
        <w:tab/>
      </w:r>
      <w:r>
        <w:t>are confident that they can fulfil their obligations according to the Call-Off Contract terms</w:t>
      </w:r>
    </w:p>
    <w:p w:rsidR="00012C76" w:rsidRDefault="00382483" w14:paraId="3FC755BB" w14:textId="77777777">
      <w:pPr>
        <w:spacing w:after="120"/>
        <w:ind w:firstLine="720"/>
      </w:pPr>
      <w:r>
        <w:t>5.1.3</w:t>
      </w:r>
      <w:r>
        <w:tab/>
      </w:r>
      <w:r>
        <w:t>have raised all due diligence questions before signing the Call-Off Contract</w:t>
      </w:r>
    </w:p>
    <w:p w:rsidR="00012C76" w:rsidRDefault="00382483" w14:paraId="5D30C318" w14:textId="77777777">
      <w:pPr>
        <w:ind w:firstLine="720"/>
      </w:pPr>
      <w:r>
        <w:t>5.1.4</w:t>
      </w:r>
      <w:r>
        <w:tab/>
      </w:r>
      <w:r>
        <w:t>have entered into the Call-Off Contract relying on its own due diligence</w:t>
      </w:r>
    </w:p>
    <w:p w:rsidR="00012C76" w:rsidRDefault="00012C76" w14:paraId="32B95998" w14:textId="77777777">
      <w:pPr>
        <w:spacing w:before="240"/>
      </w:pPr>
    </w:p>
    <w:p w:rsidR="00012C76" w:rsidRDefault="00382483" w14:paraId="0BAEE8F3" w14:textId="77777777">
      <w:pPr>
        <w:pStyle w:val="Heading3"/>
        <w:spacing w:before="0" w:after="100"/>
        <w:rPr>
          <w:color w:val="auto"/>
        </w:rPr>
      </w:pPr>
      <w:r>
        <w:rPr>
          <w:color w:val="auto"/>
        </w:rPr>
        <w:t xml:space="preserve">6. </w:t>
      </w:r>
      <w:r>
        <w:rPr>
          <w:color w:val="auto"/>
        </w:rPr>
        <w:tab/>
      </w:r>
      <w:r>
        <w:rPr>
          <w:color w:val="auto"/>
        </w:rPr>
        <w:t>Business continuity and disaster recovery</w:t>
      </w:r>
    </w:p>
    <w:p w:rsidR="00012C76" w:rsidRDefault="00382483" w14:paraId="502B65C1" w14:textId="77777777">
      <w:pPr>
        <w:ind w:left="720" w:hanging="720"/>
      </w:pPr>
      <w:r>
        <w:t>6.1</w:t>
      </w:r>
      <w:r>
        <w:tab/>
      </w:r>
      <w:r>
        <w:t>The Supplier will have a clear business continuity and disaster recovery plan in their service descriptions.</w:t>
      </w:r>
    </w:p>
    <w:p w:rsidR="00012C76" w:rsidRDefault="00012C76" w14:paraId="2BEB6EC9" w14:textId="77777777"/>
    <w:p w:rsidR="00012C76" w:rsidRDefault="00382483" w14:paraId="0205EE6A" w14:textId="77777777">
      <w:pPr>
        <w:ind w:left="720" w:hanging="720"/>
      </w:pPr>
      <w:r>
        <w:t>6.2</w:t>
      </w:r>
      <w:r>
        <w:tab/>
      </w:r>
      <w:r>
        <w:t>The Supplier’s business continuity and disaster recovery services are part of the Services and will be performed by the Supplier when required.</w:t>
      </w:r>
    </w:p>
    <w:p w:rsidR="00012C76" w:rsidRDefault="00382483" w14:paraId="3898005F" w14:textId="77777777">
      <w:pPr>
        <w:ind w:left="720" w:hanging="720"/>
      </w:pPr>
      <w:r>
        <w:t>6.3</w:t>
      </w:r>
      <w:r>
        <w:tab/>
      </w:r>
      <w:r>
        <w:t>If requested by the Buyer prior to entering into this Call-Off Contract, the Supplier must ensure that its business continuity and disaster recovery plan is consistent with the Buyer’s own plans.</w:t>
      </w:r>
    </w:p>
    <w:p w:rsidR="00012C76" w:rsidRDefault="00012C76" w14:paraId="3A530844" w14:textId="77777777"/>
    <w:p w:rsidR="00012C76" w:rsidRDefault="00382483" w14:paraId="1E70FBB0" w14:textId="77777777">
      <w:pPr>
        <w:pStyle w:val="Heading3"/>
        <w:spacing w:before="0" w:after="100"/>
        <w:rPr>
          <w:color w:val="auto"/>
        </w:rPr>
      </w:pPr>
      <w:r>
        <w:rPr>
          <w:color w:val="auto"/>
        </w:rPr>
        <w:lastRenderedPageBreak/>
        <w:t>7.</w:t>
      </w:r>
      <w:r>
        <w:rPr>
          <w:color w:val="auto"/>
        </w:rPr>
        <w:tab/>
      </w:r>
      <w:r>
        <w:rPr>
          <w:color w:val="auto"/>
        </w:rPr>
        <w:t>Payment, VAT and Call-Off Contract charges</w:t>
      </w:r>
    </w:p>
    <w:p w:rsidR="00012C76" w:rsidRDefault="00382483" w14:paraId="6F744063" w14:textId="77777777">
      <w:pPr>
        <w:spacing w:after="120"/>
        <w:ind w:left="720" w:hanging="720"/>
      </w:pPr>
      <w:r>
        <w:t>7.1</w:t>
      </w:r>
      <w:r>
        <w:tab/>
      </w:r>
      <w:r>
        <w:t>The Buyer must pay the Charges following clauses 7.2 to 7.11 for the Supplier’s delivery of the Services.</w:t>
      </w:r>
    </w:p>
    <w:p w:rsidR="00012C76" w:rsidRDefault="00382483" w14:paraId="59D711AC" w14:textId="77777777">
      <w:pPr>
        <w:ind w:left="720" w:hanging="720"/>
      </w:pPr>
      <w:r>
        <w:t>7.2</w:t>
      </w:r>
      <w:r>
        <w:tab/>
      </w:r>
      <w:r>
        <w:t>The Buyer will pay the Supplier within the number of days specified in the Order Form on receipt of a valid invoice.</w:t>
      </w:r>
    </w:p>
    <w:p w:rsidR="00012C76" w:rsidRDefault="00382483" w14:paraId="2ACDC921" w14:textId="77777777">
      <w:pPr>
        <w:spacing w:after="120"/>
        <w:ind w:left="720" w:hanging="720"/>
      </w:pPr>
      <w:r>
        <w:t>7.3</w:t>
      </w:r>
      <w:r>
        <w:tab/>
      </w:r>
      <w:r>
        <w:t>The Call-Off Contract Charges include all Charges for payment Processing. All invoices submitted to the Buyer for the Services will be exclusive of any Management Charge.</w:t>
      </w:r>
    </w:p>
    <w:p w:rsidR="00012C76" w:rsidRDefault="00382483" w14:paraId="33A9C211" w14:textId="77777777">
      <w:pPr>
        <w:spacing w:after="120"/>
        <w:ind w:left="720" w:hanging="720"/>
      </w:pPr>
      <w:r>
        <w:t>7.4</w:t>
      </w:r>
      <w:r>
        <w:tab/>
      </w:r>
      <w:r>
        <w:t>If specified in the Order Form, the Supplier will accept payment for G-Cloud Services by the Government Procurement Card (GPC). The Supplier will be liable to pay any merchant fee levied for using the GPC and must not recover this charge from the Buyer.</w:t>
      </w:r>
    </w:p>
    <w:p w:rsidR="00012C76" w:rsidRDefault="00382483" w14:paraId="1286E02B" w14:textId="77777777">
      <w:pPr>
        <w:spacing w:after="120"/>
        <w:ind w:left="720" w:hanging="720"/>
      </w:pPr>
      <w:r>
        <w:t>7.5</w:t>
      </w:r>
      <w:r>
        <w:tab/>
      </w:r>
      <w:r>
        <w:t>The Supplier must ensure that each invoice contains a detailed breakdown of the G-Cloud Services supplied. The Buyer may request the Supplier provides further documentation to substantiate the invoice.</w:t>
      </w:r>
    </w:p>
    <w:p w:rsidR="00012C76" w:rsidRDefault="00382483" w14:paraId="5B528ADD" w14:textId="77777777">
      <w:pPr>
        <w:spacing w:after="120"/>
        <w:ind w:left="720" w:hanging="720"/>
      </w:pPr>
      <w:r>
        <w:t>7.6</w:t>
      </w:r>
      <w:r>
        <w:tab/>
      </w:r>
      <w:r>
        <w:t>If the Supplier enters into a Subcontract it must ensure that a provision is included in each Subcontract which specifies that payment must be made to the Subcontractor within 30 days of receipt of a valid invoice.</w:t>
      </w:r>
    </w:p>
    <w:p w:rsidR="00012C76" w:rsidRDefault="00382483" w14:paraId="08A637CD" w14:textId="77777777">
      <w:pPr>
        <w:spacing w:after="120"/>
      </w:pPr>
      <w:r>
        <w:t>7.7</w:t>
      </w:r>
      <w:r>
        <w:tab/>
      </w:r>
      <w:r>
        <w:t>All Charges payable by the Buyer to the Supplier will include VAT at the appropriate Rate.</w:t>
      </w:r>
    </w:p>
    <w:p w:rsidR="00012C76" w:rsidRDefault="00382483" w14:paraId="6BB75C15" w14:textId="77777777">
      <w:pPr>
        <w:spacing w:after="120"/>
        <w:ind w:left="720" w:hanging="720"/>
      </w:pPr>
      <w:r>
        <w:t>7.8</w:t>
      </w:r>
      <w:r>
        <w:tab/>
      </w:r>
      <w:r>
        <w:t>The Supplier must add VAT to the Charges at the appropriate rate with visibility of the amount as a separate line item.</w:t>
      </w:r>
    </w:p>
    <w:p w:rsidR="00012C76" w:rsidRDefault="00382483" w14:paraId="74547CB3" w14:textId="77777777">
      <w:pPr>
        <w:ind w:left="720" w:hanging="720"/>
      </w:pPr>
      <w:r>
        <w:t>7.9</w:t>
      </w:r>
      <w:r>
        <w:tab/>
      </w:r>
      <w:r>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012C76" w:rsidRDefault="00382483" w14:paraId="6840CE98" w14:textId="77777777">
      <w:pPr>
        <w:spacing w:after="120"/>
        <w:ind w:left="720" w:hanging="720"/>
      </w:pPr>
      <w:r>
        <w:t>7.10</w:t>
      </w:r>
      <w:r>
        <w:tab/>
      </w:r>
      <w: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12C76" w:rsidRDefault="00382483" w14:paraId="194288E5" w14:textId="77777777">
      <w:pPr>
        <w:spacing w:after="120"/>
        <w:ind w:left="720" w:hanging="720"/>
      </w:pPr>
      <w:r>
        <w:t>7.11</w:t>
      </w:r>
      <w:r>
        <w:tab/>
      </w:r>
      <w: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12C76" w:rsidRDefault="00382483" w14:paraId="288A6D58" w14:textId="77777777">
      <w:pPr>
        <w:ind w:left="720" w:hanging="720"/>
      </w:pPr>
      <w:r>
        <w:t>7.12</w:t>
      </w:r>
      <w:r>
        <w:tab/>
      </w:r>
      <w: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12C76" w:rsidRDefault="00012C76" w14:paraId="61918CA1" w14:textId="77777777">
      <w:pPr>
        <w:ind w:left="720"/>
      </w:pPr>
    </w:p>
    <w:p w:rsidR="00012C76" w:rsidRDefault="00382483" w14:paraId="27CCD727" w14:textId="77777777">
      <w:pPr>
        <w:pStyle w:val="Heading3"/>
        <w:rPr>
          <w:color w:val="auto"/>
        </w:rPr>
      </w:pPr>
      <w:r>
        <w:rPr>
          <w:color w:val="auto"/>
        </w:rPr>
        <w:t>8.</w:t>
      </w:r>
      <w:r>
        <w:rPr>
          <w:color w:val="auto"/>
        </w:rPr>
        <w:tab/>
      </w:r>
      <w:r>
        <w:rPr>
          <w:color w:val="auto"/>
        </w:rPr>
        <w:t>Recovery of sums due and right of set-off</w:t>
      </w:r>
    </w:p>
    <w:p w:rsidR="00012C76" w:rsidRDefault="00382483" w14:paraId="7866C4C3" w14:textId="77777777">
      <w:pPr>
        <w:spacing w:before="240" w:after="240"/>
        <w:ind w:left="720" w:hanging="720"/>
      </w:pPr>
      <w:r>
        <w:t>8.1</w:t>
      </w:r>
      <w:r>
        <w:tab/>
      </w:r>
      <w:r>
        <w:t>If a Supplier owes money to the Buyer, the Buyer may deduct that sum from the Call-Off Contract Charges.</w:t>
      </w:r>
    </w:p>
    <w:p w:rsidR="00012C76" w:rsidRDefault="00012C76" w14:paraId="199765A0" w14:textId="77777777">
      <w:pPr>
        <w:spacing w:before="240" w:after="240"/>
        <w:ind w:left="720" w:hanging="720"/>
      </w:pPr>
    </w:p>
    <w:p w:rsidR="00012C76" w:rsidRDefault="00382483" w14:paraId="60227D78" w14:textId="77777777">
      <w:pPr>
        <w:pStyle w:val="Heading3"/>
        <w:rPr>
          <w:color w:val="auto"/>
        </w:rPr>
      </w:pPr>
      <w:r>
        <w:rPr>
          <w:color w:val="auto"/>
        </w:rPr>
        <w:lastRenderedPageBreak/>
        <w:t>9.</w:t>
      </w:r>
      <w:r>
        <w:rPr>
          <w:color w:val="auto"/>
        </w:rPr>
        <w:tab/>
      </w:r>
      <w:r>
        <w:rPr>
          <w:color w:val="auto"/>
        </w:rPr>
        <w:t>Insurance</w:t>
      </w:r>
    </w:p>
    <w:p w:rsidR="00012C76" w:rsidRDefault="00382483" w14:paraId="26345656" w14:textId="77777777">
      <w:pPr>
        <w:spacing w:before="240" w:after="240"/>
        <w:ind w:left="660" w:hanging="660"/>
      </w:pPr>
      <w:r>
        <w:t>9.1</w:t>
      </w:r>
      <w:r>
        <w:tab/>
      </w:r>
      <w:r>
        <w:t>The Supplier will maintain the insurances required by the Buyer including those in this clause.</w:t>
      </w:r>
    </w:p>
    <w:p w:rsidR="00012C76" w:rsidRDefault="00382483" w14:paraId="40E0F0BE" w14:textId="77777777">
      <w:r>
        <w:t>9.2</w:t>
      </w:r>
      <w:r>
        <w:tab/>
      </w:r>
      <w:r>
        <w:t>The Supplier will ensure that:</w:t>
      </w:r>
    </w:p>
    <w:p w:rsidR="00012C76" w:rsidRDefault="00012C76" w14:paraId="10807827" w14:textId="77777777"/>
    <w:p w:rsidR="00012C76" w:rsidRDefault="00382483" w14:paraId="2B8E1C74" w14:textId="77777777">
      <w:pPr>
        <w:ind w:left="1440" w:hanging="720"/>
      </w:pPr>
      <w:r>
        <w:t>9.2.1</w:t>
      </w:r>
      <w:r>
        <w:tab/>
      </w:r>
      <w: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12C76" w:rsidRDefault="00012C76" w14:paraId="05E64F08" w14:textId="77777777">
      <w:pPr>
        <w:ind w:firstLine="720"/>
      </w:pPr>
    </w:p>
    <w:p w:rsidR="00012C76" w:rsidRDefault="00382483" w14:paraId="6F72A4EB" w14:textId="77777777">
      <w:pPr>
        <w:ind w:left="1440" w:hanging="720"/>
      </w:pPr>
      <w:r>
        <w:t>9.2.2</w:t>
      </w:r>
      <w:r>
        <w:tab/>
      </w:r>
      <w:r>
        <w:t>the third-party public and products liability insurance contains an ‘indemnity to principals’ clause for the Buyer’s benefit</w:t>
      </w:r>
    </w:p>
    <w:p w:rsidR="00012C76" w:rsidRDefault="00012C76" w14:paraId="1C2DC25C" w14:textId="77777777">
      <w:pPr>
        <w:ind w:firstLine="720"/>
      </w:pPr>
    </w:p>
    <w:p w:rsidR="00012C76" w:rsidRDefault="00382483" w14:paraId="228607FC" w14:textId="77777777">
      <w:pPr>
        <w:ind w:left="1440" w:hanging="720"/>
      </w:pPr>
      <w:r>
        <w:t>9.2.3</w:t>
      </w:r>
      <w:r>
        <w:tab/>
      </w:r>
      <w:r>
        <w:t>all agents and professional consultants involved in the Services hold professional indemnity insurance to a minimum indemnity of £1,000,000 for each individual claim during the Call-Off Contract, and for 6 years after the End or Expiry Date</w:t>
      </w:r>
    </w:p>
    <w:p w:rsidR="00012C76" w:rsidRDefault="00012C76" w14:paraId="0AED09BE" w14:textId="77777777">
      <w:pPr>
        <w:ind w:firstLine="720"/>
      </w:pPr>
    </w:p>
    <w:p w:rsidR="00012C76" w:rsidRDefault="00382483" w14:paraId="429B8488" w14:textId="77777777">
      <w:pPr>
        <w:ind w:left="1440" w:hanging="720"/>
      </w:pPr>
      <w:r>
        <w:t>9.2.4</w:t>
      </w:r>
      <w:r>
        <w:tab/>
      </w:r>
      <w:r>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012C76" w:rsidRDefault="00012C76" w14:paraId="63382C52" w14:textId="77777777">
      <w:pPr>
        <w:ind w:left="720"/>
      </w:pPr>
    </w:p>
    <w:p w:rsidR="00012C76" w:rsidRDefault="00382483" w14:paraId="7D093A99" w14:textId="77777777">
      <w:pPr>
        <w:ind w:left="720" w:hanging="720"/>
      </w:pPr>
      <w:r>
        <w:t>9.3</w:t>
      </w:r>
      <w:r>
        <w:tab/>
      </w:r>
      <w:r>
        <w:t>If requested by the Buyer, the Supplier will obtain additional insurance policies, or extend existing policies bought under the Framework Agreement.</w:t>
      </w:r>
    </w:p>
    <w:p w:rsidR="00012C76" w:rsidRDefault="00012C76" w14:paraId="661A069A" w14:textId="77777777">
      <w:pPr>
        <w:ind w:left="720" w:firstLine="720"/>
      </w:pPr>
    </w:p>
    <w:p w:rsidR="00012C76" w:rsidRDefault="00382483" w14:paraId="0F7C2813" w14:textId="77777777">
      <w:pPr>
        <w:ind w:left="720" w:hanging="720"/>
      </w:pPr>
      <w:r>
        <w:t>9.4</w:t>
      </w:r>
      <w:r>
        <w:tab/>
      </w:r>
      <w:r>
        <w:t>If requested by the Buyer, the Supplier will provide the following to show compliance with this clause:</w:t>
      </w:r>
    </w:p>
    <w:p w:rsidR="00012C76" w:rsidRDefault="00012C76" w14:paraId="291A2A7C" w14:textId="77777777">
      <w:pPr>
        <w:ind w:firstLine="720"/>
      </w:pPr>
    </w:p>
    <w:p w:rsidR="00012C76" w:rsidRDefault="00382483" w14:paraId="6BDC98C2" w14:textId="77777777">
      <w:pPr>
        <w:ind w:firstLine="720"/>
      </w:pPr>
      <w:r>
        <w:t>9.4.1</w:t>
      </w:r>
      <w:r>
        <w:tab/>
      </w:r>
      <w:r>
        <w:t>a broker's verification of insurance</w:t>
      </w:r>
    </w:p>
    <w:p w:rsidR="00012C76" w:rsidRDefault="00012C76" w14:paraId="08DD2FC9" w14:textId="77777777">
      <w:pPr>
        <w:ind w:firstLine="720"/>
      </w:pPr>
    </w:p>
    <w:p w:rsidR="00012C76" w:rsidRDefault="00382483" w14:paraId="287ED550" w14:textId="77777777">
      <w:pPr>
        <w:ind w:firstLine="720"/>
      </w:pPr>
      <w:r>
        <w:t>9.4.2</w:t>
      </w:r>
      <w:r>
        <w:tab/>
      </w:r>
      <w:r>
        <w:t>receipts for the insurance premium</w:t>
      </w:r>
    </w:p>
    <w:p w:rsidR="00012C76" w:rsidRDefault="00012C76" w14:paraId="24CA26BF" w14:textId="77777777">
      <w:pPr>
        <w:ind w:firstLine="720"/>
      </w:pPr>
    </w:p>
    <w:p w:rsidR="00012C76" w:rsidRDefault="00382483" w14:paraId="7A3D2834" w14:textId="77777777">
      <w:pPr>
        <w:ind w:firstLine="720"/>
      </w:pPr>
      <w:r>
        <w:t>9.4.3</w:t>
      </w:r>
      <w:r>
        <w:tab/>
      </w:r>
      <w:r>
        <w:t>evidence of payment of the latest premiums due</w:t>
      </w:r>
    </w:p>
    <w:p w:rsidR="00012C76" w:rsidRDefault="00012C76" w14:paraId="173C4349" w14:textId="77777777">
      <w:pPr>
        <w:ind w:firstLine="720"/>
      </w:pPr>
    </w:p>
    <w:p w:rsidR="00012C76" w:rsidRDefault="00382483" w14:paraId="7DEE0CAD" w14:textId="77777777">
      <w:pPr>
        <w:ind w:left="720" w:hanging="720"/>
      </w:pPr>
      <w:r>
        <w:t>9.5</w:t>
      </w:r>
      <w:r>
        <w:tab/>
      </w:r>
      <w:r>
        <w:t>Insurance will not relieve the Supplier of any liabilities under the Framework Agreement or this Call-Off Contract and the Supplier will:</w:t>
      </w:r>
    </w:p>
    <w:p w:rsidR="00012C76" w:rsidRDefault="00012C76" w14:paraId="30693BCA" w14:textId="77777777">
      <w:pPr>
        <w:ind w:firstLine="720"/>
      </w:pPr>
    </w:p>
    <w:p w:rsidR="00012C76" w:rsidRDefault="00382483" w14:paraId="5027806F" w14:textId="77777777">
      <w:pPr>
        <w:ind w:left="1440" w:hanging="720"/>
      </w:pPr>
      <w:r>
        <w:t>9.5.1</w:t>
      </w:r>
      <w:r>
        <w:tab/>
      </w:r>
      <w:r>
        <w:t>take all risk control measures using Good Industry Practice, including the investigation and reports of claims to insurers</w:t>
      </w:r>
    </w:p>
    <w:p w:rsidR="00012C76" w:rsidRDefault="00012C76" w14:paraId="16770A2D" w14:textId="77777777">
      <w:pPr>
        <w:ind w:left="720" w:firstLine="720"/>
      </w:pPr>
    </w:p>
    <w:p w:rsidR="00012C76" w:rsidRDefault="00382483" w14:paraId="6FCE30BE" w14:textId="77777777">
      <w:pPr>
        <w:ind w:left="1440" w:hanging="720"/>
      </w:pPr>
      <w:r>
        <w:t>9.5.2</w:t>
      </w:r>
      <w:r>
        <w:tab/>
      </w:r>
      <w:r>
        <w:t>promptly notify the insurers in writing of any relevant material fact under any Insurances</w:t>
      </w:r>
    </w:p>
    <w:p w:rsidR="00012C76" w:rsidRDefault="00012C76" w14:paraId="5430E567" w14:textId="77777777">
      <w:pPr>
        <w:ind w:firstLine="720"/>
      </w:pPr>
    </w:p>
    <w:p w:rsidR="00012C76" w:rsidRDefault="00382483" w14:paraId="72DD8E56" w14:textId="77777777">
      <w:pPr>
        <w:ind w:left="1440" w:hanging="720"/>
      </w:pPr>
      <w:r>
        <w:t>9.5.3</w:t>
      </w:r>
      <w:r>
        <w:tab/>
      </w:r>
      <w:r>
        <w:t>hold all insurance policies and require any broker arranging the insurance to hold any insurance slips and other evidence of insurance</w:t>
      </w:r>
    </w:p>
    <w:p w:rsidR="00012C76" w:rsidRDefault="00382483" w14:paraId="38AA64FD" w14:textId="77777777">
      <w:r>
        <w:t xml:space="preserve"> </w:t>
      </w:r>
    </w:p>
    <w:p w:rsidR="00012C76" w:rsidRDefault="00382483" w14:paraId="7BF11F8A" w14:textId="77777777">
      <w:pPr>
        <w:ind w:left="720" w:hanging="720"/>
      </w:pPr>
      <w:r>
        <w:t>9.6</w:t>
      </w:r>
      <w:r>
        <w:tab/>
      </w:r>
      <w:r>
        <w:t>The Supplier will not do or omit to do anything, which would destroy or impair the legal validity of the insurance.</w:t>
      </w:r>
    </w:p>
    <w:p w:rsidR="00012C76" w:rsidRDefault="00012C76" w14:paraId="6C53E4F8" w14:textId="77777777">
      <w:pPr>
        <w:ind w:firstLine="720"/>
      </w:pPr>
    </w:p>
    <w:p w:rsidR="00012C76" w:rsidRDefault="00382483" w14:paraId="6983F767" w14:textId="77777777">
      <w:pPr>
        <w:ind w:left="720" w:hanging="720"/>
      </w:pPr>
      <w:r>
        <w:lastRenderedPageBreak/>
        <w:t>9.7</w:t>
      </w:r>
      <w:r>
        <w:tab/>
      </w:r>
      <w:r>
        <w:t>The Supplier will notify CCS and the Buyer as soon as possible if any insurance policies have been, or are due to be, cancelled, suspended, Ended or not renewed.</w:t>
      </w:r>
    </w:p>
    <w:p w:rsidR="00012C76" w:rsidRDefault="00012C76" w14:paraId="06B70742" w14:textId="77777777">
      <w:pPr>
        <w:ind w:firstLine="720"/>
      </w:pPr>
    </w:p>
    <w:p w:rsidR="00012C76" w:rsidRDefault="00382483" w14:paraId="369E247A" w14:textId="77777777">
      <w:r>
        <w:t>9.8</w:t>
      </w:r>
      <w:r>
        <w:tab/>
      </w:r>
      <w:r>
        <w:t>The Supplier will be liable for the payment of any:</w:t>
      </w:r>
    </w:p>
    <w:p w:rsidR="00012C76" w:rsidRDefault="00012C76" w14:paraId="6BEA2A51" w14:textId="77777777"/>
    <w:p w:rsidR="00012C76" w:rsidRDefault="00382483" w14:paraId="11666901" w14:textId="77777777">
      <w:pPr>
        <w:ind w:firstLine="720"/>
      </w:pPr>
      <w:r>
        <w:t>9.8.1</w:t>
      </w:r>
      <w:r>
        <w:tab/>
      </w:r>
      <w:r>
        <w:t>premiums, which it will pay promptly</w:t>
      </w:r>
    </w:p>
    <w:p w:rsidR="00012C76" w:rsidRDefault="00382483" w14:paraId="20D6FD58" w14:textId="77777777">
      <w:pPr>
        <w:ind w:firstLine="720"/>
      </w:pPr>
      <w:r>
        <w:t>9.8.2</w:t>
      </w:r>
      <w:r>
        <w:tab/>
      </w:r>
      <w:r>
        <w:t>excess or deductibles and will not be entitled to recover this from the Buyer</w:t>
      </w:r>
    </w:p>
    <w:p w:rsidR="00012C76" w:rsidRDefault="00012C76" w14:paraId="72C1D25C" w14:textId="77777777">
      <w:pPr>
        <w:ind w:firstLine="720"/>
      </w:pPr>
    </w:p>
    <w:p w:rsidR="00012C76" w:rsidRDefault="00382483" w14:paraId="10B018DF" w14:textId="77777777">
      <w:pPr>
        <w:pStyle w:val="Heading3"/>
        <w:spacing w:before="0" w:after="100"/>
        <w:rPr>
          <w:color w:val="auto"/>
        </w:rPr>
      </w:pPr>
      <w:r>
        <w:rPr>
          <w:color w:val="auto"/>
        </w:rPr>
        <w:t>10.</w:t>
      </w:r>
      <w:r>
        <w:rPr>
          <w:color w:val="auto"/>
        </w:rPr>
        <w:tab/>
      </w:r>
      <w:r>
        <w:rPr>
          <w:color w:val="auto"/>
        </w:rPr>
        <w:t>Confidentiality</w:t>
      </w:r>
    </w:p>
    <w:p w:rsidR="00012C76" w:rsidRDefault="00382483" w14:paraId="4EB6E9D2" w14:textId="77777777">
      <w:pPr>
        <w:ind w:left="720" w:hanging="720"/>
      </w:pPr>
      <w:r>
        <w:t>10.1</w:t>
      </w:r>
      <w:r>
        <w:tab/>
      </w:r>
      <w: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012C76" w:rsidRDefault="00012C76" w14:paraId="5A34E9B7" w14:textId="77777777">
      <w:pPr>
        <w:ind w:left="720" w:hanging="720"/>
      </w:pPr>
    </w:p>
    <w:p w:rsidR="00012C76" w:rsidRDefault="00382483" w14:paraId="3AF6F5CF" w14:textId="77777777">
      <w:pPr>
        <w:pStyle w:val="Heading3"/>
        <w:spacing w:before="0" w:after="100"/>
        <w:rPr>
          <w:color w:val="auto"/>
        </w:rPr>
      </w:pPr>
      <w:r>
        <w:rPr>
          <w:color w:val="auto"/>
        </w:rPr>
        <w:t>11.</w:t>
      </w:r>
      <w:r>
        <w:rPr>
          <w:color w:val="auto"/>
        </w:rPr>
        <w:tab/>
      </w:r>
      <w:r>
        <w:rPr>
          <w:color w:val="auto"/>
        </w:rPr>
        <w:t>Intellectual Property Rights</w:t>
      </w:r>
    </w:p>
    <w:p w:rsidR="00012C76" w:rsidRDefault="00382483" w14:paraId="2F40E85B" w14:textId="77777777">
      <w:pPr>
        <w:ind w:left="720" w:hanging="720"/>
      </w:pPr>
      <w:r>
        <w:t>11.1</w:t>
      </w:r>
      <w:r>
        <w:tab/>
      </w:r>
      <w:r>
        <w:t>Unless otherwise specified in this Call-Off Contract, a Party will not acquire any right, title or interest in or to the Intellectual Property Rights (IPRs) of the other Party or its Licensors.</w:t>
      </w:r>
    </w:p>
    <w:p w:rsidR="00012C76" w:rsidRDefault="00012C76" w14:paraId="681EC2F3" w14:textId="77777777">
      <w:pPr>
        <w:ind w:left="720"/>
      </w:pPr>
    </w:p>
    <w:p w:rsidR="00012C76" w:rsidRDefault="00382483" w14:paraId="7F29C096" w14:textId="77777777">
      <w:pPr>
        <w:ind w:left="720" w:hanging="720"/>
      </w:pPr>
      <w:r>
        <w:t>11.2</w:t>
      </w:r>
      <w:r>
        <w:tab/>
      </w:r>
      <w:r>
        <w:t>The Supplier grants the Buyer a non-exclusive, transferable, perpetual, irrevocable, royalty-free licence to use the Project Specific IPRs and any Background IPRs embedded within the Project Specific IPRs for the Buyer’s ordinary business activities.</w:t>
      </w:r>
    </w:p>
    <w:p w:rsidR="00012C76" w:rsidRDefault="00012C76" w14:paraId="7FCE324D" w14:textId="77777777">
      <w:pPr>
        <w:ind w:left="720"/>
      </w:pPr>
    </w:p>
    <w:p w:rsidR="00012C76" w:rsidRDefault="00382483" w14:paraId="246C9EE6" w14:textId="77777777">
      <w:pPr>
        <w:ind w:left="720" w:hanging="720"/>
      </w:pPr>
      <w:r>
        <w:t>11.3</w:t>
      </w:r>
      <w:r>
        <w:tab/>
      </w:r>
      <w:r>
        <w:t>The Supplier must obtain the grant of any third-party IPRs and Background IPRs so the Buyer can enjoy full use of the Project Specific IPRs, including the Buyer’s right to publish the IPR as open source.</w:t>
      </w:r>
    </w:p>
    <w:p w:rsidR="00012C76" w:rsidRDefault="00012C76" w14:paraId="761898D2" w14:textId="77777777">
      <w:pPr>
        <w:ind w:left="720"/>
      </w:pPr>
    </w:p>
    <w:p w:rsidR="00012C76" w:rsidRDefault="00382483" w14:paraId="28ABA421" w14:textId="77777777">
      <w:pPr>
        <w:ind w:left="720" w:hanging="720"/>
      </w:pPr>
      <w:r>
        <w:t>11.4</w:t>
      </w:r>
      <w:r>
        <w:tab/>
      </w:r>
      <w:r>
        <w:t>The Supplier must promptly inform the Buyer if it can’t comply with the clause above and the Supplier must not use third-party IPRs or Background IPRs in relation to the Project Specific IPRs if it can’t obtain the grant of a licence acceptable to the Buyer.</w:t>
      </w:r>
    </w:p>
    <w:p w:rsidR="00012C76" w:rsidRDefault="00012C76" w14:paraId="5BC458EF" w14:textId="77777777">
      <w:pPr>
        <w:ind w:left="720"/>
      </w:pPr>
    </w:p>
    <w:p w:rsidR="00012C76" w:rsidRDefault="00382483" w14:paraId="1694A597" w14:textId="77777777">
      <w:pPr>
        <w:ind w:left="720" w:hanging="720"/>
      </w:pPr>
      <w:r>
        <w:t>11.5</w:t>
      </w:r>
      <w:r>
        <w:tab/>
      </w:r>
      <w:r>
        <w:t>The Supplier will, on written demand, fully indemnify the Buyer and the Crown for all Losses which it may incur at any time from any claim of infringement or alleged infringement of a third party’s IPRs because of the:</w:t>
      </w:r>
    </w:p>
    <w:p w:rsidR="00012C76" w:rsidRDefault="00012C76" w14:paraId="5FA14062" w14:textId="77777777">
      <w:pPr>
        <w:ind w:firstLine="720"/>
      </w:pPr>
    </w:p>
    <w:p w:rsidR="00012C76" w:rsidRDefault="00382483" w14:paraId="482FE816" w14:textId="77777777">
      <w:pPr>
        <w:ind w:firstLine="720"/>
      </w:pPr>
      <w:r>
        <w:t>11.5.1</w:t>
      </w:r>
      <w:r>
        <w:tab/>
      </w:r>
      <w:r>
        <w:t>rights granted to the Buyer under this Call-Off Contract</w:t>
      </w:r>
    </w:p>
    <w:p w:rsidR="00012C76" w:rsidRDefault="00012C76" w14:paraId="70E770D3" w14:textId="77777777"/>
    <w:p w:rsidR="00012C76" w:rsidRDefault="00382483" w14:paraId="79E050E0" w14:textId="77777777">
      <w:pPr>
        <w:ind w:firstLine="720"/>
      </w:pPr>
      <w:r>
        <w:t>11.5.2</w:t>
      </w:r>
      <w:r>
        <w:tab/>
      </w:r>
      <w:r>
        <w:t>Supplier’s performance of the Services</w:t>
      </w:r>
    </w:p>
    <w:p w:rsidR="00012C76" w:rsidRDefault="00012C76" w14:paraId="2D8B95E4" w14:textId="77777777">
      <w:pPr>
        <w:ind w:firstLine="720"/>
      </w:pPr>
    </w:p>
    <w:p w:rsidR="00012C76" w:rsidRDefault="00382483" w14:paraId="5F0210B0" w14:textId="77777777">
      <w:pPr>
        <w:ind w:firstLine="720"/>
      </w:pPr>
      <w:r>
        <w:t>11.5.3</w:t>
      </w:r>
      <w:r>
        <w:tab/>
      </w:r>
      <w:r>
        <w:t>use by the Buyer of the Services</w:t>
      </w:r>
    </w:p>
    <w:p w:rsidR="00012C76" w:rsidRDefault="00012C76" w14:paraId="6D470700" w14:textId="77777777">
      <w:pPr>
        <w:ind w:firstLine="720"/>
      </w:pPr>
    </w:p>
    <w:p w:rsidR="00012C76" w:rsidRDefault="00382483" w14:paraId="58E48DC0" w14:textId="77777777">
      <w:pPr>
        <w:ind w:left="720" w:hanging="720"/>
      </w:pPr>
      <w:r>
        <w:t>11.6</w:t>
      </w:r>
      <w:r>
        <w:tab/>
      </w:r>
      <w:r>
        <w:t>If an IPR Claim is made, or is likely to be made, the Supplier will immediately notify the Buyer in writing and must at its own expense after written approval from the Buyer, either:</w:t>
      </w:r>
    </w:p>
    <w:p w:rsidR="00012C76" w:rsidRDefault="00012C76" w14:paraId="531ED73D" w14:textId="77777777">
      <w:pPr>
        <w:ind w:firstLine="720"/>
      </w:pPr>
    </w:p>
    <w:p w:rsidR="00012C76" w:rsidRDefault="00382483" w14:paraId="61342CDA" w14:textId="77777777">
      <w:pPr>
        <w:ind w:left="1440" w:hanging="720"/>
      </w:pPr>
      <w:r>
        <w:t>11.6.1</w:t>
      </w:r>
      <w:r>
        <w:tab/>
      </w:r>
      <w:r>
        <w:t>modify the relevant part of the Services without reducing its functionality or performance</w:t>
      </w:r>
    </w:p>
    <w:p w:rsidR="00012C76" w:rsidRDefault="00012C76" w14:paraId="29A9A467" w14:textId="77777777">
      <w:pPr>
        <w:ind w:left="720" w:firstLine="720"/>
      </w:pPr>
    </w:p>
    <w:p w:rsidR="00012C76" w:rsidRDefault="00382483" w14:paraId="6C14CAE6" w14:textId="77777777">
      <w:pPr>
        <w:ind w:left="1440" w:hanging="720"/>
      </w:pPr>
      <w:r>
        <w:lastRenderedPageBreak/>
        <w:t>11.6.2</w:t>
      </w:r>
      <w:r>
        <w:tab/>
      </w:r>
      <w:r>
        <w:t>substitute Services of equivalent functionality and performance, to avoid the infringement or the alleged infringement, as long as there is no additional cost or burden to the Buyer</w:t>
      </w:r>
    </w:p>
    <w:p w:rsidR="00012C76" w:rsidRDefault="00012C76" w14:paraId="74B8BE55" w14:textId="77777777">
      <w:pPr>
        <w:ind w:left="1440"/>
      </w:pPr>
    </w:p>
    <w:p w:rsidR="00012C76" w:rsidRDefault="00382483" w14:paraId="6E6AA88E" w14:textId="77777777">
      <w:pPr>
        <w:ind w:left="1440" w:hanging="720"/>
      </w:pPr>
      <w:r>
        <w:t>11.6.3</w:t>
      </w:r>
      <w:r>
        <w:tab/>
      </w:r>
      <w:r>
        <w:t>buy a licence to use and supply the Services which are the subject of the alleged infringement, on terms acceptable to the Buyer</w:t>
      </w:r>
    </w:p>
    <w:p w:rsidR="00012C76" w:rsidRDefault="00012C76" w14:paraId="0CD13C29" w14:textId="77777777">
      <w:pPr>
        <w:ind w:left="720" w:firstLine="720"/>
      </w:pPr>
    </w:p>
    <w:p w:rsidR="00012C76" w:rsidRDefault="00382483" w14:paraId="51FDAC03" w14:textId="77777777">
      <w:r>
        <w:t>11.7</w:t>
      </w:r>
      <w:r>
        <w:tab/>
      </w:r>
      <w:r>
        <w:t>Clause 11.5 will not apply if the IPR Claim is from:</w:t>
      </w:r>
    </w:p>
    <w:p w:rsidR="00012C76" w:rsidRDefault="00012C76" w14:paraId="0BBCD4FF" w14:textId="77777777"/>
    <w:p w:rsidR="00012C76" w:rsidRDefault="00382483" w14:paraId="6643EF4F" w14:textId="77777777">
      <w:pPr>
        <w:ind w:left="1440" w:hanging="720"/>
      </w:pPr>
      <w:r>
        <w:t>11.7.2</w:t>
      </w:r>
      <w:r>
        <w:tab/>
      </w:r>
      <w:r>
        <w:t>the use of data supplied by the Buyer which the Supplier isn’t required to verify under this Call-Off Contract</w:t>
      </w:r>
    </w:p>
    <w:p w:rsidR="00012C76" w:rsidRDefault="00012C76" w14:paraId="57409E23" w14:textId="77777777">
      <w:pPr>
        <w:ind w:left="720" w:firstLine="720"/>
      </w:pPr>
    </w:p>
    <w:p w:rsidR="00012C76" w:rsidRDefault="00382483" w14:paraId="64FF88E4" w14:textId="77777777">
      <w:pPr>
        <w:ind w:firstLine="720"/>
      </w:pPr>
      <w:r>
        <w:t>11.7.3</w:t>
      </w:r>
      <w:r>
        <w:tab/>
      </w:r>
      <w:r>
        <w:t>other material provided by the Buyer necessary for the Services</w:t>
      </w:r>
    </w:p>
    <w:p w:rsidR="00012C76" w:rsidRDefault="00012C76" w14:paraId="3A338D69" w14:textId="77777777">
      <w:pPr>
        <w:ind w:firstLine="720"/>
      </w:pPr>
    </w:p>
    <w:p w:rsidR="00012C76" w:rsidRDefault="00382483" w14:paraId="66C4D547" w14:textId="77777777">
      <w:pPr>
        <w:ind w:left="720" w:hanging="720"/>
      </w:pPr>
      <w:r>
        <w:t>11.8</w:t>
      </w:r>
      <w:r>
        <w:tab/>
      </w:r>
      <w:r>
        <w:t>If the Supplier does not comply with clauses 11.2 to 11.6, the Buyer may End this Call-Off Contract for Material Breach. The Supplier will, on demand, refund the Buyer all the money paid for the affected Services.</w:t>
      </w:r>
    </w:p>
    <w:p w:rsidR="00012C76" w:rsidRDefault="00012C76" w14:paraId="2836E05B" w14:textId="77777777">
      <w:pPr>
        <w:ind w:left="720" w:hanging="720"/>
      </w:pPr>
    </w:p>
    <w:p w:rsidR="00012C76" w:rsidRDefault="00382483" w14:paraId="5C49DB8C" w14:textId="77777777">
      <w:pPr>
        <w:pStyle w:val="Heading3"/>
        <w:rPr>
          <w:color w:val="auto"/>
        </w:rPr>
      </w:pPr>
      <w:r>
        <w:rPr>
          <w:color w:val="auto"/>
        </w:rPr>
        <w:t>12.</w:t>
      </w:r>
      <w:r>
        <w:rPr>
          <w:color w:val="auto"/>
        </w:rPr>
        <w:tab/>
      </w:r>
      <w:r>
        <w:rPr>
          <w:color w:val="auto"/>
        </w:rPr>
        <w:t>Protection of information</w:t>
      </w:r>
    </w:p>
    <w:p w:rsidR="00012C76" w:rsidRDefault="00382483" w14:paraId="1878778F" w14:textId="77777777">
      <w:pPr>
        <w:spacing w:before="240" w:after="240"/>
      </w:pPr>
      <w:r>
        <w:t>12.1</w:t>
      </w:r>
      <w:r>
        <w:tab/>
      </w:r>
      <w:r>
        <w:t>The Supplier must:</w:t>
      </w:r>
    </w:p>
    <w:p w:rsidR="00012C76" w:rsidRDefault="00382483" w14:paraId="608F596D" w14:textId="77777777">
      <w:pPr>
        <w:ind w:left="1440" w:hanging="720"/>
      </w:pPr>
      <w:r>
        <w:t>12.1.1</w:t>
      </w:r>
      <w:r>
        <w:tab/>
      </w:r>
      <w:r>
        <w:t>comply with the Buyer’s written instructions and this Call-Off Contract when Processing Buyer Personal Data</w:t>
      </w:r>
    </w:p>
    <w:p w:rsidR="00012C76" w:rsidRDefault="00012C76" w14:paraId="76669871" w14:textId="77777777">
      <w:pPr>
        <w:ind w:left="720" w:firstLine="720"/>
      </w:pPr>
    </w:p>
    <w:p w:rsidR="00012C76" w:rsidRDefault="00382483" w14:paraId="58F30BD4" w14:textId="77777777">
      <w:pPr>
        <w:ind w:left="1440" w:hanging="720"/>
      </w:pPr>
      <w:r>
        <w:t>12.1.2</w:t>
      </w:r>
      <w:r>
        <w:tab/>
      </w:r>
      <w:r>
        <w:t>only Process the Buyer Personal Data as necessary for the provision of the G-Cloud Services or as required by Law or any Regulatory Body</w:t>
      </w:r>
    </w:p>
    <w:p w:rsidR="00012C76" w:rsidRDefault="00012C76" w14:paraId="7F19A9B1" w14:textId="77777777">
      <w:pPr>
        <w:ind w:left="720" w:firstLine="720"/>
      </w:pPr>
    </w:p>
    <w:p w:rsidR="00012C76" w:rsidRDefault="00382483" w14:paraId="168FD7CD" w14:textId="77777777">
      <w:pPr>
        <w:ind w:left="1440" w:hanging="720"/>
      </w:pPr>
      <w:r>
        <w:t>12.1.3</w:t>
      </w:r>
      <w:r>
        <w:tab/>
      </w:r>
      <w:r>
        <w:t>take reasonable steps to ensure that any Supplier Staff who have access to Buyer Personal Data act in compliance with Supplier's security processes</w:t>
      </w:r>
    </w:p>
    <w:p w:rsidR="00012C76" w:rsidRDefault="00012C76" w14:paraId="2756878D" w14:textId="77777777">
      <w:pPr>
        <w:ind w:left="720" w:firstLine="720"/>
      </w:pPr>
    </w:p>
    <w:p w:rsidR="00012C76" w:rsidRDefault="00382483" w14:paraId="3D9AE8EA" w14:textId="77777777">
      <w:pPr>
        <w:ind w:left="720" w:hanging="720"/>
      </w:pPr>
      <w:r>
        <w:t>12.2</w:t>
      </w:r>
      <w:r>
        <w:tab/>
      </w:r>
      <w:r>
        <w:t>The Supplier must fully assist with any complaint or request for Buyer Personal Data including by:</w:t>
      </w:r>
    </w:p>
    <w:p w:rsidR="00012C76" w:rsidRDefault="00012C76" w14:paraId="7AE637CA" w14:textId="77777777">
      <w:pPr>
        <w:ind w:firstLine="720"/>
      </w:pPr>
    </w:p>
    <w:p w:rsidR="00012C76" w:rsidRDefault="00382483" w14:paraId="6CF737F7" w14:textId="77777777">
      <w:pPr>
        <w:ind w:firstLine="720"/>
      </w:pPr>
      <w:r>
        <w:t>12.2.1</w:t>
      </w:r>
      <w:r>
        <w:tab/>
      </w:r>
      <w:r>
        <w:t>providing the Buyer with full details of the complaint or request</w:t>
      </w:r>
    </w:p>
    <w:p w:rsidR="00012C76" w:rsidRDefault="00012C76" w14:paraId="632AFB09" w14:textId="77777777">
      <w:pPr>
        <w:ind w:firstLine="720"/>
      </w:pPr>
    </w:p>
    <w:p w:rsidR="00012C76" w:rsidRDefault="00382483" w14:paraId="02ED6F4D" w14:textId="77777777">
      <w:pPr>
        <w:ind w:left="1440" w:hanging="720"/>
      </w:pPr>
      <w:r>
        <w:t>12.2.2</w:t>
      </w:r>
      <w:r>
        <w:tab/>
      </w:r>
      <w:r>
        <w:t>complying with a data access request within the timescales in the Data Protection Legislation and following the Buyer’s instructions</w:t>
      </w:r>
    </w:p>
    <w:p w:rsidR="00012C76" w:rsidRDefault="00012C76" w14:paraId="69D38715" w14:textId="77777777"/>
    <w:p w:rsidR="00012C76" w:rsidRDefault="00382483" w14:paraId="72F20D9D" w14:textId="77777777">
      <w:pPr>
        <w:ind w:left="1440" w:hanging="720"/>
      </w:pPr>
      <w:r>
        <w:t>12.2.3</w:t>
      </w:r>
      <w:r>
        <w:tab/>
      </w:r>
      <w:r>
        <w:t>providing the Buyer with any Buyer Personal Data it holds about a Data Subject (within the timescales required by the Buyer)</w:t>
      </w:r>
    </w:p>
    <w:p w:rsidR="00012C76" w:rsidRDefault="00012C76" w14:paraId="4B0140D6" w14:textId="77777777">
      <w:pPr>
        <w:ind w:left="720" w:firstLine="720"/>
      </w:pPr>
    </w:p>
    <w:p w:rsidR="00012C76" w:rsidRDefault="00382483" w14:paraId="0A2134E0" w14:textId="77777777">
      <w:pPr>
        <w:ind w:firstLine="720"/>
      </w:pPr>
      <w:r>
        <w:t>12.2.4</w:t>
      </w:r>
      <w:r>
        <w:tab/>
      </w:r>
      <w:r>
        <w:t>providing the Buyer with any information requested by the Data Subject</w:t>
      </w:r>
    </w:p>
    <w:p w:rsidR="00012C76" w:rsidRDefault="00012C76" w14:paraId="36F634C4" w14:textId="77777777">
      <w:pPr>
        <w:ind w:firstLine="720"/>
      </w:pPr>
    </w:p>
    <w:p w:rsidR="00012C76" w:rsidRDefault="00382483" w14:paraId="1E53104F" w14:textId="77777777">
      <w:pPr>
        <w:ind w:left="720" w:hanging="720"/>
      </w:pPr>
      <w:r>
        <w:t>12.3</w:t>
      </w:r>
      <w:r>
        <w:tab/>
      </w:r>
      <w:r>
        <w:t>The Supplier must get prior written consent from the Buyer to transfer Buyer Personal Data to any other person (including any Subcontractors) for the provision of the G-Cloud Services.</w:t>
      </w:r>
    </w:p>
    <w:p w:rsidR="00012C76" w:rsidRDefault="00012C76" w14:paraId="73A556A7" w14:textId="77777777">
      <w:pPr>
        <w:ind w:left="720" w:hanging="720"/>
      </w:pPr>
    </w:p>
    <w:p w:rsidR="00012C76" w:rsidRDefault="00382483" w14:paraId="28FA2819" w14:textId="77777777">
      <w:pPr>
        <w:pStyle w:val="Heading3"/>
        <w:rPr>
          <w:color w:val="auto"/>
        </w:rPr>
      </w:pPr>
      <w:r>
        <w:rPr>
          <w:color w:val="auto"/>
        </w:rPr>
        <w:lastRenderedPageBreak/>
        <w:t>13.</w:t>
      </w:r>
      <w:r>
        <w:rPr>
          <w:color w:val="auto"/>
        </w:rPr>
        <w:tab/>
      </w:r>
      <w:r>
        <w:rPr>
          <w:color w:val="auto"/>
        </w:rPr>
        <w:t>Buyer data</w:t>
      </w:r>
    </w:p>
    <w:p w:rsidR="00012C76" w:rsidRDefault="00382483" w14:paraId="1FE1226C" w14:textId="77777777">
      <w:pPr>
        <w:spacing w:before="240" w:after="240"/>
      </w:pPr>
      <w:r>
        <w:t>13.1</w:t>
      </w:r>
      <w:r>
        <w:tab/>
      </w:r>
      <w:r>
        <w:t>The Supplier must not remove any proprietary notices in the Buyer Data.</w:t>
      </w:r>
    </w:p>
    <w:p w:rsidR="00012C76" w:rsidRDefault="00382483" w14:paraId="1AF24CD3" w14:textId="77777777">
      <w:r>
        <w:t>13.2</w:t>
      </w:r>
      <w:r>
        <w:tab/>
      </w:r>
      <w:r>
        <w:t>The Supplier will not store or use Buyer Data except if necessary to fulfil its</w:t>
      </w:r>
    </w:p>
    <w:p w:rsidR="00012C76" w:rsidRDefault="00382483" w14:paraId="5C79E7FC" w14:textId="77777777">
      <w:pPr>
        <w:ind w:firstLine="720"/>
      </w:pPr>
      <w:r>
        <w:t>obligations.</w:t>
      </w:r>
    </w:p>
    <w:p w:rsidR="00012C76" w:rsidRDefault="00012C76" w14:paraId="4BC58444" w14:textId="77777777"/>
    <w:p w:rsidR="00012C76" w:rsidRDefault="00382483" w14:paraId="736FF6BF" w14:textId="77777777">
      <w:pPr>
        <w:ind w:left="720" w:hanging="720"/>
      </w:pPr>
      <w:r>
        <w:t>13.3</w:t>
      </w:r>
      <w:r>
        <w:tab/>
      </w:r>
      <w:r>
        <w:t>If Buyer Data is processed by the Supplier, the Supplier will supply the data to the Buyer as requested.</w:t>
      </w:r>
    </w:p>
    <w:p w:rsidR="00012C76" w:rsidRDefault="00012C76" w14:paraId="2959F99F" w14:textId="77777777"/>
    <w:p w:rsidR="00012C76" w:rsidRDefault="00382483" w14:paraId="7BCA0287" w14:textId="77777777">
      <w:pPr>
        <w:ind w:left="720" w:hanging="720"/>
      </w:pPr>
      <w:r>
        <w:t>13.4</w:t>
      </w:r>
      <w:r>
        <w:tab/>
      </w:r>
      <w:r>
        <w:t>The Supplier must ensure that any Supplier system that holds any Buyer Data is a secure system that complies with the Supplier’s and Buyer’s security policies and all Buyer requirements in the Order Form.</w:t>
      </w:r>
    </w:p>
    <w:p w:rsidR="00012C76" w:rsidRDefault="00012C76" w14:paraId="0FCFF6F9" w14:textId="77777777">
      <w:pPr>
        <w:ind w:left="720"/>
      </w:pPr>
    </w:p>
    <w:p w:rsidR="00012C76" w:rsidRDefault="00382483" w14:paraId="384260BC" w14:textId="77777777">
      <w:pPr>
        <w:ind w:left="720" w:hanging="720"/>
      </w:pPr>
      <w:r>
        <w:t>13.5</w:t>
      </w:r>
      <w:r>
        <w:tab/>
      </w:r>
      <w:r>
        <w:t>The Supplier will preserve the integrity of Buyer Data processed by the Supplier and prevent its corruption and loss.</w:t>
      </w:r>
    </w:p>
    <w:p w:rsidR="00012C76" w:rsidRDefault="00012C76" w14:paraId="6585E190" w14:textId="77777777">
      <w:pPr>
        <w:ind w:firstLine="720"/>
      </w:pPr>
    </w:p>
    <w:p w:rsidR="00012C76" w:rsidRDefault="00382483" w14:paraId="5C2B4646" w14:textId="77777777">
      <w:pPr>
        <w:ind w:left="720" w:hanging="720"/>
      </w:pPr>
      <w:r>
        <w:t>13.6</w:t>
      </w:r>
      <w:r>
        <w:tab/>
      </w:r>
      <w:r>
        <w:t>The Supplier will ensure that any Supplier system which holds any protectively marked Buyer Data or other government data will comply with:</w:t>
      </w:r>
    </w:p>
    <w:p w:rsidR="00012C76" w:rsidRDefault="00012C76" w14:paraId="0333DA07" w14:textId="77777777">
      <w:pPr>
        <w:ind w:firstLine="720"/>
      </w:pPr>
    </w:p>
    <w:p w:rsidR="00012C76" w:rsidRDefault="00382483" w14:paraId="773FF5E9" w14:textId="77777777">
      <w:pPr>
        <w:ind w:firstLine="720"/>
      </w:pPr>
      <w:r>
        <w:t>13.6.1</w:t>
      </w:r>
      <w:r>
        <w:tab/>
      </w:r>
      <w:r>
        <w:t>the principles in the Security Policy Framework:</w:t>
      </w:r>
      <w:hyperlink w:history="1" r:id="rId13">
        <w:r>
          <w:rPr>
            <w:u w:val="single"/>
          </w:rPr>
          <w:t xml:space="preserve"> </w:t>
        </w:r>
      </w:hyperlink>
    </w:p>
    <w:p w:rsidR="00012C76" w:rsidRDefault="00820A9A" w14:paraId="6BC9F4C3" w14:textId="77777777">
      <w:pPr>
        <w:ind w:left="1440"/>
      </w:pPr>
      <w:hyperlink w:history="1" r:id="rId14">
        <w:r w:rsidR="00382483">
          <w:rPr>
            <w:rStyle w:val="Hyperlink"/>
          </w:rPr>
          <w:t>https://www.gov.uk/government/publications/security-policy-framework</w:t>
        </w:r>
      </w:hyperlink>
      <w:r w:rsidR="00382483">
        <w:rPr>
          <w:rStyle w:val="Hyperlink"/>
          <w:color w:val="auto"/>
        </w:rPr>
        <w:t xml:space="preserve"> and</w:t>
      </w:r>
    </w:p>
    <w:p w:rsidR="00012C76" w:rsidRDefault="00382483" w14:paraId="3DBFDD31" w14:textId="77777777">
      <w:pPr>
        <w:ind w:left="1440"/>
      </w:pPr>
      <w:r>
        <w:t>the Government Security Classification policy:</w:t>
      </w:r>
      <w:r>
        <w:rPr>
          <w:u w:val="single"/>
        </w:rPr>
        <w:t xml:space="preserve"> https:/www.gov.uk/government/publications/government-security-classifications</w:t>
      </w:r>
    </w:p>
    <w:p w:rsidR="00012C76" w:rsidRDefault="00012C76" w14:paraId="0495807D" w14:textId="77777777">
      <w:pPr>
        <w:ind w:left="1440"/>
      </w:pPr>
    </w:p>
    <w:p w:rsidR="00012C76" w:rsidRDefault="00382483" w14:paraId="766EED29" w14:textId="77777777">
      <w:pPr>
        <w:ind w:firstLine="720"/>
      </w:pPr>
      <w:r>
        <w:t>13.6.2</w:t>
      </w:r>
      <w:r>
        <w:tab/>
      </w:r>
      <w:r>
        <w:t>guidance issued by the Centre for Protection of National Infrastructure on</w:t>
      </w:r>
    </w:p>
    <w:p w:rsidR="00012C76" w:rsidRDefault="00382483" w14:paraId="188D2F1D" w14:textId="77777777">
      <w:pPr>
        <w:ind w:left="720" w:firstLine="720"/>
      </w:pPr>
      <w:r>
        <w:t>Risk Management:</w:t>
      </w:r>
    </w:p>
    <w:p w:rsidR="00012C76" w:rsidRDefault="00820A9A" w14:paraId="7B5530B1" w14:textId="77777777">
      <w:pPr>
        <w:ind w:left="720" w:firstLine="720"/>
      </w:pPr>
      <w:hyperlink w:history="1" r:id="rId15">
        <w:r w:rsidR="00382483">
          <w:rPr>
            <w:u w:val="single"/>
          </w:rPr>
          <w:t>https://www.cpni.gov.uk/content/adopt-risk-management-approach</w:t>
        </w:r>
      </w:hyperlink>
      <w:r w:rsidR="00382483">
        <w:t xml:space="preserve"> and</w:t>
      </w:r>
    </w:p>
    <w:p w:rsidR="00012C76" w:rsidRDefault="00382483" w14:paraId="0E39E93F" w14:textId="77777777">
      <w:pPr>
        <w:ind w:left="720" w:firstLine="720"/>
      </w:pPr>
      <w:r>
        <w:t>Protection of Sensitive Information and Assets:</w:t>
      </w:r>
      <w:hyperlink w:history="1" r:id="rId16">
        <w:r>
          <w:rPr>
            <w:u w:val="single"/>
          </w:rPr>
          <w:t xml:space="preserve"> </w:t>
        </w:r>
      </w:hyperlink>
    </w:p>
    <w:p w:rsidR="00012C76" w:rsidRDefault="00820A9A" w14:paraId="5EB5BB93" w14:textId="77777777">
      <w:pPr>
        <w:ind w:left="720" w:firstLine="720"/>
      </w:pPr>
      <w:hyperlink w:history="1" r:id="rId17">
        <w:r w:rsidR="00382483">
          <w:rPr>
            <w:u w:val="single"/>
          </w:rPr>
          <w:t>https://www.cpni.gov.uk/protection-sensitive-information-and-assets</w:t>
        </w:r>
      </w:hyperlink>
    </w:p>
    <w:p w:rsidR="00012C76" w:rsidRDefault="00012C76" w14:paraId="7CE9DE40" w14:textId="77777777">
      <w:pPr>
        <w:ind w:left="720" w:firstLine="720"/>
      </w:pPr>
    </w:p>
    <w:p w:rsidR="00012C76" w:rsidRDefault="00382483" w14:paraId="33003403" w14:textId="77777777">
      <w:pPr>
        <w:ind w:left="1440" w:hanging="720"/>
      </w:pPr>
      <w:r>
        <w:t>13.6.3</w:t>
      </w:r>
      <w:r>
        <w:tab/>
      </w:r>
      <w:r>
        <w:t>the National Cyber Security Centre’s (NCSC) information risk management guidance:</w:t>
      </w:r>
    </w:p>
    <w:p w:rsidR="00012C76" w:rsidRDefault="00820A9A" w14:paraId="29D82D2F" w14:textId="77777777">
      <w:pPr>
        <w:ind w:left="720" w:firstLine="720"/>
      </w:pPr>
      <w:hyperlink w:history="1" r:id="rId18">
        <w:r w:rsidR="00382483">
          <w:rPr>
            <w:u w:val="single"/>
          </w:rPr>
          <w:t>https://www.ncsc.gov.uk/collection/risk-management-collection</w:t>
        </w:r>
      </w:hyperlink>
    </w:p>
    <w:p w:rsidR="00012C76" w:rsidRDefault="00012C76" w14:paraId="654A3299" w14:textId="77777777"/>
    <w:p w:rsidR="00012C76" w:rsidRDefault="00382483" w14:paraId="6A83FF35" w14:textId="77777777">
      <w:pPr>
        <w:ind w:left="1440" w:hanging="720"/>
      </w:pPr>
      <w:r>
        <w:t>13.6.4</w:t>
      </w:r>
      <w:r>
        <w:tab/>
      </w:r>
      <w:r>
        <w:t>government best practice in the design and implementation of system components, including network principles, security design principles for digital services and the secure email blueprint:</w:t>
      </w:r>
    </w:p>
    <w:p w:rsidR="00012C76" w:rsidRDefault="00820A9A" w14:paraId="64E2761C" w14:textId="77777777">
      <w:pPr>
        <w:ind w:left="1440"/>
      </w:pPr>
      <w:hyperlink w:history="1" r:id="rId19">
        <w:r w:rsidR="00382483">
          <w:rPr>
            <w:rStyle w:val="Hyperlink"/>
            <w:color w:val="auto"/>
          </w:rPr>
          <w:t>https://www.gov.uk/government/publications/technology-code-of-practice/technology-code-of-practice</w:t>
        </w:r>
      </w:hyperlink>
    </w:p>
    <w:p w:rsidR="00012C76" w:rsidRDefault="00012C76" w14:paraId="5ED9F28D" w14:textId="77777777">
      <w:pPr>
        <w:ind w:left="1440"/>
      </w:pPr>
    </w:p>
    <w:p w:rsidR="00012C76" w:rsidRDefault="00382483" w14:paraId="6A3AF804" w14:textId="77777777">
      <w:pPr>
        <w:ind w:left="1440" w:hanging="720"/>
      </w:pPr>
      <w:r>
        <w:t>13.6.5</w:t>
      </w:r>
      <w:r>
        <w:tab/>
      </w:r>
      <w:r>
        <w:t>the security requirements of cloud services using the NCSC Cloud Security Principles and accompanying guidance:</w:t>
      </w:r>
      <w:hyperlink w:history="1" r:id="rId20">
        <w:r>
          <w:rPr>
            <w:u w:val="single"/>
          </w:rPr>
          <w:t xml:space="preserve"> </w:t>
        </w:r>
      </w:hyperlink>
    </w:p>
    <w:p w:rsidR="00012C76" w:rsidRDefault="00820A9A" w14:paraId="7349A7C3" w14:textId="77777777">
      <w:pPr>
        <w:ind w:left="720" w:firstLine="720"/>
      </w:pPr>
      <w:hyperlink w:history="1" r:id="rId21">
        <w:r w:rsidR="00382483">
          <w:rPr>
            <w:rStyle w:val="Hyperlink"/>
            <w:color w:val="auto"/>
          </w:rPr>
          <w:t>https://www.ncsc.gov.uk/guidance/implementing-cloud-security-principles</w:t>
        </w:r>
      </w:hyperlink>
    </w:p>
    <w:p w:rsidR="00012C76" w:rsidRDefault="00012C76" w14:paraId="6BB5DCC6" w14:textId="77777777"/>
    <w:p w:rsidR="00012C76" w:rsidRDefault="00382483" w14:paraId="3AE3785D" w14:textId="77777777">
      <w:pPr>
        <w:spacing w:line="240" w:lineRule="auto"/>
        <w:ind w:firstLine="720"/>
      </w:pPr>
      <w:r>
        <w:rPr>
          <w:rFonts w:eastAsia="Times New Roman"/>
          <w:lang w:eastAsia="en-US"/>
        </w:rPr>
        <w:t>13.6.6</w:t>
      </w:r>
      <w:r>
        <w:rPr>
          <w:rFonts w:eastAsia="Times New Roman"/>
          <w:lang w:eastAsia="en-US"/>
        </w:rPr>
        <w:tab/>
      </w:r>
      <w:r>
        <w:rPr>
          <w:rFonts w:eastAsia="Times New Roman"/>
          <w:lang w:eastAsia="en-US"/>
        </w:rPr>
        <w:t>buyer requirements in respect of AI ethical standards</w:t>
      </w:r>
    </w:p>
    <w:p w:rsidR="00012C76" w:rsidRDefault="00012C76" w14:paraId="438D58EF" w14:textId="77777777"/>
    <w:p w:rsidR="00012C76" w:rsidRDefault="00382483" w14:paraId="209997CD" w14:textId="77777777">
      <w:r>
        <w:t>13.7</w:t>
      </w:r>
      <w:r>
        <w:tab/>
      </w:r>
      <w:r>
        <w:t>The Buyer will specify any security requirements for this project in the Order Form.</w:t>
      </w:r>
    </w:p>
    <w:p w:rsidR="00012C76" w:rsidRDefault="00012C76" w14:paraId="3F61582F" w14:textId="77777777"/>
    <w:p w:rsidR="00012C76" w:rsidRDefault="00382483" w14:paraId="1480CC35" w14:textId="77777777">
      <w:pPr>
        <w:ind w:left="720" w:hanging="720"/>
      </w:pPr>
      <w:r>
        <w:t>13.8</w:t>
      </w:r>
      <w:r>
        <w:tab/>
      </w:r>
      <w:r>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rsidR="00012C76" w:rsidRDefault="00012C76" w14:paraId="2C26CB85" w14:textId="77777777">
      <w:pPr>
        <w:ind w:left="720"/>
      </w:pPr>
    </w:p>
    <w:p w:rsidR="00012C76" w:rsidRDefault="00382483" w14:paraId="675A84FB" w14:textId="77777777">
      <w:pPr>
        <w:ind w:left="720" w:hanging="720"/>
      </w:pPr>
      <w:r>
        <w:t>13.9</w:t>
      </w:r>
      <w:r>
        <w:tab/>
      </w:r>
      <w:r>
        <w:t>The Supplier agrees to use the appropriate organisational, operational and technological processes to keep the Buyer Data safe from unauthorised use or access, loss, destruction, theft or disclosure.</w:t>
      </w:r>
    </w:p>
    <w:p w:rsidR="00012C76" w:rsidRDefault="00012C76" w14:paraId="16AC7EF5" w14:textId="77777777">
      <w:pPr>
        <w:ind w:left="720"/>
      </w:pPr>
    </w:p>
    <w:p w:rsidR="00012C76" w:rsidRDefault="00382483" w14:paraId="728F3473" w14:textId="77777777">
      <w:pPr>
        <w:ind w:left="720" w:hanging="720"/>
      </w:pPr>
      <w:r>
        <w:t>13.10</w:t>
      </w:r>
      <w:r>
        <w:tab/>
      </w:r>
      <w:r>
        <w:t>The provisions of this clause 13 will apply during the term of this Call-Off Contract and for as long as the Supplier holds the Buyer’s Data.</w:t>
      </w:r>
    </w:p>
    <w:p w:rsidR="00012C76" w:rsidRDefault="00012C76" w14:paraId="7ADC097F" w14:textId="77777777">
      <w:pPr>
        <w:spacing w:before="240" w:after="240"/>
      </w:pPr>
    </w:p>
    <w:p w:rsidR="00012C76" w:rsidRDefault="00382483" w14:paraId="666558BA" w14:textId="77777777">
      <w:pPr>
        <w:pStyle w:val="Heading3"/>
        <w:rPr>
          <w:color w:val="auto"/>
        </w:rPr>
      </w:pPr>
      <w:r>
        <w:rPr>
          <w:color w:val="auto"/>
        </w:rPr>
        <w:t>14.</w:t>
      </w:r>
      <w:r>
        <w:rPr>
          <w:color w:val="auto"/>
        </w:rPr>
        <w:tab/>
      </w:r>
      <w:r>
        <w:rPr>
          <w:color w:val="auto"/>
        </w:rPr>
        <w:t>Standards and quality</w:t>
      </w:r>
    </w:p>
    <w:p w:rsidR="00012C76" w:rsidRDefault="00382483" w14:paraId="5909C0B2" w14:textId="77777777">
      <w:pPr>
        <w:ind w:left="720" w:hanging="720"/>
      </w:pPr>
      <w:r>
        <w:t>14.1</w:t>
      </w:r>
      <w:r>
        <w:tab/>
      </w:r>
      <w:r>
        <w:t>The Supplier will comply with any standards in this Call-Off Contract, the Order Form and the Framework Agreement.</w:t>
      </w:r>
    </w:p>
    <w:p w:rsidR="00012C76" w:rsidRDefault="00012C76" w14:paraId="6632406F" w14:textId="77777777">
      <w:pPr>
        <w:ind w:firstLine="720"/>
      </w:pPr>
    </w:p>
    <w:p w:rsidR="00012C76" w:rsidRDefault="00382483" w14:paraId="30DEBF03" w14:textId="77777777">
      <w:pPr>
        <w:ind w:left="720" w:hanging="720"/>
      </w:pPr>
      <w:r>
        <w:t>14.2</w:t>
      </w:r>
      <w:r>
        <w:tab/>
      </w:r>
      <w:r>
        <w:t>The Supplier will deliver the Services in a way that enables the Buyer to comply with its obligations under the Technology Code of Practice, which is at:</w:t>
      </w:r>
      <w:hyperlink w:history="1" r:id="rId22">
        <w:r>
          <w:rPr>
            <w:u w:val="single"/>
          </w:rPr>
          <w:t xml:space="preserve"> </w:t>
        </w:r>
      </w:hyperlink>
    </w:p>
    <w:p w:rsidR="00012C76" w:rsidRDefault="00820A9A" w14:paraId="6C52A403" w14:textId="77777777">
      <w:pPr>
        <w:ind w:left="720"/>
      </w:pPr>
      <w:hyperlink w:history="1" r:id="rId23">
        <w:r w:rsidR="00382483">
          <w:rPr>
            <w:u w:val="single"/>
          </w:rPr>
          <w:t>https://www.gov.uk/government/publications/technology-code-of-practice/technology-code-of-practice</w:t>
        </w:r>
      </w:hyperlink>
    </w:p>
    <w:p w:rsidR="00012C76" w:rsidRDefault="00012C76" w14:paraId="396B03B2" w14:textId="77777777">
      <w:pPr>
        <w:ind w:left="720" w:hanging="720"/>
      </w:pPr>
    </w:p>
    <w:p w:rsidR="00012C76" w:rsidRDefault="00382483" w14:paraId="5979A033" w14:textId="77777777">
      <w:pPr>
        <w:ind w:left="720" w:hanging="720"/>
      </w:pPr>
      <w:r>
        <w:t>14.3</w:t>
      </w:r>
      <w:r>
        <w:tab/>
      </w:r>
      <w:r>
        <w:t>If requested by the Buyer, the Supplier must, at its own cost, ensure that the G-Cloud Services comply with the requirements in the PSN Code of Practice.</w:t>
      </w:r>
    </w:p>
    <w:p w:rsidR="00012C76" w:rsidRDefault="00012C76" w14:paraId="2A03AAE2" w14:textId="77777777">
      <w:pPr>
        <w:ind w:firstLine="720"/>
      </w:pPr>
    </w:p>
    <w:p w:rsidR="00012C76" w:rsidRDefault="00382483" w14:paraId="69BF5838" w14:textId="77777777">
      <w:pPr>
        <w:ind w:left="720" w:hanging="720"/>
      </w:pPr>
      <w:r>
        <w:t>14.4</w:t>
      </w:r>
      <w:r>
        <w:tab/>
      </w:r>
      <w:r>
        <w:t>If any PSN Services are Subcontracted by the Supplier, the Supplier must ensure that the services have the relevant PSN compliance certification.</w:t>
      </w:r>
    </w:p>
    <w:p w:rsidR="00012C76" w:rsidRDefault="00012C76" w14:paraId="6CA85E6B" w14:textId="77777777">
      <w:pPr>
        <w:ind w:firstLine="720"/>
      </w:pPr>
    </w:p>
    <w:p w:rsidR="00012C76" w:rsidRDefault="00382483" w14:paraId="123B154D" w14:textId="77777777">
      <w:pPr>
        <w:ind w:left="720" w:hanging="720"/>
      </w:pPr>
      <w:r>
        <w:t>14.5</w:t>
      </w:r>
      <w:r>
        <w:tab/>
      </w: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012C76" w:rsidRDefault="00382483" w14:paraId="7FACEA22" w14:textId="77777777">
      <w:r>
        <w:t xml:space="preserve"> </w:t>
      </w:r>
    </w:p>
    <w:p w:rsidR="00012C76" w:rsidRDefault="00382483" w14:paraId="279F1F47" w14:textId="77777777">
      <w:pPr>
        <w:pStyle w:val="Heading3"/>
        <w:rPr>
          <w:color w:val="auto"/>
        </w:rPr>
      </w:pPr>
      <w:r>
        <w:rPr>
          <w:color w:val="auto"/>
        </w:rPr>
        <w:t>15.</w:t>
      </w:r>
      <w:r>
        <w:rPr>
          <w:color w:val="auto"/>
        </w:rPr>
        <w:tab/>
      </w:r>
      <w:r>
        <w:rPr>
          <w:color w:val="auto"/>
        </w:rPr>
        <w:t>Open source</w:t>
      </w:r>
    </w:p>
    <w:p w:rsidR="00012C76" w:rsidRDefault="00382483" w14:paraId="1E7FA343" w14:textId="77777777">
      <w:pPr>
        <w:ind w:left="720" w:hanging="720"/>
      </w:pPr>
      <w:r>
        <w:t>15.1</w:t>
      </w:r>
      <w:r>
        <w:tab/>
      </w:r>
      <w:r>
        <w:t xml:space="preserve">All software created for the Buyer must </w:t>
      </w:r>
      <w:r w:rsidR="00BB371C">
        <w:t xml:space="preserve">not </w:t>
      </w:r>
      <w:r>
        <w:t>be suitable for publication as open source, unless otherwise agreed by the Buyer.</w:t>
      </w:r>
    </w:p>
    <w:p w:rsidR="00012C76" w:rsidRDefault="00012C76" w14:paraId="21A70B39" w14:textId="77777777">
      <w:pPr>
        <w:ind w:firstLine="720"/>
      </w:pPr>
    </w:p>
    <w:p w:rsidR="00012C76" w:rsidRDefault="00382483" w14:paraId="206640EE" w14:textId="77777777">
      <w:pPr>
        <w:ind w:left="720" w:hanging="720"/>
      </w:pPr>
      <w:r>
        <w:t>15.2</w:t>
      </w:r>
      <w:r>
        <w:tab/>
      </w:r>
      <w:r>
        <w:t>If software needs to be converted before publication as open source, the Supplier must also provide the converted format unless otherwise agreed by the Buyer.</w:t>
      </w:r>
    </w:p>
    <w:p w:rsidR="00012C76" w:rsidRDefault="00382483" w14:paraId="0DD5BF48" w14:textId="77777777">
      <w:pPr>
        <w:spacing w:before="240" w:after="240"/>
        <w:ind w:left="720"/>
      </w:pPr>
      <w:r>
        <w:t xml:space="preserve"> </w:t>
      </w:r>
    </w:p>
    <w:p w:rsidR="00012C76" w:rsidRDefault="00382483" w14:paraId="5C17F84F" w14:textId="77777777">
      <w:pPr>
        <w:pStyle w:val="Heading3"/>
        <w:rPr>
          <w:color w:val="auto"/>
        </w:rPr>
      </w:pPr>
      <w:r>
        <w:rPr>
          <w:color w:val="auto"/>
        </w:rPr>
        <w:t>16.</w:t>
      </w:r>
      <w:r>
        <w:rPr>
          <w:color w:val="auto"/>
        </w:rPr>
        <w:tab/>
      </w:r>
      <w:r>
        <w:rPr>
          <w:color w:val="auto"/>
        </w:rPr>
        <w:t>Security</w:t>
      </w:r>
    </w:p>
    <w:p w:rsidR="00012C76" w:rsidRDefault="00382483" w14:paraId="1E9DCFA9" w14:textId="77777777">
      <w:pPr>
        <w:ind w:left="720" w:hanging="720"/>
      </w:pPr>
      <w:r>
        <w:t>16.1</w:t>
      </w:r>
      <w:r>
        <w:tab/>
      </w:r>
      <w: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rsidR="00012C76" w:rsidRDefault="00012C76" w14:paraId="27343B85" w14:textId="77777777">
      <w:pPr>
        <w:ind w:left="720"/>
      </w:pPr>
    </w:p>
    <w:p w:rsidR="00012C76" w:rsidRDefault="00382483" w14:paraId="19DC2ED7" w14:textId="77777777">
      <w:pPr>
        <w:ind w:left="720" w:hanging="720"/>
      </w:pPr>
      <w:r>
        <w:t>16.2</w:t>
      </w:r>
      <w:r>
        <w:tab/>
      </w:r>
      <w:r>
        <w:t>The Supplier will use all reasonable endeavours, software and the most up-to-date antivirus definitions available from an industry-accepted antivirus software seller to minimise the impact of Malicious Software.</w:t>
      </w:r>
    </w:p>
    <w:p w:rsidR="00012C76" w:rsidRDefault="00012C76" w14:paraId="2EFDB98F" w14:textId="77777777">
      <w:pPr>
        <w:ind w:left="720"/>
      </w:pPr>
    </w:p>
    <w:p w:rsidR="00012C76" w:rsidRDefault="00382483" w14:paraId="56C4796A" w14:textId="77777777">
      <w:pPr>
        <w:ind w:left="720" w:hanging="720"/>
      </w:pPr>
      <w:r>
        <w:t>16.3</w:t>
      </w:r>
      <w:r>
        <w:tab/>
      </w:r>
      <w:r>
        <w:t>If Malicious Software causes loss of operational efficiency or loss or corruption of Service Data, the Supplier will help the Buyer to mitigate any losses and restore the Services to operating efficiency as soon as possible.</w:t>
      </w:r>
    </w:p>
    <w:p w:rsidR="00012C76" w:rsidRDefault="00012C76" w14:paraId="4A72C8E0" w14:textId="77777777">
      <w:pPr>
        <w:ind w:firstLine="720"/>
      </w:pPr>
    </w:p>
    <w:p w:rsidR="00012C76" w:rsidRDefault="00382483" w14:paraId="30910C66" w14:textId="77777777">
      <w:r>
        <w:t>16.4</w:t>
      </w:r>
      <w:r>
        <w:tab/>
      </w:r>
      <w:r>
        <w:t>Responsibility for costs will be at the:</w:t>
      </w:r>
    </w:p>
    <w:p w:rsidR="00012C76" w:rsidRDefault="00382483" w14:paraId="4795626C" w14:textId="77777777">
      <w:r>
        <w:tab/>
      </w:r>
    </w:p>
    <w:p w:rsidR="00012C76" w:rsidRDefault="00382483" w14:paraId="48ED9A02" w14:textId="77777777">
      <w:pPr>
        <w:ind w:left="1440" w:hanging="720"/>
      </w:pPr>
      <w:r>
        <w:t>16.4.1</w:t>
      </w:r>
      <w:r>
        <w:tab/>
      </w: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12C76" w:rsidRDefault="00012C76" w14:paraId="5E3A1139" w14:textId="77777777">
      <w:pPr>
        <w:ind w:left="1440"/>
      </w:pPr>
    </w:p>
    <w:p w:rsidR="00012C76" w:rsidRDefault="00382483" w14:paraId="74B39105" w14:textId="77777777">
      <w:pPr>
        <w:ind w:left="1440" w:hanging="720"/>
      </w:pPr>
      <w:r>
        <w:t>16.4.2</w:t>
      </w:r>
      <w:r>
        <w:tab/>
      </w:r>
      <w:r>
        <w:t>Buyer’s expense if the Malicious Software originates from the Buyer software or the Service Data, while the Service Data was under the Buyer’s control</w:t>
      </w:r>
    </w:p>
    <w:p w:rsidR="00012C76" w:rsidRDefault="00012C76" w14:paraId="27CF5A70" w14:textId="77777777">
      <w:pPr>
        <w:ind w:left="720" w:firstLine="720"/>
      </w:pPr>
    </w:p>
    <w:p w:rsidR="00012C76" w:rsidRDefault="00382483" w14:paraId="58CD4AA3" w14:textId="77777777">
      <w:pPr>
        <w:ind w:left="720" w:hanging="720"/>
      </w:pPr>
      <w:r>
        <w:t>16.5</w:t>
      </w:r>
      <w:r>
        <w:tab/>
      </w:r>
      <w:r>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12C76" w:rsidRDefault="00012C76" w14:paraId="56B521C9" w14:textId="77777777">
      <w:pPr>
        <w:ind w:left="720"/>
      </w:pPr>
    </w:p>
    <w:p w:rsidR="00012C76" w:rsidRDefault="00382483" w14:paraId="7DDDFC4D" w14:textId="77777777">
      <w:pPr>
        <w:ind w:left="720" w:hanging="720"/>
      </w:pPr>
      <w:r>
        <w:t>16.6</w:t>
      </w:r>
      <w:r>
        <w:tab/>
      </w:r>
      <w:r>
        <w:t>Any system development by the Supplier should also comply with the government’s ‘10 Steps to Cyber Security’ guidance:</w:t>
      </w:r>
      <w:hyperlink w:history="1" r:id="rId24">
        <w:r>
          <w:rPr>
            <w:u w:val="single"/>
          </w:rPr>
          <w:t xml:space="preserve"> </w:t>
        </w:r>
      </w:hyperlink>
    </w:p>
    <w:p w:rsidR="00012C76" w:rsidRDefault="00820A9A" w14:paraId="4824FF79" w14:textId="77777777">
      <w:pPr>
        <w:ind w:left="720"/>
      </w:pPr>
      <w:hyperlink w:history="1" r:id="rId25">
        <w:r w:rsidR="00382483">
          <w:rPr>
            <w:u w:val="single"/>
          </w:rPr>
          <w:t>https://www.ncsc.gov.uk/guidance/10-steps-cyber-security</w:t>
        </w:r>
      </w:hyperlink>
    </w:p>
    <w:p w:rsidR="00012C76" w:rsidRDefault="00012C76" w14:paraId="4E699534" w14:textId="77777777">
      <w:pPr>
        <w:ind w:left="720"/>
      </w:pPr>
    </w:p>
    <w:p w:rsidR="00012C76" w:rsidRDefault="00382483" w14:paraId="438DDA56" w14:textId="77777777">
      <w:pPr>
        <w:ind w:left="720" w:hanging="720"/>
      </w:pPr>
      <w:r>
        <w:t>16.7</w:t>
      </w:r>
      <w:r>
        <w:tab/>
      </w:r>
      <w:r>
        <w:t>If a Buyer has requested in the Order Form that the Supplier has a Cyber Essentials certificate, the Supplier must provide the Buyer with a valid Cyber Essentials certificate (or equivalent) required for the Services before the Start date.</w:t>
      </w:r>
    </w:p>
    <w:p w:rsidR="00012C76" w:rsidRDefault="00382483" w14:paraId="33FDE50B" w14:textId="77777777">
      <w:r>
        <w:t xml:space="preserve"> </w:t>
      </w:r>
    </w:p>
    <w:p w:rsidR="00012C76" w:rsidRDefault="00382483" w14:paraId="2E489BA2" w14:textId="77777777">
      <w:pPr>
        <w:pStyle w:val="Heading3"/>
        <w:rPr>
          <w:color w:val="auto"/>
        </w:rPr>
      </w:pPr>
      <w:r>
        <w:rPr>
          <w:color w:val="auto"/>
        </w:rPr>
        <w:t>17.</w:t>
      </w:r>
      <w:r>
        <w:rPr>
          <w:color w:val="auto"/>
        </w:rPr>
        <w:tab/>
      </w:r>
      <w:r>
        <w:rPr>
          <w:color w:val="auto"/>
        </w:rPr>
        <w:t>Guarantee</w:t>
      </w:r>
    </w:p>
    <w:p w:rsidR="00012C76" w:rsidRDefault="00382483" w14:paraId="32875804" w14:textId="77777777">
      <w:pPr>
        <w:ind w:left="720" w:hanging="720"/>
      </w:pPr>
      <w:r>
        <w:t>17.1</w:t>
      </w:r>
      <w:r>
        <w:tab/>
      </w:r>
      <w:r>
        <w:t>If this Call-Off Contract is conditional on receipt of a Guarantee that is acceptable to the Buyer, the Supplier must give the Buyer on or before the Start date:</w:t>
      </w:r>
    </w:p>
    <w:p w:rsidR="00012C76" w:rsidRDefault="00012C76" w14:paraId="0D4853D8" w14:textId="77777777">
      <w:pPr>
        <w:ind w:firstLine="720"/>
      </w:pPr>
    </w:p>
    <w:p w:rsidR="00012C76" w:rsidRDefault="00382483" w14:paraId="2AC53666" w14:textId="77777777">
      <w:pPr>
        <w:ind w:firstLine="720"/>
      </w:pPr>
      <w:r>
        <w:t>17.1.1</w:t>
      </w:r>
      <w:r>
        <w:tab/>
      </w:r>
      <w:r>
        <w:t>an executed Guarantee in the form at Schedule 5</w:t>
      </w:r>
    </w:p>
    <w:p w:rsidR="00012C76" w:rsidRDefault="00012C76" w14:paraId="6AC4B1FB" w14:textId="77777777"/>
    <w:p w:rsidR="00012C76" w:rsidRDefault="00382483" w14:paraId="16ECDC9A" w14:textId="77777777">
      <w:pPr>
        <w:ind w:left="1440" w:hanging="720"/>
      </w:pPr>
      <w:r>
        <w:t>17.1.2</w:t>
      </w:r>
      <w:r>
        <w:tab/>
      </w:r>
      <w:r>
        <w:t>a certified copy of the passed resolution or board minutes of the guarantor approving the execution of the Guarantee</w:t>
      </w:r>
    </w:p>
    <w:p w:rsidR="00012C76" w:rsidRDefault="00012C76" w14:paraId="17D7C183" w14:textId="77777777">
      <w:pPr>
        <w:ind w:left="720" w:firstLine="720"/>
      </w:pPr>
    </w:p>
    <w:p w:rsidR="00012C76" w:rsidRDefault="00382483" w14:paraId="4B276F98" w14:textId="77777777">
      <w:pPr>
        <w:pStyle w:val="Heading3"/>
        <w:rPr>
          <w:color w:val="auto"/>
        </w:rPr>
      </w:pPr>
      <w:r>
        <w:rPr>
          <w:color w:val="auto"/>
        </w:rPr>
        <w:t>18.</w:t>
      </w:r>
      <w:r>
        <w:rPr>
          <w:color w:val="auto"/>
        </w:rPr>
        <w:tab/>
      </w:r>
      <w:r>
        <w:rPr>
          <w:color w:val="auto"/>
        </w:rPr>
        <w:t>Ending the Call-Off Contract</w:t>
      </w:r>
    </w:p>
    <w:p w:rsidR="00012C76" w:rsidRDefault="00382483" w14:paraId="42F0EC1E" w14:textId="77777777">
      <w:pPr>
        <w:ind w:left="720" w:hanging="720"/>
      </w:pPr>
      <w:r>
        <w:t>18.1</w:t>
      </w:r>
      <w:r>
        <w:tab/>
      </w:r>
      <w:r>
        <w:t>The Buyer can End this Call-Off Contract at any time by giving 30 days’ written notice to the Supplier, unless a shorter period is specified in the Order Form. The Supplier’s obligation to provide the Services will end on the date in the notice.</w:t>
      </w:r>
    </w:p>
    <w:p w:rsidR="00012C76" w:rsidRDefault="00012C76" w14:paraId="2F9F02D5" w14:textId="77777777">
      <w:pPr>
        <w:ind w:left="720"/>
      </w:pPr>
    </w:p>
    <w:p w:rsidR="00012C76" w:rsidRDefault="00382483" w14:paraId="023C673F" w14:textId="77777777">
      <w:r>
        <w:lastRenderedPageBreak/>
        <w:t>18.2</w:t>
      </w:r>
      <w:r>
        <w:tab/>
      </w:r>
      <w:r>
        <w:t>The Parties agree that the:</w:t>
      </w:r>
    </w:p>
    <w:p w:rsidR="00012C76" w:rsidRDefault="00012C76" w14:paraId="62518266" w14:textId="77777777"/>
    <w:p w:rsidR="00012C76" w:rsidRDefault="00382483" w14:paraId="6C046AD5" w14:textId="77777777">
      <w:pPr>
        <w:ind w:left="1440" w:hanging="720"/>
      </w:pPr>
      <w:r>
        <w:t>18.2.1</w:t>
      </w:r>
      <w:r>
        <w:tab/>
      </w:r>
      <w:r>
        <w:t>Buyer’s right to End the Call-Off Contract under clause 18.1 is reasonable considering the type of cloud Service being provided</w:t>
      </w:r>
    </w:p>
    <w:p w:rsidR="00012C76" w:rsidRDefault="00012C76" w14:paraId="00834DD1" w14:textId="77777777">
      <w:pPr>
        <w:ind w:left="720"/>
      </w:pPr>
    </w:p>
    <w:p w:rsidR="00012C76" w:rsidRDefault="00382483" w14:paraId="484CF5B6" w14:textId="77777777">
      <w:pPr>
        <w:ind w:left="1440" w:hanging="720"/>
      </w:pPr>
      <w:r>
        <w:t>18.2.2</w:t>
      </w:r>
      <w:r>
        <w:tab/>
      </w:r>
      <w:r>
        <w:t>Call-Off Contract Charges paid during the notice period is reasonable compensation and covers all the Supplier’s avoidable costs or Losses</w:t>
      </w:r>
    </w:p>
    <w:p w:rsidR="00012C76" w:rsidRDefault="00012C76" w14:paraId="4B7B1618" w14:textId="77777777">
      <w:pPr>
        <w:ind w:left="720" w:firstLine="720"/>
      </w:pPr>
    </w:p>
    <w:p w:rsidR="00012C76" w:rsidRDefault="00382483" w14:paraId="4C0B66E4" w14:textId="77777777">
      <w:pPr>
        <w:ind w:left="720" w:hanging="720"/>
      </w:pPr>
      <w:r>
        <w:t>18.3</w:t>
      </w:r>
      <w:r>
        <w:tab/>
      </w:r>
      <w:r>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12C76" w:rsidRDefault="00012C76" w14:paraId="6C77204D" w14:textId="77777777">
      <w:pPr>
        <w:ind w:left="720"/>
      </w:pPr>
    </w:p>
    <w:p w:rsidR="00012C76" w:rsidRDefault="00382483" w14:paraId="311F2442" w14:textId="77777777">
      <w:pPr>
        <w:ind w:left="720" w:hanging="720"/>
      </w:pPr>
      <w:r>
        <w:t>18.4</w:t>
      </w:r>
      <w:r>
        <w:tab/>
      </w:r>
      <w:r>
        <w:t>The Buyer will have the right to End this Call-Off Contract at any time with immediate effect by written notice to the Supplier if either the Supplier commits:</w:t>
      </w:r>
    </w:p>
    <w:p w:rsidR="00012C76" w:rsidRDefault="00012C76" w14:paraId="12BEBC3D" w14:textId="77777777">
      <w:pPr>
        <w:ind w:firstLine="720"/>
      </w:pPr>
    </w:p>
    <w:p w:rsidR="00012C76" w:rsidRDefault="00382483" w14:paraId="3A4835D8" w14:textId="77777777">
      <w:pPr>
        <w:ind w:left="1440" w:hanging="720"/>
      </w:pPr>
      <w:r>
        <w:t>18.4.1</w:t>
      </w:r>
      <w:r>
        <w:tab/>
      </w:r>
      <w:r>
        <w:t>a Supplier Default and if the Supplier Default cannot, in the reasonable opinion of the Buyer, be remedied</w:t>
      </w:r>
    </w:p>
    <w:p w:rsidR="00012C76" w:rsidRDefault="00012C76" w14:paraId="7F467675" w14:textId="77777777">
      <w:pPr>
        <w:ind w:left="720" w:firstLine="720"/>
      </w:pPr>
    </w:p>
    <w:p w:rsidR="00012C76" w:rsidRDefault="00382483" w14:paraId="4D3B6249" w14:textId="77777777">
      <w:pPr>
        <w:ind w:firstLine="720"/>
      </w:pPr>
      <w:r>
        <w:t>18.4.2</w:t>
      </w:r>
      <w:r>
        <w:tab/>
      </w:r>
      <w:r>
        <w:t>any fraud</w:t>
      </w:r>
    </w:p>
    <w:p w:rsidR="00012C76" w:rsidRDefault="00012C76" w14:paraId="7A36670E" w14:textId="77777777">
      <w:pPr>
        <w:ind w:firstLine="720"/>
      </w:pPr>
    </w:p>
    <w:p w:rsidR="00012C76" w:rsidRDefault="00382483" w14:paraId="141C6A71" w14:textId="77777777">
      <w:r>
        <w:t>18.5</w:t>
      </w:r>
      <w:r>
        <w:tab/>
      </w:r>
      <w:r>
        <w:t>A Party can End this Call-Off Contract at any time with immediate effect by written notice if:</w:t>
      </w:r>
    </w:p>
    <w:p w:rsidR="00012C76" w:rsidRDefault="00012C76" w14:paraId="212C2953" w14:textId="77777777">
      <w:pPr>
        <w:ind w:firstLine="720"/>
      </w:pPr>
    </w:p>
    <w:p w:rsidR="00012C76" w:rsidRDefault="00382483" w14:paraId="363A1870" w14:textId="77777777">
      <w:pPr>
        <w:ind w:left="1440" w:hanging="720"/>
      </w:pPr>
      <w:r>
        <w:t>18.5.1</w:t>
      </w:r>
      <w:r>
        <w:tab/>
      </w:r>
      <w:r>
        <w:t>the other Party commits a Material Breach of any term of this Call-Off Contract (other than failure to pay any amounts due) and, if that breach is remediable, fails to remedy it within 15 Working Days of being notified in writing to do so</w:t>
      </w:r>
    </w:p>
    <w:p w:rsidR="00012C76" w:rsidRDefault="00012C76" w14:paraId="6DC85EDF" w14:textId="77777777">
      <w:pPr>
        <w:ind w:left="1440"/>
      </w:pPr>
    </w:p>
    <w:p w:rsidR="00012C76" w:rsidRDefault="00382483" w14:paraId="3AEC7737" w14:textId="77777777">
      <w:pPr>
        <w:ind w:firstLine="720"/>
      </w:pPr>
      <w:r>
        <w:t>18.5.2</w:t>
      </w:r>
      <w:r>
        <w:tab/>
      </w:r>
      <w:r>
        <w:t>an Insolvency Event of the other Party happens</w:t>
      </w:r>
    </w:p>
    <w:p w:rsidR="00012C76" w:rsidRDefault="00012C76" w14:paraId="1CA64988" w14:textId="77777777">
      <w:pPr>
        <w:ind w:firstLine="720"/>
      </w:pPr>
    </w:p>
    <w:p w:rsidR="00012C76" w:rsidRDefault="00382483" w14:paraId="325FA400" w14:textId="77777777">
      <w:pPr>
        <w:ind w:left="1440" w:hanging="720"/>
      </w:pPr>
      <w:r>
        <w:t>18.5.3</w:t>
      </w:r>
      <w:r>
        <w:tab/>
      </w:r>
      <w:r>
        <w:t>the other Party ceases or threatens to cease to carry on the whole or any material part of its business</w:t>
      </w:r>
    </w:p>
    <w:p w:rsidR="00012C76" w:rsidRDefault="00012C76" w14:paraId="1A235351" w14:textId="77777777">
      <w:pPr>
        <w:ind w:left="720" w:firstLine="720"/>
      </w:pPr>
    </w:p>
    <w:p w:rsidR="00012C76" w:rsidRDefault="00382483" w14:paraId="5840108F" w14:textId="77777777">
      <w:pPr>
        <w:ind w:left="720" w:hanging="720"/>
      </w:pPr>
      <w:r>
        <w:t>18.6</w:t>
      </w:r>
      <w:r>
        <w:tab/>
      </w:r>
      <w: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12C76" w:rsidRDefault="00012C76" w14:paraId="2CC81864" w14:textId="77777777">
      <w:pPr>
        <w:ind w:left="720"/>
      </w:pPr>
    </w:p>
    <w:p w:rsidR="00012C76" w:rsidRDefault="00382483" w14:paraId="135C7106" w14:textId="77777777">
      <w:pPr>
        <w:ind w:left="720" w:hanging="720"/>
      </w:pPr>
      <w:r>
        <w:t>18.7</w:t>
      </w:r>
      <w:r>
        <w:tab/>
      </w:r>
      <w:r>
        <w:t>A Party who isn’t relying on a Force Majeure event will have the right to End this Call-Off Contract if clause 23.1 applies.</w:t>
      </w:r>
    </w:p>
    <w:p w:rsidR="00012C76" w:rsidRDefault="00382483" w14:paraId="5C68AB99" w14:textId="77777777">
      <w:pPr>
        <w:ind w:left="720" w:hanging="720"/>
      </w:pPr>
      <w:r>
        <w:t xml:space="preserve"> </w:t>
      </w:r>
    </w:p>
    <w:p w:rsidR="00012C76" w:rsidRDefault="00382483" w14:paraId="368C042B" w14:textId="77777777">
      <w:pPr>
        <w:pStyle w:val="Heading3"/>
        <w:rPr>
          <w:color w:val="auto"/>
        </w:rPr>
      </w:pPr>
      <w:r>
        <w:rPr>
          <w:color w:val="auto"/>
        </w:rPr>
        <w:t>19.</w:t>
      </w:r>
      <w:r>
        <w:rPr>
          <w:color w:val="auto"/>
        </w:rPr>
        <w:tab/>
      </w:r>
      <w:r>
        <w:rPr>
          <w:color w:val="auto"/>
        </w:rPr>
        <w:t>Consequences of suspension, ending and expiry</w:t>
      </w:r>
    </w:p>
    <w:p w:rsidR="00012C76" w:rsidRDefault="00382483" w14:paraId="3488BB91" w14:textId="77777777">
      <w:pPr>
        <w:ind w:left="720" w:hanging="720"/>
      </w:pPr>
      <w:r>
        <w:t>19.1</w:t>
      </w:r>
      <w:r>
        <w:tab/>
      </w:r>
      <w:r>
        <w:t>If a Buyer has the right to End a Call-Off Contract, it may elect to suspend this Call-Off Contract or any part of it.</w:t>
      </w:r>
    </w:p>
    <w:p w:rsidR="00012C76" w:rsidRDefault="00012C76" w14:paraId="7C906A43" w14:textId="77777777"/>
    <w:p w:rsidR="00012C76" w:rsidRDefault="00382483" w14:paraId="4B497C35" w14:textId="77777777">
      <w:pPr>
        <w:ind w:left="720" w:hanging="720"/>
      </w:pPr>
      <w:r>
        <w:t>19.2</w:t>
      </w:r>
      <w:r>
        <w:tab/>
      </w:r>
      <w:r>
        <w:t>Even if a notice has been served to End this Call-Off Contract or any part of it, the Supplier must continue to provide the Ordered G-Cloud Services until the dates set out in the notice.</w:t>
      </w:r>
    </w:p>
    <w:p w:rsidR="00012C76" w:rsidRDefault="00012C76" w14:paraId="5D2EDE6F" w14:textId="77777777">
      <w:pPr>
        <w:ind w:left="720" w:hanging="720"/>
      </w:pPr>
    </w:p>
    <w:p w:rsidR="00012C76" w:rsidRDefault="00382483" w14:paraId="6A1838B7" w14:textId="77777777">
      <w:pPr>
        <w:ind w:left="720" w:hanging="720"/>
      </w:pPr>
      <w:r>
        <w:lastRenderedPageBreak/>
        <w:t>19.3</w:t>
      </w:r>
      <w:r>
        <w:tab/>
      </w:r>
      <w:r>
        <w:t>The rights and obligations of the Parties will cease on the Expiry Date or End Date whichever applies) of this Call-Off Contract, except those continuing provisions described in clause 19.4.</w:t>
      </w:r>
    </w:p>
    <w:p w:rsidR="00012C76" w:rsidRDefault="00012C76" w14:paraId="3E44B001" w14:textId="77777777"/>
    <w:p w:rsidR="00012C76" w:rsidRDefault="00382483" w14:paraId="6C20E2F0" w14:textId="77777777">
      <w:r>
        <w:t>19.4</w:t>
      </w:r>
      <w:r>
        <w:tab/>
      </w:r>
      <w:r>
        <w:t>Ending or expiry of this Call-Off Contract will not affect:</w:t>
      </w:r>
    </w:p>
    <w:p w:rsidR="00012C76" w:rsidRDefault="00012C76" w14:paraId="44AF0374" w14:textId="77777777"/>
    <w:p w:rsidR="00012C76" w:rsidRDefault="00382483" w14:paraId="09245322" w14:textId="77777777">
      <w:pPr>
        <w:ind w:firstLine="720"/>
      </w:pPr>
      <w:r>
        <w:t>19.4.1</w:t>
      </w:r>
      <w:r>
        <w:tab/>
      </w:r>
      <w:r>
        <w:t>any rights, remedies or obligations accrued before its Ending or expiration</w:t>
      </w:r>
    </w:p>
    <w:p w:rsidR="00012C76" w:rsidRDefault="00012C76" w14:paraId="5195F899" w14:textId="77777777"/>
    <w:p w:rsidR="00012C76" w:rsidRDefault="00382483" w14:paraId="016ED6BC" w14:textId="77777777">
      <w:pPr>
        <w:ind w:left="1440" w:hanging="720"/>
      </w:pPr>
      <w:r>
        <w:t>19.4.2</w:t>
      </w:r>
      <w:r>
        <w:tab/>
      </w:r>
      <w:r>
        <w:t>the right of either Party to recover any amount outstanding at the time of Ending or expiry</w:t>
      </w:r>
    </w:p>
    <w:p w:rsidR="00012C76" w:rsidRDefault="00012C76" w14:paraId="143092E9" w14:textId="77777777"/>
    <w:p w:rsidR="00012C76" w:rsidRDefault="00382483" w14:paraId="2680B95B" w14:textId="77777777">
      <w:pPr>
        <w:ind w:left="1440" w:hanging="720"/>
      </w:pPr>
      <w:r>
        <w:t>19.4.3</w:t>
      </w:r>
      <w:r>
        <w:tab/>
      </w:r>
      <w:r>
        <w:t>the continuing rights, remedies or obligations of the Buyer or the Supplier under clauses</w:t>
      </w:r>
    </w:p>
    <w:p w:rsidR="00012C76" w:rsidRDefault="00382483" w14:paraId="3353ACB1" w14:textId="77777777">
      <w:pPr>
        <w:pStyle w:val="ListParagraph"/>
        <w:numPr>
          <w:ilvl w:val="1"/>
          <w:numId w:val="10"/>
        </w:numPr>
      </w:pPr>
      <w:r>
        <w:t>7 (Payment, VAT and Call-Off Contract charges)</w:t>
      </w:r>
    </w:p>
    <w:p w:rsidR="00012C76" w:rsidRDefault="00382483" w14:paraId="2C14CF37" w14:textId="77777777">
      <w:pPr>
        <w:pStyle w:val="ListParagraph"/>
        <w:numPr>
          <w:ilvl w:val="1"/>
          <w:numId w:val="10"/>
        </w:numPr>
      </w:pPr>
      <w:r>
        <w:t>8 (Recovery of sums due and right of set-off)</w:t>
      </w:r>
    </w:p>
    <w:p w:rsidR="00012C76" w:rsidRDefault="00382483" w14:paraId="355E490F" w14:textId="77777777">
      <w:pPr>
        <w:pStyle w:val="ListParagraph"/>
        <w:numPr>
          <w:ilvl w:val="1"/>
          <w:numId w:val="10"/>
        </w:numPr>
      </w:pPr>
      <w:r>
        <w:t>9 (Insurance)</w:t>
      </w:r>
    </w:p>
    <w:p w:rsidR="00012C76" w:rsidRDefault="00382483" w14:paraId="7D259EFF" w14:textId="77777777">
      <w:pPr>
        <w:pStyle w:val="ListParagraph"/>
        <w:numPr>
          <w:ilvl w:val="1"/>
          <w:numId w:val="10"/>
        </w:numPr>
      </w:pPr>
      <w:r>
        <w:t>10 (Confidentiality)</w:t>
      </w:r>
    </w:p>
    <w:p w:rsidR="00012C76" w:rsidRDefault="00382483" w14:paraId="27519D54" w14:textId="77777777">
      <w:pPr>
        <w:pStyle w:val="ListParagraph"/>
        <w:numPr>
          <w:ilvl w:val="1"/>
          <w:numId w:val="10"/>
        </w:numPr>
      </w:pPr>
      <w:r>
        <w:t>11 (Intellectual property rights)</w:t>
      </w:r>
    </w:p>
    <w:p w:rsidR="00012C76" w:rsidRDefault="00382483" w14:paraId="010D64FA" w14:textId="77777777">
      <w:pPr>
        <w:pStyle w:val="ListParagraph"/>
        <w:numPr>
          <w:ilvl w:val="1"/>
          <w:numId w:val="10"/>
        </w:numPr>
      </w:pPr>
      <w:r>
        <w:t>12 (Protection of information)</w:t>
      </w:r>
    </w:p>
    <w:p w:rsidR="00012C76" w:rsidRDefault="00382483" w14:paraId="79E78CE7" w14:textId="77777777">
      <w:pPr>
        <w:pStyle w:val="ListParagraph"/>
        <w:numPr>
          <w:ilvl w:val="1"/>
          <w:numId w:val="10"/>
        </w:numPr>
      </w:pPr>
      <w:r>
        <w:t>13 (Buyer data)</w:t>
      </w:r>
    </w:p>
    <w:p w:rsidR="00012C76" w:rsidRDefault="00382483" w14:paraId="43158210" w14:textId="77777777">
      <w:pPr>
        <w:pStyle w:val="ListParagraph"/>
        <w:numPr>
          <w:ilvl w:val="1"/>
          <w:numId w:val="10"/>
        </w:numPr>
      </w:pPr>
      <w:r>
        <w:t>19 (Consequences of suspension, ending and expiry)</w:t>
      </w:r>
    </w:p>
    <w:p w:rsidR="00012C76" w:rsidRDefault="00382483" w14:paraId="2B2B86D7" w14:textId="77777777">
      <w:pPr>
        <w:pStyle w:val="ListParagraph"/>
        <w:numPr>
          <w:ilvl w:val="1"/>
          <w:numId w:val="10"/>
        </w:numPr>
      </w:pPr>
      <w:r>
        <w:t>24 (Liability); incorporated Framework Agreement clauses: 4.2 to 4.7 (Liability)</w:t>
      </w:r>
    </w:p>
    <w:p w:rsidR="00012C76" w:rsidRDefault="00382483" w14:paraId="3FE0B694" w14:textId="77777777">
      <w:pPr>
        <w:pStyle w:val="ListParagraph"/>
        <w:numPr>
          <w:ilvl w:val="1"/>
          <w:numId w:val="10"/>
        </w:numPr>
      </w:pPr>
      <w:r>
        <w:t>8.44 to 8.50 (Conflicts of interest and ethical walls)</w:t>
      </w:r>
    </w:p>
    <w:p w:rsidR="00012C76" w:rsidRDefault="00382483" w14:paraId="2AC928C1" w14:textId="77777777">
      <w:pPr>
        <w:pStyle w:val="ListParagraph"/>
        <w:numPr>
          <w:ilvl w:val="1"/>
          <w:numId w:val="10"/>
        </w:numPr>
      </w:pPr>
      <w:r>
        <w:t>8.89 to 8.90 (Waiver and cumulative remedies)</w:t>
      </w:r>
    </w:p>
    <w:p w:rsidR="00012C76" w:rsidRDefault="00012C76" w14:paraId="022D378E" w14:textId="77777777">
      <w:pPr>
        <w:ind w:firstLine="720"/>
      </w:pPr>
    </w:p>
    <w:p w:rsidR="00012C76" w:rsidRDefault="00382483" w14:paraId="1BB8E1FC" w14:textId="77777777">
      <w:pPr>
        <w:ind w:left="1440" w:hanging="720"/>
      </w:pPr>
      <w:r>
        <w:t>19.4.4</w:t>
      </w:r>
      <w:r>
        <w:tab/>
      </w:r>
      <w:r>
        <w:t>any other provision of the Framework Agreement or this Call-Off Contract which expressly or by implication is in force even if it Ends or expires</w:t>
      </w:r>
    </w:p>
    <w:p w:rsidR="00012C76" w:rsidRDefault="00382483" w14:paraId="1EC23826" w14:textId="77777777">
      <w:r>
        <w:t xml:space="preserve"> </w:t>
      </w:r>
    </w:p>
    <w:p w:rsidR="00012C76" w:rsidRDefault="00382483" w14:paraId="1BF0CBBE" w14:textId="77777777">
      <w:r>
        <w:t>19.5</w:t>
      </w:r>
      <w:r>
        <w:tab/>
      </w:r>
      <w:r>
        <w:t>At the end of the Call-Off Contract Term, the Supplier must promptly:</w:t>
      </w:r>
    </w:p>
    <w:p w:rsidR="00012C76" w:rsidRDefault="00012C76" w14:paraId="7FC50BDD" w14:textId="77777777"/>
    <w:p w:rsidR="00012C76" w:rsidRDefault="00382483" w14:paraId="4565274E" w14:textId="77777777">
      <w:pPr>
        <w:ind w:left="1440" w:hanging="720"/>
      </w:pPr>
      <w:r>
        <w:t>19.5.1</w:t>
      </w:r>
      <w:r>
        <w:tab/>
      </w:r>
      <w:r>
        <w:t>return all Buyer Data including all copies of Buyer software, code and any other software licensed by the Buyer to the Supplier under it</w:t>
      </w:r>
    </w:p>
    <w:p w:rsidR="00012C76" w:rsidRDefault="00012C76" w14:paraId="54A1A54A" w14:textId="77777777">
      <w:pPr>
        <w:ind w:firstLine="720"/>
      </w:pPr>
    </w:p>
    <w:p w:rsidR="00012C76" w:rsidRDefault="00382483" w14:paraId="584EEC6F" w14:textId="77777777">
      <w:pPr>
        <w:ind w:left="1440" w:hanging="720"/>
      </w:pPr>
      <w:r>
        <w:t>19.5.2</w:t>
      </w:r>
      <w:r>
        <w:tab/>
      </w:r>
      <w:r>
        <w:t>return any materials created by the Supplier under this Call-Off Contract if the IPRs are owned by the Buyer</w:t>
      </w:r>
    </w:p>
    <w:p w:rsidR="00012C76" w:rsidRDefault="00012C76" w14:paraId="66D15562" w14:textId="77777777">
      <w:pPr>
        <w:ind w:firstLine="720"/>
      </w:pPr>
    </w:p>
    <w:p w:rsidR="00012C76" w:rsidRDefault="00382483" w14:paraId="07C5827F" w14:textId="77777777">
      <w:pPr>
        <w:ind w:left="1440" w:hanging="720"/>
      </w:pPr>
      <w:r>
        <w:t>19.5.3</w:t>
      </w:r>
      <w:r>
        <w:tab/>
      </w:r>
      <w:r>
        <w:t>stop using the Buyer Data and, at the direction of the Buyer, provide the Buyer with a complete and uncorrupted version in electronic form in the formats and on media agreed with the Buyer</w:t>
      </w:r>
    </w:p>
    <w:p w:rsidR="00012C76" w:rsidRDefault="00012C76" w14:paraId="3F2BF936" w14:textId="77777777">
      <w:pPr>
        <w:ind w:firstLine="720"/>
      </w:pPr>
    </w:p>
    <w:p w:rsidR="00012C76" w:rsidRDefault="00382483" w14:paraId="15045381" w14:textId="77777777">
      <w:pPr>
        <w:ind w:left="1440" w:hanging="720"/>
      </w:pPr>
      <w:r>
        <w:t>19.5.4</w:t>
      </w:r>
      <w:r>
        <w:tab/>
      </w: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12C76" w:rsidRDefault="00012C76" w14:paraId="620428E5" w14:textId="77777777">
      <w:pPr>
        <w:ind w:left="720"/>
      </w:pPr>
    </w:p>
    <w:p w:rsidR="00012C76" w:rsidRDefault="00382483" w14:paraId="54A1B966" w14:textId="77777777">
      <w:pPr>
        <w:ind w:firstLine="720"/>
      </w:pPr>
      <w:r>
        <w:t>19.5.5</w:t>
      </w:r>
      <w:r>
        <w:tab/>
      </w:r>
      <w:r>
        <w:t>work with the Buyer on any ongoing work</w:t>
      </w:r>
    </w:p>
    <w:p w:rsidR="00012C76" w:rsidRDefault="00012C76" w14:paraId="5B526096" w14:textId="77777777"/>
    <w:p w:rsidR="00012C76" w:rsidRDefault="00382483" w14:paraId="02502EDE" w14:textId="77777777">
      <w:pPr>
        <w:ind w:left="1440" w:hanging="720"/>
      </w:pPr>
      <w:r>
        <w:t>19.5.6</w:t>
      </w:r>
      <w:r>
        <w:tab/>
      </w:r>
      <w:r>
        <w:t>return any sums prepaid for Services which have not been delivered to the Buyer, within 10 Working Days of the End or Expiry Date</w:t>
      </w:r>
    </w:p>
    <w:p w:rsidR="00012C76" w:rsidRDefault="00012C76" w14:paraId="59229BFE" w14:textId="77777777">
      <w:pPr>
        <w:ind w:firstLine="720"/>
      </w:pPr>
    </w:p>
    <w:p w:rsidR="00012C76" w:rsidRDefault="00012C76" w14:paraId="1FC73299" w14:textId="77777777"/>
    <w:p w:rsidR="00012C76" w:rsidRDefault="00382483" w14:paraId="37ECE176" w14:textId="77777777">
      <w:pPr>
        <w:ind w:left="720" w:hanging="720"/>
      </w:pPr>
      <w:r>
        <w:t>19.6</w:t>
      </w:r>
      <w:r>
        <w:tab/>
      </w:r>
      <w:r>
        <w:t>Each Party will return all of the other Party’s Confidential Information and confirm this has been done, unless there is a legal requirement to keep it or this Call-Off Contract states otherwise.</w:t>
      </w:r>
    </w:p>
    <w:p w:rsidR="00012C76" w:rsidRDefault="00012C76" w14:paraId="15924975" w14:textId="77777777">
      <w:pPr>
        <w:ind w:left="720"/>
      </w:pPr>
    </w:p>
    <w:p w:rsidR="00012C76" w:rsidRDefault="00382483" w14:paraId="2818BBF6" w14:textId="77777777">
      <w:pPr>
        <w:ind w:left="720" w:hanging="720"/>
      </w:pPr>
      <w:r>
        <w:t>19.7</w:t>
      </w:r>
      <w:r>
        <w:tab/>
      </w:r>
      <w:r>
        <w:t>All licences, leases and authorisations granted by the Buyer to the Supplier will cease at the end of the Call-Off Contract Term without the need for the Buyer to serve notice except if this Call-Off Contract states otherwise.</w:t>
      </w:r>
    </w:p>
    <w:p w:rsidR="00012C76" w:rsidRDefault="00012C76" w14:paraId="57EF9785" w14:textId="77777777"/>
    <w:p w:rsidR="00012C76" w:rsidRDefault="00382483" w14:paraId="1D94AA47" w14:textId="77777777">
      <w:pPr>
        <w:pStyle w:val="Heading3"/>
        <w:rPr>
          <w:color w:val="auto"/>
        </w:rPr>
      </w:pPr>
      <w:r>
        <w:rPr>
          <w:color w:val="auto"/>
        </w:rPr>
        <w:t>20.</w:t>
      </w:r>
      <w:r>
        <w:rPr>
          <w:color w:val="auto"/>
        </w:rPr>
        <w:tab/>
      </w:r>
      <w:r>
        <w:rPr>
          <w:color w:val="auto"/>
        </w:rPr>
        <w:t>Notices</w:t>
      </w:r>
    </w:p>
    <w:p w:rsidR="00012C76" w:rsidRDefault="00382483" w14:paraId="6B551AEA" w14:textId="77777777">
      <w:pPr>
        <w:ind w:left="720" w:hanging="720"/>
      </w:pPr>
      <w:r>
        <w:t>20.1</w:t>
      </w:r>
      <w:r>
        <w:tab/>
      </w:r>
      <w:r>
        <w:t>Any notices sent must be in writing. For the purpose of this clause, an email is accepted as being 'in writing'.</w:t>
      </w:r>
    </w:p>
    <w:p w:rsidR="00012C76" w:rsidRDefault="00012C76" w14:paraId="3AF67AE5" w14:textId="77777777">
      <w:pPr>
        <w:ind w:left="720" w:hanging="720"/>
      </w:pPr>
    </w:p>
    <w:p w:rsidR="00012C76" w:rsidRDefault="00382483" w14:paraId="1CD56EA6" w14:textId="77777777">
      <w:pPr>
        <w:pStyle w:val="ListParagraph"/>
        <w:numPr>
          <w:ilvl w:val="0"/>
          <w:numId w:val="11"/>
        </w:numPr>
        <w:spacing w:after="120" w:line="360" w:lineRule="auto"/>
      </w:pPr>
      <w:r>
        <w:t>Manner of delivery: email</w:t>
      </w:r>
    </w:p>
    <w:p w:rsidR="00012C76" w:rsidRDefault="00382483" w14:paraId="43028669" w14:textId="77777777">
      <w:pPr>
        <w:pStyle w:val="ListParagraph"/>
        <w:numPr>
          <w:ilvl w:val="0"/>
          <w:numId w:val="11"/>
        </w:numPr>
        <w:spacing w:line="360" w:lineRule="auto"/>
      </w:pPr>
      <w:r>
        <w:t>Deemed time of delivery: 9am on the first Working Day after sending</w:t>
      </w:r>
    </w:p>
    <w:p w:rsidR="00012C76" w:rsidRDefault="00382483" w14:paraId="52EB3526" w14:textId="77777777">
      <w:pPr>
        <w:pStyle w:val="ListParagraph"/>
        <w:numPr>
          <w:ilvl w:val="0"/>
          <w:numId w:val="11"/>
        </w:numPr>
      </w:pPr>
      <w:r>
        <w:t>Proof of service: Sent in an emailed letter in PDF format to the correct email address without any error message</w:t>
      </w:r>
    </w:p>
    <w:p w:rsidR="00012C76" w:rsidRDefault="00012C76" w14:paraId="2462C5D4" w14:textId="77777777"/>
    <w:p w:rsidR="00012C76" w:rsidRDefault="00382483" w14:paraId="7C4C1361" w14:textId="77777777">
      <w:pPr>
        <w:ind w:left="720" w:hanging="720"/>
      </w:pPr>
      <w:r>
        <w:t>20.2</w:t>
      </w:r>
      <w:r>
        <w:tab/>
      </w:r>
      <w:r>
        <w:t>This clause does not apply to any legal action or other method of dispute resolution which should be sent to the addresses in the Order Form (other than a dispute notice under this Call-Off Contract).</w:t>
      </w:r>
    </w:p>
    <w:p w:rsidR="00012C76" w:rsidRDefault="00012C76" w14:paraId="0D906761" w14:textId="77777777">
      <w:pPr>
        <w:spacing w:before="240" w:after="240"/>
        <w:ind w:left="720"/>
      </w:pPr>
    </w:p>
    <w:p w:rsidR="00012C76" w:rsidRDefault="00382483" w14:paraId="77DAA085" w14:textId="77777777">
      <w:pPr>
        <w:pStyle w:val="Heading3"/>
        <w:rPr>
          <w:color w:val="auto"/>
        </w:rPr>
      </w:pPr>
      <w:r>
        <w:rPr>
          <w:color w:val="auto"/>
        </w:rPr>
        <w:t>21.</w:t>
      </w:r>
      <w:r>
        <w:rPr>
          <w:color w:val="auto"/>
        </w:rPr>
        <w:tab/>
      </w:r>
      <w:r>
        <w:rPr>
          <w:color w:val="auto"/>
        </w:rPr>
        <w:t>Exit plan</w:t>
      </w:r>
    </w:p>
    <w:p w:rsidR="00012C76" w:rsidRDefault="00382483" w14:paraId="194CF592" w14:textId="77777777">
      <w:pPr>
        <w:ind w:left="720" w:hanging="720"/>
      </w:pPr>
      <w:r>
        <w:t>21.1</w:t>
      </w:r>
      <w:r>
        <w:tab/>
      </w:r>
      <w:r>
        <w:t>The Supplier must provide an exit plan in its Application which ensures continuity of service and the Supplier will follow it.</w:t>
      </w:r>
    </w:p>
    <w:p w:rsidR="00012C76" w:rsidRDefault="00012C76" w14:paraId="3875A134" w14:textId="77777777">
      <w:pPr>
        <w:ind w:firstLine="720"/>
      </w:pPr>
    </w:p>
    <w:p w:rsidR="00012C76" w:rsidRDefault="00382483" w14:paraId="13B62674" w14:textId="77777777">
      <w:pPr>
        <w:ind w:left="720" w:hanging="720"/>
      </w:pPr>
      <w:r>
        <w:t>21.2</w:t>
      </w:r>
      <w:r>
        <w:tab/>
      </w:r>
      <w:r>
        <w:t>When requested, the Supplier will help the Buyer to migrate the Services to a replacement supplier in line with the exit plan. This will be at the Supplier’s own expense if the Call-Off Contract Ended before the Expiry Date due to Supplier cause.</w:t>
      </w:r>
    </w:p>
    <w:p w:rsidR="00012C76" w:rsidRDefault="00012C76" w14:paraId="4DEDEC75" w14:textId="77777777">
      <w:pPr>
        <w:ind w:left="720"/>
      </w:pPr>
    </w:p>
    <w:p w:rsidR="00012C76" w:rsidRDefault="00382483" w14:paraId="3B9526CF" w14:textId="77777777">
      <w:pPr>
        <w:ind w:left="720" w:hanging="720"/>
      </w:pPr>
      <w:r>
        <w:t>21.3</w:t>
      </w:r>
      <w:r>
        <w:tab/>
      </w:r>
      <w: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rsidR="00012C76" w:rsidRDefault="00012C76" w14:paraId="63FEB906" w14:textId="77777777">
      <w:pPr>
        <w:ind w:left="720"/>
      </w:pPr>
    </w:p>
    <w:p w:rsidR="00012C76" w:rsidRDefault="00382483" w14:paraId="3E0D159D" w14:textId="77777777">
      <w:pPr>
        <w:ind w:left="720" w:hanging="720"/>
      </w:pPr>
      <w:r>
        <w:t>21.4</w:t>
      </w:r>
      <w:r>
        <w:tab/>
      </w:r>
      <w: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12C76" w:rsidRDefault="00012C76" w14:paraId="1702FA3C" w14:textId="77777777">
      <w:pPr>
        <w:ind w:left="720"/>
      </w:pPr>
    </w:p>
    <w:p w:rsidR="00012C76" w:rsidRDefault="00382483" w14:paraId="68468D3C" w14:textId="77777777">
      <w:pPr>
        <w:ind w:left="720" w:hanging="720"/>
      </w:pPr>
      <w:r>
        <w:t>21.5</w:t>
      </w:r>
      <w:r>
        <w:tab/>
      </w:r>
      <w:r>
        <w:t>Before submitting the additional exit plan to the Buyer for approval, the Supplier will work with the Buyer to ensure that the additional exit plan is aligned with the Buyer’s own exit plan and strategy.</w:t>
      </w:r>
    </w:p>
    <w:p w:rsidR="00012C76" w:rsidRDefault="00012C76" w14:paraId="75A534E6" w14:textId="77777777">
      <w:pPr>
        <w:ind w:left="720"/>
      </w:pPr>
    </w:p>
    <w:p w:rsidR="00012C76" w:rsidRDefault="00382483" w14:paraId="5DEB504B" w14:textId="77777777">
      <w:pPr>
        <w:ind w:left="720" w:hanging="720"/>
      </w:pPr>
      <w:r>
        <w:t>21.6</w:t>
      </w:r>
      <w:r>
        <w:tab/>
      </w: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rsidR="00012C76" w:rsidRDefault="00012C76" w14:paraId="27742716" w14:textId="77777777">
      <w:pPr>
        <w:ind w:left="720"/>
      </w:pPr>
    </w:p>
    <w:p w:rsidR="00012C76" w:rsidRDefault="00382483" w14:paraId="2E0C48AA" w14:textId="77777777">
      <w:pPr>
        <w:ind w:left="1440" w:hanging="720"/>
      </w:pPr>
      <w:r>
        <w:t>21.6.1</w:t>
      </w:r>
      <w:r>
        <w:tab/>
      </w:r>
      <w:r>
        <w:t>the Buyer will be able to transfer the Services to a replacement supplier before the expiry or Ending of the extension period on terms that are commercially reasonable and acceptable to the Buyer</w:t>
      </w:r>
    </w:p>
    <w:p w:rsidR="00012C76" w:rsidRDefault="00012C76" w14:paraId="284C7B26" w14:textId="77777777"/>
    <w:p w:rsidR="00012C76" w:rsidRDefault="00382483" w14:paraId="191D2F08" w14:textId="77777777">
      <w:pPr>
        <w:ind w:firstLine="720"/>
      </w:pPr>
      <w:r>
        <w:t>21.6.2</w:t>
      </w:r>
      <w:r>
        <w:tab/>
      </w:r>
      <w:r>
        <w:t>there will be no adverse impact on service continuity</w:t>
      </w:r>
    </w:p>
    <w:p w:rsidR="00012C76" w:rsidRDefault="00012C76" w14:paraId="0FA211A9" w14:textId="77777777">
      <w:pPr>
        <w:ind w:firstLine="720"/>
      </w:pPr>
    </w:p>
    <w:p w:rsidR="00012C76" w:rsidRDefault="00382483" w14:paraId="578C4C5F" w14:textId="77777777">
      <w:pPr>
        <w:ind w:firstLine="720"/>
      </w:pPr>
      <w:r>
        <w:t>21.6.3</w:t>
      </w:r>
      <w:r>
        <w:tab/>
      </w:r>
      <w:r>
        <w:t>there is no vendor lock-in to the Supplier’s Service at exit</w:t>
      </w:r>
    </w:p>
    <w:p w:rsidR="00012C76" w:rsidRDefault="00012C76" w14:paraId="3C5AB965" w14:textId="77777777"/>
    <w:p w:rsidR="00012C76" w:rsidRDefault="00382483" w14:paraId="7F872C35" w14:textId="77777777">
      <w:pPr>
        <w:ind w:firstLine="720"/>
      </w:pPr>
      <w:r>
        <w:t>21.6.4</w:t>
      </w:r>
      <w:r>
        <w:tab/>
      </w:r>
      <w:r>
        <w:t xml:space="preserve">it enables the Buyer to meet its obligations under the Technology Code </w:t>
      </w:r>
      <w:proofErr w:type="gramStart"/>
      <w:r>
        <w:t>Of</w:t>
      </w:r>
      <w:proofErr w:type="gramEnd"/>
      <w:r>
        <w:t xml:space="preserve"> Practice</w:t>
      </w:r>
    </w:p>
    <w:p w:rsidR="00012C76" w:rsidRDefault="00012C76" w14:paraId="7FB7E942" w14:textId="77777777">
      <w:pPr>
        <w:ind w:left="720" w:firstLine="720"/>
      </w:pPr>
    </w:p>
    <w:p w:rsidR="00012C76" w:rsidRDefault="00382483" w14:paraId="4D7C7A7E" w14:textId="77777777">
      <w:pPr>
        <w:ind w:left="720" w:hanging="720"/>
      </w:pPr>
      <w:r>
        <w:t>21.7</w:t>
      </w:r>
      <w:r>
        <w:tab/>
      </w:r>
      <w:r>
        <w:t>If approval is obtained by the Buyer to extend the Term, then the Supplier will comply with its obligations in the additional exit plan.</w:t>
      </w:r>
    </w:p>
    <w:p w:rsidR="00012C76" w:rsidRDefault="00012C76" w14:paraId="3B7414CE" w14:textId="77777777">
      <w:pPr>
        <w:ind w:firstLine="720"/>
      </w:pPr>
    </w:p>
    <w:p w:rsidR="00012C76" w:rsidRDefault="00382483" w14:paraId="6F4F054A" w14:textId="77777777">
      <w:pPr>
        <w:ind w:left="720" w:hanging="720"/>
      </w:pPr>
      <w:r>
        <w:t>21.8</w:t>
      </w:r>
      <w:r>
        <w:tab/>
      </w:r>
      <w:r>
        <w:t>The additional exit plan must set out full details of timescales, activities and roles and responsibilities of the Parties for:</w:t>
      </w:r>
    </w:p>
    <w:p w:rsidR="00012C76" w:rsidRDefault="00012C76" w14:paraId="458ADBA6" w14:textId="77777777">
      <w:pPr>
        <w:ind w:firstLine="720"/>
      </w:pPr>
    </w:p>
    <w:p w:rsidR="00012C76" w:rsidRDefault="00382483" w14:paraId="7B193B34" w14:textId="77777777">
      <w:pPr>
        <w:ind w:left="1440" w:hanging="720"/>
      </w:pPr>
      <w:r>
        <w:t>21.8.1</w:t>
      </w:r>
      <w:r>
        <w:tab/>
      </w:r>
      <w:r>
        <w:t>the transfer to the Buyer of any technical information, instructions, manuals and code reasonably required by the Buyer to enable a smooth migration from the Supplier</w:t>
      </w:r>
    </w:p>
    <w:p w:rsidR="00012C76" w:rsidRDefault="00012C76" w14:paraId="12013A2C" w14:textId="77777777">
      <w:pPr>
        <w:ind w:left="1440"/>
      </w:pPr>
    </w:p>
    <w:p w:rsidR="00012C76" w:rsidRDefault="00382483" w14:paraId="54215C43" w14:textId="77777777">
      <w:pPr>
        <w:ind w:left="1440" w:hanging="720"/>
      </w:pPr>
      <w:r>
        <w:t>21.8.2</w:t>
      </w:r>
      <w:r>
        <w:tab/>
      </w:r>
      <w:r>
        <w:t>the strategy for exportation and migration of Buyer Data from the Supplier system to the Buyer or a replacement supplier, including conversion to open standards or other standards required by the Buyer</w:t>
      </w:r>
    </w:p>
    <w:p w:rsidR="00012C76" w:rsidRDefault="00012C76" w14:paraId="1EDD4B9C" w14:textId="77777777">
      <w:pPr>
        <w:ind w:left="1440"/>
      </w:pPr>
    </w:p>
    <w:p w:rsidR="00012C76" w:rsidRDefault="00382483" w14:paraId="2AAA6E46" w14:textId="77777777">
      <w:pPr>
        <w:ind w:left="1440" w:hanging="720"/>
      </w:pPr>
      <w:r>
        <w:t>21.8.3</w:t>
      </w:r>
      <w:r>
        <w:tab/>
      </w:r>
      <w:r>
        <w:t>the transfer of Project Specific IPR items and other Buyer customisations, configurations and databases to the Buyer or a replacement supplier</w:t>
      </w:r>
    </w:p>
    <w:p w:rsidR="00012C76" w:rsidRDefault="00012C76" w14:paraId="67553BA9" w14:textId="77777777">
      <w:pPr>
        <w:ind w:left="720" w:firstLine="720"/>
      </w:pPr>
    </w:p>
    <w:p w:rsidR="00012C76" w:rsidRDefault="00382483" w14:paraId="4BDEA021" w14:textId="77777777">
      <w:pPr>
        <w:ind w:firstLine="720"/>
      </w:pPr>
      <w:r>
        <w:t>21.8.4</w:t>
      </w:r>
      <w:r>
        <w:tab/>
      </w:r>
      <w:r>
        <w:t>the testing and assurance strategy for exported Buyer Data</w:t>
      </w:r>
    </w:p>
    <w:p w:rsidR="00012C76" w:rsidRDefault="00012C76" w14:paraId="36B1F4BF" w14:textId="77777777">
      <w:pPr>
        <w:ind w:firstLine="720"/>
      </w:pPr>
    </w:p>
    <w:p w:rsidR="00012C76" w:rsidRDefault="00382483" w14:paraId="6407064C" w14:textId="77777777">
      <w:pPr>
        <w:ind w:firstLine="720"/>
      </w:pPr>
      <w:r>
        <w:t>21.8.5</w:t>
      </w:r>
      <w:r>
        <w:tab/>
      </w:r>
      <w:r>
        <w:t>if relevant, TUPE-related activity to comply with the TUPE regulations</w:t>
      </w:r>
    </w:p>
    <w:p w:rsidR="00012C76" w:rsidRDefault="00012C76" w14:paraId="7C897350" w14:textId="77777777">
      <w:pPr>
        <w:ind w:firstLine="720"/>
      </w:pPr>
    </w:p>
    <w:p w:rsidR="00012C76" w:rsidRDefault="00382483" w14:paraId="4019BEDF" w14:textId="77777777">
      <w:pPr>
        <w:ind w:left="1440" w:hanging="720"/>
      </w:pPr>
      <w:r>
        <w:t>21.8.6</w:t>
      </w:r>
      <w:r>
        <w:tab/>
      </w:r>
      <w:r>
        <w:t>any other activities and information which is reasonably required to ensure continuity of Service during the exit period and an orderly transition</w:t>
      </w:r>
    </w:p>
    <w:p w:rsidR="00012C76" w:rsidRDefault="00012C76" w14:paraId="36BC3FC3" w14:textId="77777777"/>
    <w:p w:rsidR="00012C76" w:rsidRDefault="00382483" w14:paraId="6EE6F201" w14:textId="77777777">
      <w:pPr>
        <w:pStyle w:val="Heading3"/>
        <w:rPr>
          <w:color w:val="auto"/>
        </w:rPr>
      </w:pPr>
      <w:r>
        <w:rPr>
          <w:color w:val="auto"/>
        </w:rPr>
        <w:t>22.</w:t>
      </w:r>
      <w:r>
        <w:rPr>
          <w:color w:val="auto"/>
        </w:rPr>
        <w:tab/>
      </w:r>
      <w:r>
        <w:rPr>
          <w:color w:val="auto"/>
        </w:rPr>
        <w:t>Handover to replacement supplier</w:t>
      </w:r>
    </w:p>
    <w:p w:rsidR="00012C76" w:rsidRDefault="00382483" w14:paraId="2CDF0C39" w14:textId="77777777">
      <w:pPr>
        <w:ind w:left="720" w:hanging="720"/>
      </w:pPr>
      <w:r>
        <w:t>22.1</w:t>
      </w:r>
      <w:r>
        <w:tab/>
      </w:r>
      <w:r>
        <w:t>At least 10 Working Days before the Expiry Date or End Date, the Supplier must provide any:</w:t>
      </w:r>
    </w:p>
    <w:p w:rsidR="00012C76" w:rsidRDefault="00012C76" w14:paraId="03E4A3ED" w14:textId="77777777">
      <w:pPr>
        <w:ind w:firstLine="720"/>
      </w:pPr>
    </w:p>
    <w:p w:rsidR="00012C76" w:rsidRDefault="00382483" w14:paraId="75717DEE" w14:textId="77777777">
      <w:pPr>
        <w:ind w:left="1440" w:hanging="720"/>
      </w:pPr>
      <w:r>
        <w:t>22.1.1</w:t>
      </w:r>
      <w:r>
        <w:tab/>
      </w:r>
      <w:r>
        <w:t>data (including Buyer Data), Buyer Personal Data and Buyer Confidential Information in the Supplier’s possession, power or control</w:t>
      </w:r>
    </w:p>
    <w:p w:rsidR="00012C76" w:rsidRDefault="00012C76" w14:paraId="1DF91491" w14:textId="77777777">
      <w:pPr>
        <w:ind w:left="720" w:firstLine="720"/>
      </w:pPr>
    </w:p>
    <w:p w:rsidR="00012C76" w:rsidRDefault="00382483" w14:paraId="7796B0F3" w14:textId="77777777">
      <w:pPr>
        <w:ind w:firstLine="720"/>
      </w:pPr>
      <w:r>
        <w:t>22.1.2</w:t>
      </w:r>
      <w:r>
        <w:tab/>
      </w:r>
      <w:r>
        <w:t>other information reasonably requested by the Buyer</w:t>
      </w:r>
    </w:p>
    <w:p w:rsidR="00012C76" w:rsidRDefault="00012C76" w14:paraId="6B0F55E8" w14:textId="77777777">
      <w:pPr>
        <w:ind w:firstLine="720"/>
      </w:pPr>
    </w:p>
    <w:p w:rsidR="00012C76" w:rsidRDefault="00382483" w14:paraId="465F9A65" w14:textId="77777777">
      <w:pPr>
        <w:ind w:left="720" w:hanging="720"/>
      </w:pPr>
      <w:r>
        <w:t>22.2</w:t>
      </w:r>
      <w:r>
        <w:tab/>
      </w: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rsidR="00012C76" w:rsidRDefault="00012C76" w14:paraId="5CB2EAEF" w14:textId="77777777">
      <w:pPr>
        <w:ind w:left="720"/>
      </w:pPr>
    </w:p>
    <w:p w:rsidR="00012C76" w:rsidRDefault="00382483" w14:paraId="56EBAF49" w14:textId="77777777">
      <w:pPr>
        <w:ind w:left="720" w:hanging="720"/>
      </w:pPr>
      <w:r>
        <w:t>22.3</w:t>
      </w:r>
      <w:r>
        <w:tab/>
      </w:r>
      <w: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12C76" w:rsidRDefault="00012C76" w14:paraId="2AB062E8" w14:textId="77777777">
      <w:pPr>
        <w:ind w:left="720"/>
      </w:pPr>
    </w:p>
    <w:p w:rsidR="00012C76" w:rsidRDefault="00382483" w14:paraId="4BCF1A86" w14:textId="77777777">
      <w:pPr>
        <w:pStyle w:val="Heading3"/>
        <w:rPr>
          <w:color w:val="auto"/>
        </w:rPr>
      </w:pPr>
      <w:r>
        <w:rPr>
          <w:color w:val="auto"/>
        </w:rPr>
        <w:t>23.</w:t>
      </w:r>
      <w:r>
        <w:rPr>
          <w:color w:val="auto"/>
        </w:rPr>
        <w:tab/>
      </w:r>
      <w:r>
        <w:rPr>
          <w:color w:val="auto"/>
        </w:rPr>
        <w:t>Force majeure</w:t>
      </w:r>
    </w:p>
    <w:p w:rsidR="00012C76" w:rsidRDefault="00382483" w14:paraId="63396204" w14:textId="77777777">
      <w:pPr>
        <w:ind w:left="720" w:hanging="720"/>
      </w:pPr>
      <w:r>
        <w:t>23.1</w:t>
      </w:r>
      <w:r>
        <w:tab/>
      </w:r>
      <w: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012C76" w:rsidRDefault="00012C76" w14:paraId="2B721D67" w14:textId="77777777">
      <w:pPr>
        <w:ind w:left="720" w:hanging="720"/>
      </w:pPr>
    </w:p>
    <w:p w:rsidR="00012C76" w:rsidRDefault="00382483" w14:paraId="53DECC1D" w14:textId="77777777">
      <w:pPr>
        <w:pStyle w:val="Heading3"/>
        <w:rPr>
          <w:color w:val="auto"/>
        </w:rPr>
      </w:pPr>
      <w:r>
        <w:rPr>
          <w:color w:val="auto"/>
        </w:rPr>
        <w:t>24.</w:t>
      </w:r>
      <w:r>
        <w:rPr>
          <w:color w:val="auto"/>
        </w:rPr>
        <w:tab/>
      </w:r>
      <w:r>
        <w:rPr>
          <w:color w:val="auto"/>
        </w:rPr>
        <w:t>Liability</w:t>
      </w:r>
    </w:p>
    <w:p w:rsidR="00012C76" w:rsidRDefault="00382483" w14:paraId="25494A41" w14:textId="77777777">
      <w:pPr>
        <w:ind w:left="720" w:hanging="720"/>
      </w:pPr>
      <w:r>
        <w:t>24.1</w:t>
      </w:r>
      <w:r>
        <w:tab/>
      </w:r>
      <w:r>
        <w:t>Subject to incorporated Framework Agreement clauses 4.2 to 4.7, each Party's Yearly total liability for Defaults under or in connection with this Call-Off Contract (whether expressed as an indemnity or otherwise) will be set as follows:</w:t>
      </w:r>
    </w:p>
    <w:p w:rsidR="00012C76" w:rsidRDefault="00012C76" w14:paraId="07B271AA" w14:textId="77777777">
      <w:pPr>
        <w:ind w:left="720"/>
      </w:pPr>
    </w:p>
    <w:p w:rsidR="00012C76" w:rsidRDefault="00382483" w14:paraId="63BF3643" w14:textId="77777777">
      <w:pPr>
        <w:ind w:left="1440" w:hanging="720"/>
      </w:pPr>
      <w:r>
        <w:t>24.1.1</w:t>
      </w:r>
      <w:r>
        <w:tab/>
      </w:r>
      <w:r>
        <w:t>Property: for all Defaults by either party resulting in direct loss to the property (including technical infrastructure, assets, IPR or equipment but excluding any loss or damage to Buyer Data) of the other Party, will not exceed the amount in the Order Form</w:t>
      </w:r>
    </w:p>
    <w:p w:rsidR="00012C76" w:rsidRDefault="00012C76" w14:paraId="39918853" w14:textId="77777777">
      <w:pPr>
        <w:ind w:left="1440"/>
      </w:pPr>
    </w:p>
    <w:p w:rsidR="00012C76" w:rsidRDefault="00382483" w14:paraId="1F27A5C8" w14:textId="77777777">
      <w:pPr>
        <w:ind w:left="1440" w:hanging="720"/>
      </w:pPr>
      <w:r>
        <w:t>24.1.2</w:t>
      </w:r>
      <w:r>
        <w:tab/>
      </w:r>
      <w:r>
        <w:t>Buyer Data: for all Defaults by the Supplier resulting in direct loss, destruction, corruption, degradation or damage to any Buyer Data, will not exceed the amount in the Order Form</w:t>
      </w:r>
    </w:p>
    <w:p w:rsidR="00012C76" w:rsidRDefault="00012C76" w14:paraId="4F0FA406" w14:textId="77777777">
      <w:pPr>
        <w:ind w:left="1440"/>
      </w:pPr>
    </w:p>
    <w:p w:rsidR="00012C76" w:rsidRDefault="00382483" w14:paraId="26146721" w14:textId="77777777">
      <w:pPr>
        <w:ind w:left="1440" w:hanging="720"/>
      </w:pPr>
      <w:r>
        <w:t>24.1.3</w:t>
      </w:r>
      <w:r>
        <w:tab/>
      </w:r>
      <w:r>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012C76" w:rsidRDefault="00012C76" w14:paraId="77C51482" w14:textId="77777777">
      <w:pPr>
        <w:spacing w:before="240" w:after="240"/>
      </w:pPr>
    </w:p>
    <w:p w:rsidR="00012C76" w:rsidRDefault="00382483" w14:paraId="5EB0AFEB" w14:textId="77777777">
      <w:pPr>
        <w:pStyle w:val="Heading3"/>
        <w:rPr>
          <w:color w:val="auto"/>
        </w:rPr>
      </w:pPr>
      <w:r>
        <w:rPr>
          <w:color w:val="auto"/>
        </w:rPr>
        <w:t>25.</w:t>
      </w:r>
      <w:r>
        <w:rPr>
          <w:color w:val="auto"/>
        </w:rPr>
        <w:tab/>
      </w:r>
      <w:r>
        <w:rPr>
          <w:color w:val="auto"/>
        </w:rPr>
        <w:t>Premises</w:t>
      </w:r>
    </w:p>
    <w:p w:rsidR="00012C76" w:rsidRDefault="00382483" w14:paraId="3B59AB67" w14:textId="77777777">
      <w:pPr>
        <w:ind w:left="720" w:hanging="720"/>
      </w:pPr>
      <w:r>
        <w:t>25.1</w:t>
      </w:r>
      <w:r>
        <w:tab/>
      </w:r>
      <w:r>
        <w:t>If either Party uses the other Party’s premises, that Party is liable for all loss or damage it causes to the premises. It is responsible for repairing any damage to the premises or any objects on the premises, other than fair wear and tear.</w:t>
      </w:r>
    </w:p>
    <w:p w:rsidR="00012C76" w:rsidRDefault="00012C76" w14:paraId="7A1170DF" w14:textId="77777777">
      <w:pPr>
        <w:ind w:left="720"/>
      </w:pPr>
    </w:p>
    <w:p w:rsidR="00012C76" w:rsidRDefault="00382483" w14:paraId="0A240EC8" w14:textId="77777777">
      <w:pPr>
        <w:ind w:left="720" w:hanging="720"/>
      </w:pPr>
      <w:r>
        <w:t>25.2</w:t>
      </w:r>
      <w:r>
        <w:tab/>
      </w:r>
      <w:r>
        <w:t>The Supplier will use the Buyer’s premises solely for the performance of its obligations under this Call-Off Contract.</w:t>
      </w:r>
    </w:p>
    <w:p w:rsidR="00012C76" w:rsidRDefault="00012C76" w14:paraId="2457B433" w14:textId="77777777">
      <w:pPr>
        <w:ind w:firstLine="720"/>
      </w:pPr>
    </w:p>
    <w:p w:rsidR="00012C76" w:rsidRDefault="00382483" w14:paraId="53A8BC14" w14:textId="77777777">
      <w:r>
        <w:t>25.3</w:t>
      </w:r>
      <w:r>
        <w:tab/>
      </w:r>
      <w:r>
        <w:t>The Supplier will vacate the Buyer’s premises when the Call-Off Contract Ends or expires.</w:t>
      </w:r>
    </w:p>
    <w:p w:rsidR="00012C76" w:rsidRDefault="00012C76" w14:paraId="0B4423E9" w14:textId="77777777">
      <w:pPr>
        <w:ind w:firstLine="720"/>
      </w:pPr>
    </w:p>
    <w:p w:rsidR="00012C76" w:rsidRDefault="00382483" w14:paraId="5022508D" w14:textId="77777777">
      <w:r>
        <w:t>25.4</w:t>
      </w:r>
      <w:r>
        <w:tab/>
      </w:r>
      <w:r>
        <w:t>This clause does not create a tenancy or exclusive right of occupation.</w:t>
      </w:r>
    </w:p>
    <w:p w:rsidR="00012C76" w:rsidRDefault="00012C76" w14:paraId="4F78FFD2" w14:textId="77777777"/>
    <w:p w:rsidR="00012C76" w:rsidRDefault="00382483" w14:paraId="6FFB09E1" w14:textId="77777777">
      <w:r>
        <w:t>25.5</w:t>
      </w:r>
      <w:r>
        <w:tab/>
      </w:r>
      <w:r>
        <w:t>While on the Buyer’s premises, the Supplier will:</w:t>
      </w:r>
    </w:p>
    <w:p w:rsidR="00012C76" w:rsidRDefault="00012C76" w14:paraId="0CB700D7" w14:textId="77777777"/>
    <w:p w:rsidR="00012C76" w:rsidRDefault="00382483" w14:paraId="63A7F492" w14:textId="77777777">
      <w:pPr>
        <w:ind w:left="1440" w:hanging="720"/>
      </w:pPr>
      <w:r>
        <w:t>25.5.1</w:t>
      </w:r>
      <w:r>
        <w:tab/>
      </w:r>
      <w:r>
        <w:t>comply with any security requirements at the premises and not do anything to weaken the security of the premises</w:t>
      </w:r>
    </w:p>
    <w:p w:rsidR="00012C76" w:rsidRDefault="00012C76" w14:paraId="3D5E7548" w14:textId="77777777">
      <w:pPr>
        <w:ind w:left="720"/>
      </w:pPr>
    </w:p>
    <w:p w:rsidR="00012C76" w:rsidRDefault="00382483" w14:paraId="6BC628BD" w14:textId="77777777">
      <w:pPr>
        <w:ind w:firstLine="720"/>
      </w:pPr>
      <w:r>
        <w:t>25.5.2</w:t>
      </w:r>
      <w:r>
        <w:tab/>
      </w:r>
      <w:r>
        <w:t>comply with Buyer requirements for the conduct of personnel</w:t>
      </w:r>
    </w:p>
    <w:p w:rsidR="00012C76" w:rsidRDefault="00012C76" w14:paraId="2C15D5D8" w14:textId="77777777">
      <w:pPr>
        <w:ind w:firstLine="720"/>
      </w:pPr>
    </w:p>
    <w:p w:rsidR="00012C76" w:rsidRDefault="00382483" w14:paraId="5CB98A9F" w14:textId="77777777">
      <w:pPr>
        <w:ind w:firstLine="720"/>
      </w:pPr>
      <w:r>
        <w:t>25.5.3</w:t>
      </w:r>
      <w:r>
        <w:tab/>
      </w:r>
      <w:r>
        <w:t>comply with any health and safety measures implemented by the Buyer</w:t>
      </w:r>
    </w:p>
    <w:p w:rsidR="00012C76" w:rsidRDefault="00012C76" w14:paraId="5507D6B8" w14:textId="77777777">
      <w:pPr>
        <w:ind w:firstLine="720"/>
      </w:pPr>
    </w:p>
    <w:p w:rsidR="00012C76" w:rsidRDefault="00382483" w14:paraId="28C52C55" w14:textId="77777777">
      <w:pPr>
        <w:ind w:left="1440" w:hanging="720"/>
      </w:pPr>
      <w:r>
        <w:t>25.5.4</w:t>
      </w:r>
      <w:r>
        <w:tab/>
      </w:r>
      <w:r>
        <w:t>immediately notify the Buyer of any incident on the premises that causes any damage to Property which could cause personal injury</w:t>
      </w:r>
    </w:p>
    <w:p w:rsidR="00012C76" w:rsidRDefault="00012C76" w14:paraId="2F428A67" w14:textId="77777777">
      <w:pPr>
        <w:ind w:left="720" w:firstLine="720"/>
      </w:pPr>
    </w:p>
    <w:p w:rsidR="00012C76" w:rsidRDefault="00382483" w14:paraId="26C45CDF" w14:textId="77777777">
      <w:pPr>
        <w:ind w:left="720" w:hanging="720"/>
      </w:pPr>
      <w:r>
        <w:t>25.6</w:t>
      </w:r>
      <w:r>
        <w:tab/>
      </w:r>
      <w:r>
        <w:t>The Supplier will ensure that its health and safety policy statement (as required by the Health and Safety at Work etc Act 1974) is made available to the Buyer on request.</w:t>
      </w:r>
    </w:p>
    <w:p w:rsidR="00012C76" w:rsidRDefault="00012C76" w14:paraId="562BAD7A" w14:textId="77777777">
      <w:pPr>
        <w:ind w:left="720" w:hanging="720"/>
      </w:pPr>
    </w:p>
    <w:p w:rsidR="00012C76" w:rsidRDefault="00382483" w14:paraId="64AB12AF" w14:textId="77777777">
      <w:pPr>
        <w:pStyle w:val="Heading3"/>
        <w:rPr>
          <w:color w:val="auto"/>
        </w:rPr>
      </w:pPr>
      <w:r>
        <w:rPr>
          <w:color w:val="auto"/>
        </w:rPr>
        <w:t>26.</w:t>
      </w:r>
      <w:r>
        <w:rPr>
          <w:color w:val="auto"/>
        </w:rPr>
        <w:tab/>
      </w:r>
      <w:r>
        <w:rPr>
          <w:color w:val="auto"/>
        </w:rPr>
        <w:t>Equipment</w:t>
      </w:r>
    </w:p>
    <w:p w:rsidR="00012C76" w:rsidRDefault="00382483" w14:paraId="11F8BCF6" w14:textId="77777777">
      <w:pPr>
        <w:spacing w:before="240" w:after="240"/>
      </w:pPr>
      <w:r>
        <w:t>26.1</w:t>
      </w:r>
      <w:r>
        <w:tab/>
      </w:r>
      <w:r>
        <w:t>The Supplier is responsible for providing any Equipment which the Supplier requires to provide the Services.</w:t>
      </w:r>
    </w:p>
    <w:p w:rsidR="00012C76" w:rsidRDefault="00012C76" w14:paraId="0E75E6BD" w14:textId="77777777">
      <w:pPr>
        <w:ind w:firstLine="720"/>
      </w:pPr>
    </w:p>
    <w:p w:rsidR="00012C76" w:rsidRDefault="00382483" w14:paraId="5C218B11" w14:textId="77777777">
      <w:pPr>
        <w:ind w:left="720" w:hanging="720"/>
      </w:pPr>
      <w:r>
        <w:t>26.2</w:t>
      </w:r>
      <w:r>
        <w:tab/>
      </w:r>
      <w:r>
        <w:t>Any Equipment brought onto the premises will be at the Supplier's own risk and the Buyer will have no liability for any loss of, or damage to, any Equipment.</w:t>
      </w:r>
    </w:p>
    <w:p w:rsidR="00012C76" w:rsidRDefault="00012C76" w14:paraId="0DE1040A" w14:textId="77777777">
      <w:pPr>
        <w:ind w:firstLine="720"/>
      </w:pPr>
    </w:p>
    <w:p w:rsidR="00012C76" w:rsidRDefault="00382483" w14:paraId="0C64A696" w14:textId="77777777">
      <w:pPr>
        <w:ind w:left="720" w:hanging="720"/>
      </w:pPr>
      <w:r>
        <w:t>26.3</w:t>
      </w:r>
      <w:r>
        <w:tab/>
      </w:r>
      <w:r>
        <w:t>When the Call-Off Contract Ends or expires, the Supplier will remove the Equipment and any other materials leaving the premises in a safe and clean condition.</w:t>
      </w:r>
    </w:p>
    <w:p w:rsidR="00012C76" w:rsidRDefault="00012C76" w14:paraId="0C578FC1" w14:textId="77777777">
      <w:pPr>
        <w:ind w:left="720" w:hanging="720"/>
      </w:pPr>
    </w:p>
    <w:p w:rsidR="00012C76" w:rsidRDefault="00382483" w14:paraId="163288A0" w14:textId="77777777">
      <w:pPr>
        <w:pStyle w:val="Heading3"/>
        <w:rPr>
          <w:color w:val="auto"/>
        </w:rPr>
      </w:pPr>
      <w:r>
        <w:rPr>
          <w:color w:val="auto"/>
        </w:rPr>
        <w:t>27.</w:t>
      </w:r>
      <w:r>
        <w:rPr>
          <w:color w:val="auto"/>
        </w:rPr>
        <w:tab/>
      </w:r>
      <w:r>
        <w:rPr>
          <w:color w:val="auto"/>
        </w:rPr>
        <w:t>The Contracts (Rights of Third Parties) Act 1999</w:t>
      </w:r>
    </w:p>
    <w:p w:rsidR="00012C76" w:rsidRDefault="00012C76" w14:paraId="2BB02DBB" w14:textId="77777777"/>
    <w:p w:rsidR="00012C76" w:rsidRDefault="00382483" w14:paraId="20D71CFA" w14:textId="77777777">
      <w:pPr>
        <w:ind w:left="720" w:hanging="720"/>
      </w:pPr>
      <w:r>
        <w:t>27.1</w:t>
      </w:r>
      <w:r>
        <w:tab/>
      </w:r>
      <w: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12C76" w:rsidRDefault="00012C76" w14:paraId="777F6594" w14:textId="77777777">
      <w:pPr>
        <w:ind w:left="720" w:hanging="720"/>
      </w:pPr>
    </w:p>
    <w:p w:rsidR="00012C76" w:rsidRDefault="00382483" w14:paraId="6D68D8E5" w14:textId="77777777">
      <w:pPr>
        <w:pStyle w:val="Heading3"/>
        <w:rPr>
          <w:color w:val="auto"/>
        </w:rPr>
      </w:pPr>
      <w:r>
        <w:rPr>
          <w:color w:val="auto"/>
        </w:rPr>
        <w:t>28.</w:t>
      </w:r>
      <w:r>
        <w:rPr>
          <w:color w:val="auto"/>
        </w:rPr>
        <w:tab/>
      </w:r>
      <w:r>
        <w:rPr>
          <w:color w:val="auto"/>
        </w:rPr>
        <w:t>Environmental requirements</w:t>
      </w:r>
    </w:p>
    <w:p w:rsidR="00012C76" w:rsidRDefault="00382483" w14:paraId="6A55CC63" w14:textId="77777777">
      <w:pPr>
        <w:ind w:left="720" w:hanging="720"/>
      </w:pPr>
      <w:r>
        <w:t>28.1</w:t>
      </w:r>
      <w:r>
        <w:tab/>
      </w:r>
      <w:r>
        <w:t>The Buyer will provide a copy of its environmental policy to the Supplier on request, which the Supplier will comply with.</w:t>
      </w:r>
    </w:p>
    <w:p w:rsidR="00012C76" w:rsidRDefault="00012C76" w14:paraId="788EF443" w14:textId="77777777">
      <w:pPr>
        <w:ind w:firstLine="720"/>
      </w:pPr>
    </w:p>
    <w:p w:rsidR="00012C76" w:rsidRDefault="00382483" w14:paraId="1F3DA9AD" w14:textId="77777777">
      <w:pPr>
        <w:ind w:left="720" w:hanging="720"/>
      </w:pPr>
      <w:r>
        <w:t>28.2</w:t>
      </w:r>
      <w:r>
        <w:tab/>
      </w:r>
      <w:r>
        <w:t>The Supplier must provide reasonable support to enable Buyers to work in an environmentally friendly way, for example by helping them recycle or lower their carbon footprint.</w:t>
      </w:r>
    </w:p>
    <w:p w:rsidR="00012C76" w:rsidRDefault="00012C76" w14:paraId="1BA304BA" w14:textId="77777777">
      <w:pPr>
        <w:ind w:left="720" w:hanging="720"/>
      </w:pPr>
    </w:p>
    <w:p w:rsidR="00012C76" w:rsidRDefault="00382483" w14:paraId="57F913DC" w14:textId="77777777">
      <w:pPr>
        <w:pStyle w:val="Heading3"/>
        <w:rPr>
          <w:color w:val="auto"/>
        </w:rPr>
      </w:pPr>
      <w:r>
        <w:rPr>
          <w:color w:val="auto"/>
        </w:rPr>
        <w:t>29.</w:t>
      </w:r>
      <w:r>
        <w:rPr>
          <w:color w:val="auto"/>
        </w:rPr>
        <w:tab/>
      </w:r>
      <w:r>
        <w:rPr>
          <w:color w:val="auto"/>
        </w:rPr>
        <w:t>The Employment Regulations (TUPE)</w:t>
      </w:r>
    </w:p>
    <w:p w:rsidR="00012C76" w:rsidRDefault="00382483" w14:paraId="097BB2EC" w14:textId="77777777">
      <w:pPr>
        <w:ind w:left="720" w:hanging="720"/>
      </w:pPr>
      <w:r>
        <w:t>29.1</w:t>
      </w:r>
      <w:r>
        <w:tab/>
      </w:r>
      <w: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12C76" w:rsidRDefault="00012C76" w14:paraId="698BAC99" w14:textId="77777777">
      <w:pPr>
        <w:ind w:left="720"/>
      </w:pPr>
    </w:p>
    <w:p w:rsidR="00012C76" w:rsidRDefault="00382483" w14:paraId="2E695182" w14:textId="77777777">
      <w:pPr>
        <w:ind w:left="720" w:hanging="720"/>
      </w:pPr>
      <w:r>
        <w:t>29.2</w:t>
      </w:r>
      <w:r>
        <w:tab/>
      </w:r>
      <w: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12C76" w:rsidRDefault="00012C76" w14:paraId="1968BF98" w14:textId="77777777">
      <w:pPr>
        <w:ind w:left="720"/>
      </w:pPr>
    </w:p>
    <w:p w:rsidR="00012C76" w:rsidRDefault="00382483" w14:paraId="628AFC1D" w14:textId="77777777">
      <w:pPr>
        <w:ind w:firstLine="720"/>
      </w:pPr>
      <w:r>
        <w:t>29.2.1</w:t>
      </w:r>
      <w:r>
        <w:tab/>
      </w:r>
      <w:r>
        <w:tab/>
      </w:r>
      <w:r>
        <w:t>the activities they perform</w:t>
      </w:r>
    </w:p>
    <w:p w:rsidR="00012C76" w:rsidRDefault="00382483" w14:paraId="08F6D2D5" w14:textId="77777777">
      <w:pPr>
        <w:ind w:firstLine="720"/>
      </w:pPr>
      <w:r>
        <w:t>29.2.2</w:t>
      </w:r>
      <w:r>
        <w:tab/>
      </w:r>
      <w:r>
        <w:tab/>
      </w:r>
      <w:r>
        <w:t>age</w:t>
      </w:r>
    </w:p>
    <w:p w:rsidR="00012C76" w:rsidRDefault="00382483" w14:paraId="0002F73F" w14:textId="77777777">
      <w:pPr>
        <w:ind w:firstLine="720"/>
      </w:pPr>
      <w:r>
        <w:t>29.2.3</w:t>
      </w:r>
      <w:r>
        <w:tab/>
      </w:r>
      <w:r>
        <w:tab/>
      </w:r>
      <w:r>
        <w:t>start date</w:t>
      </w:r>
    </w:p>
    <w:p w:rsidR="00012C76" w:rsidRDefault="00382483" w14:paraId="0CD3D267" w14:textId="77777777">
      <w:pPr>
        <w:ind w:firstLine="720"/>
      </w:pPr>
      <w:r>
        <w:t>29.2.4</w:t>
      </w:r>
      <w:r>
        <w:tab/>
      </w:r>
      <w:r>
        <w:tab/>
      </w:r>
      <w:r>
        <w:t>place of work</w:t>
      </w:r>
    </w:p>
    <w:p w:rsidR="00012C76" w:rsidRDefault="00382483" w14:paraId="353B7AD5" w14:textId="77777777">
      <w:pPr>
        <w:ind w:firstLine="720"/>
      </w:pPr>
      <w:r>
        <w:t>29.2.5</w:t>
      </w:r>
      <w:r>
        <w:tab/>
      </w:r>
      <w:r>
        <w:tab/>
      </w:r>
      <w:r>
        <w:t>notice period</w:t>
      </w:r>
    </w:p>
    <w:p w:rsidR="00012C76" w:rsidRDefault="00382483" w14:paraId="45E414A4" w14:textId="77777777">
      <w:pPr>
        <w:ind w:firstLine="720"/>
      </w:pPr>
      <w:r>
        <w:t>29.2.6</w:t>
      </w:r>
      <w:r>
        <w:tab/>
      </w:r>
      <w:r>
        <w:tab/>
      </w:r>
      <w:r>
        <w:t>redundancy payment entitlement</w:t>
      </w:r>
    </w:p>
    <w:p w:rsidR="00012C76" w:rsidRDefault="00382483" w14:paraId="59F8C173" w14:textId="77777777">
      <w:pPr>
        <w:ind w:firstLine="720"/>
      </w:pPr>
      <w:r>
        <w:t>29.2.7</w:t>
      </w:r>
      <w:r>
        <w:tab/>
      </w:r>
      <w:r>
        <w:tab/>
      </w:r>
      <w:r>
        <w:t>salary, benefits and pension entitlements</w:t>
      </w:r>
    </w:p>
    <w:p w:rsidR="00012C76" w:rsidRDefault="00382483" w14:paraId="37224BDE" w14:textId="77777777">
      <w:pPr>
        <w:ind w:firstLine="720"/>
      </w:pPr>
      <w:r>
        <w:t>29.2.8</w:t>
      </w:r>
      <w:r>
        <w:tab/>
      </w:r>
      <w:r>
        <w:tab/>
      </w:r>
      <w:r>
        <w:t>employment status</w:t>
      </w:r>
    </w:p>
    <w:p w:rsidR="00012C76" w:rsidRDefault="00382483" w14:paraId="39C55D7D" w14:textId="77777777">
      <w:pPr>
        <w:ind w:firstLine="720"/>
      </w:pPr>
      <w:r>
        <w:t>29.2.9</w:t>
      </w:r>
      <w:r>
        <w:tab/>
      </w:r>
      <w:r>
        <w:tab/>
      </w:r>
      <w:r>
        <w:t>identity of employer</w:t>
      </w:r>
    </w:p>
    <w:p w:rsidR="00012C76" w:rsidRDefault="00382483" w14:paraId="63A05615" w14:textId="77777777">
      <w:pPr>
        <w:ind w:firstLine="720"/>
      </w:pPr>
      <w:r>
        <w:t>29.2.10</w:t>
      </w:r>
      <w:r>
        <w:tab/>
      </w:r>
      <w:r>
        <w:t>working arrangements</w:t>
      </w:r>
    </w:p>
    <w:p w:rsidR="00012C76" w:rsidRDefault="00382483" w14:paraId="19133D05" w14:textId="77777777">
      <w:pPr>
        <w:ind w:firstLine="720"/>
      </w:pPr>
      <w:r>
        <w:t>29.2.11</w:t>
      </w:r>
      <w:r>
        <w:tab/>
      </w:r>
      <w:r>
        <w:t>outstanding liabilities</w:t>
      </w:r>
    </w:p>
    <w:p w:rsidR="00012C76" w:rsidRDefault="00382483" w14:paraId="1218B70B" w14:textId="77777777">
      <w:pPr>
        <w:ind w:firstLine="720"/>
      </w:pPr>
      <w:r>
        <w:t>29.2.12</w:t>
      </w:r>
      <w:r>
        <w:tab/>
      </w:r>
      <w:r>
        <w:t>sickness absence</w:t>
      </w:r>
    </w:p>
    <w:p w:rsidR="00012C76" w:rsidRDefault="00382483" w14:paraId="5932ECBF" w14:textId="77777777">
      <w:pPr>
        <w:ind w:firstLine="720"/>
      </w:pPr>
      <w:r>
        <w:t>29.2.13</w:t>
      </w:r>
      <w:r>
        <w:tab/>
      </w:r>
      <w:r>
        <w:t>copies of all relevant employment contracts and related documents</w:t>
      </w:r>
    </w:p>
    <w:p w:rsidR="00012C76" w:rsidRDefault="00382483" w14:paraId="11B14DBB" w14:textId="77777777">
      <w:pPr>
        <w:ind w:firstLine="720"/>
      </w:pPr>
      <w:r>
        <w:t>29.2.14</w:t>
      </w:r>
      <w:r>
        <w:tab/>
      </w:r>
      <w:r>
        <w:t>all information required under regulation 11 of TUPE or as reasonably</w:t>
      </w:r>
    </w:p>
    <w:p w:rsidR="00012C76" w:rsidRDefault="00382483" w14:paraId="59FFB974" w14:textId="77777777">
      <w:pPr>
        <w:ind w:left="1440" w:firstLine="720"/>
      </w:pPr>
      <w:r>
        <w:t>requested by the Buyer</w:t>
      </w:r>
    </w:p>
    <w:p w:rsidR="00012C76" w:rsidRDefault="00012C76" w14:paraId="427A6BA9" w14:textId="77777777">
      <w:pPr>
        <w:ind w:left="720" w:firstLine="720"/>
      </w:pPr>
    </w:p>
    <w:p w:rsidR="00012C76" w:rsidRDefault="00382483" w14:paraId="6D810809" w14:textId="77777777">
      <w:pPr>
        <w:ind w:left="720" w:hanging="720"/>
      </w:pPr>
      <w:r>
        <w:t>29.3</w:t>
      </w:r>
      <w:r>
        <w:tab/>
      </w: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12C76" w:rsidRDefault="00012C76" w14:paraId="0A1E32B7" w14:textId="77777777">
      <w:pPr>
        <w:ind w:left="720"/>
      </w:pPr>
    </w:p>
    <w:p w:rsidR="00012C76" w:rsidRDefault="00382483" w14:paraId="438C4A42" w14:textId="77777777">
      <w:pPr>
        <w:ind w:left="720" w:hanging="720"/>
      </w:pPr>
      <w:r>
        <w:t>29.4</w:t>
      </w:r>
      <w:r>
        <w:tab/>
      </w: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12C76" w:rsidRDefault="00012C76" w14:paraId="78098D28" w14:textId="77777777">
      <w:pPr>
        <w:ind w:left="720"/>
      </w:pPr>
    </w:p>
    <w:p w:rsidR="00012C76" w:rsidRDefault="00382483" w14:paraId="217926CD" w14:textId="77777777">
      <w:pPr>
        <w:ind w:left="720" w:hanging="720"/>
      </w:pPr>
      <w:r>
        <w:t>29.5</w:t>
      </w:r>
      <w:r>
        <w:tab/>
      </w:r>
      <w:r>
        <w:t>The Supplier will co-operate with the re-tendering of this Call-Off Contract by allowing the Replacement Supplier to communicate with and meet the affected employees or their representatives.</w:t>
      </w:r>
    </w:p>
    <w:p w:rsidR="00012C76" w:rsidRDefault="00012C76" w14:paraId="3FD25646" w14:textId="77777777">
      <w:pPr>
        <w:ind w:left="720"/>
      </w:pPr>
    </w:p>
    <w:p w:rsidR="00012C76" w:rsidRDefault="00382483" w14:paraId="03448011" w14:textId="77777777">
      <w:pPr>
        <w:ind w:left="720" w:hanging="720"/>
      </w:pPr>
      <w:r>
        <w:t>29.6</w:t>
      </w:r>
      <w:r>
        <w:tab/>
      </w:r>
      <w:r>
        <w:t>The Supplier will indemnify the Buyer or any Replacement Supplier for all Loss arising from both:</w:t>
      </w:r>
    </w:p>
    <w:p w:rsidR="00012C76" w:rsidRDefault="00012C76" w14:paraId="75F1CE56" w14:textId="77777777">
      <w:pPr>
        <w:ind w:firstLine="720"/>
      </w:pPr>
    </w:p>
    <w:p w:rsidR="00012C76" w:rsidRDefault="00382483" w14:paraId="5885A1FE" w14:textId="77777777">
      <w:pPr>
        <w:ind w:firstLine="720"/>
      </w:pPr>
      <w:r>
        <w:t>29.6.1</w:t>
      </w:r>
      <w:r>
        <w:tab/>
      </w:r>
      <w:r>
        <w:t>its failure to comply with the provisions of this clause</w:t>
      </w:r>
    </w:p>
    <w:p w:rsidR="00012C76" w:rsidRDefault="00012C76" w14:paraId="19A47BA5" w14:textId="77777777">
      <w:pPr>
        <w:ind w:firstLine="720"/>
      </w:pPr>
    </w:p>
    <w:p w:rsidR="00012C76" w:rsidRDefault="00382483" w14:paraId="562831C5" w14:textId="77777777">
      <w:pPr>
        <w:ind w:left="1440" w:hanging="720"/>
      </w:pPr>
      <w:r>
        <w:t>29.6.2</w:t>
      </w:r>
      <w:r>
        <w:tab/>
      </w:r>
      <w:r>
        <w:t>any claim by any employee or person claiming to be an employee (or their employee representative) of the Supplier which arises or is alleged to arise from any act or omission by the Supplier on or before the date of the Relevant Transfer</w:t>
      </w:r>
    </w:p>
    <w:p w:rsidR="00012C76" w:rsidRDefault="00012C76" w14:paraId="5F0A41AF" w14:textId="77777777">
      <w:pPr>
        <w:ind w:left="1440"/>
      </w:pPr>
    </w:p>
    <w:p w:rsidR="00012C76" w:rsidRDefault="00382483" w14:paraId="2786BEBA" w14:textId="77777777">
      <w:pPr>
        <w:ind w:left="720" w:hanging="720"/>
      </w:pPr>
      <w:r>
        <w:t>29.7</w:t>
      </w:r>
      <w:r>
        <w:tab/>
      </w:r>
      <w:r>
        <w:t>The provisions of this clause apply during the Term of this Call-Off Contract and indefinitely after it Ends or expires.</w:t>
      </w:r>
    </w:p>
    <w:p w:rsidR="00012C76" w:rsidRDefault="00012C76" w14:paraId="774FAB7A" w14:textId="77777777">
      <w:pPr>
        <w:ind w:firstLine="720"/>
      </w:pPr>
    </w:p>
    <w:p w:rsidR="00012C76" w:rsidRDefault="00382483" w14:paraId="46725338" w14:textId="77777777">
      <w:pPr>
        <w:ind w:left="720" w:hanging="720"/>
      </w:pPr>
      <w:r>
        <w:t>29.8</w:t>
      </w:r>
      <w:r>
        <w:tab/>
      </w:r>
      <w:r>
        <w:t>For these TUPE clauses, the relevant third party will be able to enforce its rights under this clause but their consent will not be required to vary these clauses as the Buyer and Supplier may agree.</w:t>
      </w:r>
    </w:p>
    <w:p w:rsidR="00012C76" w:rsidRDefault="00012C76" w14:paraId="2AEF5467" w14:textId="77777777">
      <w:pPr>
        <w:ind w:left="720" w:hanging="720"/>
      </w:pPr>
    </w:p>
    <w:p w:rsidR="00012C76" w:rsidRDefault="00382483" w14:paraId="3A85AAB7" w14:textId="77777777">
      <w:pPr>
        <w:pStyle w:val="Heading3"/>
        <w:rPr>
          <w:color w:val="auto"/>
        </w:rPr>
      </w:pPr>
      <w:r>
        <w:rPr>
          <w:color w:val="auto"/>
        </w:rPr>
        <w:t>30.</w:t>
      </w:r>
      <w:r>
        <w:rPr>
          <w:color w:val="auto"/>
        </w:rPr>
        <w:tab/>
      </w:r>
      <w:r>
        <w:rPr>
          <w:color w:val="auto"/>
        </w:rPr>
        <w:t>Additional G-Cloud services</w:t>
      </w:r>
    </w:p>
    <w:p w:rsidR="00012C76" w:rsidRDefault="00382483" w14:paraId="34F30A45" w14:textId="77777777">
      <w:pPr>
        <w:ind w:left="720" w:hanging="720"/>
      </w:pPr>
      <w:r>
        <w:t>30.1</w:t>
      </w:r>
      <w:r>
        <w:tab/>
      </w:r>
      <w:r>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012C76" w:rsidRDefault="00012C76" w14:paraId="6ADDC019" w14:textId="77777777">
      <w:pPr>
        <w:ind w:left="720"/>
      </w:pPr>
    </w:p>
    <w:p w:rsidR="00012C76" w:rsidRDefault="00382483" w14:paraId="581F606A" w14:textId="77777777">
      <w:pPr>
        <w:ind w:left="720" w:hanging="720"/>
      </w:pPr>
      <w:r>
        <w:t>30.2</w:t>
      </w:r>
      <w:r>
        <w:tab/>
      </w:r>
      <w:r>
        <w:t>If reasonably requested to do so by the Buyer in the Order Form, the Supplier must provide and monitor performance of the Additional Services using an Implementation Plan.</w:t>
      </w:r>
    </w:p>
    <w:p w:rsidR="00012C76" w:rsidRDefault="00012C76" w14:paraId="46C29A8C" w14:textId="77777777">
      <w:pPr>
        <w:ind w:left="720" w:hanging="720"/>
      </w:pPr>
    </w:p>
    <w:p w:rsidR="00012C76" w:rsidRDefault="00382483" w14:paraId="32AFD71C" w14:textId="77777777">
      <w:pPr>
        <w:pStyle w:val="Heading3"/>
        <w:rPr>
          <w:color w:val="auto"/>
        </w:rPr>
      </w:pPr>
      <w:r>
        <w:rPr>
          <w:color w:val="auto"/>
        </w:rPr>
        <w:t>31.</w:t>
      </w:r>
      <w:r>
        <w:rPr>
          <w:color w:val="auto"/>
        </w:rPr>
        <w:tab/>
      </w:r>
      <w:r>
        <w:rPr>
          <w:color w:val="auto"/>
        </w:rPr>
        <w:t>Collaboration</w:t>
      </w:r>
    </w:p>
    <w:p w:rsidR="00012C76" w:rsidRDefault="00382483" w14:paraId="1EDC1661" w14:textId="77777777">
      <w:pPr>
        <w:ind w:left="720" w:hanging="720"/>
      </w:pPr>
      <w:r>
        <w:t>31.1</w:t>
      </w:r>
      <w:r>
        <w:tab/>
      </w:r>
      <w:r>
        <w:t>If the Buyer has specified in the Order Form that it requires the Supplier to enter into a Collaboration Agreement, the Supplier must give the Buyer an executed Collaboration Agreement before the Start date.</w:t>
      </w:r>
    </w:p>
    <w:p w:rsidR="00012C76" w:rsidRDefault="00012C76" w14:paraId="7C534C78" w14:textId="77777777">
      <w:pPr>
        <w:ind w:left="720"/>
      </w:pPr>
    </w:p>
    <w:p w:rsidR="00012C76" w:rsidRDefault="00382483" w14:paraId="22A99181" w14:textId="77777777">
      <w:r>
        <w:t>31.2</w:t>
      </w:r>
      <w:r>
        <w:tab/>
      </w:r>
      <w:r>
        <w:t>In addition to any obligations under the Collaboration Agreement, the Supplier must:</w:t>
      </w:r>
    </w:p>
    <w:p w:rsidR="00012C76" w:rsidRDefault="00012C76" w14:paraId="5E3FC9B8" w14:textId="77777777"/>
    <w:p w:rsidR="00012C76" w:rsidRDefault="00382483" w14:paraId="502A791A" w14:textId="77777777">
      <w:pPr>
        <w:ind w:firstLine="720"/>
      </w:pPr>
      <w:r>
        <w:t>31.2.1</w:t>
      </w:r>
      <w:r>
        <w:tab/>
      </w:r>
      <w:r>
        <w:t>work proactively and in good faith with each of the Buyer’s contractors</w:t>
      </w:r>
    </w:p>
    <w:p w:rsidR="00012C76" w:rsidRDefault="00012C76" w14:paraId="0874AB72" w14:textId="77777777">
      <w:pPr>
        <w:ind w:firstLine="720"/>
      </w:pPr>
    </w:p>
    <w:p w:rsidR="00012C76" w:rsidRDefault="00382483" w14:paraId="7EE1F573" w14:textId="77777777">
      <w:pPr>
        <w:ind w:left="1440" w:hanging="720"/>
      </w:pPr>
      <w:r>
        <w:t>31.2.2</w:t>
      </w:r>
      <w:r>
        <w:tab/>
      </w:r>
      <w:r>
        <w:t>co-operate and share information with the Buyer’s contractors to enable the efficient operation of the Buyer’s ICT services and G-Cloud Services</w:t>
      </w:r>
    </w:p>
    <w:p w:rsidR="00012C76" w:rsidRDefault="00012C76" w14:paraId="3D923018" w14:textId="77777777">
      <w:pPr>
        <w:ind w:left="1440" w:hanging="720"/>
      </w:pPr>
    </w:p>
    <w:p w:rsidR="00012C76" w:rsidRDefault="00382483" w14:paraId="2C4BD12D" w14:textId="77777777">
      <w:pPr>
        <w:pStyle w:val="Heading3"/>
        <w:rPr>
          <w:color w:val="auto"/>
        </w:rPr>
      </w:pPr>
      <w:r>
        <w:rPr>
          <w:color w:val="auto"/>
        </w:rPr>
        <w:t>32.</w:t>
      </w:r>
      <w:r>
        <w:rPr>
          <w:color w:val="auto"/>
        </w:rPr>
        <w:tab/>
      </w:r>
      <w:r>
        <w:rPr>
          <w:color w:val="auto"/>
        </w:rPr>
        <w:t>Variation process</w:t>
      </w:r>
    </w:p>
    <w:p w:rsidR="00012C76" w:rsidRDefault="00382483" w14:paraId="73A4779F" w14:textId="77777777">
      <w:pPr>
        <w:ind w:left="720" w:hanging="720"/>
      </w:pPr>
      <w:r>
        <w:t>32.1</w:t>
      </w:r>
      <w:r>
        <w:tab/>
      </w:r>
      <w:r>
        <w:t>The Buyer can request in writing a change to this Call-Off Contract if it isn’t a material change to the Framework Agreement/or this Call-Off Contract. Once implemented, it is called a Variation.</w:t>
      </w:r>
    </w:p>
    <w:p w:rsidR="00012C76" w:rsidRDefault="00012C76" w14:paraId="078E0B85" w14:textId="77777777">
      <w:pPr>
        <w:ind w:left="720"/>
      </w:pPr>
    </w:p>
    <w:p w:rsidR="00012C76" w:rsidRDefault="00382483" w14:paraId="6F5CB16C" w14:textId="77777777">
      <w:pPr>
        <w:ind w:left="720" w:hanging="720"/>
      </w:pPr>
      <w:r>
        <w:t>32.2</w:t>
      </w:r>
      <w:r>
        <w:tab/>
      </w:r>
      <w:r>
        <w:t>The Supplier must notify the Buyer immediately in writing of any proposed changes to their G-Cloud Services or their delivery by submitting a Variation request. This includes any changes in the Supplier’s supply chain.</w:t>
      </w:r>
    </w:p>
    <w:p w:rsidR="00012C76" w:rsidRDefault="00012C76" w14:paraId="520F80B5" w14:textId="77777777"/>
    <w:p w:rsidR="00012C76" w:rsidRDefault="00382483" w14:paraId="37C97EFD" w14:textId="77777777">
      <w:pPr>
        <w:ind w:left="720" w:hanging="720"/>
      </w:pPr>
      <w:r>
        <w:t>32.3</w:t>
      </w:r>
      <w:r>
        <w:tab/>
      </w:r>
      <w:r>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rsidR="00012C76" w:rsidRDefault="00012C76" w14:paraId="48198494" w14:textId="77777777">
      <w:pPr>
        <w:ind w:left="720" w:hanging="720"/>
      </w:pPr>
    </w:p>
    <w:p w:rsidR="00012C76" w:rsidRDefault="00382483" w14:paraId="16000559" w14:textId="77777777">
      <w:pPr>
        <w:pStyle w:val="Heading3"/>
        <w:rPr>
          <w:color w:val="auto"/>
        </w:rPr>
      </w:pPr>
      <w:r>
        <w:rPr>
          <w:color w:val="auto"/>
        </w:rPr>
        <w:t>33.</w:t>
      </w:r>
      <w:r>
        <w:rPr>
          <w:color w:val="auto"/>
        </w:rPr>
        <w:tab/>
      </w:r>
      <w:r>
        <w:rPr>
          <w:color w:val="auto"/>
        </w:rPr>
        <w:t>Data Protection Legislation (GDPR)</w:t>
      </w:r>
    </w:p>
    <w:p w:rsidR="00012C76" w:rsidRDefault="00382483" w14:paraId="19D9EA2C" w14:textId="77777777">
      <w:pPr>
        <w:ind w:left="720" w:hanging="720"/>
      </w:pPr>
      <w:r>
        <w:t>33.1</w:t>
      </w:r>
      <w:r>
        <w:tab/>
      </w:r>
      <w:r>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012C76" w:rsidRDefault="00012C76" w14:paraId="57F94E5C" w14:textId="77777777"/>
    <w:p w:rsidR="00012C76" w:rsidRDefault="00012C76" w14:paraId="123FF7FE" w14:textId="77777777">
      <w:pPr>
        <w:pageBreakBefore/>
        <w:rPr>
          <w:b/>
        </w:rPr>
      </w:pPr>
    </w:p>
    <w:p w:rsidR="00012C76" w:rsidRDefault="00382483" w14:paraId="3B197336" w14:textId="77777777">
      <w:pPr>
        <w:pStyle w:val="Heading2"/>
      </w:pPr>
      <w:bookmarkStart w:name="_Toc33176236" w:id="11"/>
      <w:bookmarkStart w:name="_Toc89701658" w:id="12"/>
      <w:r>
        <w:t>Schedule 3: Collaboration agreement</w:t>
      </w:r>
      <w:bookmarkEnd w:id="11"/>
      <w:bookmarkEnd w:id="12"/>
    </w:p>
    <w:p w:rsidRPr="00F84247" w:rsidR="00E90393" w:rsidP="00E90393" w:rsidRDefault="00022864" w14:paraId="5A65B156" w14:textId="77777777">
      <w:pPr>
        <w:rPr>
          <w:sz w:val="24"/>
          <w:szCs w:val="24"/>
        </w:rPr>
      </w:pPr>
      <w:r>
        <w:rPr>
          <w:sz w:val="24"/>
          <w:szCs w:val="24"/>
        </w:rPr>
        <w:t>Not u</w:t>
      </w:r>
      <w:r w:rsidRPr="00F84247" w:rsidR="00E90393">
        <w:rPr>
          <w:sz w:val="24"/>
          <w:szCs w:val="24"/>
        </w:rPr>
        <w:t>sed</w:t>
      </w:r>
    </w:p>
    <w:p w:rsidRPr="00E90393" w:rsidR="00E90393" w:rsidP="00E90393" w:rsidRDefault="00E90393" w14:paraId="0A511E77" w14:textId="77777777">
      <w:pPr>
        <w:rPr>
          <w:b/>
          <w:sz w:val="24"/>
          <w:szCs w:val="24"/>
        </w:rPr>
      </w:pPr>
    </w:p>
    <w:p w:rsidR="00012C76" w:rsidRDefault="00382483" w14:paraId="650A761F" w14:textId="77777777">
      <w:pPr>
        <w:pStyle w:val="Heading2"/>
      </w:pPr>
      <w:bookmarkStart w:name="_Toc33176237" w:id="13"/>
      <w:bookmarkStart w:name="_Toc89701659" w:id="14"/>
      <w:r>
        <w:t>Schedule 4: Alternative clauses</w:t>
      </w:r>
      <w:bookmarkEnd w:id="13"/>
      <w:bookmarkEnd w:id="14"/>
    </w:p>
    <w:p w:rsidR="007D7C26" w:rsidP="007D7C26" w:rsidRDefault="007D7C26" w14:paraId="5D627A9F" w14:textId="77777777">
      <w:r>
        <w:t>Not used</w:t>
      </w:r>
    </w:p>
    <w:p w:rsidR="00F84247" w:rsidP="007D7C26" w:rsidRDefault="00F84247" w14:paraId="26070D2A" w14:textId="77777777"/>
    <w:p w:rsidR="00F84247" w:rsidP="007D7C26" w:rsidRDefault="00F84247" w14:paraId="7790D135" w14:textId="77777777"/>
    <w:p w:rsidR="00F84247" w:rsidP="00F84247" w:rsidRDefault="00F84247" w14:paraId="09B6CD00" w14:textId="77777777">
      <w:pPr>
        <w:rPr>
          <w:sz w:val="32"/>
          <w:szCs w:val="32"/>
        </w:rPr>
      </w:pPr>
      <w:bookmarkStart w:name="_Toc33176238" w:id="15"/>
      <w:r w:rsidRPr="00F84247">
        <w:rPr>
          <w:sz w:val="32"/>
          <w:szCs w:val="32"/>
        </w:rPr>
        <w:t>Schedule 5: Guarantee</w:t>
      </w:r>
      <w:bookmarkEnd w:id="15"/>
    </w:p>
    <w:p w:rsidRPr="00F84247" w:rsidR="00F84247" w:rsidP="00F84247" w:rsidRDefault="00F84247" w14:paraId="44E33E75" w14:textId="77777777">
      <w:pPr>
        <w:rPr>
          <w:sz w:val="32"/>
          <w:szCs w:val="32"/>
        </w:rPr>
      </w:pPr>
    </w:p>
    <w:p w:rsidRPr="00F84247" w:rsidR="00F84247" w:rsidP="00F84247" w:rsidRDefault="00022864" w14:paraId="5CDFF6F4" w14:textId="77777777">
      <w:r>
        <w:t>Not u</w:t>
      </w:r>
      <w:r w:rsidRPr="00F84247" w:rsidR="00F84247">
        <w:t>sed</w:t>
      </w:r>
    </w:p>
    <w:p w:rsidRPr="007D7C26" w:rsidR="00F84247" w:rsidP="007D7C26" w:rsidRDefault="00F84247" w14:paraId="1711D06D" w14:textId="77777777"/>
    <w:p w:rsidR="00012C76" w:rsidRDefault="00382483" w14:paraId="21759AA6" w14:textId="77777777">
      <w:pPr>
        <w:pStyle w:val="Heading2"/>
      </w:pPr>
      <w:bookmarkStart w:name="_Toc33176239" w:id="16"/>
      <w:bookmarkStart w:name="_Toc89701660" w:id="17"/>
      <w:r>
        <w:t>Schedule 6: Glossary and interpretations</w:t>
      </w:r>
      <w:bookmarkEnd w:id="16"/>
      <w:bookmarkEnd w:id="17"/>
    </w:p>
    <w:p w:rsidR="00012C76" w:rsidRDefault="00382483" w14:paraId="37BA9CDC" w14:textId="77777777">
      <w:r>
        <w:t>In this Call-Off Contract the following expressions mean:</w:t>
      </w:r>
    </w:p>
    <w:p w:rsidR="00012C76" w:rsidRDefault="00012C76" w14:paraId="0D207380" w14:textId="77777777"/>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12C76" w14:paraId="01F21CA2" w14:textId="77777777">
        <w:trPr>
          <w:trHeight w:val="3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0FBA53B" w14:textId="77777777">
            <w:pPr>
              <w:spacing w:before="240"/>
              <w:rPr>
                <w:sz w:val="20"/>
                <w:szCs w:val="20"/>
              </w:rPr>
            </w:pPr>
            <w:r>
              <w:rPr>
                <w:sz w:val="20"/>
                <w:szCs w:val="20"/>
              </w:rPr>
              <w:t>Expression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0FE96F5" w14:textId="77777777">
            <w:pPr>
              <w:spacing w:before="240"/>
              <w:rPr>
                <w:sz w:val="20"/>
                <w:szCs w:val="20"/>
              </w:rPr>
            </w:pPr>
            <w:r>
              <w:rPr>
                <w:sz w:val="20"/>
                <w:szCs w:val="20"/>
              </w:rPr>
              <w:t>Meaning</w:t>
            </w:r>
          </w:p>
        </w:tc>
      </w:tr>
      <w:tr w:rsidR="00012C76" w14:paraId="36620222"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0412E58" w14:textId="77777777">
            <w:pPr>
              <w:spacing w:before="240"/>
              <w:rPr>
                <w:b/>
                <w:sz w:val="20"/>
                <w:szCs w:val="20"/>
              </w:rPr>
            </w:pPr>
            <w:r>
              <w:rPr>
                <w:b/>
                <w:sz w:val="20"/>
                <w:szCs w:val="20"/>
              </w:rPr>
              <w:t>Additional Services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F9BC85B" w14:textId="77777777">
            <w:pPr>
              <w:spacing w:before="240"/>
              <w:rPr>
                <w:sz w:val="20"/>
                <w:szCs w:val="20"/>
              </w:rPr>
            </w:pPr>
            <w:r>
              <w:rPr>
                <w:sz w:val="20"/>
                <w:szCs w:val="20"/>
              </w:rPr>
              <w:t>Any services ancillary to the G-Cloud Services that are in the scope of Framework Agreement Section 2 (Services Offered) which a Buyer may request.</w:t>
            </w:r>
          </w:p>
        </w:tc>
      </w:tr>
      <w:tr w:rsidR="00012C76" w14:paraId="4A2C4602"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8F8993B" w14:textId="77777777">
            <w:pPr>
              <w:spacing w:before="240"/>
              <w:rPr>
                <w:b/>
                <w:sz w:val="20"/>
                <w:szCs w:val="20"/>
              </w:rPr>
            </w:pPr>
            <w:r>
              <w:rPr>
                <w:b/>
                <w:sz w:val="20"/>
                <w:szCs w:val="20"/>
              </w:rPr>
              <w:t>Admission Agreement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41B6632" w14:textId="77777777">
            <w:pPr>
              <w:spacing w:before="240"/>
              <w:rPr>
                <w:sz w:val="20"/>
                <w:szCs w:val="20"/>
              </w:rPr>
            </w:pPr>
            <w:r>
              <w:rPr>
                <w:sz w:val="20"/>
                <w:szCs w:val="20"/>
              </w:rPr>
              <w:t>The agreement to be entered into to enable the Supplier to participate in the relevant Civil Service pension scheme(s).</w:t>
            </w:r>
          </w:p>
        </w:tc>
      </w:tr>
      <w:tr w:rsidR="00012C76" w14:paraId="17453B0B"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F869D42" w14:textId="77777777">
            <w:pPr>
              <w:spacing w:before="240"/>
              <w:rPr>
                <w:b/>
                <w:sz w:val="20"/>
                <w:szCs w:val="20"/>
              </w:rPr>
            </w:pPr>
            <w:r>
              <w:rPr>
                <w:b/>
                <w:sz w:val="20"/>
                <w:szCs w:val="20"/>
              </w:rPr>
              <w:t>Application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A4BC159" w14:textId="77777777">
            <w:pPr>
              <w:spacing w:before="240"/>
              <w:rPr>
                <w:sz w:val="20"/>
                <w:szCs w:val="20"/>
              </w:rPr>
            </w:pPr>
            <w:r>
              <w:rPr>
                <w:sz w:val="20"/>
                <w:szCs w:val="20"/>
              </w:rPr>
              <w:t>The response submitted by the Supplier to the Invitation to Tender (known as the Invitation to Apply on the Digital Marketplace).</w:t>
            </w:r>
          </w:p>
        </w:tc>
      </w:tr>
      <w:tr w:rsidR="00012C76" w14:paraId="7BF24C63"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5F6C1F4" w14:textId="77777777">
            <w:pPr>
              <w:spacing w:before="240"/>
              <w:rPr>
                <w:b/>
                <w:sz w:val="20"/>
                <w:szCs w:val="20"/>
              </w:rPr>
            </w:pPr>
            <w:r>
              <w:rPr>
                <w:b/>
                <w:sz w:val="20"/>
                <w:szCs w:val="20"/>
              </w:rPr>
              <w:t>Audit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67B86E1" w14:textId="77777777">
            <w:pPr>
              <w:spacing w:before="240"/>
              <w:rPr>
                <w:sz w:val="20"/>
                <w:szCs w:val="20"/>
              </w:rPr>
            </w:pPr>
            <w:r>
              <w:rPr>
                <w:sz w:val="20"/>
                <w:szCs w:val="20"/>
              </w:rPr>
              <w:t>An audit carried out under the incorporated Framework Agreement clauses specified by the Buyer in the Order (if any).</w:t>
            </w:r>
          </w:p>
        </w:tc>
      </w:tr>
      <w:tr w:rsidR="00012C76" w14:paraId="3CE0E8F2" w14:textId="77777777">
        <w:trPr>
          <w:trHeight w:val="331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9696C7A" w14:textId="77777777">
            <w:pPr>
              <w:spacing w:before="240"/>
              <w:rPr>
                <w:b/>
                <w:sz w:val="20"/>
                <w:szCs w:val="20"/>
              </w:rPr>
            </w:pPr>
            <w:r>
              <w:rPr>
                <w:b/>
                <w:sz w:val="20"/>
                <w:szCs w:val="20"/>
              </w:rPr>
              <w:lastRenderedPageBreak/>
              <w:t>Background IPRs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C733731" w14:textId="77777777">
            <w:pPr>
              <w:spacing w:before="240"/>
              <w:rPr>
                <w:sz w:val="20"/>
                <w:szCs w:val="20"/>
              </w:rPr>
            </w:pPr>
            <w:r>
              <w:rPr>
                <w:sz w:val="20"/>
                <w:szCs w:val="20"/>
              </w:rPr>
              <w:t>For each Party, IPRs:</w:t>
            </w:r>
          </w:p>
          <w:p w:rsidR="00012C76" w:rsidRDefault="00382483" w14:paraId="6B195FD0" w14:textId="77777777">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012C76" w:rsidRDefault="00382483" w14:paraId="477DA912" w14:textId="77777777">
            <w:pPr>
              <w:pStyle w:val="ListParagraph"/>
              <w:numPr>
                <w:ilvl w:val="0"/>
                <w:numId w:val="22"/>
              </w:numPr>
              <w:rPr>
                <w:sz w:val="20"/>
                <w:szCs w:val="20"/>
              </w:rPr>
            </w:pPr>
            <w:r>
              <w:rPr>
                <w:sz w:val="20"/>
                <w:szCs w:val="20"/>
              </w:rPr>
              <w:t>created by the Party independently of this Call-Off Contract, or</w:t>
            </w:r>
          </w:p>
          <w:p w:rsidR="00012C76" w:rsidRDefault="00382483" w14:paraId="3ACBF0C8" w14:textId="77777777">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12C76" w14:paraId="6E8BAAEF"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B555FE9" w14:textId="77777777">
            <w:pPr>
              <w:spacing w:before="240"/>
              <w:rPr>
                <w:b/>
                <w:sz w:val="20"/>
                <w:szCs w:val="20"/>
              </w:rPr>
            </w:pPr>
            <w:r>
              <w:rPr>
                <w:b/>
                <w:sz w:val="20"/>
                <w:szCs w:val="20"/>
              </w:rPr>
              <w:t>Buyer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54D38E0" w14:textId="77777777">
            <w:pPr>
              <w:spacing w:before="240"/>
              <w:rPr>
                <w:sz w:val="20"/>
                <w:szCs w:val="20"/>
              </w:rPr>
            </w:pPr>
            <w:r>
              <w:rPr>
                <w:sz w:val="20"/>
                <w:szCs w:val="20"/>
              </w:rPr>
              <w:t>The contracting authority ordering services as set out in the Order Form.</w:t>
            </w:r>
          </w:p>
        </w:tc>
      </w:tr>
      <w:tr w:rsidR="00012C76" w14:paraId="7D3041CA"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F29908D" w14:textId="77777777">
            <w:pPr>
              <w:spacing w:before="240"/>
              <w:rPr>
                <w:b/>
                <w:sz w:val="20"/>
                <w:szCs w:val="20"/>
              </w:rPr>
            </w:pPr>
            <w:r>
              <w:rPr>
                <w:b/>
                <w:sz w:val="20"/>
                <w:szCs w:val="20"/>
              </w:rPr>
              <w:t>Buyer Data</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89B69A1" w14:textId="77777777">
            <w:pPr>
              <w:spacing w:before="240"/>
              <w:rPr>
                <w:sz w:val="20"/>
                <w:szCs w:val="20"/>
              </w:rPr>
            </w:pPr>
            <w:r>
              <w:rPr>
                <w:sz w:val="20"/>
                <w:szCs w:val="20"/>
              </w:rPr>
              <w:t>All data supplied by the Buyer to the Supplier including Personal Data and Service Data that is owned and managed by the Buyer.</w:t>
            </w:r>
          </w:p>
        </w:tc>
      </w:tr>
      <w:tr w:rsidR="00012C76" w14:paraId="7E3CDF45"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F58EFC6" w14:textId="77777777">
            <w:pPr>
              <w:spacing w:before="240"/>
              <w:rPr>
                <w:b/>
                <w:sz w:val="20"/>
                <w:szCs w:val="20"/>
              </w:rPr>
            </w:pPr>
            <w:r>
              <w:rPr>
                <w:b/>
                <w:sz w:val="20"/>
                <w:szCs w:val="20"/>
              </w:rPr>
              <w:t>Buyer Personal Data</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1F34F7A" w14:textId="77777777">
            <w:pPr>
              <w:spacing w:before="240"/>
              <w:rPr>
                <w:sz w:val="20"/>
                <w:szCs w:val="20"/>
              </w:rPr>
            </w:pPr>
            <w:r>
              <w:rPr>
                <w:sz w:val="20"/>
                <w:szCs w:val="20"/>
              </w:rPr>
              <w:t>The Personal Data supplied by the Buyer to the Supplier for purposes of, or in connection with, this Call-Off Contract.</w:t>
            </w:r>
          </w:p>
        </w:tc>
      </w:tr>
      <w:tr w:rsidR="00012C76" w14:paraId="2DF198A6"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04E661D" w14:textId="77777777">
            <w:pPr>
              <w:spacing w:before="240"/>
              <w:rPr>
                <w:b/>
                <w:sz w:val="20"/>
                <w:szCs w:val="20"/>
              </w:rPr>
            </w:pPr>
            <w:r>
              <w:rPr>
                <w:b/>
                <w:sz w:val="20"/>
                <w:szCs w:val="20"/>
              </w:rPr>
              <w:t>Buyer Representative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AB00661" w14:textId="77777777">
            <w:pPr>
              <w:spacing w:before="240"/>
              <w:rPr>
                <w:sz w:val="20"/>
                <w:szCs w:val="20"/>
              </w:rPr>
            </w:pPr>
            <w:r>
              <w:rPr>
                <w:sz w:val="20"/>
                <w:szCs w:val="20"/>
              </w:rPr>
              <w:t>The representative appointed by the Buyer under this Call-Off Contract.</w:t>
            </w:r>
          </w:p>
        </w:tc>
      </w:tr>
      <w:tr w:rsidR="00012C76" w14:paraId="7AA3C079"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879DF43" w14:textId="77777777">
            <w:pPr>
              <w:spacing w:before="240"/>
              <w:rPr>
                <w:b/>
                <w:sz w:val="20"/>
                <w:szCs w:val="20"/>
              </w:rPr>
            </w:pPr>
            <w:r>
              <w:rPr>
                <w:b/>
                <w:sz w:val="20"/>
                <w:szCs w:val="20"/>
              </w:rPr>
              <w:t>Buyer Software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676E7B4" w14:textId="77777777">
            <w:pPr>
              <w:spacing w:before="240"/>
              <w:rPr>
                <w:sz w:val="20"/>
                <w:szCs w:val="20"/>
              </w:rPr>
            </w:pPr>
            <w:r>
              <w:rPr>
                <w:sz w:val="20"/>
                <w:szCs w:val="20"/>
              </w:rPr>
              <w:t>Software owned by or licensed to the Buyer (other than under this Agreement), which is or will be used by the Supplier to provide the Services.</w:t>
            </w:r>
          </w:p>
        </w:tc>
      </w:tr>
      <w:tr w:rsidR="00012C76" w14:paraId="199070EA" w14:textId="77777777">
        <w:trPr>
          <w:trHeight w:val="12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71BEB39" w14:textId="77777777">
            <w:pPr>
              <w:spacing w:before="240"/>
              <w:rPr>
                <w:b/>
                <w:sz w:val="20"/>
                <w:szCs w:val="20"/>
              </w:rPr>
            </w:pPr>
            <w:r>
              <w:rPr>
                <w:b/>
                <w:sz w:val="20"/>
                <w:szCs w:val="20"/>
              </w:rPr>
              <w:t>Call-Off Contract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51BE0EC" w14:textId="77777777">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2C76" w14:paraId="78C260D7"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54876CE" w14:textId="77777777">
            <w:pPr>
              <w:spacing w:before="240"/>
              <w:rPr>
                <w:b/>
                <w:sz w:val="20"/>
                <w:szCs w:val="20"/>
              </w:rPr>
            </w:pPr>
            <w:r>
              <w:rPr>
                <w:b/>
                <w:sz w:val="20"/>
                <w:szCs w:val="20"/>
              </w:rPr>
              <w:t>Charges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802A6B5" w14:textId="77777777">
            <w:pPr>
              <w:spacing w:before="240"/>
              <w:rPr>
                <w:sz w:val="20"/>
                <w:szCs w:val="20"/>
              </w:rPr>
            </w:pPr>
            <w:r>
              <w:rPr>
                <w:sz w:val="20"/>
                <w:szCs w:val="20"/>
              </w:rPr>
              <w:t>The prices (excluding any applicable VAT), payable to the Supplier by the Buyer under this Call-Off Contract.</w:t>
            </w:r>
          </w:p>
        </w:tc>
      </w:tr>
      <w:tr w:rsidR="00012C76" w14:paraId="73A7D5C5" w14:textId="77777777">
        <w:trPr>
          <w:trHeight w:val="12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40A184F" w14:textId="77777777">
            <w:pPr>
              <w:spacing w:before="240"/>
              <w:rPr>
                <w:b/>
                <w:sz w:val="20"/>
                <w:szCs w:val="20"/>
              </w:rPr>
            </w:pPr>
            <w:r>
              <w:rPr>
                <w:b/>
                <w:sz w:val="20"/>
                <w:szCs w:val="20"/>
              </w:rPr>
              <w:t>Collaboration Agreement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2536073" w14:textId="7777777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2C76" w14:paraId="2FE43162"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8C0D70A" w14:textId="77777777">
            <w:pPr>
              <w:spacing w:before="240"/>
              <w:rPr>
                <w:b/>
                <w:sz w:val="20"/>
                <w:szCs w:val="20"/>
              </w:rPr>
            </w:pPr>
            <w:r>
              <w:rPr>
                <w:b/>
                <w:sz w:val="20"/>
                <w:szCs w:val="20"/>
              </w:rPr>
              <w:t>Commercially Sensitive Information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9064078" w14:textId="7777777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12C76" w14:paraId="70B2CCDE" w14:textId="77777777">
        <w:trPr>
          <w:trHeight w:val="216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04744C2" w14:textId="77777777">
            <w:pPr>
              <w:spacing w:before="240"/>
              <w:rPr>
                <w:b/>
                <w:sz w:val="20"/>
                <w:szCs w:val="20"/>
              </w:rPr>
            </w:pPr>
            <w:r>
              <w:rPr>
                <w:b/>
                <w:sz w:val="20"/>
                <w:szCs w:val="20"/>
              </w:rPr>
              <w:lastRenderedPageBreak/>
              <w:t>Confidential Information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9259D3F" w14:textId="77777777">
            <w:pPr>
              <w:spacing w:before="240"/>
              <w:rPr>
                <w:sz w:val="20"/>
                <w:szCs w:val="20"/>
              </w:rPr>
            </w:pPr>
            <w:r>
              <w:rPr>
                <w:sz w:val="20"/>
                <w:szCs w:val="20"/>
              </w:rPr>
              <w:t>Data, Personal Data and any information, which may include (but isn’t limited to) any:</w:t>
            </w:r>
          </w:p>
          <w:p w:rsidR="00012C76" w:rsidRDefault="00382483" w14:paraId="230E3A67" w14:textId="77777777">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012C76" w:rsidRDefault="00382483" w14:paraId="73E343F4" w14:textId="77777777">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12C76" w14:paraId="640F5B4B" w14:textId="77777777">
        <w:trPr>
          <w:trHeight w:val="8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66A49C7" w14:textId="77777777">
            <w:pPr>
              <w:spacing w:before="240"/>
              <w:rPr>
                <w:b/>
                <w:sz w:val="20"/>
                <w:szCs w:val="20"/>
              </w:rPr>
            </w:pPr>
            <w:r>
              <w:rPr>
                <w:b/>
                <w:sz w:val="20"/>
                <w:szCs w:val="20"/>
              </w:rPr>
              <w:t>Control</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69D04C7" w14:textId="77777777">
            <w:pPr>
              <w:spacing w:before="240"/>
              <w:rPr>
                <w:sz w:val="20"/>
                <w:szCs w:val="20"/>
              </w:rPr>
            </w:pPr>
            <w:r>
              <w:rPr>
                <w:sz w:val="20"/>
                <w:szCs w:val="20"/>
              </w:rPr>
              <w:t>‘Control’ as defined in section 1124 and 450 of the Corporation Tax</w:t>
            </w:r>
          </w:p>
          <w:p w:rsidR="00012C76" w:rsidRDefault="00382483" w14:paraId="50CD0395" w14:textId="77777777">
            <w:pPr>
              <w:spacing w:before="240"/>
              <w:rPr>
                <w:sz w:val="20"/>
                <w:szCs w:val="20"/>
              </w:rPr>
            </w:pPr>
            <w:r>
              <w:rPr>
                <w:sz w:val="20"/>
                <w:szCs w:val="20"/>
              </w:rPr>
              <w:t>Act 2010. 'Controls' and 'Controlled' will be interpreted accordingly.</w:t>
            </w:r>
          </w:p>
        </w:tc>
      </w:tr>
      <w:tr w:rsidR="00012C76" w14:paraId="0798B0DF"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C2E493A" w14:textId="77777777">
            <w:pPr>
              <w:spacing w:before="240"/>
              <w:rPr>
                <w:b/>
                <w:sz w:val="20"/>
                <w:szCs w:val="20"/>
              </w:rPr>
            </w:pPr>
            <w:r>
              <w:rPr>
                <w:b/>
                <w:sz w:val="20"/>
                <w:szCs w:val="20"/>
              </w:rPr>
              <w:t>Controller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6BC0F02" w14:textId="77777777">
            <w:pPr>
              <w:spacing w:before="240"/>
              <w:rPr>
                <w:sz w:val="20"/>
                <w:szCs w:val="20"/>
              </w:rPr>
            </w:pPr>
            <w:r>
              <w:rPr>
                <w:sz w:val="20"/>
                <w:szCs w:val="20"/>
              </w:rPr>
              <w:t>Takes the meaning given in the GDPR.</w:t>
            </w:r>
          </w:p>
        </w:tc>
      </w:tr>
      <w:tr w:rsidR="00012C76" w14:paraId="59B8A8D5" w14:textId="77777777">
        <w:trPr>
          <w:trHeight w:val="150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7C61922" w14:textId="77777777">
            <w:pPr>
              <w:spacing w:before="240"/>
              <w:rPr>
                <w:b/>
                <w:sz w:val="20"/>
                <w:szCs w:val="20"/>
              </w:rPr>
            </w:pPr>
            <w:r>
              <w:rPr>
                <w:b/>
                <w:sz w:val="20"/>
                <w:szCs w:val="20"/>
              </w:rPr>
              <w:t>Crown</w:t>
            </w:r>
          </w:p>
          <w:p w:rsidR="00012C76" w:rsidRDefault="00382483" w14:paraId="55BED0B7" w14:textId="77777777">
            <w:pPr>
              <w:spacing w:before="240"/>
              <w:rPr>
                <w:b/>
                <w:sz w:val="20"/>
                <w:szCs w:val="20"/>
              </w:rPr>
            </w:pPr>
            <w:r>
              <w:rPr>
                <w:b/>
                <w:sz w:val="20"/>
                <w:szCs w:val="20"/>
              </w:rPr>
              <w:t xml:space="preserve"> </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459F27F" w14:textId="77777777">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2C76" w14:paraId="42639863"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C31E426" w14:textId="77777777">
            <w:pPr>
              <w:spacing w:before="240"/>
              <w:rPr>
                <w:b/>
                <w:sz w:val="20"/>
                <w:szCs w:val="20"/>
              </w:rPr>
            </w:pPr>
            <w:r>
              <w:rPr>
                <w:b/>
                <w:sz w:val="20"/>
                <w:szCs w:val="20"/>
              </w:rPr>
              <w:t>Data Loss Event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10A4771" w14:textId="7777777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2C76" w14:paraId="48780B39"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1D9DBBF" w14:textId="77777777">
            <w:pPr>
              <w:spacing w:before="240"/>
              <w:rPr>
                <w:b/>
                <w:sz w:val="20"/>
                <w:szCs w:val="20"/>
              </w:rPr>
            </w:pPr>
            <w:r>
              <w:rPr>
                <w:b/>
                <w:sz w:val="20"/>
                <w:szCs w:val="20"/>
              </w:rPr>
              <w:t>Data Protection Impact Assessment (DPIA)</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DCFD055" w14:textId="77777777">
            <w:pPr>
              <w:spacing w:before="240"/>
              <w:rPr>
                <w:sz w:val="20"/>
                <w:szCs w:val="20"/>
              </w:rPr>
            </w:pPr>
            <w:r>
              <w:rPr>
                <w:sz w:val="20"/>
                <w:szCs w:val="20"/>
              </w:rPr>
              <w:t>An assessment by the Controller of the impact of the envisaged Processing on the protection of Personal Data.</w:t>
            </w:r>
          </w:p>
        </w:tc>
      </w:tr>
      <w:tr w:rsidR="00012C76" w14:paraId="7C7F13CD" w14:textId="77777777">
        <w:trPr>
          <w:trHeight w:val="2338"/>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05358FB" w14:textId="77777777">
            <w:pPr>
              <w:spacing w:before="240"/>
              <w:rPr>
                <w:b/>
                <w:sz w:val="20"/>
                <w:szCs w:val="20"/>
              </w:rPr>
            </w:pPr>
            <w:r>
              <w:rPr>
                <w:b/>
                <w:sz w:val="20"/>
                <w:szCs w:val="20"/>
              </w:rPr>
              <w:t>Data Protection Legislation (DPL)</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88975C4" w14:textId="77777777">
            <w:pPr>
              <w:spacing w:before="240"/>
              <w:rPr>
                <w:sz w:val="20"/>
                <w:szCs w:val="20"/>
              </w:rPr>
            </w:pPr>
            <w:r>
              <w:rPr>
                <w:sz w:val="20"/>
                <w:szCs w:val="20"/>
              </w:rPr>
              <w:t>Data Protection Legislation means:</w:t>
            </w:r>
          </w:p>
          <w:p w:rsidR="00012C76" w:rsidRDefault="00382483" w14:paraId="2C77BF37" w14:textId="77777777">
            <w:pPr>
              <w:rPr>
                <w:sz w:val="20"/>
                <w:szCs w:val="20"/>
              </w:rPr>
            </w:pPr>
            <w:r>
              <w:rPr>
                <w:sz w:val="20"/>
                <w:szCs w:val="20"/>
              </w:rPr>
              <w:t>(i) the GDPR, the LED and any applicable national implementing Laws as amended from time to time</w:t>
            </w:r>
          </w:p>
          <w:p w:rsidR="00012C76" w:rsidRDefault="00382483" w14:paraId="08EF60C0" w14:textId="77777777">
            <w:pPr>
              <w:ind w:left="720" w:hanging="720"/>
              <w:rPr>
                <w:sz w:val="20"/>
                <w:szCs w:val="20"/>
              </w:rPr>
            </w:pPr>
            <w:r>
              <w:rPr>
                <w:sz w:val="20"/>
                <w:szCs w:val="20"/>
              </w:rPr>
              <w:t>(ii) the DPA 2018 to the extent that it relates to Processing of Personal Data and privacy</w:t>
            </w:r>
          </w:p>
          <w:p w:rsidR="00012C76" w:rsidRDefault="00382483" w14:paraId="625F48F7" w14:textId="7777777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12C76" w14:paraId="62FBEDFA"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227AB24" w14:textId="77777777">
            <w:pPr>
              <w:spacing w:before="240"/>
              <w:rPr>
                <w:b/>
                <w:sz w:val="20"/>
                <w:szCs w:val="20"/>
              </w:rPr>
            </w:pPr>
            <w:r>
              <w:rPr>
                <w:b/>
                <w:sz w:val="20"/>
                <w:szCs w:val="20"/>
              </w:rPr>
              <w:t>Data Subject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6DD4DBC" w14:textId="77777777">
            <w:pPr>
              <w:spacing w:before="240"/>
              <w:rPr>
                <w:sz w:val="20"/>
                <w:szCs w:val="20"/>
              </w:rPr>
            </w:pPr>
            <w:r>
              <w:rPr>
                <w:sz w:val="20"/>
                <w:szCs w:val="20"/>
              </w:rPr>
              <w:t>Takes the meaning given in the GDPR</w:t>
            </w:r>
          </w:p>
        </w:tc>
      </w:tr>
      <w:tr w:rsidR="00012C76" w14:paraId="5BA0E92F" w14:textId="77777777">
        <w:trPr>
          <w:trHeight w:val="330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5E57100" w14:textId="77777777">
            <w:pPr>
              <w:spacing w:before="240"/>
              <w:rPr>
                <w:b/>
                <w:sz w:val="20"/>
                <w:szCs w:val="20"/>
              </w:rPr>
            </w:pPr>
            <w:r>
              <w:rPr>
                <w:b/>
                <w:sz w:val="20"/>
                <w:szCs w:val="20"/>
              </w:rPr>
              <w:lastRenderedPageBreak/>
              <w:t>Default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E2CFD64" w14:textId="77777777">
            <w:pPr>
              <w:spacing w:before="240"/>
              <w:rPr>
                <w:sz w:val="20"/>
                <w:szCs w:val="20"/>
              </w:rPr>
            </w:pPr>
            <w:r>
              <w:rPr>
                <w:sz w:val="20"/>
                <w:szCs w:val="20"/>
              </w:rPr>
              <w:t>Default is any:</w:t>
            </w:r>
          </w:p>
          <w:p w:rsidR="00012C76" w:rsidRDefault="00382483" w14:paraId="1F01D0DA" w14:textId="77777777">
            <w:pPr>
              <w:pStyle w:val="ListParagraph"/>
              <w:numPr>
                <w:ilvl w:val="0"/>
                <w:numId w:val="24"/>
              </w:numPr>
              <w:rPr>
                <w:sz w:val="20"/>
                <w:szCs w:val="20"/>
              </w:rPr>
            </w:pPr>
            <w:r>
              <w:rPr>
                <w:sz w:val="20"/>
                <w:szCs w:val="20"/>
              </w:rPr>
              <w:t>breach of the obligations of the Supplier (including any fundamental breach or breach of a fundamental term)</w:t>
            </w:r>
          </w:p>
          <w:p w:rsidR="00012C76" w:rsidRDefault="00382483" w14:paraId="23B607D9" w14:textId="77777777">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012C76" w:rsidRDefault="00382483" w14:paraId="1957E2B5" w14:textId="7777777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12C76" w14:paraId="73300ACD"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71E8917" w14:textId="77777777">
            <w:pPr>
              <w:spacing w:before="240"/>
              <w:rPr>
                <w:b/>
                <w:sz w:val="20"/>
                <w:szCs w:val="20"/>
              </w:rPr>
            </w:pPr>
            <w:r>
              <w:rPr>
                <w:b/>
                <w:sz w:val="20"/>
                <w:szCs w:val="20"/>
              </w:rPr>
              <w:t>Deliverable(s)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97E0919" w14:textId="77777777">
            <w:pPr>
              <w:spacing w:before="240"/>
              <w:rPr>
                <w:sz w:val="20"/>
                <w:szCs w:val="20"/>
              </w:rPr>
            </w:pPr>
            <w:r>
              <w:rPr>
                <w:sz w:val="20"/>
                <w:szCs w:val="20"/>
              </w:rPr>
              <w:t>The G-Cloud Services the Buyer contracts the Supplier to provide under this Call-Off Contract.</w:t>
            </w:r>
          </w:p>
        </w:tc>
      </w:tr>
      <w:tr w:rsidR="00012C76" w14:paraId="09204E53"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51B4B18" w14:textId="77777777">
            <w:pPr>
              <w:spacing w:before="240"/>
              <w:rPr>
                <w:b/>
                <w:sz w:val="20"/>
                <w:szCs w:val="20"/>
              </w:rPr>
            </w:pPr>
            <w:r>
              <w:rPr>
                <w:b/>
                <w:sz w:val="20"/>
                <w:szCs w:val="20"/>
              </w:rPr>
              <w:t>Digital Marketplace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31C8B7E" w14:textId="77777777">
            <w:pPr>
              <w:spacing w:before="240"/>
            </w:pPr>
            <w:r>
              <w:rPr>
                <w:sz w:val="20"/>
                <w:szCs w:val="20"/>
              </w:rPr>
              <w:t>The government marketplace where Services are available for Buyers to buy. (</w:t>
            </w:r>
            <w:hyperlink w:history="1" r:id="rId26">
              <w:r>
                <w:rPr>
                  <w:sz w:val="20"/>
                  <w:szCs w:val="20"/>
                  <w:u w:val="single"/>
                </w:rPr>
                <w:t>https://www.digitalmarketplace.service.gov.uk</w:t>
              </w:r>
            </w:hyperlink>
            <w:r>
              <w:rPr>
                <w:sz w:val="20"/>
                <w:szCs w:val="20"/>
              </w:rPr>
              <w:t>/)</w:t>
            </w:r>
          </w:p>
        </w:tc>
      </w:tr>
      <w:tr w:rsidR="00012C76" w14:paraId="40666DFF"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76968B2" w14:textId="77777777">
            <w:pPr>
              <w:spacing w:before="240"/>
              <w:rPr>
                <w:b/>
                <w:sz w:val="20"/>
                <w:szCs w:val="20"/>
              </w:rPr>
            </w:pPr>
            <w:r>
              <w:rPr>
                <w:b/>
                <w:sz w:val="20"/>
                <w:szCs w:val="20"/>
              </w:rPr>
              <w:t>DPA 2018</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1E24463" w14:textId="77777777">
            <w:pPr>
              <w:spacing w:before="240"/>
              <w:rPr>
                <w:sz w:val="20"/>
                <w:szCs w:val="20"/>
              </w:rPr>
            </w:pPr>
            <w:r>
              <w:rPr>
                <w:sz w:val="20"/>
                <w:szCs w:val="20"/>
              </w:rPr>
              <w:t>Data Protection Act 2018.</w:t>
            </w:r>
          </w:p>
        </w:tc>
      </w:tr>
      <w:tr w:rsidR="00012C76" w14:paraId="417ABA33"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49695EC" w14:textId="77777777">
            <w:pPr>
              <w:spacing w:before="240"/>
              <w:rPr>
                <w:b/>
                <w:sz w:val="20"/>
                <w:szCs w:val="20"/>
              </w:rPr>
            </w:pPr>
            <w:r>
              <w:rPr>
                <w:b/>
                <w:sz w:val="20"/>
                <w:szCs w:val="20"/>
              </w:rPr>
              <w:t>Employment Regulations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00240C0" w14:textId="77777777">
            <w:pPr>
              <w:spacing w:before="240"/>
              <w:rPr>
                <w:sz w:val="20"/>
                <w:szCs w:val="20"/>
              </w:rPr>
            </w:pPr>
            <w:r>
              <w:rPr>
                <w:sz w:val="20"/>
                <w:szCs w:val="20"/>
              </w:rPr>
              <w:t>The Transfer of Undertakings (Protection of Employment) Regulations 2006 (SI 2006/246) (‘TUPE’) which implements the Acquired Rights Directive.</w:t>
            </w:r>
          </w:p>
        </w:tc>
      </w:tr>
      <w:tr w:rsidR="00012C76" w14:paraId="0BF63C5F"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C461610" w14:textId="77777777">
            <w:pPr>
              <w:spacing w:before="240"/>
              <w:rPr>
                <w:b/>
                <w:sz w:val="20"/>
                <w:szCs w:val="20"/>
              </w:rPr>
            </w:pPr>
            <w:r>
              <w:rPr>
                <w:b/>
                <w:sz w:val="20"/>
                <w:szCs w:val="20"/>
              </w:rPr>
              <w:t>End</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7C92DFE" w14:textId="77777777">
            <w:pPr>
              <w:spacing w:before="240"/>
              <w:rPr>
                <w:sz w:val="20"/>
                <w:szCs w:val="20"/>
              </w:rPr>
            </w:pPr>
            <w:r>
              <w:rPr>
                <w:sz w:val="20"/>
                <w:szCs w:val="20"/>
              </w:rPr>
              <w:t>Means to terminate; and Ended and Ending are construed accordingly.</w:t>
            </w:r>
          </w:p>
        </w:tc>
      </w:tr>
      <w:tr w:rsidR="00012C76" w14:paraId="7A7E00EA"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076CCDA" w14:textId="77777777">
            <w:pPr>
              <w:spacing w:before="240"/>
              <w:rPr>
                <w:b/>
                <w:sz w:val="20"/>
                <w:szCs w:val="20"/>
              </w:rPr>
            </w:pPr>
            <w:r>
              <w:rPr>
                <w:b/>
                <w:sz w:val="20"/>
                <w:szCs w:val="20"/>
              </w:rPr>
              <w:t>Environmental Information Regulations or EIR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89D6D7B" w14:textId="7777777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12C76" w14:paraId="0A47A131"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EF618A1" w14:textId="77777777">
            <w:pPr>
              <w:spacing w:before="240"/>
              <w:rPr>
                <w:b/>
                <w:sz w:val="20"/>
                <w:szCs w:val="20"/>
              </w:rPr>
            </w:pPr>
            <w:r>
              <w:rPr>
                <w:b/>
                <w:sz w:val="20"/>
                <w:szCs w:val="20"/>
              </w:rPr>
              <w:t>Equipment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21BA9A3" w14:textId="77777777">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2C76" w14:paraId="214F1A7A"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8FF9982" w14:textId="77777777">
            <w:pPr>
              <w:spacing w:before="240"/>
              <w:rPr>
                <w:b/>
                <w:sz w:val="20"/>
                <w:szCs w:val="20"/>
              </w:rPr>
            </w:pPr>
            <w:r>
              <w:rPr>
                <w:b/>
                <w:sz w:val="20"/>
                <w:szCs w:val="20"/>
              </w:rPr>
              <w:t>ESI Reference Number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0B0FFB9" w14:textId="77777777">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12C76" w14:paraId="304578BB" w14:textId="77777777">
        <w:trPr>
          <w:trHeight w:val="13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2B76B9F" w14:textId="77777777">
            <w:pPr>
              <w:spacing w:before="240"/>
            </w:pPr>
            <w:r>
              <w:rPr>
                <w:b/>
                <w:sz w:val="20"/>
                <w:szCs w:val="20"/>
              </w:rPr>
              <w:t>Employment Status Indicator test tool or ESI tool</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1A8AC0A" w14:textId="77777777">
            <w:pPr>
              <w:spacing w:before="240"/>
              <w:rPr>
                <w:sz w:val="20"/>
                <w:szCs w:val="20"/>
              </w:rPr>
            </w:pPr>
            <w:r>
              <w:rPr>
                <w:sz w:val="20"/>
                <w:szCs w:val="20"/>
              </w:rPr>
              <w:t>The HMRC Employment Status Indicator test tool. The most up-to-date version must be used. At the time of drafting the tool may be found here:</w:t>
            </w:r>
          </w:p>
          <w:p w:rsidR="00012C76" w:rsidRDefault="00820A9A" w14:paraId="3EDC9B7A" w14:textId="77777777">
            <w:hyperlink w:history="1" r:id="rId27">
              <w:r w:rsidR="00382483">
                <w:rPr>
                  <w:rStyle w:val="Hyperlink"/>
                  <w:color w:val="auto"/>
                </w:rPr>
                <w:t>https://www.gov.uk/guidance/check-employment-status-for-tax</w:t>
              </w:r>
            </w:hyperlink>
          </w:p>
        </w:tc>
      </w:tr>
      <w:tr w:rsidR="00012C76" w14:paraId="6DEC6739"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43561F7" w14:textId="77777777">
            <w:pPr>
              <w:spacing w:before="240"/>
              <w:rPr>
                <w:b/>
                <w:sz w:val="20"/>
                <w:szCs w:val="20"/>
              </w:rPr>
            </w:pPr>
            <w:r>
              <w:rPr>
                <w:b/>
                <w:sz w:val="20"/>
                <w:szCs w:val="20"/>
              </w:rPr>
              <w:lastRenderedPageBreak/>
              <w:t>Expiry Date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EFC3E3C" w14:textId="77777777">
            <w:pPr>
              <w:spacing w:before="240"/>
              <w:rPr>
                <w:sz w:val="20"/>
                <w:szCs w:val="20"/>
              </w:rPr>
            </w:pPr>
            <w:r>
              <w:rPr>
                <w:sz w:val="20"/>
                <w:szCs w:val="20"/>
              </w:rPr>
              <w:t>The expiry date of this Call-Off Contract in the Order Form.</w:t>
            </w:r>
          </w:p>
        </w:tc>
      </w:tr>
      <w:tr w:rsidR="00012C76" w14:paraId="64903EB7" w14:textId="77777777">
        <w:trPr>
          <w:trHeight w:val="6542"/>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140F756" w14:textId="77777777">
            <w:pPr>
              <w:spacing w:before="240"/>
              <w:rPr>
                <w:b/>
                <w:sz w:val="20"/>
                <w:szCs w:val="20"/>
              </w:rPr>
            </w:pPr>
            <w:r>
              <w:rPr>
                <w:b/>
                <w:sz w:val="20"/>
                <w:szCs w:val="20"/>
              </w:rPr>
              <w:t>Force Majeure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45D5B02" w14:textId="77777777">
            <w:pPr>
              <w:spacing w:before="240"/>
              <w:rPr>
                <w:sz w:val="20"/>
                <w:szCs w:val="20"/>
              </w:rPr>
            </w:pPr>
            <w:r>
              <w:rPr>
                <w:sz w:val="20"/>
                <w:szCs w:val="20"/>
              </w:rPr>
              <w:t>A force Majeure event means anything affecting either Party's performance of their obligations arising from any:</w:t>
            </w:r>
          </w:p>
          <w:p w:rsidR="00012C76" w:rsidRDefault="00382483" w14:paraId="1C79417B" w14:textId="77777777">
            <w:pPr>
              <w:pStyle w:val="ListParagraph"/>
              <w:numPr>
                <w:ilvl w:val="0"/>
                <w:numId w:val="25"/>
              </w:numPr>
              <w:rPr>
                <w:sz w:val="20"/>
                <w:szCs w:val="20"/>
              </w:rPr>
            </w:pPr>
            <w:r>
              <w:rPr>
                <w:sz w:val="20"/>
                <w:szCs w:val="20"/>
              </w:rPr>
              <w:t>acts, events or omissions beyond the reasonable control of the affected Party</w:t>
            </w:r>
          </w:p>
          <w:p w:rsidR="00012C76" w:rsidRDefault="00382483" w14:paraId="72D1D8C8" w14:textId="77777777">
            <w:pPr>
              <w:pStyle w:val="ListParagraph"/>
              <w:numPr>
                <w:ilvl w:val="0"/>
                <w:numId w:val="26"/>
              </w:numPr>
              <w:rPr>
                <w:sz w:val="20"/>
                <w:szCs w:val="20"/>
              </w:rPr>
            </w:pPr>
            <w:r>
              <w:rPr>
                <w:sz w:val="20"/>
                <w:szCs w:val="20"/>
              </w:rPr>
              <w:t>riots, war or armed conflict, acts of terrorism, nuclear, biological or chemical warfare</w:t>
            </w:r>
          </w:p>
          <w:p w:rsidR="00012C76" w:rsidRDefault="00382483" w14:paraId="77766D55" w14:textId="77777777">
            <w:pPr>
              <w:pStyle w:val="ListParagraph"/>
              <w:numPr>
                <w:ilvl w:val="0"/>
                <w:numId w:val="27"/>
              </w:numPr>
            </w:pPr>
            <w:r>
              <w:t xml:space="preserve">acts of government, local government or Regulatory </w:t>
            </w:r>
            <w:r>
              <w:rPr>
                <w:sz w:val="20"/>
                <w:szCs w:val="20"/>
              </w:rPr>
              <w:t>Bodies</w:t>
            </w:r>
          </w:p>
          <w:p w:rsidR="00012C76" w:rsidRDefault="00382483" w14:paraId="154D5FAD" w14:textId="77777777">
            <w:pPr>
              <w:pStyle w:val="ListParagraph"/>
              <w:numPr>
                <w:ilvl w:val="0"/>
                <w:numId w:val="28"/>
              </w:numPr>
            </w:pPr>
            <w:r>
              <w:rPr>
                <w:sz w:val="14"/>
                <w:szCs w:val="14"/>
              </w:rPr>
              <w:t xml:space="preserve"> </w:t>
            </w:r>
            <w:r>
              <w:rPr>
                <w:sz w:val="20"/>
                <w:szCs w:val="20"/>
              </w:rPr>
              <w:t>fire, flood or disaster and any failure or shortage of power or fuel</w:t>
            </w:r>
          </w:p>
          <w:p w:rsidR="00012C76" w:rsidRDefault="00382483" w14:paraId="545C24D2" w14:textId="77777777">
            <w:pPr>
              <w:pStyle w:val="ListParagraph"/>
              <w:numPr>
                <w:ilvl w:val="0"/>
                <w:numId w:val="29"/>
              </w:numPr>
              <w:rPr>
                <w:sz w:val="20"/>
                <w:szCs w:val="20"/>
              </w:rPr>
            </w:pPr>
            <w:r>
              <w:rPr>
                <w:sz w:val="20"/>
                <w:szCs w:val="20"/>
              </w:rPr>
              <w:t>industrial dispute affecting a third party for which a substitute third party isn’t reasonably available</w:t>
            </w:r>
          </w:p>
          <w:p w:rsidR="00012C76" w:rsidRDefault="00382483" w14:paraId="6DFD763C" w14:textId="77777777">
            <w:pPr>
              <w:spacing w:before="240"/>
              <w:rPr>
                <w:sz w:val="20"/>
                <w:szCs w:val="20"/>
              </w:rPr>
            </w:pPr>
            <w:r>
              <w:rPr>
                <w:sz w:val="20"/>
                <w:szCs w:val="20"/>
              </w:rPr>
              <w:t>The following do not constitute a Force Majeure event:</w:t>
            </w:r>
          </w:p>
          <w:p w:rsidR="00012C76" w:rsidRDefault="00382483" w14:paraId="2FADD5DB" w14:textId="77777777">
            <w:pPr>
              <w:pStyle w:val="ListParagraph"/>
              <w:numPr>
                <w:ilvl w:val="0"/>
                <w:numId w:val="30"/>
              </w:numPr>
              <w:rPr>
                <w:sz w:val="20"/>
                <w:szCs w:val="20"/>
              </w:rPr>
            </w:pPr>
            <w:r>
              <w:rPr>
                <w:sz w:val="20"/>
                <w:szCs w:val="20"/>
              </w:rPr>
              <w:t>any industrial dispute about the Supplier, its staff, or failure in the Supplier’s (or a Subcontractor's) supply chain</w:t>
            </w:r>
          </w:p>
          <w:p w:rsidR="00012C76" w:rsidRDefault="00382483" w14:paraId="3AF2085A" w14:textId="77777777">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rsidR="00012C76" w:rsidRDefault="00382483" w14:paraId="72373DB5" w14:textId="77777777">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rsidR="00012C76" w:rsidRDefault="00382483" w14:paraId="4C4740DD" w14:textId="77777777">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12C76" w14:paraId="5D72E611" w14:textId="77777777">
        <w:trPr>
          <w:trHeight w:val="447"/>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CC2E9EB" w14:textId="77777777">
            <w:pPr>
              <w:spacing w:before="240"/>
              <w:rPr>
                <w:b/>
                <w:sz w:val="20"/>
                <w:szCs w:val="20"/>
              </w:rPr>
            </w:pPr>
            <w:r>
              <w:rPr>
                <w:b/>
                <w:sz w:val="20"/>
                <w:szCs w:val="20"/>
              </w:rPr>
              <w:t>Former Supplier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C94A461" w14:textId="77777777">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2C76" w14:paraId="234490F7"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BF1094C" w14:textId="77777777">
            <w:pPr>
              <w:spacing w:before="240"/>
              <w:rPr>
                <w:b/>
                <w:sz w:val="20"/>
                <w:szCs w:val="20"/>
              </w:rPr>
            </w:pPr>
            <w:r>
              <w:rPr>
                <w:b/>
                <w:sz w:val="20"/>
                <w:szCs w:val="20"/>
              </w:rPr>
              <w:t>Framework Agreement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8FE6A66" w14:textId="77777777">
            <w:pPr>
              <w:spacing w:before="240"/>
              <w:rPr>
                <w:sz w:val="20"/>
                <w:szCs w:val="20"/>
              </w:rPr>
            </w:pPr>
            <w:r>
              <w:rPr>
                <w:sz w:val="20"/>
                <w:szCs w:val="20"/>
              </w:rPr>
              <w:t>The clauses of framework agreement RM1557.12 together with the Framework Schedules.</w:t>
            </w:r>
          </w:p>
        </w:tc>
      </w:tr>
      <w:tr w:rsidR="00012C76" w14:paraId="5ECB0623" w14:textId="77777777">
        <w:trPr>
          <w:trHeight w:val="12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87A1944" w14:textId="77777777">
            <w:pPr>
              <w:spacing w:before="240"/>
              <w:rPr>
                <w:b/>
                <w:sz w:val="20"/>
                <w:szCs w:val="20"/>
              </w:rPr>
            </w:pPr>
            <w:r>
              <w:rPr>
                <w:b/>
                <w:sz w:val="20"/>
                <w:szCs w:val="20"/>
              </w:rPr>
              <w:t>Fraud</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F280EC3" w14:textId="7777777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2C76" w14:paraId="26EA8986"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DB74881" w14:textId="7777777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B6543E5" w14:textId="7777777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2C76" w14:paraId="1305C3ED" w14:textId="77777777">
        <w:trPr>
          <w:trHeight w:val="588"/>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EAAB1B9" w14:textId="77777777">
            <w:pPr>
              <w:spacing w:before="240"/>
              <w:rPr>
                <w:b/>
                <w:sz w:val="20"/>
                <w:szCs w:val="20"/>
              </w:rPr>
            </w:pPr>
            <w:r>
              <w:rPr>
                <w:b/>
                <w:sz w:val="20"/>
                <w:szCs w:val="20"/>
              </w:rPr>
              <w:t>G-Cloud Services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570CA18" w14:textId="77777777">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w:t>
            </w:r>
            <w:r>
              <w:rPr>
                <w:sz w:val="20"/>
                <w:szCs w:val="20"/>
              </w:rPr>
              <w:lastRenderedPageBreak/>
              <w:t>Supplier must make available to CCS and Buyers and those services which are deliverable by the Supplier under the Collaboration Agreement.</w:t>
            </w:r>
          </w:p>
        </w:tc>
      </w:tr>
      <w:tr w:rsidR="00012C76" w14:paraId="4D098D61"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F3A2054" w14:textId="77777777">
            <w:pPr>
              <w:spacing w:before="240"/>
              <w:rPr>
                <w:b/>
                <w:sz w:val="20"/>
                <w:szCs w:val="20"/>
              </w:rPr>
            </w:pPr>
            <w:r>
              <w:rPr>
                <w:b/>
                <w:sz w:val="20"/>
                <w:szCs w:val="20"/>
              </w:rPr>
              <w:lastRenderedPageBreak/>
              <w:t>GDPR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3F7306C" w14:textId="77777777">
            <w:pPr>
              <w:spacing w:before="240"/>
              <w:rPr>
                <w:sz w:val="20"/>
                <w:szCs w:val="20"/>
              </w:rPr>
            </w:pPr>
            <w:r>
              <w:rPr>
                <w:sz w:val="20"/>
                <w:szCs w:val="20"/>
              </w:rPr>
              <w:t>General Data Protection Regulation (Regulation (EU) 2016/679)</w:t>
            </w:r>
          </w:p>
        </w:tc>
      </w:tr>
      <w:tr w:rsidR="00012C76" w14:paraId="6A6557EC" w14:textId="77777777">
        <w:trPr>
          <w:trHeight w:val="12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2819C88" w14:textId="77777777">
            <w:pPr>
              <w:spacing w:before="240"/>
              <w:rPr>
                <w:b/>
                <w:sz w:val="20"/>
                <w:szCs w:val="20"/>
              </w:rPr>
            </w:pPr>
            <w:r>
              <w:rPr>
                <w:b/>
                <w:sz w:val="20"/>
                <w:szCs w:val="20"/>
              </w:rPr>
              <w:t>Good Industry Practice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15EBC29" w14:textId="77777777">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2C76" w14:paraId="7866B164"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CEAE036" w14:textId="77777777">
            <w:pPr>
              <w:spacing w:before="240"/>
              <w:rPr>
                <w:b/>
                <w:sz w:val="20"/>
                <w:szCs w:val="20"/>
              </w:rPr>
            </w:pPr>
            <w:r>
              <w:rPr>
                <w:b/>
                <w:sz w:val="20"/>
                <w:szCs w:val="20"/>
              </w:rPr>
              <w:t>Government Procurement Card</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9A84B89" w14:textId="77777777">
            <w:pPr>
              <w:spacing w:before="240"/>
              <w:rPr>
                <w:sz w:val="20"/>
                <w:szCs w:val="20"/>
              </w:rPr>
            </w:pPr>
            <w:r>
              <w:rPr>
                <w:sz w:val="20"/>
                <w:szCs w:val="20"/>
              </w:rPr>
              <w:t>The government’s preferred method of purchasing and payment for low value goods or services.</w:t>
            </w:r>
          </w:p>
        </w:tc>
      </w:tr>
      <w:tr w:rsidR="00012C76" w14:paraId="71082BCE"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6B03561" w14:textId="77777777">
            <w:pPr>
              <w:spacing w:before="240"/>
              <w:rPr>
                <w:b/>
                <w:sz w:val="20"/>
                <w:szCs w:val="20"/>
              </w:rPr>
            </w:pPr>
            <w:r>
              <w:rPr>
                <w:b/>
                <w:sz w:val="20"/>
                <w:szCs w:val="20"/>
              </w:rPr>
              <w:t>Guarantee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0FC7B05" w14:textId="77777777">
            <w:pPr>
              <w:spacing w:before="240"/>
              <w:rPr>
                <w:sz w:val="20"/>
                <w:szCs w:val="20"/>
              </w:rPr>
            </w:pPr>
            <w:r>
              <w:rPr>
                <w:sz w:val="20"/>
                <w:szCs w:val="20"/>
              </w:rPr>
              <w:t>The guarantee described in Schedule 5.</w:t>
            </w:r>
          </w:p>
        </w:tc>
      </w:tr>
      <w:tr w:rsidR="00012C76" w14:paraId="528AD4C5"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185787E" w14:textId="77777777">
            <w:pPr>
              <w:spacing w:before="240"/>
              <w:rPr>
                <w:b/>
                <w:sz w:val="20"/>
                <w:szCs w:val="20"/>
              </w:rPr>
            </w:pPr>
            <w:r>
              <w:rPr>
                <w:b/>
                <w:sz w:val="20"/>
                <w:szCs w:val="20"/>
              </w:rPr>
              <w:t>Guidance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86C6C7D" w14:textId="7777777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2C76" w14:paraId="79200B61"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3116FD8" w14:textId="77777777">
            <w:pPr>
              <w:spacing w:before="240"/>
              <w:rPr>
                <w:b/>
                <w:sz w:val="20"/>
                <w:szCs w:val="20"/>
              </w:rPr>
            </w:pPr>
            <w:r>
              <w:rPr>
                <w:b/>
                <w:sz w:val="20"/>
                <w:szCs w:val="20"/>
              </w:rPr>
              <w:t>Implementation Plan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EFC88FC" w14:textId="77777777">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12C76" w14:paraId="547A7E7F"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D616E4A" w14:textId="77777777">
            <w:pPr>
              <w:spacing w:before="240"/>
              <w:rPr>
                <w:b/>
                <w:sz w:val="20"/>
                <w:szCs w:val="20"/>
              </w:rPr>
            </w:pPr>
            <w:r>
              <w:rPr>
                <w:b/>
                <w:sz w:val="20"/>
                <w:szCs w:val="20"/>
              </w:rPr>
              <w:t>Indicative test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DD0F601" w14:textId="77777777">
            <w:pPr>
              <w:spacing w:before="240"/>
              <w:rPr>
                <w:sz w:val="20"/>
                <w:szCs w:val="20"/>
              </w:rPr>
            </w:pPr>
            <w:r>
              <w:rPr>
                <w:sz w:val="20"/>
                <w:szCs w:val="20"/>
              </w:rPr>
              <w:t>ESI tool completed by contractors on their own behalf at the request of CCS or the Buyer (as applicable) under clause 4.6.</w:t>
            </w:r>
          </w:p>
        </w:tc>
      </w:tr>
      <w:tr w:rsidR="00012C76" w14:paraId="150D8DF1"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A53AAF8" w14:textId="77777777">
            <w:pPr>
              <w:spacing w:before="240"/>
              <w:rPr>
                <w:b/>
                <w:sz w:val="20"/>
                <w:szCs w:val="20"/>
              </w:rPr>
            </w:pPr>
            <w:r>
              <w:rPr>
                <w:b/>
                <w:sz w:val="20"/>
                <w:szCs w:val="20"/>
              </w:rPr>
              <w:t>Information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6D2EE51" w14:textId="77777777">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12C76" w14:paraId="76EF8E00"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40B1B69" w14:textId="77777777">
            <w:pPr>
              <w:spacing w:before="240"/>
              <w:rPr>
                <w:b/>
                <w:sz w:val="20"/>
                <w:szCs w:val="20"/>
              </w:rPr>
            </w:pPr>
            <w:r>
              <w:rPr>
                <w:b/>
                <w:sz w:val="20"/>
                <w:szCs w:val="20"/>
              </w:rPr>
              <w:t>Information security management system</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9276235" w14:textId="77777777">
            <w:pPr>
              <w:spacing w:before="240"/>
              <w:rPr>
                <w:sz w:val="20"/>
                <w:szCs w:val="20"/>
              </w:rPr>
            </w:pPr>
            <w:r>
              <w:rPr>
                <w:sz w:val="20"/>
                <w:szCs w:val="20"/>
              </w:rPr>
              <w:t>The information security management system and process developed by the Supplier in accordance with clause 16.1.</w:t>
            </w:r>
          </w:p>
        </w:tc>
      </w:tr>
      <w:tr w:rsidR="00012C76" w14:paraId="19A94D8B"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F2794DA" w14:textId="77777777">
            <w:pPr>
              <w:spacing w:before="240"/>
              <w:rPr>
                <w:b/>
                <w:sz w:val="20"/>
                <w:szCs w:val="20"/>
              </w:rPr>
            </w:pPr>
            <w:r>
              <w:rPr>
                <w:b/>
                <w:sz w:val="20"/>
                <w:szCs w:val="20"/>
              </w:rPr>
              <w:t>Inside IR35</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C865CF8" w14:textId="77777777">
            <w:pPr>
              <w:spacing w:before="240"/>
              <w:rPr>
                <w:sz w:val="20"/>
                <w:szCs w:val="20"/>
              </w:rPr>
            </w:pPr>
            <w:r>
              <w:rPr>
                <w:sz w:val="20"/>
                <w:szCs w:val="20"/>
              </w:rPr>
              <w:t>Contractual engagements which would be determined to be within the scope of the IR35 Intermediaries legislation if assessed using the ESI tool.</w:t>
            </w:r>
          </w:p>
        </w:tc>
      </w:tr>
      <w:tr w:rsidR="00012C76" w14:paraId="3492D7FF" w14:textId="77777777">
        <w:trPr>
          <w:trHeight w:val="447"/>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F1090DC" w14:textId="77777777">
            <w:pPr>
              <w:spacing w:before="240"/>
              <w:rPr>
                <w:b/>
                <w:sz w:val="20"/>
                <w:szCs w:val="20"/>
              </w:rPr>
            </w:pPr>
            <w:r>
              <w:rPr>
                <w:b/>
                <w:sz w:val="20"/>
                <w:szCs w:val="20"/>
              </w:rPr>
              <w:t>Insolvency event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99206B7" w14:textId="77777777">
            <w:pPr>
              <w:spacing w:before="240"/>
              <w:rPr>
                <w:sz w:val="20"/>
                <w:szCs w:val="20"/>
              </w:rPr>
            </w:pPr>
            <w:r>
              <w:rPr>
                <w:sz w:val="20"/>
                <w:szCs w:val="20"/>
              </w:rPr>
              <w:t>Can be:</w:t>
            </w:r>
          </w:p>
          <w:p w:rsidR="00012C76" w:rsidRDefault="00382483" w14:paraId="42185633" w14:textId="77777777">
            <w:pPr>
              <w:pStyle w:val="ListParagraph"/>
              <w:numPr>
                <w:ilvl w:val="0"/>
                <w:numId w:val="31"/>
              </w:numPr>
            </w:pPr>
            <w:r>
              <w:rPr>
                <w:sz w:val="14"/>
                <w:szCs w:val="14"/>
              </w:rPr>
              <w:t xml:space="preserve"> </w:t>
            </w:r>
            <w:r>
              <w:rPr>
                <w:sz w:val="20"/>
                <w:szCs w:val="20"/>
              </w:rPr>
              <w:t>a voluntary arrangement</w:t>
            </w:r>
          </w:p>
          <w:p w:rsidR="00012C76" w:rsidRDefault="00382483" w14:paraId="3AAFB373" w14:textId="77777777">
            <w:pPr>
              <w:pStyle w:val="ListParagraph"/>
              <w:numPr>
                <w:ilvl w:val="0"/>
                <w:numId w:val="31"/>
              </w:numPr>
              <w:rPr>
                <w:sz w:val="20"/>
                <w:szCs w:val="20"/>
              </w:rPr>
            </w:pPr>
            <w:r>
              <w:rPr>
                <w:sz w:val="20"/>
                <w:szCs w:val="20"/>
              </w:rPr>
              <w:t>a winding-up petition</w:t>
            </w:r>
          </w:p>
          <w:p w:rsidR="00012C76" w:rsidRDefault="00382483" w14:paraId="01842337" w14:textId="77777777">
            <w:pPr>
              <w:pStyle w:val="ListParagraph"/>
              <w:numPr>
                <w:ilvl w:val="0"/>
                <w:numId w:val="31"/>
              </w:numPr>
              <w:rPr>
                <w:sz w:val="20"/>
                <w:szCs w:val="20"/>
              </w:rPr>
            </w:pPr>
            <w:r>
              <w:rPr>
                <w:sz w:val="20"/>
                <w:szCs w:val="20"/>
              </w:rPr>
              <w:t>the appointment of a receiver or administrator</w:t>
            </w:r>
          </w:p>
          <w:p w:rsidR="00012C76" w:rsidRDefault="00382483" w14:paraId="45479FB1" w14:textId="77777777">
            <w:pPr>
              <w:pStyle w:val="ListParagraph"/>
              <w:numPr>
                <w:ilvl w:val="0"/>
                <w:numId w:val="31"/>
              </w:numPr>
              <w:rPr>
                <w:sz w:val="20"/>
                <w:szCs w:val="20"/>
              </w:rPr>
            </w:pPr>
            <w:r>
              <w:rPr>
                <w:sz w:val="20"/>
                <w:szCs w:val="20"/>
              </w:rPr>
              <w:t>an unresolved statutory demand</w:t>
            </w:r>
          </w:p>
          <w:p w:rsidR="00012C76" w:rsidRDefault="00382483" w14:paraId="67C6114E" w14:textId="77777777">
            <w:pPr>
              <w:pStyle w:val="ListParagraph"/>
              <w:numPr>
                <w:ilvl w:val="0"/>
                <w:numId w:val="31"/>
              </w:numPr>
            </w:pPr>
            <w:r>
              <w:t>a S</w:t>
            </w:r>
            <w:r>
              <w:rPr>
                <w:sz w:val="20"/>
                <w:szCs w:val="20"/>
              </w:rPr>
              <w:t>chedule A1 moratorium</w:t>
            </w:r>
          </w:p>
        </w:tc>
      </w:tr>
      <w:tr w:rsidR="00012C76" w14:paraId="3E172D72" w14:textId="77777777">
        <w:trPr>
          <w:trHeight w:val="28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0751261" w14:textId="77777777">
            <w:pPr>
              <w:spacing w:before="240"/>
              <w:rPr>
                <w:b/>
                <w:sz w:val="20"/>
                <w:szCs w:val="20"/>
              </w:rPr>
            </w:pPr>
            <w:r>
              <w:rPr>
                <w:b/>
                <w:sz w:val="20"/>
                <w:szCs w:val="20"/>
              </w:rPr>
              <w:lastRenderedPageBreak/>
              <w:t>Intellectual Property Rights or IPR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64EC451" w14:textId="77777777">
            <w:pPr>
              <w:spacing w:before="240"/>
              <w:rPr>
                <w:sz w:val="20"/>
                <w:szCs w:val="20"/>
              </w:rPr>
            </w:pPr>
            <w:r>
              <w:rPr>
                <w:sz w:val="20"/>
                <w:szCs w:val="20"/>
              </w:rPr>
              <w:t>Intellectual Property Rights are:</w:t>
            </w:r>
          </w:p>
          <w:p w:rsidR="00012C76" w:rsidRDefault="00382483" w14:paraId="36CE304B" w14:textId="77777777">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12C76" w:rsidRDefault="00382483" w14:paraId="1F1F7C8F" w14:textId="77777777">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rsidR="00012C76" w:rsidRDefault="00382483" w14:paraId="15FA4AE0" w14:textId="77777777">
            <w:pPr>
              <w:pStyle w:val="ListParagraph"/>
              <w:numPr>
                <w:ilvl w:val="0"/>
                <w:numId w:val="32"/>
              </w:numPr>
              <w:rPr>
                <w:sz w:val="20"/>
                <w:szCs w:val="20"/>
              </w:rPr>
            </w:pPr>
            <w:r>
              <w:rPr>
                <w:sz w:val="20"/>
                <w:szCs w:val="20"/>
              </w:rPr>
              <w:t>all other rights having equivalent or similar effect in any country or jurisdiction</w:t>
            </w:r>
          </w:p>
        </w:tc>
      </w:tr>
      <w:tr w:rsidR="00012C76" w14:paraId="3EA98CD2" w14:textId="77777777">
        <w:trPr>
          <w:trHeight w:val="220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A373F7D" w14:textId="77777777">
            <w:pPr>
              <w:spacing w:before="240"/>
              <w:rPr>
                <w:b/>
                <w:sz w:val="20"/>
                <w:szCs w:val="20"/>
              </w:rPr>
            </w:pPr>
            <w:r>
              <w:rPr>
                <w:b/>
                <w:sz w:val="20"/>
                <w:szCs w:val="20"/>
              </w:rPr>
              <w:t>Intermediary</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48B666A" w14:textId="77777777">
            <w:pPr>
              <w:spacing w:before="240"/>
              <w:rPr>
                <w:sz w:val="20"/>
                <w:szCs w:val="20"/>
              </w:rPr>
            </w:pPr>
            <w:r>
              <w:rPr>
                <w:sz w:val="20"/>
                <w:szCs w:val="20"/>
              </w:rPr>
              <w:t>For the purposes of the IR35 rules an intermediary can be:</w:t>
            </w:r>
          </w:p>
          <w:p w:rsidR="00012C76" w:rsidRDefault="00382483" w14:paraId="02E4DFB5" w14:textId="77777777">
            <w:pPr>
              <w:pStyle w:val="ListParagraph"/>
              <w:numPr>
                <w:ilvl w:val="0"/>
                <w:numId w:val="33"/>
              </w:numPr>
              <w:rPr>
                <w:sz w:val="20"/>
                <w:szCs w:val="20"/>
              </w:rPr>
            </w:pPr>
            <w:r>
              <w:rPr>
                <w:sz w:val="20"/>
                <w:szCs w:val="20"/>
              </w:rPr>
              <w:t>the supplier's own limited company</w:t>
            </w:r>
          </w:p>
          <w:p w:rsidR="00012C76" w:rsidRDefault="00382483" w14:paraId="2166C526" w14:textId="77777777">
            <w:pPr>
              <w:pStyle w:val="ListParagraph"/>
              <w:numPr>
                <w:ilvl w:val="0"/>
                <w:numId w:val="33"/>
              </w:numPr>
              <w:rPr>
                <w:sz w:val="20"/>
                <w:szCs w:val="20"/>
              </w:rPr>
            </w:pPr>
            <w:r>
              <w:rPr>
                <w:sz w:val="20"/>
                <w:szCs w:val="20"/>
              </w:rPr>
              <w:t>a service or a personal service company</w:t>
            </w:r>
          </w:p>
          <w:p w:rsidR="00012C76" w:rsidRDefault="00382483" w14:paraId="7EA60497" w14:textId="77777777">
            <w:pPr>
              <w:pStyle w:val="ListParagraph"/>
              <w:numPr>
                <w:ilvl w:val="0"/>
                <w:numId w:val="33"/>
              </w:numPr>
              <w:rPr>
                <w:sz w:val="20"/>
                <w:szCs w:val="20"/>
              </w:rPr>
            </w:pPr>
            <w:r>
              <w:rPr>
                <w:sz w:val="20"/>
                <w:szCs w:val="20"/>
              </w:rPr>
              <w:t>a partnership</w:t>
            </w:r>
          </w:p>
          <w:p w:rsidR="00012C76" w:rsidRDefault="00382483" w14:paraId="420B1821" w14:textId="77777777">
            <w:pPr>
              <w:spacing w:before="240"/>
              <w:rPr>
                <w:sz w:val="20"/>
                <w:szCs w:val="20"/>
              </w:rPr>
            </w:pPr>
            <w:r>
              <w:rPr>
                <w:sz w:val="20"/>
                <w:szCs w:val="20"/>
              </w:rPr>
              <w:t>It does not apply if you work for a client through a Managed Service Company (MSC) or agency (for example, an employment agency).</w:t>
            </w:r>
          </w:p>
        </w:tc>
      </w:tr>
      <w:tr w:rsidR="00012C76" w14:paraId="21FC0713"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98C1E2C" w14:textId="77777777">
            <w:pPr>
              <w:spacing w:before="240"/>
              <w:rPr>
                <w:b/>
                <w:sz w:val="20"/>
                <w:szCs w:val="20"/>
              </w:rPr>
            </w:pPr>
            <w:r>
              <w:rPr>
                <w:b/>
                <w:sz w:val="20"/>
                <w:szCs w:val="20"/>
              </w:rPr>
              <w:t>IPR claim</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F6E3534" w14:textId="77777777">
            <w:pPr>
              <w:spacing w:before="240"/>
              <w:rPr>
                <w:sz w:val="20"/>
                <w:szCs w:val="20"/>
              </w:rPr>
            </w:pPr>
            <w:r>
              <w:rPr>
                <w:sz w:val="20"/>
                <w:szCs w:val="20"/>
              </w:rPr>
              <w:t>As set out in clause 11.5.</w:t>
            </w:r>
          </w:p>
        </w:tc>
      </w:tr>
      <w:tr w:rsidR="00012C76" w14:paraId="245B3A7C"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CA82F0E" w14:textId="77777777">
            <w:pPr>
              <w:spacing w:before="240"/>
              <w:rPr>
                <w:b/>
                <w:sz w:val="20"/>
                <w:szCs w:val="20"/>
              </w:rPr>
            </w:pPr>
            <w:r>
              <w:rPr>
                <w:b/>
                <w:sz w:val="20"/>
                <w:szCs w:val="20"/>
              </w:rPr>
              <w:t>IR35</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B220D0B" w14:textId="7777777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12C76" w14:paraId="794D6C3D"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ADF7891" w14:textId="77777777">
            <w:pPr>
              <w:spacing w:before="240"/>
              <w:rPr>
                <w:b/>
                <w:sz w:val="20"/>
                <w:szCs w:val="20"/>
              </w:rPr>
            </w:pPr>
            <w:r>
              <w:rPr>
                <w:b/>
                <w:sz w:val="20"/>
                <w:szCs w:val="20"/>
              </w:rPr>
              <w:t>IR35 assessment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A21447E" w14:textId="77777777">
            <w:pPr>
              <w:spacing w:before="240"/>
              <w:rPr>
                <w:sz w:val="20"/>
                <w:szCs w:val="20"/>
              </w:rPr>
            </w:pPr>
            <w:r>
              <w:rPr>
                <w:sz w:val="20"/>
                <w:szCs w:val="20"/>
              </w:rPr>
              <w:t>Assessment of employment status using the ESI tool to determine if engagement is Inside or Outside IR35.</w:t>
            </w:r>
          </w:p>
        </w:tc>
      </w:tr>
      <w:tr w:rsidR="00012C76" w14:paraId="79E2D869"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A3E5187" w14:textId="77777777">
            <w:pPr>
              <w:spacing w:before="240"/>
              <w:rPr>
                <w:b/>
                <w:sz w:val="20"/>
                <w:szCs w:val="20"/>
              </w:rPr>
            </w:pPr>
            <w:r>
              <w:rPr>
                <w:b/>
                <w:sz w:val="20"/>
                <w:szCs w:val="20"/>
              </w:rPr>
              <w:t>Know-How</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3CA7B24" w14:textId="7777777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2C76" w14:paraId="6BA16EDD" w14:textId="77777777">
        <w:trPr>
          <w:trHeight w:val="150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E95272A" w14:textId="77777777">
            <w:pPr>
              <w:spacing w:before="240"/>
              <w:rPr>
                <w:b/>
                <w:sz w:val="20"/>
                <w:szCs w:val="20"/>
              </w:rPr>
            </w:pPr>
            <w:r>
              <w:rPr>
                <w:b/>
                <w:sz w:val="20"/>
                <w:szCs w:val="20"/>
              </w:rPr>
              <w:t>Law</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B0C22D8" w14:textId="77777777">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12C76" w14:paraId="5DC27F1B"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B270F8B" w14:textId="77777777">
            <w:pPr>
              <w:spacing w:before="240"/>
              <w:rPr>
                <w:b/>
                <w:sz w:val="20"/>
                <w:szCs w:val="20"/>
              </w:rPr>
            </w:pPr>
            <w:r>
              <w:rPr>
                <w:b/>
                <w:sz w:val="20"/>
                <w:szCs w:val="20"/>
              </w:rPr>
              <w:t>LED</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48C19B2" w14:textId="77777777">
            <w:pPr>
              <w:spacing w:before="240"/>
              <w:rPr>
                <w:sz w:val="20"/>
                <w:szCs w:val="20"/>
              </w:rPr>
            </w:pPr>
            <w:r>
              <w:rPr>
                <w:sz w:val="20"/>
                <w:szCs w:val="20"/>
              </w:rPr>
              <w:t>Law Enforcement Directive (EU) 2016/680.</w:t>
            </w:r>
          </w:p>
        </w:tc>
      </w:tr>
      <w:tr w:rsidR="00012C76" w14:paraId="09CF5046" w14:textId="77777777">
        <w:trPr>
          <w:trHeight w:val="1722"/>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993068E" w14:textId="77777777">
            <w:pPr>
              <w:spacing w:before="240"/>
              <w:rPr>
                <w:b/>
                <w:sz w:val="20"/>
                <w:szCs w:val="20"/>
              </w:rPr>
            </w:pPr>
            <w:r>
              <w:rPr>
                <w:b/>
                <w:sz w:val="20"/>
                <w:szCs w:val="20"/>
              </w:rPr>
              <w:lastRenderedPageBreak/>
              <w:t>Loss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86F1D98" w14:textId="77777777">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12C76" w14:paraId="50798D61"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147512A" w14:textId="77777777">
            <w:pPr>
              <w:spacing w:before="240"/>
              <w:rPr>
                <w:b/>
                <w:sz w:val="20"/>
                <w:szCs w:val="20"/>
              </w:rPr>
            </w:pPr>
            <w:r>
              <w:rPr>
                <w:b/>
                <w:sz w:val="20"/>
                <w:szCs w:val="20"/>
              </w:rPr>
              <w:t>Lot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80199E3" w14:textId="77777777">
            <w:pPr>
              <w:spacing w:before="240"/>
              <w:rPr>
                <w:sz w:val="20"/>
                <w:szCs w:val="20"/>
              </w:rPr>
            </w:pPr>
            <w:r>
              <w:rPr>
                <w:sz w:val="20"/>
                <w:szCs w:val="20"/>
              </w:rPr>
              <w:t>Any of the 3 Lots specified in the ITT and Lots will be construed accordingly.</w:t>
            </w:r>
          </w:p>
        </w:tc>
      </w:tr>
      <w:tr w:rsidR="00012C76" w14:paraId="77A872AF" w14:textId="77777777">
        <w:trPr>
          <w:trHeight w:val="150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2319C00" w14:textId="77777777">
            <w:pPr>
              <w:spacing w:before="240"/>
              <w:rPr>
                <w:b/>
                <w:sz w:val="20"/>
                <w:szCs w:val="20"/>
              </w:rPr>
            </w:pPr>
            <w:r>
              <w:rPr>
                <w:b/>
                <w:sz w:val="20"/>
                <w:szCs w:val="20"/>
              </w:rPr>
              <w:t>Malicious Software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43A9D12" w14:textId="77777777">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2C76" w14:paraId="151CC07D" w14:textId="77777777">
        <w:trPr>
          <w:trHeight w:val="12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44497CA" w14:textId="77777777">
            <w:pPr>
              <w:spacing w:before="240"/>
              <w:rPr>
                <w:b/>
                <w:sz w:val="20"/>
                <w:szCs w:val="20"/>
              </w:rPr>
            </w:pPr>
            <w:r>
              <w:rPr>
                <w:b/>
                <w:sz w:val="20"/>
                <w:szCs w:val="20"/>
              </w:rPr>
              <w:t>Management Charge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67FEFBC" w14:textId="7777777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2C76" w14:paraId="2826BE93"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B112FF0" w14:textId="77777777">
            <w:pPr>
              <w:spacing w:before="240"/>
              <w:rPr>
                <w:b/>
                <w:sz w:val="20"/>
                <w:szCs w:val="20"/>
              </w:rPr>
            </w:pPr>
            <w:r>
              <w:rPr>
                <w:b/>
                <w:sz w:val="20"/>
                <w:szCs w:val="20"/>
              </w:rPr>
              <w:t>Management Information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D68CA54" w14:textId="77777777">
            <w:pPr>
              <w:spacing w:before="240"/>
              <w:rPr>
                <w:sz w:val="20"/>
                <w:szCs w:val="20"/>
              </w:rPr>
            </w:pPr>
            <w:r>
              <w:rPr>
                <w:sz w:val="20"/>
                <w:szCs w:val="20"/>
              </w:rPr>
              <w:t>The management information specified in Framework Agreement section 6 (What you report to CCS).</w:t>
            </w:r>
          </w:p>
        </w:tc>
      </w:tr>
      <w:tr w:rsidR="00012C76" w14:paraId="3194B9EC"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169E0DF" w14:textId="77777777">
            <w:pPr>
              <w:spacing w:before="240"/>
              <w:rPr>
                <w:b/>
                <w:sz w:val="20"/>
                <w:szCs w:val="20"/>
              </w:rPr>
            </w:pPr>
            <w:r>
              <w:rPr>
                <w:b/>
                <w:sz w:val="20"/>
                <w:szCs w:val="20"/>
              </w:rPr>
              <w:t>Material Breach</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5E4B231" w14:textId="7777777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12C76" w14:paraId="05B4AA90"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1AD6E73" w14:textId="77777777">
            <w:pPr>
              <w:spacing w:before="240"/>
              <w:rPr>
                <w:b/>
                <w:sz w:val="20"/>
                <w:szCs w:val="20"/>
              </w:rPr>
            </w:pPr>
            <w:r>
              <w:rPr>
                <w:b/>
                <w:sz w:val="20"/>
                <w:szCs w:val="20"/>
              </w:rPr>
              <w:t>Ministry of Justice Code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572F1D7" w14:textId="7777777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12C76" w14:paraId="678BF5C1"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F000789" w14:textId="77777777">
            <w:pPr>
              <w:spacing w:before="240"/>
              <w:rPr>
                <w:b/>
                <w:sz w:val="20"/>
                <w:szCs w:val="20"/>
              </w:rPr>
            </w:pPr>
            <w:r>
              <w:rPr>
                <w:b/>
                <w:sz w:val="20"/>
                <w:szCs w:val="20"/>
              </w:rPr>
              <w:t>New Fair Deal</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F2E1FEF" w14:textId="7777777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12C76" w14:paraId="6CE585E4"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F5FD675" w14:textId="77777777">
            <w:pPr>
              <w:spacing w:before="240"/>
              <w:rPr>
                <w:b/>
                <w:sz w:val="20"/>
                <w:szCs w:val="20"/>
              </w:rPr>
            </w:pPr>
            <w:r>
              <w:rPr>
                <w:b/>
                <w:sz w:val="20"/>
                <w:szCs w:val="20"/>
              </w:rPr>
              <w:t>Order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AB3558B" w14:textId="77777777">
            <w:pPr>
              <w:spacing w:before="240"/>
              <w:rPr>
                <w:sz w:val="20"/>
                <w:szCs w:val="20"/>
              </w:rPr>
            </w:pPr>
            <w:r>
              <w:rPr>
                <w:sz w:val="20"/>
                <w:szCs w:val="20"/>
              </w:rPr>
              <w:t>An order for G-Cloud Services placed by a contracting body with the Supplier in accordance with the ordering processes.</w:t>
            </w:r>
          </w:p>
        </w:tc>
      </w:tr>
      <w:tr w:rsidR="00012C76" w14:paraId="5AF6BEBB"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C4E7836" w14:textId="77777777">
            <w:pPr>
              <w:spacing w:before="240"/>
              <w:rPr>
                <w:b/>
                <w:sz w:val="20"/>
                <w:szCs w:val="20"/>
              </w:rPr>
            </w:pPr>
            <w:r>
              <w:rPr>
                <w:b/>
                <w:sz w:val="20"/>
                <w:szCs w:val="20"/>
              </w:rPr>
              <w:t>Order Form</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966772D" w14:textId="77777777">
            <w:pPr>
              <w:spacing w:before="240"/>
              <w:rPr>
                <w:sz w:val="20"/>
                <w:szCs w:val="20"/>
              </w:rPr>
            </w:pPr>
            <w:r>
              <w:rPr>
                <w:sz w:val="20"/>
                <w:szCs w:val="20"/>
              </w:rPr>
              <w:t>The order form set out in Part A of the Call-Off Contract to be used by a Buyer to order G-Cloud Services.</w:t>
            </w:r>
          </w:p>
        </w:tc>
      </w:tr>
      <w:tr w:rsidR="00012C76" w14:paraId="3E2B542F"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6FFED6A" w14:textId="77777777">
            <w:pPr>
              <w:spacing w:before="240"/>
              <w:rPr>
                <w:b/>
                <w:sz w:val="20"/>
                <w:szCs w:val="20"/>
              </w:rPr>
            </w:pPr>
            <w:r>
              <w:rPr>
                <w:b/>
                <w:sz w:val="20"/>
                <w:szCs w:val="20"/>
              </w:rPr>
              <w:t>Ordered G-Cloud Services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343E169" w14:textId="77777777">
            <w:pPr>
              <w:spacing w:before="240"/>
              <w:rPr>
                <w:sz w:val="20"/>
                <w:szCs w:val="20"/>
              </w:rPr>
            </w:pPr>
            <w:r>
              <w:rPr>
                <w:sz w:val="20"/>
                <w:szCs w:val="20"/>
              </w:rPr>
              <w:t>G-Cloud Services which are the subject of an order by the Buyer.</w:t>
            </w:r>
          </w:p>
        </w:tc>
      </w:tr>
      <w:tr w:rsidR="00012C76" w14:paraId="5053BDC4"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F495D27" w14:textId="77777777">
            <w:pPr>
              <w:spacing w:before="240"/>
              <w:rPr>
                <w:b/>
                <w:sz w:val="20"/>
                <w:szCs w:val="20"/>
              </w:rPr>
            </w:pPr>
            <w:r>
              <w:rPr>
                <w:b/>
                <w:sz w:val="20"/>
                <w:szCs w:val="20"/>
              </w:rPr>
              <w:lastRenderedPageBreak/>
              <w:t>Outside IR35</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C875EFB" w14:textId="77777777">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12C76" w14:paraId="0FB2E554"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7A3E856" w14:textId="77777777">
            <w:pPr>
              <w:spacing w:before="240"/>
              <w:rPr>
                <w:b/>
                <w:sz w:val="20"/>
                <w:szCs w:val="20"/>
              </w:rPr>
            </w:pPr>
            <w:r>
              <w:rPr>
                <w:b/>
                <w:sz w:val="20"/>
                <w:szCs w:val="20"/>
              </w:rPr>
              <w:t>Party</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61506CE" w14:textId="77777777">
            <w:pPr>
              <w:spacing w:before="240"/>
              <w:rPr>
                <w:sz w:val="20"/>
                <w:szCs w:val="20"/>
              </w:rPr>
            </w:pPr>
            <w:r>
              <w:rPr>
                <w:sz w:val="20"/>
                <w:szCs w:val="20"/>
              </w:rPr>
              <w:t>The Buyer or the Supplier and ‘Parties’ will be interpreted accordingly.</w:t>
            </w:r>
          </w:p>
        </w:tc>
      </w:tr>
      <w:tr w:rsidR="00012C76" w14:paraId="6A1C4154"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D148ED9" w14:textId="77777777">
            <w:pPr>
              <w:spacing w:before="240"/>
              <w:rPr>
                <w:b/>
                <w:sz w:val="20"/>
                <w:szCs w:val="20"/>
              </w:rPr>
            </w:pPr>
            <w:r>
              <w:rPr>
                <w:b/>
                <w:sz w:val="20"/>
                <w:szCs w:val="20"/>
              </w:rPr>
              <w:t>Personal Data</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8B8F1AC" w14:textId="77777777">
            <w:pPr>
              <w:spacing w:before="240"/>
              <w:rPr>
                <w:sz w:val="20"/>
                <w:szCs w:val="20"/>
              </w:rPr>
            </w:pPr>
            <w:r>
              <w:rPr>
                <w:sz w:val="20"/>
                <w:szCs w:val="20"/>
              </w:rPr>
              <w:t>Takes the meaning given in the GDPR.</w:t>
            </w:r>
          </w:p>
        </w:tc>
      </w:tr>
      <w:tr w:rsidR="00012C76" w14:paraId="78B07023"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9031871" w14:textId="77777777">
            <w:pPr>
              <w:spacing w:before="240"/>
              <w:rPr>
                <w:b/>
                <w:sz w:val="20"/>
                <w:szCs w:val="20"/>
              </w:rPr>
            </w:pPr>
            <w:r>
              <w:rPr>
                <w:b/>
                <w:sz w:val="20"/>
                <w:szCs w:val="20"/>
              </w:rPr>
              <w:t>Personal Data Breach</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6CD9A97" w14:textId="77777777">
            <w:pPr>
              <w:spacing w:before="240"/>
              <w:rPr>
                <w:sz w:val="20"/>
                <w:szCs w:val="20"/>
              </w:rPr>
            </w:pPr>
            <w:r>
              <w:rPr>
                <w:sz w:val="20"/>
                <w:szCs w:val="20"/>
              </w:rPr>
              <w:t>Takes the meaning given in the GDPR.</w:t>
            </w:r>
          </w:p>
        </w:tc>
      </w:tr>
      <w:tr w:rsidR="00012C76" w14:paraId="0CF6D468"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3CAF464" w14:textId="77777777">
            <w:pPr>
              <w:spacing w:before="240"/>
              <w:rPr>
                <w:b/>
                <w:sz w:val="20"/>
                <w:szCs w:val="20"/>
              </w:rPr>
            </w:pPr>
            <w:r>
              <w:rPr>
                <w:b/>
                <w:sz w:val="20"/>
                <w:szCs w:val="20"/>
              </w:rPr>
              <w:t>Processing</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C0E559A" w14:textId="77777777">
            <w:pPr>
              <w:spacing w:before="240"/>
              <w:rPr>
                <w:sz w:val="20"/>
                <w:szCs w:val="20"/>
              </w:rPr>
            </w:pPr>
            <w:r>
              <w:rPr>
                <w:sz w:val="20"/>
                <w:szCs w:val="20"/>
              </w:rPr>
              <w:t>Takes the meaning given in the GDPR.</w:t>
            </w:r>
          </w:p>
        </w:tc>
      </w:tr>
      <w:tr w:rsidR="00012C76" w14:paraId="3B92CCBC"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43F5CFD" w14:textId="77777777">
            <w:pPr>
              <w:spacing w:before="240"/>
              <w:rPr>
                <w:b/>
                <w:sz w:val="20"/>
                <w:szCs w:val="20"/>
              </w:rPr>
            </w:pPr>
            <w:r>
              <w:rPr>
                <w:b/>
                <w:sz w:val="20"/>
                <w:szCs w:val="20"/>
              </w:rPr>
              <w:t>Processor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DDF537E" w14:textId="77777777">
            <w:pPr>
              <w:spacing w:before="240"/>
              <w:rPr>
                <w:sz w:val="20"/>
                <w:szCs w:val="20"/>
              </w:rPr>
            </w:pPr>
            <w:r>
              <w:rPr>
                <w:sz w:val="20"/>
                <w:szCs w:val="20"/>
              </w:rPr>
              <w:t>Takes the meaning given in the GDPR.</w:t>
            </w:r>
          </w:p>
        </w:tc>
      </w:tr>
      <w:tr w:rsidR="00012C76" w14:paraId="4AA3BE70" w14:textId="77777777">
        <w:trPr>
          <w:trHeight w:val="3241"/>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9C51879" w14:textId="77777777">
            <w:pPr>
              <w:spacing w:before="240"/>
              <w:rPr>
                <w:b/>
                <w:sz w:val="20"/>
                <w:szCs w:val="20"/>
              </w:rPr>
            </w:pPr>
            <w:r>
              <w:rPr>
                <w:b/>
                <w:sz w:val="20"/>
                <w:szCs w:val="20"/>
              </w:rPr>
              <w:t>Prohibited act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9489B11" w14:textId="77777777">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012C76" w:rsidRDefault="00382483" w14:paraId="2171D576" w14:textId="77777777">
            <w:pPr>
              <w:pStyle w:val="ListParagraph"/>
              <w:numPr>
                <w:ilvl w:val="0"/>
                <w:numId w:val="34"/>
              </w:numPr>
              <w:rPr>
                <w:sz w:val="20"/>
                <w:szCs w:val="20"/>
              </w:rPr>
            </w:pPr>
            <w:r>
              <w:rPr>
                <w:sz w:val="20"/>
                <w:szCs w:val="20"/>
              </w:rPr>
              <w:t>induce that person to perform improperly a relevant function or activity</w:t>
            </w:r>
          </w:p>
          <w:p w:rsidR="00012C76" w:rsidRDefault="00382483" w14:paraId="2716D421" w14:textId="77777777">
            <w:pPr>
              <w:pStyle w:val="ListParagraph"/>
              <w:numPr>
                <w:ilvl w:val="0"/>
                <w:numId w:val="34"/>
              </w:numPr>
              <w:rPr>
                <w:sz w:val="20"/>
                <w:szCs w:val="20"/>
              </w:rPr>
            </w:pPr>
            <w:r>
              <w:rPr>
                <w:sz w:val="20"/>
                <w:szCs w:val="20"/>
              </w:rPr>
              <w:t>reward that person for improper performance of a relevant function or activity</w:t>
            </w:r>
          </w:p>
          <w:p w:rsidR="00012C76" w:rsidRDefault="00382483" w14:paraId="31D4BBAC" w14:textId="77777777">
            <w:pPr>
              <w:pStyle w:val="ListParagraph"/>
              <w:numPr>
                <w:ilvl w:val="0"/>
                <w:numId w:val="34"/>
              </w:numPr>
              <w:rPr>
                <w:sz w:val="20"/>
                <w:szCs w:val="20"/>
              </w:rPr>
            </w:pPr>
            <w:r>
              <w:rPr>
                <w:sz w:val="20"/>
                <w:szCs w:val="20"/>
              </w:rPr>
              <w:t>commit any offence:</w:t>
            </w:r>
          </w:p>
          <w:p w:rsidR="00012C76" w:rsidRDefault="00382483" w14:paraId="49308C7A" w14:textId="77777777">
            <w:pPr>
              <w:pStyle w:val="ListParagraph"/>
              <w:numPr>
                <w:ilvl w:val="1"/>
                <w:numId w:val="34"/>
              </w:numPr>
              <w:rPr>
                <w:sz w:val="20"/>
                <w:szCs w:val="20"/>
              </w:rPr>
            </w:pPr>
            <w:r>
              <w:rPr>
                <w:sz w:val="20"/>
                <w:szCs w:val="20"/>
              </w:rPr>
              <w:t>under the Bribery Act 2010</w:t>
            </w:r>
          </w:p>
          <w:p w:rsidR="00012C76" w:rsidRDefault="00382483" w14:paraId="6689F9BD" w14:textId="77777777">
            <w:pPr>
              <w:pStyle w:val="ListParagraph"/>
              <w:numPr>
                <w:ilvl w:val="1"/>
                <w:numId w:val="34"/>
              </w:numPr>
              <w:rPr>
                <w:sz w:val="20"/>
                <w:szCs w:val="20"/>
              </w:rPr>
            </w:pPr>
            <w:r>
              <w:rPr>
                <w:sz w:val="20"/>
                <w:szCs w:val="20"/>
              </w:rPr>
              <w:t>under legislation creating offences concerning Fraud</w:t>
            </w:r>
          </w:p>
          <w:p w:rsidR="00012C76" w:rsidRDefault="00382483" w14:paraId="563EA432" w14:textId="77777777">
            <w:pPr>
              <w:pStyle w:val="ListParagraph"/>
              <w:numPr>
                <w:ilvl w:val="1"/>
                <w:numId w:val="34"/>
              </w:numPr>
            </w:pPr>
            <w:r>
              <w:t>at common Law concerning Fraud</w:t>
            </w:r>
          </w:p>
          <w:p w:rsidR="00012C76" w:rsidRDefault="00382483" w14:paraId="3C2DF884" w14:textId="77777777">
            <w:pPr>
              <w:pStyle w:val="ListParagraph"/>
              <w:numPr>
                <w:ilvl w:val="1"/>
                <w:numId w:val="34"/>
              </w:numPr>
              <w:rPr>
                <w:sz w:val="20"/>
                <w:szCs w:val="20"/>
              </w:rPr>
            </w:pPr>
            <w:r>
              <w:rPr>
                <w:sz w:val="20"/>
                <w:szCs w:val="20"/>
              </w:rPr>
              <w:t>committing or attempting or conspiring to commit Fraud</w:t>
            </w:r>
          </w:p>
        </w:tc>
      </w:tr>
      <w:tr w:rsidR="00012C76" w14:paraId="2752E123" w14:textId="77777777">
        <w:trPr>
          <w:trHeight w:val="751"/>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6CDAA67" w14:textId="77777777">
            <w:pPr>
              <w:spacing w:before="240"/>
              <w:rPr>
                <w:b/>
                <w:sz w:val="20"/>
                <w:szCs w:val="20"/>
              </w:rPr>
            </w:pPr>
            <w:r>
              <w:rPr>
                <w:b/>
                <w:sz w:val="20"/>
                <w:szCs w:val="20"/>
              </w:rPr>
              <w:t>Project Specific IPRs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B0EF17C" w14:textId="77777777">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2C76" w14:paraId="1642A6A6"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193D34F" w14:textId="77777777">
            <w:pPr>
              <w:spacing w:before="240"/>
              <w:rPr>
                <w:b/>
                <w:sz w:val="20"/>
                <w:szCs w:val="20"/>
              </w:rPr>
            </w:pPr>
            <w:r>
              <w:rPr>
                <w:b/>
                <w:sz w:val="20"/>
                <w:szCs w:val="20"/>
              </w:rPr>
              <w:t>Property</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F1E3E24" w14:textId="77777777">
            <w:pPr>
              <w:spacing w:before="240"/>
              <w:rPr>
                <w:sz w:val="20"/>
                <w:szCs w:val="20"/>
              </w:rPr>
            </w:pPr>
            <w:r>
              <w:rPr>
                <w:sz w:val="20"/>
                <w:szCs w:val="20"/>
              </w:rPr>
              <w:t>Assets and property including technical infrastructure, IPRs and equipment.</w:t>
            </w:r>
          </w:p>
        </w:tc>
      </w:tr>
      <w:tr w:rsidR="00012C76" w14:paraId="0C951A47" w14:textId="77777777">
        <w:trPr>
          <w:trHeight w:val="17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5FFF14B" w14:textId="77777777">
            <w:pPr>
              <w:spacing w:before="240"/>
              <w:rPr>
                <w:b/>
                <w:sz w:val="20"/>
                <w:szCs w:val="20"/>
              </w:rPr>
            </w:pPr>
            <w:r>
              <w:rPr>
                <w:b/>
                <w:sz w:val="20"/>
                <w:szCs w:val="20"/>
              </w:rPr>
              <w:t>Protective Measures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6D88C8F" w14:textId="77777777">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2C76" w14:paraId="6DAEF4CB"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F1DBE7A" w14:textId="77777777">
            <w:pPr>
              <w:spacing w:before="240"/>
              <w:rPr>
                <w:b/>
                <w:sz w:val="20"/>
                <w:szCs w:val="20"/>
              </w:rPr>
            </w:pPr>
            <w:r>
              <w:rPr>
                <w:b/>
                <w:sz w:val="20"/>
                <w:szCs w:val="20"/>
              </w:rPr>
              <w:lastRenderedPageBreak/>
              <w:t>PSN or Public Services Network</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321405C" w14:textId="77777777">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12C76" w14:paraId="141E536F"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BF1F4BF" w14:textId="77777777">
            <w:pPr>
              <w:spacing w:before="240"/>
              <w:rPr>
                <w:b/>
                <w:sz w:val="20"/>
                <w:szCs w:val="20"/>
              </w:rPr>
            </w:pPr>
            <w:r>
              <w:rPr>
                <w:b/>
                <w:sz w:val="20"/>
                <w:szCs w:val="20"/>
              </w:rPr>
              <w:t>Regulatory body or bodies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C473DE5" w14:textId="7777777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12C76" w14:paraId="74A09E22"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A73899C" w14:textId="77777777">
            <w:pPr>
              <w:spacing w:before="240"/>
              <w:rPr>
                <w:b/>
                <w:sz w:val="20"/>
                <w:szCs w:val="20"/>
              </w:rPr>
            </w:pPr>
            <w:r>
              <w:rPr>
                <w:b/>
                <w:sz w:val="20"/>
                <w:szCs w:val="20"/>
              </w:rPr>
              <w:t>Relevant person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D732007" w14:textId="7777777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12C76" w14:paraId="76949BA9"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0DF6647" w14:textId="77777777">
            <w:pPr>
              <w:spacing w:before="240"/>
              <w:rPr>
                <w:b/>
                <w:sz w:val="20"/>
                <w:szCs w:val="20"/>
              </w:rPr>
            </w:pPr>
            <w:r>
              <w:rPr>
                <w:b/>
                <w:sz w:val="20"/>
                <w:szCs w:val="20"/>
              </w:rPr>
              <w:t>Relevant Transfer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563893C" w14:textId="77777777">
            <w:pPr>
              <w:spacing w:before="240"/>
              <w:rPr>
                <w:sz w:val="20"/>
                <w:szCs w:val="20"/>
              </w:rPr>
            </w:pPr>
            <w:r>
              <w:rPr>
                <w:sz w:val="20"/>
                <w:szCs w:val="20"/>
              </w:rPr>
              <w:t>A transfer of employment to which the employment regulations applies.</w:t>
            </w:r>
          </w:p>
        </w:tc>
      </w:tr>
      <w:tr w:rsidR="00012C76" w14:paraId="54EF7004" w14:textId="77777777">
        <w:trPr>
          <w:trHeight w:val="12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E248C92" w14:textId="77777777">
            <w:pPr>
              <w:spacing w:before="240"/>
              <w:rPr>
                <w:b/>
                <w:sz w:val="20"/>
                <w:szCs w:val="20"/>
              </w:rPr>
            </w:pPr>
            <w:r>
              <w:rPr>
                <w:b/>
                <w:sz w:val="20"/>
                <w:szCs w:val="20"/>
              </w:rPr>
              <w:t>Replacement Services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B317F5A" w14:textId="77777777">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2C76" w14:paraId="0ADCD988"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0A93EDF" w14:textId="77777777">
            <w:pPr>
              <w:spacing w:before="240"/>
              <w:rPr>
                <w:b/>
                <w:sz w:val="20"/>
                <w:szCs w:val="20"/>
              </w:rPr>
            </w:pPr>
            <w:r>
              <w:rPr>
                <w:b/>
                <w:sz w:val="20"/>
                <w:szCs w:val="20"/>
              </w:rPr>
              <w:t>Replacement supplier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7DD9653" w14:textId="7777777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12C76" w14:paraId="0F790011"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591DA4C" w14:textId="77777777">
            <w:pPr>
              <w:spacing w:before="240"/>
              <w:rPr>
                <w:b/>
                <w:sz w:val="20"/>
                <w:szCs w:val="20"/>
              </w:rPr>
            </w:pPr>
            <w:r>
              <w:rPr>
                <w:b/>
                <w:sz w:val="20"/>
                <w:szCs w:val="20"/>
              </w:rPr>
              <w:t>Security management plan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7706FAC" w14:textId="77777777">
            <w:pPr>
              <w:spacing w:before="240"/>
              <w:rPr>
                <w:sz w:val="20"/>
                <w:szCs w:val="20"/>
              </w:rPr>
            </w:pPr>
            <w:r>
              <w:rPr>
                <w:sz w:val="20"/>
                <w:szCs w:val="20"/>
              </w:rPr>
              <w:t>The Supplier's security management plan developed by the Supplier in accordance with clause 16.1.</w:t>
            </w:r>
          </w:p>
        </w:tc>
      </w:tr>
      <w:tr w:rsidR="00012C76" w14:paraId="43B916B1"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00432D7" w14:textId="77777777">
            <w:pPr>
              <w:spacing w:before="240"/>
              <w:rPr>
                <w:b/>
                <w:sz w:val="20"/>
                <w:szCs w:val="20"/>
              </w:rPr>
            </w:pPr>
            <w:r>
              <w:rPr>
                <w:b/>
                <w:sz w:val="20"/>
                <w:szCs w:val="20"/>
              </w:rPr>
              <w:t>Services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C1F3175" w14:textId="77777777">
            <w:pPr>
              <w:spacing w:before="240"/>
              <w:rPr>
                <w:sz w:val="20"/>
                <w:szCs w:val="20"/>
              </w:rPr>
            </w:pPr>
            <w:r>
              <w:rPr>
                <w:sz w:val="20"/>
                <w:szCs w:val="20"/>
              </w:rPr>
              <w:t>The services ordered by the Buyer as set out in the Order Form.</w:t>
            </w:r>
          </w:p>
        </w:tc>
      </w:tr>
      <w:tr w:rsidR="00012C76" w14:paraId="3E3CD59C"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EA85F31" w14:textId="77777777">
            <w:pPr>
              <w:spacing w:before="240"/>
              <w:rPr>
                <w:b/>
                <w:sz w:val="20"/>
                <w:szCs w:val="20"/>
              </w:rPr>
            </w:pPr>
            <w:r>
              <w:rPr>
                <w:b/>
                <w:sz w:val="20"/>
                <w:szCs w:val="20"/>
              </w:rPr>
              <w:t>Service data</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C589AF1" w14:textId="77777777">
            <w:pPr>
              <w:spacing w:before="240"/>
              <w:rPr>
                <w:sz w:val="20"/>
                <w:szCs w:val="20"/>
              </w:rPr>
            </w:pPr>
            <w:r>
              <w:rPr>
                <w:sz w:val="20"/>
                <w:szCs w:val="20"/>
              </w:rPr>
              <w:t>Data that is owned or managed by the Buyer and used for the G-Cloud Services, including backup data.</w:t>
            </w:r>
          </w:p>
        </w:tc>
      </w:tr>
      <w:tr w:rsidR="00012C76" w14:paraId="4A6D3506"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EDB9524" w14:textId="77777777">
            <w:pPr>
              <w:spacing w:before="240"/>
              <w:rPr>
                <w:b/>
                <w:sz w:val="20"/>
                <w:szCs w:val="20"/>
              </w:rPr>
            </w:pPr>
            <w:r>
              <w:rPr>
                <w:b/>
                <w:sz w:val="20"/>
                <w:szCs w:val="20"/>
              </w:rPr>
              <w:t>Service definition(s)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8F56D42" w14:textId="7777777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12C76" w14:paraId="40F4EA3C"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A97FBEC" w14:textId="77777777">
            <w:pPr>
              <w:spacing w:before="240"/>
              <w:rPr>
                <w:b/>
                <w:sz w:val="20"/>
                <w:szCs w:val="20"/>
              </w:rPr>
            </w:pPr>
            <w:r>
              <w:rPr>
                <w:b/>
                <w:sz w:val="20"/>
                <w:szCs w:val="20"/>
              </w:rPr>
              <w:t>Service description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3A87749" w14:textId="77777777">
            <w:pPr>
              <w:spacing w:before="240"/>
              <w:rPr>
                <w:sz w:val="20"/>
                <w:szCs w:val="20"/>
              </w:rPr>
            </w:pPr>
            <w:r>
              <w:rPr>
                <w:sz w:val="20"/>
                <w:szCs w:val="20"/>
              </w:rPr>
              <w:t>The description of the Supplier service offering as published on the Digital Marketplace.</w:t>
            </w:r>
          </w:p>
        </w:tc>
      </w:tr>
      <w:tr w:rsidR="00012C76" w14:paraId="1810CD00"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ECADAEA" w14:textId="77777777">
            <w:pPr>
              <w:spacing w:before="240"/>
              <w:rPr>
                <w:b/>
                <w:sz w:val="20"/>
                <w:szCs w:val="20"/>
              </w:rPr>
            </w:pPr>
            <w:r>
              <w:rPr>
                <w:b/>
                <w:sz w:val="20"/>
                <w:szCs w:val="20"/>
              </w:rPr>
              <w:t>Service Personal Data</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73CF1B1" w14:textId="77777777">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12C76" w14:paraId="258F9652"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795273B" w14:textId="77777777">
            <w:pPr>
              <w:spacing w:before="240"/>
              <w:rPr>
                <w:b/>
                <w:sz w:val="20"/>
                <w:szCs w:val="20"/>
              </w:rPr>
            </w:pPr>
            <w:r>
              <w:rPr>
                <w:b/>
                <w:sz w:val="20"/>
                <w:szCs w:val="20"/>
              </w:rPr>
              <w:lastRenderedPageBreak/>
              <w:t>Spend controls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00EDF0C" w14:textId="77777777">
            <w:pPr>
              <w:spacing w:before="240"/>
            </w:pPr>
            <w:r>
              <w:rPr>
                <w:sz w:val="20"/>
                <w:szCs w:val="20"/>
              </w:rPr>
              <w:t>The approval process used by a central government Buyer if it needs to spend money on certain digital or technology services, see</w:t>
            </w:r>
            <w:hyperlink w:history="1" r:id="rId28">
              <w:r>
                <w:t xml:space="preserve"> </w:t>
              </w:r>
            </w:hyperlink>
            <w:hyperlink w:history="1" r:id="rId29">
              <w:r>
                <w:rPr>
                  <w:sz w:val="20"/>
                  <w:szCs w:val="20"/>
                  <w:u w:val="single"/>
                </w:rPr>
                <w:t>https://www.gov.uk/service-manual/agile-delivery/spend-controls-check-if-you-need-approval-to-spend-money-on-a-service</w:t>
              </w:r>
            </w:hyperlink>
          </w:p>
        </w:tc>
      </w:tr>
      <w:tr w:rsidR="00012C76" w14:paraId="68156E7F"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0867BCB" w14:textId="77777777">
            <w:pPr>
              <w:spacing w:before="240"/>
              <w:rPr>
                <w:b/>
                <w:sz w:val="20"/>
                <w:szCs w:val="20"/>
              </w:rPr>
            </w:pPr>
            <w:r>
              <w:rPr>
                <w:b/>
                <w:sz w:val="20"/>
                <w:szCs w:val="20"/>
              </w:rPr>
              <w:t>Start date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247D079" w14:textId="77777777">
            <w:pPr>
              <w:spacing w:before="240"/>
              <w:rPr>
                <w:sz w:val="20"/>
                <w:szCs w:val="20"/>
              </w:rPr>
            </w:pPr>
            <w:r>
              <w:rPr>
                <w:sz w:val="20"/>
                <w:szCs w:val="20"/>
              </w:rPr>
              <w:t>The Start date of this Call-Off Contract as set out in the Order Form.</w:t>
            </w:r>
          </w:p>
        </w:tc>
      </w:tr>
      <w:tr w:rsidR="00012C76" w14:paraId="7365D74D" w14:textId="77777777">
        <w:trPr>
          <w:trHeight w:val="12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93CF55A" w14:textId="77777777">
            <w:pPr>
              <w:spacing w:before="240"/>
              <w:rPr>
                <w:b/>
                <w:sz w:val="20"/>
                <w:szCs w:val="20"/>
              </w:rPr>
            </w:pPr>
            <w:r>
              <w:rPr>
                <w:b/>
                <w:sz w:val="20"/>
                <w:szCs w:val="20"/>
              </w:rPr>
              <w:t>Subcontract</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529D30CC" w14:textId="7777777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2C76" w14:paraId="0BCDF2C7" w14:textId="77777777">
        <w:trPr>
          <w:trHeight w:val="108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50192F8" w14:textId="77777777">
            <w:pPr>
              <w:spacing w:before="240"/>
              <w:rPr>
                <w:b/>
                <w:sz w:val="20"/>
                <w:szCs w:val="20"/>
              </w:rPr>
            </w:pPr>
            <w:r>
              <w:rPr>
                <w:b/>
                <w:sz w:val="20"/>
                <w:szCs w:val="20"/>
              </w:rPr>
              <w:t>Subcontractor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8700072" w14:textId="7777777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12C76" w14:paraId="4DB36966"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6E77C34" w14:textId="77777777">
            <w:pPr>
              <w:spacing w:before="240"/>
              <w:rPr>
                <w:b/>
                <w:sz w:val="20"/>
                <w:szCs w:val="20"/>
              </w:rPr>
            </w:pPr>
            <w:proofErr w:type="spellStart"/>
            <w:r>
              <w:rPr>
                <w:b/>
                <w:sz w:val="20"/>
                <w:szCs w:val="20"/>
              </w:rPr>
              <w:t>Subprocessor</w:t>
            </w:r>
            <w:proofErr w:type="spellEnd"/>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994D4C6" w14:textId="77777777">
            <w:pPr>
              <w:spacing w:before="240"/>
              <w:rPr>
                <w:sz w:val="20"/>
                <w:szCs w:val="20"/>
              </w:rPr>
            </w:pPr>
            <w:r>
              <w:rPr>
                <w:sz w:val="20"/>
                <w:szCs w:val="20"/>
              </w:rPr>
              <w:t>Any third party appointed to process Personal Data on behalf of the Supplier under this Call-Off Contract.</w:t>
            </w:r>
          </w:p>
        </w:tc>
      </w:tr>
      <w:tr w:rsidR="00012C76" w14:paraId="56E87CED"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6DF541B" w14:textId="77777777">
            <w:pPr>
              <w:spacing w:before="240"/>
              <w:rPr>
                <w:b/>
                <w:sz w:val="20"/>
                <w:szCs w:val="20"/>
              </w:rPr>
            </w:pPr>
            <w:r>
              <w:rPr>
                <w:b/>
                <w:sz w:val="20"/>
                <w:szCs w:val="20"/>
              </w:rPr>
              <w:t>Supplier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0AA78C8" w14:textId="77777777">
            <w:pPr>
              <w:spacing w:before="240"/>
              <w:rPr>
                <w:sz w:val="20"/>
                <w:szCs w:val="20"/>
              </w:rPr>
            </w:pPr>
            <w:r>
              <w:rPr>
                <w:sz w:val="20"/>
                <w:szCs w:val="20"/>
              </w:rPr>
              <w:t>The person, firm or company identified in the Order Form.</w:t>
            </w:r>
          </w:p>
        </w:tc>
      </w:tr>
      <w:tr w:rsidR="00012C76" w14:paraId="703303D9"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00D7C12" w14:textId="77777777">
            <w:pPr>
              <w:spacing w:before="240"/>
              <w:rPr>
                <w:b/>
                <w:sz w:val="20"/>
                <w:szCs w:val="20"/>
              </w:rPr>
            </w:pPr>
            <w:r>
              <w:rPr>
                <w:b/>
                <w:sz w:val="20"/>
                <w:szCs w:val="20"/>
              </w:rPr>
              <w:t>Supplier Representative</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05D8E91" w14:textId="77777777">
            <w:pPr>
              <w:spacing w:before="240"/>
              <w:rPr>
                <w:sz w:val="20"/>
                <w:szCs w:val="20"/>
              </w:rPr>
            </w:pPr>
            <w:r>
              <w:rPr>
                <w:sz w:val="20"/>
                <w:szCs w:val="20"/>
              </w:rPr>
              <w:t>The representative appointed by the Supplier from time to time in relation to the Call-Off Contract.</w:t>
            </w:r>
          </w:p>
        </w:tc>
      </w:tr>
      <w:tr w:rsidR="00012C76" w14:paraId="1564475F"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0279E5B" w14:textId="77777777">
            <w:pPr>
              <w:spacing w:before="240"/>
              <w:rPr>
                <w:b/>
                <w:sz w:val="20"/>
                <w:szCs w:val="20"/>
              </w:rPr>
            </w:pPr>
            <w:r>
              <w:rPr>
                <w:b/>
                <w:sz w:val="20"/>
                <w:szCs w:val="20"/>
              </w:rPr>
              <w:t>Supplier staff</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3AF2F315" w14:textId="77777777">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12C76" w14:paraId="74AC1E60" w14:textId="77777777">
        <w:trPr>
          <w:trHeight w:val="8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312B9B7" w14:textId="77777777">
            <w:pPr>
              <w:spacing w:before="240"/>
              <w:rPr>
                <w:b/>
                <w:sz w:val="20"/>
                <w:szCs w:val="20"/>
              </w:rPr>
            </w:pPr>
            <w:r>
              <w:rPr>
                <w:b/>
                <w:sz w:val="20"/>
                <w:szCs w:val="20"/>
              </w:rPr>
              <w:t>Supplier terms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06B6FC8" w14:textId="77777777">
            <w:pPr>
              <w:spacing w:before="240"/>
              <w:rPr>
                <w:sz w:val="20"/>
                <w:szCs w:val="20"/>
              </w:rPr>
            </w:pPr>
            <w:r>
              <w:rPr>
                <w:sz w:val="20"/>
                <w:szCs w:val="20"/>
              </w:rPr>
              <w:t>The relevant G-Cloud Service terms and conditions as set out in the Terms and Conditions document supplied as part of the Supplier’s Application.</w:t>
            </w:r>
          </w:p>
        </w:tc>
      </w:tr>
      <w:tr w:rsidR="00012C76" w14:paraId="3D334BB0"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A163719" w14:textId="77777777">
            <w:pPr>
              <w:spacing w:before="240"/>
              <w:rPr>
                <w:b/>
                <w:sz w:val="20"/>
                <w:szCs w:val="20"/>
              </w:rPr>
            </w:pPr>
            <w:r>
              <w:rPr>
                <w:b/>
                <w:sz w:val="20"/>
                <w:szCs w:val="20"/>
              </w:rPr>
              <w:t>Term</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14C750E" w14:textId="77777777">
            <w:pPr>
              <w:spacing w:before="240"/>
              <w:rPr>
                <w:sz w:val="20"/>
                <w:szCs w:val="20"/>
              </w:rPr>
            </w:pPr>
            <w:r>
              <w:rPr>
                <w:sz w:val="20"/>
                <w:szCs w:val="20"/>
              </w:rPr>
              <w:t>The term of this Call-Off Contract as set out in the Order Form.</w:t>
            </w:r>
          </w:p>
        </w:tc>
      </w:tr>
      <w:tr w:rsidR="00012C76" w14:paraId="78026A57"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73EB8237" w14:textId="77777777">
            <w:pPr>
              <w:spacing w:before="240"/>
              <w:rPr>
                <w:b/>
                <w:sz w:val="20"/>
                <w:szCs w:val="20"/>
              </w:rPr>
            </w:pPr>
            <w:r>
              <w:rPr>
                <w:b/>
                <w:sz w:val="20"/>
                <w:szCs w:val="20"/>
              </w:rPr>
              <w:t>Variation</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CEF6BAC" w14:textId="77777777">
            <w:pPr>
              <w:spacing w:before="240"/>
              <w:rPr>
                <w:sz w:val="20"/>
                <w:szCs w:val="20"/>
              </w:rPr>
            </w:pPr>
            <w:r>
              <w:rPr>
                <w:sz w:val="20"/>
                <w:szCs w:val="20"/>
              </w:rPr>
              <w:t>This has the meaning given to it in clause 32 (Variation process).</w:t>
            </w:r>
          </w:p>
        </w:tc>
      </w:tr>
      <w:tr w:rsidR="00012C76" w14:paraId="5BA99730" w14:textId="77777777">
        <w:trPr>
          <w:trHeight w:val="64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FB6890A" w14:textId="77777777">
            <w:pPr>
              <w:spacing w:before="240"/>
              <w:rPr>
                <w:b/>
                <w:sz w:val="20"/>
                <w:szCs w:val="20"/>
              </w:rPr>
            </w:pPr>
            <w:r>
              <w:rPr>
                <w:b/>
                <w:sz w:val="20"/>
                <w:szCs w:val="20"/>
              </w:rPr>
              <w:t>Working Days</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8B3FACE" w14:textId="77777777">
            <w:pPr>
              <w:spacing w:before="240"/>
              <w:rPr>
                <w:sz w:val="20"/>
                <w:szCs w:val="20"/>
              </w:rPr>
            </w:pPr>
            <w:r>
              <w:rPr>
                <w:sz w:val="20"/>
                <w:szCs w:val="20"/>
              </w:rPr>
              <w:t>Any day other than a Saturday, Sunday or public holiday in England and Wales.</w:t>
            </w:r>
          </w:p>
        </w:tc>
      </w:tr>
      <w:tr w:rsidR="00012C76" w14:paraId="24336AD8" w14:textId="77777777">
        <w:trPr>
          <w:trHeight w:val="420"/>
        </w:trPr>
        <w:tc>
          <w:tcPr>
            <w:tcW w:w="26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419EAED" w14:textId="77777777">
            <w:pPr>
              <w:spacing w:before="240"/>
              <w:rPr>
                <w:b/>
                <w:sz w:val="20"/>
                <w:szCs w:val="20"/>
              </w:rPr>
            </w:pPr>
            <w:r>
              <w:rPr>
                <w:b/>
                <w:sz w:val="20"/>
                <w:szCs w:val="20"/>
              </w:rPr>
              <w:t>Year</w:t>
            </w:r>
          </w:p>
        </w:tc>
        <w:tc>
          <w:tcPr>
            <w:tcW w:w="62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1563B72" w14:textId="77777777">
            <w:pPr>
              <w:spacing w:before="240"/>
              <w:rPr>
                <w:sz w:val="20"/>
                <w:szCs w:val="20"/>
              </w:rPr>
            </w:pPr>
            <w:r>
              <w:rPr>
                <w:sz w:val="20"/>
                <w:szCs w:val="20"/>
              </w:rPr>
              <w:t>A contract year.</w:t>
            </w:r>
          </w:p>
        </w:tc>
      </w:tr>
    </w:tbl>
    <w:p w:rsidR="00012C76" w:rsidRDefault="00382483" w14:paraId="63969F8E" w14:textId="77777777">
      <w:pPr>
        <w:spacing w:before="240" w:after="240"/>
      </w:pPr>
      <w:r>
        <w:t xml:space="preserve"> </w:t>
      </w:r>
    </w:p>
    <w:p w:rsidR="00012C76" w:rsidRDefault="00012C76" w14:paraId="2474088B" w14:textId="77777777">
      <w:pPr>
        <w:pageBreakBefore/>
      </w:pPr>
    </w:p>
    <w:p w:rsidR="00012C76" w:rsidRDefault="00382483" w14:paraId="12787CF0" w14:textId="77777777">
      <w:pPr>
        <w:pStyle w:val="Heading2"/>
      </w:pPr>
      <w:bookmarkStart w:name="_Toc33176240" w:id="18"/>
      <w:bookmarkStart w:name="_Toc89701661" w:id="19"/>
      <w:r>
        <w:t>Schedule 7: GDPR Information</w:t>
      </w:r>
      <w:bookmarkEnd w:id="18"/>
      <w:bookmarkEnd w:id="19"/>
    </w:p>
    <w:p w:rsidR="00012C76" w:rsidRDefault="00382483" w14:paraId="335DBEC2" w14:textId="77777777">
      <w:r>
        <w:t>This schedule reproduces the annexes to the GDPR schedule contained within the Framework Agreement and incorporated into this Call-off Contract.</w:t>
      </w:r>
    </w:p>
    <w:p w:rsidR="00012C76" w:rsidRDefault="00382483" w14:paraId="2E6BDB77" w14:textId="77777777">
      <w:pPr>
        <w:pStyle w:val="Heading3"/>
        <w:rPr>
          <w:color w:val="auto"/>
        </w:rPr>
      </w:pPr>
      <w:r>
        <w:rPr>
          <w:color w:val="auto"/>
        </w:rPr>
        <w:t>Annex 1: Processing Personal Data</w:t>
      </w:r>
    </w:p>
    <w:p w:rsidR="00012C76" w:rsidRDefault="00382483" w14:paraId="7ACF268A" w14:textId="77777777">
      <w:pPr>
        <w:spacing w:after="120"/>
      </w:pPr>
      <w:r>
        <w:t>This Annex shall be completed by the Controller, who may take account of the view of the Processors, however the final decision as to the content of this Annex shall be with the Buyer at its absolute discretion.</w:t>
      </w:r>
    </w:p>
    <w:p w:rsidR="00012C76" w:rsidRDefault="00382483" w14:paraId="780672D1" w14:textId="382D31B8">
      <w:r>
        <w:t>1.1</w:t>
      </w:r>
      <w:r>
        <w:tab/>
      </w:r>
      <w:r>
        <w:t xml:space="preserve">The contact details of the Buyer’s Data Protection Officer are: </w:t>
      </w:r>
      <w:r w:rsidR="00B27209">
        <w:t>dataprotection@beis.gov.uk</w:t>
      </w:r>
    </w:p>
    <w:p w:rsidR="00012C76" w:rsidP="00D666C9" w:rsidRDefault="00382483" w14:paraId="2A6FB157" w14:textId="006C8298">
      <w:pPr>
        <w:ind w:left="720" w:hanging="720"/>
      </w:pPr>
      <w:r>
        <w:t>1.2</w:t>
      </w:r>
      <w:r>
        <w:tab/>
      </w:r>
      <w:r>
        <w:t>The contact details of the Supplier’s Data Protection Officer are</w:t>
      </w:r>
      <w:proofErr w:type="gramStart"/>
      <w:r>
        <w:t xml:space="preserve">: </w:t>
      </w:r>
      <w:r w:rsidR="00E6150D">
        <w:t xml:space="preserve"> </w:t>
      </w:r>
      <w:r w:rsidRPr="002D6BCB" w:rsidR="002D6BCB">
        <w:t>[</w:t>
      </w:r>
      <w:proofErr w:type="gramEnd"/>
      <w:r w:rsidRPr="002D6BCB" w:rsidR="002D6BCB">
        <w:rPr>
          <w:b/>
          <w:bCs/>
        </w:rPr>
        <w:t>redacted</w:t>
      </w:r>
      <w:r w:rsidRPr="002D6BCB" w:rsidR="002D6BCB">
        <w:t>]</w:t>
      </w:r>
    </w:p>
    <w:p w:rsidR="00012C76" w:rsidRDefault="00382483" w14:paraId="19F3225C" w14:textId="77777777">
      <w:pPr>
        <w:ind w:left="720" w:hanging="720"/>
      </w:pPr>
      <w:r>
        <w:t>1.3</w:t>
      </w:r>
      <w:r>
        <w:tab/>
      </w:r>
      <w:r>
        <w:t>The Processor shall comply with any further written instructions with respect to Processing by the Controller.</w:t>
      </w:r>
    </w:p>
    <w:p w:rsidR="00012C76" w:rsidRDefault="00382483" w14:paraId="1F79EF67" w14:textId="77777777">
      <w:r>
        <w:t>1.4</w:t>
      </w:r>
      <w:r>
        <w:tab/>
      </w:r>
      <w:r>
        <w:t>Any such further instructions shall be incorporated into this Annex.</w:t>
      </w:r>
    </w:p>
    <w:p w:rsidR="00012C76" w:rsidRDefault="00012C76" w14:paraId="23E1FCF0" w14:textId="77777777"/>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12C76" w14:paraId="2F766422" w14:textId="77777777">
        <w:tc>
          <w:tcPr>
            <w:tcW w:w="409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FB157B5" w14:textId="77777777">
            <w:pPr>
              <w:spacing w:before="240" w:after="240" w:line="240" w:lineRule="auto"/>
              <w:jc w:val="center"/>
            </w:pPr>
            <w:r>
              <w:rPr>
                <w:b/>
              </w:rPr>
              <w:t>Descriptions</w:t>
            </w:r>
          </w:p>
        </w:tc>
        <w:tc>
          <w:tcPr>
            <w:tcW w:w="49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417E9066" w14:textId="77777777">
            <w:pPr>
              <w:spacing w:before="240" w:after="240"/>
              <w:jc w:val="center"/>
            </w:pPr>
            <w:r>
              <w:rPr>
                <w:b/>
              </w:rPr>
              <w:t>Details</w:t>
            </w:r>
          </w:p>
        </w:tc>
      </w:tr>
      <w:tr w:rsidR="00012C76" w14:paraId="2F9F23D7" w14:textId="77777777">
        <w:tc>
          <w:tcPr>
            <w:tcW w:w="409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BEC4657" w14:textId="77777777">
            <w:pPr>
              <w:spacing w:line="240" w:lineRule="auto"/>
            </w:pPr>
            <w:r>
              <w:t>Identity of Controller for each Category of Personal Data</w:t>
            </w:r>
          </w:p>
        </w:tc>
        <w:tc>
          <w:tcPr>
            <w:tcW w:w="49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2535736" w14:textId="77777777">
            <w:pPr>
              <w:spacing w:line="240" w:lineRule="auto"/>
              <w:rPr>
                <w:b/>
              </w:rPr>
            </w:pPr>
            <w:r>
              <w:rPr>
                <w:b/>
              </w:rPr>
              <w:t>The Buyer is Controller and the Supplier is Processor</w:t>
            </w:r>
          </w:p>
          <w:p w:rsidR="00012C76" w:rsidRDefault="00012C76" w14:paraId="3245AA21" w14:textId="77777777">
            <w:pPr>
              <w:spacing w:line="240" w:lineRule="auto"/>
              <w:rPr>
                <w:b/>
              </w:rPr>
            </w:pPr>
          </w:p>
          <w:p w:rsidR="00012C76" w:rsidRDefault="00382483" w14:paraId="359C82F7" w14:textId="77777777">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012C76" w:rsidRDefault="00012C76" w14:paraId="50590270" w14:textId="77777777">
            <w:pPr>
              <w:spacing w:line="240" w:lineRule="auto"/>
            </w:pPr>
          </w:p>
          <w:p w:rsidR="00012C76" w:rsidRDefault="002D6BCB" w14:paraId="288C3357" w14:textId="5DDAAC14">
            <w:pPr>
              <w:spacing w:line="240" w:lineRule="auto"/>
            </w:pPr>
            <w:r w:rsidRPr="002D6BCB">
              <w:t>[</w:t>
            </w:r>
            <w:r w:rsidRPr="002D6BCB">
              <w:rPr>
                <w:b/>
                <w:bCs/>
              </w:rPr>
              <w:t>redacted</w:t>
            </w:r>
            <w:r w:rsidRPr="002D6BCB">
              <w:t>]</w:t>
            </w:r>
          </w:p>
          <w:p w:rsidR="00012C76" w:rsidRDefault="00012C76" w14:paraId="259A6847" w14:textId="77777777">
            <w:pPr>
              <w:spacing w:line="240" w:lineRule="auto"/>
            </w:pPr>
          </w:p>
        </w:tc>
      </w:tr>
      <w:tr w:rsidR="00012C76" w14:paraId="5FC4DC51" w14:textId="77777777">
        <w:tc>
          <w:tcPr>
            <w:tcW w:w="409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072EC3DA" w14:textId="77777777">
            <w:pPr>
              <w:spacing w:line="240" w:lineRule="auto"/>
            </w:pPr>
            <w:r>
              <w:t>Duration of the Processing</w:t>
            </w:r>
          </w:p>
        </w:tc>
        <w:tc>
          <w:tcPr>
            <w:tcW w:w="49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B05AF9" w14:paraId="281C4662" w14:textId="7F6626BA">
            <w:pPr>
              <w:spacing w:line="240" w:lineRule="auto"/>
            </w:pPr>
            <w:r w:rsidRPr="00B05AF9">
              <w:t xml:space="preserve">The contract for Long Arm lasts </w:t>
            </w:r>
            <w:r w:rsidR="00FE7E09">
              <w:t>24</w:t>
            </w:r>
            <w:r>
              <w:t xml:space="preserve"> months</w:t>
            </w:r>
            <w:r w:rsidR="00F84247">
              <w:t xml:space="preserve"> including </w:t>
            </w:r>
            <w:proofErr w:type="gramStart"/>
            <w:r w:rsidR="00F84247">
              <w:t>12 month</w:t>
            </w:r>
            <w:proofErr w:type="gramEnd"/>
            <w:r w:rsidR="00F84247">
              <w:t xml:space="preserve"> option</w:t>
            </w:r>
            <w:r w:rsidRPr="00B05AF9">
              <w:t xml:space="preserve"> to extend as per the terms of this agreement. Processing can only take place during this contract term.</w:t>
            </w:r>
          </w:p>
        </w:tc>
      </w:tr>
      <w:tr w:rsidR="00012C76" w14:paraId="671B6CD4" w14:textId="77777777">
        <w:tc>
          <w:tcPr>
            <w:tcW w:w="409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1E44EA8A" w14:textId="77777777">
            <w:pPr>
              <w:spacing w:line="240" w:lineRule="auto"/>
            </w:pPr>
            <w:r>
              <w:t>Nature and purposes of the Processing</w:t>
            </w:r>
          </w:p>
        </w:tc>
        <w:tc>
          <w:tcPr>
            <w:tcW w:w="49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D666C9" w:rsidR="00012C76" w:rsidP="002D6BCB" w:rsidRDefault="002D6BCB" w14:paraId="5EC92EF6" w14:textId="4BA9FBDB">
            <w:pPr>
              <w:spacing w:line="240" w:lineRule="auto"/>
              <w:rPr>
                <w:highlight w:val="yellow"/>
              </w:rPr>
            </w:pPr>
            <w:r w:rsidRPr="002D6BCB">
              <w:t>[</w:t>
            </w:r>
            <w:r w:rsidRPr="002D6BCB">
              <w:rPr>
                <w:b/>
                <w:bCs/>
              </w:rPr>
              <w:t>redacted</w:t>
            </w:r>
            <w:r w:rsidRPr="002D6BCB">
              <w:t>]</w:t>
            </w:r>
          </w:p>
        </w:tc>
      </w:tr>
      <w:tr w:rsidR="00012C76" w14:paraId="3539349F" w14:textId="77777777">
        <w:tc>
          <w:tcPr>
            <w:tcW w:w="409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222AFC93" w14:textId="77777777">
            <w:pPr>
              <w:spacing w:line="240" w:lineRule="auto"/>
            </w:pPr>
            <w:r>
              <w:t>Type of Personal Data</w:t>
            </w:r>
          </w:p>
        </w:tc>
        <w:tc>
          <w:tcPr>
            <w:tcW w:w="49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D666C9" w:rsidR="00012C76" w:rsidRDefault="002D6BCB" w14:paraId="66285B08" w14:textId="6D47B352">
            <w:pPr>
              <w:spacing w:line="240" w:lineRule="auto"/>
              <w:rPr>
                <w:highlight w:val="yellow"/>
              </w:rPr>
            </w:pPr>
            <w:r w:rsidRPr="002D6BCB">
              <w:t>[</w:t>
            </w:r>
            <w:r w:rsidRPr="002D6BCB">
              <w:rPr>
                <w:b/>
                <w:bCs/>
              </w:rPr>
              <w:t>redacted</w:t>
            </w:r>
            <w:r w:rsidRPr="002D6BCB">
              <w:t>]</w:t>
            </w:r>
          </w:p>
        </w:tc>
      </w:tr>
      <w:tr w:rsidR="00012C76" w14:paraId="175D01BA" w14:textId="77777777">
        <w:tc>
          <w:tcPr>
            <w:tcW w:w="409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EA4951F" w14:textId="77777777">
            <w:pPr>
              <w:spacing w:line="240" w:lineRule="auto"/>
            </w:pPr>
            <w:r>
              <w:t>Categories of Data Subject</w:t>
            </w:r>
          </w:p>
        </w:tc>
        <w:tc>
          <w:tcPr>
            <w:tcW w:w="49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D666C9" w:rsidR="00012C76" w:rsidRDefault="002D6BCB" w14:paraId="3AF9AC8A" w14:textId="7A9A3566">
            <w:pPr>
              <w:spacing w:line="240" w:lineRule="auto"/>
              <w:rPr>
                <w:highlight w:val="yellow"/>
              </w:rPr>
            </w:pPr>
            <w:r w:rsidRPr="002D6BCB">
              <w:t>[</w:t>
            </w:r>
            <w:r w:rsidRPr="002D6BCB">
              <w:rPr>
                <w:b/>
                <w:bCs/>
              </w:rPr>
              <w:t>redacted</w:t>
            </w:r>
            <w:r w:rsidRPr="002D6BCB">
              <w:t>]</w:t>
            </w:r>
          </w:p>
        </w:tc>
      </w:tr>
      <w:tr w:rsidR="00012C76" w14:paraId="05627162" w14:textId="77777777">
        <w:tc>
          <w:tcPr>
            <w:tcW w:w="409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12C76" w:rsidRDefault="00382483" w14:paraId="6617FD02" w14:textId="77777777">
            <w:pPr>
              <w:spacing w:line="240" w:lineRule="auto"/>
            </w:pPr>
            <w:r>
              <w:t>Plan for return and destruction of the data once the Processing is complete UNLESS requirement under Union or Member State law to preserve that type of data</w:t>
            </w:r>
          </w:p>
        </w:tc>
        <w:tc>
          <w:tcPr>
            <w:tcW w:w="49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D666C9" w:rsidR="00012C76" w:rsidRDefault="002D6BCB" w14:paraId="415217A8" w14:textId="4C906CEF">
            <w:pPr>
              <w:spacing w:line="240" w:lineRule="auto"/>
              <w:rPr>
                <w:highlight w:val="yellow"/>
              </w:rPr>
            </w:pPr>
            <w:r w:rsidRPr="002D6BCB">
              <w:t>[</w:t>
            </w:r>
            <w:r w:rsidRPr="002D6BCB">
              <w:rPr>
                <w:b/>
                <w:bCs/>
              </w:rPr>
              <w:t>redacted</w:t>
            </w:r>
            <w:r w:rsidRPr="002D6BCB">
              <w:t>]</w:t>
            </w:r>
          </w:p>
        </w:tc>
      </w:tr>
    </w:tbl>
    <w:p w:rsidR="00012C76" w:rsidRDefault="00012C76" w14:paraId="2CA47EEA" w14:textId="77777777">
      <w:pPr>
        <w:pStyle w:val="Heading3"/>
        <w:rPr>
          <w:color w:val="auto"/>
        </w:rPr>
      </w:pPr>
    </w:p>
    <w:sectPr w:rsidR="00012C76">
      <w:footerReference w:type="default" r:id="rId30"/>
      <w:pgSz w:w="11909" w:h="16834" w:orient="portrait"/>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0A9A" w:rsidRDefault="00820A9A" w14:paraId="1F1CD7F4" w14:textId="77777777">
      <w:pPr>
        <w:spacing w:line="240" w:lineRule="auto"/>
      </w:pPr>
      <w:r>
        <w:separator/>
      </w:r>
    </w:p>
  </w:endnote>
  <w:endnote w:type="continuationSeparator" w:id="0">
    <w:p w:rsidR="00820A9A" w:rsidRDefault="00820A9A" w14:paraId="6CED7963" w14:textId="77777777">
      <w:pPr>
        <w:spacing w:line="240" w:lineRule="auto"/>
      </w:pPr>
      <w:r>
        <w:continuationSeparator/>
      </w:r>
    </w:p>
  </w:endnote>
  <w:endnote w:type="continuationNotice" w:id="1">
    <w:p w:rsidR="00820A9A" w:rsidRDefault="00820A9A" w14:paraId="34B76E1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Liberation Sans">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8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46C79" w:rsidRDefault="00446C79" w14:paraId="20740736" w14:textId="77777777">
    <w:pPr>
      <w:pStyle w:val="Footer"/>
      <w:ind w:right="360"/>
    </w:pPr>
    <w:r>
      <w:rPr>
        <w:noProof/>
      </w:rPr>
      <mc:AlternateContent>
        <mc:Choice Requires="wps">
          <w:drawing>
            <wp:anchor distT="0" distB="0" distL="114300" distR="114300" simplePos="0" relativeHeight="251658240" behindDoc="0" locked="0" layoutInCell="1" allowOverlap="1" wp14:anchorId="5D309590" wp14:editId="2BE691C7">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446C79" w:rsidRDefault="00446C79" w14:paraId="47733850"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xbxContent>
                    </wps:txbx>
                    <wps:bodyPr wrap="none" lIns="0" tIns="0" rIns="0" bIns="0" compatLnSpc="0">
                      <a:spAutoFit/>
                    </wps:bodyPr>
                  </wps:wsp>
                </a:graphicData>
              </a:graphic>
            </wp:anchor>
          </w:drawing>
        </mc:Choice>
        <mc:Fallback>
          <w:pict w14:anchorId="347B1610">
            <v:shapetype id="_x0000_t202" coordsize="21600,21600" o:spt="202" path="m,l,21600r21600,l21600,xe" w14:anchorId="5D309590">
              <v:stroke joinstyle="miter"/>
              <v:path gradientshapeok="t" o:connecttype="rect"/>
            </v:shapetype>
            <v:shape id="Frame1"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">
              <v:textbox style="mso-fit-shape-to-text:t" inset="0,0,0,0">
                <w:txbxContent>
                  <w:p w:rsidR="00446C79" w:rsidRDefault="00446C79" w14:paraId="784534C2"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0A9A" w:rsidRDefault="00820A9A" w14:paraId="71E6DE02" w14:textId="77777777">
      <w:pPr>
        <w:spacing w:line="240" w:lineRule="auto"/>
      </w:pPr>
      <w:r>
        <w:rPr>
          <w:color w:val="000000"/>
        </w:rPr>
        <w:separator/>
      </w:r>
    </w:p>
  </w:footnote>
  <w:footnote w:type="continuationSeparator" w:id="0">
    <w:p w:rsidR="00820A9A" w:rsidRDefault="00820A9A" w14:paraId="69D66D73" w14:textId="77777777">
      <w:pPr>
        <w:spacing w:line="240" w:lineRule="auto"/>
      </w:pPr>
      <w:r>
        <w:continuationSeparator/>
      </w:r>
    </w:p>
  </w:footnote>
  <w:footnote w:type="continuationNotice" w:id="1">
    <w:p w:rsidR="00820A9A" w:rsidRDefault="00820A9A" w14:paraId="2815C8C9"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43C"/>
    <w:multiLevelType w:val="hybridMultilevel"/>
    <w:tmpl w:val="61AC9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CD2B7D"/>
    <w:multiLevelType w:val="multilevel"/>
    <w:tmpl w:val="254E84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AC602A7"/>
    <w:multiLevelType w:val="multilevel"/>
    <w:tmpl w:val="00AC0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B20B01"/>
    <w:multiLevelType w:val="hybridMultilevel"/>
    <w:tmpl w:val="70E8F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B01204"/>
    <w:multiLevelType w:val="hybridMultilevel"/>
    <w:tmpl w:val="5A2E1DC4"/>
    <w:lvl w:ilvl="0" w:tplc="F7FC3B82">
      <w:start w:val="31"/>
      <w:numFmt w:val="bullet"/>
      <w:lvlText w:val=""/>
      <w:lvlJc w:val="left"/>
      <w:pPr>
        <w:ind w:left="420" w:hanging="360"/>
      </w:pPr>
      <w:rPr>
        <w:rFonts w:hint="default" w:ascii="Symbol" w:hAnsi="Symbo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5" w15:restartNumberingAfterBreak="0">
    <w:nsid w:val="10467FC4"/>
    <w:multiLevelType w:val="hybridMultilevel"/>
    <w:tmpl w:val="E580FA4C"/>
    <w:lvl w:ilvl="0" w:tplc="84D2E850">
      <w:start w:val="31"/>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5A2836"/>
    <w:multiLevelType w:val="multilevel"/>
    <w:tmpl w:val="CD5007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401DE6"/>
    <w:multiLevelType w:val="multilevel"/>
    <w:tmpl w:val="75CA4C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49410D"/>
    <w:multiLevelType w:val="multilevel"/>
    <w:tmpl w:val="B6AA4B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5AB7177"/>
    <w:multiLevelType w:val="multilevel"/>
    <w:tmpl w:val="87009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276B11"/>
    <w:multiLevelType w:val="multilevel"/>
    <w:tmpl w:val="5BAE7D2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95607A"/>
    <w:multiLevelType w:val="hybridMultilevel"/>
    <w:tmpl w:val="993AB310"/>
    <w:lvl w:ilvl="0" w:tplc="4192D298">
      <w:start w:val="31"/>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F65E87"/>
    <w:multiLevelType w:val="multilevel"/>
    <w:tmpl w:val="615A3DC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A404BA3"/>
    <w:multiLevelType w:val="multilevel"/>
    <w:tmpl w:val="0194E7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0C607C5"/>
    <w:multiLevelType w:val="multilevel"/>
    <w:tmpl w:val="8556CF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16E4370"/>
    <w:multiLevelType w:val="multilevel"/>
    <w:tmpl w:val="A866CC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298563B"/>
    <w:multiLevelType w:val="multilevel"/>
    <w:tmpl w:val="D6CE4F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5637944"/>
    <w:multiLevelType w:val="multilevel"/>
    <w:tmpl w:val="FBC8E3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5C476FF"/>
    <w:multiLevelType w:val="multilevel"/>
    <w:tmpl w:val="C8DE8D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8F30C59"/>
    <w:multiLevelType w:val="multilevel"/>
    <w:tmpl w:val="DC0C38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D3B4FE9"/>
    <w:multiLevelType w:val="multilevel"/>
    <w:tmpl w:val="E44E02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07103C0"/>
    <w:multiLevelType w:val="multilevel"/>
    <w:tmpl w:val="099888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43EA2BB2"/>
    <w:multiLevelType w:val="multilevel"/>
    <w:tmpl w:val="ED1044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68C2F90"/>
    <w:multiLevelType w:val="multilevel"/>
    <w:tmpl w:val="EDAC9C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210E9E"/>
    <w:multiLevelType w:val="hybridMultilevel"/>
    <w:tmpl w:val="034613A6"/>
    <w:lvl w:ilvl="0" w:tplc="40FEBD2E">
      <w:start w:val="31"/>
      <w:numFmt w:val="bullet"/>
      <w:lvlText w:val=""/>
      <w:lvlJc w:val="left"/>
      <w:pPr>
        <w:ind w:left="780" w:hanging="360"/>
      </w:pPr>
      <w:rPr>
        <w:rFonts w:hint="default" w:ascii="Symbol" w:hAnsi="Symbol" w:eastAsia="Arial" w:cs="Aria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5" w15:restartNumberingAfterBreak="0">
    <w:nsid w:val="4BFA76A6"/>
    <w:multiLevelType w:val="hybridMultilevel"/>
    <w:tmpl w:val="FF7A70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F77174"/>
    <w:multiLevelType w:val="multilevel"/>
    <w:tmpl w:val="9A5653C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01046CC"/>
    <w:multiLevelType w:val="multilevel"/>
    <w:tmpl w:val="642433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07E2933"/>
    <w:multiLevelType w:val="multilevel"/>
    <w:tmpl w:val="A8C4DD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0E34FA1"/>
    <w:multiLevelType w:val="multilevel"/>
    <w:tmpl w:val="0F28DD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7396D25"/>
    <w:multiLevelType w:val="multilevel"/>
    <w:tmpl w:val="05EC9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8160E29"/>
    <w:multiLevelType w:val="multilevel"/>
    <w:tmpl w:val="C94878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8D81AF9"/>
    <w:multiLevelType w:val="multilevel"/>
    <w:tmpl w:val="041016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8FD386B"/>
    <w:multiLevelType w:val="multilevel"/>
    <w:tmpl w:val="228CBD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98F0904"/>
    <w:multiLevelType w:val="multilevel"/>
    <w:tmpl w:val="28161D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AC61DC9"/>
    <w:multiLevelType w:val="multilevel"/>
    <w:tmpl w:val="D9287F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5BC31974"/>
    <w:multiLevelType w:val="hybridMultilevel"/>
    <w:tmpl w:val="56FED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E4E2A62"/>
    <w:multiLevelType w:val="multilevel"/>
    <w:tmpl w:val="674430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46F4B40"/>
    <w:multiLevelType w:val="multilevel"/>
    <w:tmpl w:val="249E336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6B2962B9"/>
    <w:multiLevelType w:val="multilevel"/>
    <w:tmpl w:val="567AE6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3F26579"/>
    <w:multiLevelType w:val="multilevel"/>
    <w:tmpl w:val="2CC6F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3FE1722"/>
    <w:multiLevelType w:val="multilevel"/>
    <w:tmpl w:val="451A55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4D13C69"/>
    <w:multiLevelType w:val="multilevel"/>
    <w:tmpl w:val="A9444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8604CD0"/>
    <w:multiLevelType w:val="hybridMultilevel"/>
    <w:tmpl w:val="192E4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9976D9A"/>
    <w:multiLevelType w:val="multilevel"/>
    <w:tmpl w:val="100050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A032481"/>
    <w:multiLevelType w:val="hybridMultilevel"/>
    <w:tmpl w:val="45C04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BE71F92"/>
    <w:multiLevelType w:val="multilevel"/>
    <w:tmpl w:val="9F0890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7D8E0CD6"/>
    <w:multiLevelType w:val="multilevel"/>
    <w:tmpl w:val="433EED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7"/>
  </w:num>
  <w:num w:numId="2">
    <w:abstractNumId w:val="44"/>
  </w:num>
  <w:num w:numId="3">
    <w:abstractNumId w:val="12"/>
  </w:num>
  <w:num w:numId="4">
    <w:abstractNumId w:val="6"/>
  </w:num>
  <w:num w:numId="5">
    <w:abstractNumId w:val="23"/>
  </w:num>
  <w:num w:numId="6">
    <w:abstractNumId w:val="26"/>
  </w:num>
  <w:num w:numId="7">
    <w:abstractNumId w:val="40"/>
  </w:num>
  <w:num w:numId="8">
    <w:abstractNumId w:val="2"/>
  </w:num>
  <w:num w:numId="9">
    <w:abstractNumId w:val="8"/>
  </w:num>
  <w:num w:numId="10">
    <w:abstractNumId w:val="10"/>
  </w:num>
  <w:num w:numId="11">
    <w:abstractNumId w:val="22"/>
  </w:num>
  <w:num w:numId="12">
    <w:abstractNumId w:val="47"/>
  </w:num>
  <w:num w:numId="13">
    <w:abstractNumId w:val="14"/>
  </w:num>
  <w:num w:numId="14">
    <w:abstractNumId w:val="46"/>
  </w:num>
  <w:num w:numId="15">
    <w:abstractNumId w:val="21"/>
  </w:num>
  <w:num w:numId="16">
    <w:abstractNumId w:val="16"/>
  </w:num>
  <w:num w:numId="17">
    <w:abstractNumId w:val="35"/>
  </w:num>
  <w:num w:numId="18">
    <w:abstractNumId w:val="19"/>
  </w:num>
  <w:num w:numId="19">
    <w:abstractNumId w:val="27"/>
  </w:num>
  <w:num w:numId="20">
    <w:abstractNumId w:val="29"/>
  </w:num>
  <w:num w:numId="21">
    <w:abstractNumId w:val="28"/>
  </w:num>
  <w:num w:numId="22">
    <w:abstractNumId w:val="42"/>
  </w:num>
  <w:num w:numId="23">
    <w:abstractNumId w:val="32"/>
  </w:num>
  <w:num w:numId="24">
    <w:abstractNumId w:val="9"/>
  </w:num>
  <w:num w:numId="25">
    <w:abstractNumId w:val="18"/>
  </w:num>
  <w:num w:numId="26">
    <w:abstractNumId w:val="15"/>
  </w:num>
  <w:num w:numId="27">
    <w:abstractNumId w:val="13"/>
  </w:num>
  <w:num w:numId="28">
    <w:abstractNumId w:val="34"/>
  </w:num>
  <w:num w:numId="29">
    <w:abstractNumId w:val="1"/>
  </w:num>
  <w:num w:numId="30">
    <w:abstractNumId w:val="31"/>
  </w:num>
  <w:num w:numId="31">
    <w:abstractNumId w:val="17"/>
  </w:num>
  <w:num w:numId="32">
    <w:abstractNumId w:val="20"/>
  </w:num>
  <w:num w:numId="33">
    <w:abstractNumId w:val="39"/>
  </w:num>
  <w:num w:numId="34">
    <w:abstractNumId w:val="30"/>
  </w:num>
  <w:num w:numId="35">
    <w:abstractNumId w:val="37"/>
  </w:num>
  <w:num w:numId="36">
    <w:abstractNumId w:val="41"/>
  </w:num>
  <w:num w:numId="37">
    <w:abstractNumId w:val="33"/>
  </w:num>
  <w:num w:numId="38">
    <w:abstractNumId w:val="43"/>
  </w:num>
  <w:num w:numId="39">
    <w:abstractNumId w:val="3"/>
  </w:num>
  <w:num w:numId="40">
    <w:abstractNumId w:val="0"/>
  </w:num>
  <w:num w:numId="41">
    <w:abstractNumId w:val="38"/>
  </w:num>
  <w:num w:numId="42">
    <w:abstractNumId w:val="36"/>
  </w:num>
  <w:num w:numId="43">
    <w:abstractNumId w:val="45"/>
  </w:num>
  <w:num w:numId="44">
    <w:abstractNumId w:val="4"/>
  </w:num>
  <w:num w:numId="45">
    <w:abstractNumId w:val="24"/>
  </w:num>
  <w:num w:numId="46">
    <w:abstractNumId w:val="5"/>
  </w:num>
  <w:num w:numId="47">
    <w:abstractNumId w:val="11"/>
  </w:num>
  <w:num w:numId="48">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6"/>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76"/>
    <w:rsid w:val="00012C76"/>
    <w:rsid w:val="00022864"/>
    <w:rsid w:val="000447F0"/>
    <w:rsid w:val="00056FA2"/>
    <w:rsid w:val="000666BB"/>
    <w:rsid w:val="000D67C9"/>
    <w:rsid w:val="000F40A6"/>
    <w:rsid w:val="00100B7C"/>
    <w:rsid w:val="00101098"/>
    <w:rsid w:val="0012528F"/>
    <w:rsid w:val="00125BE0"/>
    <w:rsid w:val="0014461F"/>
    <w:rsid w:val="00152D43"/>
    <w:rsid w:val="00167409"/>
    <w:rsid w:val="001823CD"/>
    <w:rsid w:val="001D0626"/>
    <w:rsid w:val="00204171"/>
    <w:rsid w:val="0020447B"/>
    <w:rsid w:val="00211A77"/>
    <w:rsid w:val="0021448A"/>
    <w:rsid w:val="002460F1"/>
    <w:rsid w:val="00265944"/>
    <w:rsid w:val="0028374D"/>
    <w:rsid w:val="00286ACB"/>
    <w:rsid w:val="002B7CAB"/>
    <w:rsid w:val="002C40DC"/>
    <w:rsid w:val="002D280A"/>
    <w:rsid w:val="002D6BCB"/>
    <w:rsid w:val="00301D6A"/>
    <w:rsid w:val="00314682"/>
    <w:rsid w:val="003310D5"/>
    <w:rsid w:val="00336DA9"/>
    <w:rsid w:val="00337974"/>
    <w:rsid w:val="003518E8"/>
    <w:rsid w:val="00370CBB"/>
    <w:rsid w:val="00375897"/>
    <w:rsid w:val="00382483"/>
    <w:rsid w:val="00386DC4"/>
    <w:rsid w:val="003930D1"/>
    <w:rsid w:val="003A44EC"/>
    <w:rsid w:val="003A6AAC"/>
    <w:rsid w:val="003C3F22"/>
    <w:rsid w:val="003E6E85"/>
    <w:rsid w:val="00446C79"/>
    <w:rsid w:val="00464973"/>
    <w:rsid w:val="00480956"/>
    <w:rsid w:val="004A4A8C"/>
    <w:rsid w:val="004B631A"/>
    <w:rsid w:val="005208C8"/>
    <w:rsid w:val="00524AB0"/>
    <w:rsid w:val="0055184E"/>
    <w:rsid w:val="005607C1"/>
    <w:rsid w:val="00563E33"/>
    <w:rsid w:val="00571917"/>
    <w:rsid w:val="00594C84"/>
    <w:rsid w:val="005A039A"/>
    <w:rsid w:val="005D2A6E"/>
    <w:rsid w:val="0060192A"/>
    <w:rsid w:val="00633AB7"/>
    <w:rsid w:val="0064205B"/>
    <w:rsid w:val="00651F00"/>
    <w:rsid w:val="0066289A"/>
    <w:rsid w:val="0066405D"/>
    <w:rsid w:val="00673950"/>
    <w:rsid w:val="00680D4C"/>
    <w:rsid w:val="0069607C"/>
    <w:rsid w:val="006D69AF"/>
    <w:rsid w:val="006F4E44"/>
    <w:rsid w:val="00726659"/>
    <w:rsid w:val="0075129F"/>
    <w:rsid w:val="007609E6"/>
    <w:rsid w:val="0078275C"/>
    <w:rsid w:val="0079150C"/>
    <w:rsid w:val="007A6735"/>
    <w:rsid w:val="007B67D3"/>
    <w:rsid w:val="007D7C26"/>
    <w:rsid w:val="007E349E"/>
    <w:rsid w:val="00820A9A"/>
    <w:rsid w:val="008559C8"/>
    <w:rsid w:val="00855B82"/>
    <w:rsid w:val="008667C4"/>
    <w:rsid w:val="008C610B"/>
    <w:rsid w:val="0096482C"/>
    <w:rsid w:val="00995E99"/>
    <w:rsid w:val="00997D1A"/>
    <w:rsid w:val="00A065EA"/>
    <w:rsid w:val="00A1302E"/>
    <w:rsid w:val="00A56EA5"/>
    <w:rsid w:val="00A644CC"/>
    <w:rsid w:val="00A82D88"/>
    <w:rsid w:val="00AD7899"/>
    <w:rsid w:val="00B05AF9"/>
    <w:rsid w:val="00B1538D"/>
    <w:rsid w:val="00B27209"/>
    <w:rsid w:val="00B3630A"/>
    <w:rsid w:val="00B44C7F"/>
    <w:rsid w:val="00B66634"/>
    <w:rsid w:val="00B8483B"/>
    <w:rsid w:val="00B87361"/>
    <w:rsid w:val="00BA2D6B"/>
    <w:rsid w:val="00BB371C"/>
    <w:rsid w:val="00BD66AC"/>
    <w:rsid w:val="00BE3EF6"/>
    <w:rsid w:val="00C0279D"/>
    <w:rsid w:val="00C04681"/>
    <w:rsid w:val="00C0573A"/>
    <w:rsid w:val="00C15E65"/>
    <w:rsid w:val="00C26913"/>
    <w:rsid w:val="00C3065F"/>
    <w:rsid w:val="00C5522C"/>
    <w:rsid w:val="00C61307"/>
    <w:rsid w:val="00C664CB"/>
    <w:rsid w:val="00C84236"/>
    <w:rsid w:val="00CB5139"/>
    <w:rsid w:val="00CC449E"/>
    <w:rsid w:val="00CC60E3"/>
    <w:rsid w:val="00CD5F39"/>
    <w:rsid w:val="00CE4F4D"/>
    <w:rsid w:val="00CF3A99"/>
    <w:rsid w:val="00D061F3"/>
    <w:rsid w:val="00D15367"/>
    <w:rsid w:val="00D22F0C"/>
    <w:rsid w:val="00D666C9"/>
    <w:rsid w:val="00D82B32"/>
    <w:rsid w:val="00D95533"/>
    <w:rsid w:val="00DA1442"/>
    <w:rsid w:val="00DB7C0E"/>
    <w:rsid w:val="00DD03EA"/>
    <w:rsid w:val="00DD58A5"/>
    <w:rsid w:val="00DE1370"/>
    <w:rsid w:val="00DE36D0"/>
    <w:rsid w:val="00E017DF"/>
    <w:rsid w:val="00E2206F"/>
    <w:rsid w:val="00E367C3"/>
    <w:rsid w:val="00E45898"/>
    <w:rsid w:val="00E54DEA"/>
    <w:rsid w:val="00E6087C"/>
    <w:rsid w:val="00E6150D"/>
    <w:rsid w:val="00E66235"/>
    <w:rsid w:val="00E82232"/>
    <w:rsid w:val="00E90393"/>
    <w:rsid w:val="00EB5448"/>
    <w:rsid w:val="00EC5E5D"/>
    <w:rsid w:val="00EC747B"/>
    <w:rsid w:val="00ED26D6"/>
    <w:rsid w:val="00F8262C"/>
    <w:rsid w:val="00F84247"/>
    <w:rsid w:val="00FD6C8A"/>
    <w:rsid w:val="00FE4F54"/>
    <w:rsid w:val="00FE7E09"/>
    <w:rsid w:val="00FF30F2"/>
    <w:rsid w:val="01244940"/>
    <w:rsid w:val="0690DC6A"/>
    <w:rsid w:val="089A11DD"/>
    <w:rsid w:val="0B494228"/>
    <w:rsid w:val="0BDA8614"/>
    <w:rsid w:val="0DBA39B2"/>
    <w:rsid w:val="133DA5C9"/>
    <w:rsid w:val="13DF5F1B"/>
    <w:rsid w:val="2C3BABCE"/>
    <w:rsid w:val="2E514D06"/>
    <w:rsid w:val="308EA5BE"/>
    <w:rsid w:val="31BCE225"/>
    <w:rsid w:val="33DF9EA4"/>
    <w:rsid w:val="368394B6"/>
    <w:rsid w:val="3914B304"/>
    <w:rsid w:val="426876C5"/>
    <w:rsid w:val="596A55F6"/>
    <w:rsid w:val="65F912BE"/>
    <w:rsid w:val="66305CFA"/>
    <w:rsid w:val="689C3A61"/>
    <w:rsid w:val="6E9A2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45D5"/>
  <w15:docId w15:val="{93420416-CDF0-4E2D-807C-D08DEAF2E0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17DF"/>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style>
  <w:style w:type="paragraph" w:styleId="Heading" w:customStyle="1">
    <w:name w:val="Heading"/>
    <w:basedOn w:val="Standard"/>
    <w:next w:val="Textbody"/>
    <w:pPr>
      <w:keepNext/>
      <w:spacing w:before="240" w:after="120"/>
    </w:pPr>
    <w:rPr>
      <w:rFonts w:ascii="Liberation Sans" w:hAnsi="Liberation Sans" w:eastAsia="Arial Unicode MS" w:cs="Tahoma"/>
      <w:sz w:val="28"/>
      <w:szCs w:val="28"/>
    </w:rPr>
  </w:style>
  <w:style w:type="paragraph" w:styleId="Textbody" w:customStyle="1">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hAnsi="Segoe UI" w:eastAsia="Segoe UI" w:cs="Segoe UI"/>
      <w:sz w:val="18"/>
      <w:szCs w:val="18"/>
    </w:rPr>
  </w:style>
  <w:style w:type="paragraph" w:styleId="HeaderandFooter" w:customStyle="1">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aliases w:val="header odd,index,Imp-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hAnsi="Calibri" w:eastAsia="Times New Roman"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eastAsia="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eastAsia="Cambria" w:cs="Cambria"/>
      <w:b/>
      <w:bCs/>
    </w:rPr>
  </w:style>
  <w:style w:type="paragraph" w:styleId="TOC3">
    <w:name w:val="toc 3"/>
    <w:basedOn w:val="Normal"/>
    <w:next w:val="Normal"/>
    <w:autoRedefine/>
    <w:pPr>
      <w:ind w:left="440"/>
    </w:pPr>
    <w:rPr>
      <w:rFonts w:ascii="Cambria" w:hAnsi="Cambria" w:eastAsia="Cambria" w:cs="Cambria"/>
      <w:sz w:val="20"/>
      <w:szCs w:val="20"/>
    </w:rPr>
  </w:style>
  <w:style w:type="paragraph" w:styleId="TOC4">
    <w:name w:val="toc 4"/>
    <w:basedOn w:val="Normal"/>
    <w:next w:val="Normal"/>
    <w:autoRedefine/>
    <w:pPr>
      <w:ind w:left="660"/>
    </w:pPr>
    <w:rPr>
      <w:rFonts w:ascii="Cambria" w:hAnsi="Cambria" w:eastAsia="Cambria" w:cs="Cambria"/>
      <w:sz w:val="20"/>
      <w:szCs w:val="20"/>
    </w:rPr>
  </w:style>
  <w:style w:type="paragraph" w:styleId="TOC5">
    <w:name w:val="toc 5"/>
    <w:basedOn w:val="Normal"/>
    <w:next w:val="Normal"/>
    <w:autoRedefine/>
    <w:pPr>
      <w:ind w:left="880"/>
    </w:pPr>
    <w:rPr>
      <w:rFonts w:ascii="Cambria" w:hAnsi="Cambria" w:eastAsia="Cambria" w:cs="Cambria"/>
      <w:sz w:val="20"/>
      <w:szCs w:val="20"/>
    </w:rPr>
  </w:style>
  <w:style w:type="paragraph" w:styleId="TOC6">
    <w:name w:val="toc 6"/>
    <w:basedOn w:val="Normal"/>
    <w:next w:val="Normal"/>
    <w:autoRedefine/>
    <w:pPr>
      <w:ind w:left="1100"/>
    </w:pPr>
    <w:rPr>
      <w:rFonts w:ascii="Cambria" w:hAnsi="Cambria" w:eastAsia="Cambria" w:cs="Cambria"/>
      <w:sz w:val="20"/>
      <w:szCs w:val="20"/>
    </w:rPr>
  </w:style>
  <w:style w:type="paragraph" w:styleId="TOC7">
    <w:name w:val="toc 7"/>
    <w:basedOn w:val="Normal"/>
    <w:next w:val="Normal"/>
    <w:autoRedefine/>
    <w:pPr>
      <w:ind w:left="1320"/>
    </w:pPr>
    <w:rPr>
      <w:rFonts w:ascii="Cambria" w:hAnsi="Cambria" w:eastAsia="Cambria" w:cs="Cambria"/>
      <w:sz w:val="20"/>
      <w:szCs w:val="20"/>
    </w:rPr>
  </w:style>
  <w:style w:type="paragraph" w:styleId="TOC8">
    <w:name w:val="toc 8"/>
    <w:basedOn w:val="Normal"/>
    <w:next w:val="Normal"/>
    <w:autoRedefine/>
    <w:pPr>
      <w:ind w:left="1540"/>
    </w:pPr>
    <w:rPr>
      <w:rFonts w:ascii="Cambria" w:hAnsi="Cambria" w:eastAsia="Cambria" w:cs="Cambria"/>
      <w:sz w:val="20"/>
      <w:szCs w:val="20"/>
    </w:rPr>
  </w:style>
  <w:style w:type="paragraph" w:styleId="TOC9">
    <w:name w:val="toc 9"/>
    <w:basedOn w:val="Normal"/>
    <w:next w:val="Normal"/>
    <w:autoRedefine/>
    <w:pPr>
      <w:ind w:left="1760"/>
    </w:pPr>
    <w:rPr>
      <w:rFonts w:ascii="Cambria" w:hAnsi="Cambria" w:eastAsia="Cambria" w:cs="Cambria"/>
      <w:sz w:val="20"/>
      <w:szCs w:val="20"/>
    </w:rPr>
  </w:style>
  <w:style w:type="paragraph" w:styleId="NormalWeb">
    <w:name w:val="Normal (Web)"/>
    <w:basedOn w:val="Normal"/>
    <w:pPr>
      <w:spacing w:before="100" w:after="100" w:line="240" w:lineRule="auto"/>
    </w:pPr>
    <w:rPr>
      <w:rFonts w:ascii="Times New Roman" w:hAnsi="Times New Roman" w:eastAsia="Times New Roman" w:cs="Times New Roman"/>
      <w:sz w:val="24"/>
      <w:szCs w:val="24"/>
      <w:lang w:eastAsia="en-US"/>
    </w:rPr>
  </w:style>
  <w:style w:type="paragraph" w:styleId="Framecontents" w:customStyle="1">
    <w:name w:val="Frame contents"/>
    <w:basedOn w:val="Standard"/>
  </w:style>
  <w:style w:type="paragraph" w:styleId="TableContents" w:customStyle="1">
    <w:name w:val="Table Contents"/>
    <w:basedOn w:val="Standard"/>
    <w:pPr>
      <w:suppressLineNumbers/>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hAnsi="Segoe UI" w:eastAsia="Segoe UI" w:cs="Segoe UI"/>
      <w:sz w:val="18"/>
      <w:szCs w:val="18"/>
    </w:rPr>
  </w:style>
  <w:style w:type="character" w:styleId="FooterChar" w:customStyle="1">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styleId="UnresolvedMention1" w:customStyle="1">
    <w:name w:val="Unresolved Mention1"/>
    <w:basedOn w:val="DefaultParagraphFont"/>
    <w:rPr>
      <w:color w:val="605E5C"/>
      <w:shd w:val="clear" w:color="auto" w:fill="E1DFDD"/>
    </w:rPr>
  </w:style>
  <w:style w:type="character" w:styleId="CommentSubjectChar" w:customStyle="1">
    <w:name w:val="Comment Subject Char"/>
    <w:basedOn w:val="CommentTextChar"/>
    <w:rPr>
      <w:b/>
      <w:bCs/>
      <w:sz w:val="20"/>
      <w:szCs w:val="20"/>
    </w:rPr>
  </w:style>
  <w:style w:type="character" w:styleId="HeaderChar" w:customStyle="1">
    <w:name w:val="Header Char"/>
    <w:aliases w:val="header odd Char,index Char,Imp-Header Char"/>
    <w:basedOn w:val="DefaultParagraphFont"/>
  </w:style>
  <w:style w:type="character" w:styleId="Internetlink" w:customStyle="1">
    <w:name w:val="Internet link"/>
    <w:rPr>
      <w:color w:val="000080"/>
      <w:u w:val="single"/>
    </w:rPr>
  </w:style>
  <w:style w:type="paragraph" w:styleId="Default" w:customStyle="1">
    <w:name w:val="Default"/>
    <w:rsid w:val="00B1538D"/>
    <w:pPr>
      <w:autoSpaceDE w:val="0"/>
      <w:adjustRightInd w:val="0"/>
      <w:spacing w:line="240" w:lineRule="auto"/>
      <w:textAlignment w:val="auto"/>
    </w:pPr>
    <w:rPr>
      <w:color w:val="000000"/>
      <w:sz w:val="24"/>
      <w:szCs w:val="24"/>
    </w:rPr>
  </w:style>
  <w:style w:type="table" w:styleId="TableGrid">
    <w:name w:val="Table Grid"/>
    <w:basedOn w:val="TableNormal"/>
    <w:uiPriority w:val="39"/>
    <w:rsid w:val="008667C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932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security-policy-framework" TargetMode="External" Id="rId13" /><Relationship Type="http://schemas.openxmlformats.org/officeDocument/2006/relationships/hyperlink" Target="https://www.ncsc.gov.uk/collection/risk-management-collection" TargetMode="External" Id="rId18" /><Relationship Type="http://schemas.openxmlformats.org/officeDocument/2006/relationships/hyperlink" Target="https://www.digitalmarketplace.service.gov.uk/" TargetMode="External" Id="rId26" /><Relationship Type="http://schemas.openxmlformats.org/officeDocument/2006/relationships/customXml" Target="../customXml/item3.xml" Id="rId3" /><Relationship Type="http://schemas.openxmlformats.org/officeDocument/2006/relationships/hyperlink" Target="https://www.ncsc.gov.uk/guidance/implementing-cloud-security-principles"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cpni.gov.uk/protection-sensitive-information-and-assets" TargetMode="External" Id="rId17" /><Relationship Type="http://schemas.openxmlformats.org/officeDocument/2006/relationships/hyperlink" Target="https://www.ncsc.gov.uk/guidance/10-steps-cyber-security" TargetMode="External" Id="rId25" /><Relationship Type="http://schemas.openxmlformats.org/officeDocument/2006/relationships/customXml" Target="../customXml/item2.xml" Id="rId2" /><Relationship Type="http://schemas.openxmlformats.org/officeDocument/2006/relationships/hyperlink" Target="https://www.cpni.gov.uk/protection-sensitive-information-and-assets" TargetMode="External" Id="rId16" /><Relationship Type="http://schemas.openxmlformats.org/officeDocument/2006/relationships/hyperlink" Target="https://www.ncsc.gov.uk/guidance/implementing-cloud-security-principles" TargetMode="External" Id="rId20" /><Relationship Type="http://schemas.openxmlformats.org/officeDocument/2006/relationships/hyperlink" Target="https://www.gov.uk/service-manual/agile-delivery/spend-controls-check-if-you-need-approval-to-spend-money-on-a-service"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ncsc.gov.uk/guidance/10-steps-cyber-security"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cpni.gov.uk/content/adopt-risk-management-approach" TargetMode="External" Id="rId15" /><Relationship Type="http://schemas.openxmlformats.org/officeDocument/2006/relationships/hyperlink" Target="https://www.gov.uk/government/publications/technology-code-of-practice/technology-code-of-practice" TargetMode="External" Id="rId23" /><Relationship Type="http://schemas.openxmlformats.org/officeDocument/2006/relationships/hyperlink" Target="https://www.gov.uk/service-manual/agile-delivery/spend-controls-check-if-you-need-approval-to-spend-money-on-a-service" TargetMode="External" Id="rId28" /><Relationship Type="http://schemas.openxmlformats.org/officeDocument/2006/relationships/footnotes" Target="footnotes.xml" Id="rId10" /><Relationship Type="http://schemas.openxmlformats.org/officeDocument/2006/relationships/hyperlink" Target="https://www.gov.uk/government/publications/technology-code-of-practice/technology-code-of-practice"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security-policy-framework" TargetMode="External" Id="rId14" /><Relationship Type="http://schemas.openxmlformats.org/officeDocument/2006/relationships/hyperlink" Target="https://www.gov.uk/government/publications/technology-code-of-practice/technology-code-of-practice" TargetMode="External" Id="rId22" /><Relationship Type="http://schemas.openxmlformats.org/officeDocument/2006/relationships/hyperlink" Target="https://www.gov.uk/guidance/check-employment-status-for-tax" TargetMode="External" Id="rId27" /><Relationship Type="http://schemas.openxmlformats.org/officeDocument/2006/relationships/footer" Target="footer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2021-11-18T17:00:05+00:00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_dlc_DocId xmlns="0063f72e-ace3-48fb-9c1f-5b513408b31f">2QFN7KK647Q6-1508220509-65558</_dlc_DocId>
    <_dlc_DocIdUrl xmlns="0063f72e-ace3-48fb-9c1f-5b513408b31f">
      <Url>https://beisgov.sharepoint.com/sites/beis/205/_layouts/15/DocIdRedir.aspx?ID=2QFN7KK647Q6-1508220509-65558</Url>
      <Description>2QFN7KK647Q6-1508220509-65558</Description>
    </_dlc_DocIdUrl>
    <SharedWithUsers xmlns="0063f72e-ace3-48fb-9c1f-5b513408b31f">
      <UserInfo>
        <DisplayName>Hughes, Danny (BEIS)</DisplayName>
        <AccountId>207929</AccountId>
        <AccountType/>
      </UserInfo>
      <UserInfo>
        <DisplayName>Kearney, Catherine (BEIS)</DisplayName>
        <AccountId>204218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6AC0A-CCA1-42AA-AB36-0722B485782C}">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236339c9-72aa-4b4d-b629-41cb8f8725a3"/>
    <ds:schemaRef ds:uri="http://schemas.microsoft.com/sharepoint/v4"/>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2B8A7338-AFA0-496E-8D58-F8C3572DE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529AD-333D-4DE5-A351-F906270B2CB8}">
  <ds:schemaRefs>
    <ds:schemaRef ds:uri="http://schemas.microsoft.com/sharepoint/events"/>
  </ds:schemaRefs>
</ds:datastoreItem>
</file>

<file path=customXml/itemProps4.xml><?xml version="1.0" encoding="utf-8"?>
<ds:datastoreItem xmlns:ds="http://schemas.openxmlformats.org/officeDocument/2006/customXml" ds:itemID="{D1153BBB-40F8-49C3-B7B2-E8E40604AEE1}">
  <ds:schemaRefs>
    <ds:schemaRef ds:uri="http://schemas.openxmlformats.org/officeDocument/2006/bibliography"/>
  </ds:schemaRefs>
</ds:datastoreItem>
</file>

<file path=customXml/itemProps5.xml><?xml version="1.0" encoding="utf-8"?>
<ds:datastoreItem xmlns:ds="http://schemas.openxmlformats.org/officeDocument/2006/customXml" ds:itemID="{0635EB9C-9B27-4921-8F67-81C5DF4082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Wisby, Felix (Commercial)</cp:lastModifiedBy>
  <cp:revision>5</cp:revision>
  <cp:lastPrinted>2020-06-10T10:41:00Z</cp:lastPrinted>
  <dcterms:created xsi:type="dcterms:W3CDTF">2021-12-06T16:44:00Z</dcterms:created>
  <dcterms:modified xsi:type="dcterms:W3CDTF">2021-12-15T10:00:17Z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0x01010027B6D0DFEE2B924BB3DA44ADB5FFCB77</vt:lpwstr>
  </property>
  <property fmtid="{D5CDD505-2E9C-101B-9397-08002B2CF9AE}" pid="3" name="_dlc_DocIdItemGuid">
    <vt:lpwstr>9f75f591-7fb9-4a90-b5bd-fc73561cbfe2</vt:lpwstr>
  </property>
  <property fmtid="{D5CDD505-2E9C-101B-9397-08002B2CF9AE}" pid="4" name="Business Unit">
    <vt:lpwstr>222;#Commercial Directors Office|238fa97d-f15c-4150-b026-dc0dcc757911</vt:lpwstr>
  </property>
  <property fmtid="{D5CDD505-2E9C-101B-9397-08002B2CF9AE}" pid="5" name="MSIP_Label_ba62f585-b40f-4ab9-bafe-39150f03d124_Enabled">
    <vt:lpwstr>true</vt:lpwstr>
  </property>
  <property fmtid="{D5CDD505-2E9C-101B-9397-08002B2CF9AE}" pid="6" name="MSIP_Label_ba62f585-b40f-4ab9-bafe-39150f03d124_SetDate">
    <vt:lpwstr>2021-11-19T08:09:09Z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4a52ca1d-a2be-4bb1-aee9-705628c957d5</vt:lpwstr>
  </property>
  <property fmtid="{D5CDD505-2E9C-101B-9397-08002B2CF9AE}" pid="11" name="MSIP_Label_ba62f585-b40f-4ab9-bafe-39150f03d124_ContentBits">
    <vt:lpwstr>0</vt:lpwstr>
  </property>
</Properties>
</file>