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68" w:rsidRPr="00A405FD" w:rsidRDefault="00B55368" w:rsidP="00B55368">
      <w:pPr>
        <w:autoSpaceDE w:val="0"/>
        <w:autoSpaceDN w:val="0"/>
        <w:adjustRightInd w:val="0"/>
        <w:spacing w:after="0" w:line="240" w:lineRule="auto"/>
        <w:jc w:val="both"/>
        <w:rPr>
          <w:rFonts w:ascii="Arial" w:eastAsiaTheme="minorEastAsia" w:hAnsi="Arial" w:cs="Arial"/>
          <w:color w:val="009966"/>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Service Specification No.</w:t>
            </w:r>
          </w:p>
        </w:tc>
        <w:tc>
          <w:tcPr>
            <w:tcW w:w="5811" w:type="dxa"/>
            <w:shd w:val="clear" w:color="auto" w:fill="auto"/>
          </w:tcPr>
          <w:p w:rsidR="00B55368" w:rsidRPr="00A405FD" w:rsidRDefault="00B55368" w:rsidP="00B55368">
            <w:pPr>
              <w:spacing w:after="0"/>
              <w:rPr>
                <w:rFonts w:ascii="Arial" w:hAnsi="Arial" w:cs="Arial"/>
                <w:b/>
                <w:sz w:val="20"/>
                <w:szCs w:val="20"/>
              </w:rPr>
            </w:pP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Service</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Community Ophthalmology Service</w:t>
            </w: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Commissioner Lead</w:t>
            </w:r>
          </w:p>
        </w:tc>
        <w:tc>
          <w:tcPr>
            <w:tcW w:w="5811" w:type="dxa"/>
            <w:shd w:val="clear" w:color="auto" w:fill="auto"/>
          </w:tcPr>
          <w:p w:rsidR="00B55368" w:rsidRPr="00A405FD" w:rsidRDefault="00B55368" w:rsidP="00B55368">
            <w:pPr>
              <w:spacing w:after="0"/>
              <w:rPr>
                <w:rFonts w:ascii="Arial" w:hAnsi="Arial" w:cs="Arial"/>
                <w:b/>
                <w:sz w:val="20"/>
                <w:szCs w:val="20"/>
              </w:rPr>
            </w:pP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Provider Lead</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TBC</w:t>
            </w: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Period</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April 2019 – March 2022 (TBC)</w:t>
            </w: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Date of Review</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Annually</w:t>
            </w:r>
          </w:p>
        </w:tc>
      </w:tr>
    </w:tbl>
    <w:p w:rsidR="00B55368" w:rsidRPr="00A405FD" w:rsidRDefault="00B55368" w:rsidP="00B55368">
      <w:pPr>
        <w:spacing w:after="0"/>
        <w:jc w:val="cente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1"/>
      </w:tblGrid>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1.</w:t>
            </w:r>
            <w:r w:rsidRPr="00A405FD">
              <w:rPr>
                <w:rFonts w:ascii="Arial" w:hAnsi="Arial" w:cs="Arial"/>
                <w:b/>
                <w:color w:val="F79646"/>
                <w:sz w:val="20"/>
                <w:szCs w:val="20"/>
              </w:rPr>
              <w:tab/>
              <w:t>Population Needs</w:t>
            </w:r>
          </w:p>
        </w:tc>
      </w:tr>
      <w:tr w:rsidR="00B55368" w:rsidRPr="00A405FD" w:rsidTr="00BB7408">
        <w:tc>
          <w:tcPr>
            <w:tcW w:w="8991" w:type="dxa"/>
            <w:shd w:val="clear" w:color="auto" w:fill="auto"/>
          </w:tcPr>
          <w:p w:rsidR="00B55368" w:rsidRPr="00A405FD" w:rsidRDefault="00B55368" w:rsidP="00B55368">
            <w:pPr>
              <w:spacing w:after="0"/>
              <w:ind w:left="360"/>
              <w:rPr>
                <w:rFonts w:ascii="Arial" w:hAnsi="Arial" w:cs="Arial"/>
                <w:color w:val="009966"/>
                <w:sz w:val="20"/>
                <w:szCs w:val="20"/>
              </w:rPr>
            </w:pPr>
            <w:r w:rsidRPr="00A405FD">
              <w:rPr>
                <w:rFonts w:ascii="Arial" w:hAnsi="Arial" w:cs="Arial"/>
                <w:color w:val="009966"/>
                <w:sz w:val="20"/>
                <w:szCs w:val="20"/>
              </w:rPr>
              <w:tab/>
            </w:r>
          </w:p>
          <w:p w:rsidR="00B55368" w:rsidRPr="00A405FD" w:rsidRDefault="00B55368" w:rsidP="00B55368">
            <w:pPr>
              <w:numPr>
                <w:ilvl w:val="1"/>
                <w:numId w:val="3"/>
              </w:numPr>
              <w:spacing w:after="0" w:line="240" w:lineRule="auto"/>
              <w:rPr>
                <w:rFonts w:ascii="Arial" w:hAnsi="Arial" w:cs="Arial"/>
                <w:b/>
                <w:color w:val="009966"/>
                <w:sz w:val="20"/>
                <w:szCs w:val="20"/>
              </w:rPr>
            </w:pPr>
            <w:r w:rsidRPr="00A405FD">
              <w:rPr>
                <w:rFonts w:ascii="Arial" w:hAnsi="Arial" w:cs="Arial"/>
                <w:b/>
                <w:color w:val="009966"/>
                <w:sz w:val="20"/>
                <w:szCs w:val="20"/>
              </w:rPr>
              <w:tab/>
              <w:t>National/local context and evidence base</w:t>
            </w:r>
          </w:p>
          <w:p w:rsidR="00B55368" w:rsidRPr="00A405FD" w:rsidRDefault="00B55368" w:rsidP="00B55368">
            <w:pPr>
              <w:spacing w:after="0"/>
              <w:ind w:left="360"/>
              <w:rPr>
                <w:rFonts w:ascii="Arial" w:hAnsi="Arial" w:cs="Arial"/>
                <w:b/>
                <w:color w:val="009966"/>
                <w:sz w:val="20"/>
                <w:szCs w:val="20"/>
              </w:rPr>
            </w:pPr>
          </w:p>
          <w:p w:rsidR="00B55368" w:rsidRPr="00A405FD" w:rsidRDefault="00B55368" w:rsidP="00B55368">
            <w:pPr>
              <w:autoSpaceDE w:val="0"/>
              <w:autoSpaceDN w:val="0"/>
              <w:adjustRightInd w:val="0"/>
              <w:spacing w:after="0"/>
              <w:jc w:val="both"/>
              <w:rPr>
                <w:rFonts w:ascii="Arial" w:eastAsiaTheme="majorEastAsia" w:hAnsi="Arial" w:cs="Arial"/>
                <w:b/>
                <w:bCs/>
                <w:color w:val="365F91" w:themeColor="accent1" w:themeShade="BF"/>
                <w:sz w:val="20"/>
                <w:szCs w:val="20"/>
              </w:rPr>
            </w:pPr>
            <w:r w:rsidRPr="00A405FD">
              <w:rPr>
                <w:rFonts w:ascii="Arial" w:hAnsi="Arial" w:cs="Arial"/>
                <w:sz w:val="20"/>
                <w:szCs w:val="20"/>
              </w:rPr>
              <w:t>Nearly 8 million people are treated each year in Hospital Eye Services. This accounts for 8% of all outpatient appointments across the UK (NHS Digital, 2017). Demand for ophthalmology services is not being met and continues to grow.</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There is an ageing population, with 1 in 5 people aged over 75 and half of people aged over ninety living with sight loss (RNIB, 2018). More than 10% of over-65s have some form of visual impairment (</w:t>
            </w:r>
            <w:proofErr w:type="spellStart"/>
            <w:r w:rsidRPr="00A405FD">
              <w:rPr>
                <w:rFonts w:ascii="Arial" w:hAnsi="Arial" w:cs="Arial"/>
                <w:sz w:val="20"/>
                <w:szCs w:val="20"/>
              </w:rPr>
              <w:t>RCOphth</w:t>
            </w:r>
            <w:proofErr w:type="spellEnd"/>
            <w:r w:rsidRPr="00A405FD">
              <w:rPr>
                <w:rFonts w:ascii="Arial" w:hAnsi="Arial" w:cs="Arial"/>
                <w:sz w:val="20"/>
                <w:szCs w:val="20"/>
              </w:rPr>
              <w:t>, 2016). More than 2 million people have reduced vision in the UK and it is estimated that this figure will double by 2050 (RNIB, 2014).</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There are reported high rates of patients not receiving follow up appointments within the clinically-indicated (safe) time </w:t>
            </w:r>
            <w:r w:rsidR="00E609BE" w:rsidRPr="00A405FD">
              <w:rPr>
                <w:rFonts w:ascii="Arial" w:hAnsi="Arial" w:cs="Arial"/>
                <w:sz w:val="20"/>
                <w:szCs w:val="20"/>
              </w:rPr>
              <w:t>there is potential risk of clinical harm</w:t>
            </w:r>
            <w:r w:rsidRPr="00A405FD">
              <w:rPr>
                <w:rFonts w:ascii="Arial" w:hAnsi="Arial" w:cs="Arial"/>
                <w:sz w:val="20"/>
                <w:szCs w:val="20"/>
              </w:rPr>
              <w:t xml:space="preserve"> due to health service initiated delay (Foot and </w:t>
            </w:r>
            <w:proofErr w:type="spellStart"/>
            <w:r w:rsidRPr="00A405FD">
              <w:rPr>
                <w:rFonts w:ascii="Arial" w:hAnsi="Arial" w:cs="Arial"/>
                <w:sz w:val="20"/>
                <w:szCs w:val="20"/>
              </w:rPr>
              <w:t>MacEwen</w:t>
            </w:r>
            <w:proofErr w:type="spellEnd"/>
            <w:r w:rsidRPr="00A405FD">
              <w:rPr>
                <w:rFonts w:ascii="Arial" w:hAnsi="Arial" w:cs="Arial"/>
                <w:sz w:val="20"/>
                <w:szCs w:val="20"/>
              </w:rPr>
              <w:t>, 2017). These are often vulnerable patients with chronic conditions requiring long-term routine follow-up, such as glaucoma, age related macular degeneration and diabetic retinopathy. The predicted rise in the number of patients with these eye conditions (</w:t>
            </w:r>
            <w:proofErr w:type="spellStart"/>
            <w:r w:rsidRPr="00A405FD">
              <w:rPr>
                <w:rFonts w:ascii="Arial" w:hAnsi="Arial" w:cs="Arial"/>
                <w:sz w:val="20"/>
                <w:szCs w:val="20"/>
              </w:rPr>
              <w:t>RCOphth</w:t>
            </w:r>
            <w:proofErr w:type="spellEnd"/>
            <w:r w:rsidRPr="00A405FD">
              <w:rPr>
                <w:rFonts w:ascii="Arial" w:hAnsi="Arial" w:cs="Arial"/>
                <w:sz w:val="20"/>
                <w:szCs w:val="20"/>
              </w:rPr>
              <w:t xml:space="preserve">, 2017) means that more patients will be at risk of losing their sight, unless action is taken to address current and future capacity issues (Davis </w:t>
            </w:r>
            <w:r w:rsidRPr="00A405FD">
              <w:rPr>
                <w:rFonts w:ascii="Arial" w:hAnsi="Arial" w:cs="Arial"/>
                <w:i/>
                <w:sz w:val="20"/>
                <w:szCs w:val="20"/>
              </w:rPr>
              <w:t>et al</w:t>
            </w:r>
            <w:r w:rsidRPr="00A405FD">
              <w:rPr>
                <w:rFonts w:ascii="Arial" w:hAnsi="Arial" w:cs="Arial"/>
                <w:sz w:val="20"/>
                <w:szCs w:val="20"/>
              </w:rPr>
              <w:t>, 2017).</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The total estimated indirect cost of sight loss (2015) is around £5.5 billion (RNIB Sight Loss Data Tool: ONS 2013, Subnational Population Projections for 2015, 2012-based projections release (Office for National Statistics). These indirect costs are £89 annually per person, compared to the annual average spend per person of £29. Examples of the indirect health implications of sight loss include people with sight loss being twice as likely to have falls (Boyce, 2011). People with sight loss are more likely to suffer from anxiety and depression (Evans </w:t>
            </w:r>
            <w:r w:rsidRPr="00A405FD">
              <w:rPr>
                <w:rFonts w:ascii="Arial" w:hAnsi="Arial" w:cs="Arial"/>
                <w:i/>
                <w:sz w:val="20"/>
                <w:szCs w:val="20"/>
              </w:rPr>
              <w:t>et al</w:t>
            </w:r>
            <w:r w:rsidRPr="00A405FD">
              <w:rPr>
                <w:rFonts w:ascii="Arial" w:hAnsi="Arial" w:cs="Arial"/>
                <w:sz w:val="20"/>
                <w:szCs w:val="20"/>
              </w:rPr>
              <w:t>., 2007) and poor vision commonly precludes meaningful employment for those of working age (</w:t>
            </w:r>
            <w:proofErr w:type="spellStart"/>
            <w:r w:rsidRPr="00A405FD">
              <w:rPr>
                <w:rFonts w:ascii="Arial" w:hAnsi="Arial" w:cs="Arial"/>
                <w:sz w:val="20"/>
                <w:szCs w:val="20"/>
              </w:rPr>
              <w:t>Rahi</w:t>
            </w:r>
            <w:proofErr w:type="spellEnd"/>
            <w:r w:rsidRPr="00A405FD">
              <w:rPr>
                <w:rFonts w:ascii="Arial" w:hAnsi="Arial" w:cs="Arial"/>
                <w:sz w:val="20"/>
                <w:szCs w:val="20"/>
              </w:rPr>
              <w:t xml:space="preserve"> </w:t>
            </w:r>
            <w:r w:rsidRPr="00A405FD">
              <w:rPr>
                <w:rFonts w:ascii="Arial" w:hAnsi="Arial" w:cs="Arial"/>
                <w:i/>
                <w:sz w:val="20"/>
                <w:szCs w:val="20"/>
              </w:rPr>
              <w:t>et al</w:t>
            </w:r>
            <w:r w:rsidRPr="00A405FD">
              <w:rPr>
                <w:rFonts w:ascii="Arial" w:hAnsi="Arial" w:cs="Arial"/>
                <w:sz w:val="20"/>
                <w:szCs w:val="20"/>
              </w:rPr>
              <w:t xml:space="preserve">., 2009). </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This </w:t>
            </w:r>
            <w:r w:rsidRPr="00A405FD">
              <w:rPr>
                <w:rFonts w:ascii="Arial" w:hAnsi="Arial" w:cs="Arial"/>
                <w:color w:val="000000"/>
                <w:sz w:val="20"/>
                <w:szCs w:val="20"/>
              </w:rPr>
              <w:t>High Impact I</w:t>
            </w:r>
            <w:r w:rsidRPr="00A405FD">
              <w:rPr>
                <w:rFonts w:ascii="Arial" w:hAnsi="Arial" w:cs="Arial"/>
                <w:sz w:val="20"/>
                <w:szCs w:val="20"/>
              </w:rPr>
              <w:t>ntervention complements current key policy documents, guidance and recommendations, building on the work of the Royal College of Ophthalmologists and their ‘The Way Forward’ three step plan. It is also supported by NICE guidance and reflects the recommendations of the former National Patient Safety Agency, the RNIB and the Clinical Council for Eye Health Commissioning, in their System and Assurance Framework for Eye-health (SAFE).</w:t>
            </w:r>
          </w:p>
          <w:p w:rsidR="00B55368" w:rsidRPr="00A405FD" w:rsidRDefault="00B55368" w:rsidP="00B55368">
            <w:pPr>
              <w:autoSpaceDE w:val="0"/>
              <w:autoSpaceDN w:val="0"/>
              <w:adjustRightInd w:val="0"/>
              <w:spacing w:after="0"/>
              <w:jc w:val="both"/>
              <w:rPr>
                <w:rFonts w:ascii="Arial" w:eastAsiaTheme="majorEastAsia" w:hAnsi="Arial" w:cs="Arial"/>
                <w:bCs/>
                <w:sz w:val="20"/>
                <w:szCs w:val="20"/>
              </w:rPr>
            </w:pPr>
          </w:p>
          <w:p w:rsidR="00B55368" w:rsidRPr="00A405FD" w:rsidRDefault="00B55368" w:rsidP="00B55368">
            <w:pPr>
              <w:autoSpaceDE w:val="0"/>
              <w:autoSpaceDN w:val="0"/>
              <w:adjustRightInd w:val="0"/>
              <w:spacing w:after="0"/>
              <w:jc w:val="both"/>
              <w:rPr>
                <w:rFonts w:ascii="Arial" w:eastAsiaTheme="majorEastAsia" w:hAnsi="Arial" w:cs="Arial"/>
                <w:bCs/>
                <w:sz w:val="20"/>
                <w:szCs w:val="20"/>
              </w:rPr>
            </w:pPr>
            <w:r w:rsidRPr="00A405FD">
              <w:rPr>
                <w:rFonts w:ascii="Arial" w:eastAsiaTheme="majorEastAsia" w:hAnsi="Arial" w:cs="Arial"/>
                <w:bCs/>
                <w:sz w:val="20"/>
                <w:szCs w:val="20"/>
              </w:rPr>
              <w:t>RNIB believes 50% of visual impairment is avoidable. Greater awareness of eye health, improved sight loss pathways, more timely detection of eye disease and changes to individuals’ lifestyles are some of the factors that can reduce this. Reducing unnecessary sight loss can be more cost effective within local areas while actually helping to maintain good health, wellbeing and independence for individuals through the modification of lifestyle and increased awareness of visual impairment.</w:t>
            </w: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sz w:val="20"/>
                <w:szCs w:val="20"/>
              </w:rPr>
              <w:t>During 2018/19, NHS England have mandated a Ophthalmology High Impact Intervention, to support CCG’s to help manage the growth in referrals to HES, while improving clinical quality and helping to address the capacity gap. This includes failsafe assurance processes, clinical risk and prioritisation audits of existing patients and system wide eye health capacity reviews</w:t>
            </w:r>
            <w:r w:rsidRPr="00A405FD">
              <w:rPr>
                <w:rFonts w:ascii="Arial" w:hAnsi="Arial" w:cs="Arial"/>
                <w:color w:val="000000"/>
                <w:sz w:val="20"/>
                <w:szCs w:val="20"/>
              </w:rPr>
              <w:t xml:space="preserve">. </w:t>
            </w:r>
          </w:p>
          <w:p w:rsidR="00B55368" w:rsidRPr="00A405FD" w:rsidRDefault="00B55368" w:rsidP="00B55368">
            <w:pPr>
              <w:autoSpaceDE w:val="0"/>
              <w:autoSpaceDN w:val="0"/>
              <w:adjustRightInd w:val="0"/>
              <w:spacing w:after="0"/>
              <w:jc w:val="both"/>
              <w:rPr>
                <w:rFonts w:ascii="Arial" w:hAnsi="Arial" w:cs="Arial"/>
                <w:color w:val="000000"/>
                <w:sz w:val="20"/>
                <w:szCs w:val="20"/>
              </w:rPr>
            </w:pP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color w:val="000000"/>
                <w:sz w:val="20"/>
                <w:szCs w:val="20"/>
              </w:rPr>
              <w:t xml:space="preserve">This specification seeks to address the national requirements in the HII, but also goes further to implement future ways of working that will improve the patient experience and help the health economy maintain financial puberty. </w:t>
            </w:r>
          </w:p>
          <w:p w:rsidR="00B55368" w:rsidRPr="00A405FD" w:rsidRDefault="00B55368" w:rsidP="00B55368">
            <w:pPr>
              <w:autoSpaceDE w:val="0"/>
              <w:autoSpaceDN w:val="0"/>
              <w:adjustRightInd w:val="0"/>
              <w:spacing w:after="0"/>
              <w:jc w:val="both"/>
              <w:rPr>
                <w:rFonts w:ascii="Arial" w:hAnsi="Arial" w:cs="Arial"/>
                <w:color w:val="000000"/>
                <w:sz w:val="20"/>
                <w:szCs w:val="20"/>
              </w:rPr>
            </w:pP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The General Ophthalmic Services Review recognised the potential to develop eye care services that were more accessible and more tailored to meet patients’ needs. There is good evidence to suggest that, where appropriate, delivering services in the community rather than in secondary care improves access, reduces demand for HES and can lower outpatient follow up rate. In turn, this reduces recurrent cost across the system particular if it is undertaken below tariff. It also addresses the backlog identified from Action 2 of the HII Ophthalmology audit that places a requirement on Trusts to see all patients with a 25% threshold of any patients agreed treatment plan. </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Whilst this does not address the immediate cost pressures in year, it will do recurrently; given more patients will be treated out of hospital, below national tariff. Fundamentally it will improve patient care and reduce the risk of patients going blind due to increasing backlogs.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Furthermore, in 2017, the Clinical Council for Eye Health Commissioning published a primary eye care framework, recommending a number of care pathways be developed in community settings. These pathways make greater use of the skill of eye care professionals working in both primary and secondary care settings to diagnose and manage a range of eye care conditions.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As the population ages, the incidence and burden of eye disease continues to increase. This is highlighted below:</w:t>
            </w:r>
          </w:p>
          <w:tbl>
            <w:tblPr>
              <w:tblStyle w:val="TableGrid"/>
              <w:tblW w:w="0" w:type="auto"/>
              <w:tblLook w:val="04A0" w:firstRow="1" w:lastRow="0" w:firstColumn="1" w:lastColumn="0" w:noHBand="0" w:noVBand="1"/>
            </w:tblPr>
            <w:tblGrid>
              <w:gridCol w:w="3065"/>
              <w:gridCol w:w="1140"/>
              <w:gridCol w:w="1140"/>
              <w:gridCol w:w="1140"/>
              <w:gridCol w:w="1140"/>
              <w:gridCol w:w="1140"/>
            </w:tblGrid>
            <w:tr w:rsidR="00B55368" w:rsidRPr="00A405FD" w:rsidTr="00BB7408">
              <w:trPr>
                <w:trHeight w:val="289"/>
              </w:trPr>
              <w:tc>
                <w:tcPr>
                  <w:tcW w:w="3848" w:type="dxa"/>
                  <w:shd w:val="clear" w:color="auto" w:fill="C6D9F1" w:themeFill="text2" w:themeFillTint="33"/>
                </w:tcPr>
                <w:p w:rsidR="00B55368" w:rsidRPr="00A405FD" w:rsidRDefault="00B55368" w:rsidP="00B55368">
                  <w:pPr>
                    <w:jc w:val="both"/>
                    <w:rPr>
                      <w:rFonts w:ascii="Arial" w:hAnsi="Arial" w:cs="Arial"/>
                      <w:bCs/>
                      <w:sz w:val="20"/>
                      <w:szCs w:val="20"/>
                    </w:rPr>
                  </w:pPr>
                </w:p>
              </w:tc>
              <w:tc>
                <w:tcPr>
                  <w:tcW w:w="5700" w:type="dxa"/>
                  <w:gridSpan w:val="5"/>
                  <w:shd w:val="clear" w:color="auto" w:fill="C6D9F1" w:themeFill="text2" w:themeFillTint="33"/>
                </w:tcPr>
                <w:p w:rsidR="00B55368" w:rsidRPr="00A405FD" w:rsidRDefault="00B55368" w:rsidP="00B55368">
                  <w:pPr>
                    <w:jc w:val="center"/>
                    <w:rPr>
                      <w:rFonts w:ascii="Arial" w:hAnsi="Arial" w:cs="Arial"/>
                      <w:bCs/>
                      <w:sz w:val="20"/>
                      <w:szCs w:val="20"/>
                    </w:rPr>
                  </w:pPr>
                  <w:r w:rsidRPr="00A405FD">
                    <w:rPr>
                      <w:rFonts w:ascii="Arial" w:eastAsia="Times New Roman" w:hAnsi="Arial" w:cs="Arial"/>
                      <w:b/>
                      <w:color w:val="000000"/>
                      <w:sz w:val="20"/>
                      <w:szCs w:val="20"/>
                      <w:lang w:eastAsia="en-GB"/>
                    </w:rPr>
                    <w:t>Estimated Increase by 2020 (%)</w:t>
                  </w:r>
                </w:p>
              </w:tc>
            </w:tr>
            <w:tr w:rsidR="00B55368" w:rsidRPr="00A405FD" w:rsidTr="00BB7408">
              <w:trPr>
                <w:trHeight w:val="765"/>
              </w:trPr>
              <w:tc>
                <w:tcPr>
                  <w:tcW w:w="3848"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Data Source: RNIB Sight Loss Data Tool Version 3.6. Published January 2018</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Coventry</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Rugby</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Nuneaton and Bedworth</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Warwick</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Stratford-on-Avon</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w:t>
                  </w:r>
                  <w:proofErr w:type="spellStart"/>
                  <w:r w:rsidRPr="00A405FD">
                    <w:rPr>
                      <w:rFonts w:ascii="Arial" w:hAnsi="Arial" w:cs="Arial"/>
                      <w:bCs/>
                      <w:sz w:val="20"/>
                      <w:szCs w:val="20"/>
                    </w:rPr>
                    <w:t>Drusen</w:t>
                  </w:r>
                  <w:proofErr w:type="spellEnd"/>
                  <w:r w:rsidRPr="00A405FD">
                    <w:rPr>
                      <w:rFonts w:ascii="Arial" w:hAnsi="Arial" w:cs="Arial"/>
                      <w:bCs/>
                      <w:sz w:val="20"/>
                      <w:szCs w:val="20"/>
                    </w:rPr>
                    <w:t xml:space="preserve">, an early stage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15%</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late stage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15%</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13%</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late stage wet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21%</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late stage dry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11%</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cataract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9%</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total number of people living with glaucoma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3%</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adults with diabetes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3%</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Number of people living with diabetic retinopathy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r>
          </w:tbl>
          <w:p w:rsidR="00B55368" w:rsidRPr="00A405FD" w:rsidRDefault="00B55368" w:rsidP="00B55368">
            <w:pPr>
              <w:jc w:val="both"/>
              <w:rPr>
                <w:rFonts w:ascii="Arial" w:hAnsi="Arial" w:cs="Arial"/>
                <w:bCs/>
                <w:sz w:val="20"/>
                <w:szCs w:val="20"/>
              </w:rPr>
            </w:pP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Increasing demands on eye health services and the availability of new treatments continue to create acute capacity bottlenecks within HES, especially in relation to age-related macular degeneration (AMD), diabetic eye disease and glaucoma.</w:t>
            </w: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bCs/>
                <w:color w:val="000000"/>
                <w:sz w:val="20"/>
                <w:szCs w:val="20"/>
              </w:rPr>
              <w:t xml:space="preserve">Current changes in health service provision and the ambition to drive up </w:t>
            </w:r>
            <w:proofErr w:type="gramStart"/>
            <w:r w:rsidRPr="00A405FD">
              <w:rPr>
                <w:rFonts w:ascii="Arial" w:hAnsi="Arial" w:cs="Arial"/>
                <w:bCs/>
                <w:color w:val="000000"/>
                <w:sz w:val="20"/>
                <w:szCs w:val="20"/>
              </w:rPr>
              <w:t>quality,</w:t>
            </w:r>
            <w:proofErr w:type="gramEnd"/>
            <w:r w:rsidRPr="00A405FD">
              <w:rPr>
                <w:rFonts w:ascii="Arial" w:hAnsi="Arial" w:cs="Arial"/>
                <w:bCs/>
                <w:color w:val="000000"/>
                <w:sz w:val="20"/>
                <w:szCs w:val="20"/>
              </w:rPr>
              <w:t xml:space="preserve"> improve efficiency and deliver value for money, are such that certain services and specialties require rapid transformation in the delivery of care to help manage the increasing demand, particularly given the gap in skill health professionals. The development of community based </w:t>
            </w:r>
            <w:proofErr w:type="gramStart"/>
            <w:r w:rsidRPr="00A405FD">
              <w:rPr>
                <w:rFonts w:ascii="Arial" w:hAnsi="Arial" w:cs="Arial"/>
                <w:bCs/>
                <w:color w:val="000000"/>
                <w:sz w:val="20"/>
                <w:szCs w:val="20"/>
              </w:rPr>
              <w:t>eye services that includes</w:t>
            </w:r>
            <w:proofErr w:type="gramEnd"/>
            <w:r w:rsidRPr="00A405FD">
              <w:rPr>
                <w:rFonts w:ascii="Arial" w:hAnsi="Arial" w:cs="Arial"/>
                <w:bCs/>
                <w:color w:val="000000"/>
                <w:sz w:val="20"/>
                <w:szCs w:val="20"/>
              </w:rPr>
              <w:t xml:space="preserve"> effective diagnosis and triage would support this and is fully supported by the Department of Health in ‘The Commissioning Toolkit for Community Based Eye Care Services’ (2013). The toolkit supports the development of community based eye services and promotes the benefits to patients with a range of eye conditions who could be safely and appropriately be managed within the community</w:t>
            </w:r>
            <w:r w:rsidRPr="00A405FD">
              <w:rPr>
                <w:rFonts w:ascii="Arial" w:hAnsi="Arial" w:cs="Arial"/>
                <w:bCs/>
                <w:sz w:val="20"/>
                <w:szCs w:val="20"/>
              </w:rPr>
              <w:t xml:space="preserve">.  These include:  glaucoma screening and follow up, primary eye care acute referral schemes, cataract monitoring, age-related macular degeneration injections, and low vision services.  </w:t>
            </w:r>
            <w:r w:rsidRPr="00A405FD">
              <w:rPr>
                <w:rFonts w:ascii="Arial" w:hAnsi="Arial" w:cs="Arial"/>
                <w:bCs/>
                <w:color w:val="000000"/>
                <w:sz w:val="20"/>
                <w:szCs w:val="20"/>
              </w:rPr>
              <w:t>Management of some common childhood vision problems were also identified as care which can occur outside of HES by suitably qualified eye care professionals (e.g. orthoptists).  Shifting of some pathways out of traditional secondary care is also supported by the Royal College of Ophthalmologists, Association of Optometrists and the College of Optometrists.</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color w:val="000000"/>
                <w:sz w:val="20"/>
                <w:szCs w:val="20"/>
              </w:rPr>
              <w:t xml:space="preserve">Drivers for change and the clinical case for change are set out in the ‘Elective Care High Impact Interventions: Ophthalmology Specification’ published by NHS England May 2018. </w:t>
            </w:r>
            <w:r w:rsidRPr="00A405FD">
              <w:rPr>
                <w:rFonts w:ascii="Arial" w:hAnsi="Arial" w:cs="Arial"/>
                <w:sz w:val="20"/>
                <w:szCs w:val="20"/>
              </w:rPr>
              <w:t xml:space="preserve">Transformational objectives have been placed on Ophthalmology during 2018/19 with a view to support long term sustainable, appropriate management of ophthalmic conditions, in the right place, by the right person, at the right time. There is a rising waiting list and declining performance against the Referral to Treatment (RTT) standard nationally. The number of patients referred to hospital varies greatly, even after accounting for factors such as deprivation. The Five Year Forward View Next Steps highlights that some patients are referred to hospital unnecessarily with significant unwarranted variation in referral patterns. This contributes to the continued increase in patients requiring HES. This is exaggerated by the difficult for primary care to diagnose due to the lack of experience, capability and equipment in eye health. </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In addition new patients are often prioritised and analysis of waiting times across ophthalmology pathways shows that this can result in delays for patients who require follow up and increasing backlog lists. For some patients with chronic eye conditions, delays can result in adverse outcomes including visual loss and blindness. The ageing population means that the number of patients with these conditions will continue to increase. A combination of pathway transformation and failsafe approaches informed by this specification will ensure patients are reviewed and treated safely. </w:t>
            </w:r>
          </w:p>
          <w:p w:rsidR="00B55368" w:rsidRPr="00A405FD" w:rsidRDefault="00B55368" w:rsidP="00B55368">
            <w:pPr>
              <w:autoSpaceDE w:val="0"/>
              <w:autoSpaceDN w:val="0"/>
              <w:adjustRightInd w:val="0"/>
              <w:spacing w:after="0"/>
              <w:jc w:val="both"/>
              <w:rPr>
                <w:rFonts w:ascii="Arial" w:hAnsi="Arial" w:cs="Arial"/>
                <w:bCs/>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2.</w:t>
            </w:r>
            <w:r w:rsidRPr="00A405FD">
              <w:rPr>
                <w:rFonts w:ascii="Arial" w:hAnsi="Arial" w:cs="Arial"/>
                <w:b/>
                <w:color w:val="F79646"/>
                <w:sz w:val="20"/>
                <w:szCs w:val="20"/>
              </w:rPr>
              <w:tab/>
              <w:t>Outcomes</w:t>
            </w:r>
          </w:p>
        </w:tc>
      </w:tr>
      <w:tr w:rsidR="00B55368" w:rsidRPr="00A405FD" w:rsidTr="00BB7408">
        <w:tc>
          <w:tcPr>
            <w:tcW w:w="8991" w:type="dxa"/>
            <w:shd w:val="clear" w:color="auto" w:fill="FFFFFF" w:themeFill="background1"/>
          </w:tcPr>
          <w:p w:rsidR="00B55368" w:rsidRPr="00A405FD" w:rsidRDefault="00B55368" w:rsidP="00B55368">
            <w:pPr>
              <w:spacing w:after="0"/>
              <w:rPr>
                <w:rFonts w:ascii="Arial" w:hAnsi="Arial" w:cs="Arial"/>
                <w:b/>
                <w:sz w:val="20"/>
                <w:szCs w:val="20"/>
              </w:rPr>
            </w:pPr>
          </w:p>
          <w:p w:rsidR="00B55368" w:rsidRPr="00A405FD" w:rsidRDefault="00B55368" w:rsidP="00B55368">
            <w:pPr>
              <w:spacing w:after="0"/>
              <w:rPr>
                <w:rFonts w:ascii="Arial" w:hAnsi="Arial" w:cs="Arial"/>
                <w:b/>
                <w:color w:val="00B050"/>
                <w:sz w:val="20"/>
                <w:szCs w:val="20"/>
              </w:rPr>
            </w:pPr>
            <w:r w:rsidRPr="00A405FD">
              <w:rPr>
                <w:rFonts w:ascii="Arial" w:hAnsi="Arial" w:cs="Arial"/>
                <w:b/>
                <w:color w:val="00B050"/>
                <w:sz w:val="20"/>
                <w:szCs w:val="20"/>
              </w:rPr>
              <w:t>2.1</w:t>
            </w:r>
            <w:r w:rsidRPr="00A405FD">
              <w:rPr>
                <w:rFonts w:ascii="Arial" w:hAnsi="Arial" w:cs="Arial"/>
                <w:b/>
                <w:color w:val="00B050"/>
                <w:sz w:val="20"/>
                <w:szCs w:val="20"/>
              </w:rPr>
              <w:tab/>
            </w:r>
            <w:r w:rsidRPr="00A405FD">
              <w:rPr>
                <w:rFonts w:ascii="Arial" w:hAnsi="Arial" w:cs="Arial"/>
                <w:b/>
                <w:color w:val="00B050"/>
                <w:sz w:val="20"/>
                <w:szCs w:val="20"/>
                <w:u w:val="single"/>
              </w:rPr>
              <w:t>NHS Outcomes Framework Domains &amp; Indicators</w:t>
            </w:r>
          </w:p>
          <w:p w:rsidR="00B55368" w:rsidRPr="00A405FD" w:rsidRDefault="00B55368" w:rsidP="00B55368">
            <w:pPr>
              <w:spacing w:after="0"/>
              <w:rPr>
                <w:rFonts w:ascii="Arial" w:hAnsi="Arial" w:cs="Arial"/>
                <w:b/>
                <w:color w:val="00B050"/>
                <w:sz w:val="20"/>
                <w:szCs w:val="20"/>
              </w:rPr>
            </w:pPr>
          </w:p>
          <w:tbl>
            <w:tblPr>
              <w:tblStyle w:val="TableGrid"/>
              <w:tblW w:w="0" w:type="auto"/>
              <w:tblInd w:w="738" w:type="dxa"/>
              <w:tblLook w:val="04A0" w:firstRow="1" w:lastRow="0" w:firstColumn="1" w:lastColumn="0" w:noHBand="0" w:noVBand="1"/>
            </w:tblPr>
            <w:tblGrid>
              <w:gridCol w:w="1276"/>
              <w:gridCol w:w="5528"/>
              <w:gridCol w:w="641"/>
            </w:tblGrid>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1</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Preventing people from dying prematurely</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2</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Enhancing quality of life for people with long-term conditions</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3</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Helping people to recover from episodes of ill-health or following injury</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4</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Ensuring people have a positive experience of care</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5</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Treating and caring for people in safe environment and protecting them from avoidable harm</w:t>
                  </w:r>
                </w:p>
              </w:tc>
              <w:tc>
                <w:tcPr>
                  <w:tcW w:w="641" w:type="dxa"/>
                </w:tcPr>
                <w:p w:rsidR="00B55368" w:rsidRPr="00A405FD" w:rsidRDefault="00B55368" w:rsidP="00B55368">
                  <w:pPr>
                    <w:rPr>
                      <w:rFonts w:ascii="Arial" w:hAnsi="Arial" w:cs="Arial"/>
                      <w:b/>
                      <w:color w:val="00B050"/>
                      <w:sz w:val="20"/>
                      <w:szCs w:val="20"/>
                    </w:rPr>
                  </w:pPr>
                </w:p>
              </w:tc>
            </w:tr>
          </w:tbl>
          <w:p w:rsidR="00B55368" w:rsidRPr="00A405FD" w:rsidRDefault="00B55368" w:rsidP="00B55368">
            <w:pPr>
              <w:spacing w:after="0"/>
              <w:rPr>
                <w:rFonts w:ascii="Arial" w:hAnsi="Arial" w:cs="Arial"/>
                <w:b/>
                <w:color w:val="00B050"/>
                <w:sz w:val="20"/>
                <w:szCs w:val="20"/>
              </w:rPr>
            </w:pPr>
          </w:p>
          <w:p w:rsidR="00B55368" w:rsidRPr="00A405FD" w:rsidRDefault="00B55368" w:rsidP="00B55368">
            <w:pPr>
              <w:spacing w:after="0"/>
              <w:rPr>
                <w:rFonts w:ascii="Arial" w:hAnsi="Arial" w:cs="Arial"/>
                <w:b/>
                <w:color w:val="00B050"/>
                <w:sz w:val="20"/>
                <w:szCs w:val="20"/>
              </w:rPr>
            </w:pPr>
            <w:r w:rsidRPr="00A405FD">
              <w:rPr>
                <w:rFonts w:ascii="Arial" w:hAnsi="Arial" w:cs="Arial"/>
                <w:b/>
                <w:color w:val="00B050"/>
                <w:sz w:val="20"/>
                <w:szCs w:val="20"/>
              </w:rPr>
              <w:t>2.2</w:t>
            </w:r>
            <w:r w:rsidRPr="00A405FD">
              <w:rPr>
                <w:rFonts w:ascii="Arial" w:hAnsi="Arial" w:cs="Arial"/>
                <w:b/>
                <w:color w:val="00B050"/>
                <w:sz w:val="20"/>
                <w:szCs w:val="20"/>
              </w:rPr>
              <w:tab/>
              <w:t>Local defined outcomes</w:t>
            </w:r>
          </w:p>
          <w:p w:rsidR="00B55368" w:rsidRPr="00A405FD" w:rsidRDefault="00B55368" w:rsidP="00B55368">
            <w:pPr>
              <w:spacing w:after="0"/>
              <w:rPr>
                <w:rFonts w:ascii="Arial" w:hAnsi="Arial" w:cs="Arial"/>
                <w:b/>
                <w:color w:val="00B050"/>
                <w:sz w:val="20"/>
                <w:szCs w:val="20"/>
              </w:rPr>
            </w:pPr>
          </w:p>
          <w:p w:rsidR="00B55368" w:rsidRPr="00A405FD" w:rsidRDefault="00B55368" w:rsidP="00B55368">
            <w:pPr>
              <w:spacing w:after="0"/>
              <w:rPr>
                <w:rFonts w:ascii="Arial" w:hAnsi="Arial" w:cs="Arial"/>
                <w:sz w:val="20"/>
                <w:szCs w:val="20"/>
              </w:rPr>
            </w:pPr>
            <w:r w:rsidRPr="00A405FD">
              <w:rPr>
                <w:rFonts w:ascii="Arial" w:hAnsi="Arial" w:cs="Arial"/>
                <w:sz w:val="20"/>
                <w:szCs w:val="20"/>
              </w:rPr>
              <w:t>A community ophthalmology service, will:</w:t>
            </w:r>
          </w:p>
          <w:p w:rsidR="00B55368" w:rsidRPr="00A405FD" w:rsidRDefault="00B55368" w:rsidP="00B55368">
            <w:pPr>
              <w:spacing w:after="0"/>
              <w:rPr>
                <w:rFonts w:ascii="Arial" w:hAnsi="Arial" w:cs="Arial"/>
                <w:sz w:val="20"/>
                <w:szCs w:val="20"/>
              </w:rPr>
            </w:pP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Provide improved patient experience and choice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Ensure the patient pathway is seamless and efficient</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Ensure that patients are seen in the right place at the right time and that all diagnosis points and necessary treatment is provided as per best practice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Provide care closer to home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Reduction in unnecessary referrals to eye casualty thus releasing secondary care capacity</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More cost effective care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Quicker access to care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Service users receiving improved education and advice on managing their conditions</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Improving multidisciplinary working between optometry, community pharmacy, GP’s and ophthalmology</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Provider will meet waiting times as set out in this specification</w:t>
            </w:r>
          </w:p>
          <w:p w:rsidR="00B55368" w:rsidRPr="00A405FD" w:rsidRDefault="00B55368" w:rsidP="00B55368">
            <w:pPr>
              <w:spacing w:after="0"/>
              <w:ind w:left="720"/>
              <w:rPr>
                <w:rFonts w:ascii="Arial" w:hAnsi="Arial" w:cs="Arial"/>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3.</w:t>
            </w:r>
            <w:r w:rsidRPr="00A405FD">
              <w:rPr>
                <w:rFonts w:ascii="Arial" w:hAnsi="Arial" w:cs="Arial"/>
                <w:b/>
                <w:color w:val="F79646"/>
                <w:sz w:val="20"/>
                <w:szCs w:val="20"/>
              </w:rPr>
              <w:tab/>
              <w:t>Scope</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3.1</w:t>
            </w:r>
            <w:r w:rsidRPr="00A405FD">
              <w:rPr>
                <w:rFonts w:ascii="Arial" w:hAnsi="Arial" w:cs="Arial"/>
                <w:b/>
                <w:color w:val="009966"/>
                <w:sz w:val="20"/>
                <w:szCs w:val="20"/>
              </w:rPr>
              <w:tab/>
              <w:t>Aims and objectives of service</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The overall aims and objectives of this service are to:</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appropriately clinically triage referrals made to ophthalmology services and ensure that the patient is referred onto the appropriate service dependent upon their clinical symptoms, as described in the referral documentation.</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Deliver community-based ophthalmology services for a defined range of eye problems. This will include ensuring accepting direct referrals following clinical triage via care pathways.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Providing targeted assessment and follow ups, and co-management of specific chronic eye conditions within the community against an agreed set of protocols.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deliver high quality eye care to patients registered with south Warwickshire GPs.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 xml:space="preserve">To deliver improved value for money and cost effectiveness.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Improve eye health and reduce inequalities by providing improved access</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Utilise knowledge and skills of primary care optometrists to manage and prioritise the care of the service user and ensure referrals are appropriate and timely.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Reduce the number of visits to hospital eye services (HES) and reduce service user waiting times.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Streamline pathways and referral processes.  </w:t>
            </w:r>
          </w:p>
          <w:p w:rsidR="00B55368" w:rsidRPr="00A405FD" w:rsidRDefault="00B55368" w:rsidP="00B55368">
            <w:pPr>
              <w:spacing w:after="0"/>
              <w:jc w:val="both"/>
              <w:rPr>
                <w:rFonts w:ascii="Arial" w:hAnsi="Arial" w:cs="Arial"/>
                <w:color w:val="009966"/>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3.2</w:t>
            </w:r>
            <w:r w:rsidRPr="00A405FD">
              <w:rPr>
                <w:rFonts w:ascii="Arial" w:hAnsi="Arial" w:cs="Arial"/>
                <w:b/>
                <w:color w:val="009966"/>
                <w:sz w:val="20"/>
                <w:szCs w:val="20"/>
              </w:rPr>
              <w:tab/>
              <w:t>Service description/care pathway</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3.2.1 Service description</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CCG wish to commission a community-based ophthalmology service for patients registered with a GP within the CCG boundaries who present with:</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defined acute eye conditions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defined chronic conditions</w:t>
            </w:r>
          </w:p>
          <w:p w:rsidR="00B55368" w:rsidRPr="00A405FD" w:rsidRDefault="00B55368" w:rsidP="00B55368">
            <w:pPr>
              <w:spacing w:after="0"/>
              <w:ind w:left="720"/>
              <w:rPr>
                <w:rFonts w:ascii="Arial" w:hAnsi="Arial" w:cs="Arial"/>
                <w:bCs/>
                <w:color w:val="000000"/>
                <w:sz w:val="20"/>
                <w:szCs w:val="20"/>
              </w:rPr>
            </w:pP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 xml:space="preserve">Patients will be directly referred to this service for triage and where possible, patients will be assessed and provided with the appropriate treatment/advice in a single visit. </w:t>
            </w:r>
          </w:p>
          <w:p w:rsidR="00B55368" w:rsidRPr="00A405FD" w:rsidRDefault="00B55368" w:rsidP="00B55368">
            <w:pPr>
              <w:rPr>
                <w:rFonts w:ascii="Arial" w:hAnsi="Arial" w:cs="Arial"/>
                <w:bCs/>
                <w:sz w:val="20"/>
                <w:szCs w:val="20"/>
              </w:rPr>
            </w:pPr>
            <w:r w:rsidRPr="00A405FD">
              <w:rPr>
                <w:rFonts w:ascii="Arial" w:hAnsi="Arial" w:cs="Arial"/>
                <w:bCs/>
                <w:color w:val="000000"/>
                <w:sz w:val="20"/>
                <w:szCs w:val="20"/>
              </w:rPr>
              <w:t xml:space="preserve">The service will have a suitable level of clinical delivery, supervision and leadership, and will be consultant-led. This means a consultant will be accountable for the delivery of the service, available and </w:t>
            </w:r>
            <w:r w:rsidRPr="00A405FD">
              <w:rPr>
                <w:rFonts w:ascii="Arial" w:hAnsi="Arial" w:cs="Arial"/>
                <w:bCs/>
                <w:sz w:val="20"/>
                <w:szCs w:val="20"/>
              </w:rPr>
              <w:t xml:space="preserve">contactable when necessary and will retain overall responsibility while the service is open. All new referrals will be triaged by </w:t>
            </w:r>
            <w:proofErr w:type="gramStart"/>
            <w:r w:rsidRPr="00A405FD">
              <w:rPr>
                <w:rFonts w:ascii="Arial" w:hAnsi="Arial" w:cs="Arial"/>
                <w:bCs/>
                <w:sz w:val="20"/>
                <w:szCs w:val="20"/>
              </w:rPr>
              <w:t>an appropriately skilled clinician who will</w:t>
            </w:r>
            <w:proofErr w:type="gramEnd"/>
            <w:r w:rsidRPr="00A405FD">
              <w:rPr>
                <w:rFonts w:ascii="Arial" w:hAnsi="Arial" w:cs="Arial"/>
                <w:bCs/>
                <w:sz w:val="20"/>
                <w:szCs w:val="20"/>
              </w:rPr>
              <w:t xml:space="preserve"> signpost the patient to the most appropriate service or pathway for treatment. This triage function will also be consultant led and therefore by definition, the consultant will be accountable for the safe and accurate delivery of all aspects of the service. </w:t>
            </w:r>
          </w:p>
          <w:p w:rsidR="00B55368" w:rsidRPr="00A405FD" w:rsidRDefault="00B55368" w:rsidP="00B55368">
            <w:pPr>
              <w:rPr>
                <w:rFonts w:ascii="Arial" w:hAnsi="Arial" w:cs="Arial"/>
                <w:bCs/>
                <w:sz w:val="20"/>
                <w:szCs w:val="20"/>
              </w:rPr>
            </w:pPr>
            <w:r w:rsidRPr="00A405FD">
              <w:rPr>
                <w:rFonts w:ascii="Arial" w:hAnsi="Arial" w:cs="Arial"/>
                <w:bCs/>
                <w:sz w:val="20"/>
                <w:szCs w:val="20"/>
              </w:rPr>
              <w:t>The provider will work to best practice as published nationally, including, but not limited to, the development of schemes set out by NHSE Elective Care Transformation Programme and other guidance published during the contract term:</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 xml:space="preserve">The development, implementation and management of a standardised cataract referrals; </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The triage of Glaucoma referrals onto the right secondary care pathway (as per development of HES services);</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Implementation of patient education programme with the support of patient decision aids;</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 xml:space="preserve">Liaison and support to upskill community optometrists to optimise diagnostic and referral quality. </w:t>
            </w:r>
          </w:p>
          <w:p w:rsidR="00A405FD" w:rsidRDefault="00A405FD" w:rsidP="00B55368">
            <w:pPr>
              <w:rPr>
                <w:rFonts w:ascii="Arial" w:hAnsi="Arial" w:cs="Arial"/>
                <w:bCs/>
                <w:sz w:val="20"/>
                <w:szCs w:val="20"/>
              </w:rPr>
            </w:pPr>
          </w:p>
          <w:p w:rsidR="00B55368" w:rsidRPr="00A405FD" w:rsidRDefault="00B55368" w:rsidP="00B55368">
            <w:pPr>
              <w:rPr>
                <w:rFonts w:ascii="Arial" w:hAnsi="Arial" w:cs="Arial"/>
                <w:bCs/>
                <w:sz w:val="20"/>
                <w:szCs w:val="20"/>
              </w:rPr>
            </w:pPr>
            <w:r w:rsidRPr="00A405FD">
              <w:rPr>
                <w:rFonts w:ascii="Arial" w:hAnsi="Arial" w:cs="Arial"/>
                <w:bCs/>
                <w:sz w:val="20"/>
                <w:szCs w:val="20"/>
              </w:rPr>
              <w:t>These service developments will be developed and implemented during the course of the contract and will be detailed with applicable timescales within the NHS Standard Contract Particulars Section 6d; Service Development Improvement Plan (SDIP).</w:t>
            </w: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 xml:space="preserve">3.2.2 Care Pathway </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154F06" w:rsidP="00B55368">
            <w:pPr>
              <w:spacing w:after="0" w:line="240" w:lineRule="auto"/>
              <w:jc w:val="center"/>
              <w:rPr>
                <w:rFonts w:ascii="Arial" w:eastAsia="Times New Roman" w:hAnsi="Arial" w:cs="Arial"/>
                <w:b/>
                <w:bCs/>
                <w:sz w:val="20"/>
                <w:szCs w:val="20"/>
              </w:rPr>
            </w:pPr>
            <w:r>
              <w:object w:dxaOrig="7815"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5pt;height:527.1pt" o:ole="">
                  <v:imagedata r:id="rId8" o:title=""/>
                </v:shape>
                <o:OLEObject Type="Embed" ProgID="PBrush" ShapeID="_x0000_i1025" DrawAspect="Content" ObjectID="_1609137908" r:id="rId9"/>
              </w:objec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The Provider will accept referrals where patients have been referred by their GP, optometrist, A&amp;E Department, Eye Casualty or 111. The Commissioner will try to ensure all referrals currently sent to secondary outpatient ophthalmology services, not including those fitting the exclusion criteria, are referred to the community service.</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color w:val="000000"/>
                <w:sz w:val="20"/>
                <w:szCs w:val="20"/>
              </w:rPr>
              <w:t xml:space="preserve">The </w:t>
            </w:r>
            <w:r w:rsidRPr="00A405FD">
              <w:rPr>
                <w:rFonts w:ascii="Arial" w:hAnsi="Arial" w:cs="Arial"/>
                <w:bCs/>
                <w:sz w:val="20"/>
                <w:szCs w:val="20"/>
              </w:rPr>
              <w:t xml:space="preserve">Provider will be responsible for the clinical triaging of patients within 2 working days of receipt of referral by an appropriately skilled ophthalmic clinician.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The Provider will provide treatment in line with agreed clinical protocols and per NICE guidelines where applicable.  Available treatments will be dependent on the level of expertise of the clinician providing the service but will be delivered by an appropriately accredited ophthalmic practitioner in a suitably equipped location.</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The Provider will be responsible for booking patient appointments, including any necessary follow up appointments on receipt of referral.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Follow ups will only be held where clinically necessary. </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The Provider will provide appropriate clinical and onward referral information (where appropriate) and decisions to the patient’s GP.  Patients (or carer, where appropriate) will receive a written copy of their discharge letter from the service.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The Provider will offer the patient a choice of Provider in circumstances where onward referral to a hospital is required.</w:t>
            </w:r>
          </w:p>
          <w:p w:rsidR="00B55368" w:rsidRPr="00A405FD" w:rsidRDefault="00B55368" w:rsidP="00B55368">
            <w:pPr>
              <w:spacing w:after="0"/>
              <w:rPr>
                <w:rFonts w:ascii="Arial" w:hAnsi="Arial" w:cs="Arial"/>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3.2.3 Access</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jc w:val="both"/>
              <w:rPr>
                <w:rFonts w:ascii="Arial" w:hAnsi="Arial" w:cs="Arial"/>
                <w:bCs/>
                <w:sz w:val="20"/>
                <w:szCs w:val="20"/>
              </w:rPr>
            </w:pPr>
            <w:r w:rsidRPr="00A405FD">
              <w:rPr>
                <w:rFonts w:ascii="Arial" w:hAnsi="Arial" w:cs="Arial"/>
                <w:bCs/>
                <w:color w:val="000000"/>
                <w:sz w:val="20"/>
                <w:szCs w:val="20"/>
              </w:rPr>
              <w:t xml:space="preserve">The Provider must ensure the service is available to all patients at an appropriate and accessible </w:t>
            </w:r>
            <w:r w:rsidRPr="00A405FD">
              <w:rPr>
                <w:rFonts w:ascii="Arial" w:hAnsi="Arial" w:cs="Arial"/>
                <w:bCs/>
                <w:sz w:val="20"/>
                <w:szCs w:val="20"/>
              </w:rPr>
              <w:t>location(s) that adhere to Equality Act regulations (2010).</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The provider must offer a minimum capacity to meet service user demand and manage waiting times as stipulated in this specification. </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may propose such opening times as they are confident will accommodate their indicative activity levels and the maximum waiting times, as well as supporting accessibility requirements.</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The Provider will be responsible for administrative arrangements such as clinic referral letters and the scheduling of appointments.  </w:t>
            </w:r>
          </w:p>
          <w:p w:rsidR="00B55368" w:rsidRPr="00A405FD" w:rsidRDefault="008C558A" w:rsidP="00B55368">
            <w:pPr>
              <w:jc w:val="both"/>
              <w:rPr>
                <w:rFonts w:ascii="Arial" w:hAnsi="Arial" w:cs="Arial"/>
                <w:bCs/>
                <w:color w:val="000000"/>
                <w:sz w:val="20"/>
                <w:szCs w:val="20"/>
              </w:rPr>
            </w:pPr>
            <w:r w:rsidRPr="00A405FD">
              <w:rPr>
                <w:rFonts w:ascii="Arial" w:hAnsi="Arial" w:cs="Arial"/>
                <w:bCs/>
                <w:color w:val="000000"/>
                <w:sz w:val="20"/>
                <w:szCs w:val="20"/>
              </w:rPr>
              <w:t>Referrals</w:t>
            </w:r>
            <w:r w:rsidR="00B55368" w:rsidRPr="00A405FD">
              <w:rPr>
                <w:rFonts w:ascii="Arial" w:hAnsi="Arial" w:cs="Arial"/>
                <w:bCs/>
                <w:color w:val="000000"/>
                <w:sz w:val="20"/>
                <w:szCs w:val="20"/>
              </w:rPr>
              <w:t xml:space="preserve"> will be offered a first appointment within 14 days of referral and seen for their first appointment within four weeks of the referral being received.</w:t>
            </w:r>
          </w:p>
          <w:p w:rsidR="00B55368" w:rsidRPr="00A405FD" w:rsidRDefault="00B55368" w:rsidP="00B55368">
            <w:pPr>
              <w:jc w:val="both"/>
              <w:rPr>
                <w:rFonts w:ascii="Arial" w:hAnsi="Arial" w:cs="Arial"/>
                <w:color w:val="0000FF" w:themeColor="hyperlink"/>
                <w:sz w:val="20"/>
                <w:szCs w:val="20"/>
                <w:u w:val="single"/>
              </w:rPr>
            </w:pPr>
            <w:r w:rsidRPr="00A405FD">
              <w:rPr>
                <w:rFonts w:ascii="Arial" w:hAnsi="Arial" w:cs="Arial"/>
                <w:bCs/>
                <w:color w:val="000000"/>
                <w:sz w:val="20"/>
                <w:szCs w:val="20"/>
              </w:rPr>
              <w:t xml:space="preserve">The Provider will ensure that written communications with visually impaired patients follow the guidelines recommended in </w:t>
            </w:r>
            <w:hyperlink r:id="rId10" w:history="1">
              <w:r w:rsidRPr="00A405FD">
                <w:rPr>
                  <w:rFonts w:ascii="Arial" w:hAnsi="Arial" w:cs="Arial"/>
                  <w:color w:val="0000FF" w:themeColor="hyperlink"/>
                  <w:sz w:val="20"/>
                  <w:szCs w:val="20"/>
                  <w:u w:val="single"/>
                </w:rPr>
                <w:t>http://www.ukaaf.org/wp-content/uploads/2014/09/G003-UKAAF-Creating-clear-print-and-large-print-documents.pdf</w:t>
              </w:r>
            </w:hyperlink>
          </w:p>
          <w:p w:rsidR="00B55368" w:rsidRPr="00A405FD" w:rsidRDefault="00B55368" w:rsidP="00B55368">
            <w:pPr>
              <w:jc w:val="both"/>
              <w:rPr>
                <w:rFonts w:ascii="Arial" w:hAnsi="Arial" w:cs="Arial"/>
                <w:color w:val="0000FF" w:themeColor="hyperlink"/>
                <w:sz w:val="20"/>
                <w:szCs w:val="20"/>
                <w:u w:val="single"/>
              </w:rPr>
            </w:pPr>
            <w:r w:rsidRPr="00A405FD">
              <w:rPr>
                <w:rFonts w:ascii="Arial" w:hAnsi="Arial" w:cs="Arial"/>
                <w:color w:val="0000FF" w:themeColor="hyperlink"/>
                <w:sz w:val="20"/>
                <w:szCs w:val="20"/>
                <w:u w:val="single"/>
              </w:rPr>
              <w:t xml:space="preserve">The provider must give consideration to the provision of service to accommodate race, language, physical and learning disabilities requirements including those in employment. </w:t>
            </w:r>
          </w:p>
          <w:p w:rsidR="00B55368" w:rsidRPr="00A405FD" w:rsidRDefault="00B55368" w:rsidP="00B55368">
            <w:pPr>
              <w:jc w:val="both"/>
              <w:rPr>
                <w:rFonts w:ascii="Arial" w:hAnsi="Arial" w:cs="Arial"/>
                <w:color w:val="0000FF" w:themeColor="hyperlink"/>
                <w:sz w:val="20"/>
                <w:szCs w:val="20"/>
                <w:u w:val="single"/>
              </w:rPr>
            </w:pPr>
            <w:r w:rsidRPr="00A405FD">
              <w:rPr>
                <w:rFonts w:ascii="Arial" w:hAnsi="Arial" w:cs="Arial"/>
                <w:color w:val="0000FF" w:themeColor="hyperlink"/>
                <w:sz w:val="20"/>
                <w:szCs w:val="20"/>
                <w:u w:val="single"/>
              </w:rPr>
              <w:t xml:space="preserve">Premises must be suitable and easily accessible with good transport links. </w:t>
            </w:r>
          </w:p>
          <w:p w:rsidR="00B55368" w:rsidRPr="00A405FD" w:rsidRDefault="00B55368" w:rsidP="00B55368">
            <w:pPr>
              <w:rPr>
                <w:rFonts w:ascii="Arial" w:hAnsi="Arial" w:cs="Arial"/>
                <w:b/>
                <w:sz w:val="20"/>
                <w:szCs w:val="20"/>
              </w:rPr>
            </w:pPr>
            <w:r w:rsidRPr="00A405FD">
              <w:rPr>
                <w:rFonts w:ascii="Arial" w:hAnsi="Arial" w:cs="Arial"/>
                <w:b/>
                <w:sz w:val="20"/>
                <w:szCs w:val="20"/>
              </w:rPr>
              <w:t>3.2.4 Choice</w:t>
            </w:r>
          </w:p>
          <w:p w:rsidR="00B55368" w:rsidRPr="00A405FD" w:rsidRDefault="00B55368" w:rsidP="00B55368">
            <w:pPr>
              <w:rPr>
                <w:rFonts w:ascii="Arial" w:hAnsi="Arial" w:cs="Arial"/>
                <w:sz w:val="20"/>
                <w:szCs w:val="20"/>
              </w:rPr>
            </w:pPr>
            <w:r w:rsidRPr="00A405FD">
              <w:rPr>
                <w:rFonts w:ascii="Arial" w:hAnsi="Arial" w:cs="Arial"/>
                <w:sz w:val="20"/>
                <w:szCs w:val="20"/>
              </w:rPr>
              <w:t>The Provider will ensure the patient has access to a list of clinically appropriate provider choices.</w:t>
            </w:r>
          </w:p>
          <w:p w:rsidR="00B55368" w:rsidRPr="00A405FD" w:rsidRDefault="00B55368" w:rsidP="00B55368">
            <w:pPr>
              <w:rPr>
                <w:rFonts w:ascii="Arial" w:hAnsi="Arial" w:cs="Arial"/>
                <w:sz w:val="20"/>
                <w:szCs w:val="20"/>
              </w:rPr>
            </w:pPr>
            <w:r w:rsidRPr="00A405FD">
              <w:rPr>
                <w:rFonts w:ascii="Arial" w:hAnsi="Arial" w:cs="Arial"/>
                <w:sz w:val="20"/>
                <w:szCs w:val="20"/>
              </w:rPr>
              <w:t>The referrer should initiate the choice offer and discuss the relevant clinical aspects of choice with the patient.</w:t>
            </w:r>
          </w:p>
          <w:p w:rsidR="00B55368" w:rsidRPr="00A405FD" w:rsidRDefault="00B55368" w:rsidP="00B55368">
            <w:pPr>
              <w:rPr>
                <w:rFonts w:ascii="Arial" w:hAnsi="Arial" w:cs="Arial"/>
                <w:sz w:val="20"/>
                <w:szCs w:val="20"/>
              </w:rPr>
            </w:pPr>
            <w:r w:rsidRPr="00A405FD">
              <w:rPr>
                <w:rFonts w:ascii="Arial" w:hAnsi="Arial" w:cs="Arial"/>
                <w:sz w:val="20"/>
                <w:szCs w:val="20"/>
              </w:rPr>
              <w:t>The Provider should work with the CCG to support patients in discussing other aspects of choice.</w:t>
            </w:r>
          </w:p>
          <w:p w:rsidR="00B55368" w:rsidRDefault="00B55368" w:rsidP="00B55368">
            <w:pPr>
              <w:rPr>
                <w:rFonts w:ascii="Arial" w:hAnsi="Arial" w:cs="Arial"/>
                <w:bCs/>
                <w:color w:val="000000"/>
                <w:sz w:val="20"/>
                <w:szCs w:val="20"/>
              </w:rPr>
            </w:pPr>
            <w:r w:rsidRPr="00A405FD">
              <w:rPr>
                <w:rFonts w:ascii="Arial" w:hAnsi="Arial" w:cs="Arial"/>
                <w:sz w:val="20"/>
                <w:szCs w:val="20"/>
              </w:rPr>
              <w:t xml:space="preserve">The Provider will ensure the patient has access to meaningful information to support their choice decision in circumstances </w:t>
            </w:r>
            <w:r w:rsidRPr="00A405FD">
              <w:rPr>
                <w:rFonts w:ascii="Arial" w:hAnsi="Arial" w:cs="Arial"/>
                <w:bCs/>
                <w:color w:val="000000"/>
                <w:sz w:val="20"/>
                <w:szCs w:val="20"/>
              </w:rPr>
              <w:t>where onward referral to a hospital is required.</w:t>
            </w:r>
          </w:p>
          <w:p w:rsidR="00A405FD" w:rsidRPr="00A405FD" w:rsidRDefault="00A405FD" w:rsidP="00B55368">
            <w:pPr>
              <w:rPr>
                <w:rFonts w:ascii="Arial" w:hAnsi="Arial" w:cs="Arial"/>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
                <w:bCs/>
                <w:sz w:val="20"/>
                <w:szCs w:val="20"/>
              </w:rPr>
              <w:t>3.2.5 Workforce</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CCG are seeking a community-based ophthalmology service led by suitable eye care professionals that can demonstrate utilisation of existing primary care workforce to ensure service quality.  Clinical workforce for such a service could include but is not limited to the following:</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Community Optometrists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GPs with enhanced responsibility in Ophthalmology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Consultant Ophthalmologists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Associate Specialists in ophthalmology</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Ophthalmic Medical Practitioner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Ophthalmic Nurses</w:t>
            </w:r>
          </w:p>
          <w:p w:rsidR="00A405FD" w:rsidRDefault="00A405FD" w:rsidP="00B55368">
            <w:pPr>
              <w:rPr>
                <w:rFonts w:ascii="Arial" w:hAnsi="Arial" w:cs="Arial"/>
                <w:bCs/>
                <w:color w:val="000000"/>
                <w:sz w:val="20"/>
                <w:szCs w:val="20"/>
              </w:rPr>
            </w:pP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The Provider has the following responsibilities in line with the delivery of this service: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Ensure that all employment practice is up to date with current employment legislation.</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Provide an adequate structure for the supervision of staff to enable the optimum performance of the contract.</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Ensure that all pre and post-employment checks are undertaken in line with the requirements of NHS Employment Check Standards (2008), including agency staff where deployed.</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Conduct pre-employment DBS (Disclosure and Barring Process) previously CRB checks and repeat at reasonable intervals; implementation plans for Independent Safeguarding Authority processes.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Evidence clinical competency, qualification and registration in order to meet the terms of the contract, and the arrangements for continuing professional development.</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Verify personal indemnity insurance where required, and provide annual proof of cover to the CCG.</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Provide induction training and regular mandatory training which will include health and safety, fire safety, infection control, conflict resolution, equality and diversity awareness, child and vulnerable adult protection, moving and handling.</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Staff Handbook or equivalent.</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Demonstrate that staff performance systems – including appraisal and capability processes are in place.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Evidence staff contingency arrangements – to cover emergencies, unplanned staff absences, as part of business continuity planning.</w:t>
            </w:r>
          </w:p>
          <w:p w:rsidR="00B55368" w:rsidRPr="00A405FD" w:rsidRDefault="00B55368" w:rsidP="00B55368">
            <w:pPr>
              <w:jc w:val="both"/>
              <w:rPr>
                <w:rFonts w:ascii="Arial" w:hAnsi="Arial" w:cs="Arial"/>
                <w:bCs/>
                <w:color w:val="000000"/>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has the following responsibilities in line with the delivery of this service: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Initial Training and Accreditation for clinicians, such as Optometrists, including protocols and conditions to be obtained by the Provider and to be signed off by the CCG</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ensure that all members of the service maintain their knowledge and skills by keeping up to date with the ophthalmic literature, attending meetings and participation in in-house academic sessions.  This requirement would be assessed during an annual appraisal</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provide clinical education to practices within the locality to support further development of their knowledge and skills in the on-going management of patients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ensure that all professional staff are supported to undertake clinical supervision in line with the relevant statutory body requirements</w:t>
            </w:r>
          </w:p>
          <w:p w:rsidR="00B55368" w:rsidRPr="00A405FD" w:rsidRDefault="00B55368" w:rsidP="00B55368">
            <w:pPr>
              <w:spacing w:after="0"/>
              <w:ind w:left="720"/>
              <w:jc w:val="both"/>
              <w:rPr>
                <w:rFonts w:ascii="Arial" w:hAnsi="Arial" w:cs="Arial"/>
                <w:bCs/>
                <w:color w:val="000000"/>
                <w:sz w:val="20"/>
                <w:szCs w:val="20"/>
              </w:rPr>
            </w:pPr>
          </w:p>
          <w:p w:rsidR="00B55368" w:rsidRPr="00A405FD" w:rsidRDefault="00B55368" w:rsidP="00B55368">
            <w:pPr>
              <w:jc w:val="both"/>
              <w:rPr>
                <w:rFonts w:ascii="Arial" w:hAnsi="Arial" w:cs="Arial"/>
                <w:b/>
                <w:bCs/>
                <w:color w:val="339966"/>
                <w:sz w:val="20"/>
                <w:szCs w:val="20"/>
              </w:rPr>
            </w:pPr>
            <w:r w:rsidRPr="00A405FD">
              <w:rPr>
                <w:rFonts w:ascii="Arial" w:hAnsi="Arial" w:cs="Arial"/>
                <w:b/>
                <w:bCs/>
                <w:sz w:val="20"/>
                <w:szCs w:val="20"/>
              </w:rPr>
              <w:t>3.2.6 Equipment</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It is the responsibility of the provider to purchase, maintain to a high standard and replace all relevant equipment required to provide the service.  All necessary equipment needed to provide each element of the service should be made available by the provider at each applicable location which includes, but is not limited to, the following:</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Threshold Visual field screener and printer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Slit lamp</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Goldmann contact tonometer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Direct and indirect Ophthalmoscope, retinoscope,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Amsler Charts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Epilation equipment and 28 gauge needle for removal corneal FB’s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Diagnostic drugs (mydriatics, stains, local anaesthetics, etc)</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Volk lens 78d, 28d, plus fundus contact lens, gonio and 3 mirror lenses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Visual acuity chart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Indenter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Pachymeter</w:t>
            </w: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All machines and measurement instruments (e.g. tonometers) must be calibrated regularly according to manufacturer’s instructions.</w:t>
            </w:r>
          </w:p>
          <w:p w:rsidR="00B55368" w:rsidRPr="00A405FD" w:rsidRDefault="00B55368" w:rsidP="00B55368">
            <w:pPr>
              <w:rPr>
                <w:rFonts w:ascii="Arial" w:hAnsi="Arial" w:cs="Arial"/>
                <w:b/>
                <w:bCs/>
                <w:sz w:val="20"/>
                <w:szCs w:val="20"/>
              </w:rPr>
            </w:pPr>
            <w:r w:rsidRPr="00A405FD">
              <w:rPr>
                <w:rFonts w:ascii="Arial" w:hAnsi="Arial" w:cs="Arial"/>
                <w:b/>
                <w:bCs/>
                <w:sz w:val="20"/>
                <w:szCs w:val="20"/>
              </w:rPr>
              <w:t>3.2.7 IMT</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must ensure that appropriate “IM&amp;T Systems” are in place to support the services. “IM&amp;T Systems” means all computer hardware, software, networking, training, support and maintenance necessary to support and ensure effective delivery of the services, management of patient  care and contract management, which must include: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Individual electronic patient  health records;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Clinical services including ordering and receipt of diagnostic procedure results and reports, where appropriate;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Prescribing and dispensing where appropriate;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Access to knowledge bases for healthcare at the point of patient  contact; and</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Access to research papers, reviews, guidelines and protocols</w:t>
            </w:r>
          </w:p>
          <w:p w:rsidR="00B55368" w:rsidRPr="00A405FD" w:rsidRDefault="00B55368" w:rsidP="00B55368">
            <w:pPr>
              <w:spacing w:after="0"/>
              <w:ind w:left="720"/>
              <w:jc w:val="both"/>
              <w:rPr>
                <w:rFonts w:ascii="Arial" w:hAnsi="Arial" w:cs="Arial"/>
                <w:bCs/>
                <w:color w:val="000000"/>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An appropriate IT system will be utilised in order to ensure separate comprehensive records can be maintained for each patient, which can then be used to inform detailed and regular audits of the service.</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will work in ways that support national and local programmes and utilise IT in ways that maximise patient care.  The provider will have the use of emails.</w:t>
            </w:r>
          </w:p>
          <w:p w:rsidR="00B55368" w:rsidRPr="00A405FD" w:rsidRDefault="00B55368" w:rsidP="00B55368">
            <w:pPr>
              <w:rPr>
                <w:rFonts w:ascii="Arial" w:hAnsi="Arial" w:cs="Arial"/>
                <w:b/>
                <w:bCs/>
                <w:sz w:val="20"/>
                <w:szCs w:val="20"/>
              </w:rPr>
            </w:pPr>
            <w:r w:rsidRPr="00A405FD">
              <w:rPr>
                <w:rFonts w:ascii="Arial" w:hAnsi="Arial" w:cs="Arial"/>
                <w:b/>
                <w:bCs/>
                <w:sz w:val="20"/>
                <w:szCs w:val="20"/>
              </w:rPr>
              <w:t>3.2.8 Prescribing</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As per NHS Guidelines prescriptions and medication will be made available for applicable patients for up to 14 days (or such shorter period of a full course of medication as appropriate) post discharge and will be provided as part of the service and will be included within cost.</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Provider is a Prescriber and will pay the drug costs for the service (the Commissioner shall recharge these costs to the Provider).  Dispensing costs as defined below will not be the responsibility of the Provider.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“Dispensing Services” means the provision of drugs, medicines or Appliances that may be provided as pharmaceutical services by a medical practitioner in accordance with arrangements made under regulation 20 of the Pharmaceutical Regulations;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“Prescriber” means: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(a)        a medical practitioner;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(b)        a Pharmacist Independent Prescriber;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(c)        an Independent Nurse Prescriber; and</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(d)        a Supplementary Prescriber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who is either engaged or employed by the CCG;</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Dispensing services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The parties agree to monitor and review the drug cost every quarter following the commencement date.  </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parties agree that if the full year forecast drug costs is in excess of £15,000 that the parties shall meet to review and agree a plan to address this following a review (subject to inclusion of Glaucoma services).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Provider is responsible for drug costs for acute conditions for the initial prescription.</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Provider is responsible for all drug costs (as per NHS Guidelines) for glaucoma patients at the first outpatient appointment, and shall continue to dispense the necessary medicines for the first 14 days until the patient is referred back to the GP for ongoing management and treatment. For clarity, the Provider shall retain responsibility for any patient who fails to tolerate the initial drug or has treatment failure and requires a change in therapy; whereby the Provider shall bear the costs of any further treatment and drug costs. Subject to the inclusion of Glaucoma Services.</w:t>
            </w:r>
          </w:p>
          <w:p w:rsidR="00B55368" w:rsidRPr="00A405FD" w:rsidRDefault="00B55368" w:rsidP="00B55368">
            <w:pPr>
              <w:jc w:val="both"/>
              <w:rPr>
                <w:rFonts w:ascii="Arial" w:hAnsi="Arial" w:cs="Arial"/>
                <w:b/>
                <w:bCs/>
                <w:sz w:val="20"/>
                <w:szCs w:val="20"/>
              </w:rPr>
            </w:pPr>
            <w:r w:rsidRPr="00A405FD">
              <w:rPr>
                <w:rFonts w:ascii="Arial" w:hAnsi="Arial" w:cs="Arial"/>
                <w:b/>
                <w:bCs/>
                <w:sz w:val="20"/>
                <w:szCs w:val="20"/>
              </w:rPr>
              <w:t>3.2.9 Response time, detail and prioritization</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Referrals will be dealt with in the order that they are received, irrespective of the GP practice to </w:t>
            </w:r>
            <w:r w:rsidR="00505ED1">
              <w:rPr>
                <w:rFonts w:ascii="Arial" w:hAnsi="Arial" w:cs="Arial"/>
                <w:bCs/>
                <w:sz w:val="20"/>
                <w:szCs w:val="20"/>
              </w:rPr>
              <w:t>which the patient belongs. The s</w:t>
            </w:r>
            <w:r w:rsidRPr="00A405FD">
              <w:rPr>
                <w:rFonts w:ascii="Arial" w:hAnsi="Arial" w:cs="Arial"/>
                <w:bCs/>
                <w:sz w:val="20"/>
                <w:szCs w:val="20"/>
              </w:rPr>
              <w:t>ervice will administratively manage and triage all referrals within two working days of receiving all necessary information.</w:t>
            </w:r>
          </w:p>
          <w:p w:rsidR="00B55368" w:rsidRPr="00A405FD" w:rsidRDefault="00B55368" w:rsidP="00B55368">
            <w:pPr>
              <w:spacing w:after="0"/>
              <w:jc w:val="both"/>
              <w:rPr>
                <w:rFonts w:ascii="Arial" w:hAnsi="Arial" w:cs="Arial"/>
                <w:color w:val="009966"/>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3.3</w:t>
            </w:r>
            <w:r w:rsidRPr="00A405FD">
              <w:rPr>
                <w:rFonts w:ascii="Arial" w:hAnsi="Arial" w:cs="Arial"/>
                <w:b/>
                <w:color w:val="009966"/>
                <w:sz w:val="20"/>
                <w:szCs w:val="20"/>
              </w:rPr>
              <w:tab/>
              <w:t>Population covered</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The CCGs and providers role is to ensure an appropriate level of service is commissioned to meet the expected growth highlighted in section 1. </w:t>
            </w: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3.4</w:t>
            </w:r>
            <w:r w:rsidRPr="00A405FD">
              <w:rPr>
                <w:rFonts w:ascii="Arial" w:hAnsi="Arial" w:cs="Arial"/>
                <w:b/>
                <w:color w:val="009966"/>
                <w:sz w:val="20"/>
                <w:szCs w:val="20"/>
              </w:rPr>
              <w:tab/>
              <w:t>Any acceptance and exclusion criteria and thresholds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3.4.1 This service will provide:</w:t>
            </w:r>
          </w:p>
          <w:p w:rsidR="00B55368" w:rsidRPr="00A405FD" w:rsidRDefault="00B55368" w:rsidP="00B55368">
            <w:pPr>
              <w:spacing w:after="0"/>
              <w:ind w:left="720"/>
              <w:rPr>
                <w:rFonts w:ascii="Arial" w:hAnsi="Arial" w:cs="Arial"/>
                <w:bCs/>
                <w:color w:val="000000"/>
                <w:sz w:val="20"/>
                <w:szCs w:val="20"/>
                <w:highlight w:val="yellow"/>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The Provider is responsible for the management of all conditions listed in Tiers 2 and 3 of the table below in addition to all diagnostics necessary. </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This excludes any patients requiring MR, CT and GDX, who should be referred to secondary care for diagnosis and any management.  This is subject to review by both parties.</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If in accordance with good clinical practice the Provider is of the opinion that a patient should be onwardly referred, then it shall comply with the Care Pathway set out in paragraph 3.2.2 of this specification.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234"/>
              <w:gridCol w:w="77"/>
            </w:tblGrid>
            <w:tr w:rsidR="00B55368" w:rsidRPr="00A405FD" w:rsidTr="00BB7408">
              <w:trPr>
                <w:trHeight w:val="615"/>
              </w:trPr>
              <w:tc>
                <w:tcPr>
                  <w:tcW w:w="1970" w:type="pct"/>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 xml:space="preserve">Tier 1: Patient self and General Practitioner  (GP) </w:t>
                  </w:r>
                </w:p>
              </w:tc>
              <w:tc>
                <w:tcPr>
                  <w:tcW w:w="3030" w:type="pct"/>
                  <w:gridSpan w:val="2"/>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Tier 2 : Optometrist (High Street/GPwER)</w:t>
                  </w:r>
                </w:p>
              </w:tc>
            </w:tr>
            <w:tr w:rsidR="00B55368" w:rsidRPr="00A405FD" w:rsidTr="00BB7408">
              <w:trPr>
                <w:trHeight w:val="495"/>
              </w:trPr>
              <w:tc>
                <w:tcPr>
                  <w:tcW w:w="1970" w:type="pct"/>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Infective conjunctivitis (Managed)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Allergic  conjunctivitis (Managed)</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Acute conjunctivitis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Dry Eye (Managed)</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Blepharitis (Managed)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Classical Chalazion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infected (antibiotics)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 non infected (blepharitis protocol)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Episcleritis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Subjunctival haemorrhage (See edges non trauma Check BP and VA)</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Lazy Eye (over 15 years) </w:t>
                  </w: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b/>
                      <w:sz w:val="20"/>
                      <w:szCs w:val="20"/>
                    </w:rPr>
                  </w:pPr>
                </w:p>
              </w:tc>
              <w:tc>
                <w:tcPr>
                  <w:tcW w:w="3030" w:type="pct"/>
                  <w:gridSpan w:val="2"/>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Unknown eye conditions for initial diagnosis to identify and refer appropriately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Infective conjunctivitis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Allergic conjunctivitis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Acute conjunctivitis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Dry Eye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Blepharitis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Cataract screening (identify visually significant to refer for surgery)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Glaucoma screening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Monitoring of OHT/low risk glaucoma with normal visual fields (following diagnosis and stabilisation by Tier 4)</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Strabismus (Heterotropia) (Adult)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Age related Macular Degeneration (AMD)</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Dry (assess and support)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Wet (Tier 4 fast track)</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Iritis </w:t>
                  </w:r>
                  <w:proofErr w:type="gramStart"/>
                  <w:r w:rsidRPr="00A405FD">
                    <w:rPr>
                      <w:rFonts w:ascii="Arial" w:eastAsia="Calibri" w:hAnsi="Arial" w:cs="Arial"/>
                      <w:sz w:val="20"/>
                      <w:szCs w:val="20"/>
                    </w:rPr>
                    <w:t>-  low</w:t>
                  </w:r>
                  <w:proofErr w:type="gramEnd"/>
                  <w:r w:rsidRPr="00A405FD">
                    <w:rPr>
                      <w:rFonts w:ascii="Arial" w:eastAsia="Calibri" w:hAnsi="Arial" w:cs="Arial"/>
                      <w:sz w:val="20"/>
                      <w:szCs w:val="20"/>
                    </w:rPr>
                    <w:t xml:space="preserve"> risk treated by independent prescribing Optometrists. High risks refer Tier 4.</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Episcleritis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Amblyopia (Lazy Eye  (patch) (School)</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Choroidal Naevus suspicion or change retinal photos with copy to patient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Classical Chalazion</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Subconjunctival haemorrhage(but  with other clinical concerns refer Tier 4)</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Children who can read with refractive errors (no amblyopia) found on school screening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New onset floaters and flashes (over 6 weeks)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Triachisis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Low vision services (optional) Magnifiers need to be provided on loan not paid for by patient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Prescribing only if Qualified Independent Prescriber ( IP)</w:t>
                  </w:r>
                </w:p>
                <w:p w:rsidR="00B55368" w:rsidRPr="00A405FD" w:rsidRDefault="00B55368" w:rsidP="00B55368">
                  <w:pPr>
                    <w:spacing w:after="0"/>
                    <w:rPr>
                      <w:rFonts w:ascii="Arial" w:eastAsia="Calibri" w:hAnsi="Arial" w:cs="Arial"/>
                      <w:sz w:val="20"/>
                      <w:szCs w:val="20"/>
                    </w:rPr>
                  </w:pPr>
                </w:p>
              </w:tc>
            </w:tr>
            <w:tr w:rsidR="00B55368" w:rsidRPr="00A405FD" w:rsidTr="00BB7408">
              <w:trPr>
                <w:gridAfter w:val="1"/>
                <w:wAfter w:w="81" w:type="dxa"/>
                <w:trHeight w:val="615"/>
              </w:trPr>
              <w:tc>
                <w:tcPr>
                  <w:tcW w:w="1970" w:type="pct"/>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Tier 3: Community - Consultant Led/ GPwER)</w:t>
                  </w:r>
                </w:p>
              </w:tc>
              <w:tc>
                <w:tcPr>
                  <w:tcW w:w="2986" w:type="pct"/>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Tier 4 : Acute – Consultant</w:t>
                  </w:r>
                </w:p>
              </w:tc>
            </w:tr>
            <w:tr w:rsidR="00B55368" w:rsidRPr="00A405FD" w:rsidTr="00BB7408">
              <w:trPr>
                <w:gridAfter w:val="1"/>
                <w:wAfter w:w="81" w:type="dxa"/>
                <w:trHeight w:val="495"/>
              </w:trPr>
              <w:tc>
                <w:tcPr>
                  <w:tcW w:w="1970" w:type="pct"/>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Keratitits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Uveitis (Anterior)</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Chalazion and non-cancer lid lumps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Non-complex glaucoma (new and follow-up, but low risk  glaucoma managed in the community)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Glaucoma referral refinement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Episcleritis-persistent or required prescribed steroid</w:t>
                  </w:r>
                </w:p>
                <w:p w:rsidR="00B55368" w:rsidRPr="00A405FD" w:rsidRDefault="00970FED" w:rsidP="00B55368">
                  <w:pPr>
                    <w:spacing w:after="0"/>
                    <w:rPr>
                      <w:rFonts w:ascii="Arial" w:eastAsia="Calibri" w:hAnsi="Arial" w:cs="Arial"/>
                      <w:b/>
                      <w:sz w:val="20"/>
                      <w:szCs w:val="20"/>
                    </w:rPr>
                  </w:pPr>
                  <w:r>
                    <w:rPr>
                      <w:rFonts w:ascii="Arial" w:eastAsia="Calibri" w:hAnsi="Arial" w:cs="Arial"/>
                      <w:b/>
                      <w:sz w:val="20"/>
                      <w:szCs w:val="20"/>
                    </w:rPr>
                    <w:t>Wet AMD – Ongoing management post diagnosis in Tier 4</w:t>
                  </w: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b/>
                      <w:sz w:val="20"/>
                      <w:szCs w:val="20"/>
                    </w:rPr>
                  </w:pPr>
                </w:p>
              </w:tc>
              <w:tc>
                <w:tcPr>
                  <w:tcW w:w="2986" w:type="pct"/>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Some emergency provision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Treatment of most acute and chronic eye problems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24 hour accident and emergency provision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Adults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Cataract Surgery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YAG capsulotomy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Keratoconus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Corneal keratitis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Acute Angle Closure Glaucoma</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Acute/complex Glaucoma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Eye Lid malposition (ectropion/ entropian/ recurrent triachisis with direct listing) (Operate)</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Persistent chalazion</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Anterior segment activity pathology excluding that stated above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Uveitis (intermediate)</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Optic nerve pathology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Retinal active pathology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Age related Macular Degeneration (AMD) –Wet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New onset flashes and floaters –before 6 weeks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Central nervous disorders with visual problems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Adults who have sudden onset diplopia</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Diabetic retinopathy as per screening protocol</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Strabismus (Heterotropia) (Adult)  - (New squints only)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Paediatrics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Child under reading age with eye problems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Child with painful eye that cannot be easily examined with a slit lamp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Childhood Epiphora greater than 6 months or with pathology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Amblyopia (unstable) children under the age of 6</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Cerebral palsy with eye complications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Developmental pathology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Genetic disorders with complications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Downs Syndrome (discharged to community at age 7yrs)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Congenital and acquire cataracts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Paediatric ptosis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Squint –Children</w:t>
                  </w:r>
                </w:p>
              </w:tc>
            </w:tr>
          </w:tbl>
          <w:p w:rsidR="00A405FD" w:rsidRDefault="00A405FD" w:rsidP="00B55368">
            <w:pPr>
              <w:rPr>
                <w:rFonts w:ascii="Arial" w:hAnsi="Arial" w:cs="Arial"/>
                <w:b/>
                <w:sz w:val="20"/>
                <w:szCs w:val="20"/>
              </w:rPr>
            </w:pPr>
          </w:p>
          <w:p w:rsidR="00B55368" w:rsidRPr="00A405FD" w:rsidRDefault="00B55368" w:rsidP="00B55368">
            <w:pPr>
              <w:rPr>
                <w:rFonts w:ascii="Arial" w:hAnsi="Arial" w:cs="Arial"/>
                <w:b/>
                <w:sz w:val="20"/>
                <w:szCs w:val="20"/>
              </w:rPr>
            </w:pPr>
            <w:r w:rsidRPr="00A405FD">
              <w:rPr>
                <w:rFonts w:ascii="Arial" w:hAnsi="Arial" w:cs="Arial"/>
                <w:b/>
                <w:sz w:val="20"/>
                <w:szCs w:val="20"/>
              </w:rPr>
              <w:t>3.4.2 Exclusion criteria</w:t>
            </w:r>
          </w:p>
          <w:p w:rsidR="00B55368" w:rsidRPr="00A405FD" w:rsidRDefault="00B55368" w:rsidP="00B55368">
            <w:pPr>
              <w:rPr>
                <w:rFonts w:ascii="Arial" w:hAnsi="Arial" w:cs="Arial"/>
                <w:sz w:val="20"/>
                <w:szCs w:val="20"/>
              </w:rPr>
            </w:pPr>
            <w:r w:rsidRPr="00A405FD">
              <w:rPr>
                <w:rFonts w:ascii="Arial" w:hAnsi="Arial" w:cs="Arial"/>
                <w:sz w:val="20"/>
                <w:szCs w:val="20"/>
              </w:rPr>
              <w:t>The service is not available to:</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not registered with a Coventry and Warwickshire STP GP;</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who require inpatient and/or emergency care services;</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with post-operative or post-traumatic complications;</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who require a second surgical opinion;</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Cases where cancer is suspected based on agreed protocols with primary and secondary care;</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in need of surgical care</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Diabetic retinopathy screening and treatment</w:t>
            </w:r>
          </w:p>
          <w:p w:rsidR="00B55368" w:rsidRPr="00A405FD" w:rsidRDefault="00B55368" w:rsidP="00B55368">
            <w:pPr>
              <w:spacing w:after="0" w:line="240" w:lineRule="auto"/>
              <w:ind w:left="72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3.5</w:t>
            </w:r>
            <w:r w:rsidRPr="00A405FD">
              <w:rPr>
                <w:rFonts w:ascii="Arial" w:hAnsi="Arial" w:cs="Arial"/>
                <w:b/>
                <w:color w:val="009966"/>
                <w:sz w:val="20"/>
                <w:szCs w:val="20"/>
              </w:rPr>
              <w:tab/>
              <w:t>Interdependence with other services/providers</w:t>
            </w:r>
          </w:p>
          <w:p w:rsidR="00B55368" w:rsidRPr="00A405FD" w:rsidRDefault="00B55368" w:rsidP="00B55368">
            <w:pPr>
              <w:spacing w:after="0"/>
              <w:rPr>
                <w:rFonts w:ascii="Arial" w:hAnsi="Arial" w:cs="Arial"/>
                <w:color w:val="009966"/>
                <w:sz w:val="20"/>
                <w:szCs w:val="20"/>
              </w:rPr>
            </w:pPr>
          </w:p>
          <w:p w:rsidR="00B55368" w:rsidRPr="00A405FD" w:rsidRDefault="00B55368" w:rsidP="00B55368">
            <w:pPr>
              <w:spacing w:after="0"/>
              <w:rPr>
                <w:rFonts w:ascii="Arial" w:hAnsi="Arial" w:cs="Arial"/>
                <w:sz w:val="20"/>
                <w:szCs w:val="20"/>
              </w:rPr>
            </w:pPr>
            <w:r w:rsidRPr="00A405FD">
              <w:rPr>
                <w:rFonts w:ascii="Arial" w:hAnsi="Arial" w:cs="Arial"/>
                <w:sz w:val="20"/>
                <w:szCs w:val="20"/>
              </w:rPr>
              <w:t>The service will be dependent on referrals from south Warwickshire GPs and optometrists and the Provider will work collaboratively with stakeholders in the local health economy and to develop shared care pathways and joint working across primary and secondary care.</w:t>
            </w:r>
          </w:p>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sz w:val="20"/>
                <w:szCs w:val="20"/>
              </w:rPr>
            </w:pPr>
            <w:r w:rsidRPr="00A405FD">
              <w:rPr>
                <w:rFonts w:ascii="Arial" w:hAnsi="Arial" w:cs="Arial"/>
                <w:sz w:val="20"/>
                <w:szCs w:val="20"/>
              </w:rPr>
              <w:t>The Provider will develop strong relationships with:</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Primary care and local optometrists;</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Acute secondary care</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Other community providers; and</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The wider community of patients and the public</w:t>
            </w:r>
          </w:p>
          <w:p w:rsidR="00B55368" w:rsidRPr="00A405FD" w:rsidRDefault="00B55368" w:rsidP="00B55368">
            <w:pPr>
              <w:spacing w:before="120"/>
              <w:rPr>
                <w:rFonts w:ascii="Arial" w:hAnsi="Arial" w:cs="Arial"/>
                <w:sz w:val="20"/>
                <w:szCs w:val="20"/>
              </w:rPr>
            </w:pPr>
            <w:r w:rsidRPr="00A405FD">
              <w:rPr>
                <w:rFonts w:ascii="Arial" w:hAnsi="Arial" w:cs="Arial"/>
                <w:sz w:val="20"/>
                <w:szCs w:val="20"/>
              </w:rPr>
              <w:t xml:space="preserve">The engagement and satisfaction of GPs and optometrists will be vital to the success of the service. Therefore, the Provider will need to ensure it is trusted by GPs and optometrists to manage their patients appropriately. </w:t>
            </w:r>
          </w:p>
          <w:p w:rsidR="00B55368" w:rsidRPr="00A405FD" w:rsidRDefault="00B55368" w:rsidP="00B55368">
            <w:pPr>
              <w:rPr>
                <w:rFonts w:ascii="Arial" w:hAnsi="Arial" w:cs="Arial"/>
                <w:sz w:val="20"/>
                <w:szCs w:val="20"/>
              </w:rPr>
            </w:pPr>
            <w:r w:rsidRPr="00A405FD">
              <w:rPr>
                <w:rFonts w:ascii="Arial" w:hAnsi="Arial" w:cs="Arial"/>
                <w:sz w:val="20"/>
                <w:szCs w:val="20"/>
              </w:rPr>
              <w:t>The new service will be approachable for local GPs and optometrists, who will be able to ask for advice and guidance via the phone or email before referring a patient. The Provider will offer contact details of suitable clinical staff to facilitate this.</w:t>
            </w:r>
          </w:p>
          <w:p w:rsidR="00B55368" w:rsidRPr="00A405FD" w:rsidRDefault="00B55368" w:rsidP="00B55368">
            <w:pPr>
              <w:rPr>
                <w:rFonts w:ascii="Arial" w:hAnsi="Arial" w:cs="Arial"/>
                <w:sz w:val="20"/>
                <w:szCs w:val="20"/>
              </w:rPr>
            </w:pPr>
            <w:r w:rsidRPr="00A405FD">
              <w:rPr>
                <w:rFonts w:ascii="Arial" w:hAnsi="Arial" w:cs="Arial"/>
                <w:sz w:val="20"/>
                <w:szCs w:val="20"/>
              </w:rPr>
              <w:t>The Provider will ensure that it has strong relationships with secondary providers to ensure onward referrals are not jeopardised. It will work with secondary care providers to ensure treatment or tests are not duplicated in different settings. This includes offering secondary care access to test results and ensuring onward referrals include all relevant information.</w:t>
            </w: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3.6</w:t>
            </w:r>
            <w:r w:rsidRPr="00A405FD">
              <w:rPr>
                <w:rFonts w:ascii="Arial" w:hAnsi="Arial" w:cs="Arial"/>
                <w:b/>
                <w:color w:val="009966"/>
                <w:sz w:val="20"/>
                <w:szCs w:val="20"/>
              </w:rPr>
              <w:tab/>
              <w:t>Cancellation of Sessions / DNAs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jc w:val="both"/>
              <w:rPr>
                <w:rFonts w:ascii="Arial" w:hAnsi="Arial" w:cs="Arial"/>
                <w:color w:val="000000" w:themeColor="text1"/>
                <w:sz w:val="20"/>
                <w:szCs w:val="20"/>
              </w:rPr>
            </w:pPr>
            <w:r w:rsidRPr="00A405FD">
              <w:rPr>
                <w:rFonts w:ascii="Arial" w:hAnsi="Arial" w:cs="Arial"/>
                <w:sz w:val="20"/>
                <w:szCs w:val="20"/>
              </w:rPr>
              <w:t xml:space="preserve">The Provider will be </w:t>
            </w:r>
            <w:r w:rsidRPr="00A405FD">
              <w:rPr>
                <w:rFonts w:ascii="Arial" w:hAnsi="Arial" w:cs="Arial"/>
                <w:color w:val="000000" w:themeColor="text1"/>
                <w:sz w:val="20"/>
                <w:szCs w:val="20"/>
              </w:rPr>
              <w:t>expected to develop and agree a Patient Access Policy with Commissioners to manage session cancellations and patient DNAs.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jc w:val="both"/>
              <w:rPr>
                <w:rFonts w:ascii="Arial" w:hAnsi="Arial" w:cs="Arial"/>
                <w:b/>
                <w:color w:val="009966"/>
                <w:sz w:val="20"/>
                <w:szCs w:val="20"/>
              </w:rPr>
            </w:pPr>
            <w:r w:rsidRPr="00A405FD">
              <w:rPr>
                <w:rFonts w:ascii="Arial" w:hAnsi="Arial" w:cs="Arial"/>
                <w:b/>
                <w:color w:val="009966"/>
                <w:sz w:val="20"/>
                <w:szCs w:val="20"/>
              </w:rPr>
              <w:t>3.7</w:t>
            </w:r>
            <w:r w:rsidRPr="00A405FD">
              <w:rPr>
                <w:rFonts w:ascii="Arial" w:hAnsi="Arial" w:cs="Arial"/>
                <w:b/>
                <w:color w:val="009966"/>
                <w:sz w:val="20"/>
                <w:szCs w:val="20"/>
              </w:rPr>
              <w:tab/>
              <w:t>Hours of Work</w:t>
            </w:r>
          </w:p>
          <w:p w:rsidR="00B55368" w:rsidRPr="00A405FD" w:rsidRDefault="00B55368" w:rsidP="00B55368">
            <w:pPr>
              <w:spacing w:after="0"/>
              <w:jc w:val="both"/>
              <w:rPr>
                <w:rFonts w:ascii="Arial" w:hAnsi="Arial" w:cs="Arial"/>
                <w:color w:val="000000" w:themeColor="text1"/>
                <w:sz w:val="20"/>
                <w:szCs w:val="20"/>
              </w:rPr>
            </w:pPr>
            <w:r w:rsidRPr="00A405FD">
              <w:rPr>
                <w:rFonts w:ascii="Arial" w:hAnsi="Arial" w:cs="Arial"/>
                <w:color w:val="000000" w:themeColor="text1"/>
                <w:sz w:val="20"/>
                <w:szCs w:val="20"/>
              </w:rPr>
              <w:t>The Provider will be expected to provide appropriate access for patients in clinic to meet demand and waiting time criteria, which will meet the needs of the patient population, to include evening and weekend access.</w:t>
            </w:r>
          </w:p>
          <w:p w:rsidR="00B55368" w:rsidRDefault="00B55368" w:rsidP="00B55368">
            <w:pPr>
              <w:spacing w:after="0"/>
              <w:jc w:val="both"/>
              <w:rPr>
                <w:rFonts w:ascii="Arial" w:hAnsi="Arial" w:cs="Arial"/>
                <w:color w:val="000000" w:themeColor="text1"/>
                <w:sz w:val="20"/>
                <w:szCs w:val="20"/>
              </w:rPr>
            </w:pPr>
          </w:p>
          <w:p w:rsidR="00A405FD" w:rsidRDefault="00A405FD" w:rsidP="00B55368">
            <w:pPr>
              <w:spacing w:after="0"/>
              <w:jc w:val="both"/>
              <w:rPr>
                <w:rFonts w:ascii="Arial" w:hAnsi="Arial" w:cs="Arial"/>
                <w:color w:val="000000" w:themeColor="text1"/>
                <w:sz w:val="20"/>
                <w:szCs w:val="20"/>
              </w:rPr>
            </w:pPr>
          </w:p>
          <w:p w:rsidR="00A405FD" w:rsidRPr="00A405FD" w:rsidRDefault="00A405FD" w:rsidP="00B55368">
            <w:pPr>
              <w:spacing w:after="0"/>
              <w:jc w:val="both"/>
              <w:rPr>
                <w:rFonts w:ascii="Arial" w:hAnsi="Arial" w:cs="Arial"/>
                <w:color w:val="000000" w:themeColor="text1"/>
                <w:sz w:val="20"/>
                <w:szCs w:val="20"/>
              </w:rPr>
            </w:pPr>
          </w:p>
          <w:p w:rsidR="00B55368" w:rsidRPr="00A405FD" w:rsidRDefault="00B55368" w:rsidP="00B55368">
            <w:pPr>
              <w:jc w:val="both"/>
              <w:rPr>
                <w:rFonts w:ascii="Arial" w:hAnsi="Arial" w:cs="Arial"/>
                <w:b/>
                <w:color w:val="009966"/>
                <w:sz w:val="20"/>
                <w:szCs w:val="20"/>
              </w:rPr>
            </w:pPr>
            <w:r w:rsidRPr="00A405FD">
              <w:rPr>
                <w:rFonts w:ascii="Arial" w:hAnsi="Arial" w:cs="Arial"/>
                <w:b/>
                <w:color w:val="009966"/>
                <w:sz w:val="20"/>
                <w:szCs w:val="20"/>
              </w:rPr>
              <w:t>3.8</w:t>
            </w:r>
            <w:r w:rsidRPr="00A405FD">
              <w:rPr>
                <w:rFonts w:ascii="Arial" w:hAnsi="Arial" w:cs="Arial"/>
                <w:b/>
                <w:color w:val="009966"/>
                <w:sz w:val="20"/>
                <w:szCs w:val="20"/>
              </w:rPr>
              <w:tab/>
              <w:t>Interpreting Services</w:t>
            </w:r>
          </w:p>
          <w:p w:rsidR="00B55368" w:rsidRPr="00A405FD" w:rsidRDefault="00B55368" w:rsidP="00B55368">
            <w:pPr>
              <w:jc w:val="both"/>
              <w:rPr>
                <w:rFonts w:ascii="Arial" w:hAnsi="Arial" w:cs="Arial"/>
                <w:sz w:val="20"/>
                <w:szCs w:val="20"/>
              </w:rPr>
            </w:pPr>
            <w:r w:rsidRPr="00A405FD">
              <w:rPr>
                <w:rFonts w:ascii="Arial" w:hAnsi="Arial" w:cs="Arial"/>
                <w:sz w:val="20"/>
                <w:szCs w:val="20"/>
              </w:rPr>
              <w:t>The service will be required to have access to and the ability to arrange interpretation services whenever this may prove of value to the effective delivery of the service and in response to patient’s needs.  All costs of these services shall be met by the provider.</w:t>
            </w:r>
          </w:p>
          <w:p w:rsidR="00B55368" w:rsidRPr="00A405FD" w:rsidRDefault="00B55368" w:rsidP="00B55368">
            <w:pPr>
              <w:jc w:val="both"/>
              <w:rPr>
                <w:rFonts w:ascii="Arial" w:hAnsi="Arial" w:cs="Arial"/>
                <w:b/>
                <w:color w:val="009966"/>
                <w:sz w:val="20"/>
                <w:szCs w:val="20"/>
              </w:rPr>
            </w:pPr>
            <w:r w:rsidRPr="00A405FD">
              <w:rPr>
                <w:rFonts w:ascii="Arial" w:hAnsi="Arial" w:cs="Arial"/>
                <w:b/>
                <w:color w:val="009966"/>
                <w:sz w:val="20"/>
                <w:szCs w:val="20"/>
              </w:rPr>
              <w:t>3.9</w:t>
            </w:r>
            <w:r w:rsidRPr="00A405FD">
              <w:rPr>
                <w:rFonts w:ascii="Arial" w:hAnsi="Arial" w:cs="Arial"/>
                <w:b/>
                <w:color w:val="009966"/>
                <w:sz w:val="20"/>
                <w:szCs w:val="20"/>
              </w:rPr>
              <w:tab/>
              <w:t>Patient Communication</w:t>
            </w:r>
          </w:p>
          <w:p w:rsidR="00B55368" w:rsidRPr="00A405FD" w:rsidRDefault="00B55368" w:rsidP="00B55368">
            <w:pPr>
              <w:spacing w:before="240"/>
              <w:jc w:val="both"/>
              <w:rPr>
                <w:rFonts w:ascii="Arial" w:hAnsi="Arial" w:cs="Arial"/>
                <w:sz w:val="20"/>
                <w:szCs w:val="20"/>
              </w:rPr>
            </w:pPr>
            <w:r w:rsidRPr="00A405FD">
              <w:rPr>
                <w:rFonts w:ascii="Arial" w:hAnsi="Arial" w:cs="Arial"/>
                <w:sz w:val="20"/>
                <w:szCs w:val="20"/>
              </w:rPr>
              <w:t xml:space="preserve">Patients will be enabled to choose a time and appointment to best suit their needs including evening and weekends. To facilitate </w:t>
            </w:r>
            <w:proofErr w:type="gramStart"/>
            <w:r w:rsidRPr="00A405FD">
              <w:rPr>
                <w:rFonts w:ascii="Arial" w:hAnsi="Arial" w:cs="Arial"/>
                <w:sz w:val="20"/>
                <w:szCs w:val="20"/>
              </w:rPr>
              <w:t>this the</w:t>
            </w:r>
            <w:proofErr w:type="gramEnd"/>
            <w:r w:rsidRPr="00A405FD">
              <w:rPr>
                <w:rFonts w:ascii="Arial" w:hAnsi="Arial" w:cs="Arial"/>
                <w:sz w:val="20"/>
                <w:szCs w:val="20"/>
              </w:rPr>
              <w:t xml:space="preserve"> service must be fully published on e-referral. Patients will be reminded of their appointment schedule using a digital solution to include the provision of text reminders where appropriate. Consideration should be given patients’ availability and the provision of telephone consultation for example, should be an available option where clinically appropriate. Should patients need to cancel and/or rearrange their appointment, their choice of alternative appointment should not be compromised.</w:t>
            </w:r>
          </w:p>
          <w:p w:rsidR="00B55368" w:rsidRPr="00A405FD" w:rsidRDefault="00B55368" w:rsidP="00B55368">
            <w:pPr>
              <w:jc w:val="both"/>
              <w:rPr>
                <w:rFonts w:ascii="Arial" w:hAnsi="Arial" w:cs="Arial"/>
                <w:sz w:val="20"/>
                <w:szCs w:val="20"/>
              </w:rPr>
            </w:pPr>
            <w:r w:rsidRPr="00A405FD">
              <w:rPr>
                <w:rFonts w:ascii="Arial" w:hAnsi="Arial" w:cs="Arial"/>
                <w:sz w:val="20"/>
                <w:szCs w:val="20"/>
              </w:rPr>
              <w:t>Patients will be fully informed about their treatment options, have the ability to input into the decision about their care and will have the opportunity to discuss their treatment further at any point during their treatment journey. The use of Patient Decision Making Tools will be promoted, to involve and inform patients and their carers about the options available to them and will, where appropriate, direct the patient to the NHS right care decision aids (</w:t>
            </w:r>
            <w:hyperlink r:id="rId11" w:history="1">
              <w:r w:rsidRPr="00A405FD">
                <w:rPr>
                  <w:rFonts w:ascii="Arial" w:hAnsi="Arial" w:cs="Arial"/>
                  <w:color w:val="0000FF" w:themeColor="hyperlink"/>
                  <w:sz w:val="20"/>
                  <w:szCs w:val="20"/>
                  <w:u w:val="single"/>
                </w:rPr>
                <w:t>http://sdm.rightcare.nhs.uk/pda/</w:t>
              </w:r>
            </w:hyperlink>
            <w:r w:rsidRPr="00A405FD">
              <w:rPr>
                <w:rFonts w:ascii="Arial" w:hAnsi="Arial" w:cs="Arial"/>
                <w:sz w:val="20"/>
                <w:szCs w:val="20"/>
              </w:rPr>
              <w:t>) when making a recommendation for treatment. The service must fully embrace Shared Decision Making, operating using this approach, including the use of available tools and ensuring that front-line staff are appropriately trained and competent in this area.</w:t>
            </w:r>
          </w:p>
          <w:p w:rsidR="00B55368" w:rsidRPr="00A405FD" w:rsidRDefault="00B55368" w:rsidP="00B55368">
            <w:pPr>
              <w:rPr>
                <w:rFonts w:ascii="Arial" w:hAnsi="Arial" w:cs="Arial"/>
                <w:sz w:val="20"/>
                <w:szCs w:val="20"/>
              </w:rPr>
            </w:pPr>
            <w:r w:rsidRPr="00A405FD">
              <w:rPr>
                <w:rFonts w:ascii="Arial" w:hAnsi="Arial" w:cs="Arial"/>
                <w:sz w:val="20"/>
                <w:szCs w:val="20"/>
              </w:rPr>
              <w:t>When discussing potential treatment pathways, patients should be made aware of treatment options and the expected outcome at the end of the duration of treatment. In line with patient decision making tools, patients should be kept well informed of their clinical treatment pathway and provided with realistic timescales from the outset and throughout.</w:t>
            </w:r>
          </w:p>
          <w:p w:rsidR="00B55368" w:rsidRPr="00A405FD" w:rsidRDefault="00B55368" w:rsidP="00B55368">
            <w:pPr>
              <w:jc w:val="both"/>
              <w:rPr>
                <w:rFonts w:ascii="Arial" w:hAnsi="Arial" w:cs="Arial"/>
                <w:b/>
                <w:color w:val="009966"/>
                <w:sz w:val="20"/>
                <w:szCs w:val="20"/>
              </w:rPr>
            </w:pPr>
            <w:r w:rsidRPr="00A405FD">
              <w:rPr>
                <w:rFonts w:ascii="Arial" w:hAnsi="Arial" w:cs="Arial"/>
                <w:sz w:val="20"/>
                <w:szCs w:val="20"/>
              </w:rPr>
              <w:t>The Provider will send a copy of the discharge document to the patient (or carer, where appropriate) to include contact information should the patient have need to contact the service following discharge.</w:t>
            </w: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4.</w:t>
            </w:r>
            <w:r w:rsidRPr="00A405FD">
              <w:rPr>
                <w:rFonts w:ascii="Arial" w:hAnsi="Arial" w:cs="Arial"/>
                <w:b/>
                <w:color w:val="F79646"/>
                <w:sz w:val="20"/>
                <w:szCs w:val="20"/>
              </w:rPr>
              <w:tab/>
              <w:t>Applicable Service Standards</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4.1</w:t>
            </w:r>
            <w:r w:rsidRPr="00A405FD">
              <w:rPr>
                <w:rFonts w:ascii="Arial" w:hAnsi="Arial" w:cs="Arial"/>
                <w:b/>
                <w:color w:val="009966"/>
                <w:sz w:val="20"/>
                <w:szCs w:val="20"/>
              </w:rPr>
              <w:tab/>
              <w:t>Applicable national standards (eg NICE)</w:t>
            </w: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It is the responsibility of the Provider to ensure the implementation of all relevant NICE guidance relating to ophthalmic conditions  and low priority procedures as directed by the lead  CCGs Risk &amp; Clinical Governance Committee, CCG Board and Public Health Directorate</w:t>
            </w: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4.1.2 Infection control</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A405FD">
            <w:pPr>
              <w:rPr>
                <w:rFonts w:ascii="Arial" w:hAnsi="Arial" w:cs="Arial"/>
                <w:bCs/>
                <w:color w:val="000000"/>
                <w:sz w:val="20"/>
                <w:szCs w:val="20"/>
              </w:rPr>
            </w:pPr>
            <w:r w:rsidRPr="00A405FD">
              <w:rPr>
                <w:rFonts w:ascii="Arial" w:hAnsi="Arial" w:cs="Arial"/>
                <w:bCs/>
                <w:color w:val="000000"/>
                <w:sz w:val="20"/>
                <w:szCs w:val="20"/>
              </w:rPr>
              <w:t>Providers should meet the requirements in infection prevention and control as identified within The Health Act 2008, Code of Practice for Infection Prevention and Control of Healthcare associated Infections (DH 2008) and describe their arrangement for compliance.</w:t>
            </w:r>
          </w:p>
          <w:p w:rsidR="00B55368" w:rsidRPr="00A405FD" w:rsidRDefault="00B55368" w:rsidP="00B55368">
            <w:pPr>
              <w:spacing w:after="0"/>
              <w:ind w:left="743" w:hanging="743"/>
              <w:rPr>
                <w:rFonts w:ascii="Arial" w:hAnsi="Arial" w:cs="Arial"/>
                <w:b/>
                <w:color w:val="009966"/>
                <w:sz w:val="20"/>
                <w:szCs w:val="20"/>
              </w:rPr>
            </w:pPr>
            <w:r w:rsidRPr="00A405FD">
              <w:rPr>
                <w:rFonts w:ascii="Arial" w:hAnsi="Arial" w:cs="Arial"/>
                <w:b/>
                <w:color w:val="009966"/>
                <w:sz w:val="20"/>
                <w:szCs w:val="20"/>
              </w:rPr>
              <w:t>4.2</w:t>
            </w:r>
            <w:r w:rsidRPr="00A405FD">
              <w:rPr>
                <w:rFonts w:ascii="Arial" w:hAnsi="Arial" w:cs="Arial"/>
                <w:b/>
                <w:color w:val="009966"/>
                <w:sz w:val="20"/>
                <w:szCs w:val="20"/>
              </w:rPr>
              <w:tab/>
              <w:t xml:space="preserve">Applicable standards set out in Guidance and/or issued by a competent body (eg Royal Colleges) </w:t>
            </w:r>
          </w:p>
          <w:p w:rsidR="00B55368" w:rsidRPr="00A405FD" w:rsidRDefault="00B55368" w:rsidP="00B55368">
            <w:pPr>
              <w:spacing w:after="0"/>
              <w:ind w:left="743" w:hanging="743"/>
              <w:rPr>
                <w:rFonts w:ascii="Arial" w:hAnsi="Arial" w:cs="Arial"/>
                <w:color w:val="009966"/>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4.3</w:t>
            </w:r>
            <w:r w:rsidRPr="00A405FD">
              <w:rPr>
                <w:rFonts w:ascii="Arial" w:hAnsi="Arial" w:cs="Arial"/>
                <w:b/>
                <w:color w:val="009966"/>
                <w:sz w:val="20"/>
                <w:szCs w:val="20"/>
              </w:rPr>
              <w:tab/>
              <w:t>Applicable local standards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4.3.1 Development of patient  centred service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Clinical services must be patient-focused and of a high quality resulting in high patient satisfaction levels, delivered in an environment that provides a positive patient experience using correct clinical facilities by appropriately qualified clinical staff.  The Provider will need to ensure that services provision is adapted to meet the needs of vulnerable people, people with learning and physical difficulties and mental health needs.</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will be required to demonstrate:</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it aims to make services accessible and convenient for all patient  groups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it will ensure that its services are appropriate and responsive to needs of all   patient  groups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it will involve all patient  groups in delivering or designing its services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progress in the above areas will be monitored and evaluated</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4.3.2 Compliance with policies and procedures</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must comply with the following:</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Standards for Better Health (of most up-to-date equivalent)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Individual CCGs policies on consent and complaints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Relevant legal and regulatory requirements in relation to the provider and the service provision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Health and Safety legislation &amp; associated legislation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Management of Medical Devices Policy</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Incident Reporting Procedure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Serious Untoward Incident Reporting Policy</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4.3.3 Governance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provider shall put into place a system that demonstrates the governance arrangements for the organisation including managing risk. </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Clinical Governance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A “system of clinical governance” means a framework through which the Contractor endeavours continuously to improve the quality of its services and safeguard high standards of care by creating an environment in which clinical excellence can flourish.</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shall have an effective system of clinical governance.  The Provider must put in place appropriate and effective arrangements for quality assurance, continuous quality improvement and risk management, including audit.</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exact contract form and payment mechanism will be determined in the contracting phase with the successful providers.  </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4.3.4 Insurance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It is the responsibility of the provider to have the following insurance and maintain all insurance policies.  The provider must provide details of the following insurance cover:</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Employee liability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Public liability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Clinical negligence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Buildings and/or property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Contents insurance</w:t>
            </w:r>
          </w:p>
          <w:p w:rsidR="00B55368" w:rsidRPr="00A405FD" w:rsidRDefault="00B55368" w:rsidP="00B55368">
            <w:pPr>
              <w:spacing w:after="0"/>
              <w:rPr>
                <w:rFonts w:ascii="Arial" w:hAnsi="Arial" w:cs="Arial"/>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5.</w:t>
            </w:r>
            <w:r w:rsidRPr="00A405FD">
              <w:rPr>
                <w:rFonts w:ascii="Arial" w:hAnsi="Arial" w:cs="Arial"/>
                <w:b/>
                <w:color w:val="F79646"/>
                <w:sz w:val="20"/>
                <w:szCs w:val="20"/>
              </w:rPr>
              <w:tab/>
              <w:t>Applicable quality requirements and CQUIN goals</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color w:val="009966"/>
                <w:sz w:val="20"/>
                <w:szCs w:val="20"/>
              </w:rPr>
            </w:pPr>
          </w:p>
          <w:p w:rsidR="00B55368" w:rsidRPr="00A405FD" w:rsidRDefault="00B55368" w:rsidP="00B55368">
            <w:pPr>
              <w:numPr>
                <w:ilvl w:val="1"/>
                <w:numId w:val="4"/>
              </w:numPr>
              <w:spacing w:after="0" w:line="240" w:lineRule="auto"/>
              <w:ind w:left="743" w:hanging="743"/>
              <w:rPr>
                <w:rFonts w:ascii="Arial" w:hAnsi="Arial" w:cs="Arial"/>
                <w:b/>
                <w:color w:val="00B050"/>
                <w:sz w:val="20"/>
                <w:szCs w:val="20"/>
              </w:rPr>
            </w:pPr>
            <w:r w:rsidRPr="00A405FD">
              <w:rPr>
                <w:rFonts w:ascii="Arial" w:hAnsi="Arial" w:cs="Arial"/>
                <w:b/>
                <w:color w:val="00B050"/>
                <w:sz w:val="20"/>
                <w:szCs w:val="20"/>
              </w:rPr>
              <w:t>Applicable Quality Requirements (See Schedule 4 Parts [A-D])</w:t>
            </w:r>
          </w:p>
          <w:p w:rsidR="00B55368" w:rsidRPr="00A405FD" w:rsidRDefault="00B55368" w:rsidP="00B55368">
            <w:pPr>
              <w:spacing w:after="0" w:line="240" w:lineRule="auto"/>
              <w:ind w:left="743"/>
              <w:rPr>
                <w:rFonts w:ascii="Arial" w:hAnsi="Arial" w:cs="Arial"/>
                <w:b/>
                <w:color w:val="00B050"/>
                <w:sz w:val="20"/>
                <w:szCs w:val="20"/>
              </w:rPr>
            </w:pPr>
          </w:p>
          <w:p w:rsidR="00B55368" w:rsidRPr="00A405FD" w:rsidRDefault="00B55368" w:rsidP="00B55368">
            <w:pPr>
              <w:rPr>
                <w:rFonts w:ascii="Arial" w:hAnsi="Arial" w:cs="Arial"/>
                <w:b/>
                <w:sz w:val="20"/>
                <w:szCs w:val="20"/>
              </w:rPr>
            </w:pPr>
            <w:r w:rsidRPr="00A405FD">
              <w:rPr>
                <w:rFonts w:ascii="Arial" w:hAnsi="Arial" w:cs="Arial"/>
                <w:b/>
                <w:sz w:val="20"/>
                <w:szCs w:val="20"/>
              </w:rPr>
              <w:t>Contract management and reporting</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will be required to present quarterly activity and key performance indicator reports to the CCG to include but not be limited to the following information:</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Activity Reporting-Split by GP practice code:</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Total number of patients triaged into Tier 2 service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Total number of patients triaged into each triage outcome i.e. intermediate service, Secondary care, community, domiciliary etc.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Nature of condition presented/diagnosis (appropriately coded)</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sessions per quarter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patients seen within each session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new appointments within each session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follow-up appointments within each session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Nature of treatments administered (appropriately coded)</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patients referred on to secondary care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patients discharged at first appointment</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Waiting times </w:t>
            </w:r>
          </w:p>
          <w:p w:rsidR="00B55368" w:rsidRPr="00A405FD" w:rsidRDefault="00B55368" w:rsidP="00B55368">
            <w:pPr>
              <w:spacing w:after="0"/>
              <w:rPr>
                <w:rFonts w:ascii="Arial" w:hAnsi="Arial" w:cs="Arial"/>
                <w:bCs/>
                <w:color w:val="000000"/>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Key performance Indicators:</w:t>
            </w:r>
          </w:p>
          <w:p w:rsidR="00B55368" w:rsidRPr="00A405FD" w:rsidRDefault="00B55368" w:rsidP="00B55368">
            <w:pPr>
              <w:spacing w:after="0" w:line="240" w:lineRule="auto"/>
              <w:jc w:val="both"/>
              <w:rPr>
                <w:rFonts w:ascii="Arial" w:eastAsia="Times New Roman" w:hAnsi="Arial" w:cs="Arial"/>
                <w:bCs/>
                <w:sz w:val="20"/>
                <w:szCs w:val="20"/>
              </w:rPr>
            </w:pPr>
          </w:p>
          <w:tbl>
            <w:tblPr>
              <w:tblW w:w="8661" w:type="dxa"/>
              <w:tblInd w:w="94" w:type="dxa"/>
              <w:tblCellMar>
                <w:left w:w="0" w:type="dxa"/>
                <w:right w:w="0" w:type="dxa"/>
              </w:tblCellMar>
              <w:tblLook w:val="04A0" w:firstRow="1" w:lastRow="0" w:firstColumn="1" w:lastColumn="0" w:noHBand="0" w:noVBand="1"/>
            </w:tblPr>
            <w:tblGrid>
              <w:gridCol w:w="960"/>
              <w:gridCol w:w="6142"/>
              <w:gridCol w:w="1559"/>
            </w:tblGrid>
            <w:tr w:rsidR="00B55368" w:rsidRPr="00A405FD" w:rsidTr="006168E0">
              <w:trPr>
                <w:trHeight w:val="255"/>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b/>
                      <w:bCs/>
                      <w:sz w:val="20"/>
                      <w:szCs w:val="20"/>
                    </w:rPr>
                  </w:pPr>
                  <w:r w:rsidRPr="00A405FD">
                    <w:rPr>
                      <w:rFonts w:ascii="Arial" w:hAnsi="Arial" w:cs="Arial"/>
                      <w:b/>
                      <w:bCs/>
                      <w:sz w:val="20"/>
                      <w:szCs w:val="20"/>
                    </w:rPr>
                    <w:t>No</w:t>
                  </w:r>
                </w:p>
              </w:tc>
              <w:tc>
                <w:tcPr>
                  <w:tcW w:w="61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b/>
                      <w:bCs/>
                      <w:sz w:val="20"/>
                      <w:szCs w:val="20"/>
                    </w:rPr>
                  </w:pPr>
                  <w:r w:rsidRPr="00A405FD">
                    <w:rPr>
                      <w:rFonts w:ascii="Arial" w:hAnsi="Arial" w:cs="Arial"/>
                      <w:b/>
                      <w:bCs/>
                      <w:sz w:val="20"/>
                      <w:szCs w:val="20"/>
                    </w:rPr>
                    <w:t>KPI Descriptor</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b/>
                      <w:bCs/>
                      <w:sz w:val="20"/>
                      <w:szCs w:val="20"/>
                    </w:rPr>
                  </w:pPr>
                  <w:r w:rsidRPr="00A405FD">
                    <w:rPr>
                      <w:rFonts w:ascii="Arial" w:hAnsi="Arial" w:cs="Arial"/>
                      <w:b/>
                      <w:bCs/>
                      <w:sz w:val="20"/>
                      <w:szCs w:val="20"/>
                    </w:rPr>
                    <w:t>Rating</w:t>
                  </w:r>
                </w:p>
              </w:tc>
            </w:tr>
            <w:tr w:rsidR="00B55368" w:rsidRPr="00A405FD" w:rsidTr="006168E0">
              <w:trPr>
                <w:trHeight w:val="255"/>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B55368" w:rsidRPr="00A405FD" w:rsidRDefault="00B55368" w:rsidP="006168E0">
                  <w:pPr>
                    <w:rPr>
                      <w:rFonts w:ascii="Arial" w:hAnsi="Arial" w:cs="Arial"/>
                      <w:sz w:val="20"/>
                      <w:szCs w:val="20"/>
                    </w:rPr>
                  </w:pPr>
                  <w:r w:rsidRPr="00A405FD">
                    <w:rPr>
                      <w:rFonts w:ascii="Arial" w:hAnsi="Arial" w:cs="Arial"/>
                      <w:sz w:val="20"/>
                      <w:szCs w:val="20"/>
                    </w:rPr>
                    <w:t>1</w:t>
                  </w:r>
                </w:p>
              </w:tc>
              <w:tc>
                <w:tcPr>
                  <w:tcW w:w="61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55368" w:rsidRPr="00A405FD" w:rsidRDefault="00B55368" w:rsidP="006168E0">
                  <w:pPr>
                    <w:rPr>
                      <w:rFonts w:ascii="Arial" w:hAnsi="Arial" w:cs="Arial"/>
                      <w:sz w:val="20"/>
                      <w:szCs w:val="20"/>
                    </w:rPr>
                  </w:pPr>
                  <w:r w:rsidRPr="00A405FD">
                    <w:rPr>
                      <w:rFonts w:ascii="Arial" w:hAnsi="Arial" w:cs="Arial"/>
                      <w:sz w:val="20"/>
                      <w:szCs w:val="20"/>
                    </w:rPr>
                    <w:t>Referrals to be clinically triaged and onward referred to appropriate service with 2 working days</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55368" w:rsidRPr="00A405FD" w:rsidRDefault="00B55368" w:rsidP="006168E0">
                  <w:pPr>
                    <w:rPr>
                      <w:rFonts w:ascii="Arial" w:hAnsi="Arial" w:cs="Arial"/>
                      <w:sz w:val="20"/>
                      <w:szCs w:val="20"/>
                    </w:rPr>
                  </w:pPr>
                  <w:r w:rsidRPr="00A405FD">
                    <w:rPr>
                      <w:rFonts w:ascii="Arial" w:hAnsi="Arial" w:cs="Arial"/>
                      <w:sz w:val="20"/>
                      <w:szCs w:val="20"/>
                    </w:rPr>
                    <w:t>95%</w:t>
                  </w:r>
                </w:p>
              </w:tc>
            </w:tr>
            <w:tr w:rsidR="00B55368" w:rsidRPr="00A405FD" w:rsidTr="006168E0">
              <w:trPr>
                <w:trHeight w:val="255"/>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2</w:t>
                  </w:r>
                </w:p>
              </w:tc>
              <w:tc>
                <w:tcPr>
                  <w:tcW w:w="61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Referrals to be offered  a  first appointment within 14 days</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95%</w:t>
                  </w:r>
                </w:p>
              </w:tc>
            </w:tr>
            <w:tr w:rsidR="00B55368" w:rsidRPr="00A405FD" w:rsidTr="006168E0">
              <w:trPr>
                <w:trHeight w:val="255"/>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3</w:t>
                  </w:r>
                </w:p>
              </w:tc>
              <w:tc>
                <w:tcPr>
                  <w:tcW w:w="61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 xml:space="preserve">Patients with suspected Wet AMD to be referred to local specialist services within 24 hours </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95%</w:t>
                  </w:r>
                </w:p>
              </w:tc>
            </w:tr>
            <w:tr w:rsidR="00B55368" w:rsidRPr="00A405FD" w:rsidTr="006168E0">
              <w:trPr>
                <w:trHeight w:val="51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4</w:t>
                  </w:r>
                </w:p>
              </w:tc>
              <w:tc>
                <w:tcPr>
                  <w:tcW w:w="6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Referrals to the HES to be considered appropriate by the receiving ophthalmologist</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95%</w:t>
                  </w:r>
                </w:p>
              </w:tc>
            </w:tr>
            <w:tr w:rsidR="006168E0" w:rsidRPr="00A405FD" w:rsidTr="006168E0">
              <w:trPr>
                <w:trHeight w:val="51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6168E0" w:rsidRPr="00A405FD" w:rsidRDefault="006168E0" w:rsidP="006168E0">
                  <w:pPr>
                    <w:rPr>
                      <w:rFonts w:ascii="Arial" w:hAnsi="Arial" w:cs="Arial"/>
                      <w:sz w:val="20"/>
                      <w:szCs w:val="20"/>
                    </w:rPr>
                  </w:pPr>
                  <w:r>
                    <w:rPr>
                      <w:rFonts w:ascii="Arial" w:hAnsi="Arial" w:cs="Arial"/>
                      <w:sz w:val="20"/>
                      <w:szCs w:val="20"/>
                    </w:rPr>
                    <w:t>5</w:t>
                  </w:r>
                </w:p>
              </w:tc>
              <w:tc>
                <w:tcPr>
                  <w:tcW w:w="6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168E0" w:rsidRPr="00A405FD" w:rsidRDefault="006168E0" w:rsidP="006168E0">
                  <w:pPr>
                    <w:rPr>
                      <w:rFonts w:ascii="Arial" w:hAnsi="Arial" w:cs="Arial"/>
                      <w:sz w:val="20"/>
                      <w:szCs w:val="20"/>
                    </w:rPr>
                  </w:pPr>
                  <w:r>
                    <w:rPr>
                      <w:rFonts w:ascii="Arial" w:hAnsi="Arial" w:cs="Arial"/>
                      <w:sz w:val="20"/>
                      <w:szCs w:val="20"/>
                    </w:rPr>
                    <w:t>Patients to be seen in treatment services within 4 weeks of receipt of referral</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6168E0" w:rsidRPr="00A405FD" w:rsidRDefault="006168E0" w:rsidP="006168E0">
                  <w:pPr>
                    <w:rPr>
                      <w:rFonts w:ascii="Arial" w:hAnsi="Arial" w:cs="Arial"/>
                      <w:sz w:val="20"/>
                      <w:szCs w:val="20"/>
                    </w:rPr>
                  </w:pPr>
                  <w:r>
                    <w:rPr>
                      <w:rFonts w:ascii="Arial" w:hAnsi="Arial" w:cs="Arial"/>
                      <w:sz w:val="20"/>
                      <w:szCs w:val="20"/>
                    </w:rPr>
                    <w:t>95%</w:t>
                  </w:r>
                </w:p>
              </w:tc>
            </w:tr>
            <w:tr w:rsidR="00B55368" w:rsidRPr="00A405FD" w:rsidTr="006168E0">
              <w:trPr>
                <w:trHeight w:val="255"/>
              </w:trPr>
              <w:tc>
                <w:tcPr>
                  <w:tcW w:w="9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1F46C1" w:rsidP="001F46C1">
                  <w:pPr>
                    <w:rPr>
                      <w:rFonts w:ascii="Arial" w:eastAsia="Calibri" w:hAnsi="Arial" w:cs="Arial"/>
                      <w:sz w:val="20"/>
                      <w:szCs w:val="20"/>
                    </w:rPr>
                  </w:pPr>
                  <w:r>
                    <w:rPr>
                      <w:rFonts w:ascii="Arial" w:hAnsi="Arial" w:cs="Arial"/>
                      <w:sz w:val="20"/>
                      <w:szCs w:val="20"/>
                    </w:rPr>
                    <w:t>6</w:t>
                  </w:r>
                </w:p>
              </w:tc>
              <w:tc>
                <w:tcPr>
                  <w:tcW w:w="6142"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 xml:space="preserve">Patient satisfaction rating </w:t>
                  </w:r>
                </w:p>
              </w:tc>
              <w:tc>
                <w:tcPr>
                  <w:tcW w:w="155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&gt; 75%</w:t>
                  </w:r>
                </w:p>
              </w:tc>
            </w:tr>
            <w:tr w:rsidR="00B55368" w:rsidRPr="00A405FD" w:rsidTr="00BB7408">
              <w:trPr>
                <w:trHeight w:val="255"/>
              </w:trPr>
              <w:tc>
                <w:tcPr>
                  <w:tcW w:w="96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1F46C1" w:rsidP="006168E0">
                  <w:pPr>
                    <w:rPr>
                      <w:rFonts w:ascii="Arial" w:eastAsia="Calibri" w:hAnsi="Arial" w:cs="Arial"/>
                      <w:sz w:val="20"/>
                      <w:szCs w:val="20"/>
                    </w:rPr>
                  </w:pPr>
                  <w:r>
                    <w:rPr>
                      <w:rFonts w:ascii="Arial" w:hAnsi="Arial" w:cs="Arial"/>
                      <w:sz w:val="20"/>
                      <w:szCs w:val="20"/>
                    </w:rPr>
                    <w:t>7</w:t>
                  </w:r>
                </w:p>
              </w:tc>
              <w:tc>
                <w:tcPr>
                  <w:tcW w:w="6142"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 xml:space="preserve">First: Follow Up ratio in line with national guidelines for each sub specialty  </w:t>
                  </w:r>
                </w:p>
              </w:tc>
              <w:tc>
                <w:tcPr>
                  <w:tcW w:w="1559"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TBC</w:t>
                  </w:r>
                </w:p>
              </w:tc>
            </w:tr>
            <w:tr w:rsidR="00BB7408" w:rsidRPr="00A405FD" w:rsidTr="006168E0">
              <w:trPr>
                <w:trHeight w:val="255"/>
              </w:trPr>
              <w:tc>
                <w:tcPr>
                  <w:tcW w:w="960"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BB7408" w:rsidRDefault="001F46C1" w:rsidP="006168E0">
                  <w:pPr>
                    <w:rPr>
                      <w:rFonts w:ascii="Arial" w:hAnsi="Arial" w:cs="Arial"/>
                      <w:sz w:val="20"/>
                      <w:szCs w:val="20"/>
                    </w:rPr>
                  </w:pPr>
                  <w:r>
                    <w:rPr>
                      <w:rFonts w:ascii="Arial" w:hAnsi="Arial" w:cs="Arial"/>
                      <w:sz w:val="20"/>
                      <w:szCs w:val="20"/>
                    </w:rPr>
                    <w:t>8</w:t>
                  </w:r>
                </w:p>
              </w:tc>
              <w:tc>
                <w:tcPr>
                  <w:tcW w:w="6142"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B7408" w:rsidRPr="00A405FD" w:rsidRDefault="00BB7408" w:rsidP="006168E0">
                  <w:pPr>
                    <w:rPr>
                      <w:rFonts w:ascii="Arial" w:hAnsi="Arial" w:cs="Arial"/>
                      <w:sz w:val="20"/>
                      <w:szCs w:val="20"/>
                    </w:rPr>
                  </w:pPr>
                  <w:r>
                    <w:rPr>
                      <w:rFonts w:ascii="Arial" w:hAnsi="Arial" w:cs="Arial"/>
                      <w:sz w:val="20"/>
                      <w:szCs w:val="20"/>
                    </w:rPr>
                    <w:t>All discharge paperwork to be sent to patient’s GP/referring clinician within 5 working days</w:t>
                  </w:r>
                </w:p>
              </w:tc>
              <w:tc>
                <w:tcPr>
                  <w:tcW w:w="1559"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B7408" w:rsidRPr="00A405FD" w:rsidRDefault="00BB7408" w:rsidP="006168E0">
                  <w:pPr>
                    <w:rPr>
                      <w:rFonts w:ascii="Arial" w:hAnsi="Arial" w:cs="Arial"/>
                      <w:sz w:val="20"/>
                      <w:szCs w:val="20"/>
                    </w:rPr>
                  </w:pPr>
                  <w:r>
                    <w:rPr>
                      <w:rFonts w:ascii="Arial" w:hAnsi="Arial" w:cs="Arial"/>
                      <w:sz w:val="20"/>
                      <w:szCs w:val="20"/>
                    </w:rPr>
                    <w:t>95%</w:t>
                  </w:r>
                </w:p>
              </w:tc>
            </w:tr>
          </w:tbl>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 xml:space="preserve">The contract will be awarded for a 3 year period with the option of a 2 year extension as per NHS Standard Contract guidance. </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On the anniversary of the contract a review will be conducted.  The provider must regularly provide information to reassure the CCG that the service continues to deliver value for money and that the terms and conditions of the contract are being met.</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provider will be required to present quarterly activity and key performance indicator reports to the CCG as outlined above.  The CCG will reserve the right to immediately terminate the Contract if the activity and the KPI reporting and the clinical audits are not completed within stated time frames and to the satisfaction of the CCG, or there is a failure to deliver the service in line with the specification, particularly compliance with 3.2.2 </w:t>
            </w:r>
          </w:p>
          <w:p w:rsidR="00B55368" w:rsidRPr="00A405FD" w:rsidRDefault="00B55368" w:rsidP="00B55368">
            <w:pPr>
              <w:rPr>
                <w:rFonts w:ascii="Arial" w:hAnsi="Arial" w:cs="Arial"/>
                <w:b/>
                <w:color w:val="00B050"/>
                <w:sz w:val="20"/>
                <w:szCs w:val="20"/>
              </w:rPr>
            </w:pPr>
          </w:p>
          <w:p w:rsidR="00B55368" w:rsidRPr="00A405FD" w:rsidRDefault="00B55368" w:rsidP="00B55368">
            <w:pPr>
              <w:numPr>
                <w:ilvl w:val="1"/>
                <w:numId w:val="4"/>
              </w:numPr>
              <w:spacing w:after="0" w:line="240" w:lineRule="auto"/>
              <w:ind w:left="743" w:hanging="743"/>
              <w:rPr>
                <w:rFonts w:ascii="Arial" w:hAnsi="Arial" w:cs="Arial"/>
                <w:b/>
                <w:color w:val="00B050"/>
                <w:sz w:val="20"/>
                <w:szCs w:val="20"/>
              </w:rPr>
            </w:pPr>
            <w:r w:rsidRPr="00A405FD">
              <w:rPr>
                <w:rFonts w:ascii="Arial" w:hAnsi="Arial" w:cs="Arial"/>
                <w:b/>
                <w:color w:val="00B050"/>
                <w:sz w:val="20"/>
                <w:szCs w:val="20"/>
              </w:rPr>
              <w:t>Applicable CQUIN goals (See Schedule 4 Part [E])</w:t>
            </w:r>
          </w:p>
          <w:p w:rsidR="00B55368" w:rsidRPr="00A405FD" w:rsidRDefault="00B55368" w:rsidP="00B55368">
            <w:pPr>
              <w:spacing w:after="0"/>
              <w:rPr>
                <w:rFonts w:ascii="Arial" w:hAnsi="Arial" w:cs="Arial"/>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6.</w:t>
            </w:r>
            <w:r w:rsidRPr="00A405FD">
              <w:rPr>
                <w:rFonts w:ascii="Arial" w:hAnsi="Arial" w:cs="Arial"/>
                <w:b/>
                <w:color w:val="F79646"/>
                <w:sz w:val="20"/>
                <w:szCs w:val="20"/>
              </w:rPr>
              <w:tab/>
              <w:t>Location of Provider Premises</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The Provider’s Premises are located at:</w:t>
            </w: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provider will be required to demonstrate the location(s) across the Coventry and Warwickshire STP footprint from where it can provide this service that provides services close to home for all patients. </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location(s) of premises should be accessible by public transport and should have parking facilities available or very nearby.  Premises should also be accessible by patient transportation service vehicles for those patients with a medical need for transportation.</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must demonstrate that the premises are “fit for purpose” and are compliant with all relevant Building Regulations and requirements, are DDA Compliant and are clean and comfortable.</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service will operate from premises with facilities that meet general health and safety requirements.  Compliance will be measured against South Warwickshire CCG Health and Safety policies on a regular basis.</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rPr>
                <w:rFonts w:ascii="Arial" w:hAnsi="Arial" w:cs="Arial"/>
                <w:sz w:val="20"/>
                <w:szCs w:val="20"/>
              </w:rPr>
            </w:pPr>
          </w:p>
        </w:tc>
      </w:tr>
    </w:tbl>
    <w:p w:rsidR="00B55368" w:rsidRPr="00A405FD" w:rsidRDefault="00B55368" w:rsidP="00B55368">
      <w:pPr>
        <w:autoSpaceDE w:val="0"/>
        <w:autoSpaceDN w:val="0"/>
        <w:adjustRightInd w:val="0"/>
        <w:spacing w:after="0" w:line="240" w:lineRule="auto"/>
        <w:jc w:val="both"/>
        <w:rPr>
          <w:rFonts w:ascii="Arial" w:hAnsi="Arial" w:cs="Arial"/>
          <w:sz w:val="20"/>
          <w:szCs w:val="20"/>
        </w:rPr>
      </w:pPr>
    </w:p>
    <w:p w:rsidR="00BB7408" w:rsidRPr="00A405FD" w:rsidRDefault="00BB7408">
      <w:pPr>
        <w:rPr>
          <w:rFonts w:ascii="Arial" w:hAnsi="Arial" w:cs="Arial"/>
          <w:sz w:val="20"/>
          <w:szCs w:val="20"/>
        </w:rPr>
      </w:pPr>
    </w:p>
    <w:sectPr w:rsidR="00BB7408" w:rsidRPr="00A405FD" w:rsidSect="00BB7408">
      <w:footerReference w:type="default" r:id="rId12"/>
      <w:headerReference w:type="first" r:id="rId13"/>
      <w:pgSz w:w="11906" w:h="16838"/>
      <w:pgMar w:top="1134"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D5" w:rsidRDefault="00A84DD5">
      <w:pPr>
        <w:spacing w:after="0" w:line="240" w:lineRule="auto"/>
      </w:pPr>
      <w:r>
        <w:separator/>
      </w:r>
    </w:p>
  </w:endnote>
  <w:endnote w:type="continuationSeparator" w:id="0">
    <w:p w:rsidR="00A84DD5" w:rsidRDefault="00A8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08" w:rsidRPr="008A285F" w:rsidRDefault="00BB7408">
    <w:pPr>
      <w:pStyle w:val="Footer"/>
      <w:rPr>
        <w:rFonts w:ascii="Arial" w:hAnsi="Arial" w:cs="Arial"/>
        <w:sz w:val="20"/>
        <w:szCs w:val="20"/>
      </w:rPr>
    </w:pPr>
    <w:r w:rsidRPr="008A285F">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D5" w:rsidRDefault="00A84DD5">
      <w:pPr>
        <w:spacing w:after="0" w:line="240" w:lineRule="auto"/>
      </w:pPr>
      <w:r>
        <w:separator/>
      </w:r>
    </w:p>
  </w:footnote>
  <w:footnote w:type="continuationSeparator" w:id="0">
    <w:p w:rsidR="00A84DD5" w:rsidRDefault="00A8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85" w:rsidRDefault="00D71485">
    <w:pPr>
      <w:pStyle w:val="Head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1D1A"/>
    <w:multiLevelType w:val="hybridMultilevel"/>
    <w:tmpl w:val="55F4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110F19"/>
    <w:multiLevelType w:val="hybridMultilevel"/>
    <w:tmpl w:val="780E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53A3E78"/>
    <w:multiLevelType w:val="hybridMultilevel"/>
    <w:tmpl w:val="4954A580"/>
    <w:lvl w:ilvl="0" w:tplc="4A32D5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3B6A5F"/>
    <w:multiLevelType w:val="hybridMultilevel"/>
    <w:tmpl w:val="F34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3A0783"/>
    <w:multiLevelType w:val="hybridMultilevel"/>
    <w:tmpl w:val="3668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BD20675"/>
    <w:multiLevelType w:val="hybridMultilevel"/>
    <w:tmpl w:val="DA2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68"/>
    <w:rsid w:val="00154F06"/>
    <w:rsid w:val="001F46C1"/>
    <w:rsid w:val="00496C22"/>
    <w:rsid w:val="004A05A3"/>
    <w:rsid w:val="00505ED1"/>
    <w:rsid w:val="005A26B1"/>
    <w:rsid w:val="006168E0"/>
    <w:rsid w:val="00814C9E"/>
    <w:rsid w:val="008C558A"/>
    <w:rsid w:val="00970FED"/>
    <w:rsid w:val="00A405FD"/>
    <w:rsid w:val="00A84DD5"/>
    <w:rsid w:val="00AD7CF9"/>
    <w:rsid w:val="00B55368"/>
    <w:rsid w:val="00BB7408"/>
    <w:rsid w:val="00D71485"/>
    <w:rsid w:val="00E609BE"/>
    <w:rsid w:val="00EA0753"/>
    <w:rsid w:val="00ED0845"/>
    <w:rsid w:val="00F836AD"/>
    <w:rsid w:val="00F9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68"/>
  </w:style>
  <w:style w:type="character" w:styleId="CommentReference">
    <w:name w:val="annotation reference"/>
    <w:basedOn w:val="DefaultParagraphFont"/>
    <w:uiPriority w:val="99"/>
    <w:semiHidden/>
    <w:unhideWhenUsed/>
    <w:rsid w:val="00970FED"/>
    <w:rPr>
      <w:sz w:val="16"/>
      <w:szCs w:val="16"/>
    </w:rPr>
  </w:style>
  <w:style w:type="paragraph" w:styleId="CommentText">
    <w:name w:val="annotation text"/>
    <w:basedOn w:val="Normal"/>
    <w:link w:val="CommentTextChar"/>
    <w:uiPriority w:val="99"/>
    <w:semiHidden/>
    <w:unhideWhenUsed/>
    <w:rsid w:val="00970FED"/>
    <w:pPr>
      <w:spacing w:line="240" w:lineRule="auto"/>
    </w:pPr>
    <w:rPr>
      <w:sz w:val="20"/>
      <w:szCs w:val="20"/>
    </w:rPr>
  </w:style>
  <w:style w:type="character" w:customStyle="1" w:styleId="CommentTextChar">
    <w:name w:val="Comment Text Char"/>
    <w:basedOn w:val="DefaultParagraphFont"/>
    <w:link w:val="CommentText"/>
    <w:uiPriority w:val="99"/>
    <w:semiHidden/>
    <w:rsid w:val="00970FED"/>
    <w:rPr>
      <w:sz w:val="20"/>
      <w:szCs w:val="20"/>
    </w:rPr>
  </w:style>
  <w:style w:type="paragraph" w:styleId="CommentSubject">
    <w:name w:val="annotation subject"/>
    <w:basedOn w:val="CommentText"/>
    <w:next w:val="CommentText"/>
    <w:link w:val="CommentSubjectChar"/>
    <w:uiPriority w:val="99"/>
    <w:semiHidden/>
    <w:unhideWhenUsed/>
    <w:rsid w:val="00970FED"/>
    <w:rPr>
      <w:b/>
      <w:bCs/>
    </w:rPr>
  </w:style>
  <w:style w:type="character" w:customStyle="1" w:styleId="CommentSubjectChar">
    <w:name w:val="Comment Subject Char"/>
    <w:basedOn w:val="CommentTextChar"/>
    <w:link w:val="CommentSubject"/>
    <w:uiPriority w:val="99"/>
    <w:semiHidden/>
    <w:rsid w:val="00970FED"/>
    <w:rPr>
      <w:b/>
      <w:bCs/>
      <w:sz w:val="20"/>
      <w:szCs w:val="20"/>
    </w:rPr>
  </w:style>
  <w:style w:type="paragraph" w:styleId="BalloonText">
    <w:name w:val="Balloon Text"/>
    <w:basedOn w:val="Normal"/>
    <w:link w:val="BalloonTextChar"/>
    <w:uiPriority w:val="99"/>
    <w:semiHidden/>
    <w:unhideWhenUsed/>
    <w:rsid w:val="0097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ED"/>
    <w:rPr>
      <w:rFonts w:ascii="Tahoma" w:hAnsi="Tahoma" w:cs="Tahoma"/>
      <w:sz w:val="16"/>
      <w:szCs w:val="16"/>
    </w:rPr>
  </w:style>
  <w:style w:type="paragraph" w:styleId="Header">
    <w:name w:val="header"/>
    <w:basedOn w:val="Normal"/>
    <w:link w:val="HeaderChar"/>
    <w:uiPriority w:val="99"/>
    <w:unhideWhenUsed/>
    <w:rsid w:val="00D71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68"/>
  </w:style>
  <w:style w:type="character" w:styleId="CommentReference">
    <w:name w:val="annotation reference"/>
    <w:basedOn w:val="DefaultParagraphFont"/>
    <w:uiPriority w:val="99"/>
    <w:semiHidden/>
    <w:unhideWhenUsed/>
    <w:rsid w:val="00970FED"/>
    <w:rPr>
      <w:sz w:val="16"/>
      <w:szCs w:val="16"/>
    </w:rPr>
  </w:style>
  <w:style w:type="paragraph" w:styleId="CommentText">
    <w:name w:val="annotation text"/>
    <w:basedOn w:val="Normal"/>
    <w:link w:val="CommentTextChar"/>
    <w:uiPriority w:val="99"/>
    <w:semiHidden/>
    <w:unhideWhenUsed/>
    <w:rsid w:val="00970FED"/>
    <w:pPr>
      <w:spacing w:line="240" w:lineRule="auto"/>
    </w:pPr>
    <w:rPr>
      <w:sz w:val="20"/>
      <w:szCs w:val="20"/>
    </w:rPr>
  </w:style>
  <w:style w:type="character" w:customStyle="1" w:styleId="CommentTextChar">
    <w:name w:val="Comment Text Char"/>
    <w:basedOn w:val="DefaultParagraphFont"/>
    <w:link w:val="CommentText"/>
    <w:uiPriority w:val="99"/>
    <w:semiHidden/>
    <w:rsid w:val="00970FED"/>
    <w:rPr>
      <w:sz w:val="20"/>
      <w:szCs w:val="20"/>
    </w:rPr>
  </w:style>
  <w:style w:type="paragraph" w:styleId="CommentSubject">
    <w:name w:val="annotation subject"/>
    <w:basedOn w:val="CommentText"/>
    <w:next w:val="CommentText"/>
    <w:link w:val="CommentSubjectChar"/>
    <w:uiPriority w:val="99"/>
    <w:semiHidden/>
    <w:unhideWhenUsed/>
    <w:rsid w:val="00970FED"/>
    <w:rPr>
      <w:b/>
      <w:bCs/>
    </w:rPr>
  </w:style>
  <w:style w:type="character" w:customStyle="1" w:styleId="CommentSubjectChar">
    <w:name w:val="Comment Subject Char"/>
    <w:basedOn w:val="CommentTextChar"/>
    <w:link w:val="CommentSubject"/>
    <w:uiPriority w:val="99"/>
    <w:semiHidden/>
    <w:rsid w:val="00970FED"/>
    <w:rPr>
      <w:b/>
      <w:bCs/>
      <w:sz w:val="20"/>
      <w:szCs w:val="20"/>
    </w:rPr>
  </w:style>
  <w:style w:type="paragraph" w:styleId="BalloonText">
    <w:name w:val="Balloon Text"/>
    <w:basedOn w:val="Normal"/>
    <w:link w:val="BalloonTextChar"/>
    <w:uiPriority w:val="99"/>
    <w:semiHidden/>
    <w:unhideWhenUsed/>
    <w:rsid w:val="0097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ED"/>
    <w:rPr>
      <w:rFonts w:ascii="Tahoma" w:hAnsi="Tahoma" w:cs="Tahoma"/>
      <w:sz w:val="16"/>
      <w:szCs w:val="16"/>
    </w:rPr>
  </w:style>
  <w:style w:type="paragraph" w:styleId="Header">
    <w:name w:val="header"/>
    <w:basedOn w:val="Normal"/>
    <w:link w:val="HeaderChar"/>
    <w:uiPriority w:val="99"/>
    <w:unhideWhenUsed/>
    <w:rsid w:val="00D71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m.rightcare.nhs.uk/p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kaaf.org/wp-content/uploads/2014/09/G003-UKAAF-Creating-clear-print-and-large-print-documents.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39047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Roscoe Mark (05A) NHS Coventry &amp; Rugby CCG</dc:creator>
  <cp:lastModifiedBy>Isaac Megan (05RN) South Warwickshire CCG</cp:lastModifiedBy>
  <cp:revision>5</cp:revision>
  <cp:lastPrinted>2019-01-04T12:50:00Z</cp:lastPrinted>
  <dcterms:created xsi:type="dcterms:W3CDTF">2019-01-04T12:50:00Z</dcterms:created>
  <dcterms:modified xsi:type="dcterms:W3CDTF">2019-01-16T09:59:00Z</dcterms:modified>
</cp:coreProperties>
</file>