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Press Data Ltd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 St. Colme Street,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Edinburgh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EH3 6AA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Scotland</w:t>
      </w:r>
    </w:p>
    <w:p w:rsidR="00000000" w:rsidDel="00000000" w:rsidP="00000000" w:rsidRDefault="00000000" w:rsidRPr="00000000" w14:paraId="00000006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Redacted under FOIA section 40, Personal Information</w:t>
      </w: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9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27/07/2023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Contract ref: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CCCS23A05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Redacted under FOIA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Award of contract for the supply of The Provision of Verbatim Transcripts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Further to your submission of a bid for the above Procurement, on behalf of The Cabinet Office (the “Authority”), I am pleased to inform you that you ranked first in our evaluation and therefore we would like to award the contract to you.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attached appendix provides detailed feedback on your submission.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28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day of July 2023 and the Expiry Date will be 278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day of July 2026. The total contract value shall be £108,000.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Call Off under Commercial Agreement RM3164 Media Monitoring and Associated Services,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sign the Call-Off Contract/Terms and Conditions (Attachment 5) and forward to the Procurement Lead electronically via the e-Sourcing Suites’ messaging service by 17:00 28/07/2023.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Contracting Authority will be returned for your records.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leader="none" w:pos="4513"/>
          <w:tab w:val="right" w:leader="none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faithfully,</w:t>
      </w:r>
    </w:p>
    <w:tbl>
      <w:tblPr>
        <w:tblStyle w:val="Table1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for and on behalf of The Cabinet Office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27/07/2023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CCCS23A05 - Call Off Award letter v1.0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9"/>
        <w:szCs w:val="19"/>
        <w:highlight w:val="white"/>
        <w:u w:val="none"/>
        <w:vertAlign w:val="baseline"/>
        <w:rtl w:val="0"/>
      </w:rPr>
      <w:t xml:space="preserve">© 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4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33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34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  <w:tab w:val="left" w:leader="none" w:pos="3091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61j2V4yRsy4AmHlpzLu818mfjg==">CgMxLjAyCmlkLjMwajB6bGwyCWlkLmdqZGd4czIJaC4xZm9iOXRlOAByITE3LUozaXJaeURLaF9ZUjZTTHdvWW5ZMU9MUE9IZFJJdA==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2021-12-14T14:38:00Z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