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Press Data Ltd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1 St. Colme Street,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Edinburgh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EH3 6AA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Scotland</w:t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9">
      <w:pPr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27/07/2023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Contract ref: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CCCS23A05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Award of contract for the supply of The Provision of Verbatim Transcripts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Further to your submission of a bid for the above Procurement, on behalf of The Cabinet Office (the “Authority”), I am pleased to inform you that you ranked first in our evaluation and therefore we would like to award the contract to you.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28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day of July 2023 and the Expiry Date will be 278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day of July 2026. The total contract value shall be £108,000.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RM3164 Media Monitoring and Associated Services,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(Attachment 5) and forward to the Procurement Lead electronically via the e-Sourcing Suites’ messaging service by 17:00 28/07/2023.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The Cabinet Office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27/07/2023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CCCS23A05 - Call Off Award letter v1.0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4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3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4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61j2V4yRsy4AmHlpzLu818mfjg==">CgMxLjAyCmlkLjMwajB6bGwyCWlkLmdqZGd4czIJaC4xZm9iOXRlOAByITE3LUozaXJaeURLaF9ZUjZTTHdvWW5ZMU9MUE9IZFJJdA==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2021-12-14T14:38:00Z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