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05F6180">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5CCE0171" w:rsidR="005F6180" w:rsidRDefault="008600CB" w:rsidP="005F6180">
            <w:pPr>
              <w:spacing w:after="0" w:line="240" w:lineRule="auto"/>
              <w:rPr>
                <w:rFonts w:ascii="Arial" w:hAnsi="Arial" w:cs="Arial"/>
                <w:sz w:val="24"/>
                <w:szCs w:val="24"/>
              </w:rPr>
            </w:pPr>
            <w:r w:rsidRPr="008600CB">
              <w:rPr>
                <w:rFonts w:ascii="Arial" w:hAnsi="Arial" w:cs="Arial"/>
                <w:sz w:val="24"/>
                <w:szCs w:val="24"/>
              </w:rPr>
              <w:t>702294450</w:t>
            </w:r>
          </w:p>
        </w:tc>
      </w:tr>
      <w:tr w:rsidR="005F6180" w14:paraId="10BE41D6" w14:textId="15C15EF0" w:rsidTr="005F6180">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F07D6FA" w:rsidR="005F6180" w:rsidRDefault="008600CB" w:rsidP="005F6180">
            <w:pPr>
              <w:spacing w:after="0" w:line="240" w:lineRule="auto"/>
              <w:rPr>
                <w:rFonts w:ascii="Arial" w:hAnsi="Arial" w:cs="Arial"/>
                <w:sz w:val="24"/>
                <w:szCs w:val="24"/>
              </w:rPr>
            </w:pPr>
            <w:r>
              <w:rPr>
                <w:rFonts w:ascii="Arial" w:hAnsi="Arial" w:cs="Arial"/>
                <w:sz w:val="24"/>
                <w:szCs w:val="24"/>
              </w:rPr>
              <w:t>Army Commercial</w:t>
            </w:r>
          </w:p>
        </w:tc>
      </w:tr>
      <w:tr w:rsidR="005F6180" w14:paraId="7EBC913F" w14:textId="3DD8C34C" w:rsidTr="005F6180">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Monxton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05F6180">
        <w:trPr>
          <w:trHeight w:val="545"/>
        </w:trPr>
        <w:tc>
          <w:tcPr>
            <w:tcW w:w="9158" w:type="dxa"/>
            <w:gridSpan w:val="2"/>
          </w:tcPr>
          <w:p w14:paraId="231D09A3" w14:textId="77777777" w:rsidR="005F6180" w:rsidRPr="0066107A" w:rsidRDefault="005F6180" w:rsidP="005F6180">
            <w:pPr>
              <w:spacing w:after="0" w:line="240" w:lineRule="auto"/>
              <w:ind w:left="40"/>
              <w:rPr>
                <w:rFonts w:ascii="Arial" w:hAnsi="Arial" w:cs="Arial"/>
                <w:sz w:val="24"/>
                <w:szCs w:val="24"/>
              </w:rPr>
            </w:pPr>
          </w:p>
        </w:tc>
      </w:tr>
      <w:tr w:rsidR="005F6180" w14:paraId="6DA81524" w14:textId="40D7A610" w:rsidTr="005F6180">
        <w:trPr>
          <w:trHeight w:val="460"/>
        </w:trPr>
        <w:tc>
          <w:tcPr>
            <w:tcW w:w="3681" w:type="dxa"/>
          </w:tcPr>
          <w:p w14:paraId="33FFFB86" w14:textId="77777777" w:rsidR="005F6180" w:rsidRPr="0066107A" w:rsidRDefault="005F6180" w:rsidP="005F6180">
            <w:pPr>
              <w:spacing w:after="0" w:line="240" w:lineRule="auto"/>
              <w:ind w:left="40"/>
              <w:rPr>
                <w:rFonts w:ascii="Arial" w:hAnsi="Arial" w:cs="Arial"/>
                <w:sz w:val="24"/>
                <w:szCs w:val="24"/>
              </w:rPr>
            </w:pPr>
            <w:r w:rsidRPr="0066107A">
              <w:rPr>
                <w:rFonts w:ascii="Arial" w:hAnsi="Arial" w:cs="Arial"/>
                <w:sz w:val="24"/>
                <w:szCs w:val="24"/>
              </w:rPr>
              <w:t>THE SUPPLIER:</w:t>
            </w:r>
          </w:p>
        </w:tc>
        <w:tc>
          <w:tcPr>
            <w:tcW w:w="5477" w:type="dxa"/>
          </w:tcPr>
          <w:p w14:paraId="7E611679" w14:textId="598DE3F5" w:rsidR="005F6180" w:rsidRPr="0066107A" w:rsidRDefault="0066107A" w:rsidP="005F6180">
            <w:pPr>
              <w:spacing w:after="0" w:line="240" w:lineRule="auto"/>
              <w:rPr>
                <w:rFonts w:ascii="Arial" w:hAnsi="Arial" w:cs="Arial"/>
                <w:sz w:val="24"/>
                <w:szCs w:val="24"/>
              </w:rPr>
            </w:pPr>
            <w:r w:rsidRPr="0066107A">
              <w:rPr>
                <w:rFonts w:ascii="Arial" w:hAnsi="Arial" w:cs="Arial"/>
                <w:sz w:val="24"/>
                <w:szCs w:val="24"/>
              </w:rPr>
              <w:t>Akhter Computers Limited</w:t>
            </w:r>
          </w:p>
        </w:tc>
      </w:tr>
      <w:tr w:rsidR="005F6180" w14:paraId="5C91B677" w14:textId="7DE4FD5E" w:rsidTr="005F6180">
        <w:trPr>
          <w:trHeight w:val="1828"/>
        </w:trPr>
        <w:tc>
          <w:tcPr>
            <w:tcW w:w="3681" w:type="dxa"/>
          </w:tcPr>
          <w:p w14:paraId="64400993" w14:textId="77777777" w:rsidR="005F6180" w:rsidRPr="0066107A" w:rsidRDefault="005F6180" w:rsidP="005F6180">
            <w:pPr>
              <w:spacing w:after="0" w:line="240" w:lineRule="auto"/>
              <w:ind w:left="40"/>
              <w:rPr>
                <w:rFonts w:ascii="Arial" w:hAnsi="Arial" w:cs="Arial"/>
                <w:sz w:val="24"/>
                <w:szCs w:val="24"/>
              </w:rPr>
            </w:pPr>
            <w:r w:rsidRPr="0066107A">
              <w:rPr>
                <w:rFonts w:ascii="Arial" w:hAnsi="Arial" w:cs="Arial"/>
                <w:sz w:val="24"/>
                <w:szCs w:val="24"/>
              </w:rPr>
              <w:t>SUPPLIER ADDRESS:</w:t>
            </w:r>
          </w:p>
        </w:tc>
        <w:tc>
          <w:tcPr>
            <w:tcW w:w="5477" w:type="dxa"/>
          </w:tcPr>
          <w:p w14:paraId="07BC4437" w14:textId="15B7542A" w:rsidR="005F6180" w:rsidRPr="0066107A" w:rsidRDefault="0066107A" w:rsidP="005F6180">
            <w:pPr>
              <w:spacing w:after="0" w:line="240" w:lineRule="auto"/>
              <w:rPr>
                <w:rFonts w:ascii="Arial" w:hAnsi="Arial" w:cs="Arial"/>
                <w:sz w:val="24"/>
                <w:szCs w:val="24"/>
              </w:rPr>
            </w:pPr>
            <w:r w:rsidRPr="0066107A">
              <w:rPr>
                <w:rFonts w:ascii="Arial" w:hAnsi="Arial" w:cs="Arial"/>
                <w:sz w:val="24"/>
                <w:szCs w:val="24"/>
              </w:rPr>
              <w:t>Akhter House, Perry Road, Harlow, Essex, CM18 7PN</w:t>
            </w:r>
          </w:p>
        </w:tc>
      </w:tr>
      <w:bookmarkEnd w:id="0"/>
      <w:tr w:rsidR="005F6180" w14:paraId="3662FCEA" w14:textId="5B40025D" w:rsidTr="005F6180">
        <w:trPr>
          <w:trHeight w:val="563"/>
        </w:trPr>
        <w:tc>
          <w:tcPr>
            <w:tcW w:w="3681" w:type="dxa"/>
          </w:tcPr>
          <w:p w14:paraId="5D11CDD1"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66107A" w:rsidRDefault="005F6180" w:rsidP="005F6180">
            <w:pPr>
              <w:spacing w:after="0" w:line="240" w:lineRule="auto"/>
              <w:rPr>
                <w:rFonts w:ascii="Arial" w:hAnsi="Arial" w:cs="Arial"/>
                <w:sz w:val="24"/>
                <w:szCs w:val="24"/>
              </w:rPr>
            </w:pPr>
          </w:p>
        </w:tc>
      </w:tr>
      <w:tr w:rsidR="005F6180" w14:paraId="61AAA3BB" w14:textId="48F74D99" w:rsidTr="00B42451">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3DE513B2" w:rsidR="005F6180" w:rsidRPr="0066107A" w:rsidRDefault="0066107A" w:rsidP="005F6180">
            <w:pPr>
              <w:spacing w:after="0" w:line="240" w:lineRule="auto"/>
              <w:rPr>
                <w:rFonts w:ascii="Arial" w:hAnsi="Arial" w:cs="Arial"/>
                <w:sz w:val="24"/>
                <w:szCs w:val="24"/>
              </w:rPr>
            </w:pPr>
            <w:r w:rsidRPr="0066107A">
              <w:rPr>
                <w:rFonts w:ascii="Arial" w:hAnsi="Arial" w:cs="Arial"/>
                <w:sz w:val="24"/>
                <w:szCs w:val="24"/>
              </w:rPr>
              <w:t>02253061</w:t>
            </w:r>
          </w:p>
        </w:tc>
      </w:tr>
      <w:tr w:rsidR="005F6180" w14:paraId="6826E6B9" w14:textId="398DE11A" w:rsidTr="00B42451">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6F712AD4" w:rsidR="005F6180" w:rsidRPr="0066107A" w:rsidRDefault="0066107A" w:rsidP="005F6180">
            <w:pPr>
              <w:spacing w:after="0" w:line="240" w:lineRule="auto"/>
              <w:rPr>
                <w:rFonts w:ascii="Arial" w:hAnsi="Arial" w:cs="Arial"/>
                <w:sz w:val="24"/>
                <w:szCs w:val="24"/>
              </w:rPr>
            </w:pPr>
            <w:r w:rsidRPr="0066107A">
              <w:rPr>
                <w:rFonts w:ascii="Arial" w:hAnsi="Arial" w:cs="Arial"/>
                <w:sz w:val="24"/>
                <w:szCs w:val="24"/>
              </w:rPr>
              <w:t>399470210</w:t>
            </w:r>
          </w:p>
        </w:tc>
      </w:tr>
      <w:tr w:rsidR="005F6180" w14:paraId="0BA05A21" w14:textId="041EEB42" w:rsidTr="00B42451">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33CC49BD" w:rsidR="005F6180" w:rsidRPr="0066107A" w:rsidRDefault="0066107A" w:rsidP="005F6180">
            <w:pPr>
              <w:spacing w:after="0" w:line="240" w:lineRule="auto"/>
              <w:rPr>
                <w:rFonts w:ascii="Arial" w:hAnsi="Arial" w:cs="Arial"/>
                <w:sz w:val="24"/>
                <w:szCs w:val="24"/>
              </w:rPr>
            </w:pPr>
            <w:r w:rsidRPr="0066107A">
              <w:rPr>
                <w:rFonts w:ascii="Arial" w:hAnsi="Arial" w:cs="Arial"/>
                <w:sz w:val="24"/>
                <w:szCs w:val="24"/>
              </w:rPr>
              <w:t>n/a</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44FA4185" w:rsidR="005F6180" w:rsidRPr="00C21295" w:rsidRDefault="005F6180" w:rsidP="0C98E548">
      <w:pPr>
        <w:spacing w:after="160" w:line="240" w:lineRule="auto"/>
        <w:jc w:val="both"/>
        <w:rPr>
          <w:rFonts w:ascii="Arial" w:hAnsi="Arial" w:cs="Arial"/>
        </w:rPr>
      </w:pPr>
      <w:r w:rsidRPr="0C98E548">
        <w:rPr>
          <w:rFonts w:ascii="Arial" w:hAnsi="Arial" w:cs="Arial"/>
        </w:rPr>
        <w:t xml:space="preserve">This Order Form is for the provision of the Call-Off Deliverables and dated </w:t>
      </w:r>
      <w:r w:rsidR="00CA5D62">
        <w:rPr>
          <w:rFonts w:ascii="Arial" w:hAnsi="Arial" w:cs="Arial"/>
          <w:b/>
        </w:rPr>
        <w:t>18 January</w:t>
      </w:r>
      <w:r w:rsidR="00747DD5">
        <w:rPr>
          <w:rFonts w:ascii="Arial" w:hAnsi="Arial" w:cs="Arial"/>
          <w:b/>
        </w:rPr>
        <w:t xml:space="preserve"> 2022.</w:t>
      </w:r>
      <w:r w:rsidRPr="0C98E548">
        <w:rPr>
          <w:rFonts w:ascii="Arial" w:hAnsi="Arial" w:cs="Arial"/>
        </w:rPr>
        <w:t xml:space="preserve"> </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4FECB921">
        <w:rPr>
          <w:rFonts w:ascii="Arial" w:hAnsi="Arial" w:cs="Arial"/>
          <w:b/>
          <w:bCs/>
          <w:sz w:val="24"/>
          <w:szCs w:val="24"/>
        </w:rPr>
        <w:t>CALL-OFF LOT(S):</w:t>
      </w:r>
    </w:p>
    <w:p w14:paraId="48A8F559" w14:textId="1210C862" w:rsidR="5C61263A" w:rsidRDefault="5C61263A" w:rsidP="4FECB921">
      <w:pPr>
        <w:rPr>
          <w:rFonts w:ascii="Arial" w:eastAsia="Arial" w:hAnsi="Arial" w:cs="Arial"/>
        </w:rPr>
      </w:pPr>
      <w:r w:rsidRPr="4FECB921">
        <w:rPr>
          <w:rFonts w:ascii="Arial" w:eastAsia="Arial" w:hAnsi="Arial" w:cs="Arial"/>
        </w:rPr>
        <w:t xml:space="preserve">Lot </w:t>
      </w:r>
      <w:r w:rsidR="008600CB">
        <w:rPr>
          <w:rFonts w:ascii="Arial" w:eastAsia="Arial" w:hAnsi="Arial" w:cs="Arial"/>
        </w:rPr>
        <w:t>2</w:t>
      </w:r>
      <w:r w:rsidRPr="4FECB921">
        <w:rPr>
          <w:rFonts w:ascii="Arial" w:eastAsia="Arial" w:hAnsi="Arial" w:cs="Arial"/>
        </w:rPr>
        <w:t xml:space="preserve">: </w:t>
      </w:r>
      <w:r w:rsidR="008600CB" w:rsidRPr="008600CB">
        <w:rPr>
          <w:rFonts w:ascii="Arial" w:eastAsia="Arial" w:hAnsi="Arial" w:cs="Arial"/>
        </w:rPr>
        <w:t>Hardware and Associated Services</w:t>
      </w:r>
      <w:r w:rsidR="00715C5F">
        <w:rPr>
          <w:rFonts w:ascii="Arial" w:eastAsia="Arial" w:hAnsi="Arial" w:cs="Arial"/>
        </w:rPr>
        <w:t>.</w:t>
      </w:r>
    </w:p>
    <w:p w14:paraId="396EEF49" w14:textId="769F6DA8" w:rsidR="00F0387B" w:rsidRDefault="00F0387B" w:rsidP="005F6180">
      <w:pPr>
        <w:rPr>
          <w:rFonts w:ascii="Arial" w:eastAsia="STZhongsong" w:hAnsi="Arial" w:cs="Arial"/>
          <w:szCs w:val="24"/>
          <w:lang w:eastAsia="zh-CN"/>
        </w:rPr>
      </w:pPr>
    </w:p>
    <w:p w14:paraId="5D3ECE79" w14:textId="77777777" w:rsidR="00747DD5" w:rsidRDefault="00747DD5"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The following documents are incorporated into this Call-Off Contract. Where numbers are missing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31CE5C61" w14:textId="020DD498" w:rsidR="00715C5F" w:rsidRPr="00715C5F" w:rsidRDefault="005F6180" w:rsidP="00715C5F">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1343F251" w:rsidR="005F6180" w:rsidRPr="005F6180" w:rsidRDefault="005F6180" w:rsidP="430AD19B">
      <w:pPr>
        <w:spacing w:after="0" w:line="240" w:lineRule="auto"/>
        <w:ind w:firstLine="1560"/>
        <w:rPr>
          <w:rFonts w:ascii="Arial" w:hAnsi="Arial" w:cs="Arial"/>
        </w:rPr>
      </w:pPr>
      <w:r w:rsidRPr="430AD19B">
        <w:rPr>
          <w:rFonts w:ascii="Arial" w:hAnsi="Arial" w:cs="Arial"/>
        </w:rPr>
        <w:t>Joint Schedule 6 (Key Subcontractors)</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5A64D1C9" w:rsidR="005F6180" w:rsidRDefault="005F6180" w:rsidP="005F6180">
      <w:pPr>
        <w:pStyle w:val="ListParagraph"/>
        <w:numPr>
          <w:ilvl w:val="1"/>
          <w:numId w:val="4"/>
        </w:numPr>
        <w:spacing w:after="160" w:line="240" w:lineRule="auto"/>
        <w:ind w:left="1559" w:hanging="851"/>
        <w:contextualSpacing w:val="0"/>
        <w:rPr>
          <w:rFonts w:ascii="Arial" w:hAnsi="Arial" w:cs="Arial"/>
          <w:b/>
        </w:rPr>
      </w:pPr>
      <w:r w:rsidRPr="005F6180">
        <w:rPr>
          <w:rFonts w:ascii="Arial" w:hAnsi="Arial" w:cs="Arial"/>
          <w:b/>
        </w:rPr>
        <w:t xml:space="preserve">Call-Off Schedules for </w:t>
      </w:r>
      <w:r w:rsidR="008600CB" w:rsidRPr="008600CB">
        <w:rPr>
          <w:rStyle w:val="normaltextrun"/>
          <w:rFonts w:ascii="Arial" w:hAnsi="Arial" w:cs="Arial"/>
          <w:b/>
          <w:color w:val="000000"/>
          <w:shd w:val="clear" w:color="auto" w:fill="FFFFFF"/>
        </w:rPr>
        <w:t>702294450</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3 (Continuous Improvement)</w:t>
      </w:r>
      <w:r w:rsidR="009B633C" w:rsidRPr="0015735A">
        <w:rPr>
          <w:rFonts w:ascii="Arial" w:hAnsi="Arial" w:cs="Arial"/>
        </w:rPr>
        <w:t xml:space="preserve"> </w:t>
      </w:r>
      <w:r w:rsidR="009B633C" w:rsidRPr="0015735A">
        <w:rPr>
          <w:rFonts w:ascii="Arial" w:hAnsi="Arial" w:cs="Arial"/>
          <w:b/>
        </w:rPr>
        <w:t>– N/A</w:t>
      </w:r>
    </w:p>
    <w:p w14:paraId="7FB13BBE" w14:textId="02D8D644" w:rsidR="005F6180" w:rsidRPr="0015735A" w:rsidRDefault="005F6180" w:rsidP="430AD19B">
      <w:pPr>
        <w:pStyle w:val="ListParagraph"/>
        <w:spacing w:after="0" w:line="240" w:lineRule="auto"/>
        <w:ind w:left="1559"/>
        <w:contextualSpacing w:val="0"/>
        <w:rPr>
          <w:rFonts w:ascii="Arial" w:hAnsi="Arial" w:cs="Arial"/>
        </w:rPr>
      </w:pPr>
      <w:r w:rsidRPr="0015735A">
        <w:rPr>
          <w:rFonts w:ascii="Arial" w:hAnsi="Arial" w:cs="Arial"/>
        </w:rPr>
        <w:t>Call-Off Schedule 4 (Call Off Tender)</w:t>
      </w:r>
    </w:p>
    <w:p w14:paraId="4D4DE5E7" w14:textId="7D78DB67" w:rsidR="005F6180" w:rsidRPr="0015735A" w:rsidRDefault="005F6180" w:rsidP="430AD19B">
      <w:pPr>
        <w:pStyle w:val="ListParagraph"/>
        <w:spacing w:after="0" w:line="240" w:lineRule="auto"/>
        <w:ind w:left="1559"/>
        <w:contextualSpacing w:val="0"/>
        <w:rPr>
          <w:rFonts w:ascii="Arial" w:hAnsi="Arial" w:cs="Arial"/>
        </w:rPr>
      </w:pPr>
      <w:r w:rsidRPr="0015735A">
        <w:rPr>
          <w:rFonts w:ascii="Arial" w:hAnsi="Arial" w:cs="Arial"/>
        </w:rPr>
        <w:t>Call-Off Schedule 5 (Pricing Details)</w:t>
      </w:r>
    </w:p>
    <w:p w14:paraId="4079AEC0"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6 (ICT Services)</w:t>
      </w:r>
    </w:p>
    <w:p w14:paraId="1731E1CE" w14:textId="6E08894D"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7 (</w:t>
      </w:r>
      <w:r w:rsidR="009167EF" w:rsidRPr="0015735A">
        <w:rPr>
          <w:rFonts w:ascii="Arial" w:hAnsi="Arial" w:cs="Arial"/>
        </w:rPr>
        <w:t>Key Supplier Staff</w:t>
      </w:r>
      <w:r w:rsidRPr="0015735A">
        <w:rPr>
          <w:rFonts w:ascii="Arial" w:hAnsi="Arial" w:cs="Arial"/>
        </w:rPr>
        <w:t>)</w:t>
      </w:r>
      <w:r w:rsidR="001912BD" w:rsidRPr="0015735A">
        <w:rPr>
          <w:rFonts w:ascii="Arial" w:hAnsi="Arial" w:cs="Arial"/>
        </w:rPr>
        <w:t xml:space="preserve"> </w:t>
      </w:r>
      <w:r w:rsidR="001912BD" w:rsidRPr="0015735A">
        <w:rPr>
          <w:rFonts w:ascii="Arial" w:hAnsi="Arial" w:cs="Arial"/>
          <w:b/>
        </w:rPr>
        <w:t>– N/A</w:t>
      </w:r>
    </w:p>
    <w:p w14:paraId="6FB05E72" w14:textId="65E1049D"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8 (Business Continuity &amp; Disaster Recovery)</w:t>
      </w:r>
      <w:r w:rsidR="002D56A7" w:rsidRPr="0015735A">
        <w:rPr>
          <w:rFonts w:ascii="Arial" w:hAnsi="Arial" w:cs="Arial"/>
        </w:rPr>
        <w:t xml:space="preserve"> </w:t>
      </w:r>
      <w:r w:rsidR="002303E4" w:rsidRPr="0015735A">
        <w:rPr>
          <w:rFonts w:ascii="Arial" w:hAnsi="Arial" w:cs="Arial"/>
          <w:b/>
        </w:rPr>
        <w:t>– N/A</w:t>
      </w:r>
    </w:p>
    <w:p w14:paraId="5C24279C" w14:textId="1DD6847A"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 xml:space="preserve">Call-Off Schedule 9 (Security) </w:t>
      </w:r>
      <w:r w:rsidRPr="0015735A">
        <w:rPr>
          <w:rFonts w:ascii="Arial" w:hAnsi="Arial" w:cs="Arial"/>
          <w:color w:val="000000" w:themeColor="text1"/>
        </w:rPr>
        <w:t>Part</w:t>
      </w:r>
      <w:r w:rsidR="007809AF" w:rsidRPr="0015735A">
        <w:rPr>
          <w:rFonts w:ascii="Arial" w:hAnsi="Arial" w:cs="Arial"/>
          <w:color w:val="000000" w:themeColor="text1"/>
        </w:rPr>
        <w:t xml:space="preserve"> A</w:t>
      </w:r>
    </w:p>
    <w:p w14:paraId="72107099" w14:textId="21DF19A0"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 xml:space="preserve">Call-Off Schedule 10 (Exit Management) </w:t>
      </w:r>
      <w:r w:rsidRPr="0015735A">
        <w:rPr>
          <w:rFonts w:ascii="Arial" w:hAnsi="Arial" w:cs="Arial"/>
          <w:color w:val="000000" w:themeColor="text1"/>
        </w:rPr>
        <w:t xml:space="preserve">Part </w:t>
      </w:r>
      <w:r w:rsidR="0008351E" w:rsidRPr="0015735A">
        <w:rPr>
          <w:rFonts w:ascii="Arial" w:hAnsi="Arial" w:cs="Arial"/>
          <w:color w:val="000000" w:themeColor="text1"/>
        </w:rPr>
        <w:t>B</w:t>
      </w:r>
    </w:p>
    <w:p w14:paraId="7BBC911E" w14:textId="1D67C89C"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11 (Installation Works)</w:t>
      </w:r>
    </w:p>
    <w:p w14:paraId="0C182FB3"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12 (Clustering)</w:t>
      </w:r>
      <w:r w:rsidR="00191CBB" w:rsidRPr="0015735A">
        <w:rPr>
          <w:rFonts w:ascii="Arial" w:hAnsi="Arial" w:cs="Arial"/>
        </w:rPr>
        <w:t xml:space="preserve"> </w:t>
      </w:r>
      <w:r w:rsidR="00191CBB" w:rsidRPr="0015735A">
        <w:rPr>
          <w:rFonts w:ascii="Arial" w:hAnsi="Arial" w:cs="Arial"/>
          <w:b/>
        </w:rPr>
        <w:t xml:space="preserve">– </w:t>
      </w:r>
      <w:r w:rsidR="005C555B" w:rsidRPr="0015735A">
        <w:rPr>
          <w:rFonts w:ascii="Arial" w:hAnsi="Arial" w:cs="Arial"/>
          <w:b/>
        </w:rPr>
        <w:t>N/A</w:t>
      </w:r>
    </w:p>
    <w:p w14:paraId="16EAACFD" w14:textId="41274981" w:rsidR="005F6180" w:rsidRPr="0015735A" w:rsidRDefault="005F6180" w:rsidP="005F6180">
      <w:pPr>
        <w:pStyle w:val="ListParagraph"/>
        <w:spacing w:after="0" w:line="240" w:lineRule="auto"/>
        <w:ind w:left="1559"/>
        <w:contextualSpacing w:val="0"/>
        <w:rPr>
          <w:rFonts w:ascii="Arial" w:hAnsi="Arial" w:cs="Arial"/>
        </w:rPr>
      </w:pPr>
      <w:r w:rsidRPr="66F0111F">
        <w:rPr>
          <w:rFonts w:ascii="Arial" w:hAnsi="Arial" w:cs="Arial"/>
        </w:rPr>
        <w:t xml:space="preserve">Call-Off Schedule 13 (Implementation Plan and Testing) </w:t>
      </w:r>
    </w:p>
    <w:p w14:paraId="43FB19E9" w14:textId="4C4ABE06" w:rsidR="005F6180" w:rsidRPr="0015735A" w:rsidRDefault="005F6180" w:rsidP="430AD19B">
      <w:pPr>
        <w:pStyle w:val="ListParagraph"/>
        <w:spacing w:after="0" w:line="240" w:lineRule="auto"/>
        <w:ind w:left="1559"/>
        <w:contextualSpacing w:val="0"/>
        <w:rPr>
          <w:rFonts w:ascii="Arial" w:hAnsi="Arial" w:cs="Arial"/>
        </w:rPr>
      </w:pPr>
      <w:r w:rsidRPr="0015735A">
        <w:rPr>
          <w:rFonts w:ascii="Arial" w:hAnsi="Arial" w:cs="Arial"/>
        </w:rPr>
        <w:t>Call-Off Schedule 14 (Service Levels)</w:t>
      </w:r>
      <w:r w:rsidR="006528BF" w:rsidRPr="0015735A">
        <w:rPr>
          <w:rFonts w:ascii="Arial" w:hAnsi="Arial" w:cs="Arial"/>
        </w:rPr>
        <w:t xml:space="preserve"> </w:t>
      </w:r>
      <w:r w:rsidR="006528BF" w:rsidRPr="0015735A">
        <w:rPr>
          <w:rFonts w:ascii="Arial" w:hAnsi="Arial" w:cs="Arial"/>
          <w:b/>
        </w:rPr>
        <w:t>– N/A</w:t>
      </w:r>
    </w:p>
    <w:p w14:paraId="131DDBBC"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15 (Call-Off Contract Management)</w:t>
      </w:r>
      <w:r w:rsidR="001557C2" w:rsidRPr="0015735A">
        <w:rPr>
          <w:rFonts w:ascii="Arial" w:hAnsi="Arial" w:cs="Arial"/>
        </w:rPr>
        <w:t xml:space="preserve"> </w:t>
      </w:r>
      <w:r w:rsidR="001557C2" w:rsidRPr="0015735A">
        <w:rPr>
          <w:rFonts w:ascii="Arial" w:hAnsi="Arial" w:cs="Arial"/>
          <w:b/>
        </w:rPr>
        <w:t>– N/A</w:t>
      </w:r>
    </w:p>
    <w:p w14:paraId="7B8377D6"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 xml:space="preserve">Call-Off Schedule 16 (Benchmarking) </w:t>
      </w:r>
      <w:r w:rsidR="009B633C" w:rsidRPr="0015735A">
        <w:rPr>
          <w:rFonts w:ascii="Arial" w:hAnsi="Arial" w:cs="Arial"/>
          <w:b/>
        </w:rPr>
        <w:t>–</w:t>
      </w:r>
      <w:r w:rsidRPr="0015735A">
        <w:rPr>
          <w:rFonts w:ascii="Arial" w:hAnsi="Arial" w:cs="Arial"/>
          <w:b/>
        </w:rPr>
        <w:t xml:space="preserve"> N/A</w:t>
      </w:r>
    </w:p>
    <w:p w14:paraId="7D9943F3"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17 (MOD Terms)</w:t>
      </w:r>
    </w:p>
    <w:p w14:paraId="7BD0C12D" w14:textId="710EBCD6"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18 (Background Checks)</w:t>
      </w:r>
    </w:p>
    <w:p w14:paraId="128FDDF3"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 xml:space="preserve">Call-Off Schedule 19 (Scottish Law) </w:t>
      </w:r>
      <w:r w:rsidR="009B633C" w:rsidRPr="0015735A">
        <w:rPr>
          <w:rFonts w:ascii="Arial" w:hAnsi="Arial" w:cs="Arial"/>
          <w:b/>
        </w:rPr>
        <w:t>–</w:t>
      </w:r>
      <w:r w:rsidRPr="0015735A">
        <w:rPr>
          <w:rFonts w:ascii="Arial" w:hAnsi="Arial" w:cs="Arial"/>
          <w:b/>
        </w:rPr>
        <w:t xml:space="preserve"> N/A</w:t>
      </w:r>
    </w:p>
    <w:p w14:paraId="34427DD5" w14:textId="6248225E"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20 (Call-Off Specification)</w:t>
      </w:r>
    </w:p>
    <w:p w14:paraId="75E223F3"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 xml:space="preserve">Call-Off Schedule 21 (Northern Ireland Law) </w:t>
      </w:r>
      <w:r w:rsidR="009B633C" w:rsidRPr="0015735A">
        <w:rPr>
          <w:rFonts w:ascii="Arial" w:hAnsi="Arial" w:cs="Arial"/>
          <w:b/>
        </w:rPr>
        <w:t>–</w:t>
      </w:r>
      <w:r w:rsidRPr="0015735A">
        <w:rPr>
          <w:rFonts w:ascii="Arial" w:hAnsi="Arial" w:cs="Arial"/>
          <w:b/>
        </w:rPr>
        <w:t xml:space="preserve"> N/A</w:t>
      </w:r>
    </w:p>
    <w:p w14:paraId="7F8A1DBB" w14:textId="77777777" w:rsidR="005F6180" w:rsidRPr="0015735A" w:rsidRDefault="005F6180" w:rsidP="005F6180">
      <w:pPr>
        <w:pStyle w:val="ListParagraph"/>
        <w:spacing w:after="0" w:line="240" w:lineRule="auto"/>
        <w:ind w:left="1559"/>
        <w:contextualSpacing w:val="0"/>
        <w:rPr>
          <w:rFonts w:ascii="Arial" w:hAnsi="Arial" w:cs="Arial"/>
        </w:rPr>
      </w:pPr>
      <w:r w:rsidRPr="0015735A">
        <w:rPr>
          <w:rFonts w:ascii="Arial" w:hAnsi="Arial" w:cs="Arial"/>
        </w:rPr>
        <w:t>Call-Off Schedule 22 (Lease Terms)</w:t>
      </w:r>
      <w:r w:rsidRPr="0015735A">
        <w:rPr>
          <w:rFonts w:ascii="Arial" w:hAnsi="Arial" w:cs="Arial"/>
          <w:b/>
        </w:rPr>
        <w:t xml:space="preserve"> </w:t>
      </w:r>
      <w:r w:rsidR="009B633C" w:rsidRPr="0015735A">
        <w:rPr>
          <w:rFonts w:ascii="Arial" w:hAnsi="Arial" w:cs="Arial"/>
          <w:b/>
        </w:rPr>
        <w:t>–</w:t>
      </w:r>
      <w:r w:rsidRPr="0015735A">
        <w:rPr>
          <w:rFonts w:ascii="Arial" w:hAnsi="Arial" w:cs="Arial"/>
          <w:b/>
        </w:rPr>
        <w:t xml:space="preserve"> N/A</w:t>
      </w:r>
    </w:p>
    <w:p w14:paraId="70A383E5" w14:textId="77777777" w:rsidR="005F6180" w:rsidRPr="0015735A" w:rsidRDefault="005F6180" w:rsidP="430AD19B">
      <w:pPr>
        <w:pStyle w:val="ListParagraph"/>
        <w:spacing w:after="160" w:line="240" w:lineRule="auto"/>
        <w:ind w:left="1559"/>
        <w:contextualSpacing w:val="0"/>
        <w:rPr>
          <w:rFonts w:ascii="Arial" w:hAnsi="Arial" w:cs="Arial"/>
          <w:b/>
        </w:rPr>
      </w:pPr>
      <w:r w:rsidRPr="0015735A">
        <w:rPr>
          <w:rFonts w:ascii="Arial" w:hAnsi="Arial" w:cs="Arial"/>
        </w:rPr>
        <w:t>Call-Off Schedule 23 (Optional Provisions)</w:t>
      </w:r>
      <w:r w:rsidR="009B633C" w:rsidRPr="0015735A">
        <w:rPr>
          <w:rFonts w:ascii="Arial" w:hAnsi="Arial" w:cs="Arial"/>
        </w:rPr>
        <w:t xml:space="preserve"> </w:t>
      </w:r>
      <w:r w:rsidR="009B633C" w:rsidRPr="0015735A">
        <w:rPr>
          <w:rFonts w:ascii="Arial" w:hAnsi="Arial" w:cs="Arial"/>
          <w:b/>
        </w:rPr>
        <w:t>– N/A</w:t>
      </w: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5F6180">
      <w:pPr>
        <w:pStyle w:val="ListParagraph"/>
        <w:spacing w:after="16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lastRenderedPageBreak/>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AUTHORISATION BY THE CROWN FOR USE OF THIRD PARTY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00461CD2">
      <w:pPr>
        <w:pStyle w:val="ListParagraph"/>
        <w:spacing w:after="160" w:line="240" w:lineRule="auto"/>
        <w:ind w:left="1137"/>
        <w:rPr>
          <w:rFonts w:ascii="Arial" w:hAnsi="Arial" w:cs="Arial"/>
          <w:i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14:paraId="78DA6E62" w14:textId="03A4F20C" w:rsidTr="7999136E">
        <w:trPr>
          <w:trHeight w:val="674"/>
        </w:trPr>
        <w:tc>
          <w:tcPr>
            <w:tcW w:w="5676" w:type="dxa"/>
          </w:tcPr>
          <w:p w14:paraId="702508D4" w14:textId="77777777" w:rsidR="005F6180" w:rsidRPr="00994797" w:rsidRDefault="005F6180" w:rsidP="0082382A">
            <w:pPr>
              <w:spacing w:after="160" w:line="240" w:lineRule="auto"/>
              <w:ind w:left="40"/>
              <w:rPr>
                <w:rFonts w:ascii="Arial" w:hAnsi="Arial" w:cs="Arial"/>
                <w:b/>
                <w:sz w:val="24"/>
                <w:szCs w:val="24"/>
              </w:rPr>
            </w:pPr>
            <w:bookmarkStart w:id="2" w:name="_Hlk37773098"/>
            <w:r w:rsidRPr="00994797">
              <w:rPr>
                <w:rFonts w:ascii="Arial" w:hAnsi="Arial" w:cs="Arial"/>
                <w:b/>
                <w:sz w:val="24"/>
                <w:szCs w:val="24"/>
              </w:rPr>
              <w:t>CALL-OFF START DATE:</w:t>
            </w:r>
          </w:p>
        </w:tc>
        <w:tc>
          <w:tcPr>
            <w:tcW w:w="3487" w:type="dxa"/>
          </w:tcPr>
          <w:p w14:paraId="57D09B16" w14:textId="7EBE605C" w:rsidR="005F6180" w:rsidRPr="008600CB" w:rsidRDefault="0038552C" w:rsidP="00651F2E">
            <w:pPr>
              <w:spacing w:after="160" w:line="240" w:lineRule="auto"/>
              <w:rPr>
                <w:rFonts w:ascii="Arial" w:hAnsi="Arial" w:cs="Arial"/>
                <w:color w:val="FF0000"/>
                <w:sz w:val="22"/>
                <w:szCs w:val="22"/>
                <w:highlight w:val="yellow"/>
              </w:rPr>
            </w:pPr>
            <w:r>
              <w:rPr>
                <w:rFonts w:ascii="Arial" w:hAnsi="Arial" w:cs="Arial"/>
                <w:sz w:val="22"/>
                <w:szCs w:val="22"/>
                <w:highlight w:val="yellow"/>
              </w:rPr>
              <w:t xml:space="preserve">Date of </w:t>
            </w:r>
            <w:r w:rsidRPr="0038552C">
              <w:rPr>
                <w:rFonts w:ascii="Arial" w:hAnsi="Arial" w:cs="Arial"/>
                <w:sz w:val="22"/>
                <w:szCs w:val="22"/>
                <w:highlight w:val="yellow"/>
              </w:rPr>
              <w:t>Contract Award</w:t>
            </w:r>
          </w:p>
        </w:tc>
      </w:tr>
      <w:tr w:rsidR="005F6180" w14:paraId="09A3FA67" w14:textId="77AA4CA1" w:rsidTr="7999136E">
        <w:trPr>
          <w:trHeight w:val="720"/>
        </w:trPr>
        <w:tc>
          <w:tcPr>
            <w:tcW w:w="5676" w:type="dxa"/>
          </w:tcPr>
          <w:p w14:paraId="6EC9AC2C" w14:textId="722B83FE"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EXPIRY DATE:</w:t>
            </w:r>
            <w:r w:rsidR="00B0476A">
              <w:rPr>
                <w:rFonts w:ascii="Arial" w:hAnsi="Arial" w:cs="Arial"/>
                <w:b/>
                <w:sz w:val="24"/>
                <w:szCs w:val="24"/>
              </w:rPr>
              <w:t xml:space="preserve">                                             </w:t>
            </w:r>
          </w:p>
        </w:tc>
        <w:tc>
          <w:tcPr>
            <w:tcW w:w="3487" w:type="dxa"/>
          </w:tcPr>
          <w:p w14:paraId="49DEF684" w14:textId="7A0D9785" w:rsidR="005F6180" w:rsidRPr="008600CB" w:rsidRDefault="00651F2E" w:rsidP="00651F2E">
            <w:pPr>
              <w:spacing w:after="160" w:line="240" w:lineRule="auto"/>
              <w:rPr>
                <w:rFonts w:ascii="Arial" w:hAnsi="Arial" w:cs="Arial"/>
                <w:sz w:val="22"/>
                <w:szCs w:val="22"/>
                <w:highlight w:val="yellow"/>
              </w:rPr>
            </w:pPr>
            <w:r>
              <w:rPr>
                <w:rFonts w:ascii="Arial" w:hAnsi="Arial" w:cs="Arial"/>
                <w:sz w:val="22"/>
                <w:szCs w:val="22"/>
                <w:highlight w:val="yellow"/>
              </w:rPr>
              <w:t>12 Months from date of contract award</w:t>
            </w:r>
          </w:p>
        </w:tc>
      </w:tr>
      <w:tr w:rsidR="005F6180" w14:paraId="1112440B" w14:textId="50DF6F55" w:rsidTr="7999136E">
        <w:trPr>
          <w:trHeight w:val="645"/>
        </w:trPr>
        <w:tc>
          <w:tcPr>
            <w:tcW w:w="5676" w:type="dxa"/>
          </w:tcPr>
          <w:p w14:paraId="72C9E9BA"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7187A22" w14:textId="2B6D296D" w:rsidR="005F6180" w:rsidRPr="008600CB" w:rsidRDefault="00651F2E" w:rsidP="00651F2E">
            <w:pPr>
              <w:spacing w:after="160" w:line="240" w:lineRule="auto"/>
              <w:rPr>
                <w:rFonts w:ascii="Arial" w:hAnsi="Arial" w:cs="Arial"/>
                <w:sz w:val="22"/>
                <w:szCs w:val="22"/>
                <w:highlight w:val="yellow"/>
              </w:rPr>
            </w:pPr>
            <w:r>
              <w:rPr>
                <w:rFonts w:ascii="Arial" w:hAnsi="Arial" w:cs="Arial"/>
                <w:sz w:val="22"/>
                <w:szCs w:val="22"/>
                <w:highlight w:val="yellow"/>
              </w:rPr>
              <w:t>2 Years</w:t>
            </w:r>
          </w:p>
        </w:tc>
      </w:tr>
      <w:tr w:rsidR="4EFA701C" w14:paraId="395574D3" w14:textId="77777777" w:rsidTr="7999136E">
        <w:trPr>
          <w:trHeight w:val="425"/>
        </w:trPr>
        <w:tc>
          <w:tcPr>
            <w:tcW w:w="5676" w:type="dxa"/>
          </w:tcPr>
          <w:p w14:paraId="4CBE80A6" w14:textId="40154DBE" w:rsidR="729A4A58" w:rsidRDefault="729A4A58" w:rsidP="4EFA701C">
            <w:pPr>
              <w:spacing w:after="160" w:line="240" w:lineRule="auto"/>
              <w:ind w:left="40"/>
              <w:rPr>
                <w:rFonts w:ascii="Arial" w:eastAsia="Arial" w:hAnsi="Arial" w:cs="Arial"/>
                <w:color w:val="000000" w:themeColor="text1"/>
                <w:sz w:val="24"/>
                <w:szCs w:val="24"/>
              </w:rPr>
            </w:pPr>
            <w:r w:rsidRPr="4EFA701C">
              <w:rPr>
                <w:rStyle w:val="normaltextrun"/>
                <w:rFonts w:ascii="Arial" w:eastAsia="Arial" w:hAnsi="Arial" w:cs="Arial"/>
                <w:b/>
                <w:bCs/>
                <w:color w:val="000000" w:themeColor="text1"/>
                <w:sz w:val="24"/>
                <w:szCs w:val="24"/>
              </w:rPr>
              <w:t>CALL-OFF EXTENSION PERIOD (OPTIONAL):</w:t>
            </w:r>
            <w:r w:rsidRPr="4EFA701C">
              <w:rPr>
                <w:rStyle w:val="eop"/>
                <w:rFonts w:ascii="Arial" w:eastAsia="Arial" w:hAnsi="Arial" w:cs="Arial"/>
                <w:color w:val="000000" w:themeColor="text1"/>
                <w:sz w:val="24"/>
                <w:szCs w:val="24"/>
              </w:rPr>
              <w:t> </w:t>
            </w:r>
          </w:p>
          <w:p w14:paraId="78F55980" w14:textId="16E63E57" w:rsidR="4EFA701C" w:rsidRDefault="4EFA701C" w:rsidP="4EFA701C">
            <w:pPr>
              <w:spacing w:line="240" w:lineRule="auto"/>
              <w:rPr>
                <w:b/>
                <w:bCs/>
                <w:sz w:val="24"/>
                <w:szCs w:val="24"/>
              </w:rPr>
            </w:pPr>
          </w:p>
        </w:tc>
        <w:tc>
          <w:tcPr>
            <w:tcW w:w="3487" w:type="dxa"/>
          </w:tcPr>
          <w:p w14:paraId="66BD7F12" w14:textId="08B6E68E" w:rsidR="00373F4D" w:rsidRPr="008600CB" w:rsidRDefault="00373F4D" w:rsidP="00651F2E">
            <w:pPr>
              <w:spacing w:after="0" w:line="240" w:lineRule="auto"/>
              <w:rPr>
                <w:rFonts w:ascii="Arial" w:eastAsia="Arial" w:hAnsi="Arial" w:cs="Arial"/>
                <w:sz w:val="22"/>
                <w:szCs w:val="22"/>
                <w:highlight w:val="yellow"/>
              </w:rPr>
            </w:pPr>
            <w:r w:rsidRPr="008600CB">
              <w:rPr>
                <w:rFonts w:ascii="Arial" w:eastAsia="Arial" w:hAnsi="Arial" w:cs="Arial"/>
                <w:sz w:val="22"/>
                <w:szCs w:val="22"/>
                <w:highlight w:val="yellow"/>
              </w:rPr>
              <w:t>N/A</w:t>
            </w:r>
          </w:p>
          <w:p w14:paraId="4908E15C" w14:textId="5444F7DD" w:rsidR="729A4A58" w:rsidRPr="008600CB" w:rsidRDefault="729A4A58" w:rsidP="4EFA701C">
            <w:pPr>
              <w:spacing w:line="240" w:lineRule="auto"/>
              <w:jc w:val="center"/>
              <w:rPr>
                <w:rFonts w:ascii="Arial" w:eastAsia="Arial" w:hAnsi="Arial" w:cs="Arial"/>
                <w:sz w:val="22"/>
                <w:szCs w:val="22"/>
                <w:highlight w:val="yellow"/>
              </w:rPr>
            </w:pPr>
          </w:p>
        </w:tc>
      </w:tr>
    </w:tbl>
    <w:bookmarkEnd w:id="2"/>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EDB8A94" w14:textId="077B23EE" w:rsidR="005F6180" w:rsidRPr="005F6180" w:rsidRDefault="00382267" w:rsidP="00444126">
      <w:pPr>
        <w:spacing w:after="160" w:line="240" w:lineRule="auto"/>
        <w:rPr>
          <w:rFonts w:ascii="Arial" w:hAnsi="Arial" w:cs="Arial"/>
        </w:rPr>
      </w:pPr>
      <w:r>
        <w:rPr>
          <w:rStyle w:val="normaltextrun"/>
          <w:rFonts w:ascii="Arial" w:hAnsi="Arial" w:cs="Arial"/>
          <w:color w:val="000000"/>
          <w:shd w:val="clear" w:color="auto" w:fill="FFFFFF"/>
        </w:rPr>
        <w:t>PROVISION OF</w:t>
      </w:r>
      <w:r w:rsidRPr="00382267">
        <w:rPr>
          <w:rStyle w:val="normaltextrun"/>
          <w:rFonts w:ascii="Arial" w:hAnsi="Arial" w:cs="Arial"/>
          <w:color w:val="000000"/>
          <w:shd w:val="clear" w:color="auto" w:fill="FFFFFF"/>
        </w:rPr>
        <w:t xml:space="preserve"> DHEKELIA MOD SCHOOL NEW BUILD</w:t>
      </w: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5F75065B" w14:textId="4B13E152" w:rsidR="00651F2E" w:rsidRDefault="00651F2E" w:rsidP="005207FC">
      <w:pPr>
        <w:spacing w:after="0" w:line="240" w:lineRule="auto"/>
        <w:rPr>
          <w:rFonts w:ascii="Arial" w:hAnsi="Arial" w:cs="Arial"/>
        </w:rPr>
      </w:pPr>
      <w:r>
        <w:rPr>
          <w:rFonts w:ascii="Arial" w:hAnsi="Arial" w:cs="Arial"/>
        </w:rPr>
        <w:t>RAF Donnington</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2AE12CCE" w14:textId="2E6B60F7" w:rsidR="00651F2E" w:rsidRDefault="00651F2E" w:rsidP="005207FC">
      <w:pPr>
        <w:spacing w:after="0" w:line="240" w:lineRule="auto"/>
        <w:rPr>
          <w:rFonts w:ascii="Arial" w:hAnsi="Arial" w:cs="Arial"/>
        </w:rPr>
      </w:pPr>
      <w:r>
        <w:rPr>
          <w:rFonts w:ascii="Arial" w:hAnsi="Arial" w:cs="Arial"/>
        </w:rPr>
        <w:t>Delivery to be completed no later than March 2022</w:t>
      </w:r>
    </w:p>
    <w:p w14:paraId="2E8CDCFA" w14:textId="77777777" w:rsidR="00651F2E" w:rsidRDefault="00651F2E" w:rsidP="005207FC">
      <w:pPr>
        <w:spacing w:after="0" w:line="240" w:lineRule="auto"/>
        <w:rPr>
          <w:rFonts w:ascii="Arial" w:hAnsi="Arial" w:cs="Arial"/>
        </w:rPr>
      </w:pPr>
    </w:p>
    <w:p w14:paraId="57A45EAF" w14:textId="6873BC38" w:rsidR="005F6180" w:rsidRPr="005F6180" w:rsidRDefault="005F6180" w:rsidP="005207FC">
      <w:pPr>
        <w:spacing w:after="0" w:line="240" w:lineRule="auto"/>
        <w:rPr>
          <w:rFonts w:ascii="Arial" w:hAnsi="Arial" w:cs="Arial"/>
        </w:rPr>
      </w:pPr>
    </w:p>
    <w:p w14:paraId="14689D15" w14:textId="54A3BC79" w:rsidR="005F6180" w:rsidRPr="00651F2E" w:rsidRDefault="005F6180" w:rsidP="005F6180">
      <w:pPr>
        <w:spacing w:after="160" w:line="240" w:lineRule="auto"/>
        <w:rPr>
          <w:rFonts w:ascii="Arial" w:hAnsi="Arial" w:cs="Arial"/>
        </w:rPr>
      </w:pPr>
      <w:r w:rsidRPr="0082382A">
        <w:rPr>
          <w:rFonts w:ascii="Arial" w:hAnsi="Arial" w:cs="Arial"/>
          <w:b/>
          <w:sz w:val="24"/>
        </w:rPr>
        <w:t xml:space="preserve">TESTING OF DELIVERABLES </w:t>
      </w:r>
    </w:p>
    <w:p w14:paraId="2D93E0E7" w14:textId="69F73C92" w:rsidR="002B6EDF" w:rsidRDefault="002B6EDF" w:rsidP="002B6EDF">
      <w:pPr>
        <w:tabs>
          <w:tab w:val="left" w:pos="2257"/>
        </w:tabs>
        <w:spacing w:after="0" w:line="256" w:lineRule="auto"/>
        <w:rPr>
          <w:rFonts w:ascii="Arial" w:hAnsi="Arial" w:cs="Arial"/>
          <w:sz w:val="24"/>
          <w:szCs w:val="24"/>
        </w:rPr>
      </w:pPr>
      <w:r>
        <w:rPr>
          <w:rFonts w:ascii="Arial" w:hAnsi="Arial" w:cs="Arial"/>
          <w:sz w:val="24"/>
          <w:szCs w:val="24"/>
        </w:rPr>
        <w:t>See details in Call-Off Schedule 13 (Implementation Plan &amp; Testing)</w:t>
      </w:r>
      <w:r w:rsidR="006E5478">
        <w:rPr>
          <w:rFonts w:ascii="Arial" w:hAnsi="Arial" w:cs="Arial"/>
          <w:sz w:val="24"/>
          <w:szCs w:val="24"/>
        </w:rPr>
        <w:t>.</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77777777" w:rsidR="005F6180" w:rsidRPr="005F6180" w:rsidRDefault="005F6180" w:rsidP="005207FC">
      <w:pPr>
        <w:spacing w:after="160" w:line="240" w:lineRule="auto"/>
        <w:rPr>
          <w:rFonts w:ascii="Arial" w:hAnsi="Arial" w:cs="Arial"/>
        </w:rPr>
      </w:pP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2E368B6C" w14:textId="02CB16AA" w:rsidR="005F6180" w:rsidRDefault="005F6180" w:rsidP="005207FC">
      <w:pPr>
        <w:spacing w:after="0" w:line="240" w:lineRule="auto"/>
        <w:rPr>
          <w:rFonts w:ascii="Arial" w:hAnsi="Arial" w:cs="Arial"/>
        </w:rPr>
      </w:pPr>
      <w:r w:rsidRPr="005F6180">
        <w:rPr>
          <w:rFonts w:ascii="Arial" w:hAnsi="Arial" w:cs="Arial"/>
        </w:rPr>
        <w:t xml:space="preserve">The Estimated Year 1 Charges used to calculate liability in the first Contract Year is </w:t>
      </w:r>
      <w:r w:rsidR="00E72B3F">
        <w:rPr>
          <w:rFonts w:ascii="Arial" w:hAnsi="Arial" w:cs="Arial"/>
        </w:rPr>
        <w:t>£83,155</w:t>
      </w:r>
    </w:p>
    <w:p w14:paraId="44313B6B" w14:textId="26883A5F" w:rsidR="00E72B3F" w:rsidRPr="005F6180" w:rsidRDefault="00E72B3F" w:rsidP="005207FC">
      <w:pPr>
        <w:spacing w:after="0" w:line="240" w:lineRule="auto"/>
        <w:rPr>
          <w:rFonts w:ascii="Arial" w:hAnsi="Arial" w:cs="Arial"/>
        </w:rPr>
      </w:pPr>
      <w:r>
        <w:rPr>
          <w:rFonts w:ascii="Arial" w:hAnsi="Arial" w:cs="Arial"/>
        </w:rPr>
        <w:t>59</w:t>
      </w:r>
    </w:p>
    <w:p w14:paraId="315BF42D" w14:textId="77777777" w:rsidR="00715C5F" w:rsidRDefault="00715C5F" w:rsidP="005F6180">
      <w:pPr>
        <w:spacing w:after="160" w:line="240" w:lineRule="auto"/>
        <w:rPr>
          <w:rFonts w:ascii="Arial" w:hAnsi="Arial" w:cs="Arial"/>
          <w:b/>
          <w:sz w:val="24"/>
        </w:rPr>
      </w:pPr>
    </w:p>
    <w:p w14:paraId="02873F11" w14:textId="72FB64EE"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3" w:name="_Hlk37773398"/>
      <w:r w:rsidRPr="005F6180">
        <w:rPr>
          <w:rFonts w:ascii="Arial" w:hAnsi="Arial" w:cs="Arial"/>
        </w:rPr>
        <w:t>CP&amp;F</w:t>
      </w:r>
      <w:r w:rsidR="0082382A">
        <w:rPr>
          <w:rFonts w:ascii="Arial" w:hAnsi="Arial" w:cs="Arial"/>
        </w:rPr>
        <w:t>.</w:t>
      </w:r>
    </w:p>
    <w:bookmarkEnd w:id="3"/>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1068F274" w14:textId="6D619294" w:rsidR="005F6180" w:rsidRPr="00444126" w:rsidRDefault="0038552C" w:rsidP="00715C5F">
      <w:pPr>
        <w:pStyle w:val="paragraph"/>
        <w:spacing w:before="0" w:beforeAutospacing="0" w:after="40" w:afterAutospacing="0"/>
        <w:textAlignment w:val="baseline"/>
        <w:rPr>
          <w:rFonts w:ascii="Segoe UI" w:hAnsi="Segoe UI" w:cs="Segoe UI"/>
          <w:sz w:val="18"/>
          <w:szCs w:val="18"/>
        </w:rPr>
      </w:pPr>
      <w:r>
        <w:rPr>
          <w:rFonts w:ascii="Arial" w:hAnsi="Arial" w:cs="Arial"/>
          <w:sz w:val="22"/>
          <w:szCs w:val="22"/>
        </w:rPr>
        <w:t xml:space="preserve">Joe Coole </w:t>
      </w:r>
    </w:p>
    <w:p w14:paraId="240002FB" w14:textId="29E6A27A" w:rsidR="00715C5F" w:rsidRDefault="00002A91" w:rsidP="00715C5F">
      <w:pPr>
        <w:spacing w:after="40" w:line="240" w:lineRule="auto"/>
        <w:rPr>
          <w:rFonts w:ascii="Arial" w:eastAsia="Times New Roman" w:hAnsi="Arial" w:cs="Arial"/>
          <w:lang w:eastAsia="en-GB"/>
        </w:rPr>
      </w:pPr>
      <w:r>
        <w:rPr>
          <w:rFonts w:ascii="Arial" w:eastAsia="Times New Roman" w:hAnsi="Arial" w:cs="Arial"/>
          <w:lang w:eastAsia="en-GB"/>
        </w:rPr>
        <w:t>Programme Manager</w:t>
      </w:r>
    </w:p>
    <w:p w14:paraId="1EE53D05" w14:textId="2FB72F2A" w:rsidR="00715C5F" w:rsidRPr="0038552C" w:rsidRDefault="0038552C" w:rsidP="0038552C">
      <w:pPr>
        <w:spacing w:after="160" w:line="240" w:lineRule="auto"/>
        <w:rPr>
          <w:rFonts w:ascii="Arial" w:eastAsia="Times New Roman" w:hAnsi="Arial" w:cs="Arial"/>
          <w:lang w:eastAsia="en-GB"/>
        </w:rPr>
      </w:pPr>
      <w:r w:rsidRPr="0038552C">
        <w:rPr>
          <w:rFonts w:ascii="Arial" w:hAnsi="Arial" w:cs="Arial"/>
        </w:rPr>
        <w:t>Defence Children Services</w:t>
      </w:r>
      <w:r>
        <w:rPr>
          <w:rFonts w:ascii="Arial" w:hAnsi="Arial" w:cs="Arial"/>
        </w:rPr>
        <w:t xml:space="preserve">, </w:t>
      </w:r>
      <w:r w:rsidRPr="0038552C">
        <w:rPr>
          <w:rFonts w:ascii="Arial" w:hAnsi="Arial" w:cs="Arial"/>
        </w:rPr>
        <w:t>Bldg 183</w:t>
      </w:r>
      <w:r>
        <w:rPr>
          <w:rFonts w:ascii="Arial" w:hAnsi="Arial" w:cs="Arial"/>
        </w:rPr>
        <w:t>,</w:t>
      </w:r>
      <w:r w:rsidRPr="0038552C">
        <w:rPr>
          <w:rFonts w:ascii="Arial" w:hAnsi="Arial" w:cs="Arial"/>
        </w:rPr>
        <w:t xml:space="preserve"> Trenchard Lines</w:t>
      </w:r>
      <w:r>
        <w:rPr>
          <w:rFonts w:ascii="Arial" w:hAnsi="Arial" w:cs="Arial"/>
        </w:rPr>
        <w:t xml:space="preserve">, </w:t>
      </w:r>
      <w:r w:rsidRPr="0038552C">
        <w:rPr>
          <w:rFonts w:ascii="Arial" w:hAnsi="Arial" w:cs="Arial"/>
        </w:rPr>
        <w:t>Upavon</w:t>
      </w:r>
      <w:r>
        <w:rPr>
          <w:rFonts w:ascii="Arial" w:hAnsi="Arial" w:cs="Arial"/>
        </w:rPr>
        <w:t xml:space="preserve">, </w:t>
      </w:r>
      <w:r w:rsidRPr="0038552C">
        <w:rPr>
          <w:rFonts w:ascii="Arial" w:hAnsi="Arial" w:cs="Arial"/>
        </w:rPr>
        <w:t>Wiltshire</w:t>
      </w:r>
      <w:r>
        <w:rPr>
          <w:rFonts w:ascii="Arial" w:hAnsi="Arial" w:cs="Arial"/>
        </w:rPr>
        <w:t xml:space="preserve">, </w:t>
      </w:r>
      <w:r w:rsidRPr="0038552C">
        <w:rPr>
          <w:rFonts w:ascii="Arial" w:hAnsi="Arial" w:cs="Arial"/>
        </w:rPr>
        <w:t>SN9 6BE</w:t>
      </w:r>
    </w:p>
    <w:p w14:paraId="58F1A463"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493C5723" w14:textId="237E461C" w:rsidR="005F6180" w:rsidRPr="005F6180" w:rsidRDefault="0038552C" w:rsidP="004107B6">
      <w:pPr>
        <w:spacing w:after="40" w:line="240" w:lineRule="auto"/>
        <w:rPr>
          <w:rFonts w:ascii="Arial" w:hAnsi="Arial" w:cs="Arial"/>
        </w:rPr>
      </w:pPr>
      <w:bookmarkStart w:id="4" w:name="_Hlk37773416"/>
      <w:r>
        <w:rPr>
          <w:rFonts w:ascii="Arial" w:hAnsi="Arial" w:cs="Arial"/>
        </w:rPr>
        <w:t>Kayleigh Lewis</w:t>
      </w:r>
    </w:p>
    <w:p w14:paraId="2AE7A625" w14:textId="59BF4A27" w:rsidR="005F6180" w:rsidRPr="005F6180" w:rsidRDefault="0038552C" w:rsidP="004107B6">
      <w:pPr>
        <w:spacing w:after="40" w:line="240" w:lineRule="auto"/>
        <w:rPr>
          <w:rFonts w:ascii="Arial" w:hAnsi="Arial" w:cs="Arial"/>
        </w:rPr>
      </w:pPr>
      <w:r>
        <w:rPr>
          <w:rFonts w:ascii="Arial" w:hAnsi="Arial" w:cs="Arial"/>
        </w:rPr>
        <w:t>Army Commercial Home Command</w:t>
      </w:r>
    </w:p>
    <w:p w14:paraId="370652F0" w14:textId="6AB4F25F" w:rsidR="005F6180" w:rsidRPr="005F6180" w:rsidRDefault="0038552C" w:rsidP="004107B6">
      <w:pPr>
        <w:spacing w:after="40" w:line="240" w:lineRule="auto"/>
        <w:rPr>
          <w:rFonts w:ascii="Arial" w:hAnsi="Arial" w:cs="Arial"/>
        </w:rPr>
      </w:pPr>
      <w:r>
        <w:rPr>
          <w:rFonts w:ascii="Arial" w:hAnsi="Arial" w:cs="Arial"/>
        </w:rPr>
        <w:t>Army</w:t>
      </w:r>
      <w:r w:rsidR="005F6180" w:rsidRPr="005F6180">
        <w:rPr>
          <w:rFonts w:ascii="Arial" w:hAnsi="Arial" w:cs="Arial"/>
        </w:rPr>
        <w:t xml:space="preserve"> Headquarters, Marlborough Lines, Monxton Road, Andover, Hampshire, SP11 8HJ.</w:t>
      </w:r>
    </w:p>
    <w:bookmarkEnd w:id="4"/>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77777777" w:rsidR="004107B6" w:rsidRPr="005F6180" w:rsidRDefault="004107B6" w:rsidP="004107B6">
      <w:pPr>
        <w:spacing w:after="160" w:line="240" w:lineRule="auto"/>
        <w:rPr>
          <w:rFonts w:ascii="Arial" w:hAnsi="Arial" w:cs="Arial"/>
        </w:rPr>
      </w:pPr>
    </w:p>
    <w:p w14:paraId="08CAE7E0"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6B2E2549" w14:textId="073AC41A" w:rsidR="005F6180" w:rsidRPr="005F6180" w:rsidRDefault="0066107A" w:rsidP="004107B6">
      <w:pPr>
        <w:spacing w:after="40" w:line="240" w:lineRule="auto"/>
        <w:rPr>
          <w:rFonts w:ascii="Arial" w:hAnsi="Arial" w:cs="Arial"/>
        </w:rPr>
      </w:pPr>
      <w:r>
        <w:rPr>
          <w:rFonts w:ascii="Arial" w:hAnsi="Arial" w:cs="Arial"/>
        </w:rPr>
        <w:t>Derek Rouse</w:t>
      </w:r>
    </w:p>
    <w:p w14:paraId="6459421A" w14:textId="4722C0BE" w:rsidR="005F6180" w:rsidRPr="005F6180" w:rsidRDefault="0066107A" w:rsidP="004107B6">
      <w:pPr>
        <w:spacing w:after="40" w:line="240" w:lineRule="auto"/>
        <w:rPr>
          <w:rFonts w:ascii="Arial" w:hAnsi="Arial" w:cs="Arial"/>
        </w:rPr>
      </w:pPr>
      <w:r>
        <w:rPr>
          <w:rFonts w:ascii="Arial" w:hAnsi="Arial" w:cs="Arial"/>
        </w:rPr>
        <w:t>Sales &amp; Purchasing Administrator</w:t>
      </w:r>
    </w:p>
    <w:p w14:paraId="5B1F2E23" w14:textId="50A5C395" w:rsidR="005F6180" w:rsidRPr="005F6180" w:rsidRDefault="0066107A" w:rsidP="004107B6">
      <w:pPr>
        <w:spacing w:after="40" w:line="240" w:lineRule="auto"/>
        <w:rPr>
          <w:rFonts w:ascii="Arial" w:hAnsi="Arial" w:cs="Arial"/>
        </w:rPr>
      </w:pPr>
      <w:r>
        <w:rPr>
          <w:rFonts w:ascii="Arial" w:hAnsi="Arial" w:cs="Arial"/>
        </w:rPr>
        <w:t>Akhter Computers Limited, Akhter House, Perry Road, Harlow, Essex, CM18 7PN</w:t>
      </w:r>
    </w:p>
    <w:p w14:paraId="25165088" w14:textId="77777777" w:rsidR="0080676A" w:rsidRDefault="0080676A" w:rsidP="004107B6">
      <w:pPr>
        <w:spacing w:after="160" w:line="240" w:lineRule="auto"/>
        <w:rPr>
          <w:rFonts w:ascii="Arial" w:hAnsi="Arial" w:cs="Arial"/>
        </w:rPr>
      </w:pPr>
    </w:p>
    <w:p w14:paraId="2C460426" w14:textId="77777777" w:rsidR="0080676A" w:rsidRDefault="0080676A" w:rsidP="004107B6">
      <w:pPr>
        <w:spacing w:after="160" w:line="240" w:lineRule="auto"/>
        <w:rPr>
          <w:rFonts w:ascii="Arial" w:hAnsi="Arial" w:cs="Arial"/>
        </w:rPr>
      </w:pPr>
    </w:p>
    <w:p w14:paraId="1C7AA7C7" w14:textId="77777777" w:rsidR="0080676A" w:rsidRDefault="0080676A" w:rsidP="004107B6">
      <w:pPr>
        <w:spacing w:after="160" w:line="240" w:lineRule="auto"/>
        <w:rPr>
          <w:rFonts w:ascii="Arial" w:hAnsi="Arial" w:cs="Arial"/>
        </w:rPr>
      </w:pPr>
    </w:p>
    <w:p w14:paraId="0567D039" w14:textId="1519DE8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7AABD61F" w14:textId="1D95C0A8" w:rsidR="0082382A" w:rsidRPr="005F6180" w:rsidRDefault="0066107A" w:rsidP="004107B6">
      <w:pPr>
        <w:spacing w:after="40" w:line="240" w:lineRule="auto"/>
        <w:rPr>
          <w:rFonts w:ascii="Arial" w:hAnsi="Arial" w:cs="Arial"/>
        </w:rPr>
      </w:pPr>
      <w:r>
        <w:rPr>
          <w:rFonts w:ascii="Arial" w:hAnsi="Arial" w:cs="Arial"/>
        </w:rPr>
        <w:t>Lisa Smyth</w:t>
      </w:r>
    </w:p>
    <w:p w14:paraId="2D42650A" w14:textId="6BC7F748" w:rsidR="0082382A" w:rsidRPr="005F6180" w:rsidRDefault="0066107A" w:rsidP="004107B6">
      <w:pPr>
        <w:spacing w:after="40" w:line="240" w:lineRule="auto"/>
        <w:rPr>
          <w:rFonts w:ascii="Arial" w:hAnsi="Arial" w:cs="Arial"/>
        </w:rPr>
      </w:pPr>
      <w:r>
        <w:rPr>
          <w:rFonts w:ascii="Arial" w:hAnsi="Arial" w:cs="Arial"/>
        </w:rPr>
        <w:t>Contracts Officer</w:t>
      </w:r>
    </w:p>
    <w:p w14:paraId="76F33002" w14:textId="619634D3" w:rsidR="005F6180" w:rsidRDefault="0066107A" w:rsidP="004107B6">
      <w:pPr>
        <w:spacing w:after="40" w:line="240" w:lineRule="auto"/>
        <w:rPr>
          <w:rFonts w:ascii="Arial" w:hAnsi="Arial" w:cs="Arial"/>
        </w:rPr>
      </w:pPr>
      <w:r>
        <w:rPr>
          <w:rFonts w:ascii="Arial" w:hAnsi="Arial" w:cs="Arial"/>
        </w:rPr>
        <w:t>Akhter Computers Limited, Akhter House, Perry Road, Harlow, Essex, CM18 7PN</w:t>
      </w:r>
    </w:p>
    <w:p w14:paraId="6A85B92E" w14:textId="77777777" w:rsidR="0082382A" w:rsidRPr="005F6180" w:rsidRDefault="0082382A" w:rsidP="40CFEDE5">
      <w:pPr>
        <w:spacing w:after="160" w:line="240" w:lineRule="auto"/>
        <w:rPr>
          <w:rFonts w:ascii="Arial" w:hAnsi="Arial" w:cs="Arial"/>
        </w:rPr>
      </w:pP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4725CB14" w14:textId="77777777" w:rsidR="005F6180" w:rsidRPr="0053783A" w:rsidRDefault="005F6180" w:rsidP="003305CB">
      <w:pPr>
        <w:spacing w:after="160" w:line="240" w:lineRule="auto"/>
        <w:rPr>
          <w:rFonts w:ascii="Arial" w:hAnsi="Arial" w:cs="Arial"/>
        </w:rPr>
      </w:pPr>
    </w:p>
    <w:p w14:paraId="0FEC9C01" w14:textId="77777777" w:rsidR="005F6180" w:rsidRPr="0053783A" w:rsidRDefault="005F6180" w:rsidP="00715C5F">
      <w:pPr>
        <w:spacing w:after="0" w:line="240" w:lineRule="auto"/>
        <w:rPr>
          <w:rFonts w:ascii="Arial" w:hAnsi="Arial" w:cs="Arial"/>
        </w:rPr>
      </w:pPr>
      <w:r w:rsidRPr="005663A6">
        <w:rPr>
          <w:rFonts w:ascii="Arial" w:hAnsi="Arial" w:cs="Arial"/>
          <w:b/>
          <w:sz w:val="24"/>
        </w:rPr>
        <w:lastRenderedPageBreak/>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4A6296AC" w14:textId="59C91533" w:rsidR="0082382A" w:rsidRPr="005F6180" w:rsidRDefault="0066107A" w:rsidP="004107B6">
      <w:pPr>
        <w:spacing w:after="40"/>
        <w:rPr>
          <w:rFonts w:ascii="Arial" w:hAnsi="Arial" w:cs="Arial"/>
        </w:rPr>
      </w:pPr>
      <w:r>
        <w:rPr>
          <w:rFonts w:ascii="Arial" w:hAnsi="Arial" w:cs="Arial"/>
        </w:rPr>
        <w:t>Derek Rouse</w:t>
      </w:r>
    </w:p>
    <w:p w14:paraId="433B3002" w14:textId="6D53C82D" w:rsidR="0082382A" w:rsidRPr="005F6180" w:rsidRDefault="0066107A" w:rsidP="004107B6">
      <w:pPr>
        <w:spacing w:after="40"/>
        <w:rPr>
          <w:rFonts w:ascii="Arial" w:hAnsi="Arial" w:cs="Arial"/>
        </w:rPr>
      </w:pPr>
      <w:r>
        <w:rPr>
          <w:rFonts w:ascii="Arial" w:hAnsi="Arial" w:cs="Arial"/>
        </w:rPr>
        <w:t>Sales &amp; Purchasing Administrator</w:t>
      </w:r>
    </w:p>
    <w:p w14:paraId="2C79413D" w14:textId="29AA5C94" w:rsidR="0082382A" w:rsidRDefault="0066107A" w:rsidP="004107B6">
      <w:pPr>
        <w:spacing w:after="40"/>
        <w:rPr>
          <w:rFonts w:ascii="Arial" w:hAnsi="Arial" w:cs="Arial"/>
        </w:rPr>
      </w:pPr>
      <w:r>
        <w:rPr>
          <w:rFonts w:ascii="Arial" w:hAnsi="Arial" w:cs="Arial"/>
        </w:rPr>
        <w:t>Akhter Computers Limited, Akhter House, Perry Road, Harlow, Essex, CM18 7PN</w:t>
      </w:r>
    </w:p>
    <w:p w14:paraId="42C89B13" w14:textId="77777777" w:rsidR="005F6180" w:rsidRPr="005F6180" w:rsidRDefault="005F6180" w:rsidP="004107B6">
      <w:pPr>
        <w:spacing w:after="160" w:line="240" w:lineRule="auto"/>
        <w:rPr>
          <w:rFonts w:ascii="Arial" w:hAnsi="Arial" w:cs="Arial"/>
        </w:rPr>
      </w:pP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55096C9" w14:textId="155ECDE8" w:rsidR="005F6180" w:rsidRDefault="0082382A" w:rsidP="005207FC">
      <w:pPr>
        <w:spacing w:after="0" w:line="240" w:lineRule="auto"/>
        <w:rPr>
          <w:rFonts w:ascii="Arial" w:hAnsi="Arial" w:cs="Arial"/>
          <w:sz w:val="24"/>
          <w:szCs w:val="24"/>
        </w:rPr>
      </w:pPr>
      <w:r w:rsidRPr="1216C596">
        <w:rPr>
          <w:rFonts w:ascii="Arial" w:hAnsi="Arial" w:cs="Arial"/>
          <w:sz w:val="24"/>
          <w:szCs w:val="24"/>
        </w:rPr>
        <w:t xml:space="preserve">Not applicable </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77777777" w:rsidR="0082382A" w:rsidRPr="009F273E" w:rsidRDefault="0082382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35DD7778" w14:textId="482A9A94" w:rsidR="0082382A" w:rsidRPr="009F273E" w:rsidRDefault="00AB3A4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noProof/>
                <w:sz w:val="24"/>
                <w:szCs w:val="24"/>
              </w:rPr>
              <w:t>redacted</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77777777" w:rsidR="0082382A" w:rsidRPr="009F273E" w:rsidRDefault="0082382A"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7DC8F54B" w:rsidR="0082382A" w:rsidRPr="009F273E" w:rsidRDefault="00E72B3F"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KAYLEIGH LEWIS</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77777777" w:rsidR="0082382A" w:rsidRPr="009F273E" w:rsidRDefault="0082382A"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0B1038A5" w:rsidR="0082382A" w:rsidRPr="009F273E" w:rsidRDefault="00E72B3F"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Army Commercial HC</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77777777" w:rsidR="0082382A" w:rsidRPr="009F273E" w:rsidRDefault="0082382A"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0D163E87" w:rsidR="0082382A" w:rsidRPr="009F273E" w:rsidRDefault="00E72B3F"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18/02/2022</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1"/>
      <w:footerReference w:type="default" r:id="rId1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4DCD0" w14:textId="77777777" w:rsidR="00F934E0" w:rsidRDefault="00F934E0" w:rsidP="005F6180">
      <w:pPr>
        <w:spacing w:after="0" w:line="240" w:lineRule="auto"/>
      </w:pPr>
      <w:r>
        <w:separator/>
      </w:r>
    </w:p>
  </w:endnote>
  <w:endnote w:type="continuationSeparator" w:id="0">
    <w:p w14:paraId="72413BED" w14:textId="77777777" w:rsidR="00F934E0" w:rsidRDefault="00F934E0" w:rsidP="005F6180">
      <w:pPr>
        <w:spacing w:after="0" w:line="240" w:lineRule="auto"/>
      </w:pPr>
      <w:r>
        <w:continuationSeparator/>
      </w:r>
    </w:p>
  </w:endnote>
  <w:endnote w:type="continuationNotice" w:id="1">
    <w:p w14:paraId="0F1FC4DD" w14:textId="77777777" w:rsidR="00F934E0" w:rsidRDefault="00F93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271661"/>
      <w:docPartObj>
        <w:docPartGallery w:val="Page Numbers (Bottom of Page)"/>
        <w:docPartUnique/>
      </w:docPartObj>
    </w:sdtPr>
    <w:sdtEndPr>
      <w:rPr>
        <w:noProof/>
      </w:rPr>
    </w:sdtEndPr>
    <w:sdtContent>
      <w:p w14:paraId="240BD5F2"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B247B" w14:textId="77777777" w:rsidR="00F934E0" w:rsidRDefault="00F934E0" w:rsidP="005F6180">
      <w:pPr>
        <w:spacing w:after="0" w:line="240" w:lineRule="auto"/>
      </w:pPr>
      <w:r>
        <w:separator/>
      </w:r>
    </w:p>
  </w:footnote>
  <w:footnote w:type="continuationSeparator" w:id="0">
    <w:p w14:paraId="7276F0FC" w14:textId="77777777" w:rsidR="00F934E0" w:rsidRDefault="00F934E0" w:rsidP="005F6180">
      <w:pPr>
        <w:spacing w:after="0" w:line="240" w:lineRule="auto"/>
      </w:pPr>
      <w:r>
        <w:continuationSeparator/>
      </w:r>
    </w:p>
  </w:footnote>
  <w:footnote w:type="continuationNotice" w:id="1">
    <w:p w14:paraId="3FF18E9B" w14:textId="77777777" w:rsidR="00F934E0" w:rsidRDefault="00F93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7E89A" w14:textId="77777777"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DBF280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12C8ED1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02A91"/>
    <w:rsid w:val="00026229"/>
    <w:rsid w:val="00047133"/>
    <w:rsid w:val="00063483"/>
    <w:rsid w:val="00082AAF"/>
    <w:rsid w:val="0008351E"/>
    <w:rsid w:val="00091D4B"/>
    <w:rsid w:val="000D6C49"/>
    <w:rsid w:val="000F5777"/>
    <w:rsid w:val="001557C2"/>
    <w:rsid w:val="0015735A"/>
    <w:rsid w:val="0015753F"/>
    <w:rsid w:val="00165193"/>
    <w:rsid w:val="001912BD"/>
    <w:rsid w:val="00191CBB"/>
    <w:rsid w:val="001C6955"/>
    <w:rsid w:val="001E75E3"/>
    <w:rsid w:val="00226C07"/>
    <w:rsid w:val="002303E4"/>
    <w:rsid w:val="0023772B"/>
    <w:rsid w:val="0024439D"/>
    <w:rsid w:val="00271E43"/>
    <w:rsid w:val="002952FB"/>
    <w:rsid w:val="002B16A1"/>
    <w:rsid w:val="002B6EDF"/>
    <w:rsid w:val="002C1AD2"/>
    <w:rsid w:val="002D56A7"/>
    <w:rsid w:val="002E1A0A"/>
    <w:rsid w:val="0032487B"/>
    <w:rsid w:val="003305CB"/>
    <w:rsid w:val="0034062A"/>
    <w:rsid w:val="003470A5"/>
    <w:rsid w:val="00364972"/>
    <w:rsid w:val="00373F4D"/>
    <w:rsid w:val="00382267"/>
    <w:rsid w:val="0038552C"/>
    <w:rsid w:val="00390FEF"/>
    <w:rsid w:val="003B1AF2"/>
    <w:rsid w:val="003B5B45"/>
    <w:rsid w:val="003F7021"/>
    <w:rsid w:val="004107B6"/>
    <w:rsid w:val="004434AD"/>
    <w:rsid w:val="00444126"/>
    <w:rsid w:val="00447A13"/>
    <w:rsid w:val="00452050"/>
    <w:rsid w:val="00461CD2"/>
    <w:rsid w:val="00477C65"/>
    <w:rsid w:val="004A7F4D"/>
    <w:rsid w:val="004D352C"/>
    <w:rsid w:val="004D739C"/>
    <w:rsid w:val="0050345C"/>
    <w:rsid w:val="005207FC"/>
    <w:rsid w:val="005343EE"/>
    <w:rsid w:val="0053783A"/>
    <w:rsid w:val="005663A6"/>
    <w:rsid w:val="0058498A"/>
    <w:rsid w:val="005911E2"/>
    <w:rsid w:val="005B4D86"/>
    <w:rsid w:val="005B6A8C"/>
    <w:rsid w:val="005C555B"/>
    <w:rsid w:val="005D2090"/>
    <w:rsid w:val="005E24F4"/>
    <w:rsid w:val="005F6180"/>
    <w:rsid w:val="006332E1"/>
    <w:rsid w:val="00651F2E"/>
    <w:rsid w:val="006528BF"/>
    <w:rsid w:val="0065306B"/>
    <w:rsid w:val="00656626"/>
    <w:rsid w:val="0066107A"/>
    <w:rsid w:val="00664081"/>
    <w:rsid w:val="006D3AF8"/>
    <w:rsid w:val="006E2140"/>
    <w:rsid w:val="006E5478"/>
    <w:rsid w:val="006F0B90"/>
    <w:rsid w:val="00715C5F"/>
    <w:rsid w:val="00747DD5"/>
    <w:rsid w:val="00764FEF"/>
    <w:rsid w:val="007809AF"/>
    <w:rsid w:val="007E3ED8"/>
    <w:rsid w:val="007F44B1"/>
    <w:rsid w:val="0080676A"/>
    <w:rsid w:val="0082382A"/>
    <w:rsid w:val="008454B1"/>
    <w:rsid w:val="008552F9"/>
    <w:rsid w:val="008600CB"/>
    <w:rsid w:val="00875567"/>
    <w:rsid w:val="008D0C44"/>
    <w:rsid w:val="009167EF"/>
    <w:rsid w:val="00924078"/>
    <w:rsid w:val="0094159B"/>
    <w:rsid w:val="00964489"/>
    <w:rsid w:val="0097029A"/>
    <w:rsid w:val="00994797"/>
    <w:rsid w:val="009970F6"/>
    <w:rsid w:val="009A77D8"/>
    <w:rsid w:val="009B633C"/>
    <w:rsid w:val="009C75EE"/>
    <w:rsid w:val="009C7D50"/>
    <w:rsid w:val="009F4931"/>
    <w:rsid w:val="009F4DBF"/>
    <w:rsid w:val="00A103FD"/>
    <w:rsid w:val="00A12CBF"/>
    <w:rsid w:val="00A1776E"/>
    <w:rsid w:val="00A34B73"/>
    <w:rsid w:val="00A42C5D"/>
    <w:rsid w:val="00A6418A"/>
    <w:rsid w:val="00AB3A4A"/>
    <w:rsid w:val="00AD18D7"/>
    <w:rsid w:val="00B0476A"/>
    <w:rsid w:val="00B14DB7"/>
    <w:rsid w:val="00B42451"/>
    <w:rsid w:val="00B427CB"/>
    <w:rsid w:val="00B75F82"/>
    <w:rsid w:val="00BB43D8"/>
    <w:rsid w:val="00C2045A"/>
    <w:rsid w:val="00C53895"/>
    <w:rsid w:val="00C975C0"/>
    <w:rsid w:val="00CA5D62"/>
    <w:rsid w:val="00D07927"/>
    <w:rsid w:val="00D10F2C"/>
    <w:rsid w:val="00D15C2D"/>
    <w:rsid w:val="00D1699D"/>
    <w:rsid w:val="00D22D0D"/>
    <w:rsid w:val="00D32C38"/>
    <w:rsid w:val="00D66CE7"/>
    <w:rsid w:val="00D728F3"/>
    <w:rsid w:val="00DA59DF"/>
    <w:rsid w:val="00DC78EC"/>
    <w:rsid w:val="00DE124F"/>
    <w:rsid w:val="00DF59E4"/>
    <w:rsid w:val="00E02FC3"/>
    <w:rsid w:val="00E1421E"/>
    <w:rsid w:val="00E64271"/>
    <w:rsid w:val="00E67778"/>
    <w:rsid w:val="00E72B3F"/>
    <w:rsid w:val="00E83E48"/>
    <w:rsid w:val="00EA1769"/>
    <w:rsid w:val="00EB665D"/>
    <w:rsid w:val="00F0387B"/>
    <w:rsid w:val="00F74164"/>
    <w:rsid w:val="00F934E0"/>
    <w:rsid w:val="00F94BB9"/>
    <w:rsid w:val="00FD0787"/>
    <w:rsid w:val="00FF10A9"/>
    <w:rsid w:val="0234DEA7"/>
    <w:rsid w:val="04597F95"/>
    <w:rsid w:val="05483965"/>
    <w:rsid w:val="09B11CF7"/>
    <w:rsid w:val="0C07BECB"/>
    <w:rsid w:val="0C98E548"/>
    <w:rsid w:val="0EE4FFE2"/>
    <w:rsid w:val="1167447B"/>
    <w:rsid w:val="1216C596"/>
    <w:rsid w:val="1823715F"/>
    <w:rsid w:val="1AC1E057"/>
    <w:rsid w:val="1BAC3725"/>
    <w:rsid w:val="23B1103F"/>
    <w:rsid w:val="2475AA14"/>
    <w:rsid w:val="27AC6A81"/>
    <w:rsid w:val="27B000BB"/>
    <w:rsid w:val="2B1821A4"/>
    <w:rsid w:val="2C97DE37"/>
    <w:rsid w:val="2E567E58"/>
    <w:rsid w:val="2F3E2E45"/>
    <w:rsid w:val="379A7038"/>
    <w:rsid w:val="3AEC7CDB"/>
    <w:rsid w:val="40CFEDE5"/>
    <w:rsid w:val="410E72C8"/>
    <w:rsid w:val="430AD19B"/>
    <w:rsid w:val="44A6C354"/>
    <w:rsid w:val="471F8439"/>
    <w:rsid w:val="48F6827D"/>
    <w:rsid w:val="4BD1F024"/>
    <w:rsid w:val="4E97BC9E"/>
    <w:rsid w:val="4EFA701C"/>
    <w:rsid w:val="4F25EBFD"/>
    <w:rsid w:val="4F3AAA3C"/>
    <w:rsid w:val="4FECB921"/>
    <w:rsid w:val="50EFA94F"/>
    <w:rsid w:val="522B6679"/>
    <w:rsid w:val="52F11A34"/>
    <w:rsid w:val="5432FA16"/>
    <w:rsid w:val="56D26957"/>
    <w:rsid w:val="58856F5E"/>
    <w:rsid w:val="5AF601BE"/>
    <w:rsid w:val="5C61263A"/>
    <w:rsid w:val="5D3CFFBA"/>
    <w:rsid w:val="5E600219"/>
    <w:rsid w:val="5E9E7EE2"/>
    <w:rsid w:val="5F249CD1"/>
    <w:rsid w:val="5FD8A5A0"/>
    <w:rsid w:val="6087714B"/>
    <w:rsid w:val="609215E5"/>
    <w:rsid w:val="63FAC885"/>
    <w:rsid w:val="66F0111F"/>
    <w:rsid w:val="697E349C"/>
    <w:rsid w:val="6A1C38C1"/>
    <w:rsid w:val="6B2DE123"/>
    <w:rsid w:val="6BCBF7C7"/>
    <w:rsid w:val="6C79F687"/>
    <w:rsid w:val="6C869E56"/>
    <w:rsid w:val="6CCD1DC1"/>
    <w:rsid w:val="71891598"/>
    <w:rsid w:val="729A4A58"/>
    <w:rsid w:val="73F3B32E"/>
    <w:rsid w:val="7999136E"/>
    <w:rsid w:val="7A9BF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52C"/>
    <w:rPr>
      <w:color w:val="0563C1" w:themeColor="hyperlink"/>
      <w:u w:val="single"/>
    </w:rPr>
  </w:style>
  <w:style w:type="character" w:styleId="UnresolvedMention">
    <w:name w:val="Unresolved Mention"/>
    <w:basedOn w:val="DefaultParagraphFont"/>
    <w:uiPriority w:val="99"/>
    <w:semiHidden/>
    <w:unhideWhenUsed/>
    <w:rsid w:val="00385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0323">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30BC7D99CEEB438DB74AAEFD26CFF9" ma:contentTypeVersion="" ma:contentTypeDescription="Create a new document." ma:contentTypeScope="" ma:versionID="445acfece5850c5de99bf01033484692">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3B51E-5906-4301-96B0-C387DDA76B62}">
  <ds:schemaRefs>
    <ds:schemaRef ds:uri="http://schemas.openxmlformats.org/officeDocument/2006/bibliography"/>
  </ds:schemaRefs>
</ds:datastoreItem>
</file>

<file path=customXml/itemProps2.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3.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0D6D4-E097-4209-83FA-42851145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Lewis, Kayleigh C2 (Army Comrcl-Procure-HC-T1-C2)</cp:lastModifiedBy>
  <cp:revision>3</cp:revision>
  <dcterms:created xsi:type="dcterms:W3CDTF">2022-03-17T15:24:00Z</dcterms:created>
  <dcterms:modified xsi:type="dcterms:W3CDTF">2022-03-17T15:25:00Z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0x0101000830BC7D99CEEB438DB74AAEFD26CFF9</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