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E60" w:rsidRDefault="00E65C11" w:rsidP="00200E60">
      <w:pPr>
        <w:pStyle w:val="Heading2"/>
        <w:numPr>
          <w:ilvl w:val="0"/>
          <w:numId w:val="0"/>
        </w:numPr>
        <w:jc w:val="center"/>
      </w:pPr>
      <w:r>
        <w:rPr>
          <w:noProof/>
        </w:rPr>
        <w:drawing>
          <wp:anchor distT="0" distB="0" distL="114300" distR="114300" simplePos="0" relativeHeight="251723776" behindDoc="0" locked="0" layoutInCell="1" allowOverlap="1" wp14:anchorId="3B71E232" wp14:editId="1AFF6844">
            <wp:simplePos x="0" y="0"/>
            <wp:positionH relativeFrom="column">
              <wp:posOffset>3580765</wp:posOffset>
            </wp:positionH>
            <wp:positionV relativeFrom="paragraph">
              <wp:posOffset>-475615</wp:posOffset>
            </wp:positionV>
            <wp:extent cx="2337435" cy="5962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7435"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4A6" w:rsidRPr="00996892" w:rsidRDefault="000E24A6" w:rsidP="000E24A6">
      <w:pPr>
        <w:jc w:val="center"/>
        <w:rPr>
          <w:rFonts w:cs="Arial"/>
          <w:b/>
          <w:bCs/>
          <w:sz w:val="28"/>
          <w:szCs w:val="28"/>
        </w:rPr>
      </w:pPr>
    </w:p>
    <w:p w:rsidR="000E24A6" w:rsidRPr="00996892" w:rsidRDefault="000E24A6" w:rsidP="000E24A6">
      <w:pPr>
        <w:jc w:val="center"/>
        <w:rPr>
          <w:rFonts w:cs="Arial"/>
          <w:b/>
          <w:bCs/>
          <w:sz w:val="28"/>
          <w:szCs w:val="28"/>
        </w:rPr>
      </w:pPr>
      <w:r w:rsidRPr="00996892">
        <w:rPr>
          <w:rFonts w:cs="Arial"/>
          <w:b/>
          <w:bCs/>
          <w:sz w:val="28"/>
          <w:szCs w:val="28"/>
        </w:rPr>
        <w:t>INVITATION TO TENDER DOCUMENT</w:t>
      </w:r>
    </w:p>
    <w:p w:rsidR="000E24A6" w:rsidRPr="00996892" w:rsidRDefault="000E24A6" w:rsidP="000E24A6">
      <w:pPr>
        <w:jc w:val="center"/>
        <w:rPr>
          <w:rFonts w:cs="Arial"/>
          <w:b/>
          <w:bCs/>
          <w:sz w:val="28"/>
          <w:szCs w:val="28"/>
        </w:rPr>
      </w:pPr>
    </w:p>
    <w:p w:rsidR="000E24A6" w:rsidRPr="00996892" w:rsidRDefault="000E24A6" w:rsidP="000E24A6">
      <w:pPr>
        <w:jc w:val="center"/>
        <w:rPr>
          <w:rFonts w:cs="Arial"/>
          <w:b/>
          <w:bCs/>
          <w:sz w:val="28"/>
          <w:szCs w:val="28"/>
        </w:rPr>
      </w:pPr>
      <w:r w:rsidRPr="00996892">
        <w:rPr>
          <w:rFonts w:cs="Arial"/>
          <w:b/>
          <w:bCs/>
          <w:sz w:val="28"/>
          <w:szCs w:val="28"/>
        </w:rPr>
        <w:t xml:space="preserve">FOR  </w:t>
      </w:r>
    </w:p>
    <w:p w:rsidR="000E24A6" w:rsidRPr="00996892" w:rsidRDefault="000E24A6" w:rsidP="000E24A6">
      <w:pPr>
        <w:spacing w:after="120"/>
        <w:rPr>
          <w:rFonts w:cs="Arial"/>
          <w:b/>
        </w:rPr>
      </w:pPr>
    </w:p>
    <w:p w:rsidR="000E24A6" w:rsidRDefault="000E24A6" w:rsidP="000E24A6">
      <w:pPr>
        <w:spacing w:after="120"/>
        <w:jc w:val="center"/>
        <w:rPr>
          <w:rFonts w:cs="Arial"/>
          <w:b/>
          <w:sz w:val="28"/>
          <w:szCs w:val="28"/>
        </w:rPr>
      </w:pPr>
      <w:r w:rsidRPr="00996892">
        <w:rPr>
          <w:rFonts w:cs="Arial"/>
          <w:b/>
          <w:sz w:val="28"/>
          <w:szCs w:val="28"/>
        </w:rPr>
        <w:t xml:space="preserve">THE PROVISION OF </w:t>
      </w:r>
      <w:r>
        <w:rPr>
          <w:rFonts w:cs="Arial"/>
          <w:b/>
          <w:sz w:val="28"/>
          <w:szCs w:val="28"/>
        </w:rPr>
        <w:t xml:space="preserve">LEADERSHIP DEVELOPMENT </w:t>
      </w:r>
    </w:p>
    <w:p w:rsidR="000E24A6" w:rsidRDefault="000E24A6" w:rsidP="000E24A6">
      <w:pPr>
        <w:spacing w:after="120"/>
        <w:jc w:val="center"/>
        <w:rPr>
          <w:rFonts w:cs="Arial"/>
          <w:b/>
          <w:sz w:val="28"/>
          <w:szCs w:val="28"/>
        </w:rPr>
      </w:pPr>
    </w:p>
    <w:p w:rsidR="000E24A6" w:rsidRDefault="000E24A6" w:rsidP="000E24A6">
      <w:pPr>
        <w:spacing w:after="120"/>
        <w:jc w:val="center"/>
        <w:rPr>
          <w:rFonts w:cs="Arial"/>
          <w:b/>
          <w:sz w:val="28"/>
          <w:szCs w:val="28"/>
        </w:rPr>
      </w:pPr>
      <w:r>
        <w:rPr>
          <w:rFonts w:cs="Arial"/>
          <w:b/>
          <w:sz w:val="28"/>
          <w:szCs w:val="28"/>
        </w:rPr>
        <w:t xml:space="preserve">AND </w:t>
      </w:r>
    </w:p>
    <w:p w:rsidR="000E24A6" w:rsidRPr="00996892" w:rsidRDefault="000E24A6" w:rsidP="000E24A6">
      <w:pPr>
        <w:spacing w:after="120"/>
        <w:jc w:val="center"/>
        <w:rPr>
          <w:rFonts w:cs="Arial"/>
          <w:b/>
          <w:sz w:val="28"/>
          <w:szCs w:val="28"/>
        </w:rPr>
      </w:pPr>
      <w:r>
        <w:rPr>
          <w:rFonts w:cs="Arial"/>
          <w:b/>
          <w:sz w:val="28"/>
          <w:szCs w:val="28"/>
        </w:rPr>
        <w:t xml:space="preserve">INCLUSION PROGRAMME </w:t>
      </w:r>
    </w:p>
    <w:p w:rsidR="000E24A6" w:rsidRPr="00996892" w:rsidRDefault="000E24A6" w:rsidP="000E24A6">
      <w:pPr>
        <w:spacing w:after="120"/>
        <w:jc w:val="center"/>
        <w:rPr>
          <w:rFonts w:cs="Arial"/>
          <w:b/>
          <w:bCs/>
          <w:sz w:val="28"/>
          <w:szCs w:val="28"/>
        </w:rPr>
      </w:pPr>
    </w:p>
    <w:p w:rsidR="000E24A6" w:rsidRPr="00996892" w:rsidRDefault="000E24A6" w:rsidP="000E24A6">
      <w:pPr>
        <w:jc w:val="center"/>
        <w:rPr>
          <w:rFonts w:cs="Arial"/>
          <w:b/>
          <w:bCs/>
          <w:sz w:val="28"/>
          <w:szCs w:val="28"/>
        </w:rPr>
      </w:pPr>
      <w:r w:rsidRPr="00996892">
        <w:rPr>
          <w:rFonts w:cs="Arial"/>
          <w:b/>
          <w:bCs/>
          <w:sz w:val="28"/>
          <w:szCs w:val="28"/>
        </w:rPr>
        <w:t>TO</w:t>
      </w:r>
    </w:p>
    <w:p w:rsidR="000E24A6" w:rsidRPr="00996892" w:rsidRDefault="000E24A6" w:rsidP="000E24A6">
      <w:pPr>
        <w:jc w:val="center"/>
        <w:rPr>
          <w:rFonts w:cs="Arial"/>
          <w:b/>
          <w:bCs/>
          <w:sz w:val="28"/>
          <w:szCs w:val="28"/>
        </w:rPr>
      </w:pPr>
    </w:p>
    <w:p w:rsidR="000E24A6" w:rsidRPr="00996892" w:rsidRDefault="000E24A6" w:rsidP="000E24A6">
      <w:pPr>
        <w:jc w:val="center"/>
        <w:rPr>
          <w:rFonts w:cs="Arial"/>
          <w:b/>
          <w:bCs/>
          <w:sz w:val="28"/>
          <w:szCs w:val="28"/>
        </w:rPr>
      </w:pPr>
      <w:r w:rsidRPr="00996892">
        <w:rPr>
          <w:rFonts w:cs="Arial"/>
          <w:b/>
          <w:bCs/>
          <w:sz w:val="28"/>
          <w:szCs w:val="28"/>
        </w:rPr>
        <w:t>THE BRIGHTON &amp; SUSSEX UNIVERSTIY HOSPITALS NHS TRUSTS</w:t>
      </w:r>
      <w:r>
        <w:rPr>
          <w:rFonts w:cs="Arial"/>
          <w:b/>
          <w:bCs/>
          <w:sz w:val="28"/>
          <w:szCs w:val="28"/>
        </w:rPr>
        <w:t xml:space="preserve"> </w:t>
      </w:r>
      <w:r w:rsidRPr="00996892">
        <w:rPr>
          <w:rFonts w:cs="Arial"/>
          <w:b/>
          <w:bCs/>
          <w:sz w:val="28"/>
          <w:szCs w:val="28"/>
        </w:rPr>
        <w:t>(BSUH)</w:t>
      </w:r>
    </w:p>
    <w:p w:rsidR="000E24A6" w:rsidRDefault="000E24A6" w:rsidP="000E24A6">
      <w:pPr>
        <w:jc w:val="center"/>
        <w:rPr>
          <w:rFonts w:cs="Arial"/>
          <w:bCs/>
        </w:rPr>
      </w:pPr>
    </w:p>
    <w:p w:rsidR="000E24A6" w:rsidRPr="00996892" w:rsidRDefault="000E24A6" w:rsidP="000E24A6">
      <w:pPr>
        <w:jc w:val="center"/>
        <w:rPr>
          <w:rFonts w:cs="Arial"/>
          <w:bCs/>
        </w:rPr>
      </w:pPr>
    </w:p>
    <w:p w:rsidR="000E24A6" w:rsidRPr="00996892" w:rsidRDefault="000E24A6" w:rsidP="000E24A6">
      <w:pPr>
        <w:jc w:val="center"/>
        <w:rPr>
          <w:rFonts w:cs="Arial"/>
          <w:b/>
          <w:bCs/>
          <w:sz w:val="28"/>
          <w:szCs w:val="28"/>
        </w:rPr>
      </w:pPr>
      <w:r>
        <w:rPr>
          <w:rFonts w:cs="Arial"/>
          <w:b/>
          <w:bCs/>
          <w:sz w:val="28"/>
          <w:szCs w:val="28"/>
        </w:rPr>
        <w:t>DYNAMIC PURCHASING SYSTEM (DPS)</w:t>
      </w:r>
      <w:r w:rsidR="00471596">
        <w:rPr>
          <w:rFonts w:cs="Arial"/>
          <w:b/>
          <w:bCs/>
          <w:sz w:val="28"/>
          <w:szCs w:val="28"/>
        </w:rPr>
        <w:t xml:space="preserve"> C1546 Education &amp; Training, Salisbury NHSFT</w:t>
      </w:r>
    </w:p>
    <w:p w:rsidR="000E24A6" w:rsidRDefault="000E24A6" w:rsidP="000E24A6">
      <w:pPr>
        <w:jc w:val="center"/>
        <w:rPr>
          <w:rFonts w:cs="Arial"/>
          <w:b/>
          <w:bCs/>
          <w:sz w:val="28"/>
          <w:szCs w:val="28"/>
        </w:rPr>
      </w:pPr>
    </w:p>
    <w:p w:rsidR="000E24A6" w:rsidRPr="00996892" w:rsidRDefault="000E24A6" w:rsidP="000E24A6">
      <w:pPr>
        <w:jc w:val="center"/>
        <w:rPr>
          <w:rFonts w:cs="Arial"/>
          <w:b/>
          <w:bCs/>
          <w:sz w:val="28"/>
          <w:szCs w:val="28"/>
        </w:rPr>
      </w:pPr>
    </w:p>
    <w:p w:rsidR="000E24A6" w:rsidRPr="00996892" w:rsidRDefault="000E24A6" w:rsidP="000E24A6">
      <w:pPr>
        <w:jc w:val="center"/>
        <w:rPr>
          <w:rFonts w:cs="Arial"/>
          <w:b/>
          <w:bCs/>
          <w:sz w:val="28"/>
          <w:szCs w:val="28"/>
        </w:rPr>
      </w:pPr>
      <w:r>
        <w:rPr>
          <w:rFonts w:cs="Arial"/>
          <w:b/>
          <w:bCs/>
          <w:sz w:val="28"/>
          <w:szCs w:val="28"/>
        </w:rPr>
        <w:t>BSUH TENDER REF: BS-02776</w:t>
      </w:r>
    </w:p>
    <w:p w:rsidR="00E65C11" w:rsidRDefault="00E65C11"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E24A6" w:rsidRDefault="000E24A6" w:rsidP="00E65C11">
      <w:pPr>
        <w:pStyle w:val="Heading2"/>
        <w:numPr>
          <w:ilvl w:val="0"/>
          <w:numId w:val="0"/>
        </w:numPr>
        <w:jc w:val="center"/>
        <w:rPr>
          <w:rFonts w:cs="Arial"/>
        </w:rPr>
      </w:pPr>
    </w:p>
    <w:p w:rsidR="000F79D6" w:rsidRDefault="000F79D6">
      <w:pPr>
        <w:spacing w:after="240"/>
        <w:jc w:val="left"/>
        <w:rPr>
          <w:rFonts w:eastAsia="Times New Roman" w:cs="Times New Roman"/>
          <w:color w:val="000000" w:themeColor="text1"/>
          <w:lang w:eastAsia="en-GB"/>
        </w:rPr>
      </w:pPr>
    </w:p>
    <w:p w:rsidR="005B59B7" w:rsidRDefault="005B59B7" w:rsidP="00401FF0">
      <w:pPr>
        <w:pStyle w:val="TOC1"/>
      </w:pPr>
      <w:r w:rsidRPr="005B59B7">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D9516D">
          <w:rPr>
            <w:b w:val="0"/>
            <w:noProof/>
            <w:webHidden/>
          </w:rPr>
          <w:t>1</w:t>
        </w:r>
        <w:r w:rsidRPr="001F110F">
          <w:rPr>
            <w:b w:val="0"/>
            <w:noProof/>
            <w:webHidden/>
          </w:rPr>
          <w:fldChar w:fldCharType="end"/>
        </w:r>
      </w:hyperlink>
    </w:p>
    <w:p w:rsidR="005B59B7" w:rsidRPr="001F110F" w:rsidRDefault="002C35E0"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D9516D">
          <w:rPr>
            <w:b w:val="0"/>
            <w:noProof/>
            <w:webHidden/>
          </w:rPr>
          <w:t>3</w:t>
        </w:r>
        <w:r w:rsidR="005B59B7" w:rsidRPr="001F110F">
          <w:rPr>
            <w:b w:val="0"/>
            <w:noProof/>
            <w:webHidden/>
          </w:rPr>
          <w:fldChar w:fldCharType="end"/>
        </w:r>
      </w:hyperlink>
    </w:p>
    <w:p w:rsidR="005B59B7" w:rsidRPr="001F110F" w:rsidRDefault="002C35E0"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D9516D">
          <w:rPr>
            <w:b w:val="0"/>
            <w:noProof/>
            <w:webHidden/>
          </w:rPr>
          <w:t>4</w:t>
        </w:r>
        <w:r w:rsidR="005B59B7" w:rsidRPr="001F110F">
          <w:rPr>
            <w:b w:val="0"/>
            <w:noProof/>
            <w:webHidden/>
          </w:rPr>
          <w:fldChar w:fldCharType="end"/>
        </w:r>
      </w:hyperlink>
    </w:p>
    <w:p w:rsidR="005B59B7" w:rsidRPr="001F110F" w:rsidRDefault="002C35E0"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D9516D">
          <w:rPr>
            <w:b w:val="0"/>
            <w:noProof/>
            <w:webHidden/>
          </w:rPr>
          <w:t>8</w:t>
        </w:r>
        <w:r w:rsidR="005B59B7" w:rsidRPr="001F110F">
          <w:rPr>
            <w:b w:val="0"/>
            <w:noProof/>
            <w:webHidden/>
          </w:rPr>
          <w:fldChar w:fldCharType="end"/>
        </w:r>
      </w:hyperlink>
    </w:p>
    <w:p w:rsidR="005B59B7" w:rsidRPr="001F110F" w:rsidRDefault="002C35E0"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D9516D">
          <w:rPr>
            <w:bCs/>
            <w:noProof/>
            <w:webHidden/>
            <w:lang w:val="en-US"/>
          </w:rPr>
          <w:t>Error! Bookmark not defined.</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footerReference w:type="first" r:id="rId11"/>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3E3276" w:rsidP="006B54D6">
      <w:pPr>
        <w:pStyle w:val="MRNumberedHeading2"/>
      </w:pPr>
      <w:bookmarkStart w:id="2" w:name="_Toc403555077"/>
      <w:r w:rsidRPr="007724D1">
        <w:t xml:space="preserve">The </w:t>
      </w:r>
      <w:r w:rsidR="006F2ECB">
        <w:t xml:space="preserve">Brighton and Sussex University Trust </w:t>
      </w:r>
      <w:r w:rsidRPr="007724D1">
        <w:t>("</w:t>
      </w:r>
      <w:r w:rsidR="00B012D5" w:rsidRPr="00B012D5">
        <w:rPr>
          <w:b/>
        </w:rPr>
        <w:t>the</w:t>
      </w:r>
      <w:r w:rsidR="00B012D5">
        <w:t xml:space="preserve"> </w:t>
      </w:r>
      <w:r w:rsidRPr="007724D1">
        <w:rPr>
          <w:b/>
        </w:rPr>
        <w:t>Authority</w:t>
      </w:r>
      <w:r w:rsidRPr="007724D1">
        <w:t xml:space="preserve">") is issuing this </w:t>
      </w:r>
      <w:r w:rsidR="00D66E43">
        <w:t>invitation to t</w:t>
      </w:r>
      <w:r w:rsidRPr="007724D1">
        <w:t>ender ("</w:t>
      </w:r>
      <w:r w:rsidRPr="007724D1">
        <w:rPr>
          <w:b/>
        </w:rPr>
        <w:t>ITT</w:t>
      </w:r>
      <w:r w:rsidRPr="007724D1">
        <w:t xml:space="preserve">") in connection with </w:t>
      </w:r>
      <w:r w:rsidR="006F2ECB">
        <w:t>the competitive procurement of Leaders Development Programme one</w:t>
      </w:r>
      <w:r w:rsidRPr="007724D1">
        <w:t xml:space="preserve"> </w:t>
      </w:r>
      <w:bookmarkEnd w:id="2"/>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p w:rsidR="006F2ECB" w:rsidRDefault="003F0D29" w:rsidP="006F2ECB">
      <w:pPr>
        <w:pStyle w:val="MRNumberedHeading2"/>
      </w:pPr>
      <w:r>
        <w:t xml:space="preserve">The Trust will be using </w:t>
      </w:r>
      <w:r w:rsidR="006F2ECB">
        <w:t xml:space="preserve">the </w:t>
      </w:r>
      <w:r w:rsidR="000E24A6">
        <w:t>NHS Salisbury NHS Foundation Dynamic Purchasing System (DPS</w:t>
      </w:r>
      <w:r w:rsidR="00056723">
        <w:t>).</w:t>
      </w:r>
      <w:r w:rsidR="006F2ECB">
        <w:t xml:space="preserve"> </w:t>
      </w:r>
    </w:p>
    <w:p w:rsidR="006111AA" w:rsidRDefault="006111AA" w:rsidP="006B54D6">
      <w:pPr>
        <w:pStyle w:val="MRNumberedHeading2"/>
      </w:pPr>
      <w:r>
        <w:t>This procurement process is not 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6" w:name="_Toc403555082"/>
      <w:r w:rsidRPr="003E3276">
        <w:rPr>
          <w:rFonts w:eastAsiaTheme="minorHAnsi"/>
        </w:rPr>
        <w:t>Contents of the ITT</w:t>
      </w:r>
      <w:bookmarkEnd w:id="6"/>
      <w:r w:rsidRPr="003E3276">
        <w:rPr>
          <w:rFonts w:eastAsiaTheme="minorHAnsi"/>
        </w:rPr>
        <w:t xml:space="preserve"> </w:t>
      </w:r>
    </w:p>
    <w:p w:rsidR="00AD3446" w:rsidRPr="003E3276" w:rsidRDefault="00AD3446" w:rsidP="006B54D6">
      <w:pPr>
        <w:pStyle w:val="MRNumberedHeading2"/>
        <w:rPr>
          <w:b/>
        </w:rPr>
      </w:pPr>
      <w:bookmarkStart w:id="7" w:name="_Toc403555083"/>
      <w:bookmarkStart w:id="8" w:name="_Ref405452631"/>
      <w:r>
        <w:t>This ITT document consists of:</w:t>
      </w:r>
      <w:bookmarkEnd w:id="7"/>
      <w:bookmarkEnd w:id="8"/>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9" w:name="_Ref405453364"/>
            <w:r>
              <w:t xml:space="preserve">Annex </w:t>
            </w:r>
            <w:r w:rsidR="006E3892">
              <w:t>A</w:t>
            </w:r>
            <w:r>
              <w:t>1</w:t>
            </w:r>
            <w:bookmarkEnd w:id="9"/>
          </w:p>
        </w:tc>
        <w:tc>
          <w:tcPr>
            <w:tcW w:w="5386" w:type="dxa"/>
          </w:tcPr>
          <w:p w:rsidR="009464EA" w:rsidRDefault="006E3892" w:rsidP="00AD3446">
            <w:pPr>
              <w:pStyle w:val="Heading2"/>
              <w:numPr>
                <w:ilvl w:val="0"/>
                <w:numId w:val="0"/>
              </w:numPr>
              <w:outlineLvl w:val="1"/>
            </w:pPr>
            <w:r>
              <w:t xml:space="preserve">NHS Terms and Conditions </w:t>
            </w:r>
            <w:r w:rsidR="00471596">
              <w:t>(provided via Bravo portal)</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0" w:name="handonesix"/>
            <w:bookmarkEnd w:id="10"/>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96725" w:rsidRDefault="00C96725" w:rsidP="00247F0F">
      <w:pPr>
        <w:pStyle w:val="Heading2"/>
        <w:numPr>
          <w:ilvl w:val="0"/>
          <w:numId w:val="0"/>
        </w:numPr>
        <w:ind w:left="851"/>
        <w:rPr>
          <w:b/>
        </w:rPr>
      </w:pPr>
    </w:p>
    <w:p w:rsidR="00C96725" w:rsidRDefault="00C96725" w:rsidP="00247F0F">
      <w:pPr>
        <w:pStyle w:val="Heading2"/>
        <w:numPr>
          <w:ilvl w:val="0"/>
          <w:numId w:val="0"/>
        </w:numPr>
        <w:ind w:left="851"/>
        <w:rPr>
          <w:b/>
        </w:rPr>
      </w:pPr>
    </w:p>
    <w:p w:rsidR="00247F0F" w:rsidRDefault="00247F0F" w:rsidP="00337295">
      <w:pPr>
        <w:pStyle w:val="Heading1"/>
        <w:spacing w:before="240" w:after="0"/>
        <w:ind w:left="709"/>
        <w:rPr>
          <w:b w:val="0"/>
        </w:rPr>
      </w:pPr>
      <w:bookmarkStart w:id="11" w:name="_Toc403555084"/>
      <w:r>
        <w:lastRenderedPageBreak/>
        <w:t xml:space="preserve">Introduction to the </w:t>
      </w:r>
      <w:r w:rsidR="00740C0F">
        <w:t>procurement</w:t>
      </w:r>
      <w:bookmarkEnd w:id="11"/>
      <w:r>
        <w:t xml:space="preserve"> </w:t>
      </w:r>
    </w:p>
    <w:p w:rsidR="00400811" w:rsidRDefault="00400811" w:rsidP="002D6116">
      <w:pPr>
        <w:pStyle w:val="MRNumberedHeading2"/>
      </w:pPr>
      <w:bookmarkStart w:id="12" w:name="_Toc403555085"/>
      <w:bookmarkStart w:id="13" w:name="_Ref405466279"/>
      <w:bookmarkStart w:id="14" w:name="_Ref405466286"/>
      <w:r w:rsidRPr="00400811">
        <w:t>Brighton and Sussex University Hospitals (BSUH) is an acute teaching hospital working across two main sites:</w:t>
      </w:r>
      <w:bookmarkEnd w:id="12"/>
      <w:bookmarkEnd w:id="13"/>
      <w:bookmarkEnd w:id="14"/>
    </w:p>
    <w:p w:rsidR="00400811" w:rsidRPr="00400811" w:rsidRDefault="00400811" w:rsidP="00400811">
      <w:pPr>
        <w:pStyle w:val="MRNumberedHeading2"/>
        <w:numPr>
          <w:ilvl w:val="0"/>
          <w:numId w:val="0"/>
        </w:numPr>
        <w:ind w:left="720"/>
      </w:pPr>
    </w:p>
    <w:p w:rsidR="00400811" w:rsidRPr="006F241D" w:rsidRDefault="00400811" w:rsidP="00400811">
      <w:pPr>
        <w:pStyle w:val="ListParagraph"/>
        <w:numPr>
          <w:ilvl w:val="0"/>
          <w:numId w:val="47"/>
        </w:numPr>
      </w:pPr>
      <w:r w:rsidRPr="006F241D">
        <w:t>Royal Sussex County Hospital in Brighton</w:t>
      </w:r>
    </w:p>
    <w:p w:rsidR="00400811" w:rsidRPr="006F241D" w:rsidRDefault="00400811" w:rsidP="00400811">
      <w:pPr>
        <w:pStyle w:val="ListParagraph"/>
        <w:numPr>
          <w:ilvl w:val="0"/>
          <w:numId w:val="47"/>
        </w:numPr>
      </w:pPr>
      <w:r w:rsidRPr="006F241D">
        <w:t>Princess Royal Hospital in Haywards Heath.</w:t>
      </w:r>
    </w:p>
    <w:p w:rsidR="00400811" w:rsidRDefault="00400811" w:rsidP="00400811">
      <w:pPr>
        <w:ind w:left="78"/>
        <w:rPr>
          <w:rFonts w:eastAsia="Times New Roman" w:cs="Arial"/>
          <w:shd w:val="clear" w:color="auto" w:fill="FFFFFF"/>
        </w:rPr>
      </w:pPr>
    </w:p>
    <w:p w:rsidR="00400811" w:rsidRPr="00400811" w:rsidRDefault="00400811" w:rsidP="00400811">
      <w:pPr>
        <w:shd w:val="clear" w:color="auto" w:fill="FFFFFF"/>
        <w:spacing w:after="315"/>
        <w:rPr>
          <w:rFonts w:eastAsia="Times New Roman" w:cs="Times New Roman"/>
          <w:szCs w:val="24"/>
          <w:lang w:eastAsia="en-GB"/>
        </w:rPr>
      </w:pPr>
      <w:r w:rsidRPr="00400811">
        <w:rPr>
          <w:rFonts w:eastAsia="Times New Roman" w:cs="Times New Roman"/>
          <w:szCs w:val="24"/>
          <w:lang w:eastAsia="en-GB"/>
        </w:rPr>
        <w:t>The Brighton campus includes the Royal Alexandra Children’s Hospital and the Sussex Eye Hospital.</w:t>
      </w:r>
    </w:p>
    <w:p w:rsidR="00400811" w:rsidRPr="00400811" w:rsidRDefault="00400811" w:rsidP="00400811">
      <w:pPr>
        <w:shd w:val="clear" w:color="auto" w:fill="FFFFFF"/>
        <w:spacing w:after="315"/>
        <w:rPr>
          <w:rFonts w:eastAsia="Times New Roman" w:cs="Times New Roman"/>
          <w:szCs w:val="24"/>
          <w:lang w:eastAsia="en-GB"/>
        </w:rPr>
      </w:pPr>
      <w:r w:rsidRPr="00400811">
        <w:rPr>
          <w:rFonts w:eastAsia="Times New Roman" w:cs="Times New Roman"/>
          <w:szCs w:val="24"/>
          <w:lang w:eastAsia="en-GB"/>
        </w:rPr>
        <w:t>The Trust provides district general hospital services to the local populations in and around Brighton and Hove, Mid Sussex and the western part of East Sussex and more specialised and tertiary services for patients across Sussex and the south east of England.</w:t>
      </w:r>
    </w:p>
    <w:p w:rsidR="00400811" w:rsidRPr="001C14EA" w:rsidRDefault="00400811" w:rsidP="00400811">
      <w:pPr>
        <w:shd w:val="clear" w:color="auto" w:fill="FFFFFF"/>
        <w:spacing w:after="120"/>
        <w:rPr>
          <w:rFonts w:eastAsia="Times New Roman" w:cs="Times New Roman"/>
          <w:lang w:eastAsia="en-GB"/>
        </w:rPr>
      </w:pPr>
      <w:r w:rsidRPr="001C14EA">
        <w:rPr>
          <w:rFonts w:eastAsia="Times New Roman" w:cs="Times New Roman"/>
          <w:lang w:eastAsia="en-GB"/>
        </w:rPr>
        <w:t>Both hospitals provide many of the same acute services for their local populations. In addition, the Princess Royal is the centre for elective surgery and the Royal Sussex County Hospital is the centre for emergency and tertiary care. The specialised and tertiary services include neurosciences, arterial vascular surgery, neonatal, paediatrics, cardiac, cancer, renal, infectious diseases and HIV medicine. The Trust is also the major trauma centre for Sussex and the South East.</w:t>
      </w:r>
    </w:p>
    <w:p w:rsidR="00400811" w:rsidRPr="001C14EA" w:rsidRDefault="00400811" w:rsidP="00400811">
      <w:pPr>
        <w:rPr>
          <w:rFonts w:ascii="Calibri" w:hAnsi="Calibri" w:cs="Arial"/>
        </w:rPr>
      </w:pPr>
      <w:r w:rsidRPr="001C14EA">
        <w:rPr>
          <w:rFonts w:eastAsia="Times New Roman" w:cs="Times New Roman"/>
          <w:lang w:eastAsia="en-GB"/>
        </w:rPr>
        <w:t>The hospitals treat over three quarters of a million patients each year.</w:t>
      </w:r>
      <w:r w:rsidRPr="001C14EA">
        <w:rPr>
          <w:rFonts w:ascii="Calibri" w:hAnsi="Calibri" w:cs="Arial"/>
        </w:rPr>
        <w:t xml:space="preserve"> </w:t>
      </w:r>
    </w:p>
    <w:p w:rsidR="001C14EA" w:rsidRPr="001C14EA" w:rsidRDefault="001C14EA" w:rsidP="00400811">
      <w:pPr>
        <w:rPr>
          <w:rFonts w:ascii="Calibri" w:hAnsi="Calibri" w:cs="Arial"/>
        </w:rPr>
      </w:pPr>
    </w:p>
    <w:p w:rsidR="001C14EA" w:rsidRPr="001C14EA" w:rsidRDefault="001C14EA" w:rsidP="001C14EA">
      <w:pPr>
        <w:spacing w:after="200" w:line="276" w:lineRule="auto"/>
        <w:jc w:val="left"/>
        <w:rPr>
          <w:rFonts w:cs="Arial"/>
        </w:rPr>
      </w:pPr>
      <w:r w:rsidRPr="001C14EA">
        <w:rPr>
          <w:rFonts w:cs="Arial"/>
        </w:rPr>
        <w:t xml:space="preserve">BSUH has a diverse workforce of approximately 10,000 staff.  One of its strengths is its diversity of nationalities, genders, sexual orientation, faiths etc. </w:t>
      </w:r>
    </w:p>
    <w:p w:rsidR="001C14EA" w:rsidRDefault="001C14EA" w:rsidP="001C14EA">
      <w:pPr>
        <w:spacing w:after="200" w:line="276" w:lineRule="auto"/>
        <w:jc w:val="left"/>
        <w:rPr>
          <w:rFonts w:cs="Arial"/>
        </w:rPr>
      </w:pPr>
      <w:r>
        <w:rPr>
          <w:rFonts w:cs="Arial"/>
        </w:rPr>
        <w:t>BSUH</w:t>
      </w:r>
      <w:r w:rsidRPr="001C14EA">
        <w:rPr>
          <w:rFonts w:cs="Arial"/>
        </w:rPr>
        <w:t xml:space="preserve"> embarked on a programme of Leadership, Culture and Workforce LCW) during  2018 to address conc</w:t>
      </w:r>
      <w:r>
        <w:rPr>
          <w:rFonts w:cs="Arial"/>
        </w:rPr>
        <w:t>erns that had been raised by the</w:t>
      </w:r>
      <w:r w:rsidRPr="001C14EA">
        <w:rPr>
          <w:rFonts w:cs="Arial"/>
        </w:rPr>
        <w:t xml:space="preserve"> workforce and subsequently the Care Qualit</w:t>
      </w:r>
      <w:r>
        <w:rPr>
          <w:rFonts w:cs="Arial"/>
        </w:rPr>
        <w:t>y Commission (CQC) following the</w:t>
      </w:r>
      <w:r w:rsidRPr="001C14EA">
        <w:rPr>
          <w:rFonts w:cs="Arial"/>
        </w:rPr>
        <w:t xml:space="preserve"> inspection in 2016 which highlighted considerable concerns about the culture within the organisation.  With a new Board/Executive Team that started work</w:t>
      </w:r>
      <w:r>
        <w:rPr>
          <w:rFonts w:cs="Arial"/>
        </w:rPr>
        <w:t>ing with BSUH</w:t>
      </w:r>
      <w:r w:rsidRPr="001C14EA">
        <w:rPr>
          <w:rFonts w:cs="Arial"/>
        </w:rPr>
        <w:t xml:space="preserve"> in 2017 considerable work has been undertaken to improve this and as highlighted above in 2017 a dedicated programme of work owned by </w:t>
      </w:r>
      <w:r>
        <w:rPr>
          <w:rFonts w:cs="Arial"/>
        </w:rPr>
        <w:t>the Executive Team was launched.</w:t>
      </w:r>
      <w:r w:rsidRPr="001C14EA">
        <w:rPr>
          <w:rFonts w:cs="Arial"/>
        </w:rPr>
        <w:t xml:space="preserve"> Inclusion is an integral part of this and this particular work-</w:t>
      </w:r>
      <w:r>
        <w:rPr>
          <w:rFonts w:cs="Arial"/>
        </w:rPr>
        <w:t>stream is owned by the BSUH</w:t>
      </w:r>
      <w:r w:rsidRPr="001C14EA">
        <w:rPr>
          <w:rFonts w:cs="Arial"/>
        </w:rPr>
        <w:t xml:space="preserve"> Chief Executive</w:t>
      </w:r>
      <w:r>
        <w:rPr>
          <w:rFonts w:cs="Arial"/>
        </w:rPr>
        <w:t>.</w:t>
      </w:r>
    </w:p>
    <w:p w:rsidR="001C14EA" w:rsidRPr="001C14EA" w:rsidRDefault="001C14EA" w:rsidP="001C14EA">
      <w:pPr>
        <w:spacing w:after="200" w:line="276" w:lineRule="auto"/>
        <w:jc w:val="left"/>
        <w:rPr>
          <w:rFonts w:cs="Arial"/>
        </w:rPr>
      </w:pPr>
      <w:r>
        <w:rPr>
          <w:rFonts w:cs="Arial"/>
        </w:rPr>
        <w:t>BSUH’s</w:t>
      </w:r>
      <w:r w:rsidRPr="001C14EA">
        <w:rPr>
          <w:rFonts w:cs="Arial"/>
        </w:rPr>
        <w:t xml:space="preserve"> most recent CQC inspection noted the considerable changes that had </w:t>
      </w:r>
      <w:r>
        <w:rPr>
          <w:rFonts w:cs="Arial"/>
        </w:rPr>
        <w:t>been made and reported on by the</w:t>
      </w:r>
      <w:r w:rsidRPr="001C14EA">
        <w:rPr>
          <w:rFonts w:cs="Arial"/>
        </w:rPr>
        <w:t xml:space="preserve"> staff with regards to Inclusion</w:t>
      </w:r>
      <w:r>
        <w:rPr>
          <w:rFonts w:cs="Arial"/>
        </w:rPr>
        <w:t>, however there is still more the organisation</w:t>
      </w:r>
      <w:r w:rsidRPr="001C14EA">
        <w:rPr>
          <w:rFonts w:cs="Arial"/>
        </w:rPr>
        <w:t xml:space="preserve"> wish</w:t>
      </w:r>
      <w:r>
        <w:rPr>
          <w:rFonts w:cs="Arial"/>
        </w:rPr>
        <w:t>es</w:t>
      </w:r>
      <w:r w:rsidRPr="001C14EA">
        <w:rPr>
          <w:rFonts w:cs="Arial"/>
        </w:rPr>
        <w:t xml:space="preserve"> to</w:t>
      </w:r>
      <w:r>
        <w:rPr>
          <w:rFonts w:cs="Arial"/>
        </w:rPr>
        <w:t xml:space="preserve"> do before they</w:t>
      </w:r>
      <w:r w:rsidRPr="001C14EA">
        <w:rPr>
          <w:rFonts w:cs="Arial"/>
        </w:rPr>
        <w:t xml:space="preserve"> believe there is parity of</w:t>
      </w:r>
      <w:r>
        <w:rPr>
          <w:rFonts w:cs="Arial"/>
        </w:rPr>
        <w:t xml:space="preserve"> experience and outcomes for a</w:t>
      </w:r>
      <w:r w:rsidRPr="001C14EA">
        <w:rPr>
          <w:rFonts w:cs="Arial"/>
        </w:rPr>
        <w:t xml:space="preserve"> diverse workforce.  The main themes within the Inclusion work-stream are:-</w:t>
      </w:r>
    </w:p>
    <w:p w:rsidR="001C14EA" w:rsidRPr="001C14EA" w:rsidRDefault="001C14EA" w:rsidP="001C14EA">
      <w:pPr>
        <w:numPr>
          <w:ilvl w:val="0"/>
          <w:numId w:val="49"/>
        </w:numPr>
        <w:spacing w:after="200" w:line="276" w:lineRule="auto"/>
        <w:contextualSpacing/>
        <w:jc w:val="left"/>
        <w:rPr>
          <w:rFonts w:cs="Arial"/>
        </w:rPr>
      </w:pPr>
      <w:r w:rsidRPr="001C14EA">
        <w:rPr>
          <w:rFonts w:cs="Arial"/>
        </w:rPr>
        <w:t>Race, Workforce Race Equality Standard (WRES) national driver</w:t>
      </w:r>
    </w:p>
    <w:p w:rsidR="001C14EA" w:rsidRPr="001C14EA" w:rsidRDefault="001C14EA" w:rsidP="001C14EA">
      <w:pPr>
        <w:numPr>
          <w:ilvl w:val="0"/>
          <w:numId w:val="49"/>
        </w:numPr>
        <w:spacing w:after="200" w:line="276" w:lineRule="auto"/>
        <w:contextualSpacing/>
        <w:jc w:val="left"/>
        <w:rPr>
          <w:rFonts w:cs="Arial"/>
        </w:rPr>
      </w:pPr>
      <w:r w:rsidRPr="001C14EA">
        <w:rPr>
          <w:rFonts w:cs="Arial"/>
        </w:rPr>
        <w:t>Disability, Workforce Disability Equality Standard (WDES) national driver</w:t>
      </w:r>
    </w:p>
    <w:p w:rsidR="001C14EA" w:rsidRDefault="001C14EA" w:rsidP="001C14EA">
      <w:pPr>
        <w:numPr>
          <w:ilvl w:val="0"/>
          <w:numId w:val="49"/>
        </w:numPr>
        <w:spacing w:after="200" w:line="276" w:lineRule="auto"/>
        <w:contextualSpacing/>
        <w:jc w:val="left"/>
        <w:rPr>
          <w:rFonts w:cs="Arial"/>
        </w:rPr>
      </w:pPr>
      <w:r w:rsidRPr="001C14EA">
        <w:rPr>
          <w:rFonts w:cs="Arial"/>
        </w:rPr>
        <w:t>Sexual Orientation and Gender Diversity, Stonewall Workplace Index (WEI), organisational choice</w:t>
      </w:r>
    </w:p>
    <w:p w:rsidR="001C14EA" w:rsidRPr="001C14EA" w:rsidRDefault="001C14EA" w:rsidP="001C14EA">
      <w:pPr>
        <w:spacing w:after="200" w:line="276" w:lineRule="auto"/>
        <w:ind w:left="494"/>
        <w:contextualSpacing/>
        <w:jc w:val="left"/>
        <w:rPr>
          <w:rFonts w:cs="Arial"/>
        </w:rPr>
      </w:pPr>
    </w:p>
    <w:p w:rsidR="001C14EA" w:rsidRPr="001C14EA" w:rsidRDefault="001C14EA" w:rsidP="001C14EA">
      <w:pPr>
        <w:spacing w:after="200" w:line="276" w:lineRule="auto"/>
        <w:jc w:val="left"/>
        <w:rPr>
          <w:rFonts w:cs="Arial"/>
        </w:rPr>
      </w:pPr>
      <w:r w:rsidRPr="001C14EA">
        <w:rPr>
          <w:rFonts w:cs="Arial"/>
        </w:rPr>
        <w:t>Although these are the mai</w:t>
      </w:r>
      <w:r>
        <w:rPr>
          <w:rFonts w:cs="Arial"/>
        </w:rPr>
        <w:t>n drivers there is of course a</w:t>
      </w:r>
      <w:r w:rsidRPr="001C14EA">
        <w:rPr>
          <w:rFonts w:cs="Arial"/>
        </w:rPr>
        <w:t xml:space="preserve"> wider Inclusion agenda that sits behind and supports all the protected characteristics in a wider context.</w:t>
      </w:r>
    </w:p>
    <w:p w:rsidR="001C14EA" w:rsidRPr="001C14EA" w:rsidRDefault="001C14EA" w:rsidP="001C14EA">
      <w:pPr>
        <w:spacing w:after="200" w:line="276" w:lineRule="auto"/>
        <w:jc w:val="left"/>
        <w:rPr>
          <w:rFonts w:cs="Arial"/>
        </w:rPr>
      </w:pPr>
      <w:r>
        <w:rPr>
          <w:rFonts w:cs="Arial"/>
        </w:rPr>
        <w:t>To now move BSUH’s agenda forward they</w:t>
      </w:r>
      <w:r w:rsidRPr="001C14EA">
        <w:rPr>
          <w:rFonts w:cs="Arial"/>
        </w:rPr>
        <w:t xml:space="preserve"> are looking to commission training and awareness sessions that will </w:t>
      </w:r>
      <w:r>
        <w:rPr>
          <w:rFonts w:cs="Arial"/>
        </w:rPr>
        <w:t>drive them</w:t>
      </w:r>
      <w:r w:rsidRPr="001C14EA">
        <w:rPr>
          <w:rFonts w:cs="Arial"/>
        </w:rPr>
        <w:t xml:space="preserve"> further forward in organisational understanding of inequali</w:t>
      </w:r>
      <w:r>
        <w:rPr>
          <w:rFonts w:cs="Arial"/>
        </w:rPr>
        <w:t xml:space="preserve">ties that are prevalent for differing staff groups, in </w:t>
      </w:r>
      <w:r w:rsidRPr="001C14EA">
        <w:rPr>
          <w:rFonts w:cs="Arial"/>
        </w:rPr>
        <w:t>some cases a historical context is required.</w:t>
      </w:r>
    </w:p>
    <w:p w:rsidR="001C14EA" w:rsidRPr="001C14EA" w:rsidRDefault="001C14EA" w:rsidP="001C14EA">
      <w:pPr>
        <w:spacing w:after="200" w:line="276" w:lineRule="auto"/>
        <w:jc w:val="left"/>
        <w:rPr>
          <w:rFonts w:cs="Arial"/>
        </w:rPr>
      </w:pPr>
      <w:r>
        <w:rPr>
          <w:rFonts w:cs="Arial"/>
        </w:rPr>
        <w:t>BSUH</w:t>
      </w:r>
      <w:r w:rsidRPr="001C14EA">
        <w:rPr>
          <w:rFonts w:cs="Arial"/>
        </w:rPr>
        <w:t xml:space="preserve"> are looking for organisations with experience of working within the public sector and across very diverse teams, i.e. knowledge of disparities between differing protected characteristics, interest in equality/to no interest whatsoever and having to contend with both viewpoints within the same training session.</w:t>
      </w:r>
    </w:p>
    <w:p w:rsidR="001C14EA" w:rsidRPr="001C14EA" w:rsidRDefault="001C14EA" w:rsidP="001C14EA">
      <w:pPr>
        <w:spacing w:after="200" w:line="276" w:lineRule="auto"/>
        <w:jc w:val="left"/>
        <w:rPr>
          <w:rFonts w:cs="Arial"/>
        </w:rPr>
      </w:pPr>
      <w:r>
        <w:rPr>
          <w:rFonts w:cs="Arial"/>
        </w:rPr>
        <w:lastRenderedPageBreak/>
        <w:t>BSUH</w:t>
      </w:r>
      <w:r w:rsidRPr="001C14EA">
        <w:rPr>
          <w:rFonts w:cs="Arial"/>
        </w:rPr>
        <w:t xml:space="preserve"> are looking  for organisations that will provide a mixture of learning styles and have the flexibility to work o</w:t>
      </w:r>
      <w:r>
        <w:rPr>
          <w:rFonts w:cs="Arial"/>
        </w:rPr>
        <w:t>utside the standard 9am – 5pm (If required) to enable the</w:t>
      </w:r>
      <w:r w:rsidRPr="001C14EA">
        <w:rPr>
          <w:rFonts w:cs="Arial"/>
        </w:rPr>
        <w:t xml:space="preserve"> workforce the greatest flexibility to attend.  </w:t>
      </w:r>
    </w:p>
    <w:p w:rsidR="001C14EA" w:rsidRPr="001C14EA" w:rsidRDefault="001C14EA" w:rsidP="001C14EA">
      <w:pPr>
        <w:spacing w:after="200" w:line="276" w:lineRule="auto"/>
        <w:jc w:val="left"/>
        <w:rPr>
          <w:rFonts w:cs="Arial"/>
        </w:rPr>
      </w:pPr>
      <w:r>
        <w:rPr>
          <w:rFonts w:cs="Arial"/>
        </w:rPr>
        <w:t>BSUH</w:t>
      </w:r>
      <w:r w:rsidRPr="001C14EA">
        <w:rPr>
          <w:rFonts w:cs="Arial"/>
        </w:rPr>
        <w:t xml:space="preserve"> are looking for organisations who can deliver innovati</w:t>
      </w:r>
      <w:r>
        <w:rPr>
          <w:rFonts w:cs="Arial"/>
        </w:rPr>
        <w:t>ve learning to some of their</w:t>
      </w:r>
      <w:r w:rsidRPr="001C14EA">
        <w:rPr>
          <w:rFonts w:cs="Arial"/>
        </w:rPr>
        <w:t xml:space="preserve"> most senior leaders – who will then be utilising this to support their teams.  As well as an interesting and interactive</w:t>
      </w:r>
      <w:r w:rsidR="006615FD">
        <w:rPr>
          <w:rFonts w:cs="Arial"/>
        </w:rPr>
        <w:t xml:space="preserve"> Train the Trainer programme so senior</w:t>
      </w:r>
      <w:r w:rsidRPr="001C14EA">
        <w:rPr>
          <w:rFonts w:cs="Arial"/>
        </w:rPr>
        <w:t xml:space="preserve"> colleagues can deliver the awareness programme to </w:t>
      </w:r>
      <w:r>
        <w:rPr>
          <w:rFonts w:cs="Arial"/>
        </w:rPr>
        <w:t>a</w:t>
      </w:r>
      <w:r w:rsidR="006615FD">
        <w:rPr>
          <w:rFonts w:cs="Arial"/>
        </w:rPr>
        <w:t xml:space="preserve"> wider workforce, </w:t>
      </w:r>
      <w:r w:rsidRPr="001C14EA">
        <w:rPr>
          <w:rFonts w:cs="Arial"/>
        </w:rPr>
        <w:t>a variety of support materials</w:t>
      </w:r>
      <w:r w:rsidR="00916293">
        <w:rPr>
          <w:rFonts w:cs="Arial"/>
        </w:rPr>
        <w:t xml:space="preserve"> such as handouts, pamphlets etc</w:t>
      </w:r>
      <w:r w:rsidRPr="001C14EA">
        <w:rPr>
          <w:rFonts w:cs="Arial"/>
        </w:rPr>
        <w:t xml:space="preserve"> will </w:t>
      </w:r>
      <w:r w:rsidR="006615FD">
        <w:rPr>
          <w:rFonts w:cs="Arial"/>
        </w:rPr>
        <w:t xml:space="preserve">also </w:t>
      </w:r>
      <w:r w:rsidRPr="001C14EA">
        <w:rPr>
          <w:rFonts w:cs="Arial"/>
        </w:rPr>
        <w:t>be required.</w:t>
      </w:r>
    </w:p>
    <w:p w:rsidR="001C14EA" w:rsidRPr="001C14EA" w:rsidRDefault="006615FD" w:rsidP="001C14EA">
      <w:pPr>
        <w:spacing w:after="200" w:line="276" w:lineRule="auto"/>
        <w:jc w:val="left"/>
        <w:rPr>
          <w:rFonts w:cs="Arial"/>
        </w:rPr>
      </w:pPr>
      <w:r>
        <w:rPr>
          <w:rFonts w:cs="Arial"/>
        </w:rPr>
        <w:t>BSUH</w:t>
      </w:r>
      <w:r w:rsidR="001C14EA" w:rsidRPr="001C14EA">
        <w:rPr>
          <w:rFonts w:cs="Arial"/>
        </w:rPr>
        <w:t xml:space="preserve"> </w:t>
      </w:r>
      <w:r>
        <w:rPr>
          <w:rFonts w:cs="Arial"/>
        </w:rPr>
        <w:t>will aim</w:t>
      </w:r>
      <w:r w:rsidR="001C14EA" w:rsidRPr="001C14EA">
        <w:rPr>
          <w:rFonts w:cs="Arial"/>
        </w:rPr>
        <w:t xml:space="preserve"> to run the programmes for at least 3 months and then </w:t>
      </w:r>
      <w:r w:rsidR="00260D00">
        <w:rPr>
          <w:rFonts w:cs="Arial"/>
        </w:rPr>
        <w:t>review</w:t>
      </w:r>
      <w:r w:rsidR="001C14EA" w:rsidRPr="001C14EA">
        <w:rPr>
          <w:rFonts w:cs="Arial"/>
        </w:rPr>
        <w:t xml:space="preserve"> feedback to see if any tweaks need to be made.  Regular reports would be expected so </w:t>
      </w:r>
      <w:r>
        <w:rPr>
          <w:rFonts w:cs="Arial"/>
        </w:rPr>
        <w:t>they</w:t>
      </w:r>
      <w:r w:rsidR="001C14EA" w:rsidRPr="001C14EA">
        <w:rPr>
          <w:rFonts w:cs="Arial"/>
        </w:rPr>
        <w:t xml:space="preserve"> can provide evidence to </w:t>
      </w:r>
      <w:r>
        <w:rPr>
          <w:rFonts w:cs="Arial"/>
        </w:rPr>
        <w:t xml:space="preserve">the </w:t>
      </w:r>
      <w:r w:rsidR="001C14EA" w:rsidRPr="001C14EA">
        <w:rPr>
          <w:rFonts w:cs="Arial"/>
        </w:rPr>
        <w:t xml:space="preserve">Board and workforce </w:t>
      </w:r>
      <w:r>
        <w:rPr>
          <w:rFonts w:cs="Arial"/>
        </w:rPr>
        <w:t>to reflect</w:t>
      </w:r>
      <w:r w:rsidR="001C14EA" w:rsidRPr="001C14EA">
        <w:rPr>
          <w:rFonts w:cs="Arial"/>
        </w:rPr>
        <w:t xml:space="preserve"> the changes </w:t>
      </w:r>
      <w:r>
        <w:rPr>
          <w:rFonts w:cs="Arial"/>
        </w:rPr>
        <w:t>they are aiming for</w:t>
      </w:r>
      <w:r w:rsidR="001C14EA" w:rsidRPr="001C14EA">
        <w:rPr>
          <w:rFonts w:cs="Arial"/>
        </w:rPr>
        <w:t xml:space="preserve">.  </w:t>
      </w:r>
    </w:p>
    <w:p w:rsidR="001C14EA" w:rsidRPr="001C14EA" w:rsidRDefault="001C14EA" w:rsidP="001C14EA">
      <w:pPr>
        <w:spacing w:after="200" w:line="276" w:lineRule="auto"/>
        <w:jc w:val="left"/>
        <w:rPr>
          <w:rFonts w:cs="Arial"/>
        </w:rPr>
      </w:pPr>
      <w:r w:rsidRPr="001C14EA">
        <w:rPr>
          <w:rFonts w:cs="Arial"/>
        </w:rPr>
        <w:t xml:space="preserve">Consideration also needs to be given for </w:t>
      </w:r>
      <w:r w:rsidR="006615FD">
        <w:rPr>
          <w:rFonts w:cs="Arial"/>
        </w:rPr>
        <w:t xml:space="preserve">the </w:t>
      </w:r>
      <w:r w:rsidRPr="001C14EA">
        <w:rPr>
          <w:rFonts w:cs="Arial"/>
        </w:rPr>
        <w:t>workforc</w:t>
      </w:r>
      <w:r w:rsidR="00260D00">
        <w:rPr>
          <w:rFonts w:cs="Arial"/>
        </w:rPr>
        <w:t xml:space="preserve">e for whom English is not the </w:t>
      </w:r>
      <w:r w:rsidRPr="001C14EA">
        <w:rPr>
          <w:rFonts w:cs="Arial"/>
        </w:rPr>
        <w:t xml:space="preserve">first language in </w:t>
      </w:r>
      <w:r w:rsidR="00260D00">
        <w:rPr>
          <w:rFonts w:cs="Arial"/>
        </w:rPr>
        <w:t xml:space="preserve">both </w:t>
      </w:r>
      <w:r w:rsidRPr="001C14EA">
        <w:rPr>
          <w:rFonts w:cs="Arial"/>
        </w:rPr>
        <w:t>the materia</w:t>
      </w:r>
      <w:r w:rsidR="00260D00">
        <w:rPr>
          <w:rFonts w:cs="Arial"/>
        </w:rPr>
        <w:t>ls and</w:t>
      </w:r>
      <w:r w:rsidRPr="001C14EA">
        <w:rPr>
          <w:rFonts w:cs="Arial"/>
        </w:rPr>
        <w:t xml:space="preserve"> language used, but also the timings of the sessions to enable attendees to get the most of the sessions.</w:t>
      </w:r>
    </w:p>
    <w:p w:rsidR="001C14EA" w:rsidRPr="001C14EA" w:rsidRDefault="001C14EA" w:rsidP="001C14EA">
      <w:pPr>
        <w:spacing w:after="100" w:afterAutospacing="1" w:line="276" w:lineRule="auto"/>
        <w:jc w:val="left"/>
        <w:rPr>
          <w:rFonts w:cs="Arial"/>
        </w:rPr>
      </w:pPr>
      <w:r w:rsidRPr="001C14EA">
        <w:rPr>
          <w:rFonts w:cs="Arial"/>
        </w:rPr>
        <w:t>There is unashamedly a significant focus on Race Equality and this needs to be a strong component throughout</w:t>
      </w:r>
      <w:r w:rsidR="00260D00">
        <w:rPr>
          <w:rFonts w:cs="Arial"/>
        </w:rPr>
        <w:t xml:space="preserve"> all of the sessions, however BSUH</w:t>
      </w:r>
      <w:r w:rsidRPr="001C14EA">
        <w:rPr>
          <w:rFonts w:cs="Arial"/>
        </w:rPr>
        <w:t xml:space="preserve"> also need to ensure that Disability, Sexual Orientation and Gender identity are understood as well as the importance for all</w:t>
      </w:r>
      <w:r w:rsidR="006615FD">
        <w:rPr>
          <w:rFonts w:cs="Arial"/>
        </w:rPr>
        <w:t xml:space="preserve"> the different components of the</w:t>
      </w:r>
      <w:r w:rsidRPr="001C14EA">
        <w:rPr>
          <w:rFonts w:cs="Arial"/>
        </w:rPr>
        <w:t xml:space="preserve"> training programme.</w:t>
      </w:r>
    </w:p>
    <w:p w:rsidR="001C14EA" w:rsidRPr="001C14EA" w:rsidRDefault="001C14EA" w:rsidP="001C14EA">
      <w:pPr>
        <w:spacing w:after="200" w:line="276" w:lineRule="auto"/>
        <w:jc w:val="left"/>
        <w:rPr>
          <w:rFonts w:cs="Arial"/>
        </w:rPr>
      </w:pPr>
      <w:r w:rsidRPr="001C14EA">
        <w:rPr>
          <w:rFonts w:cs="Arial"/>
        </w:rPr>
        <w:t>An understanding of WRES/WDES and Stonewa</w:t>
      </w:r>
      <w:r w:rsidR="006615FD">
        <w:rPr>
          <w:rFonts w:cs="Arial"/>
        </w:rPr>
        <w:t xml:space="preserve">ll WEI is essential and for the </w:t>
      </w:r>
      <w:r w:rsidRPr="001C14EA">
        <w:rPr>
          <w:rFonts w:cs="Arial"/>
        </w:rPr>
        <w:t>BME mentor</w:t>
      </w:r>
      <w:r w:rsidR="006615FD">
        <w:rPr>
          <w:rFonts w:cs="Arial"/>
        </w:rPr>
        <w:t xml:space="preserve">ing there </w:t>
      </w:r>
      <w:r w:rsidRPr="001C14EA">
        <w:rPr>
          <w:rFonts w:cs="Arial"/>
        </w:rPr>
        <w:t>would</w:t>
      </w:r>
      <w:r w:rsidR="006615FD">
        <w:rPr>
          <w:rFonts w:cs="Arial"/>
        </w:rPr>
        <w:t xml:space="preserve"> be an expectation</w:t>
      </w:r>
      <w:r w:rsidRPr="001C14EA">
        <w:rPr>
          <w:rFonts w:cs="Arial"/>
        </w:rPr>
        <w:t xml:space="preserve"> </w:t>
      </w:r>
      <w:r w:rsidR="006615FD">
        <w:rPr>
          <w:rFonts w:cs="Arial"/>
        </w:rPr>
        <w:t xml:space="preserve">for </w:t>
      </w:r>
      <w:r w:rsidRPr="001C14EA">
        <w:rPr>
          <w:rFonts w:cs="Arial"/>
        </w:rPr>
        <w:t>a full understanding of the complexities faced by visible and non-visible BME peoples, and the assumptions that are often made and the impact of this.</w:t>
      </w:r>
    </w:p>
    <w:p w:rsidR="001C14EA" w:rsidRPr="001C14EA" w:rsidRDefault="001C14EA" w:rsidP="001C14EA">
      <w:pPr>
        <w:spacing w:after="200" w:line="276" w:lineRule="auto"/>
        <w:jc w:val="left"/>
        <w:rPr>
          <w:rFonts w:cs="Arial"/>
        </w:rPr>
      </w:pPr>
      <w:r w:rsidRPr="001C14EA">
        <w:rPr>
          <w:rFonts w:cs="Arial"/>
        </w:rPr>
        <w:t>The Reverse Mentoring programme will be for a majority more junior workforce BME to mentor a majority senior workforce (Board/Executives) White – so particular attention needs to be paid to the potential vulnerab</w:t>
      </w:r>
      <w:r w:rsidR="006615FD">
        <w:rPr>
          <w:rFonts w:cs="Arial"/>
        </w:rPr>
        <w:t>ility that could be faced by the</w:t>
      </w:r>
      <w:r w:rsidRPr="001C14EA">
        <w:rPr>
          <w:rFonts w:cs="Arial"/>
        </w:rPr>
        <w:t xml:space="preserve"> BME staff. </w:t>
      </w:r>
    </w:p>
    <w:p w:rsidR="001C14EA" w:rsidRPr="001C14EA" w:rsidRDefault="006615FD" w:rsidP="001C14EA">
      <w:pPr>
        <w:spacing w:after="200" w:line="276" w:lineRule="auto"/>
        <w:jc w:val="left"/>
        <w:rPr>
          <w:rFonts w:cs="Arial"/>
        </w:rPr>
      </w:pPr>
      <w:r>
        <w:rPr>
          <w:rFonts w:cs="Arial"/>
        </w:rPr>
        <w:t>Finally, BSUH</w:t>
      </w:r>
      <w:r w:rsidR="001C14EA" w:rsidRPr="001C14EA">
        <w:rPr>
          <w:rFonts w:cs="Arial"/>
        </w:rPr>
        <w:t xml:space="preserve"> recognise</w:t>
      </w:r>
      <w:r>
        <w:rPr>
          <w:rFonts w:cs="Arial"/>
        </w:rPr>
        <w:t>s</w:t>
      </w:r>
      <w:r w:rsidR="001C14EA" w:rsidRPr="001C14EA">
        <w:rPr>
          <w:rFonts w:cs="Arial"/>
        </w:rPr>
        <w:t xml:space="preserve"> the important role that Staff Networks can play in helping to support the inclusion agenda, in being safe/supportive place for staff and acting as a critical fr</w:t>
      </w:r>
      <w:r>
        <w:rPr>
          <w:rFonts w:cs="Arial"/>
        </w:rPr>
        <w:t>iend to the organisation, and they wish to up-skill all of the</w:t>
      </w:r>
      <w:r w:rsidR="001C14EA" w:rsidRPr="001C14EA">
        <w:rPr>
          <w:rFonts w:cs="Arial"/>
        </w:rPr>
        <w:t xml:space="preserve"> current and future networks so they can fulfil this vital role whilst appreciating the boundaries with which they work.  </w:t>
      </w:r>
    </w:p>
    <w:p w:rsidR="001C14EA" w:rsidRDefault="001C14EA" w:rsidP="00400811">
      <w:pPr>
        <w:rPr>
          <w:rFonts w:ascii="Calibri" w:hAnsi="Calibri" w:cs="Arial"/>
        </w:rPr>
      </w:pPr>
    </w:p>
    <w:p w:rsidR="000158FD" w:rsidRDefault="00056723" w:rsidP="000158FD">
      <w:pPr>
        <w:ind w:right="806"/>
      </w:pPr>
      <w:r>
        <w:t>D</w:t>
      </w:r>
      <w:r w:rsidR="000158FD">
        <w:t xml:space="preserve">etails </w:t>
      </w:r>
      <w:r>
        <w:t xml:space="preserve">relating to the specific requirement </w:t>
      </w:r>
      <w:r w:rsidR="000158FD">
        <w:t xml:space="preserve">can be found in the specification </w:t>
      </w:r>
      <w:r>
        <w:t>as attached.</w:t>
      </w:r>
      <w:r w:rsidR="000158FD">
        <w:t xml:space="preserve"> </w:t>
      </w:r>
    </w:p>
    <w:p w:rsidR="00603A0D" w:rsidRDefault="00603A0D" w:rsidP="006B54D6">
      <w:pPr>
        <w:pStyle w:val="MRNumberedHeading2"/>
      </w:pPr>
      <w:bookmarkStart w:id="15" w:name="_Toc403555087"/>
      <w:r w:rsidRPr="00533CB2">
        <w:t xml:space="preserve">Full details of </w:t>
      </w:r>
      <w:proofErr w:type="gramStart"/>
      <w:r w:rsidRPr="00533CB2">
        <w:t>the  requirements</w:t>
      </w:r>
      <w:proofErr w:type="gramEnd"/>
      <w:r w:rsidRPr="00533CB2">
        <w:t xml:space="preserve"> are set out in the Specification in </w:t>
      </w:r>
      <w:r w:rsidR="007F5F02">
        <w:t>Annex B2</w:t>
      </w:r>
      <w:r w:rsidR="0050545F">
        <w:t xml:space="preserve"> of Section B</w:t>
      </w:r>
      <w:r w:rsidR="007F5F02">
        <w:t>.</w:t>
      </w:r>
      <w:bookmarkEnd w:id="15"/>
      <w:r w:rsidR="007F5F02">
        <w:t xml:space="preserve"> </w:t>
      </w:r>
    </w:p>
    <w:p w:rsidR="006534CF" w:rsidRDefault="000158FD" w:rsidP="000158FD">
      <w:pPr>
        <w:pStyle w:val="MRNumberedHeading2"/>
        <w:rPr>
          <w:b/>
        </w:rPr>
      </w:pPr>
      <w:bookmarkStart w:id="16" w:name="_Toc403555089"/>
      <w:r>
        <w:t xml:space="preserve"> </w:t>
      </w:r>
      <w:bookmarkStart w:id="17" w:name="_Toc403555093"/>
      <w:bookmarkEnd w:id="16"/>
      <w:r w:rsidR="00825FC5" w:rsidRPr="00276E1B">
        <w:t>Questions</w:t>
      </w:r>
      <w:r w:rsidR="00825FC5">
        <w:rPr>
          <w:b/>
        </w:rPr>
        <w:t xml:space="preserve"> </w:t>
      </w:r>
      <w:r w:rsidR="00825FC5" w:rsidRPr="00276E1B">
        <w:t>about this ITT</w:t>
      </w:r>
      <w:bookmarkEnd w:id="17"/>
    </w:p>
    <w:p w:rsidR="00825FC5" w:rsidRDefault="00825FC5" w:rsidP="006B54D6">
      <w:pPr>
        <w:pStyle w:val="MRNumberedHeading2"/>
      </w:pPr>
      <w:bookmarkStart w:id="18"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5E1FD7">
        <w:t>To allow the</w:t>
      </w:r>
      <w:r w:rsidR="002E072D">
        <w:t xml:space="preserve"> Authority </w:t>
      </w:r>
      <w:r w:rsidR="005E1FD7">
        <w:t xml:space="preserve">to respond to queries to enable you to provide a full tender the deadline for receipt of queries is </w:t>
      </w:r>
      <w:r w:rsidR="00102238">
        <w:rPr>
          <w:b/>
        </w:rPr>
        <w:t>25/10/19.</w:t>
      </w:r>
      <w:r w:rsidR="005E1FD7">
        <w:t xml:space="preserve"> The Authority </w:t>
      </w:r>
      <w:r w:rsidR="002E072D">
        <w:t>may decline to answer</w:t>
      </w:r>
      <w:r>
        <w:t xml:space="preserve"> queries received after </w:t>
      </w:r>
      <w:r w:rsidR="005E1FD7">
        <w:t>this</w:t>
      </w:r>
      <w:r>
        <w:t xml:space="preserve"> deadline.</w:t>
      </w:r>
      <w:bookmarkEnd w:id="18"/>
    </w:p>
    <w:p w:rsidR="004E71FF" w:rsidRPr="005A2E47" w:rsidRDefault="00825FC5" w:rsidP="006B54D6">
      <w:pPr>
        <w:pStyle w:val="MRNumberedHeading2"/>
      </w:pPr>
      <w:bookmarkStart w:id="19"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19"/>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0" w:name="_Toc403556502"/>
      <w:bookmarkStart w:id="21" w:name="_Toc403556507"/>
      <w:r w:rsidRPr="008F3D2C">
        <w:rPr>
          <w:sz w:val="20"/>
          <w:szCs w:val="20"/>
        </w:rPr>
        <w:lastRenderedPageBreak/>
        <w:t>TENDER TIMETABLE</w:t>
      </w:r>
      <w:bookmarkEnd w:id="20"/>
      <w:bookmarkEnd w:id="21"/>
    </w:p>
    <w:p w:rsidR="008D3217" w:rsidRPr="00276E1B" w:rsidRDefault="008D3217" w:rsidP="00337295">
      <w:pPr>
        <w:pStyle w:val="Heading1"/>
        <w:spacing w:before="240" w:after="0"/>
        <w:ind w:left="709"/>
      </w:pPr>
      <w:bookmarkStart w:id="22" w:name="_Toc403555097"/>
      <w:r w:rsidRPr="00276E1B">
        <w:t>Key dates</w:t>
      </w:r>
      <w:bookmarkEnd w:id="22"/>
    </w:p>
    <w:p w:rsidR="008D3217" w:rsidRDefault="008D3217" w:rsidP="006B54D6">
      <w:pPr>
        <w:pStyle w:val="MRNumberedHeading2"/>
      </w:pPr>
      <w:bookmarkStart w:id="23"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23"/>
      <w:r w:rsidR="00B46DA5">
        <w:t xml:space="preserve"> </w:t>
      </w:r>
    </w:p>
    <w:p w:rsidR="00B46DA5" w:rsidRDefault="00FE07BA" w:rsidP="006B54D6">
      <w:pPr>
        <w:pStyle w:val="MRNumberedHeading2"/>
      </w:pPr>
      <w:bookmarkStart w:id="24" w:name="_Toc403555099"/>
      <w:bookmarkStart w:id="25" w:name="_Ref405452883"/>
      <w:bookmarkStart w:id="26" w:name="_Ref406061800"/>
      <w:bookmarkStart w:id="27" w:name="_Ref406062870"/>
      <w:r>
        <w:t>The key dates for this procurement are currently anticipated to be as follows:</w:t>
      </w:r>
      <w:bookmarkEnd w:id="24"/>
      <w:bookmarkEnd w:id="25"/>
      <w:bookmarkEnd w:id="26"/>
      <w:bookmarkEnd w:id="27"/>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693"/>
      </w:tblGrid>
      <w:tr w:rsidR="00FE07BA" w:rsidTr="008C5577">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8C5577">
        <w:tc>
          <w:tcPr>
            <w:tcW w:w="5387" w:type="dxa"/>
          </w:tcPr>
          <w:p w:rsidR="00FE07BA" w:rsidRDefault="00FE07BA" w:rsidP="00FE07BA">
            <w:pPr>
              <w:pStyle w:val="Heading2"/>
              <w:numPr>
                <w:ilvl w:val="0"/>
                <w:numId w:val="0"/>
              </w:numPr>
              <w:outlineLvl w:val="1"/>
            </w:pPr>
            <w:r>
              <w:t>ITT issued</w:t>
            </w:r>
          </w:p>
        </w:tc>
        <w:tc>
          <w:tcPr>
            <w:tcW w:w="2693" w:type="dxa"/>
          </w:tcPr>
          <w:p w:rsidR="003273D3" w:rsidRPr="002D2E91" w:rsidRDefault="000E24A6" w:rsidP="00FE07BA">
            <w:pPr>
              <w:pStyle w:val="Heading2"/>
              <w:numPr>
                <w:ilvl w:val="0"/>
                <w:numId w:val="0"/>
              </w:numPr>
              <w:outlineLvl w:val="1"/>
            </w:pPr>
            <w:r>
              <w:t>11/10/19</w:t>
            </w:r>
          </w:p>
        </w:tc>
      </w:tr>
      <w:tr w:rsidR="00FE07BA" w:rsidTr="008C5577">
        <w:tc>
          <w:tcPr>
            <w:tcW w:w="5387" w:type="dxa"/>
          </w:tcPr>
          <w:p w:rsidR="00FE07BA" w:rsidRDefault="00FE07BA" w:rsidP="00FE07BA">
            <w:pPr>
              <w:pStyle w:val="Heading2"/>
              <w:numPr>
                <w:ilvl w:val="0"/>
                <w:numId w:val="0"/>
              </w:numPr>
              <w:outlineLvl w:val="1"/>
            </w:pPr>
            <w:r>
              <w:t>Target date for responses to clarification questions</w:t>
            </w:r>
          </w:p>
        </w:tc>
        <w:tc>
          <w:tcPr>
            <w:tcW w:w="2693" w:type="dxa"/>
          </w:tcPr>
          <w:p w:rsidR="003273D3" w:rsidRPr="002D2E91" w:rsidRDefault="000E24A6" w:rsidP="003273D3">
            <w:pPr>
              <w:pStyle w:val="Heading2"/>
              <w:numPr>
                <w:ilvl w:val="0"/>
                <w:numId w:val="0"/>
              </w:numPr>
              <w:tabs>
                <w:tab w:val="left" w:pos="1652"/>
              </w:tabs>
              <w:outlineLvl w:val="1"/>
            </w:pPr>
            <w:r>
              <w:t>25/10/19</w:t>
            </w:r>
          </w:p>
        </w:tc>
      </w:tr>
      <w:tr w:rsidR="00FE07BA" w:rsidTr="008C5577">
        <w:tc>
          <w:tcPr>
            <w:tcW w:w="5387" w:type="dxa"/>
          </w:tcPr>
          <w:p w:rsidR="00FE07BA" w:rsidRDefault="00FE07BA" w:rsidP="00FE07BA">
            <w:pPr>
              <w:pStyle w:val="Heading2"/>
              <w:numPr>
                <w:ilvl w:val="0"/>
                <w:numId w:val="0"/>
              </w:numPr>
              <w:outlineLvl w:val="1"/>
            </w:pPr>
            <w:r>
              <w:t>Deadline for receipt of Tenders</w:t>
            </w:r>
          </w:p>
        </w:tc>
        <w:tc>
          <w:tcPr>
            <w:tcW w:w="2693" w:type="dxa"/>
          </w:tcPr>
          <w:p w:rsidR="003273D3" w:rsidRPr="002D2E91" w:rsidRDefault="000E24A6" w:rsidP="00FE07BA">
            <w:pPr>
              <w:pStyle w:val="Heading2"/>
              <w:numPr>
                <w:ilvl w:val="0"/>
                <w:numId w:val="0"/>
              </w:numPr>
              <w:outlineLvl w:val="1"/>
            </w:pPr>
            <w:r>
              <w:t>31/10/19</w:t>
            </w:r>
          </w:p>
        </w:tc>
      </w:tr>
      <w:tr w:rsidR="00FE07BA" w:rsidTr="008C5577">
        <w:tc>
          <w:tcPr>
            <w:tcW w:w="5387" w:type="dxa"/>
          </w:tcPr>
          <w:p w:rsidR="00FE07BA" w:rsidRDefault="00FE07BA" w:rsidP="00FE07BA">
            <w:pPr>
              <w:pStyle w:val="Heading2"/>
              <w:numPr>
                <w:ilvl w:val="0"/>
                <w:numId w:val="0"/>
              </w:numPr>
              <w:outlineLvl w:val="1"/>
            </w:pPr>
            <w:r>
              <w:t>Evaluation of Tenders</w:t>
            </w:r>
          </w:p>
        </w:tc>
        <w:tc>
          <w:tcPr>
            <w:tcW w:w="2693" w:type="dxa"/>
          </w:tcPr>
          <w:p w:rsidR="003273D3" w:rsidRPr="002D2E91" w:rsidRDefault="000E24A6" w:rsidP="003273D3">
            <w:pPr>
              <w:pStyle w:val="Heading2"/>
              <w:numPr>
                <w:ilvl w:val="0"/>
                <w:numId w:val="0"/>
              </w:numPr>
              <w:outlineLvl w:val="1"/>
            </w:pPr>
            <w:r>
              <w:t>01/11/19</w:t>
            </w:r>
          </w:p>
        </w:tc>
      </w:tr>
      <w:tr w:rsidR="00FE07BA" w:rsidTr="008C5577">
        <w:tc>
          <w:tcPr>
            <w:tcW w:w="5387" w:type="dxa"/>
          </w:tcPr>
          <w:p w:rsidR="00FE07BA" w:rsidRDefault="005E1FD7" w:rsidP="00FE07BA">
            <w:pPr>
              <w:pStyle w:val="Heading2"/>
              <w:numPr>
                <w:ilvl w:val="0"/>
                <w:numId w:val="0"/>
              </w:numPr>
              <w:outlineLvl w:val="1"/>
            </w:pPr>
            <w:r>
              <w:t>Presentations</w:t>
            </w:r>
          </w:p>
        </w:tc>
        <w:tc>
          <w:tcPr>
            <w:tcW w:w="2693" w:type="dxa"/>
          </w:tcPr>
          <w:p w:rsidR="003273D3" w:rsidRPr="002D2E91" w:rsidRDefault="000E24A6" w:rsidP="00FE07BA">
            <w:pPr>
              <w:pStyle w:val="Heading2"/>
              <w:numPr>
                <w:ilvl w:val="0"/>
                <w:numId w:val="0"/>
              </w:numPr>
              <w:outlineLvl w:val="1"/>
            </w:pPr>
            <w:r>
              <w:t>11/11/19</w:t>
            </w:r>
          </w:p>
        </w:tc>
      </w:tr>
      <w:tr w:rsidR="00090CD5" w:rsidTr="008C5577">
        <w:tc>
          <w:tcPr>
            <w:tcW w:w="5387" w:type="dxa"/>
          </w:tcPr>
          <w:p w:rsidR="00090CD5" w:rsidRDefault="00090CD5" w:rsidP="00AD1F28">
            <w:pPr>
              <w:pStyle w:val="Heading2"/>
              <w:numPr>
                <w:ilvl w:val="0"/>
                <w:numId w:val="0"/>
              </w:numPr>
              <w:outlineLvl w:val="1"/>
            </w:pPr>
            <w:r>
              <w:t>Contract award</w:t>
            </w:r>
          </w:p>
        </w:tc>
        <w:tc>
          <w:tcPr>
            <w:tcW w:w="2693" w:type="dxa"/>
          </w:tcPr>
          <w:p w:rsidR="00090CD5" w:rsidRPr="002D2E91" w:rsidRDefault="000E24A6" w:rsidP="00FE07BA">
            <w:pPr>
              <w:pStyle w:val="Heading2"/>
              <w:numPr>
                <w:ilvl w:val="0"/>
                <w:numId w:val="0"/>
              </w:numPr>
              <w:outlineLvl w:val="1"/>
            </w:pPr>
            <w:r>
              <w:t>TBC</w:t>
            </w:r>
          </w:p>
        </w:tc>
      </w:tr>
    </w:tbl>
    <w:p w:rsidR="00FE07BA" w:rsidRDefault="00FE07BA" w:rsidP="006B54D6">
      <w:pPr>
        <w:pStyle w:val="MRNumberedHeading2"/>
      </w:pPr>
      <w:bookmarkStart w:id="28" w:name="_Toc403555100"/>
      <w:bookmarkStart w:id="29" w:name="_Ref405452899"/>
      <w:r>
        <w:t>Whilst the Authority does not intend to depart from the timetable, it reserves the right to do so at any stage.</w:t>
      </w:r>
      <w:bookmarkEnd w:id="28"/>
      <w:bookmarkEnd w:id="29"/>
      <w:r>
        <w:t xml:space="preserve">  </w:t>
      </w:r>
    </w:p>
    <w:p w:rsidR="000831C0" w:rsidRPr="00276E1B" w:rsidRDefault="000E189B" w:rsidP="00337295">
      <w:pPr>
        <w:pStyle w:val="Heading1"/>
        <w:spacing w:before="240" w:after="0"/>
        <w:ind w:left="709"/>
      </w:pPr>
      <w:bookmarkStart w:id="30" w:name="_Toc403555104"/>
      <w:r w:rsidRPr="00276E1B">
        <w:t>Deadline for receipt of Tenders</w:t>
      </w:r>
      <w:bookmarkEnd w:id="30"/>
      <w:r w:rsidRPr="00276E1B">
        <w:t xml:space="preserve"> </w:t>
      </w:r>
    </w:p>
    <w:p w:rsidR="000831C0" w:rsidRDefault="0083677A" w:rsidP="006B54D6">
      <w:pPr>
        <w:pStyle w:val="MRNumberedHeading2"/>
      </w:pPr>
      <w:bookmarkStart w:id="31"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31"/>
    </w:p>
    <w:p w:rsidR="00E37725" w:rsidRDefault="00807CF7" w:rsidP="006B54D6">
      <w:pPr>
        <w:pStyle w:val="MRNumberedHeading2"/>
      </w:pPr>
      <w:bookmarkStart w:id="32" w:name="_Toc403555106"/>
      <w:bookmarkStart w:id="33"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32"/>
      <w:bookmarkEnd w:id="33"/>
    </w:p>
    <w:p w:rsidR="00E41C42" w:rsidRPr="00276E1B" w:rsidRDefault="003876F8" w:rsidP="00337295">
      <w:pPr>
        <w:pStyle w:val="Heading1"/>
        <w:spacing w:before="240" w:after="0"/>
        <w:ind w:left="709"/>
      </w:pPr>
      <w:r>
        <w:t>Presentations</w:t>
      </w:r>
    </w:p>
    <w:p w:rsidR="00FF6B21" w:rsidRPr="00851FEC" w:rsidRDefault="003876F8" w:rsidP="0079187F">
      <w:pPr>
        <w:pStyle w:val="MRNumberedHeading2"/>
      </w:pPr>
      <w:bookmarkStart w:id="34" w:name="_Toc403555112"/>
      <w:bookmarkStart w:id="35" w:name="_Ref405452929"/>
      <w:r>
        <w:t xml:space="preserve">A presentation of Bidders proposals will be required which will be scored and form part of the evaluation criteria. </w:t>
      </w:r>
      <w:r w:rsidR="00FF6B21" w:rsidRPr="00CF60B2">
        <w:rPr>
          <w:i/>
          <w:shd w:val="clear" w:color="auto" w:fill="FFFF66"/>
        </w:rPr>
        <w:t xml:space="preserve">  </w:t>
      </w:r>
      <w:bookmarkEnd w:id="34"/>
      <w:bookmarkEnd w:id="35"/>
    </w:p>
    <w:p w:rsidR="00851FEC" w:rsidRPr="00A24900" w:rsidRDefault="00851FEC" w:rsidP="008C6A7A">
      <w:pPr>
        <w:pStyle w:val="MRNumberedHeading2"/>
        <w:numPr>
          <w:ilvl w:val="0"/>
          <w:numId w:val="0"/>
        </w:numPr>
      </w:pPr>
      <w:r w:rsidRPr="00851FEC">
        <w:t xml:space="preserve">2.6.1  </w:t>
      </w:r>
      <w:r w:rsidR="001E4722">
        <w:t xml:space="preserve">   </w:t>
      </w:r>
      <w:r w:rsidRPr="00851FEC">
        <w:t>The presentation must be attended by those individuals who will be delivering the training.</w:t>
      </w:r>
    </w:p>
    <w:p w:rsidR="008824CC" w:rsidRPr="00276E1B" w:rsidRDefault="008824CC" w:rsidP="00337295">
      <w:pPr>
        <w:pStyle w:val="Heading1"/>
        <w:spacing w:before="240" w:after="0"/>
        <w:ind w:left="709"/>
        <w:rPr>
          <w:i/>
          <w:color w:val="808080" w:themeColor="background1" w:themeShade="80"/>
        </w:rPr>
      </w:pPr>
      <w:bookmarkStart w:id="36" w:name="_Toc403555119"/>
      <w:r w:rsidRPr="00276E1B">
        <w:t>Contract award</w:t>
      </w:r>
      <w:bookmarkEnd w:id="36"/>
    </w:p>
    <w:p w:rsidR="00E56F27" w:rsidRDefault="008824CC" w:rsidP="006B54D6">
      <w:pPr>
        <w:pStyle w:val="MRNumberedHeading2"/>
      </w:pPr>
      <w:bookmarkStart w:id="37" w:name="_Toc403555120"/>
      <w:r>
        <w:t xml:space="preserve">Contract award is subject to the formal approval process of the Authority. Until all necessary approvals are obtained and </w:t>
      </w:r>
      <w:r w:rsidR="00090CD5">
        <w:t xml:space="preserve">internal processes are </w:t>
      </w:r>
      <w:r w:rsidR="00E56F27">
        <w:t>completed, no c</w:t>
      </w:r>
      <w:r>
        <w:t>ontract(s) will be entered into.</w:t>
      </w:r>
      <w:bookmarkEnd w:id="37"/>
    </w:p>
    <w:p w:rsidR="004E71FF" w:rsidRPr="005A2E47" w:rsidRDefault="004E71FF" w:rsidP="00090CD5">
      <w:pPr>
        <w:pStyle w:val="MRNumberedHeading2"/>
        <w:numPr>
          <w:ilvl w:val="0"/>
          <w:numId w:val="0"/>
        </w:numPr>
        <w:ind w:left="720"/>
      </w:pPr>
      <w:r>
        <w:br w:type="page"/>
      </w:r>
    </w:p>
    <w:p w:rsidR="008824CC" w:rsidRPr="008F3D2C" w:rsidRDefault="00A57D02" w:rsidP="00E56C05">
      <w:pPr>
        <w:pStyle w:val="MRNumberedHeading1"/>
        <w:numPr>
          <w:ilvl w:val="0"/>
          <w:numId w:val="24"/>
        </w:numPr>
        <w:ind w:hanging="798"/>
        <w:rPr>
          <w:sz w:val="20"/>
          <w:szCs w:val="20"/>
        </w:rPr>
      </w:pPr>
      <w:bookmarkStart w:id="38" w:name="_Toc403556503"/>
      <w:bookmarkStart w:id="39" w:name="_Toc403556508"/>
      <w:r w:rsidRPr="008F3D2C">
        <w:rPr>
          <w:sz w:val="20"/>
          <w:szCs w:val="20"/>
        </w:rPr>
        <w:lastRenderedPageBreak/>
        <w:t xml:space="preserve">INSTRUCTIONS TO </w:t>
      </w:r>
      <w:r w:rsidR="00E7163F" w:rsidRPr="008F3D2C">
        <w:rPr>
          <w:sz w:val="20"/>
          <w:szCs w:val="20"/>
        </w:rPr>
        <w:t>BIDDERS</w:t>
      </w:r>
      <w:bookmarkEnd w:id="38"/>
      <w:bookmarkEnd w:id="39"/>
      <w:r w:rsidRPr="008F3D2C">
        <w:rPr>
          <w:sz w:val="20"/>
          <w:szCs w:val="20"/>
        </w:rPr>
        <w:t xml:space="preserve"> </w:t>
      </w:r>
    </w:p>
    <w:p w:rsidR="006534CF" w:rsidRPr="00276E1B" w:rsidRDefault="00E41C42" w:rsidP="00337295">
      <w:pPr>
        <w:pStyle w:val="Heading1"/>
        <w:spacing w:before="240" w:after="0"/>
        <w:ind w:left="709"/>
      </w:pPr>
      <w:bookmarkStart w:id="40" w:name="_Toc403555122"/>
      <w:r w:rsidRPr="00276E1B">
        <w:t>Formalities for s</w:t>
      </w:r>
      <w:r w:rsidR="003E3EE7" w:rsidRPr="00276E1B">
        <w:t>ubmission of Tender</w:t>
      </w:r>
      <w:bookmarkEnd w:id="40"/>
      <w:r w:rsidR="00226AE3">
        <w:t>s</w:t>
      </w:r>
      <w:r w:rsidR="003E3EE7" w:rsidRPr="00276E1B">
        <w:t xml:space="preserve"> </w:t>
      </w:r>
    </w:p>
    <w:p w:rsidR="00E41C42" w:rsidRPr="00471596" w:rsidRDefault="002C2920" w:rsidP="006B54D6">
      <w:pPr>
        <w:pStyle w:val="MRNumberedHeading2"/>
      </w:pPr>
      <w:bookmarkStart w:id="41" w:name="_Toc403555123"/>
      <w:bookmarkStart w:id="42" w:name="_Ref405452954"/>
      <w:r w:rsidRPr="00471596">
        <w:t xml:space="preserve">Bidders must submit their Tenders by completing the Annexes to Section B of the ITT.   Completed Tenders must be submitted using the e-Tendering Portal. Bidders should ensure that they allow plenty of time to upload the Tender, particularly where there are large documents.  If Bidders have any problems with the e-Tendering Portal, they should contact the helpdesk on </w:t>
      </w:r>
      <w:r w:rsidR="00471596" w:rsidRPr="00471596">
        <w:t>0800 233 1121</w:t>
      </w:r>
      <w:r w:rsidRPr="00471596">
        <w:t>.  The helpline is open Monday to Friday between 08.30am and 17.30pm excluding public and bank holidays.  As noted above, any Tender received after the deadline may not be considered</w:t>
      </w:r>
      <w:bookmarkEnd w:id="41"/>
      <w:bookmarkEnd w:id="42"/>
      <w:r w:rsidR="00471596">
        <w:t>.</w:t>
      </w:r>
    </w:p>
    <w:p w:rsidR="00E41C42" w:rsidRDefault="00F4040F" w:rsidP="006B54D6">
      <w:pPr>
        <w:pStyle w:val="MRNumberedHeading2"/>
      </w:pPr>
      <w:bookmarkStart w:id="43" w:name="_Toc403555124"/>
      <w:r>
        <w:t>n/a</w:t>
      </w:r>
      <w:r w:rsidR="00E41C42">
        <w:t>.</w:t>
      </w:r>
      <w:bookmarkEnd w:id="43"/>
    </w:p>
    <w:p w:rsidR="00E62354" w:rsidRPr="002C2920" w:rsidRDefault="00FC24F6" w:rsidP="006B54D6">
      <w:pPr>
        <w:pStyle w:val="MRNumberedHeading2"/>
      </w:pPr>
      <w:bookmarkStart w:id="44" w:name="_Toc403555125"/>
      <w:bookmarkStart w:id="45" w:name="_Ref405453188"/>
      <w:r w:rsidRPr="002C2920">
        <w:t>Bidders must adhere to the</w:t>
      </w:r>
      <w:r w:rsidR="00C27CC2" w:rsidRPr="002C2920">
        <w:t xml:space="preserve"> following</w:t>
      </w:r>
      <w:r w:rsidR="002869D0" w:rsidRPr="002C2920">
        <w:t xml:space="preserve"> standard</w:t>
      </w:r>
      <w:r w:rsidR="00C27CC2" w:rsidRPr="002C2920">
        <w:t xml:space="preserve"> requirements </w:t>
      </w:r>
      <w:r w:rsidR="00E62354" w:rsidRPr="002C2920">
        <w:t xml:space="preserve">when submitting </w:t>
      </w:r>
      <w:r w:rsidRPr="002C2920">
        <w:t>their</w:t>
      </w:r>
      <w:r w:rsidR="00E62354" w:rsidRPr="002C2920">
        <w:t xml:space="preserve"> </w:t>
      </w:r>
      <w:r w:rsidR="00C27CC2" w:rsidRPr="002C2920">
        <w:t>Tenders:</w:t>
      </w:r>
      <w:bookmarkEnd w:id="44"/>
      <w:bookmarkEnd w:id="45"/>
    </w:p>
    <w:p w:rsidR="00E62354" w:rsidRPr="002C2920" w:rsidRDefault="00FC24F6" w:rsidP="002D6116">
      <w:pPr>
        <w:pStyle w:val="MRNumberedHeading3"/>
        <w:numPr>
          <w:ilvl w:val="2"/>
          <w:numId w:val="23"/>
        </w:numPr>
        <w:tabs>
          <w:tab w:val="clear" w:pos="2214"/>
          <w:tab w:val="num" w:pos="1794"/>
        </w:tabs>
        <w:spacing w:line="240" w:lineRule="auto"/>
        <w:ind w:left="1702" w:hanging="851"/>
        <w:jc w:val="both"/>
      </w:pPr>
      <w:r w:rsidRPr="002C2920">
        <w:t>Do not embed documents</w:t>
      </w:r>
      <w:r w:rsidR="00C27CC2" w:rsidRPr="002C2920">
        <w:t xml:space="preserve"> within other documents</w:t>
      </w:r>
      <w:r w:rsidRPr="002C2920">
        <w:t>.</w:t>
      </w:r>
      <w:r w:rsidR="00C27CC2" w:rsidRPr="002C2920">
        <w:t xml:space="preserve"> </w:t>
      </w:r>
      <w:r w:rsidRPr="002C2920">
        <w:t>Instead</w:t>
      </w:r>
      <w:r w:rsidR="00C27CC2" w:rsidRPr="002C2920">
        <w:t xml:space="preserve"> provide separate electronic copies of the </w:t>
      </w:r>
      <w:r w:rsidRPr="002C2920">
        <w:t>documents, clearly labelled and referenced if necessary.</w:t>
      </w:r>
    </w:p>
    <w:p w:rsidR="00E62354" w:rsidRPr="002C2920" w:rsidRDefault="00C27CC2" w:rsidP="002D6116">
      <w:pPr>
        <w:pStyle w:val="MRNumberedHeading3"/>
        <w:numPr>
          <w:ilvl w:val="2"/>
          <w:numId w:val="23"/>
        </w:numPr>
        <w:tabs>
          <w:tab w:val="clear" w:pos="2214"/>
          <w:tab w:val="num" w:pos="1794"/>
        </w:tabs>
        <w:spacing w:line="240" w:lineRule="auto"/>
        <w:ind w:left="1702" w:hanging="851"/>
        <w:jc w:val="both"/>
      </w:pPr>
      <w:r w:rsidRPr="002C2920">
        <w:t>The Tender must be in English and drafted in accordance with the drafting guidance set out in this ITT.</w:t>
      </w:r>
    </w:p>
    <w:p w:rsidR="00E62354" w:rsidRPr="002C2920" w:rsidRDefault="005169B5" w:rsidP="002D6116">
      <w:pPr>
        <w:pStyle w:val="MRNumberedHeading3"/>
        <w:numPr>
          <w:ilvl w:val="2"/>
          <w:numId w:val="23"/>
        </w:numPr>
        <w:tabs>
          <w:tab w:val="clear" w:pos="2214"/>
          <w:tab w:val="num" w:pos="1794"/>
        </w:tabs>
        <w:spacing w:line="240" w:lineRule="auto"/>
        <w:ind w:left="1702" w:hanging="851"/>
        <w:jc w:val="both"/>
      </w:pPr>
      <w:r w:rsidRPr="002C2920">
        <w:t>n/a</w:t>
      </w:r>
    </w:p>
    <w:p w:rsidR="005169B5" w:rsidRPr="002C2920" w:rsidRDefault="00FC24F6" w:rsidP="002D6116">
      <w:pPr>
        <w:pStyle w:val="MRNumberedHeading3"/>
        <w:numPr>
          <w:ilvl w:val="2"/>
          <w:numId w:val="23"/>
        </w:numPr>
        <w:tabs>
          <w:tab w:val="clear" w:pos="2214"/>
          <w:tab w:val="num" w:pos="1794"/>
        </w:tabs>
        <w:spacing w:line="240" w:lineRule="auto"/>
        <w:ind w:left="1702" w:hanging="851"/>
        <w:jc w:val="both"/>
      </w:pPr>
      <w:r w:rsidRPr="002C2920">
        <w:t xml:space="preserve">Pages must be A4 in size or, where necessary, A3 </w:t>
      </w:r>
    </w:p>
    <w:p w:rsidR="00E62354" w:rsidRPr="002C2920" w:rsidRDefault="00C27CC2" w:rsidP="002D6116">
      <w:pPr>
        <w:pStyle w:val="MRNumberedHeading3"/>
        <w:numPr>
          <w:ilvl w:val="2"/>
          <w:numId w:val="23"/>
        </w:numPr>
        <w:tabs>
          <w:tab w:val="clear" w:pos="2214"/>
          <w:tab w:val="num" w:pos="1794"/>
        </w:tabs>
        <w:spacing w:line="240" w:lineRule="auto"/>
        <w:ind w:left="1702" w:hanging="851"/>
        <w:jc w:val="both"/>
      </w:pPr>
      <w:r w:rsidRPr="002C2920">
        <w:t>The Tender must be fully cross-referenced</w:t>
      </w:r>
      <w:r w:rsidR="00F36F19" w:rsidRPr="002C2920">
        <w:t xml:space="preserve"> and include a</w:t>
      </w:r>
      <w:r w:rsidR="007B6206" w:rsidRPr="002C2920">
        <w:t xml:space="preserve"> table of contents.</w:t>
      </w:r>
    </w:p>
    <w:p w:rsidR="00E62354" w:rsidRPr="002C2920" w:rsidRDefault="00A60BD1" w:rsidP="002D6116">
      <w:pPr>
        <w:pStyle w:val="MRNumberedHeading3"/>
        <w:numPr>
          <w:ilvl w:val="2"/>
          <w:numId w:val="23"/>
        </w:numPr>
        <w:tabs>
          <w:tab w:val="clear" w:pos="2214"/>
          <w:tab w:val="num" w:pos="1794"/>
        </w:tabs>
        <w:spacing w:line="240" w:lineRule="auto"/>
        <w:ind w:left="1702" w:hanging="851"/>
        <w:jc w:val="both"/>
      </w:pPr>
      <w:r w:rsidRPr="002C2920">
        <w:t>The Tender must include a l</w:t>
      </w:r>
      <w:r w:rsidR="00C27CC2" w:rsidRPr="002C2920">
        <w:t xml:space="preserve">ist of </w:t>
      </w:r>
      <w:r w:rsidR="00F36F19" w:rsidRPr="002C2920">
        <w:t xml:space="preserve">all </w:t>
      </w:r>
      <w:r w:rsidR="00C27CC2" w:rsidRPr="002C2920">
        <w:t>supporting material.</w:t>
      </w:r>
    </w:p>
    <w:p w:rsidR="00E62354" w:rsidRPr="002C2920" w:rsidRDefault="00F36F19" w:rsidP="002D6116">
      <w:pPr>
        <w:pStyle w:val="MRNumberedHeading3"/>
        <w:numPr>
          <w:ilvl w:val="2"/>
          <w:numId w:val="23"/>
        </w:numPr>
        <w:tabs>
          <w:tab w:val="clear" w:pos="2214"/>
          <w:tab w:val="num" w:pos="1794"/>
        </w:tabs>
        <w:spacing w:line="240" w:lineRule="auto"/>
        <w:ind w:left="1702" w:hanging="851"/>
        <w:jc w:val="both"/>
      </w:pPr>
      <w:r w:rsidRPr="002C2920">
        <w:t>E</w:t>
      </w:r>
      <w:r w:rsidR="00C27CC2" w:rsidRPr="002C2920">
        <w:t xml:space="preserve">lectronic copies of the Tender shall be in both Microsoft </w:t>
      </w:r>
      <w:r w:rsidRPr="002C2920">
        <w:t>Office and PDF formats</w:t>
      </w:r>
      <w:r w:rsidR="00C27CC2" w:rsidRPr="002C2920">
        <w:t>.</w:t>
      </w:r>
    </w:p>
    <w:p w:rsidR="00E62354" w:rsidRPr="002C2920" w:rsidRDefault="00E7163F" w:rsidP="002D6116">
      <w:pPr>
        <w:pStyle w:val="MRNumberedHeading3"/>
        <w:numPr>
          <w:ilvl w:val="2"/>
          <w:numId w:val="23"/>
        </w:numPr>
        <w:tabs>
          <w:tab w:val="clear" w:pos="2214"/>
          <w:tab w:val="num" w:pos="1794"/>
        </w:tabs>
        <w:spacing w:line="240" w:lineRule="auto"/>
        <w:ind w:left="1702" w:hanging="851"/>
        <w:jc w:val="both"/>
      </w:pPr>
      <w:r w:rsidRPr="002C2920">
        <w:t>Bidders</w:t>
      </w:r>
      <w:r w:rsidR="00C27CC2" w:rsidRPr="002C2920">
        <w:t xml:space="preserve"> should use </w:t>
      </w:r>
      <w:r w:rsidR="005169B5" w:rsidRPr="002C2920">
        <w:t>Ariel 10 text</w:t>
      </w:r>
    </w:p>
    <w:p w:rsidR="00C27CC2" w:rsidRPr="002C2920" w:rsidRDefault="005169B5" w:rsidP="002D6116">
      <w:pPr>
        <w:pStyle w:val="MRNumberedHeading3"/>
        <w:numPr>
          <w:ilvl w:val="2"/>
          <w:numId w:val="23"/>
        </w:numPr>
        <w:tabs>
          <w:tab w:val="clear" w:pos="2214"/>
          <w:tab w:val="num" w:pos="1794"/>
        </w:tabs>
        <w:spacing w:line="240" w:lineRule="auto"/>
        <w:ind w:left="1702" w:hanging="851"/>
        <w:jc w:val="both"/>
      </w:pPr>
      <w:r w:rsidRPr="002C2920">
        <w:t>n/a</w:t>
      </w:r>
    </w:p>
    <w:p w:rsidR="007B6206" w:rsidRDefault="007B6206" w:rsidP="006B54D6">
      <w:pPr>
        <w:pStyle w:val="MRNumberedHeading2"/>
      </w:pPr>
      <w:bookmarkStart w:id="46"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46"/>
      <w:r>
        <w:t xml:space="preserve">  </w:t>
      </w:r>
    </w:p>
    <w:p w:rsidR="00601937" w:rsidRDefault="00C27CC2" w:rsidP="006B54D6">
      <w:pPr>
        <w:pStyle w:val="MRNumberedHeading2"/>
      </w:pPr>
      <w:bookmarkStart w:id="47" w:name="_Toc403555127"/>
      <w:bookmarkStart w:id="48"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47"/>
      <w:bookmarkEnd w:id="48"/>
      <w:r w:rsidR="000E5C37">
        <w:t xml:space="preserve"> </w:t>
      </w:r>
    </w:p>
    <w:p w:rsidR="002471B4" w:rsidRDefault="00C27CC2" w:rsidP="006B54D6">
      <w:pPr>
        <w:pStyle w:val="MRNumberedHeading2"/>
      </w:pPr>
      <w:bookmarkStart w:id="49" w:name="_Toc403555128"/>
      <w:bookmarkStart w:id="50" w:name="_Ref413143046"/>
      <w:r>
        <w:t>Tenders will be evaluated on the basis o</w:t>
      </w:r>
      <w:r w:rsidR="00A7044C">
        <w:t>f information submitted by the d</w:t>
      </w:r>
      <w:r>
        <w:t>eadline.</w:t>
      </w:r>
      <w:bookmarkEnd w:id="49"/>
      <w:r w:rsidR="008C5577">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50"/>
      <w:r w:rsidR="008C5577">
        <w:t xml:space="preserve"> </w:t>
      </w:r>
    </w:p>
    <w:p w:rsidR="00C45A8E" w:rsidRDefault="0017043F" w:rsidP="006B54D6">
      <w:pPr>
        <w:pStyle w:val="MRNumberedHeading2"/>
      </w:pPr>
      <w:bookmarkStart w:id="51" w:name="_Toc403555129"/>
      <w:r>
        <w:t>The</w:t>
      </w:r>
      <w:r w:rsidR="00C27CC2">
        <w:t xml:space="preserve"> Tender must be signed by a duly authorised</w:t>
      </w:r>
      <w:r>
        <w:t xml:space="preserve"> representative of the </w:t>
      </w:r>
      <w:r w:rsidR="00637C62">
        <w:t>Bidder.</w:t>
      </w:r>
      <w:bookmarkEnd w:id="51"/>
      <w:r w:rsidR="00637C62">
        <w:t xml:space="preserve">  </w:t>
      </w:r>
    </w:p>
    <w:p w:rsidR="006534CF" w:rsidRPr="00276E1B" w:rsidRDefault="001375C3" w:rsidP="00337295">
      <w:pPr>
        <w:pStyle w:val="Heading1"/>
        <w:spacing w:before="240" w:after="0"/>
        <w:ind w:left="709"/>
      </w:pPr>
      <w:bookmarkStart w:id="52" w:name="_Toc403555130"/>
      <w:r w:rsidRPr="00276E1B">
        <w:t>Modification and withdrawal of Tenders</w:t>
      </w:r>
      <w:bookmarkEnd w:id="52"/>
    </w:p>
    <w:p w:rsidR="004251F8" w:rsidRDefault="00AE400B" w:rsidP="006B54D6">
      <w:pPr>
        <w:pStyle w:val="MRNumberedHeading2"/>
      </w:pPr>
      <w:bookmarkStart w:id="53" w:name="_Toc403555131"/>
      <w:r>
        <w:t xml:space="preserve">Except as set out in paragraph </w:t>
      </w:r>
      <w:r>
        <w:fldChar w:fldCharType="begin"/>
      </w:r>
      <w:r>
        <w:instrText xml:space="preserve"> REF _Ref413143046 \r \h </w:instrText>
      </w:r>
      <w:r>
        <w:fldChar w:fldCharType="separate"/>
      </w:r>
      <w:r w:rsidR="00D9516D">
        <w:t>3.6</w:t>
      </w:r>
      <w:r>
        <w:fldChar w:fldCharType="end"/>
      </w:r>
      <w:r>
        <w:t>, n</w:t>
      </w:r>
      <w:r w:rsidR="001375C3" w:rsidRPr="00A24900">
        <w:t xml:space="preserve">o </w:t>
      </w:r>
      <w:r w:rsidR="002651E8">
        <w:t>T</w:t>
      </w:r>
      <w:r w:rsidR="001375C3" w:rsidRPr="00A24900">
        <w:t>ender may be modified aft</w:t>
      </w:r>
      <w:r w:rsidR="00336D0E">
        <w:t>er the deadline for receipt of T</w:t>
      </w:r>
      <w:r w:rsidR="001375C3" w:rsidRPr="00A24900">
        <w:t>enders.</w:t>
      </w:r>
      <w:bookmarkEnd w:id="53"/>
    </w:p>
    <w:p w:rsidR="004251F8" w:rsidRDefault="001375C3" w:rsidP="006B54D6">
      <w:pPr>
        <w:pStyle w:val="MRNumberedHeading2"/>
      </w:pPr>
      <w:bookmarkStart w:id="54" w:name="_Toc403555132"/>
      <w:bookmarkStart w:id="55" w:name="_Ref405453207"/>
      <w:r w:rsidRPr="00A24900">
        <w:lastRenderedPageBreak/>
        <w:t>Tenders may be withdrawn at any time before the deadlin</w:t>
      </w:r>
      <w:r w:rsidR="00336D0E">
        <w:t>e for receipt of T</w:t>
      </w:r>
      <w:r w:rsidR="002651E8">
        <w:t>enders.  Revised T</w:t>
      </w:r>
      <w:r w:rsidRPr="00A24900">
        <w:t>enders may be submitted up unt</w:t>
      </w:r>
      <w:r w:rsidR="00336D0E">
        <w:t>il the deadline for receipt of T</w:t>
      </w:r>
      <w:r w:rsidRPr="00A24900">
        <w:t xml:space="preserve">enders, </w:t>
      </w:r>
      <w:r w:rsidR="002651E8" w:rsidRPr="000A7999">
        <w:t>provided</w:t>
      </w:r>
      <w:r w:rsidRPr="000A7999">
        <w:t xml:space="preserve"> such intention is notified to the Authority</w:t>
      </w:r>
      <w:r w:rsidR="00EB00F8" w:rsidRPr="000A7999">
        <w:t xml:space="preserve"> using the </w:t>
      </w:r>
      <w:r w:rsidR="0050545F" w:rsidRPr="000A7999">
        <w:t xml:space="preserve">e-Tendering </w:t>
      </w:r>
      <w:r w:rsidR="004230E7" w:rsidRPr="000A7999">
        <w:t>Portal</w:t>
      </w:r>
      <w:r w:rsidR="00A60BD1" w:rsidRPr="000A7999">
        <w:t>.</w:t>
      </w:r>
      <w:bookmarkEnd w:id="54"/>
      <w:bookmarkEnd w:id="55"/>
    </w:p>
    <w:p w:rsidR="00BA173E" w:rsidRPr="00276E1B" w:rsidRDefault="00430158" w:rsidP="00337295">
      <w:pPr>
        <w:pStyle w:val="Heading1"/>
        <w:spacing w:before="240" w:after="0"/>
        <w:ind w:left="709"/>
      </w:pPr>
      <w:bookmarkStart w:id="56" w:name="_Toc403555134"/>
      <w:r w:rsidRPr="00276E1B">
        <w:rPr>
          <w:bCs/>
        </w:rPr>
        <w:t>Terms and conditions</w:t>
      </w:r>
      <w:bookmarkEnd w:id="56"/>
    </w:p>
    <w:p w:rsidR="00B00C70" w:rsidRPr="00471596" w:rsidRDefault="00746CCF" w:rsidP="006B54D6">
      <w:pPr>
        <w:pStyle w:val="MRNumberedHeading2"/>
        <w:rPr>
          <w:rFonts w:cs="Arial"/>
        </w:rPr>
      </w:pPr>
      <w:bookmarkStart w:id="57" w:name="_Toc403555135"/>
      <w:r w:rsidRPr="00471596">
        <w:t xml:space="preserve">The </w:t>
      </w:r>
      <w:r w:rsidR="008D4F8F" w:rsidRPr="00471596">
        <w:t>c</w:t>
      </w:r>
      <w:r w:rsidRPr="00471596">
        <w:t xml:space="preserve">ontract will include the NHS </w:t>
      </w:r>
      <w:r w:rsidR="0079187F" w:rsidRPr="00471596">
        <w:t>T</w:t>
      </w:r>
      <w:r w:rsidRPr="00471596">
        <w:t xml:space="preserve">erms </w:t>
      </w:r>
      <w:r w:rsidR="0079187F" w:rsidRPr="00471596">
        <w:t>a</w:t>
      </w:r>
      <w:r w:rsidRPr="00471596">
        <w:t xml:space="preserve">nd </w:t>
      </w:r>
      <w:r w:rsidR="0079187F" w:rsidRPr="00471596">
        <w:t>C</w:t>
      </w:r>
      <w:r w:rsidRPr="00471596">
        <w:t xml:space="preserve">onditions set out </w:t>
      </w:r>
      <w:r w:rsidR="00471596" w:rsidRPr="00471596">
        <w:t>on the Bravo portal</w:t>
      </w:r>
      <w:r w:rsidRPr="00471596">
        <w:t>.  It is vital that the Bidder review</w:t>
      </w:r>
      <w:r w:rsidR="0030746C" w:rsidRPr="00471596">
        <w:t>s</w:t>
      </w:r>
      <w:r w:rsidRPr="00471596">
        <w:t xml:space="preserve"> these carefully, and take</w:t>
      </w:r>
      <w:r w:rsidR="0030746C" w:rsidRPr="00471596">
        <w:t>s</w:t>
      </w:r>
      <w:r w:rsidRPr="00471596">
        <w:t xml:space="preserve"> account of all information such as key performance indicators and insurance requirements and that the Tender fully takes account of these</w:t>
      </w:r>
      <w:r w:rsidR="00BA173E" w:rsidRPr="00471596">
        <w:t xml:space="preserve">. By submitting a Tender, </w:t>
      </w:r>
      <w:r w:rsidR="00E7163F" w:rsidRPr="00471596">
        <w:t>Bidders</w:t>
      </w:r>
      <w:r w:rsidR="00BA173E" w:rsidRPr="00471596">
        <w:t xml:space="preserve"> are agreeing to</w:t>
      </w:r>
      <w:r w:rsidR="00B00C70" w:rsidRPr="00471596">
        <w:t xml:space="preserve"> be bound by</w:t>
      </w:r>
      <w:r w:rsidR="00430158" w:rsidRPr="00471596">
        <w:t xml:space="preserve"> the terms of this ITT and the </w:t>
      </w:r>
      <w:r w:rsidR="0079187F" w:rsidRPr="00471596">
        <w:t>NHS T</w:t>
      </w:r>
      <w:r w:rsidR="00193011" w:rsidRPr="00471596">
        <w:t xml:space="preserve">erms and </w:t>
      </w:r>
      <w:r w:rsidR="0079187F" w:rsidRPr="00471596">
        <w:t>C</w:t>
      </w:r>
      <w:r w:rsidR="00193011" w:rsidRPr="00471596">
        <w:t>onditions</w:t>
      </w:r>
      <w:r w:rsidR="00B00C70" w:rsidRPr="00471596">
        <w:t xml:space="preserve"> without further negotiation or amendment.</w:t>
      </w:r>
      <w:bookmarkEnd w:id="57"/>
    </w:p>
    <w:p w:rsidR="002F23DC" w:rsidRPr="00276E1B" w:rsidRDefault="002F23DC" w:rsidP="00337295">
      <w:pPr>
        <w:pStyle w:val="Heading1"/>
        <w:spacing w:before="240" w:after="0"/>
        <w:ind w:left="709"/>
      </w:pPr>
      <w:bookmarkStart w:id="58" w:name="_Toc403555136"/>
      <w:r w:rsidRPr="00276E1B">
        <w:t>Consortia and subcontractors</w:t>
      </w:r>
      <w:bookmarkEnd w:id="58"/>
      <w:r w:rsidRPr="00276E1B">
        <w:t xml:space="preserve"> </w:t>
      </w:r>
    </w:p>
    <w:p w:rsidR="00BA173E" w:rsidRDefault="00746CCF" w:rsidP="006B54D6">
      <w:pPr>
        <w:pStyle w:val="MRNumberedHeading2"/>
      </w:pPr>
      <w:bookmarkStart w:id="59" w:name="_Toc403555137"/>
      <w:bookmarkStart w:id="60" w:name="_Ref405453227"/>
      <w:r w:rsidRPr="003E3276">
        <w:t>If</w:t>
      </w:r>
      <w:r>
        <w:t xml:space="preserve"> the Bidder is a consortium or will rely on sub-contractors to deliver the contract, it must explain in its Tender precisely which entities will be the supplier.</w:t>
      </w:r>
      <w:bookmarkEnd w:id="59"/>
      <w:bookmarkEnd w:id="60"/>
    </w:p>
    <w:p w:rsidR="00746CCF" w:rsidRPr="008E6BB3" w:rsidRDefault="00746CCF" w:rsidP="006B54D6">
      <w:pPr>
        <w:pStyle w:val="MRNumberedHeading2"/>
      </w:pPr>
      <w:bookmarkStart w:id="61" w:name="_Toc403555139"/>
      <w:r>
        <w:t>If the Bidder intends to sub-contract any material parts of the contract, it must explain which parts will be sub-con</w:t>
      </w:r>
      <w:r w:rsidR="00A60BD1">
        <w:t>tracted, who the sub-contractor</w:t>
      </w:r>
      <w:r w:rsidR="00586006">
        <w:t xml:space="preserve"> is, confirm</w:t>
      </w:r>
      <w:r>
        <w:t xml:space="preserve"> the sub-contractor has agreed terms of supply and what contractual commitment it has from the sub-contractor to deliver.</w:t>
      </w:r>
      <w:bookmarkEnd w:id="61"/>
    </w:p>
    <w:p w:rsidR="002F23DC" w:rsidRPr="00276E1B" w:rsidRDefault="002F23DC" w:rsidP="00337295">
      <w:pPr>
        <w:pStyle w:val="Heading1"/>
        <w:spacing w:before="240" w:after="0"/>
        <w:ind w:left="709"/>
      </w:pPr>
      <w:bookmarkStart w:id="62" w:name="_Toc403555140"/>
      <w:r w:rsidRPr="00276E1B">
        <w:t>Warnings and disclaimers</w:t>
      </w:r>
      <w:bookmarkEnd w:id="62"/>
    </w:p>
    <w:p w:rsidR="001B5F4F" w:rsidRDefault="001B5F4F" w:rsidP="006B54D6">
      <w:pPr>
        <w:pStyle w:val="MRNumberedHeading2"/>
      </w:pPr>
      <w:bookmarkStart w:id="63" w:name="_Toc403555141"/>
      <w:r>
        <w:t>While the information contained in this ITT is believed to be correct at the time of issue, neither the Authority</w:t>
      </w:r>
      <w:r w:rsidR="0079187F">
        <w:t xml:space="preserve"> nor</w:t>
      </w:r>
      <w:r>
        <w:t xml:space="preserve"> its advisors will accept any liability for its accuracy, adequacy or completeness, nor will any express or implied warranty be given. This exclusion extends to liability in relation to any </w:t>
      </w:r>
      <w:r w:rsidR="001E1DE2">
        <w:t>statement</w:t>
      </w:r>
      <w:r>
        <w:t xml:space="preserve">,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63"/>
    </w:p>
    <w:p w:rsidR="001B5F4F" w:rsidRDefault="001B5F4F" w:rsidP="006B54D6">
      <w:pPr>
        <w:pStyle w:val="MRNumberedHeading2"/>
      </w:pPr>
      <w:bookmarkStart w:id="64"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64"/>
    </w:p>
    <w:p w:rsidR="001B5F4F" w:rsidRDefault="001B5F4F" w:rsidP="006B54D6">
      <w:pPr>
        <w:pStyle w:val="MRNumberedHeading2"/>
      </w:pPr>
      <w:bookmarkStart w:id="65" w:name="_Toc403555143"/>
      <w:r>
        <w:t>Neither the issue of this ITT, nor any of the information presented in it, should be regarded as a commitment or representation on the part of the Authority (or any other person) to enter into a contractual arrangement.</w:t>
      </w:r>
      <w:bookmarkEnd w:id="65"/>
    </w:p>
    <w:p w:rsidR="002F23DC" w:rsidRPr="00276E1B" w:rsidRDefault="001B5F4F" w:rsidP="00337295">
      <w:pPr>
        <w:pStyle w:val="Heading1"/>
        <w:spacing w:before="240" w:after="0"/>
        <w:ind w:left="709"/>
      </w:pPr>
      <w:bookmarkStart w:id="66" w:name="_Toc403555144"/>
      <w:r w:rsidRPr="00276E1B">
        <w:t>Freedom of Information Act 2000</w:t>
      </w:r>
      <w:r w:rsidR="008A56A2" w:rsidRPr="00276E1B">
        <w:t xml:space="preserve"> and Environmental Information Regulations 2004</w:t>
      </w:r>
      <w:bookmarkEnd w:id="66"/>
    </w:p>
    <w:p w:rsidR="001664D9" w:rsidRPr="001375C3" w:rsidRDefault="001664D9" w:rsidP="006B54D6">
      <w:pPr>
        <w:pStyle w:val="MRNumberedHeading2"/>
      </w:pPr>
      <w:bookmarkStart w:id="67"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68"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67"/>
      <w:r w:rsidRPr="001375C3">
        <w:t xml:space="preserve"> </w:t>
      </w:r>
      <w:bookmarkEnd w:id="68"/>
    </w:p>
    <w:p w:rsidR="001664D9" w:rsidRPr="001375C3" w:rsidRDefault="0079187F" w:rsidP="006B54D6">
      <w:pPr>
        <w:pStyle w:val="MRNumberedHeading2"/>
      </w:pPr>
      <w:bookmarkStart w:id="69" w:name="_Toc403555147"/>
      <w:r>
        <w:t xml:space="preserve">If a Bidder considers any part of its Tender to be confidential or commercially sensitive, it must complete </w:t>
      </w:r>
      <w:r w:rsidR="007A3602">
        <w:t>Annex B5</w:t>
      </w:r>
      <w:r w:rsidR="008852C8" w:rsidRPr="001375C3">
        <w:t xml:space="preserve"> to </w:t>
      </w:r>
      <w:r w:rsidR="00DE48E3">
        <w:t>Section B</w:t>
      </w:r>
      <w:r w:rsidR="008852C8" w:rsidRPr="001375C3">
        <w:t xml:space="preserve"> of this ITT</w:t>
      </w:r>
      <w:r w:rsidR="001664D9" w:rsidRPr="001375C3">
        <w:t xml:space="preserve">, </w:t>
      </w:r>
      <w:r w:rsidR="00912243">
        <w:t xml:space="preserve">with a statement of which exemptions are relevant under FOIA and/or </w:t>
      </w:r>
      <w:r>
        <w:t xml:space="preserve">the </w:t>
      </w:r>
      <w:r w:rsidR="00586006">
        <w:t>EIR</w:t>
      </w:r>
      <w:r w:rsidR="004834F5" w:rsidRPr="001375C3">
        <w:t>.</w:t>
      </w:r>
      <w:bookmarkEnd w:id="69"/>
    </w:p>
    <w:p w:rsidR="001664D9" w:rsidRPr="001375C3" w:rsidRDefault="001664D9" w:rsidP="006B54D6">
      <w:pPr>
        <w:pStyle w:val="MRNumberedHeading2"/>
      </w:pPr>
      <w:bookmarkStart w:id="70" w:name="_Ref149547621"/>
      <w:bookmarkStart w:id="71"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70"/>
      <w:r w:rsidR="001C747B">
        <w:t>or otherwise exempt.</w:t>
      </w:r>
      <w:bookmarkEnd w:id="71"/>
    </w:p>
    <w:p w:rsidR="00491808" w:rsidRPr="00276E1B" w:rsidRDefault="00491808" w:rsidP="00337295">
      <w:pPr>
        <w:pStyle w:val="Heading1"/>
        <w:spacing w:before="240" w:after="0"/>
        <w:ind w:left="709"/>
      </w:pPr>
      <w:bookmarkStart w:id="72" w:name="_Toc403555149"/>
      <w:r w:rsidRPr="00276E1B">
        <w:t>Publicity</w:t>
      </w:r>
      <w:bookmarkEnd w:id="72"/>
    </w:p>
    <w:p w:rsidR="00491808" w:rsidRPr="00541CDA" w:rsidRDefault="00645517" w:rsidP="006B54D6">
      <w:pPr>
        <w:pStyle w:val="MRNumberedHeading2"/>
      </w:pPr>
      <w:bookmarkStart w:id="73" w:name="_Toc403555150"/>
      <w:r>
        <w:t xml:space="preserve">No publicity regarding the </w:t>
      </w:r>
      <w:r w:rsidR="0079187F">
        <w:t>procurement</w:t>
      </w:r>
      <w:r>
        <w:t xml:space="preserve"> or the award of any c</w:t>
      </w:r>
      <w:r w:rsidR="00491808" w:rsidRPr="00541CDA">
        <w:t xml:space="preserve">ontract will be permitted unless and until the Authority has given express written consent to the relevant communication. </w:t>
      </w:r>
      <w:bookmarkEnd w:id="73"/>
    </w:p>
    <w:p w:rsidR="00491808" w:rsidRPr="00276E1B" w:rsidRDefault="00785DDF" w:rsidP="00337295">
      <w:pPr>
        <w:pStyle w:val="Heading1"/>
        <w:spacing w:before="240" w:after="0"/>
        <w:ind w:left="709"/>
      </w:pPr>
      <w:bookmarkStart w:id="74" w:name="a699927"/>
      <w:bookmarkStart w:id="75" w:name="_Toc403555151"/>
      <w:bookmarkEnd w:id="74"/>
      <w:r w:rsidRPr="00276E1B">
        <w:lastRenderedPageBreak/>
        <w:t>Bidder</w:t>
      </w:r>
      <w:r w:rsidR="00491808" w:rsidRPr="00276E1B">
        <w:t xml:space="preserve"> conduct and conflicts of interest</w:t>
      </w:r>
      <w:bookmarkEnd w:id="75"/>
    </w:p>
    <w:p w:rsidR="00491808" w:rsidRPr="00491808" w:rsidRDefault="00491808" w:rsidP="006B54D6">
      <w:pPr>
        <w:pStyle w:val="MRNumberedHeading2"/>
      </w:pPr>
      <w:bookmarkStart w:id="76"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76"/>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336D0E">
        <w:rPr>
          <w:bCs/>
        </w:rPr>
        <w:t>e form or content of any other T</w:t>
      </w:r>
      <w:r w:rsidR="00491808" w:rsidRPr="007301E9">
        <w:rPr>
          <w:bCs/>
        </w:rPr>
        <w:t>ender, or offer to pay any sum of money or valuable consideration to any person to effect changes to the form</w:t>
      </w:r>
      <w:r w:rsidR="00CE2FEF" w:rsidRPr="007301E9">
        <w:rPr>
          <w:bCs/>
        </w:rPr>
        <w:t xml:space="preserve"> or content of any o</w:t>
      </w:r>
      <w:r w:rsidR="00336D0E">
        <w:rPr>
          <w:bCs/>
        </w:rPr>
        <w:t>ther T</w:t>
      </w:r>
      <w:r w:rsidRPr="007301E9">
        <w:rPr>
          <w:bCs/>
        </w:rPr>
        <w:t xml:space="preserve">ender;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336D0E">
        <w:rPr>
          <w:bCs/>
        </w:rPr>
        <w:t>person from submitting a T</w:t>
      </w:r>
      <w:r w:rsidRPr="007301E9">
        <w:rPr>
          <w:bCs/>
        </w:rPr>
        <w:t>ender;</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rsidR="00645517"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CE2FEF" w:rsidRPr="007301E9">
        <w:rPr>
          <w:bCs/>
        </w:rPr>
        <w:t>b</w:t>
      </w:r>
      <w:r w:rsidR="00785DDF" w:rsidRPr="007301E9">
        <w:rPr>
          <w:bCs/>
        </w:rPr>
        <w:t>idder</w:t>
      </w:r>
      <w:r w:rsidR="00336D0E">
        <w:rPr>
          <w:bCs/>
        </w:rPr>
        <w:t xml:space="preserve"> or T</w:t>
      </w:r>
      <w:r w:rsidR="00491808" w:rsidRPr="007301E9">
        <w:rPr>
          <w:bCs/>
        </w:rPr>
        <w:t>ender</w:t>
      </w:r>
      <w:r w:rsidR="00F10ACE" w:rsidRPr="007301E9">
        <w:rPr>
          <w:bCs/>
        </w:rPr>
        <w:t xml:space="preserve"> (except for debrief information requests made through the </w:t>
      </w:r>
      <w:r w:rsidR="0050545F">
        <w:rPr>
          <w:bCs/>
        </w:rPr>
        <w:t xml:space="preserve">e-Tendering </w:t>
      </w:r>
      <w:r w:rsidR="004230E7">
        <w:rPr>
          <w:bCs/>
        </w:rPr>
        <w:t>Portal</w:t>
      </w:r>
      <w:r w:rsidR="00F10ACE" w:rsidRPr="007301E9">
        <w:rPr>
          <w:bCs/>
        </w:rPr>
        <w:t>)</w:t>
      </w:r>
      <w:r w:rsidR="00491808" w:rsidRPr="007301E9">
        <w:rPr>
          <w:bCs/>
        </w:rPr>
        <w:t>.</w:t>
      </w:r>
    </w:p>
    <w:p w:rsidR="00491808" w:rsidRPr="00645517" w:rsidRDefault="00E7163F" w:rsidP="006B54D6">
      <w:pPr>
        <w:pStyle w:val="MRNumberedHeading2"/>
      </w:pPr>
      <w:bookmarkStart w:id="77"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77"/>
      <w:r w:rsidR="007B6206">
        <w:t xml:space="preserve">  </w:t>
      </w:r>
      <w:r w:rsidR="00BD4D8C">
        <w:t xml:space="preserve"> </w:t>
      </w:r>
      <w:r w:rsidR="00E2328D">
        <w:t xml:space="preserve"> </w:t>
      </w:r>
    </w:p>
    <w:p w:rsidR="00491808" w:rsidRPr="00491808" w:rsidRDefault="00491808" w:rsidP="00337295">
      <w:pPr>
        <w:pStyle w:val="Heading1"/>
        <w:spacing w:before="240" w:after="0"/>
        <w:ind w:left="709"/>
      </w:pPr>
      <w:bookmarkStart w:id="78" w:name="a582432"/>
      <w:bookmarkStart w:id="79" w:name="_Toc403555154"/>
      <w:bookmarkEnd w:id="78"/>
      <w:r w:rsidRPr="00491808">
        <w:t>Authority's rights</w:t>
      </w:r>
      <w:bookmarkEnd w:id="79"/>
    </w:p>
    <w:p w:rsidR="00491808" w:rsidRPr="00491808" w:rsidRDefault="008D2128" w:rsidP="006B54D6">
      <w:pPr>
        <w:pStyle w:val="MRNumberedHeading2"/>
      </w:pPr>
      <w:bookmarkStart w:id="80" w:name="_Toc403555155"/>
      <w:r>
        <w:t>Subject to its obligations to act in a transparent, proportionate and non-discriminatory manner, t</w:t>
      </w:r>
      <w:r w:rsidR="00491808" w:rsidRPr="00491808">
        <w:t>he Authority reserves the right to:</w:t>
      </w:r>
      <w:bookmarkEnd w:id="80"/>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336D0E">
        <w:rPr>
          <w:bCs/>
        </w:rPr>
        <w:t>or the T</w:t>
      </w:r>
      <w:r w:rsidRPr="007301E9">
        <w:rPr>
          <w:bCs/>
        </w:rPr>
        <w:t>ender process;</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w:t>
      </w:r>
      <w:r w:rsidR="00586006">
        <w:rPr>
          <w:bCs/>
        </w:rPr>
        <w:t xml:space="preserve">hdraw this ITT at any time, or </w:t>
      </w:r>
      <w:r w:rsidR="00491808" w:rsidRPr="007301E9">
        <w:rPr>
          <w:bCs/>
        </w:rPr>
        <w:t>re-invite Tenders on th</w:t>
      </w:r>
      <w:r w:rsidRPr="007301E9">
        <w:rPr>
          <w:bCs/>
        </w:rPr>
        <w:t xml:space="preserve">e same or any alternative basis; </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rsidR="00491808" w:rsidRPr="007301E9" w:rsidRDefault="00645517" w:rsidP="002D6116">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rsidR="00491808" w:rsidRPr="00491808" w:rsidRDefault="00491808" w:rsidP="00337295">
      <w:pPr>
        <w:pStyle w:val="Heading1"/>
        <w:spacing w:before="240" w:after="0"/>
        <w:ind w:left="709"/>
      </w:pPr>
      <w:bookmarkStart w:id="81" w:name="a934916"/>
      <w:bookmarkStart w:id="82" w:name="_Toc403555156"/>
      <w:bookmarkEnd w:id="81"/>
      <w:r w:rsidRPr="00491808">
        <w:t>Bid costs</w:t>
      </w:r>
      <w:bookmarkEnd w:id="82"/>
    </w:p>
    <w:p w:rsidR="0022652F" w:rsidRDefault="00491808" w:rsidP="006B54D6">
      <w:pPr>
        <w:pStyle w:val="MRNumberedHeading2"/>
      </w:pPr>
      <w:bookmarkStart w:id="83"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83"/>
    </w:p>
    <w:p w:rsidR="00491808" w:rsidRPr="00276E1B" w:rsidRDefault="00491808" w:rsidP="00337295">
      <w:pPr>
        <w:pStyle w:val="Heading1"/>
        <w:spacing w:before="240" w:after="0"/>
        <w:ind w:left="709"/>
      </w:pPr>
      <w:bookmarkStart w:id="84" w:name="_Toc403555158"/>
      <w:r w:rsidRPr="00276E1B">
        <w:lastRenderedPageBreak/>
        <w:t>Language</w:t>
      </w:r>
      <w:bookmarkEnd w:id="84"/>
    </w:p>
    <w:p w:rsidR="006534CF" w:rsidRDefault="00491808" w:rsidP="006B54D6">
      <w:pPr>
        <w:pStyle w:val="MRNumberedHeading2"/>
      </w:pPr>
      <w:bookmarkStart w:id="85" w:name="_Toc403555159"/>
      <w:r w:rsidRPr="00A24900">
        <w:t xml:space="preserve">Tenders, all documents and all </w:t>
      </w:r>
      <w:r w:rsidR="003219DA">
        <w:t>correspondence relating to the T</w:t>
      </w:r>
      <w:r w:rsidRPr="00A24900">
        <w:t>ender must be written in English.</w:t>
      </w:r>
      <w:bookmarkEnd w:id="85"/>
    </w:p>
    <w:p w:rsidR="00F35E09" w:rsidRPr="00276E1B" w:rsidRDefault="00F35E09" w:rsidP="00337295">
      <w:pPr>
        <w:pStyle w:val="Heading1"/>
        <w:spacing w:before="240" w:after="0"/>
        <w:ind w:left="709"/>
      </w:pPr>
      <w:bookmarkStart w:id="86" w:name="_Toc403555160"/>
      <w:r w:rsidRPr="00276E1B">
        <w:t>Transparency</w:t>
      </w:r>
      <w:bookmarkEnd w:id="86"/>
      <w:r w:rsidRPr="00276E1B">
        <w:t xml:space="preserve">  </w:t>
      </w:r>
    </w:p>
    <w:p w:rsidR="00F35E09" w:rsidRDefault="00F35E09" w:rsidP="006B54D6">
      <w:pPr>
        <w:pStyle w:val="MRNumberedHeading2"/>
      </w:pPr>
      <w:bookmarkStart w:id="87" w:name="_Toc403555161"/>
      <w:bookmarkStart w:id="88" w:name="_Ref405453244"/>
      <w:r w:rsidRPr="005169B5">
        <w:t xml:space="preserve">In accordance with the </w:t>
      </w:r>
      <w:r w:rsidR="002D378C" w:rsidRPr="005169B5">
        <w:t xml:space="preserve">Public Contracts Regulations 2015 and the </w:t>
      </w:r>
      <w:r w:rsidRPr="005169B5">
        <w:t xml:space="preserve">Government’s policy on transparency, Bidders should be aware that the Authority intends to make the ITT and </w:t>
      </w:r>
      <w:r w:rsidR="0079187F" w:rsidRPr="005169B5">
        <w:t xml:space="preserve">details of </w:t>
      </w:r>
      <w:r w:rsidRPr="005169B5">
        <w:t xml:space="preserve">any subsequent contract publicly available, </w:t>
      </w:r>
      <w:r w:rsidR="0079187F" w:rsidRPr="005169B5">
        <w:t xml:space="preserve">by publication </w:t>
      </w:r>
      <w:r w:rsidRPr="005169B5">
        <w:t>on the Government</w:t>
      </w:r>
      <w:bookmarkEnd w:id="87"/>
      <w:bookmarkEnd w:id="88"/>
      <w:r w:rsidR="0050545F" w:rsidRPr="005169B5">
        <w:t>'s Contracts Finder portal</w:t>
      </w:r>
      <w:r w:rsidR="0050545F">
        <w:t xml:space="preserve">. </w:t>
      </w:r>
    </w:p>
    <w:p w:rsidR="00236A55" w:rsidRPr="00276E1B" w:rsidRDefault="00236A55" w:rsidP="00337295">
      <w:pPr>
        <w:pStyle w:val="Heading1"/>
        <w:spacing w:before="240" w:after="0"/>
        <w:ind w:left="709"/>
      </w:pPr>
      <w:bookmarkStart w:id="89" w:name="_Toc403555162"/>
      <w:r w:rsidRPr="00276E1B">
        <w:t>Governing Law and Jurisdiction</w:t>
      </w:r>
      <w:bookmarkEnd w:id="89"/>
      <w:r w:rsidRPr="00276E1B">
        <w:t xml:space="preserve"> </w:t>
      </w:r>
    </w:p>
    <w:p w:rsidR="004E71FF" w:rsidRPr="005A2E47" w:rsidRDefault="00236A55" w:rsidP="006B54D6">
      <w:pPr>
        <w:pStyle w:val="MRNumberedHeading2"/>
      </w:pPr>
      <w:bookmarkStart w:id="90" w:name="_Toc403555163"/>
      <w:r>
        <w:t>This ITT and any dispute concerning it (including non-contractual disputes or claims) shall be governed by English law and subject to the jurisdiction of the English Courts</w:t>
      </w:r>
      <w:bookmarkEnd w:id="90"/>
      <w:r w:rsidR="007A3602">
        <w:t>.</w:t>
      </w:r>
    </w:p>
    <w:p w:rsidR="0079187F" w:rsidRDefault="0079187F">
      <w:pPr>
        <w:spacing w:after="240"/>
        <w:jc w:val="left"/>
        <w:rPr>
          <w:rFonts w:eastAsia="Calibri" w:cs="Arial"/>
          <w:b/>
          <w:lang w:eastAsia="en-GB"/>
        </w:rPr>
      </w:pPr>
      <w:bookmarkStart w:id="91" w:name="_Toc403556504"/>
      <w:bookmarkStart w:id="92" w:name="_Toc403556509"/>
      <w:r>
        <w:br w:type="page"/>
      </w:r>
    </w:p>
    <w:p w:rsidR="008824CC" w:rsidRPr="00471596" w:rsidRDefault="008731E8" w:rsidP="00337295">
      <w:pPr>
        <w:pStyle w:val="MRNumberedHeading1"/>
        <w:numPr>
          <w:ilvl w:val="0"/>
          <w:numId w:val="24"/>
        </w:numPr>
        <w:tabs>
          <w:tab w:val="clear" w:pos="798"/>
          <w:tab w:val="num" w:pos="709"/>
        </w:tabs>
        <w:ind w:hanging="798"/>
        <w:rPr>
          <w:sz w:val="20"/>
          <w:szCs w:val="20"/>
        </w:rPr>
      </w:pPr>
      <w:r w:rsidRPr="00471596">
        <w:rPr>
          <w:sz w:val="20"/>
          <w:szCs w:val="20"/>
        </w:rPr>
        <w:lastRenderedPageBreak/>
        <w:t>TENDER EVALUATION METHODOLOGY AND CRITERIA</w:t>
      </w:r>
      <w:bookmarkEnd w:id="91"/>
      <w:bookmarkEnd w:id="92"/>
      <w:r w:rsidRPr="00471596">
        <w:rPr>
          <w:sz w:val="20"/>
          <w:szCs w:val="20"/>
        </w:rPr>
        <w:t xml:space="preserve"> </w:t>
      </w:r>
    </w:p>
    <w:p w:rsidR="008824CC" w:rsidRPr="00471596" w:rsidRDefault="00277BB6" w:rsidP="00337295">
      <w:pPr>
        <w:pStyle w:val="Heading1"/>
        <w:spacing w:before="240" w:after="0"/>
        <w:ind w:left="709"/>
      </w:pPr>
      <w:bookmarkStart w:id="93" w:name="_Toc403555164"/>
      <w:r w:rsidRPr="00471596">
        <w:t>Overview</w:t>
      </w:r>
      <w:bookmarkEnd w:id="93"/>
    </w:p>
    <w:p w:rsidR="00BF48A1" w:rsidRPr="00471596" w:rsidRDefault="00BF48A1" w:rsidP="006B54D6">
      <w:pPr>
        <w:pStyle w:val="MRNumberedHeading2"/>
      </w:pPr>
      <w:bookmarkStart w:id="94" w:name="_Toc403555165"/>
      <w:r w:rsidRPr="00471596">
        <w:t>This section of the ITT sets out the criteria that the Authority will use to ev</w:t>
      </w:r>
      <w:r w:rsidR="006A3BFB" w:rsidRPr="00471596">
        <w:t>aluate Tenders</w:t>
      </w:r>
      <w:r w:rsidR="00FB21E9" w:rsidRPr="00471596">
        <w:t>.</w:t>
      </w:r>
      <w:bookmarkEnd w:id="94"/>
    </w:p>
    <w:p w:rsidR="00FB21E9" w:rsidRPr="00471596" w:rsidRDefault="00FB21E9" w:rsidP="006B54D6">
      <w:pPr>
        <w:pStyle w:val="MRNumberedHeading2"/>
      </w:pPr>
      <w:bookmarkStart w:id="95" w:name="_Toc403555166"/>
      <w:r w:rsidRPr="00471596">
        <w:t xml:space="preserve">Bidders are required to submit a Tender strictly in accordance with the requirements set out in this ITT, to ensure the Authority has the correct information to make the evaluation. </w:t>
      </w:r>
      <w:r w:rsidR="00F10ACE" w:rsidRPr="00471596">
        <w:t xml:space="preserve">If a </w:t>
      </w:r>
      <w:r w:rsidR="007B6206" w:rsidRPr="00471596">
        <w:t>T</w:t>
      </w:r>
      <w:r w:rsidR="00F10ACE" w:rsidRPr="00471596">
        <w:t>ender is equivocal or unclear, the Authority may deduct marks when scoring it, or it may</w:t>
      </w:r>
      <w:r w:rsidR="00B853EE" w:rsidRPr="00471596">
        <w:t xml:space="preserve"> treat the Tender as non-complia</w:t>
      </w:r>
      <w:r w:rsidR="00F10ACE" w:rsidRPr="00471596">
        <w:t>nt and reject it.</w:t>
      </w:r>
      <w:bookmarkEnd w:id="95"/>
    </w:p>
    <w:p w:rsidR="00C14AA9" w:rsidRPr="00471596" w:rsidRDefault="00C14AA9" w:rsidP="006B54D6">
      <w:pPr>
        <w:pStyle w:val="MRNumberedHeading2"/>
      </w:pPr>
      <w:bookmarkStart w:id="96" w:name="_Toc403555167"/>
      <w:r w:rsidRPr="00471596">
        <w:t>The Authority will award the contract to the Tender that scores the highest marks, applying the methodology below. Scoring will be carried out as follows:</w:t>
      </w:r>
      <w:bookmarkEnd w:id="96"/>
      <w:r w:rsidRPr="00471596">
        <w:t xml:space="preserve"> </w:t>
      </w:r>
    </w:p>
    <w:p w:rsidR="00C14AA9" w:rsidRPr="00471596" w:rsidRDefault="00C14AA9" w:rsidP="009E1581">
      <w:pPr>
        <w:pStyle w:val="MRNumberedHeading3"/>
        <w:numPr>
          <w:ilvl w:val="2"/>
          <w:numId w:val="23"/>
        </w:numPr>
        <w:tabs>
          <w:tab w:val="clear" w:pos="2214"/>
          <w:tab w:val="num" w:pos="1794"/>
        </w:tabs>
        <w:spacing w:line="240" w:lineRule="auto"/>
        <w:ind w:left="1702" w:hanging="851"/>
        <w:jc w:val="both"/>
      </w:pPr>
      <w:r w:rsidRPr="00471596">
        <w:t>The Bidder must pass all eligibility questions in Annex B1</w:t>
      </w:r>
      <w:r w:rsidR="0050545F" w:rsidRPr="00471596">
        <w:t xml:space="preserve"> of Section B</w:t>
      </w:r>
      <w:r w:rsidRPr="00471596">
        <w:t xml:space="preserve"> (Annex of eligibility questions and responses) ("</w:t>
      </w:r>
      <w:r w:rsidR="001E1DE2" w:rsidRPr="00471596">
        <w:rPr>
          <w:b/>
        </w:rPr>
        <w:t>Eligibility</w:t>
      </w:r>
      <w:r w:rsidRPr="00471596">
        <w:rPr>
          <w:b/>
        </w:rPr>
        <w:t xml:space="preserve"> Questions</w:t>
      </w:r>
      <w:r w:rsidRPr="00471596">
        <w:t>").</w:t>
      </w:r>
    </w:p>
    <w:p w:rsidR="00C14AA9" w:rsidRPr="00471596" w:rsidRDefault="00C14AA9" w:rsidP="009E1581">
      <w:pPr>
        <w:pStyle w:val="MRNumberedHeading3"/>
        <w:numPr>
          <w:ilvl w:val="2"/>
          <w:numId w:val="23"/>
        </w:numPr>
        <w:tabs>
          <w:tab w:val="clear" w:pos="2214"/>
          <w:tab w:val="num" w:pos="1794"/>
        </w:tabs>
        <w:spacing w:line="240" w:lineRule="auto"/>
        <w:ind w:left="1702" w:hanging="851"/>
        <w:jc w:val="both"/>
      </w:pPr>
      <w:r w:rsidRPr="00471596">
        <w:t xml:space="preserve">The Authority will then mark Annex B3 </w:t>
      </w:r>
      <w:r w:rsidR="0055703A" w:rsidRPr="00471596">
        <w:t>(</w:t>
      </w:r>
      <w:r w:rsidR="0079187F" w:rsidRPr="00471596">
        <w:t>Tender Response Document</w:t>
      </w:r>
      <w:r w:rsidRPr="00471596">
        <w:t>)</w:t>
      </w:r>
      <w:r w:rsidR="0055703A" w:rsidRPr="00471596">
        <w:t>, the Presentation</w:t>
      </w:r>
      <w:r w:rsidRPr="00471596">
        <w:t xml:space="preserve"> </w:t>
      </w:r>
      <w:r w:rsidR="0055703A" w:rsidRPr="00471596">
        <w:t xml:space="preserve">and Annex B4 (Commercial Schedule) </w:t>
      </w:r>
      <w:r w:rsidRPr="00471596">
        <w:t>("</w:t>
      </w:r>
      <w:r w:rsidRPr="00471596">
        <w:rPr>
          <w:b/>
        </w:rPr>
        <w:t>Scored Questions</w:t>
      </w:r>
      <w:r w:rsidRPr="00471596">
        <w:t>") for all Bidders that pass all the Eligibil</w:t>
      </w:r>
      <w:r w:rsidR="0079187F" w:rsidRPr="00471596">
        <w:t>i</w:t>
      </w:r>
      <w:r w:rsidRPr="00471596">
        <w:t xml:space="preserve">ty Questions. </w:t>
      </w:r>
    </w:p>
    <w:p w:rsidR="00C14AA9" w:rsidRPr="00471596" w:rsidRDefault="00C14AA9" w:rsidP="006B54D6">
      <w:pPr>
        <w:pStyle w:val="MRNumberedHeading2"/>
      </w:pPr>
      <w:bookmarkStart w:id="97" w:name="_Toc403555168"/>
      <w:r w:rsidRPr="00471596">
        <w:t xml:space="preserve">The Authority will mark Eligibility Questions as described in paragraphs </w:t>
      </w:r>
      <w:r w:rsidR="00A77338" w:rsidRPr="00471596">
        <w:fldChar w:fldCharType="begin"/>
      </w:r>
      <w:r w:rsidR="00A77338" w:rsidRPr="00471596">
        <w:instrText xml:space="preserve"> REF _Ref403484377 \r \h </w:instrText>
      </w:r>
      <w:r w:rsidR="001A21AA" w:rsidRPr="00471596">
        <w:instrText xml:space="preserve"> \* MERGEFORMAT </w:instrText>
      </w:r>
      <w:r w:rsidR="00A77338" w:rsidRPr="00471596">
        <w:fldChar w:fldCharType="separate"/>
      </w:r>
      <w:r w:rsidR="00D9516D" w:rsidRPr="00471596">
        <w:t>4.5</w:t>
      </w:r>
      <w:r w:rsidR="00A77338" w:rsidRPr="00471596">
        <w:fldChar w:fldCharType="end"/>
      </w:r>
      <w:r w:rsidR="00A77338" w:rsidRPr="00471596">
        <w:t xml:space="preserve"> to </w:t>
      </w:r>
      <w:r w:rsidR="00A77338" w:rsidRPr="00471596">
        <w:fldChar w:fldCharType="begin"/>
      </w:r>
      <w:r w:rsidR="00A77338" w:rsidRPr="00471596">
        <w:instrText xml:space="preserve"> REF _Ref403484379 \r \h </w:instrText>
      </w:r>
      <w:r w:rsidR="001A21AA" w:rsidRPr="00471596">
        <w:instrText xml:space="preserve"> \* MERGEFORMAT </w:instrText>
      </w:r>
      <w:r w:rsidR="00A77338" w:rsidRPr="00471596">
        <w:fldChar w:fldCharType="separate"/>
      </w:r>
      <w:r w:rsidR="00D9516D" w:rsidRPr="00471596">
        <w:t>4.7</w:t>
      </w:r>
      <w:r w:rsidR="00A77338" w:rsidRPr="00471596">
        <w:fldChar w:fldCharType="end"/>
      </w:r>
      <w:r w:rsidR="00A77338" w:rsidRPr="00471596">
        <w:t xml:space="preserve"> </w:t>
      </w:r>
      <w:r w:rsidRPr="00471596">
        <w:t xml:space="preserve">below.  It will mark the Scored Questions as described in paragraphs </w:t>
      </w:r>
      <w:r w:rsidR="00A77338" w:rsidRPr="00471596">
        <w:fldChar w:fldCharType="begin"/>
      </w:r>
      <w:r w:rsidR="00A77338" w:rsidRPr="00471596">
        <w:instrText xml:space="preserve"> REF _Ref403401459 \r \h </w:instrText>
      </w:r>
      <w:r w:rsidR="001A21AA" w:rsidRPr="00471596">
        <w:instrText xml:space="preserve"> \* MERGEFORMAT </w:instrText>
      </w:r>
      <w:r w:rsidR="00A77338" w:rsidRPr="00471596">
        <w:fldChar w:fldCharType="separate"/>
      </w:r>
      <w:r w:rsidR="00D9516D" w:rsidRPr="00471596">
        <w:t>4.8</w:t>
      </w:r>
      <w:r w:rsidR="00A77338" w:rsidRPr="00471596">
        <w:fldChar w:fldCharType="end"/>
      </w:r>
      <w:r w:rsidR="00A77338" w:rsidRPr="00471596">
        <w:t xml:space="preserve"> to </w:t>
      </w:r>
      <w:bookmarkEnd w:id="97"/>
      <w:r w:rsidR="009E1581" w:rsidRPr="00471596">
        <w:fldChar w:fldCharType="begin"/>
      </w:r>
      <w:r w:rsidR="009E1581" w:rsidRPr="00471596">
        <w:instrText xml:space="preserve"> REF _Ref408579700 \r \h </w:instrText>
      </w:r>
      <w:r w:rsidR="001A21AA" w:rsidRPr="00471596">
        <w:instrText xml:space="preserve"> \* MERGEFORMAT </w:instrText>
      </w:r>
      <w:r w:rsidR="009E1581" w:rsidRPr="00471596">
        <w:fldChar w:fldCharType="separate"/>
      </w:r>
      <w:r w:rsidR="00D9516D" w:rsidRPr="00471596">
        <w:t>4.11</w:t>
      </w:r>
      <w:r w:rsidR="009E1581" w:rsidRPr="00471596">
        <w:fldChar w:fldCharType="end"/>
      </w:r>
    </w:p>
    <w:p w:rsidR="00C14AA9" w:rsidRPr="00471596" w:rsidRDefault="00C14AA9" w:rsidP="00337295">
      <w:pPr>
        <w:pStyle w:val="Heading1"/>
        <w:spacing w:before="240" w:after="0"/>
        <w:ind w:left="709"/>
      </w:pPr>
      <w:bookmarkStart w:id="98" w:name="_Toc403555169"/>
      <w:r w:rsidRPr="00471596">
        <w:t>Criteria – Eligibility Questions</w:t>
      </w:r>
      <w:bookmarkEnd w:id="98"/>
    </w:p>
    <w:p w:rsidR="00B44E25" w:rsidRPr="00471596" w:rsidRDefault="00C14AA9" w:rsidP="006B54D6">
      <w:pPr>
        <w:pStyle w:val="MRNumberedHeading2"/>
      </w:pPr>
      <w:bookmarkStart w:id="99" w:name="_Ref403484377"/>
      <w:bookmarkStart w:id="100" w:name="_Toc403555170"/>
      <w:r w:rsidRPr="00471596">
        <w:t>The Authority will score Eligibility Questions on the following basis:</w:t>
      </w:r>
      <w:bookmarkEnd w:id="99"/>
      <w:bookmarkEnd w:id="100"/>
    </w:p>
    <w:p w:rsidR="00AE400B" w:rsidRPr="00471596" w:rsidRDefault="00AE400B" w:rsidP="00AE400B">
      <w:pPr>
        <w:spacing w:before="240"/>
        <w:jc w:val="left"/>
        <w:outlineLvl w:val="1"/>
        <w:rPr>
          <w:rFonts w:eastAsia="Times New Roman" w:cs="Times New Roman"/>
          <w:szCs w:val="24"/>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670"/>
      </w:tblGrid>
      <w:tr w:rsidR="00AE400B" w:rsidRPr="00471596" w:rsidTr="00DD4504">
        <w:tc>
          <w:tcPr>
            <w:tcW w:w="2693" w:type="dxa"/>
            <w:shd w:val="clear" w:color="auto" w:fill="A6A6A6"/>
          </w:tcPr>
          <w:p w:rsidR="00AE400B" w:rsidRPr="00471596" w:rsidRDefault="00AE400B" w:rsidP="00AE400B">
            <w:pPr>
              <w:spacing w:after="240"/>
              <w:outlineLvl w:val="2"/>
              <w:rPr>
                <w:color w:val="000000"/>
              </w:rPr>
            </w:pPr>
            <w:r w:rsidRPr="00471596">
              <w:rPr>
                <w:color w:val="000000"/>
              </w:rPr>
              <w:t xml:space="preserve">Eligibility Questions </w:t>
            </w:r>
          </w:p>
        </w:tc>
        <w:tc>
          <w:tcPr>
            <w:tcW w:w="5670" w:type="dxa"/>
            <w:shd w:val="clear" w:color="auto" w:fill="A6A6A6"/>
          </w:tcPr>
          <w:p w:rsidR="00AE400B" w:rsidRPr="00471596" w:rsidRDefault="00AE400B" w:rsidP="00AE400B">
            <w:pPr>
              <w:spacing w:after="240"/>
              <w:outlineLvl w:val="2"/>
              <w:rPr>
                <w:color w:val="000000"/>
              </w:rPr>
            </w:pPr>
            <w:r w:rsidRPr="00471596">
              <w:rPr>
                <w:color w:val="000000"/>
              </w:rPr>
              <w:t>Selection criteria</w:t>
            </w:r>
          </w:p>
        </w:tc>
      </w:tr>
      <w:tr w:rsidR="00AE400B" w:rsidRPr="00471596" w:rsidTr="00DD4504">
        <w:tc>
          <w:tcPr>
            <w:tcW w:w="2693" w:type="dxa"/>
            <w:shd w:val="clear" w:color="auto" w:fill="auto"/>
          </w:tcPr>
          <w:p w:rsidR="00AE400B" w:rsidRPr="00471596" w:rsidRDefault="00AE400B" w:rsidP="00AE400B">
            <w:pPr>
              <w:numPr>
                <w:ilvl w:val="0"/>
                <w:numId w:val="42"/>
              </w:numPr>
              <w:spacing w:after="240"/>
              <w:contextualSpacing/>
              <w:outlineLvl w:val="2"/>
              <w:rPr>
                <w:color w:val="000000"/>
              </w:rPr>
            </w:pPr>
            <w:r w:rsidRPr="00471596">
              <w:rPr>
                <w:color w:val="000000"/>
              </w:rPr>
              <w:t xml:space="preserve"> Supplier information</w:t>
            </w:r>
          </w:p>
        </w:tc>
        <w:tc>
          <w:tcPr>
            <w:tcW w:w="5670" w:type="dxa"/>
            <w:shd w:val="clear" w:color="auto" w:fill="auto"/>
          </w:tcPr>
          <w:p w:rsidR="00AE400B" w:rsidRPr="00471596" w:rsidRDefault="00AE400B" w:rsidP="00AE400B">
            <w:pPr>
              <w:spacing w:after="240"/>
              <w:outlineLvl w:val="2"/>
              <w:rPr>
                <w:color w:val="000000"/>
              </w:rPr>
            </w:pPr>
            <w:r w:rsidRPr="00471596">
              <w:rPr>
                <w:color w:val="000000"/>
              </w:rPr>
              <w:t>For information only</w:t>
            </w:r>
          </w:p>
        </w:tc>
      </w:tr>
      <w:tr w:rsidR="00AE400B" w:rsidRPr="00471596" w:rsidTr="00DD4504">
        <w:tc>
          <w:tcPr>
            <w:tcW w:w="2693" w:type="dxa"/>
            <w:shd w:val="clear" w:color="auto" w:fill="auto"/>
          </w:tcPr>
          <w:p w:rsidR="00AE400B" w:rsidRPr="00471596" w:rsidRDefault="006F78B9" w:rsidP="00AE400B">
            <w:pPr>
              <w:numPr>
                <w:ilvl w:val="0"/>
                <w:numId w:val="42"/>
              </w:numPr>
              <w:tabs>
                <w:tab w:val="left" w:pos="459"/>
              </w:tabs>
              <w:spacing w:after="240"/>
              <w:contextualSpacing/>
              <w:outlineLvl w:val="2"/>
              <w:rPr>
                <w:color w:val="000000"/>
              </w:rPr>
            </w:pPr>
            <w:r w:rsidRPr="00471596">
              <w:rPr>
                <w:color w:val="000000"/>
              </w:rPr>
              <w:t>Rest of questions</w:t>
            </w:r>
          </w:p>
        </w:tc>
        <w:tc>
          <w:tcPr>
            <w:tcW w:w="5670" w:type="dxa"/>
            <w:shd w:val="clear" w:color="auto" w:fill="auto"/>
          </w:tcPr>
          <w:p w:rsidR="00AE400B" w:rsidRPr="00471596" w:rsidRDefault="00AE400B" w:rsidP="00AE400B">
            <w:pPr>
              <w:spacing w:after="240"/>
              <w:outlineLvl w:val="2"/>
              <w:rPr>
                <w:color w:val="000000"/>
              </w:rPr>
            </w:pPr>
            <w:r w:rsidRPr="00471596">
              <w:rPr>
                <w:color w:val="000000"/>
              </w:rPr>
              <w:t>Pass or Fail</w:t>
            </w:r>
          </w:p>
        </w:tc>
      </w:tr>
    </w:tbl>
    <w:p w:rsidR="00B44E25" w:rsidRPr="00471596" w:rsidRDefault="00B44E25" w:rsidP="00AE400B">
      <w:pPr>
        <w:rPr>
          <w:rFonts w:cs="Arial"/>
          <w:b/>
          <w:szCs w:val="22"/>
        </w:rPr>
      </w:pPr>
    </w:p>
    <w:p w:rsidR="007C2F2F" w:rsidRPr="00471596" w:rsidRDefault="007C2F2F" w:rsidP="006B54D6">
      <w:pPr>
        <w:pStyle w:val="MRNumberedHeading2"/>
        <w:rPr>
          <w:i/>
        </w:rPr>
      </w:pPr>
      <w:bookmarkStart w:id="101" w:name="_Toc403555171"/>
      <w:r w:rsidRPr="00471596">
        <w:t>To score a "pass"</w:t>
      </w:r>
      <w:r w:rsidR="00A4718B" w:rsidRPr="00471596">
        <w:t xml:space="preserve"> for the Eligibility Questions</w:t>
      </w:r>
      <w:r w:rsidRPr="00471596">
        <w:t>, the Tender must adequately address all key points and include adequate supporting evidence / examples / information.  It must give a reasonable degree of confidence that the Bidder has the capability,</w:t>
      </w:r>
      <w:r w:rsidRPr="00471596">
        <w:rPr>
          <w:rFonts w:cs="Arial"/>
        </w:rPr>
        <w:t xml:space="preserve"> resource and experience to properly perform the contract.</w:t>
      </w:r>
      <w:bookmarkEnd w:id="101"/>
    </w:p>
    <w:p w:rsidR="00B44E25" w:rsidRPr="00471596" w:rsidRDefault="00B44E25" w:rsidP="006B54D6">
      <w:pPr>
        <w:pStyle w:val="MRNumberedHeading2"/>
        <w:rPr>
          <w:i/>
        </w:rPr>
      </w:pPr>
      <w:bookmarkStart w:id="102" w:name="_Ref403484379"/>
      <w:bookmarkStart w:id="103" w:name="_Toc403555172"/>
      <w:r w:rsidRPr="00471596">
        <w:t xml:space="preserve">Where a Bidder scores a "fail" for any question, </w:t>
      </w:r>
      <w:r w:rsidR="00C14AA9" w:rsidRPr="00471596">
        <w:t>the Authority will treat the Tender as non-compliant and it will not award a mark for the Scored Questions.</w:t>
      </w:r>
      <w:bookmarkEnd w:id="102"/>
      <w:bookmarkEnd w:id="103"/>
      <w:r w:rsidR="00C14AA9" w:rsidRPr="00471596">
        <w:t xml:space="preserve"> </w:t>
      </w:r>
    </w:p>
    <w:p w:rsidR="008E3EEA" w:rsidRDefault="008E3EEA" w:rsidP="008E3EEA">
      <w:pPr>
        <w:pStyle w:val="MRNumberedHeading2"/>
        <w:numPr>
          <w:ilvl w:val="0"/>
          <w:numId w:val="0"/>
        </w:numPr>
        <w:ind w:left="720"/>
      </w:pPr>
    </w:p>
    <w:p w:rsidR="008E3EEA" w:rsidRDefault="008E3EEA" w:rsidP="008E3EEA">
      <w:pPr>
        <w:pStyle w:val="MRNumberedHeading2"/>
        <w:numPr>
          <w:ilvl w:val="0"/>
          <w:numId w:val="0"/>
        </w:numPr>
        <w:ind w:left="720"/>
      </w:pPr>
    </w:p>
    <w:p w:rsidR="008E3EEA" w:rsidRDefault="008E3EEA" w:rsidP="008E3EEA">
      <w:pPr>
        <w:pStyle w:val="MRNumberedHeading2"/>
        <w:numPr>
          <w:ilvl w:val="0"/>
          <w:numId w:val="0"/>
        </w:numPr>
        <w:ind w:left="720"/>
      </w:pPr>
    </w:p>
    <w:p w:rsidR="008E3EEA" w:rsidRDefault="008E3EEA" w:rsidP="008E3EEA">
      <w:pPr>
        <w:pStyle w:val="MRNumberedHeading2"/>
        <w:numPr>
          <w:ilvl w:val="0"/>
          <w:numId w:val="0"/>
        </w:numPr>
        <w:ind w:left="720"/>
      </w:pPr>
    </w:p>
    <w:p w:rsidR="008E3EEA" w:rsidRDefault="008E3EEA" w:rsidP="008E3EEA">
      <w:pPr>
        <w:pStyle w:val="MRNumberedHeading2"/>
        <w:numPr>
          <w:ilvl w:val="0"/>
          <w:numId w:val="0"/>
        </w:numPr>
        <w:ind w:left="720"/>
      </w:pPr>
    </w:p>
    <w:p w:rsidR="006F78B9" w:rsidRDefault="006F78B9" w:rsidP="008E3EEA">
      <w:pPr>
        <w:pStyle w:val="MRNumberedHeading2"/>
        <w:numPr>
          <w:ilvl w:val="0"/>
          <w:numId w:val="0"/>
        </w:numPr>
        <w:ind w:left="720"/>
      </w:pPr>
    </w:p>
    <w:p w:rsidR="008E3EEA" w:rsidRDefault="008E3EEA" w:rsidP="008E3EEA">
      <w:pPr>
        <w:pStyle w:val="MRNumberedHeading2"/>
        <w:numPr>
          <w:ilvl w:val="0"/>
          <w:numId w:val="0"/>
        </w:numPr>
        <w:ind w:left="720"/>
      </w:pPr>
    </w:p>
    <w:p w:rsidR="00BF48A1" w:rsidRDefault="007C2F2F" w:rsidP="00791319">
      <w:pPr>
        <w:pStyle w:val="Heading1"/>
        <w:spacing w:before="240" w:after="0"/>
      </w:pPr>
      <w:bookmarkStart w:id="104" w:name="_Toc403555173"/>
      <w:r w:rsidRPr="007C2F2F">
        <w:lastRenderedPageBreak/>
        <w:t>C</w:t>
      </w:r>
      <w:r w:rsidR="000B1075" w:rsidRPr="007C2F2F">
        <w:t xml:space="preserve">riteria </w:t>
      </w:r>
      <w:r w:rsidRPr="007C2F2F">
        <w:t>– Scored Questions</w:t>
      </w:r>
      <w:bookmarkEnd w:id="104"/>
    </w:p>
    <w:p w:rsidR="00C65AD5" w:rsidRDefault="00C65AD5" w:rsidP="00791319">
      <w:pPr>
        <w:pStyle w:val="Body1"/>
      </w:pPr>
    </w:p>
    <w:p w:rsidR="00C65AD5" w:rsidRDefault="00F91C8A" w:rsidP="00F91C8A">
      <w:pPr>
        <w:pStyle w:val="Body"/>
      </w:pPr>
      <w:r w:rsidRPr="00F91C8A">
        <w:rPr>
          <w:noProof/>
        </w:rPr>
        <w:drawing>
          <wp:inline distT="0" distB="0" distL="0" distR="0" wp14:anchorId="4F0C012E" wp14:editId="1A962CA3">
            <wp:extent cx="5760085" cy="420673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206733"/>
                    </a:xfrm>
                    <a:prstGeom prst="rect">
                      <a:avLst/>
                    </a:prstGeom>
                    <a:noFill/>
                    <a:ln>
                      <a:noFill/>
                    </a:ln>
                  </pic:spPr>
                </pic:pic>
              </a:graphicData>
            </a:graphic>
          </wp:inline>
        </w:drawing>
      </w:r>
    </w:p>
    <w:p w:rsidR="007C2F2F" w:rsidRPr="007C2F2F" w:rsidRDefault="007C2F2F" w:rsidP="00DD4504">
      <w:pPr>
        <w:pStyle w:val="Heading1"/>
        <w:spacing w:before="240" w:after="0"/>
        <w:ind w:left="709"/>
      </w:pPr>
      <w:bookmarkStart w:id="105" w:name="_Toc403555175"/>
      <w:r w:rsidRPr="007C2F2F">
        <w:t>Criteria – Scored Questions</w:t>
      </w:r>
      <w:r>
        <w:t>:  pricing evaluation</w:t>
      </w:r>
      <w:bookmarkEnd w:id="105"/>
    </w:p>
    <w:p w:rsidR="007C364A" w:rsidRPr="00471596" w:rsidRDefault="008E7F55" w:rsidP="006B54D6">
      <w:pPr>
        <w:pStyle w:val="MRNumberedHeading2"/>
      </w:pPr>
      <w:bookmarkStart w:id="106" w:name="_Toc403555176"/>
      <w:bookmarkStart w:id="107" w:name="_Ref405453282"/>
      <w:r w:rsidRPr="00471596">
        <w:t>Tender</w:t>
      </w:r>
      <w:r w:rsidR="00B30006" w:rsidRPr="00471596">
        <w:t xml:space="preserve"> prices will be scored on a comparative basis, with the lowest</w:t>
      </w:r>
      <w:r w:rsidR="00982C42" w:rsidRPr="00471596">
        <w:t xml:space="preserve"> compliant</w:t>
      </w:r>
      <w:r w:rsidR="00B30006" w:rsidRPr="00471596">
        <w:t xml:space="preserve"> </w:t>
      </w:r>
      <w:r w:rsidRPr="00471596">
        <w:t>Tender</w:t>
      </w:r>
      <w:r w:rsidR="006C1E7E" w:rsidRPr="00471596">
        <w:t xml:space="preserve"> </w:t>
      </w:r>
      <w:r w:rsidR="00982C42" w:rsidRPr="00471596">
        <w:t>(excluding any Tenders that the Authority rejects as being abnormally low</w:t>
      </w:r>
      <w:r w:rsidRPr="00471596">
        <w:t xml:space="preserve"> or non-compliant</w:t>
      </w:r>
      <w:r w:rsidR="00982C42" w:rsidRPr="00471596">
        <w:t xml:space="preserve">) </w:t>
      </w:r>
      <w:r w:rsidR="006C1E7E" w:rsidRPr="00471596">
        <w:t xml:space="preserve">receiving 100% of the available marks </w:t>
      </w:r>
      <w:r w:rsidR="00D5287F" w:rsidRPr="00471596">
        <w:t>(5)</w:t>
      </w:r>
      <w:r w:rsidR="006C1E7E" w:rsidRPr="00471596">
        <w:t xml:space="preserve">).  All other </w:t>
      </w:r>
      <w:r w:rsidR="00336D0E" w:rsidRPr="00471596">
        <w:t>T</w:t>
      </w:r>
      <w:r w:rsidRPr="00471596">
        <w:t>enders</w:t>
      </w:r>
      <w:r w:rsidR="006C1E7E" w:rsidRPr="00471596">
        <w:t xml:space="preserve"> will be co</w:t>
      </w:r>
      <w:r w:rsidR="00D27579" w:rsidRPr="00471596">
        <w:t xml:space="preserve">mpared against that lowest </w:t>
      </w:r>
      <w:r w:rsidR="00336D0E" w:rsidRPr="00471596">
        <w:t>T</w:t>
      </w:r>
      <w:r w:rsidRPr="00471596">
        <w:t>ender</w:t>
      </w:r>
      <w:r w:rsidR="007C364A" w:rsidRPr="00471596">
        <w:t xml:space="preserve"> using the formula:</w:t>
      </w:r>
      <w:bookmarkEnd w:id="106"/>
      <w:bookmarkEnd w:id="107"/>
      <w:r w:rsidR="007C364A" w:rsidRPr="00471596">
        <w:t xml:space="preserve"> </w:t>
      </w:r>
    </w:p>
    <w:p w:rsidR="00202FD5" w:rsidRPr="00471596" w:rsidRDefault="00202FD5" w:rsidP="007C364A">
      <w:pPr>
        <w:pStyle w:val="Heading2"/>
        <w:numPr>
          <w:ilvl w:val="0"/>
          <w:numId w:val="0"/>
        </w:numPr>
        <w:ind w:left="851" w:firstLine="849"/>
        <w:rPr>
          <w:color w:val="auto"/>
          <w:szCs w:val="24"/>
        </w:rPr>
      </w:pPr>
    </w:p>
    <w:p w:rsidR="007C364A" w:rsidRPr="00471596" w:rsidRDefault="007C364A" w:rsidP="007C364A">
      <w:pPr>
        <w:pStyle w:val="Heading2"/>
        <w:numPr>
          <w:ilvl w:val="0"/>
          <w:numId w:val="0"/>
        </w:numPr>
        <w:ind w:left="851" w:firstLine="849"/>
        <w:rPr>
          <w:color w:val="auto"/>
          <w:szCs w:val="24"/>
        </w:rPr>
      </w:pPr>
      <w:r w:rsidRPr="00471596">
        <w:rPr>
          <w:color w:val="auto"/>
          <w:szCs w:val="24"/>
        </w:rPr>
        <w:t xml:space="preserve">(A / B) x100 </w:t>
      </w:r>
    </w:p>
    <w:p w:rsidR="007C364A" w:rsidRPr="00471596" w:rsidRDefault="007C364A" w:rsidP="007C364A">
      <w:pPr>
        <w:pStyle w:val="Heading2"/>
        <w:numPr>
          <w:ilvl w:val="0"/>
          <w:numId w:val="0"/>
        </w:numPr>
        <w:ind w:left="851" w:firstLine="849"/>
        <w:rPr>
          <w:color w:val="auto"/>
          <w:szCs w:val="24"/>
        </w:rPr>
      </w:pPr>
      <w:r w:rsidRPr="00471596">
        <w:rPr>
          <w:color w:val="auto"/>
          <w:szCs w:val="24"/>
        </w:rPr>
        <w:t xml:space="preserve">A = </w:t>
      </w:r>
      <w:r w:rsidR="008E7F55" w:rsidRPr="00471596">
        <w:rPr>
          <w:color w:val="auto"/>
          <w:szCs w:val="24"/>
        </w:rPr>
        <w:t xml:space="preserve">price of </w:t>
      </w:r>
      <w:r w:rsidRPr="00471596">
        <w:rPr>
          <w:color w:val="auto"/>
          <w:szCs w:val="24"/>
        </w:rPr>
        <w:t xml:space="preserve">lowest compliant </w:t>
      </w:r>
      <w:r w:rsidR="00336D0E" w:rsidRPr="00471596">
        <w:rPr>
          <w:color w:val="auto"/>
          <w:szCs w:val="24"/>
        </w:rPr>
        <w:t>T</w:t>
      </w:r>
      <w:r w:rsidR="008E7F55" w:rsidRPr="00471596">
        <w:rPr>
          <w:color w:val="auto"/>
          <w:szCs w:val="24"/>
        </w:rPr>
        <w:t>ender</w:t>
      </w:r>
    </w:p>
    <w:p w:rsidR="007C364A" w:rsidRPr="00D5287F" w:rsidRDefault="007B6206" w:rsidP="007C364A">
      <w:pPr>
        <w:pStyle w:val="Heading2"/>
        <w:numPr>
          <w:ilvl w:val="0"/>
          <w:numId w:val="0"/>
        </w:numPr>
        <w:ind w:left="851" w:firstLine="849"/>
        <w:rPr>
          <w:color w:val="auto"/>
          <w:szCs w:val="24"/>
        </w:rPr>
      </w:pPr>
      <w:r w:rsidRPr="00471596">
        <w:rPr>
          <w:color w:val="auto"/>
          <w:szCs w:val="24"/>
        </w:rPr>
        <w:t xml:space="preserve">B = </w:t>
      </w:r>
      <w:r w:rsidR="007C364A" w:rsidRPr="00471596">
        <w:rPr>
          <w:color w:val="auto"/>
          <w:szCs w:val="24"/>
        </w:rPr>
        <w:t xml:space="preserve">price of the </w:t>
      </w:r>
      <w:r w:rsidR="008E7F55" w:rsidRPr="00471596">
        <w:rPr>
          <w:color w:val="auto"/>
          <w:szCs w:val="24"/>
        </w:rPr>
        <w:t>Tender</w:t>
      </w:r>
      <w:r w:rsidR="007C364A" w:rsidRPr="00471596">
        <w:rPr>
          <w:color w:val="auto"/>
          <w:szCs w:val="24"/>
        </w:rPr>
        <w:t xml:space="preserve"> being scored</w:t>
      </w:r>
      <w:r w:rsidR="007C364A" w:rsidRPr="00D5287F">
        <w:rPr>
          <w:color w:val="auto"/>
          <w:szCs w:val="24"/>
        </w:rPr>
        <w:t xml:space="preserve">  </w:t>
      </w:r>
      <w:r w:rsidR="00D27579" w:rsidRPr="00D5287F">
        <w:rPr>
          <w:color w:val="auto"/>
          <w:szCs w:val="24"/>
        </w:rPr>
        <w:t xml:space="preserve"> </w:t>
      </w:r>
    </w:p>
    <w:p w:rsidR="007C2F2F" w:rsidRPr="0025200C" w:rsidRDefault="007C2F2F" w:rsidP="006B54D6">
      <w:pPr>
        <w:pStyle w:val="MRNumberedHeading2"/>
      </w:pPr>
      <w:bookmarkStart w:id="108"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08"/>
    </w:p>
    <w:p w:rsidR="00A77338" w:rsidRPr="007C2F2F" w:rsidRDefault="00A77338" w:rsidP="00DD4504">
      <w:pPr>
        <w:pStyle w:val="Heading1"/>
        <w:spacing w:before="240" w:after="0"/>
        <w:ind w:left="709"/>
      </w:pPr>
      <w:bookmarkStart w:id="109" w:name="_Toc403555179"/>
      <w:r w:rsidRPr="007C2F2F">
        <w:t>Criteria – Scored Questions</w:t>
      </w:r>
      <w:r>
        <w:t>:  technical and quality evaluation</w:t>
      </w:r>
      <w:bookmarkEnd w:id="109"/>
    </w:p>
    <w:p w:rsidR="006C1E7E" w:rsidRDefault="006C1E7E" w:rsidP="006B54D6">
      <w:pPr>
        <w:pStyle w:val="MRNumberedHeading2"/>
      </w:pPr>
      <w:bookmarkStart w:id="110" w:name="_Toc403555180"/>
      <w:bookmarkStart w:id="111" w:name="_Ref405453301"/>
      <w:bookmarkStart w:id="112" w:name="_Ref408579700"/>
      <w:r>
        <w:t xml:space="preserve">The </w:t>
      </w:r>
      <w:r w:rsidR="006A7F8F">
        <w:t>technical evaluation will be scored in accordance with the table below:</w:t>
      </w:r>
      <w:bookmarkEnd w:id="110"/>
      <w:bookmarkEnd w:id="111"/>
      <w:bookmarkEnd w:id="112"/>
      <w:r w:rsidR="006A7F8F">
        <w:t xml:space="preserve"> </w:t>
      </w:r>
    </w:p>
    <w:p w:rsidR="00D9516D" w:rsidRDefault="00D9516D" w:rsidP="00D9516D">
      <w:pPr>
        <w:pStyle w:val="MRNumberedHeading1"/>
        <w:numPr>
          <w:ilvl w:val="0"/>
          <w:numId w:val="0"/>
        </w:numPr>
        <w:ind w:left="798" w:hanging="720"/>
      </w:pPr>
    </w:p>
    <w:p w:rsidR="00471596" w:rsidRDefault="00471596" w:rsidP="00D9516D">
      <w:pPr>
        <w:pStyle w:val="MRNumberedHeading1"/>
        <w:numPr>
          <w:ilvl w:val="0"/>
          <w:numId w:val="0"/>
        </w:numPr>
        <w:ind w:left="798" w:hanging="720"/>
      </w:pPr>
      <w:bookmarkStart w:id="113" w:name="_GoBack"/>
      <w:bookmarkEnd w:id="113"/>
    </w:p>
    <w:tbl>
      <w:tblPr>
        <w:tblW w:w="9760" w:type="dxa"/>
        <w:tblInd w:w="93" w:type="dxa"/>
        <w:tblLook w:val="04A0" w:firstRow="1" w:lastRow="0" w:firstColumn="1" w:lastColumn="0" w:noHBand="0" w:noVBand="1"/>
      </w:tblPr>
      <w:tblGrid>
        <w:gridCol w:w="1440"/>
        <w:gridCol w:w="772"/>
        <w:gridCol w:w="7720"/>
      </w:tblGrid>
      <w:tr w:rsidR="00D9516D" w:rsidRPr="00D9516D" w:rsidTr="00D9516D">
        <w:trPr>
          <w:trHeight w:val="315"/>
        </w:trPr>
        <w:tc>
          <w:tcPr>
            <w:tcW w:w="97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D9516D" w:rsidRPr="00D9516D" w:rsidRDefault="00D9516D" w:rsidP="00D9516D">
            <w:pPr>
              <w:jc w:val="center"/>
              <w:rPr>
                <w:rFonts w:eastAsia="Times New Roman" w:cs="Arial"/>
                <w:b/>
                <w:bCs/>
                <w:sz w:val="24"/>
                <w:szCs w:val="24"/>
                <w:lang w:eastAsia="en-GB"/>
              </w:rPr>
            </w:pPr>
            <w:r w:rsidRPr="00D9516D">
              <w:rPr>
                <w:rFonts w:eastAsia="Times New Roman" w:cs="Arial"/>
                <w:b/>
                <w:bCs/>
                <w:sz w:val="24"/>
                <w:szCs w:val="24"/>
                <w:lang w:eastAsia="en-GB"/>
              </w:rPr>
              <w:t>Scoring Guidelines</w:t>
            </w:r>
          </w:p>
        </w:tc>
      </w:tr>
      <w:tr w:rsidR="00D9516D" w:rsidRPr="00D9516D" w:rsidTr="00D9516D">
        <w:trPr>
          <w:trHeight w:val="315"/>
        </w:trPr>
        <w:tc>
          <w:tcPr>
            <w:tcW w:w="1280" w:type="dxa"/>
            <w:tcBorders>
              <w:top w:val="nil"/>
              <w:left w:val="single" w:sz="8" w:space="0" w:color="auto"/>
              <w:bottom w:val="nil"/>
              <w:right w:val="nil"/>
            </w:tcBorders>
            <w:shd w:val="clear" w:color="auto" w:fill="auto"/>
            <w:noWrap/>
            <w:vAlign w:val="bottom"/>
            <w:hideMark/>
          </w:tcPr>
          <w:p w:rsidR="00D9516D" w:rsidRPr="00D9516D" w:rsidRDefault="00D9516D" w:rsidP="00D9516D">
            <w:pPr>
              <w:jc w:val="left"/>
              <w:rPr>
                <w:rFonts w:ascii="Calibri" w:eastAsia="Times New Roman" w:hAnsi="Calibri" w:cs="Times New Roman"/>
                <w:color w:val="000000"/>
                <w:sz w:val="22"/>
                <w:szCs w:val="22"/>
                <w:lang w:eastAsia="en-GB"/>
              </w:rPr>
            </w:pPr>
            <w:r w:rsidRPr="00D9516D">
              <w:rPr>
                <w:rFonts w:ascii="Calibri" w:eastAsia="Times New Roman" w:hAnsi="Calibri" w:cs="Times New Roman"/>
                <w:color w:val="000000"/>
                <w:sz w:val="22"/>
                <w:szCs w:val="22"/>
                <w:lang w:eastAsia="en-GB"/>
              </w:rPr>
              <w:t> </w:t>
            </w:r>
          </w:p>
        </w:tc>
        <w:tc>
          <w:tcPr>
            <w:tcW w:w="760" w:type="dxa"/>
            <w:tcBorders>
              <w:top w:val="nil"/>
              <w:left w:val="nil"/>
              <w:bottom w:val="nil"/>
              <w:right w:val="nil"/>
            </w:tcBorders>
            <w:shd w:val="clear" w:color="auto" w:fill="auto"/>
            <w:noWrap/>
            <w:vAlign w:val="bottom"/>
            <w:hideMark/>
          </w:tcPr>
          <w:p w:rsidR="00D9516D" w:rsidRPr="00D9516D" w:rsidRDefault="00D9516D" w:rsidP="00D9516D">
            <w:pPr>
              <w:jc w:val="left"/>
              <w:rPr>
                <w:rFonts w:ascii="Calibri" w:eastAsia="Times New Roman" w:hAnsi="Calibri" w:cs="Times New Roman"/>
                <w:color w:val="000000"/>
                <w:sz w:val="22"/>
                <w:szCs w:val="22"/>
                <w:lang w:eastAsia="en-GB"/>
              </w:rPr>
            </w:pPr>
          </w:p>
        </w:tc>
        <w:tc>
          <w:tcPr>
            <w:tcW w:w="7720" w:type="dxa"/>
            <w:tcBorders>
              <w:top w:val="nil"/>
              <w:left w:val="nil"/>
              <w:bottom w:val="nil"/>
              <w:right w:val="single" w:sz="8" w:space="0" w:color="auto"/>
            </w:tcBorders>
            <w:shd w:val="clear" w:color="auto" w:fill="auto"/>
            <w:noWrap/>
            <w:vAlign w:val="bottom"/>
            <w:hideMark/>
          </w:tcPr>
          <w:p w:rsidR="00D9516D" w:rsidRPr="00D9516D" w:rsidRDefault="00D9516D" w:rsidP="00D9516D">
            <w:pPr>
              <w:jc w:val="left"/>
              <w:rPr>
                <w:rFonts w:ascii="Calibri" w:eastAsia="Times New Roman" w:hAnsi="Calibri" w:cs="Times New Roman"/>
                <w:color w:val="000000"/>
                <w:sz w:val="22"/>
                <w:szCs w:val="22"/>
                <w:lang w:eastAsia="en-GB"/>
              </w:rPr>
            </w:pPr>
            <w:r w:rsidRPr="00D9516D">
              <w:rPr>
                <w:rFonts w:ascii="Calibri" w:eastAsia="Times New Roman" w:hAnsi="Calibri" w:cs="Times New Roman"/>
                <w:color w:val="000000"/>
                <w:sz w:val="22"/>
                <w:szCs w:val="22"/>
                <w:lang w:eastAsia="en-GB"/>
              </w:rPr>
              <w:t> </w:t>
            </w:r>
          </w:p>
        </w:tc>
      </w:tr>
      <w:tr w:rsidR="00D9516D" w:rsidRPr="00D9516D" w:rsidTr="00D9516D">
        <w:trPr>
          <w:trHeight w:val="315"/>
        </w:trPr>
        <w:tc>
          <w:tcPr>
            <w:tcW w:w="1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b/>
                <w:bCs/>
                <w:color w:val="000000"/>
                <w:lang w:eastAsia="en-GB"/>
              </w:rPr>
            </w:pPr>
            <w:r w:rsidRPr="00D9516D">
              <w:rPr>
                <w:rFonts w:eastAsia="Times New Roman" w:cs="Arial"/>
                <w:b/>
                <w:bCs/>
                <w:color w:val="000000"/>
                <w:lang w:eastAsia="en-GB"/>
              </w:rPr>
              <w:t>Assessment</w:t>
            </w:r>
          </w:p>
        </w:tc>
        <w:tc>
          <w:tcPr>
            <w:tcW w:w="760" w:type="dxa"/>
            <w:tcBorders>
              <w:top w:val="single" w:sz="8" w:space="0" w:color="auto"/>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b/>
                <w:bCs/>
                <w:color w:val="000000"/>
                <w:lang w:eastAsia="en-GB"/>
              </w:rPr>
            </w:pPr>
            <w:r w:rsidRPr="00D9516D">
              <w:rPr>
                <w:rFonts w:eastAsia="Times New Roman" w:cs="Arial"/>
                <w:b/>
                <w:bCs/>
                <w:color w:val="000000"/>
                <w:lang w:eastAsia="en-GB"/>
              </w:rPr>
              <w:t>Score</w:t>
            </w:r>
          </w:p>
        </w:tc>
        <w:tc>
          <w:tcPr>
            <w:tcW w:w="7720" w:type="dxa"/>
            <w:tcBorders>
              <w:top w:val="single" w:sz="8" w:space="0" w:color="auto"/>
              <w:left w:val="nil"/>
              <w:bottom w:val="single" w:sz="8" w:space="0" w:color="auto"/>
              <w:right w:val="single" w:sz="8" w:space="0" w:color="auto"/>
            </w:tcBorders>
            <w:shd w:val="clear" w:color="auto" w:fill="auto"/>
            <w:vAlign w:val="center"/>
            <w:hideMark/>
          </w:tcPr>
          <w:p w:rsidR="00D9516D" w:rsidRPr="00D9516D" w:rsidRDefault="00D9516D" w:rsidP="00D9516D">
            <w:pPr>
              <w:jc w:val="center"/>
              <w:rPr>
                <w:rFonts w:eastAsia="Times New Roman" w:cs="Arial"/>
                <w:b/>
                <w:bCs/>
                <w:color w:val="000000"/>
                <w:lang w:eastAsia="en-GB"/>
              </w:rPr>
            </w:pPr>
            <w:r w:rsidRPr="00D9516D">
              <w:rPr>
                <w:rFonts w:eastAsia="Times New Roman" w:cs="Arial"/>
                <w:b/>
                <w:bCs/>
                <w:color w:val="000000"/>
                <w:lang w:eastAsia="en-GB"/>
              </w:rPr>
              <w:t>Interpretation</w:t>
            </w:r>
          </w:p>
        </w:tc>
      </w:tr>
      <w:tr w:rsidR="00D9516D" w:rsidRPr="00D9516D" w:rsidTr="00D9516D">
        <w:trPr>
          <w:trHeight w:val="705"/>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Excellent</w:t>
            </w:r>
          </w:p>
        </w:tc>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5</w:t>
            </w:r>
          </w:p>
        </w:tc>
        <w:tc>
          <w:tcPr>
            <w:tcW w:w="772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Exceeds the requirement.  Exceptional demonstration by the Tenderer of the relevant ability, understanding, experience, skills, resource &amp; quality measures required to provide the supplies / services. Response identifies factors that will offer potential added value, with evidence to support the response.</w:t>
            </w:r>
          </w:p>
        </w:tc>
      </w:tr>
      <w:tr w:rsidR="00D9516D" w:rsidRPr="00D9516D" w:rsidTr="00D9516D">
        <w:trPr>
          <w:trHeight w:val="470"/>
        </w:trPr>
        <w:tc>
          <w:tcPr>
            <w:tcW w:w="128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6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72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r>
      <w:tr w:rsidR="00D9516D" w:rsidRPr="00D9516D" w:rsidTr="00D9516D">
        <w:trPr>
          <w:trHeight w:val="300"/>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Good</w:t>
            </w:r>
          </w:p>
        </w:tc>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4</w:t>
            </w:r>
          </w:p>
        </w:tc>
        <w:tc>
          <w:tcPr>
            <w:tcW w:w="7720" w:type="dxa"/>
            <w:tcBorders>
              <w:top w:val="nil"/>
              <w:left w:val="nil"/>
              <w:bottom w:val="nil"/>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Satisfies the requirement with minor additional benefits.</w:t>
            </w:r>
          </w:p>
        </w:tc>
      </w:tr>
      <w:tr w:rsidR="00D9516D" w:rsidRPr="00D9516D" w:rsidTr="00D9516D">
        <w:trPr>
          <w:trHeight w:val="1035"/>
        </w:trPr>
        <w:tc>
          <w:tcPr>
            <w:tcW w:w="128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6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72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Above average demonstration by the Tenderer of the relevant ability, understanding, experience, skills, resource &amp; quality measures required to provide the supplies / services. Response identifies factors that will offer potential added value, with evidence to support the response.</w:t>
            </w:r>
          </w:p>
        </w:tc>
      </w:tr>
      <w:tr w:rsidR="00D9516D" w:rsidRPr="00D9516D" w:rsidTr="00D9516D">
        <w:trPr>
          <w:trHeight w:val="300"/>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Acceptable</w:t>
            </w:r>
          </w:p>
        </w:tc>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3</w:t>
            </w:r>
          </w:p>
        </w:tc>
        <w:tc>
          <w:tcPr>
            <w:tcW w:w="7720" w:type="dxa"/>
            <w:tcBorders>
              <w:top w:val="nil"/>
              <w:left w:val="nil"/>
              <w:bottom w:val="nil"/>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Satisfies the requirement.</w:t>
            </w:r>
          </w:p>
        </w:tc>
      </w:tr>
      <w:tr w:rsidR="00D9516D" w:rsidRPr="00D9516D" w:rsidTr="00D9516D">
        <w:trPr>
          <w:trHeight w:val="780"/>
        </w:trPr>
        <w:tc>
          <w:tcPr>
            <w:tcW w:w="128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6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72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Demonstration by the Tenderer of the relevant ability, understanding, experience, skills, resource &amp; quality measures required to provide the supplies / services, with evidence to support the response.</w:t>
            </w:r>
          </w:p>
        </w:tc>
      </w:tr>
      <w:tr w:rsidR="00D9516D" w:rsidRPr="00D9516D" w:rsidTr="00D9516D">
        <w:trPr>
          <w:trHeight w:val="300"/>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Minor Reservations</w:t>
            </w:r>
          </w:p>
        </w:tc>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2</w:t>
            </w:r>
          </w:p>
        </w:tc>
        <w:tc>
          <w:tcPr>
            <w:tcW w:w="7720" w:type="dxa"/>
            <w:tcBorders>
              <w:top w:val="nil"/>
              <w:left w:val="nil"/>
              <w:bottom w:val="nil"/>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Satisfies the requirement with minor reservations.</w:t>
            </w:r>
          </w:p>
        </w:tc>
      </w:tr>
      <w:tr w:rsidR="00D9516D" w:rsidRPr="00D9516D" w:rsidTr="00D9516D">
        <w:trPr>
          <w:trHeight w:val="780"/>
        </w:trPr>
        <w:tc>
          <w:tcPr>
            <w:tcW w:w="128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6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72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Some minor reservations of the Tenderer’s relevant ability, understanding, experience, skills, resource &amp; quality measures required to provide the supplies / services, with little or no evidence to support the response.</w:t>
            </w:r>
          </w:p>
        </w:tc>
      </w:tr>
      <w:tr w:rsidR="00D9516D" w:rsidRPr="00D9516D" w:rsidTr="00D9516D">
        <w:trPr>
          <w:trHeight w:val="300"/>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Serious Reservations</w:t>
            </w:r>
          </w:p>
        </w:tc>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1</w:t>
            </w:r>
          </w:p>
        </w:tc>
        <w:tc>
          <w:tcPr>
            <w:tcW w:w="7720" w:type="dxa"/>
            <w:tcBorders>
              <w:top w:val="nil"/>
              <w:left w:val="nil"/>
              <w:bottom w:val="nil"/>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Satisfies the requirement with major reservations.</w:t>
            </w:r>
          </w:p>
        </w:tc>
      </w:tr>
      <w:tr w:rsidR="00D9516D" w:rsidRPr="00D9516D" w:rsidTr="00D9516D">
        <w:trPr>
          <w:trHeight w:val="780"/>
        </w:trPr>
        <w:tc>
          <w:tcPr>
            <w:tcW w:w="128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60" w:type="dxa"/>
            <w:vMerge/>
            <w:tcBorders>
              <w:top w:val="nil"/>
              <w:left w:val="single" w:sz="8" w:space="0" w:color="auto"/>
              <w:bottom w:val="single" w:sz="8" w:space="0" w:color="000000"/>
              <w:right w:val="single" w:sz="8" w:space="0" w:color="auto"/>
            </w:tcBorders>
            <w:vAlign w:val="center"/>
            <w:hideMark/>
          </w:tcPr>
          <w:p w:rsidR="00D9516D" w:rsidRPr="00D9516D" w:rsidRDefault="00D9516D" w:rsidP="00D9516D">
            <w:pPr>
              <w:jc w:val="left"/>
              <w:rPr>
                <w:rFonts w:eastAsia="Times New Roman" w:cs="Arial"/>
                <w:color w:val="000000"/>
                <w:lang w:eastAsia="en-GB"/>
              </w:rPr>
            </w:pPr>
          </w:p>
        </w:tc>
        <w:tc>
          <w:tcPr>
            <w:tcW w:w="772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Considerable reservations of the Tenderer’s relevant ability, understanding, experience, skills, resource &amp; quality measures required to provide the supplies / services, with little or no evidence to support the response.</w:t>
            </w:r>
          </w:p>
        </w:tc>
      </w:tr>
      <w:tr w:rsidR="00D9516D" w:rsidRPr="00D9516D" w:rsidTr="00D9516D">
        <w:trPr>
          <w:trHeight w:val="1035"/>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Unacceptable</w:t>
            </w:r>
          </w:p>
        </w:tc>
        <w:tc>
          <w:tcPr>
            <w:tcW w:w="76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right"/>
              <w:rPr>
                <w:rFonts w:eastAsia="Times New Roman" w:cs="Arial"/>
                <w:color w:val="000000"/>
                <w:lang w:eastAsia="en-GB"/>
              </w:rPr>
            </w:pPr>
            <w:r w:rsidRPr="00D9516D">
              <w:rPr>
                <w:rFonts w:eastAsia="Times New Roman" w:cs="Arial"/>
                <w:color w:val="000000"/>
                <w:lang w:eastAsia="en-GB"/>
              </w:rPr>
              <w:t>0</w:t>
            </w:r>
          </w:p>
        </w:tc>
        <w:tc>
          <w:tcPr>
            <w:tcW w:w="7720" w:type="dxa"/>
            <w:tcBorders>
              <w:top w:val="nil"/>
              <w:left w:val="nil"/>
              <w:bottom w:val="single" w:sz="8" w:space="0" w:color="auto"/>
              <w:right w:val="single" w:sz="8" w:space="0" w:color="auto"/>
            </w:tcBorders>
            <w:shd w:val="clear" w:color="auto" w:fill="auto"/>
            <w:vAlign w:val="center"/>
            <w:hideMark/>
          </w:tcPr>
          <w:p w:rsidR="00D9516D" w:rsidRPr="00D9516D" w:rsidRDefault="00D9516D" w:rsidP="00D9516D">
            <w:pPr>
              <w:jc w:val="left"/>
              <w:rPr>
                <w:rFonts w:eastAsia="Times New Roman" w:cs="Arial"/>
                <w:color w:val="000000"/>
                <w:lang w:eastAsia="en-GB"/>
              </w:rPr>
            </w:pPr>
            <w:r w:rsidRPr="00D9516D">
              <w:rPr>
                <w:rFonts w:eastAsia="Times New Roman" w:cs="Arial"/>
                <w:color w:val="000000"/>
                <w:lang w:eastAsia="en-GB"/>
              </w:rPr>
              <w:t>Does not meet the requirement. Does not comply and/or insufficient information provided to demonstrate that the Tenderer has the ability, understanding, experience, skills, resource &amp; quality measures required to provide the supplies / services, with little or no evidence to support the response.</w:t>
            </w:r>
          </w:p>
        </w:tc>
      </w:tr>
    </w:tbl>
    <w:p w:rsidR="003E3276" w:rsidRDefault="003E3276" w:rsidP="006B54D6">
      <w:pPr>
        <w:pStyle w:val="MRNumberedHeading2"/>
        <w:numPr>
          <w:ilvl w:val="0"/>
          <w:numId w:val="0"/>
        </w:numPr>
        <w:ind w:left="720"/>
      </w:pPr>
    </w:p>
    <w:p w:rsidR="002C2920" w:rsidRDefault="002C2920" w:rsidP="006B54D6">
      <w:pPr>
        <w:pStyle w:val="MRNumberedHeading2"/>
        <w:numPr>
          <w:ilvl w:val="0"/>
          <w:numId w:val="0"/>
        </w:numPr>
        <w:ind w:left="720"/>
      </w:pPr>
    </w:p>
    <w:p w:rsidR="0055703A" w:rsidRDefault="0055703A" w:rsidP="006B54D6">
      <w:pPr>
        <w:pStyle w:val="MRNumberedHeading2"/>
        <w:numPr>
          <w:ilvl w:val="0"/>
          <w:numId w:val="0"/>
        </w:numPr>
        <w:ind w:left="720"/>
      </w:pPr>
    </w:p>
    <w:p w:rsidR="006A7F8F" w:rsidRPr="00116860" w:rsidRDefault="006A7F8F" w:rsidP="000E189B">
      <w:pPr>
        <w:pStyle w:val="Heading2"/>
        <w:numPr>
          <w:ilvl w:val="0"/>
          <w:numId w:val="0"/>
        </w:numPr>
        <w:rPr>
          <w:i/>
          <w:color w:val="808080" w:themeColor="background1" w:themeShade="80"/>
        </w:rPr>
      </w:pPr>
    </w:p>
    <w:p w:rsidR="00CF6718" w:rsidRPr="0055703A" w:rsidRDefault="00CF6718">
      <w:pPr>
        <w:spacing w:after="240"/>
        <w:jc w:val="left"/>
        <w:rPr>
          <w:rFonts w:eastAsia="Calibri" w:cs="Arial"/>
          <w:b/>
          <w:sz w:val="22"/>
          <w:szCs w:val="22"/>
          <w:lang w:eastAsia="en-GB"/>
        </w:rPr>
      </w:pPr>
    </w:p>
    <w:sectPr w:rsidR="00CF6718" w:rsidRPr="0055703A" w:rsidSect="00B02442">
      <w:footerReference w:type="default" r:id="rId13"/>
      <w:footerReference w:type="first" r:id="rId14"/>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E0" w:rsidRDefault="002C35E0" w:rsidP="00C82318">
      <w:r>
        <w:separator/>
      </w:r>
    </w:p>
  </w:endnote>
  <w:endnote w:type="continuationSeparator" w:id="0">
    <w:p w:rsidR="002C35E0" w:rsidRDefault="002C35E0"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AA" w:rsidRPr="00100953" w:rsidRDefault="001A21AA"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1A21AA" w:rsidRDefault="001A21AA">
    <w:pPr>
      <w:pStyle w:val="Footer"/>
      <w:jc w:val="center"/>
    </w:pPr>
  </w:p>
  <w:p w:rsidR="001A21AA" w:rsidRDefault="001A21AA"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1AA" w:rsidRDefault="001A21AA">
    <w:pPr>
      <w:pStyle w:val="Footer"/>
      <w:jc w:val="center"/>
    </w:pPr>
  </w:p>
  <w:p w:rsidR="001A21AA" w:rsidRDefault="001A2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249746"/>
      <w:docPartObj>
        <w:docPartGallery w:val="Page Numbers (Bottom of Page)"/>
        <w:docPartUnique/>
      </w:docPartObj>
    </w:sdtPr>
    <w:sdtEndPr>
      <w:rPr>
        <w:noProof/>
      </w:rPr>
    </w:sdtEndPr>
    <w:sdtContent>
      <w:p w:rsidR="001A21AA" w:rsidRPr="00100953" w:rsidRDefault="001A21AA" w:rsidP="00D635F5">
        <w:pPr>
          <w:pStyle w:val="Footer"/>
          <w:rPr>
            <w:color w:val="808080" w:themeColor="background1" w:themeShade="80"/>
          </w:rPr>
        </w:pPr>
        <w:r>
          <w:rPr>
            <w:color w:val="808080" w:themeColor="background1" w:themeShade="80"/>
          </w:rPr>
          <w:t>ITT section A – below-threshold (February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1A21AA" w:rsidRDefault="001A21AA">
        <w:pPr>
          <w:pStyle w:val="Footer"/>
          <w:jc w:val="center"/>
        </w:pPr>
        <w:r>
          <w:fldChar w:fldCharType="begin"/>
        </w:r>
        <w:r>
          <w:instrText xml:space="preserve"> PAGE   \* MERGEFORMAT </w:instrText>
        </w:r>
        <w:r>
          <w:fldChar w:fldCharType="separate"/>
        </w:r>
        <w:r w:rsidR="00D9593F">
          <w:rPr>
            <w:noProof/>
          </w:rPr>
          <w:t>11</w:t>
        </w:r>
        <w:r>
          <w:rPr>
            <w:noProof/>
          </w:rPr>
          <w:fldChar w:fldCharType="end"/>
        </w:r>
      </w:p>
    </w:sdtContent>
  </w:sdt>
  <w:p w:rsidR="001A21AA" w:rsidRDefault="001A21AA"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96238"/>
      <w:docPartObj>
        <w:docPartGallery w:val="Page Numbers (Bottom of Page)"/>
        <w:docPartUnique/>
      </w:docPartObj>
    </w:sdtPr>
    <w:sdtEndPr>
      <w:rPr>
        <w:noProof/>
      </w:rPr>
    </w:sdtEndPr>
    <w:sdtContent>
      <w:p w:rsidR="001A21AA" w:rsidRPr="00100953" w:rsidRDefault="001A21AA"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1A21AA" w:rsidRDefault="001A21AA">
        <w:pPr>
          <w:pStyle w:val="Footer"/>
          <w:jc w:val="center"/>
        </w:pPr>
        <w:r>
          <w:fldChar w:fldCharType="begin"/>
        </w:r>
        <w:r>
          <w:instrText xml:space="preserve"> PAGE   \* MERGEFORMAT </w:instrText>
        </w:r>
        <w:r>
          <w:fldChar w:fldCharType="separate"/>
        </w:r>
        <w:r w:rsidR="00D9593F">
          <w:rPr>
            <w:noProof/>
          </w:rPr>
          <w:t>1</w:t>
        </w:r>
        <w:r>
          <w:rPr>
            <w:noProof/>
          </w:rPr>
          <w:fldChar w:fldCharType="end"/>
        </w:r>
      </w:p>
    </w:sdtContent>
  </w:sdt>
  <w:p w:rsidR="001A21AA" w:rsidRDefault="001A2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E0" w:rsidRDefault="002C35E0" w:rsidP="00C82318">
      <w:r>
        <w:separator/>
      </w:r>
    </w:p>
  </w:footnote>
  <w:footnote w:type="continuationSeparator" w:id="0">
    <w:p w:rsidR="002C35E0" w:rsidRDefault="002C35E0"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7"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17AB2CF0"/>
    <w:multiLevelType w:val="multilevel"/>
    <w:tmpl w:val="392A8C08"/>
    <w:lvl w:ilvl="0">
      <w:start w:val="1"/>
      <w:numFmt w:val="bullet"/>
      <w:lvlText w:val=""/>
      <w:lvlJc w:val="left"/>
      <w:pPr>
        <w:tabs>
          <w:tab w:val="num" w:pos="798"/>
        </w:tabs>
        <w:ind w:left="798" w:hanging="72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5115"/>
        </w:tabs>
        <w:ind w:left="5115"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5FB40C8"/>
    <w:multiLevelType w:val="multilevel"/>
    <w:tmpl w:val="392A8C08"/>
    <w:lvl w:ilvl="0">
      <w:start w:val="1"/>
      <w:numFmt w:val="bullet"/>
      <w:lvlText w:val=""/>
      <w:lvlJc w:val="left"/>
      <w:pPr>
        <w:tabs>
          <w:tab w:val="num" w:pos="798"/>
        </w:tabs>
        <w:ind w:left="798" w:hanging="72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F563D01"/>
    <w:multiLevelType w:val="multilevel"/>
    <w:tmpl w:val="392A8C08"/>
    <w:lvl w:ilvl="0">
      <w:start w:val="1"/>
      <w:numFmt w:val="bullet"/>
      <w:lvlText w:val=""/>
      <w:lvlJc w:val="left"/>
      <w:pPr>
        <w:tabs>
          <w:tab w:val="num" w:pos="798"/>
        </w:tabs>
        <w:ind w:left="798" w:hanging="72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15:restartNumberingAfterBreak="0">
    <w:nsid w:val="32F761EE"/>
    <w:multiLevelType w:val="multilevel"/>
    <w:tmpl w:val="542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843B17"/>
    <w:multiLevelType w:val="hybridMultilevel"/>
    <w:tmpl w:val="5CB4BA16"/>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9"/>
  </w:num>
  <w:num w:numId="4">
    <w:abstractNumId w:val="20"/>
  </w:num>
  <w:num w:numId="5">
    <w:abstractNumId w:val="20"/>
  </w:num>
  <w:num w:numId="6">
    <w:abstractNumId w:val="2"/>
  </w:num>
  <w:num w:numId="7">
    <w:abstractNumId w:val="8"/>
  </w:num>
  <w:num w:numId="8">
    <w:abstractNumId w:val="25"/>
  </w:num>
  <w:num w:numId="9">
    <w:abstractNumId w:val="0"/>
  </w:num>
  <w:num w:numId="10">
    <w:abstractNumId w:val="28"/>
  </w:num>
  <w:num w:numId="11">
    <w:abstractNumId w:val="22"/>
  </w:num>
  <w:num w:numId="12">
    <w:abstractNumId w:val="23"/>
  </w:num>
  <w:num w:numId="13">
    <w:abstractNumId w:val="27"/>
  </w:num>
  <w:num w:numId="14">
    <w:abstractNumId w:val="7"/>
  </w:num>
  <w:num w:numId="15">
    <w:abstractNumId w:val="10"/>
  </w:num>
  <w:num w:numId="16">
    <w:abstractNumId w:val="29"/>
  </w:num>
  <w:num w:numId="17">
    <w:abstractNumId w:val="14"/>
  </w:num>
  <w:num w:numId="18">
    <w:abstractNumId w:val="26"/>
  </w:num>
  <w:num w:numId="19">
    <w:abstractNumId w:val="1"/>
  </w:num>
  <w:num w:numId="20">
    <w:abstractNumId w:val="3"/>
  </w:num>
  <w:num w:numId="21">
    <w:abstractNumId w:val="15"/>
  </w:num>
  <w:num w:numId="22">
    <w:abstractNumId w:val="2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2"/>
  </w:num>
  <w:num w:numId="27">
    <w:abstractNumId w:val="12"/>
  </w:num>
  <w:num w:numId="28">
    <w:abstractNumId w:val="20"/>
  </w:num>
  <w:num w:numId="29">
    <w:abstractNumId w:val="20"/>
  </w:num>
  <w:num w:numId="30">
    <w:abstractNumId w:val="12"/>
  </w:num>
  <w:num w:numId="31">
    <w:abstractNumId w:val="5"/>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2"/>
  </w:num>
  <w:num w:numId="39">
    <w:abstractNumId w:val="20"/>
  </w:num>
  <w:num w:numId="40">
    <w:abstractNumId w:val="12"/>
  </w:num>
  <w:num w:numId="41">
    <w:abstractNumId w:val="17"/>
  </w:num>
  <w:num w:numId="42">
    <w:abstractNumId w:val="11"/>
  </w:num>
  <w:num w:numId="43">
    <w:abstractNumId w:val="18"/>
  </w:num>
  <w:num w:numId="44">
    <w:abstractNumId w:val="9"/>
  </w:num>
  <w:num w:numId="45">
    <w:abstractNumId w:val="12"/>
  </w:num>
  <w:num w:numId="46">
    <w:abstractNumId w:val="13"/>
  </w:num>
  <w:num w:numId="47">
    <w:abstractNumId w:val="16"/>
  </w:num>
  <w:num w:numId="48">
    <w:abstractNumId w:val="12"/>
  </w:num>
  <w:num w:numId="4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58FD"/>
    <w:rsid w:val="00017AD9"/>
    <w:rsid w:val="000226A1"/>
    <w:rsid w:val="00023643"/>
    <w:rsid w:val="00030477"/>
    <w:rsid w:val="00030FC3"/>
    <w:rsid w:val="000354F5"/>
    <w:rsid w:val="00036C7D"/>
    <w:rsid w:val="00040181"/>
    <w:rsid w:val="00041C11"/>
    <w:rsid w:val="0005222A"/>
    <w:rsid w:val="00053672"/>
    <w:rsid w:val="00056723"/>
    <w:rsid w:val="00060F58"/>
    <w:rsid w:val="000627AD"/>
    <w:rsid w:val="00065291"/>
    <w:rsid w:val="00070790"/>
    <w:rsid w:val="00076883"/>
    <w:rsid w:val="000800FA"/>
    <w:rsid w:val="00081B88"/>
    <w:rsid w:val="000831C0"/>
    <w:rsid w:val="000849EC"/>
    <w:rsid w:val="00090CD5"/>
    <w:rsid w:val="000927EE"/>
    <w:rsid w:val="00094EC7"/>
    <w:rsid w:val="00097408"/>
    <w:rsid w:val="000974B1"/>
    <w:rsid w:val="000A0DF7"/>
    <w:rsid w:val="000A1883"/>
    <w:rsid w:val="000A4844"/>
    <w:rsid w:val="000A7999"/>
    <w:rsid w:val="000B1075"/>
    <w:rsid w:val="000B31A2"/>
    <w:rsid w:val="000C7354"/>
    <w:rsid w:val="000D1451"/>
    <w:rsid w:val="000D7919"/>
    <w:rsid w:val="000D7C50"/>
    <w:rsid w:val="000E0132"/>
    <w:rsid w:val="000E07E4"/>
    <w:rsid w:val="000E189B"/>
    <w:rsid w:val="000E24A6"/>
    <w:rsid w:val="000E408B"/>
    <w:rsid w:val="000E5634"/>
    <w:rsid w:val="000E56A8"/>
    <w:rsid w:val="000E5C37"/>
    <w:rsid w:val="000E7C13"/>
    <w:rsid w:val="000F54F5"/>
    <w:rsid w:val="000F79D6"/>
    <w:rsid w:val="0010037F"/>
    <w:rsid w:val="00102238"/>
    <w:rsid w:val="001039C4"/>
    <w:rsid w:val="00105BDB"/>
    <w:rsid w:val="001065C5"/>
    <w:rsid w:val="00112B59"/>
    <w:rsid w:val="00113020"/>
    <w:rsid w:val="00116860"/>
    <w:rsid w:val="001215FE"/>
    <w:rsid w:val="0012295A"/>
    <w:rsid w:val="00131271"/>
    <w:rsid w:val="001338B0"/>
    <w:rsid w:val="00134E47"/>
    <w:rsid w:val="00136596"/>
    <w:rsid w:val="001375C3"/>
    <w:rsid w:val="0013762C"/>
    <w:rsid w:val="00143849"/>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21AA"/>
    <w:rsid w:val="001A3B2A"/>
    <w:rsid w:val="001A504D"/>
    <w:rsid w:val="001A5DF8"/>
    <w:rsid w:val="001A786B"/>
    <w:rsid w:val="001B1C55"/>
    <w:rsid w:val="001B5F4F"/>
    <w:rsid w:val="001B7E88"/>
    <w:rsid w:val="001C14EA"/>
    <w:rsid w:val="001C30BB"/>
    <w:rsid w:val="001C4CA0"/>
    <w:rsid w:val="001C747B"/>
    <w:rsid w:val="001D1FC8"/>
    <w:rsid w:val="001D268B"/>
    <w:rsid w:val="001D5911"/>
    <w:rsid w:val="001E1DE2"/>
    <w:rsid w:val="001E27EC"/>
    <w:rsid w:val="001E4722"/>
    <w:rsid w:val="001E5F7F"/>
    <w:rsid w:val="001E76A3"/>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200C"/>
    <w:rsid w:val="0025300A"/>
    <w:rsid w:val="0025411E"/>
    <w:rsid w:val="002556D8"/>
    <w:rsid w:val="00257686"/>
    <w:rsid w:val="00257EF9"/>
    <w:rsid w:val="00260D00"/>
    <w:rsid w:val="0026116A"/>
    <w:rsid w:val="00262D1B"/>
    <w:rsid w:val="002651E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2920"/>
    <w:rsid w:val="002C35E0"/>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0A3D"/>
    <w:rsid w:val="00343763"/>
    <w:rsid w:val="00345B84"/>
    <w:rsid w:val="00345E83"/>
    <w:rsid w:val="00347CA3"/>
    <w:rsid w:val="003549F4"/>
    <w:rsid w:val="00362433"/>
    <w:rsid w:val="00362AE0"/>
    <w:rsid w:val="00366F30"/>
    <w:rsid w:val="003702BE"/>
    <w:rsid w:val="0038098B"/>
    <w:rsid w:val="00385BFC"/>
    <w:rsid w:val="003876F8"/>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3F0D29"/>
    <w:rsid w:val="00400811"/>
    <w:rsid w:val="004010FB"/>
    <w:rsid w:val="00401301"/>
    <w:rsid w:val="00401FF0"/>
    <w:rsid w:val="004164C8"/>
    <w:rsid w:val="004230E7"/>
    <w:rsid w:val="004244F2"/>
    <w:rsid w:val="004251F8"/>
    <w:rsid w:val="00430158"/>
    <w:rsid w:val="004411D8"/>
    <w:rsid w:val="004413F1"/>
    <w:rsid w:val="00453A99"/>
    <w:rsid w:val="00456FE6"/>
    <w:rsid w:val="00457D9A"/>
    <w:rsid w:val="00461A05"/>
    <w:rsid w:val="00465493"/>
    <w:rsid w:val="00465EF9"/>
    <w:rsid w:val="00471596"/>
    <w:rsid w:val="004834F5"/>
    <w:rsid w:val="00486F32"/>
    <w:rsid w:val="004900DB"/>
    <w:rsid w:val="00491808"/>
    <w:rsid w:val="00496B53"/>
    <w:rsid w:val="004A129B"/>
    <w:rsid w:val="004B1A24"/>
    <w:rsid w:val="004B6544"/>
    <w:rsid w:val="004C3605"/>
    <w:rsid w:val="004C3B98"/>
    <w:rsid w:val="004C58D8"/>
    <w:rsid w:val="004D1477"/>
    <w:rsid w:val="004D33A7"/>
    <w:rsid w:val="004E1ABD"/>
    <w:rsid w:val="004E51D1"/>
    <w:rsid w:val="004E71FF"/>
    <w:rsid w:val="004E775C"/>
    <w:rsid w:val="004F391B"/>
    <w:rsid w:val="00503BB6"/>
    <w:rsid w:val="00504FA1"/>
    <w:rsid w:val="0050545F"/>
    <w:rsid w:val="005169B5"/>
    <w:rsid w:val="005207B7"/>
    <w:rsid w:val="00523CAB"/>
    <w:rsid w:val="005275E6"/>
    <w:rsid w:val="005308BB"/>
    <w:rsid w:val="00533CB2"/>
    <w:rsid w:val="0053546C"/>
    <w:rsid w:val="00541CDA"/>
    <w:rsid w:val="00547486"/>
    <w:rsid w:val="00550EFF"/>
    <w:rsid w:val="00556A0A"/>
    <w:rsid w:val="0055703A"/>
    <w:rsid w:val="00557DBA"/>
    <w:rsid w:val="00561F1C"/>
    <w:rsid w:val="00562B64"/>
    <w:rsid w:val="005717F4"/>
    <w:rsid w:val="00581A29"/>
    <w:rsid w:val="00585FA5"/>
    <w:rsid w:val="00586006"/>
    <w:rsid w:val="0058683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1FD7"/>
    <w:rsid w:val="005E4E9D"/>
    <w:rsid w:val="005E7402"/>
    <w:rsid w:val="005F3F33"/>
    <w:rsid w:val="005F42C5"/>
    <w:rsid w:val="005F4C9F"/>
    <w:rsid w:val="00600BCE"/>
    <w:rsid w:val="00601937"/>
    <w:rsid w:val="006032F2"/>
    <w:rsid w:val="00603A0D"/>
    <w:rsid w:val="00610AC8"/>
    <w:rsid w:val="00611080"/>
    <w:rsid w:val="006111AA"/>
    <w:rsid w:val="00611712"/>
    <w:rsid w:val="00612B4A"/>
    <w:rsid w:val="00623252"/>
    <w:rsid w:val="00631612"/>
    <w:rsid w:val="00635364"/>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615FD"/>
    <w:rsid w:val="006676B9"/>
    <w:rsid w:val="006705FE"/>
    <w:rsid w:val="00677EFB"/>
    <w:rsid w:val="006829A2"/>
    <w:rsid w:val="006856A7"/>
    <w:rsid w:val="00690AAF"/>
    <w:rsid w:val="0069159F"/>
    <w:rsid w:val="00692876"/>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500B"/>
    <w:rsid w:val="006E7E7E"/>
    <w:rsid w:val="006F2ECB"/>
    <w:rsid w:val="006F4A5B"/>
    <w:rsid w:val="006F6ABF"/>
    <w:rsid w:val="006F782D"/>
    <w:rsid w:val="006F78B9"/>
    <w:rsid w:val="0070095E"/>
    <w:rsid w:val="0070356D"/>
    <w:rsid w:val="007042B7"/>
    <w:rsid w:val="00706A06"/>
    <w:rsid w:val="0071468F"/>
    <w:rsid w:val="00721F4F"/>
    <w:rsid w:val="00727643"/>
    <w:rsid w:val="007301E9"/>
    <w:rsid w:val="00730C14"/>
    <w:rsid w:val="0073556F"/>
    <w:rsid w:val="00740C0F"/>
    <w:rsid w:val="00742A8D"/>
    <w:rsid w:val="00746CCF"/>
    <w:rsid w:val="00750F40"/>
    <w:rsid w:val="0075474E"/>
    <w:rsid w:val="0075483B"/>
    <w:rsid w:val="0076617D"/>
    <w:rsid w:val="007724D1"/>
    <w:rsid w:val="007768B0"/>
    <w:rsid w:val="007829E9"/>
    <w:rsid w:val="00785747"/>
    <w:rsid w:val="00785D65"/>
    <w:rsid w:val="00785DDF"/>
    <w:rsid w:val="00791319"/>
    <w:rsid w:val="0079187F"/>
    <w:rsid w:val="00791CF0"/>
    <w:rsid w:val="0079332F"/>
    <w:rsid w:val="007A3602"/>
    <w:rsid w:val="007B03E7"/>
    <w:rsid w:val="007B2282"/>
    <w:rsid w:val="007B6206"/>
    <w:rsid w:val="007B74E1"/>
    <w:rsid w:val="007C0526"/>
    <w:rsid w:val="007C198C"/>
    <w:rsid w:val="007C2F2F"/>
    <w:rsid w:val="007C364A"/>
    <w:rsid w:val="007C3AE6"/>
    <w:rsid w:val="007D3D17"/>
    <w:rsid w:val="007D7562"/>
    <w:rsid w:val="007E1147"/>
    <w:rsid w:val="007E124C"/>
    <w:rsid w:val="007E269D"/>
    <w:rsid w:val="007E379F"/>
    <w:rsid w:val="007F5F02"/>
    <w:rsid w:val="00807CF7"/>
    <w:rsid w:val="00811FA0"/>
    <w:rsid w:val="00814588"/>
    <w:rsid w:val="00815813"/>
    <w:rsid w:val="00816028"/>
    <w:rsid w:val="00816A31"/>
    <w:rsid w:val="00824E99"/>
    <w:rsid w:val="00825FC5"/>
    <w:rsid w:val="008306CC"/>
    <w:rsid w:val="00830FE1"/>
    <w:rsid w:val="00831204"/>
    <w:rsid w:val="00831521"/>
    <w:rsid w:val="008347D9"/>
    <w:rsid w:val="0083677A"/>
    <w:rsid w:val="00844254"/>
    <w:rsid w:val="00845FBE"/>
    <w:rsid w:val="00851FEC"/>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B0CA8"/>
    <w:rsid w:val="008B2936"/>
    <w:rsid w:val="008C5577"/>
    <w:rsid w:val="008C6A7A"/>
    <w:rsid w:val="008D2128"/>
    <w:rsid w:val="008D3217"/>
    <w:rsid w:val="008D4F8F"/>
    <w:rsid w:val="008E1517"/>
    <w:rsid w:val="008E2B30"/>
    <w:rsid w:val="008E363A"/>
    <w:rsid w:val="008E3EEA"/>
    <w:rsid w:val="008E6BB3"/>
    <w:rsid w:val="008E6EC7"/>
    <w:rsid w:val="008E7E5A"/>
    <w:rsid w:val="008E7F55"/>
    <w:rsid w:val="008F25B4"/>
    <w:rsid w:val="008F3D2C"/>
    <w:rsid w:val="008F6885"/>
    <w:rsid w:val="008F79E8"/>
    <w:rsid w:val="00901017"/>
    <w:rsid w:val="00911444"/>
    <w:rsid w:val="00912243"/>
    <w:rsid w:val="00914926"/>
    <w:rsid w:val="009158CB"/>
    <w:rsid w:val="00916293"/>
    <w:rsid w:val="0092538F"/>
    <w:rsid w:val="0092698E"/>
    <w:rsid w:val="009349DC"/>
    <w:rsid w:val="00935045"/>
    <w:rsid w:val="009464EA"/>
    <w:rsid w:val="00951656"/>
    <w:rsid w:val="00951B7E"/>
    <w:rsid w:val="00953B6C"/>
    <w:rsid w:val="00955E7B"/>
    <w:rsid w:val="009570B6"/>
    <w:rsid w:val="0095789C"/>
    <w:rsid w:val="009675E1"/>
    <w:rsid w:val="009719DE"/>
    <w:rsid w:val="0097584E"/>
    <w:rsid w:val="00982C42"/>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A2C15"/>
    <w:rsid w:val="00AA3CCC"/>
    <w:rsid w:val="00AA402D"/>
    <w:rsid w:val="00AA56AE"/>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03756"/>
    <w:rsid w:val="00B30006"/>
    <w:rsid w:val="00B32B50"/>
    <w:rsid w:val="00B33B1E"/>
    <w:rsid w:val="00B33EB1"/>
    <w:rsid w:val="00B44457"/>
    <w:rsid w:val="00B44E25"/>
    <w:rsid w:val="00B45130"/>
    <w:rsid w:val="00B46DA5"/>
    <w:rsid w:val="00B50EAD"/>
    <w:rsid w:val="00B51C48"/>
    <w:rsid w:val="00B54DC9"/>
    <w:rsid w:val="00B61061"/>
    <w:rsid w:val="00B667F9"/>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6503"/>
    <w:rsid w:val="00BF22E3"/>
    <w:rsid w:val="00BF396F"/>
    <w:rsid w:val="00BF48A1"/>
    <w:rsid w:val="00C03863"/>
    <w:rsid w:val="00C06438"/>
    <w:rsid w:val="00C07130"/>
    <w:rsid w:val="00C1440D"/>
    <w:rsid w:val="00C14AA9"/>
    <w:rsid w:val="00C14D48"/>
    <w:rsid w:val="00C158D5"/>
    <w:rsid w:val="00C2061F"/>
    <w:rsid w:val="00C2319B"/>
    <w:rsid w:val="00C23B02"/>
    <w:rsid w:val="00C259A7"/>
    <w:rsid w:val="00C261A8"/>
    <w:rsid w:val="00C26BAF"/>
    <w:rsid w:val="00C27CC2"/>
    <w:rsid w:val="00C34D42"/>
    <w:rsid w:val="00C4191F"/>
    <w:rsid w:val="00C41E96"/>
    <w:rsid w:val="00C45A8E"/>
    <w:rsid w:val="00C45B3B"/>
    <w:rsid w:val="00C50E44"/>
    <w:rsid w:val="00C52D6B"/>
    <w:rsid w:val="00C571B3"/>
    <w:rsid w:val="00C573A4"/>
    <w:rsid w:val="00C577E6"/>
    <w:rsid w:val="00C65AD5"/>
    <w:rsid w:val="00C66EE9"/>
    <w:rsid w:val="00C7276F"/>
    <w:rsid w:val="00C76F69"/>
    <w:rsid w:val="00C77F13"/>
    <w:rsid w:val="00C80692"/>
    <w:rsid w:val="00C81A31"/>
    <w:rsid w:val="00C82318"/>
    <w:rsid w:val="00C863F5"/>
    <w:rsid w:val="00C9108B"/>
    <w:rsid w:val="00C92F81"/>
    <w:rsid w:val="00C95CD4"/>
    <w:rsid w:val="00C96725"/>
    <w:rsid w:val="00CA690D"/>
    <w:rsid w:val="00CA6C8A"/>
    <w:rsid w:val="00CB1B63"/>
    <w:rsid w:val="00CB59C3"/>
    <w:rsid w:val="00CC15CC"/>
    <w:rsid w:val="00CC2B5A"/>
    <w:rsid w:val="00CC3915"/>
    <w:rsid w:val="00CC6A3C"/>
    <w:rsid w:val="00CD1C9B"/>
    <w:rsid w:val="00CD6046"/>
    <w:rsid w:val="00CD62B6"/>
    <w:rsid w:val="00CD778C"/>
    <w:rsid w:val="00CE0819"/>
    <w:rsid w:val="00CE133E"/>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287F"/>
    <w:rsid w:val="00D57B99"/>
    <w:rsid w:val="00D63140"/>
    <w:rsid w:val="00D635F5"/>
    <w:rsid w:val="00D64977"/>
    <w:rsid w:val="00D64EA9"/>
    <w:rsid w:val="00D66B01"/>
    <w:rsid w:val="00D66E43"/>
    <w:rsid w:val="00D67F0C"/>
    <w:rsid w:val="00D92C7C"/>
    <w:rsid w:val="00D938CE"/>
    <w:rsid w:val="00D94FBD"/>
    <w:rsid w:val="00D9516D"/>
    <w:rsid w:val="00D9565A"/>
    <w:rsid w:val="00D9593F"/>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5E45"/>
    <w:rsid w:val="00DF6087"/>
    <w:rsid w:val="00E015A3"/>
    <w:rsid w:val="00E02618"/>
    <w:rsid w:val="00E0408F"/>
    <w:rsid w:val="00E17A66"/>
    <w:rsid w:val="00E20603"/>
    <w:rsid w:val="00E2328D"/>
    <w:rsid w:val="00E23574"/>
    <w:rsid w:val="00E271B9"/>
    <w:rsid w:val="00E27AC2"/>
    <w:rsid w:val="00E30C8C"/>
    <w:rsid w:val="00E335DF"/>
    <w:rsid w:val="00E35A17"/>
    <w:rsid w:val="00E37725"/>
    <w:rsid w:val="00E41C42"/>
    <w:rsid w:val="00E427D8"/>
    <w:rsid w:val="00E50C43"/>
    <w:rsid w:val="00E51E85"/>
    <w:rsid w:val="00E5394A"/>
    <w:rsid w:val="00E5640E"/>
    <w:rsid w:val="00E56C05"/>
    <w:rsid w:val="00E56F27"/>
    <w:rsid w:val="00E62354"/>
    <w:rsid w:val="00E6376E"/>
    <w:rsid w:val="00E64C52"/>
    <w:rsid w:val="00E65C11"/>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69B7"/>
    <w:rsid w:val="00F3175D"/>
    <w:rsid w:val="00F35E09"/>
    <w:rsid w:val="00F36F19"/>
    <w:rsid w:val="00F36FE2"/>
    <w:rsid w:val="00F370BE"/>
    <w:rsid w:val="00F4040F"/>
    <w:rsid w:val="00F4540C"/>
    <w:rsid w:val="00F5045A"/>
    <w:rsid w:val="00F53CC3"/>
    <w:rsid w:val="00F54160"/>
    <w:rsid w:val="00F54543"/>
    <w:rsid w:val="00F60401"/>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1289"/>
    <w:rsid w:val="00F91C8A"/>
    <w:rsid w:val="00F91F7B"/>
    <w:rsid w:val="00F92753"/>
    <w:rsid w:val="00F977E8"/>
    <w:rsid w:val="00FA1419"/>
    <w:rsid w:val="00FA504A"/>
    <w:rsid w:val="00FA78CC"/>
    <w:rsid w:val="00FB0878"/>
    <w:rsid w:val="00FB21E9"/>
    <w:rsid w:val="00FB2FE9"/>
    <w:rsid w:val="00FB6821"/>
    <w:rsid w:val="00FB6FA0"/>
    <w:rsid w:val="00FC24F6"/>
    <w:rsid w:val="00FD597F"/>
    <w:rsid w:val="00FD6702"/>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CA97"/>
  <w15:docId w15:val="{1F73E5BF-E1AA-664C-8F4F-FA7F9395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5115"/>
        <w:tab w:val="num" w:pos="720"/>
      </w:tabs>
      <w:spacing w:before="240"/>
      <w:ind w:left="72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400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889389264">
      <w:bodyDiv w:val="1"/>
      <w:marLeft w:val="0"/>
      <w:marRight w:val="0"/>
      <w:marTop w:val="0"/>
      <w:marBottom w:val="0"/>
      <w:divBdr>
        <w:top w:val="none" w:sz="0" w:space="0" w:color="auto"/>
        <w:left w:val="none" w:sz="0" w:space="0" w:color="auto"/>
        <w:bottom w:val="none" w:sz="0" w:space="0" w:color="auto"/>
        <w:right w:val="none" w:sz="0" w:space="0" w:color="auto"/>
      </w:divBdr>
    </w:div>
    <w:div w:id="894897658">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662388920">
      <w:bodyDiv w:val="1"/>
      <w:marLeft w:val="0"/>
      <w:marRight w:val="0"/>
      <w:marTop w:val="0"/>
      <w:marBottom w:val="0"/>
      <w:divBdr>
        <w:top w:val="none" w:sz="0" w:space="0" w:color="auto"/>
        <w:left w:val="none" w:sz="0" w:space="0" w:color="auto"/>
        <w:bottom w:val="none" w:sz="0" w:space="0" w:color="auto"/>
        <w:right w:val="none" w:sz="0" w:space="0" w:color="auto"/>
      </w:divBdr>
    </w:div>
    <w:div w:id="17031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614E-6A5C-E040-8D7B-96AC4073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SJ Dennis</cp:lastModifiedBy>
  <cp:revision>3</cp:revision>
  <cp:lastPrinted>2018-01-26T14:36:00Z</cp:lastPrinted>
  <dcterms:created xsi:type="dcterms:W3CDTF">2019-10-08T13:48:00Z</dcterms:created>
  <dcterms:modified xsi:type="dcterms:W3CDTF">2019-10-11T10:34:00Z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