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45FB2E28" w14:textId="77777777" w:rsidR="00592739" w:rsidRPr="00103579" w:rsidRDefault="00592739" w:rsidP="00592739">
      <w:pPr>
        <w:jc w:val="both"/>
        <w:rPr>
          <w:rFonts w:ascii="Arial" w:hAnsi="Arial" w:cs="Arial"/>
          <w:b/>
          <w:sz w:val="28"/>
          <w:szCs w:val="28"/>
          <w:lang w:eastAsia="en-US"/>
        </w:rPr>
      </w:pPr>
    </w:p>
    <w:p w14:paraId="5CABDE65" w14:textId="685D3FDF" w:rsidR="0017670D" w:rsidRDefault="00592739" w:rsidP="00592739">
      <w:pPr>
        <w:pStyle w:val="NormalWeb"/>
        <w:spacing w:before="0" w:beforeAutospacing="0" w:after="0" w:afterAutospacing="0"/>
        <w:rPr>
          <w:rFonts w:ascii="Arial" w:hAnsi="Arial" w:cs="Arial"/>
        </w:rPr>
      </w:pPr>
      <w:r w:rsidRPr="007D4401">
        <w:rPr>
          <w:rFonts w:ascii="Arial" w:hAnsi="Arial" w:cs="Arial"/>
          <w:b/>
          <w:bCs/>
        </w:rPr>
        <w:t xml:space="preserve">Project Title: </w:t>
      </w:r>
      <w:r w:rsidR="0017670D">
        <w:rPr>
          <w:rFonts w:ascii="Arial" w:hAnsi="Arial" w:cs="Arial"/>
          <w:b/>
          <w:bCs/>
        </w:rPr>
        <w:t xml:space="preserve"> </w:t>
      </w:r>
      <w:r w:rsidR="0017670D">
        <w:rPr>
          <w:rFonts w:ascii="Arial" w:hAnsi="Arial" w:cs="Arial"/>
          <w:b/>
          <w:bCs/>
          <w:shd w:val="clear" w:color="auto" w:fill="FFFFFF"/>
        </w:rPr>
        <w:t>NHS Framework Agreement for Aseptically Prepared Cytotoxic Medicines and Monoclonal Antibodies f</w:t>
      </w:r>
      <w:r w:rsidR="0017670D">
        <w:rPr>
          <w:rFonts w:ascii="Arial" w:hAnsi="Arial" w:cs="Arial"/>
          <w:b/>
          <w:bCs/>
        </w:rPr>
        <w:t xml:space="preserve">or the Treatment of Cancer </w:t>
      </w:r>
      <w:r w:rsidR="0017670D">
        <w:rPr>
          <w:rFonts w:ascii="Arial" w:hAnsi="Arial" w:cs="Arial"/>
          <w:b/>
          <w:bCs/>
          <w:shd w:val="clear" w:color="auto" w:fill="FFFFFF"/>
        </w:rPr>
        <w:t xml:space="preserve">commencing </w:t>
      </w:r>
      <w:r w:rsidR="0017670D">
        <w:rPr>
          <w:rFonts w:ascii="Arial" w:hAnsi="Arial" w:cs="Arial"/>
          <w:b/>
          <w:bCs/>
        </w:rPr>
        <w:t>1 April 2024 to 31 March 2028 (covering regions East of England, London, North of England and South East)</w:t>
      </w:r>
    </w:p>
    <w:p w14:paraId="487F9F4F" w14:textId="77777777" w:rsidR="0017670D" w:rsidRDefault="0017670D" w:rsidP="0017670D">
      <w:pPr>
        <w:pStyle w:val="NormalWeb"/>
        <w:spacing w:before="0" w:beforeAutospacing="0" w:after="0" w:afterAutospacing="0"/>
        <w:rPr>
          <w:rFonts w:ascii="Arial" w:hAnsi="Arial" w:cs="Arial"/>
        </w:rPr>
      </w:pPr>
      <w:r>
        <w:rPr>
          <w:rFonts w:ascii="Arial" w:hAnsi="Arial" w:cs="Arial"/>
          <w:b/>
          <w:bCs/>
        </w:rPr>
        <w:t> </w:t>
      </w:r>
    </w:p>
    <w:p w14:paraId="630F72A3" w14:textId="4A4BF7ED" w:rsidR="0017670D" w:rsidRDefault="0017670D" w:rsidP="0017670D">
      <w:pPr>
        <w:pStyle w:val="NormalWeb"/>
        <w:spacing w:before="0" w:beforeAutospacing="0" w:after="0" w:afterAutospacing="0"/>
        <w:rPr>
          <w:rFonts w:ascii="Arial" w:hAnsi="Arial" w:cs="Arial"/>
        </w:rPr>
      </w:pPr>
      <w:r>
        <w:rPr>
          <w:rFonts w:ascii="Arial" w:hAnsi="Arial" w:cs="Arial"/>
          <w:b/>
          <w:bCs/>
        </w:rPr>
        <w:t>Tender Reference: CM/PHR/22/5686</w:t>
      </w:r>
      <w:r w:rsidR="00106E83">
        <w:rPr>
          <w:rFonts w:ascii="Arial" w:hAnsi="Arial" w:cs="Arial"/>
          <w:b/>
          <w:bCs/>
        </w:rPr>
        <w:t>/01</w:t>
      </w:r>
    </w:p>
    <w:p w14:paraId="76A25FF3" w14:textId="25DF0478" w:rsidR="0017670D" w:rsidRPr="00772871" w:rsidRDefault="0017670D" w:rsidP="0017670D">
      <w:pPr>
        <w:pStyle w:val="NormalWeb"/>
        <w:spacing w:before="0" w:beforeAutospacing="0" w:after="0" w:afterAutospacing="0"/>
        <w:rPr>
          <w:rFonts w:ascii="Arial" w:hAnsi="Arial" w:cs="Arial"/>
        </w:rPr>
      </w:pPr>
      <w:r>
        <w:rPr>
          <w:rFonts w:ascii="Arial" w:hAnsi="Arial" w:cs="Arial"/>
          <w:b/>
          <w:bCs/>
        </w:rPr>
        <w:t xml:space="preserve">   </w:t>
      </w:r>
    </w:p>
    <w:p w14:paraId="2B420D5D" w14:textId="77777777" w:rsidR="00500DB5" w:rsidRDefault="00500DB5" w:rsidP="00500DB5">
      <w:pPr>
        <w:tabs>
          <w:tab w:val="left" w:pos="1985"/>
          <w:tab w:val="left" w:pos="3544"/>
        </w:tabs>
        <w:rPr>
          <w:rFonts w:ascii="Arial" w:hAnsi="Arial" w:cs="Arial"/>
          <w:b/>
        </w:rPr>
      </w:pPr>
    </w:p>
    <w:p w14:paraId="59287CF2" w14:textId="1F2950ED" w:rsidR="00295719"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014E3213" w14:textId="77777777" w:rsidR="00295719" w:rsidRPr="006F3400" w:rsidRDefault="00295719" w:rsidP="006300F9">
      <w:pPr>
        <w:numPr>
          <w:ilvl w:val="0"/>
          <w:numId w:val="8"/>
        </w:numPr>
        <w:spacing w:before="240"/>
        <w:ind w:left="680" w:hanging="680"/>
        <w:jc w:val="both"/>
        <w:rPr>
          <w:rFonts w:ascii="Arial" w:hAnsi="Arial" w:cs="Arial"/>
          <w:b/>
          <w:lang w:eastAsia="en-US"/>
        </w:rPr>
      </w:pPr>
      <w:r w:rsidRPr="006F3400">
        <w:rPr>
          <w:rFonts w:ascii="Arial" w:hAnsi="Arial" w:cs="Arial"/>
          <w:b/>
          <w:lang w:eastAsia="en-US"/>
        </w:rPr>
        <w:t>The Commercial Medicines Unit</w:t>
      </w:r>
    </w:p>
    <w:p w14:paraId="4D8DBC46" w14:textId="0463AE4D" w:rsidR="00295719" w:rsidRPr="006F3400" w:rsidRDefault="00295719" w:rsidP="006300F9">
      <w:pPr>
        <w:tabs>
          <w:tab w:val="left" w:pos="709"/>
        </w:tabs>
        <w:spacing w:before="240"/>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 xml:space="preserve">The Participating Authorities are the organisations specified in </w:t>
      </w:r>
      <w:r w:rsidR="00772871">
        <w:rPr>
          <w:rFonts w:ascii="Arial" w:hAnsi="Arial" w:cs="Arial"/>
          <w:color w:val="000000"/>
          <w:lang w:eastAsia="en-US"/>
        </w:rPr>
        <w:t xml:space="preserve">Document No. 09. </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Default="004F06BB" w:rsidP="00295719">
      <w:pPr>
        <w:spacing w:before="240"/>
        <w:ind w:left="709" w:hanging="709"/>
        <w:jc w:val="both"/>
        <w:rPr>
          <w:rFonts w:ascii="Arial" w:hAnsi="Arial" w:cs="Arial"/>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lastRenderedPageBreak/>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lastRenderedPageBreak/>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3C4D61D2" w14:textId="77777777" w:rsidR="00295719"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3C7016A7" w14:textId="77777777" w:rsidR="006F25C0" w:rsidRPr="006F3400" w:rsidRDefault="006F25C0"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lastRenderedPageBreak/>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AB3D01F" w14:textId="1AD83769" w:rsidR="00D2459D" w:rsidRPr="00C10759" w:rsidRDefault="00D2459D" w:rsidP="00772871">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Offerors will not be required to submit physical samples of each item offered against this tender at this time, however the Authority retains the right to request samples should the Authority decide they will be required. Any such samples shall be provided free of charge.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pPr>
        <w:numPr>
          <w:ilvl w:val="1"/>
          <w:numId w:val="10"/>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3DF32363" w14:textId="27182B45" w:rsidR="000331ED" w:rsidRPr="006F3400" w:rsidRDefault="000331ED" w:rsidP="00DC20BE">
      <w:pPr>
        <w:ind w:left="720" w:hanging="720"/>
        <w:jc w:val="both"/>
        <w:rPr>
          <w:rFonts w:ascii="Arial" w:hAnsi="Arial" w:cs="Arial"/>
          <w:lang w:eastAsia="en-US"/>
        </w:rPr>
      </w:pPr>
      <w:r w:rsidRPr="006F3400">
        <w:rPr>
          <w:rFonts w:ascii="Arial" w:eastAsia="Calibri" w:hAnsi="Arial" w:cs="Arial"/>
        </w:rPr>
        <w:t>8.2</w:t>
      </w:r>
      <w:r w:rsidRPr="006F3400">
        <w:rPr>
          <w:rFonts w:ascii="Arial" w:eastAsia="Calibri" w:hAnsi="Arial" w:cs="Arial"/>
        </w:rPr>
        <w:tab/>
      </w: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25C0" w:rsidRDefault="000331ED">
      <w:pPr>
        <w:numPr>
          <w:ilvl w:val="1"/>
          <w:numId w:val="11"/>
        </w:numPr>
        <w:spacing w:after="240"/>
        <w:ind w:left="0" w:firstLine="0"/>
        <w:rPr>
          <w:rFonts w:ascii="Arial" w:hAnsi="Arial" w:cs="Arial"/>
          <w:snapToGrid w:val="0"/>
          <w:lang w:eastAsia="en-US"/>
        </w:rPr>
      </w:pPr>
      <w:r w:rsidRPr="006F25C0">
        <w:rPr>
          <w:rFonts w:ascii="Arial" w:hAnsi="Arial" w:cs="Arial"/>
          <w:snapToGrid w:val="0"/>
          <w:lang w:eastAsia="en-US"/>
        </w:rPr>
        <w:t>Offers must comprise:</w:t>
      </w:r>
    </w:p>
    <w:p w14:paraId="53C0D39E" w14:textId="54FDA146" w:rsidR="000331ED" w:rsidRPr="00536CDE" w:rsidRDefault="000331ED">
      <w:pPr>
        <w:numPr>
          <w:ilvl w:val="2"/>
          <w:numId w:val="11"/>
        </w:numPr>
        <w:spacing w:after="240"/>
        <w:ind w:left="1560" w:hanging="851"/>
        <w:jc w:val="both"/>
        <w:rPr>
          <w:rFonts w:ascii="Arial" w:hAnsi="Arial" w:cs="Arial"/>
          <w:snapToGrid w:val="0"/>
          <w:lang w:eastAsia="en-US"/>
        </w:rPr>
      </w:pPr>
      <w:r w:rsidRPr="002A3AA4">
        <w:rPr>
          <w:rFonts w:ascii="Arial" w:hAnsi="Arial" w:cs="Arial"/>
          <w:lang w:eastAsia="en-US"/>
        </w:rPr>
        <w:lastRenderedPageBreak/>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r w:rsidR="00536CDE">
        <w:rPr>
          <w:rFonts w:ascii="Arial" w:hAnsi="Arial" w:cs="Arial"/>
          <w:lang w:eastAsia="en-US"/>
        </w:rPr>
        <w:t>;</w:t>
      </w:r>
    </w:p>
    <w:p w14:paraId="039EAB31" w14:textId="6460DE8F" w:rsidR="00536CDE" w:rsidRPr="00536CDE" w:rsidRDefault="001E0CAC">
      <w:pPr>
        <w:numPr>
          <w:ilvl w:val="2"/>
          <w:numId w:val="11"/>
        </w:numPr>
        <w:spacing w:after="240"/>
        <w:ind w:left="1560" w:hanging="851"/>
        <w:jc w:val="both"/>
        <w:rPr>
          <w:rFonts w:ascii="Arial" w:hAnsi="Arial" w:cs="Arial"/>
          <w:snapToGrid w:val="0"/>
          <w:lang w:eastAsia="en-US"/>
        </w:rPr>
      </w:pPr>
      <w:r>
        <w:rPr>
          <w:rFonts w:ascii="Arial" w:hAnsi="Arial" w:cs="Arial"/>
          <w:lang w:eastAsia="en-US"/>
        </w:rPr>
        <w:t>c</w:t>
      </w:r>
      <w:r w:rsidR="00536CDE">
        <w:rPr>
          <w:rFonts w:ascii="Arial" w:hAnsi="Arial" w:cs="Arial"/>
          <w:lang w:eastAsia="en-US"/>
        </w:rPr>
        <w:t>onfirmation of acceptance of Document No. 04a – Conformance Specification (to be completed on the Atamis website);</w:t>
      </w:r>
    </w:p>
    <w:p w14:paraId="043AF12F" w14:textId="77A6C4FB" w:rsidR="00536CDE" w:rsidRPr="00536CDE" w:rsidRDefault="001E0CAC">
      <w:pPr>
        <w:numPr>
          <w:ilvl w:val="2"/>
          <w:numId w:val="11"/>
        </w:numPr>
        <w:spacing w:after="240"/>
        <w:ind w:left="1560" w:hanging="851"/>
        <w:jc w:val="both"/>
        <w:rPr>
          <w:rFonts w:ascii="Arial" w:hAnsi="Arial" w:cs="Arial"/>
          <w:snapToGrid w:val="0"/>
          <w:lang w:eastAsia="en-US"/>
        </w:rPr>
      </w:pPr>
      <w:r>
        <w:rPr>
          <w:rFonts w:ascii="Arial" w:hAnsi="Arial" w:cs="Arial"/>
          <w:lang w:eastAsia="en-US"/>
        </w:rPr>
        <w:t>c</w:t>
      </w:r>
      <w:r w:rsidR="00536CDE">
        <w:rPr>
          <w:rFonts w:ascii="Arial" w:hAnsi="Arial" w:cs="Arial"/>
          <w:lang w:eastAsia="en-US"/>
        </w:rPr>
        <w:t>ompletion of Document No. 04b – Performance Specification;</w:t>
      </w:r>
    </w:p>
    <w:p w14:paraId="150A0EAF" w14:textId="4D92FEA7" w:rsidR="00536CDE" w:rsidRDefault="001E0CAC">
      <w:pPr>
        <w:numPr>
          <w:ilvl w:val="2"/>
          <w:numId w:val="11"/>
        </w:numPr>
        <w:spacing w:after="240"/>
        <w:ind w:left="1560" w:hanging="851"/>
        <w:jc w:val="both"/>
        <w:rPr>
          <w:rFonts w:ascii="Arial" w:hAnsi="Arial" w:cs="Arial"/>
          <w:snapToGrid w:val="0"/>
          <w:lang w:eastAsia="en-US"/>
        </w:rPr>
      </w:pPr>
      <w:r>
        <w:rPr>
          <w:rFonts w:ascii="Arial" w:hAnsi="Arial" w:cs="Arial"/>
          <w:snapToGrid w:val="0"/>
          <w:lang w:eastAsia="en-US"/>
        </w:rPr>
        <w:t>c</w:t>
      </w:r>
      <w:r w:rsidR="00536CDE">
        <w:rPr>
          <w:rFonts w:ascii="Arial" w:hAnsi="Arial" w:cs="Arial"/>
          <w:snapToGrid w:val="0"/>
          <w:lang w:eastAsia="en-US"/>
        </w:rPr>
        <w:t>ompletion of Document No. 05 – Offer Schedule;</w:t>
      </w:r>
    </w:p>
    <w:p w14:paraId="706BF67E" w14:textId="078DB557" w:rsidR="000331ED" w:rsidRPr="00536CDE" w:rsidRDefault="001E0CAC">
      <w:pPr>
        <w:numPr>
          <w:ilvl w:val="2"/>
          <w:numId w:val="11"/>
        </w:numPr>
        <w:spacing w:after="240"/>
        <w:ind w:left="1560" w:hanging="851"/>
        <w:jc w:val="both"/>
        <w:rPr>
          <w:rFonts w:ascii="Arial" w:hAnsi="Arial" w:cs="Arial"/>
          <w:snapToGrid w:val="0"/>
          <w:lang w:eastAsia="en-US"/>
        </w:rPr>
      </w:pPr>
      <w:r>
        <w:rPr>
          <w:rFonts w:ascii="Arial" w:hAnsi="Arial" w:cs="Arial"/>
          <w:snapToGrid w:val="0"/>
          <w:lang w:eastAsia="en-US"/>
        </w:rPr>
        <w:t>c</w:t>
      </w:r>
      <w:r w:rsidR="00536CDE">
        <w:rPr>
          <w:rFonts w:ascii="Arial" w:hAnsi="Arial" w:cs="Arial"/>
          <w:snapToGrid w:val="0"/>
          <w:lang w:eastAsia="en-US"/>
        </w:rPr>
        <w:t xml:space="preserve">onfirmation of acceptance of </w:t>
      </w:r>
      <w:r w:rsidR="000331ED" w:rsidRPr="00536CDE">
        <w:rPr>
          <w:rFonts w:ascii="Arial" w:hAnsi="Arial" w:cs="Arial"/>
          <w:lang w:eastAsia="en-US"/>
        </w:rPr>
        <w:t>Document No. 06</w:t>
      </w:r>
      <w:r w:rsidR="00536CDE">
        <w:rPr>
          <w:rFonts w:ascii="Arial" w:hAnsi="Arial" w:cs="Arial"/>
          <w:lang w:eastAsia="en-US"/>
        </w:rPr>
        <w:t xml:space="preserve"> – Form of offer (</w:t>
      </w:r>
      <w:r w:rsidR="000331ED" w:rsidRPr="00536CDE">
        <w:rPr>
          <w:rFonts w:ascii="Arial" w:hAnsi="Arial" w:cs="Arial"/>
          <w:lang w:eastAsia="en-US"/>
        </w:rPr>
        <w:t xml:space="preserve">to be completed on the </w:t>
      </w:r>
      <w:r w:rsidR="00B61A35" w:rsidRPr="00536CDE">
        <w:rPr>
          <w:rFonts w:ascii="Arial" w:hAnsi="Arial" w:cs="Arial"/>
          <w:lang w:eastAsia="en-US"/>
        </w:rPr>
        <w:t>Atamis</w:t>
      </w:r>
      <w:r w:rsidR="000331ED" w:rsidRPr="00536CDE">
        <w:rPr>
          <w:rFonts w:ascii="Arial" w:hAnsi="Arial" w:cs="Arial"/>
          <w:lang w:eastAsia="en-US"/>
        </w:rPr>
        <w:t xml:space="preserve"> website)</w:t>
      </w:r>
      <w:r w:rsidR="00536CDE">
        <w:rPr>
          <w:rFonts w:ascii="Arial" w:hAnsi="Arial" w:cs="Arial"/>
          <w:lang w:eastAsia="en-US"/>
        </w:rPr>
        <w:t>;</w:t>
      </w:r>
    </w:p>
    <w:p w14:paraId="2DE59CA8" w14:textId="5F7B04DB" w:rsidR="00536CDE" w:rsidRDefault="001E0CAC">
      <w:pPr>
        <w:numPr>
          <w:ilvl w:val="2"/>
          <w:numId w:val="11"/>
        </w:numPr>
        <w:spacing w:after="240"/>
        <w:ind w:left="1560" w:hanging="851"/>
        <w:jc w:val="both"/>
        <w:rPr>
          <w:rFonts w:ascii="Arial" w:hAnsi="Arial" w:cs="Arial"/>
          <w:snapToGrid w:val="0"/>
          <w:lang w:eastAsia="en-US"/>
        </w:rPr>
      </w:pPr>
      <w:r>
        <w:rPr>
          <w:rFonts w:ascii="Arial" w:hAnsi="Arial" w:cs="Arial"/>
          <w:snapToGrid w:val="0"/>
          <w:lang w:eastAsia="en-US"/>
        </w:rPr>
        <w:t>c</w:t>
      </w:r>
      <w:r w:rsidR="00536CDE">
        <w:rPr>
          <w:rFonts w:ascii="Arial" w:hAnsi="Arial" w:cs="Arial"/>
          <w:snapToGrid w:val="0"/>
          <w:lang w:eastAsia="en-US"/>
        </w:rPr>
        <w:t xml:space="preserve">ompletion of Document No. 07a </w:t>
      </w:r>
      <w:r w:rsidR="00031C6F">
        <w:rPr>
          <w:rFonts w:ascii="Arial" w:hAnsi="Arial" w:cs="Arial"/>
          <w:snapToGrid w:val="0"/>
          <w:lang w:eastAsia="en-US"/>
        </w:rPr>
        <w:t>–</w:t>
      </w:r>
      <w:r w:rsidR="00536CDE">
        <w:rPr>
          <w:rFonts w:ascii="Arial" w:hAnsi="Arial" w:cs="Arial"/>
          <w:snapToGrid w:val="0"/>
          <w:lang w:eastAsia="en-US"/>
        </w:rPr>
        <w:t xml:space="preserve"> </w:t>
      </w:r>
      <w:r w:rsidR="00031C6F">
        <w:rPr>
          <w:rFonts w:ascii="Arial" w:hAnsi="Arial" w:cs="Arial"/>
          <w:snapToGrid w:val="0"/>
          <w:lang w:eastAsia="en-US"/>
        </w:rPr>
        <w:t>Aseptically Prepared Specials and Manufacturing Assessments;</w:t>
      </w:r>
    </w:p>
    <w:p w14:paraId="452A871D" w14:textId="0B905056" w:rsidR="00031C6F" w:rsidRDefault="001E0CAC">
      <w:pPr>
        <w:numPr>
          <w:ilvl w:val="2"/>
          <w:numId w:val="11"/>
        </w:numPr>
        <w:spacing w:after="240"/>
        <w:ind w:left="1560" w:hanging="851"/>
        <w:jc w:val="both"/>
        <w:rPr>
          <w:rFonts w:ascii="Arial" w:hAnsi="Arial" w:cs="Arial"/>
          <w:snapToGrid w:val="0"/>
          <w:lang w:eastAsia="en-US"/>
        </w:rPr>
      </w:pPr>
      <w:r>
        <w:rPr>
          <w:rFonts w:ascii="Arial" w:hAnsi="Arial" w:cs="Arial"/>
          <w:snapToGrid w:val="0"/>
          <w:lang w:eastAsia="en-US"/>
        </w:rPr>
        <w:t>c</w:t>
      </w:r>
      <w:r w:rsidR="00031C6F">
        <w:rPr>
          <w:rFonts w:ascii="Arial" w:hAnsi="Arial" w:cs="Arial"/>
          <w:snapToGrid w:val="0"/>
          <w:lang w:eastAsia="en-US"/>
        </w:rPr>
        <w:t>ompletion of Document No. 07b – Basket of Goods;</w:t>
      </w:r>
    </w:p>
    <w:p w14:paraId="7917FFBB" w14:textId="10B77FC4" w:rsidR="00031C6F" w:rsidRDefault="001E0CAC">
      <w:pPr>
        <w:numPr>
          <w:ilvl w:val="2"/>
          <w:numId w:val="11"/>
        </w:numPr>
        <w:spacing w:after="240"/>
        <w:ind w:left="1560" w:hanging="851"/>
        <w:jc w:val="both"/>
        <w:rPr>
          <w:rFonts w:ascii="Arial" w:hAnsi="Arial" w:cs="Arial"/>
          <w:snapToGrid w:val="0"/>
          <w:lang w:eastAsia="en-US"/>
        </w:rPr>
      </w:pPr>
      <w:r>
        <w:rPr>
          <w:rFonts w:ascii="Arial" w:hAnsi="Arial" w:cs="Arial"/>
          <w:lang w:eastAsia="en-US"/>
        </w:rPr>
        <w:t>c</w:t>
      </w:r>
      <w:r w:rsidR="00031C6F" w:rsidRPr="00031C6F">
        <w:rPr>
          <w:rFonts w:ascii="Arial" w:hAnsi="Arial" w:cs="Arial"/>
          <w:lang w:eastAsia="en-US"/>
        </w:rPr>
        <w:t xml:space="preserve">ompletion of Document No. 08 - </w:t>
      </w:r>
      <w:r w:rsidR="000331ED" w:rsidRPr="00031C6F">
        <w:rPr>
          <w:rFonts w:ascii="Arial" w:hAnsi="Arial" w:cs="Arial"/>
          <w:lang w:eastAsia="en-US"/>
        </w:rPr>
        <w:t>C</w:t>
      </w:r>
      <w:r w:rsidR="00814BA6" w:rsidRPr="00031C6F">
        <w:rPr>
          <w:rFonts w:ascii="Arial" w:hAnsi="Arial" w:cs="Arial"/>
          <w:lang w:eastAsia="en-US"/>
        </w:rPr>
        <w:t xml:space="preserve">onfidential </w:t>
      </w:r>
      <w:r w:rsidR="00031C6F" w:rsidRPr="00031C6F">
        <w:rPr>
          <w:rFonts w:ascii="Arial" w:hAnsi="Arial" w:cs="Arial"/>
          <w:lang w:eastAsia="en-US"/>
        </w:rPr>
        <w:t>i</w:t>
      </w:r>
      <w:r w:rsidR="00814BA6" w:rsidRPr="00031C6F">
        <w:rPr>
          <w:rFonts w:ascii="Arial" w:hAnsi="Arial" w:cs="Arial"/>
          <w:lang w:eastAsia="en-US"/>
        </w:rPr>
        <w:t xml:space="preserve">nformation </w:t>
      </w:r>
      <w:r w:rsidR="00031C6F" w:rsidRPr="00031C6F">
        <w:rPr>
          <w:rFonts w:ascii="Arial" w:hAnsi="Arial" w:cs="Arial"/>
          <w:lang w:eastAsia="en-US"/>
        </w:rPr>
        <w:t>s</w:t>
      </w:r>
      <w:r w:rsidR="00814BA6" w:rsidRPr="00031C6F">
        <w:rPr>
          <w:rFonts w:ascii="Arial" w:hAnsi="Arial" w:cs="Arial"/>
          <w:lang w:eastAsia="en-US"/>
        </w:rPr>
        <w:t>chedule</w:t>
      </w:r>
      <w:r w:rsidR="006F25C0">
        <w:rPr>
          <w:rFonts w:ascii="Arial" w:hAnsi="Arial" w:cs="Arial"/>
          <w:lang w:eastAsia="en-US"/>
        </w:rPr>
        <w:t xml:space="preserve"> (i</w:t>
      </w:r>
      <w:r w:rsidR="000331ED" w:rsidRPr="00031C6F">
        <w:rPr>
          <w:rFonts w:ascii="Arial" w:hAnsi="Arial" w:cs="Arial"/>
          <w:lang w:eastAsia="en-US"/>
        </w:rPr>
        <w:t>f any</w:t>
      </w:r>
      <w:r w:rsidR="00814BA6" w:rsidRPr="00031C6F">
        <w:rPr>
          <w:rFonts w:ascii="Arial" w:hAnsi="Arial" w:cs="Arial"/>
          <w:lang w:eastAsia="en-US"/>
        </w:rPr>
        <w:t xml:space="preserve"> types of information are considered to be confidential by the Offeror</w:t>
      </w:r>
      <w:r w:rsidR="006F25C0">
        <w:rPr>
          <w:rFonts w:ascii="Arial" w:hAnsi="Arial" w:cs="Arial"/>
          <w:lang w:eastAsia="en-US"/>
        </w:rPr>
        <w:t>)</w:t>
      </w:r>
      <w:r w:rsidR="000331ED" w:rsidRPr="00031C6F">
        <w:rPr>
          <w:rFonts w:ascii="Arial" w:hAnsi="Arial" w:cs="Arial"/>
          <w:lang w:eastAsia="en-US"/>
        </w:rPr>
        <w:t xml:space="preserve">; </w:t>
      </w:r>
    </w:p>
    <w:p w14:paraId="10E69412" w14:textId="77777777" w:rsidR="00031C6F" w:rsidRDefault="000331ED">
      <w:pPr>
        <w:numPr>
          <w:ilvl w:val="2"/>
          <w:numId w:val="11"/>
        </w:numPr>
        <w:spacing w:after="240"/>
        <w:ind w:left="1560" w:hanging="851"/>
        <w:jc w:val="both"/>
        <w:rPr>
          <w:rFonts w:ascii="Arial" w:hAnsi="Arial" w:cs="Arial"/>
          <w:snapToGrid w:val="0"/>
          <w:lang w:eastAsia="en-US"/>
        </w:rPr>
      </w:pPr>
      <w:r w:rsidRPr="00031C6F">
        <w:rPr>
          <w:rFonts w:ascii="Arial" w:hAnsi="Arial" w:cs="Arial"/>
          <w:lang w:eastAsia="en-US"/>
        </w:rPr>
        <w:t>a statement of prompt settlement discounts, if available;</w:t>
      </w:r>
    </w:p>
    <w:p w14:paraId="33F51D3F" w14:textId="77777777" w:rsidR="00031C6F" w:rsidRDefault="000331ED">
      <w:pPr>
        <w:numPr>
          <w:ilvl w:val="2"/>
          <w:numId w:val="11"/>
        </w:numPr>
        <w:spacing w:after="240"/>
        <w:ind w:left="1560" w:hanging="851"/>
        <w:jc w:val="both"/>
        <w:rPr>
          <w:rFonts w:ascii="Arial" w:hAnsi="Arial" w:cs="Arial"/>
          <w:snapToGrid w:val="0"/>
          <w:lang w:eastAsia="en-US"/>
        </w:rPr>
      </w:pPr>
      <w:r w:rsidRPr="00031C6F">
        <w:rPr>
          <w:rFonts w:ascii="Arial" w:hAnsi="Arial" w:cs="Arial"/>
          <w:lang w:eastAsia="en-US"/>
        </w:rPr>
        <w:t>details of the Offeror’s ability, if any, to trade electronically;</w:t>
      </w:r>
    </w:p>
    <w:p w14:paraId="0823FFFD" w14:textId="144FAA99" w:rsidR="000331ED" w:rsidRPr="00031C6F" w:rsidRDefault="001E0CAC">
      <w:pPr>
        <w:numPr>
          <w:ilvl w:val="2"/>
          <w:numId w:val="11"/>
        </w:numPr>
        <w:spacing w:after="240"/>
        <w:ind w:left="1560" w:hanging="851"/>
        <w:jc w:val="both"/>
        <w:rPr>
          <w:rFonts w:ascii="Arial" w:hAnsi="Arial" w:cs="Arial"/>
          <w:snapToGrid w:val="0"/>
          <w:lang w:eastAsia="en-US"/>
        </w:rPr>
      </w:pPr>
      <w:r>
        <w:rPr>
          <w:rFonts w:ascii="Arial" w:hAnsi="Arial" w:cs="Arial"/>
          <w:lang w:eastAsia="en-US"/>
        </w:rPr>
        <w:t>c</w:t>
      </w:r>
      <w:r w:rsidR="000331ED" w:rsidRPr="00031C6F">
        <w:rPr>
          <w:rFonts w:ascii="Arial" w:hAnsi="Arial" w:cs="Arial"/>
          <w:lang w:eastAsia="en-US"/>
        </w:rPr>
        <w:t>onfirmation that any information previously supplied to the Authority in connection with the offer is still accurate and is incorporated by reference into the offer.</w:t>
      </w:r>
    </w:p>
    <w:p w14:paraId="0DFFFABA" w14:textId="77777777" w:rsidR="00A75063" w:rsidRDefault="000331ED" w:rsidP="00A75063">
      <w:pPr>
        <w:numPr>
          <w:ilvl w:val="1"/>
          <w:numId w:val="9"/>
        </w:numPr>
        <w:spacing w:after="240"/>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247C4D3D" w14:textId="10EDC6AB" w:rsidR="00A75063" w:rsidRDefault="000331ED" w:rsidP="00A75063">
      <w:pPr>
        <w:numPr>
          <w:ilvl w:val="1"/>
          <w:numId w:val="9"/>
        </w:numPr>
        <w:spacing w:after="240"/>
        <w:jc w:val="both"/>
        <w:rPr>
          <w:rFonts w:ascii="Arial" w:hAnsi="Arial" w:cs="Arial"/>
          <w:snapToGrid w:val="0"/>
          <w:lang w:eastAsia="en-US"/>
        </w:rPr>
      </w:pPr>
      <w:r w:rsidRPr="00A75063">
        <w:rPr>
          <w:rFonts w:ascii="Arial" w:hAnsi="Arial" w:cs="Arial"/>
          <w:snapToGrid w:val="0"/>
          <w:lang w:eastAsia="en-US"/>
        </w:rPr>
        <w:t>The Form of Offer and other documents referred to in paragraph 8.</w:t>
      </w:r>
      <w:r w:rsidR="00AF684A" w:rsidRPr="00A75063">
        <w:rPr>
          <w:rFonts w:ascii="Arial" w:hAnsi="Arial" w:cs="Arial"/>
          <w:snapToGrid w:val="0"/>
          <w:lang w:eastAsia="en-US"/>
        </w:rPr>
        <w:t>2</w:t>
      </w:r>
      <w:r w:rsidRPr="00A75063">
        <w:rPr>
          <w:rFonts w:ascii="Arial" w:hAnsi="Arial" w:cs="Arial"/>
          <w:snapToGrid w:val="0"/>
          <w:lang w:eastAsia="en-US"/>
        </w:rPr>
        <w:t xml:space="preserve"> above must be completed in full.  Any offer may be rejected which </w:t>
      </w:r>
      <w:r w:rsidR="00A75063">
        <w:rPr>
          <w:rFonts w:ascii="Arial" w:hAnsi="Arial" w:cs="Arial"/>
          <w:snapToGrid w:val="0"/>
          <w:lang w:eastAsia="en-US"/>
        </w:rPr>
        <w:t>–</w:t>
      </w:r>
    </w:p>
    <w:p w14:paraId="7AF1308A" w14:textId="77777777" w:rsidR="00A75063" w:rsidRDefault="000331ED" w:rsidP="00A75063">
      <w:pPr>
        <w:numPr>
          <w:ilvl w:val="2"/>
          <w:numId w:val="28"/>
        </w:numPr>
        <w:spacing w:after="240"/>
        <w:jc w:val="both"/>
        <w:rPr>
          <w:rFonts w:ascii="Arial" w:hAnsi="Arial" w:cs="Arial"/>
          <w:snapToGrid w:val="0"/>
          <w:lang w:eastAsia="en-US"/>
        </w:rPr>
      </w:pPr>
      <w:r w:rsidRPr="00A75063">
        <w:rPr>
          <w:rFonts w:ascii="Arial" w:hAnsi="Arial" w:cs="Arial"/>
          <w:lang w:eastAsia="en-US"/>
        </w:rPr>
        <w:t>contains gaps, omissions or obvious errors; or</w:t>
      </w:r>
    </w:p>
    <w:p w14:paraId="509888EC" w14:textId="77777777" w:rsidR="00A75063" w:rsidRDefault="000331ED" w:rsidP="00A75063">
      <w:pPr>
        <w:numPr>
          <w:ilvl w:val="2"/>
          <w:numId w:val="28"/>
        </w:numPr>
        <w:spacing w:after="240"/>
        <w:jc w:val="both"/>
        <w:rPr>
          <w:rFonts w:ascii="Arial" w:hAnsi="Arial" w:cs="Arial"/>
          <w:snapToGrid w:val="0"/>
          <w:lang w:eastAsia="en-US"/>
        </w:rPr>
      </w:pPr>
      <w:r w:rsidRPr="00A75063">
        <w:rPr>
          <w:rFonts w:ascii="Arial" w:hAnsi="Arial" w:cs="Arial"/>
          <w:lang w:eastAsia="en-US"/>
        </w:rPr>
        <w:t>is received after the closing time and date for the receipt of offers.</w:t>
      </w:r>
    </w:p>
    <w:p w14:paraId="73B2EDCF" w14:textId="77777777" w:rsidR="00A75063" w:rsidRDefault="000331ED" w:rsidP="00A75063">
      <w:pPr>
        <w:numPr>
          <w:ilvl w:val="1"/>
          <w:numId w:val="28"/>
        </w:numPr>
        <w:spacing w:after="240"/>
        <w:jc w:val="both"/>
        <w:rPr>
          <w:rFonts w:ascii="Arial" w:hAnsi="Arial" w:cs="Arial"/>
          <w:snapToGrid w:val="0"/>
          <w:lang w:eastAsia="en-US"/>
        </w:rPr>
      </w:pPr>
      <w:r w:rsidRPr="00A75063">
        <w:rPr>
          <w:rFonts w:ascii="Arial" w:hAnsi="Arial" w:cs="Arial"/>
          <w:snapToGrid w:val="0"/>
          <w:lang w:eastAsia="en-US"/>
        </w:rPr>
        <w:t xml:space="preserve">For clarification in completing the offer documentation, or commercial and/or technical queries please send a message via the </w:t>
      </w:r>
      <w:r w:rsidR="00B61A35" w:rsidRPr="00A75063">
        <w:rPr>
          <w:rFonts w:ascii="Arial" w:hAnsi="Arial" w:cs="Arial"/>
          <w:snapToGrid w:val="0"/>
          <w:lang w:eastAsia="en-US"/>
        </w:rPr>
        <w:t xml:space="preserve">Atamis </w:t>
      </w:r>
      <w:r w:rsidRPr="00A75063">
        <w:rPr>
          <w:rFonts w:ascii="Arial" w:hAnsi="Arial" w:cs="Arial"/>
          <w:snapToGrid w:val="0"/>
          <w:lang w:eastAsia="en-US"/>
        </w:rPr>
        <w:t xml:space="preserve">messaging portal: </w:t>
      </w:r>
      <w:r w:rsidR="00B61A35" w:rsidRPr="00A75063">
        <w:rPr>
          <w:rFonts w:ascii="Arial" w:hAnsi="Arial" w:cs="Arial"/>
          <w:snapToGrid w:val="0"/>
          <w:lang w:eastAsia="en-US"/>
        </w:rPr>
        <w:t xml:space="preserve">health.atamis.co.uk </w:t>
      </w:r>
      <w:r w:rsidRPr="00A75063">
        <w:rPr>
          <w:rFonts w:ascii="Arial" w:hAnsi="Arial" w:cs="Arial"/>
          <w:snapToGrid w:val="0"/>
          <w:lang w:eastAsia="en-US"/>
        </w:rPr>
        <w:t xml:space="preserve"> </w:t>
      </w:r>
    </w:p>
    <w:p w14:paraId="4032377D" w14:textId="77777777" w:rsidR="00A75063" w:rsidRPr="00A75063" w:rsidRDefault="000331ED" w:rsidP="00A75063">
      <w:pPr>
        <w:numPr>
          <w:ilvl w:val="1"/>
          <w:numId w:val="28"/>
        </w:numPr>
        <w:spacing w:after="240"/>
        <w:jc w:val="both"/>
        <w:rPr>
          <w:rFonts w:ascii="Arial" w:hAnsi="Arial" w:cs="Arial"/>
          <w:snapToGrid w:val="0"/>
          <w:lang w:eastAsia="en-US"/>
        </w:rPr>
      </w:pPr>
      <w:r w:rsidRPr="00A75063">
        <w:rPr>
          <w:rFonts w:ascii="Arial" w:hAnsi="Arial" w:cs="Arial"/>
          <w:snapToGrid w:val="0"/>
          <w:lang w:eastAsia="en-US"/>
        </w:rPr>
        <w:t xml:space="preserve">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w:t>
      </w:r>
      <w:r w:rsidRPr="00A75063">
        <w:rPr>
          <w:rFonts w:ascii="Arial" w:hAnsi="Arial" w:cs="Arial"/>
          <w:snapToGrid w:val="0"/>
          <w:lang w:eastAsia="en-US"/>
        </w:rPr>
        <w:lastRenderedPageBreak/>
        <w:t>response should be disclosed to other Offerors, it will give you the chance either to withdraw your query or have it answered. If the latter, then the Authority will disclose the query and the response to all other Offerors.</w:t>
      </w:r>
    </w:p>
    <w:p w14:paraId="6CA1B05C" w14:textId="28A479B3" w:rsidR="000331ED" w:rsidRPr="00A75063" w:rsidRDefault="00A75063" w:rsidP="00A75063">
      <w:pPr>
        <w:numPr>
          <w:ilvl w:val="1"/>
          <w:numId w:val="28"/>
        </w:numPr>
        <w:spacing w:after="240"/>
        <w:jc w:val="both"/>
        <w:rPr>
          <w:rFonts w:ascii="Arial" w:hAnsi="Arial" w:cs="Arial"/>
          <w:snapToGrid w:val="0"/>
          <w:lang w:eastAsia="en-US"/>
        </w:rPr>
      </w:pPr>
      <w:r w:rsidRPr="00A75063">
        <w:rPr>
          <w:rFonts w:ascii="Arial" w:hAnsi="Arial" w:cs="Arial"/>
        </w:rPr>
        <w:t>O</w:t>
      </w:r>
      <w:r w:rsidR="000331ED" w:rsidRPr="006F3400">
        <w:rPr>
          <w:rFonts w:ascii="Arial" w:hAnsi="Arial" w:cs="Arial"/>
          <w:snapToGrid w:val="0"/>
          <w:lang w:eastAsia="en-US"/>
        </w:rPr>
        <w:t>ffers and all documents relating to the offers must be written in English and submitted to the Authority via the Authority’s electronic tendering system by</w:t>
      </w:r>
      <w:r w:rsidR="000331ED" w:rsidRPr="006F3400">
        <w:rPr>
          <w:rFonts w:ascii="Arial" w:hAnsi="Arial" w:cs="Arial"/>
          <w:lang w:eastAsia="en-US"/>
        </w:rPr>
        <w:t xml:space="preserve"> </w:t>
      </w:r>
      <w:r w:rsidR="000331ED" w:rsidRPr="00DC20BE">
        <w:rPr>
          <w:rFonts w:ascii="Arial" w:hAnsi="Arial" w:cs="Arial"/>
          <w:b/>
        </w:rPr>
        <w:t xml:space="preserve">13:00 hours on </w:t>
      </w:r>
      <w:r w:rsidR="00963D1C" w:rsidRPr="00DC20BE">
        <w:rPr>
          <w:rFonts w:ascii="Arial" w:hAnsi="Arial" w:cs="Arial"/>
          <w:b/>
        </w:rPr>
        <w:t>1</w:t>
      </w:r>
      <w:r w:rsidR="00963D1C" w:rsidRPr="00DC20BE">
        <w:rPr>
          <w:rFonts w:ascii="Arial" w:hAnsi="Arial" w:cs="Arial"/>
          <w:b/>
          <w:vertAlign w:val="superscript"/>
        </w:rPr>
        <w:t>st</w:t>
      </w:r>
      <w:r w:rsidR="00963D1C" w:rsidRPr="00DC20BE">
        <w:rPr>
          <w:rFonts w:ascii="Arial" w:hAnsi="Arial" w:cs="Arial"/>
          <w:b/>
        </w:rPr>
        <w:t xml:space="preserve"> December 2023</w:t>
      </w:r>
      <w:r w:rsidR="00DC20BE" w:rsidRPr="00DC20BE">
        <w:rPr>
          <w:rFonts w:ascii="Arial" w:hAnsi="Arial" w:cs="Arial"/>
          <w:b/>
        </w:rPr>
        <w:t>.</w:t>
      </w:r>
    </w:p>
    <w:p w14:paraId="11F7A971" w14:textId="77777777" w:rsidR="000331ED" w:rsidRPr="006F3400" w:rsidRDefault="000331ED" w:rsidP="00CD562E">
      <w:pPr>
        <w:jc w:val="both"/>
        <w:rPr>
          <w:rFonts w:ascii="Arial" w:hAnsi="Arial" w:cs="Arial"/>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pPr>
        <w:pStyle w:val="PCSchedule2"/>
        <w:numPr>
          <w:ilvl w:val="2"/>
          <w:numId w:val="7"/>
        </w:numPr>
        <w:spacing w:after="0"/>
        <w:ind w:left="1418" w:hanging="851"/>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pPr>
        <w:pStyle w:val="PCSchedule2"/>
        <w:numPr>
          <w:ilvl w:val="2"/>
          <w:numId w:val="7"/>
        </w:numPr>
        <w:spacing w:after="0"/>
        <w:ind w:left="1418" w:hanging="851"/>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DC20BE">
      <w:pPr>
        <w:pStyle w:val="PCSchedule2"/>
        <w:numPr>
          <w:ilvl w:val="0"/>
          <w:numId w:val="0"/>
        </w:numPr>
        <w:spacing w:after="0"/>
        <w:ind w:left="1418" w:hanging="851"/>
        <w:rPr>
          <w:rFonts w:cs="Arial"/>
          <w:sz w:val="24"/>
          <w:szCs w:val="24"/>
        </w:rPr>
      </w:pPr>
    </w:p>
    <w:p w14:paraId="6DAEC27F" w14:textId="77777777" w:rsidR="0035419C" w:rsidRPr="006F3400" w:rsidRDefault="00F15049">
      <w:pPr>
        <w:pStyle w:val="PCSchedule2"/>
        <w:numPr>
          <w:ilvl w:val="2"/>
          <w:numId w:val="7"/>
        </w:numPr>
        <w:spacing w:after="0"/>
        <w:ind w:left="1418" w:hanging="851"/>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DC20BE">
      <w:pPr>
        <w:pStyle w:val="PCSchedule2"/>
        <w:numPr>
          <w:ilvl w:val="0"/>
          <w:numId w:val="0"/>
        </w:numPr>
        <w:spacing w:after="0"/>
        <w:ind w:left="1418" w:hanging="851"/>
        <w:rPr>
          <w:rFonts w:cs="Arial"/>
          <w:sz w:val="24"/>
          <w:szCs w:val="24"/>
        </w:rPr>
      </w:pPr>
    </w:p>
    <w:p w14:paraId="1888337D" w14:textId="77777777" w:rsidR="0035419C" w:rsidRPr="006F3400" w:rsidRDefault="00F15049">
      <w:pPr>
        <w:pStyle w:val="PCSchedule2"/>
        <w:numPr>
          <w:ilvl w:val="2"/>
          <w:numId w:val="7"/>
        </w:numPr>
        <w:spacing w:after="0"/>
        <w:ind w:left="1418" w:hanging="851"/>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DC20BE">
      <w:pPr>
        <w:pStyle w:val="PCSchedule2"/>
        <w:numPr>
          <w:ilvl w:val="0"/>
          <w:numId w:val="0"/>
        </w:numPr>
        <w:spacing w:after="0"/>
        <w:ind w:left="1418" w:hanging="851"/>
        <w:rPr>
          <w:rFonts w:cs="Arial"/>
          <w:sz w:val="24"/>
          <w:szCs w:val="24"/>
        </w:rPr>
      </w:pPr>
    </w:p>
    <w:p w14:paraId="01C64620" w14:textId="77777777" w:rsidR="00F15049" w:rsidRPr="006F3400" w:rsidRDefault="00F15049">
      <w:pPr>
        <w:pStyle w:val="PCSchedule2"/>
        <w:numPr>
          <w:ilvl w:val="2"/>
          <w:numId w:val="7"/>
        </w:numPr>
        <w:spacing w:after="0"/>
        <w:ind w:left="1418" w:hanging="851"/>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1A7C4121" w14:textId="77777777" w:rsidR="003A25E3" w:rsidRPr="006F3400" w:rsidRDefault="003A25E3" w:rsidP="003C6FCF">
      <w:pPr>
        <w:numPr>
          <w:ilvl w:val="1"/>
          <w:numId w:val="0"/>
        </w:numPr>
        <w:tabs>
          <w:tab w:val="left" w:pos="709"/>
        </w:tabs>
        <w:ind w:left="567" w:hanging="567"/>
        <w:jc w:val="both"/>
        <w:outlineLvl w:val="1"/>
        <w:rPr>
          <w:rFonts w:ascii="Arial" w:hAnsi="Arial" w:cs="Arial"/>
        </w:rPr>
      </w:pPr>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lastRenderedPageBreak/>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77777777"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Where a framework agreement award is made, each Product within the Lot shall be awarded separately; each Product within the Lot will form a separate single supplier framework arrangement. The MEAT award criteria (described at 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pPr>
        <w:numPr>
          <w:ilvl w:val="0"/>
          <w:numId w:val="14"/>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pPr>
        <w:numPr>
          <w:ilvl w:val="0"/>
          <w:numId w:val="14"/>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pPr>
        <w:numPr>
          <w:ilvl w:val="0"/>
          <w:numId w:val="20"/>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pPr>
        <w:numPr>
          <w:ilvl w:val="0"/>
          <w:numId w:val="20"/>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pPr>
        <w:numPr>
          <w:ilvl w:val="0"/>
          <w:numId w:val="12"/>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pPr>
        <w:numPr>
          <w:ilvl w:val="0"/>
          <w:numId w:val="12"/>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Pr="006F3400" w:rsidRDefault="0012034A"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33006AF" w14:textId="77777777" w:rsidR="0012034A" w:rsidRPr="00934357" w:rsidRDefault="0012034A" w:rsidP="003A25E3">
      <w:pPr>
        <w:jc w:val="both"/>
        <w:rPr>
          <w:rFonts w:ascii="Arial" w:hAnsi="Arial" w:cs="Arial"/>
          <w:iCs/>
          <w:color w:val="000000"/>
        </w:rPr>
      </w:pPr>
      <w:r w:rsidRPr="003A25E3">
        <w:rPr>
          <w:rFonts w:ascii="Arial" w:hAnsi="Arial" w:cs="Arial"/>
          <w:iCs/>
          <w:color w:val="000000"/>
        </w:rPr>
        <w:lastRenderedPageBreak/>
        <w:t>Table1.  Further description of award criteria and standards</w:t>
      </w:r>
    </w:p>
    <w:p w14:paraId="547D4768" w14:textId="77777777" w:rsidR="0012034A" w:rsidRPr="00934357" w:rsidRDefault="0012034A" w:rsidP="003A25E3">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876"/>
        <w:gridCol w:w="4210"/>
        <w:gridCol w:w="4083"/>
      </w:tblGrid>
      <w:tr w:rsidR="003A25E3" w:rsidRPr="00934357" w14:paraId="646BA9C1" w14:textId="77777777" w:rsidTr="003A25E3">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4210" w:type="dxa"/>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4083" w:type="dxa"/>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3A25E3" w:rsidRPr="00934357" w14:paraId="345163B3" w14:textId="77777777" w:rsidTr="003A25E3">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4210" w:type="dxa"/>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4083" w:type="dxa"/>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3A25E3" w:rsidRPr="00934357" w14:paraId="3735734F" w14:textId="77777777" w:rsidTr="003A25E3">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4210" w:type="dxa"/>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4083" w:type="dxa"/>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pPr>
              <w:numPr>
                <w:ilvl w:val="0"/>
                <w:numId w:val="13"/>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pPr>
              <w:numPr>
                <w:ilvl w:val="0"/>
                <w:numId w:val="13"/>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pPr>
              <w:numPr>
                <w:ilvl w:val="0"/>
                <w:numId w:val="13"/>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pPr>
              <w:numPr>
                <w:ilvl w:val="0"/>
                <w:numId w:val="13"/>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pPr>
              <w:numPr>
                <w:ilvl w:val="0"/>
                <w:numId w:val="13"/>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3A25E3" w:rsidRPr="00934357" w14:paraId="69546A6C" w14:textId="77777777" w:rsidTr="00982F3F">
        <w:trPr>
          <w:trHeight w:val="2674"/>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66617BC8" w14:textId="77777777" w:rsidR="00D2459D" w:rsidRPr="00934357" w:rsidRDefault="00D2459D" w:rsidP="00D2459D">
            <w:pPr>
              <w:jc w:val="both"/>
              <w:rPr>
                <w:rFonts w:ascii="Arial" w:eastAsia="Calibri" w:hAnsi="Arial" w:cs="Arial"/>
                <w:color w:val="000000"/>
                <w:lang w:eastAsia="en-US"/>
              </w:rPr>
            </w:pPr>
          </w:p>
        </w:tc>
        <w:tc>
          <w:tcPr>
            <w:tcW w:w="4210" w:type="dxa"/>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1AD15392" w14:textId="3B32546A" w:rsidR="00D2459D" w:rsidRPr="003A25E3" w:rsidRDefault="00D2459D" w:rsidP="003A25E3">
            <w:pPr>
              <w:jc w:val="both"/>
              <w:rPr>
                <w:rFonts w:ascii="Arial" w:hAnsi="Arial" w:cs="Arial"/>
                <w:bCs/>
                <w:color w:val="000000"/>
              </w:rPr>
            </w:pPr>
            <w:r w:rsidRPr="00D2459D">
              <w:rPr>
                <w:rFonts w:ascii="Arial" w:hAnsi="Arial" w:cs="Arial"/>
                <w:bCs/>
                <w:color w:val="000000"/>
              </w:rPr>
              <w:t>Assessed according to the requirements disclosed in</w:t>
            </w:r>
            <w:r w:rsidR="003A25E3">
              <w:rPr>
                <w:rFonts w:ascii="Arial" w:hAnsi="Arial" w:cs="Arial"/>
                <w:bCs/>
                <w:color w:val="000000"/>
              </w:rPr>
              <w:t xml:space="preserve"> </w:t>
            </w:r>
            <w:bookmarkStart w:id="6" w:name="_Hlk149050065"/>
            <w:r w:rsidRPr="003A25E3">
              <w:rPr>
                <w:rFonts w:ascii="Arial" w:hAnsi="Arial" w:cs="Arial"/>
                <w:bCs/>
                <w:color w:val="000000"/>
              </w:rPr>
              <w:t>Document No. 0</w:t>
            </w:r>
            <w:r w:rsidR="003A25E3" w:rsidRPr="003A25E3">
              <w:rPr>
                <w:rFonts w:ascii="Arial" w:hAnsi="Arial" w:cs="Arial"/>
                <w:bCs/>
                <w:color w:val="000000"/>
              </w:rPr>
              <w:t>7a</w:t>
            </w:r>
            <w:r w:rsidRPr="003A25E3">
              <w:rPr>
                <w:rFonts w:ascii="Arial" w:hAnsi="Arial" w:cs="Arial"/>
                <w:bCs/>
                <w:color w:val="000000"/>
              </w:rPr>
              <w:t xml:space="preserve"> – As</w:t>
            </w:r>
            <w:r w:rsidR="003A25E3">
              <w:rPr>
                <w:rFonts w:ascii="Arial" w:hAnsi="Arial" w:cs="Arial"/>
                <w:bCs/>
                <w:color w:val="000000"/>
              </w:rPr>
              <w:t>eptically Prepared Specials Manufacturing Assessments a</w:t>
            </w:r>
            <w:r w:rsidRPr="003A25E3">
              <w:rPr>
                <w:rFonts w:ascii="Arial" w:hAnsi="Arial" w:cs="Arial"/>
                <w:bCs/>
                <w:color w:val="000000"/>
              </w:rPr>
              <w:t xml:space="preserve">nd Document No. 07b </w:t>
            </w:r>
            <w:r w:rsidR="003A25E3" w:rsidRPr="003A25E3">
              <w:rPr>
                <w:rFonts w:ascii="Arial" w:hAnsi="Arial" w:cs="Arial"/>
                <w:bCs/>
                <w:color w:val="000000"/>
              </w:rPr>
              <w:t>–</w:t>
            </w:r>
            <w:r w:rsidRPr="003A25E3">
              <w:rPr>
                <w:rFonts w:ascii="Arial" w:hAnsi="Arial" w:cs="Arial"/>
                <w:bCs/>
                <w:color w:val="000000"/>
              </w:rPr>
              <w:t xml:space="preserve"> </w:t>
            </w:r>
            <w:r w:rsidR="003A25E3" w:rsidRPr="003A25E3">
              <w:rPr>
                <w:rFonts w:ascii="Arial" w:hAnsi="Arial" w:cs="Arial"/>
                <w:bCs/>
                <w:color w:val="000000"/>
              </w:rPr>
              <w:t>Basket of Goods</w:t>
            </w:r>
            <w:bookmarkEnd w:id="6"/>
            <w:r w:rsidR="003A25E3">
              <w:rPr>
                <w:rFonts w:ascii="Arial" w:hAnsi="Arial" w:cs="Arial"/>
                <w:bCs/>
                <w:color w:val="000000"/>
              </w:rPr>
              <w:t>.</w:t>
            </w:r>
          </w:p>
        </w:tc>
        <w:tc>
          <w:tcPr>
            <w:tcW w:w="4083" w:type="dxa"/>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4A8E3B9C" w14:textId="77777777" w:rsidR="00D2459D" w:rsidRPr="00934357" w:rsidRDefault="00D2459D" w:rsidP="00D2459D">
            <w:pPr>
              <w:jc w:val="both"/>
              <w:rPr>
                <w:rFonts w:ascii="Arial" w:hAnsi="Arial" w:cs="Arial"/>
                <w:color w:val="000000"/>
              </w:rPr>
            </w:pPr>
          </w:p>
          <w:p w14:paraId="00D59EC4" w14:textId="2C02AC48" w:rsidR="003A25E3" w:rsidRDefault="003A25E3" w:rsidP="00D2459D">
            <w:pPr>
              <w:jc w:val="both"/>
              <w:rPr>
                <w:rFonts w:ascii="Arial" w:hAnsi="Arial" w:cs="Arial"/>
                <w:color w:val="000000"/>
                <w:shd w:val="clear" w:color="auto" w:fill="FFC000"/>
              </w:rPr>
            </w:pPr>
            <w:r w:rsidRPr="003A25E3">
              <w:rPr>
                <w:rFonts w:ascii="Arial" w:hAnsi="Arial" w:cs="Arial"/>
                <w:color w:val="000000"/>
              </w:rPr>
              <w:t>In accordance with the criterion as detailed</w:t>
            </w:r>
            <w:r>
              <w:rPr>
                <w:rFonts w:ascii="Arial" w:hAnsi="Arial" w:cs="Arial"/>
                <w:color w:val="000000"/>
              </w:rPr>
              <w:t xml:space="preserve"> in </w:t>
            </w:r>
            <w:r w:rsidRPr="003A25E3">
              <w:rPr>
                <w:rFonts w:ascii="Arial" w:hAnsi="Arial" w:cs="Arial"/>
                <w:bCs/>
                <w:color w:val="000000"/>
              </w:rPr>
              <w:t>Document No. 07a – As</w:t>
            </w:r>
            <w:r>
              <w:rPr>
                <w:rFonts w:ascii="Arial" w:hAnsi="Arial" w:cs="Arial"/>
                <w:bCs/>
                <w:color w:val="000000"/>
              </w:rPr>
              <w:t>eptically Prepared Specials Manufacturing Assessments a</w:t>
            </w:r>
            <w:r w:rsidRPr="003A25E3">
              <w:rPr>
                <w:rFonts w:ascii="Arial" w:hAnsi="Arial" w:cs="Arial"/>
                <w:bCs/>
                <w:color w:val="000000"/>
              </w:rPr>
              <w:t>nd Document No. 07b – Basket of Goods</w:t>
            </w:r>
            <w:r>
              <w:rPr>
                <w:rFonts w:ascii="Arial" w:hAnsi="Arial" w:cs="Arial"/>
                <w:bCs/>
                <w:color w:val="000000"/>
              </w:rPr>
              <w:t>.</w:t>
            </w:r>
          </w:p>
          <w:p w14:paraId="4D91B187" w14:textId="5C8707C9" w:rsidR="00D2459D" w:rsidRPr="00D2459D" w:rsidRDefault="00D2459D" w:rsidP="00D2459D">
            <w:pPr>
              <w:jc w:val="both"/>
              <w:rPr>
                <w:rFonts w:ascii="Arial" w:eastAsia="Calibri" w:hAnsi="Arial" w:cs="Arial"/>
                <w:color w:val="000000"/>
                <w:lang w:eastAsia="en-US"/>
              </w:rPr>
            </w:pPr>
          </w:p>
        </w:tc>
      </w:tr>
      <w:tr w:rsidR="003A25E3" w:rsidRPr="00934357" w14:paraId="2861783C" w14:textId="77777777" w:rsidTr="00982F3F">
        <w:trPr>
          <w:trHeight w:val="2455"/>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4210" w:type="dxa"/>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4083" w:type="dxa"/>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 xml:space="preserve">The Successful Offeror's distribution routes allow greater flexibility for </w:t>
            </w:r>
            <w:r w:rsidRPr="00982F3F">
              <w:rPr>
                <w:rFonts w:ascii="Arial" w:hAnsi="Arial" w:cs="Arial"/>
                <w:color w:val="000000"/>
              </w:rPr>
              <w:t>ordering across</w:t>
            </w:r>
            <w:r w:rsidRPr="00934357">
              <w:rPr>
                <w:rFonts w:ascii="Arial" w:hAnsi="Arial" w:cs="Arial"/>
                <w:color w:val="000000"/>
              </w:rPr>
              <w:t xml:space="preserve">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pPr>
        <w:numPr>
          <w:ilvl w:val="1"/>
          <w:numId w:val="21"/>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pPr>
        <w:numPr>
          <w:ilvl w:val="2"/>
          <w:numId w:val="21"/>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77777777"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1802DC11" w:rsidR="0012034A" w:rsidRPr="006F3400" w:rsidRDefault="0012034A">
      <w:pPr>
        <w:numPr>
          <w:ilvl w:val="0"/>
          <w:numId w:val="18"/>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r w:rsidR="00982F3F">
        <w:rPr>
          <w:rFonts w:ascii="Arial" w:eastAsia="Calibri" w:hAnsi="Arial" w:cs="Arial"/>
          <w:color w:val="000000"/>
          <w:lang w:val="en-US" w:eastAsia="en-US"/>
        </w:rPr>
        <w:t>)</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2E314134" w:rsidR="0012034A" w:rsidRPr="006F3400" w:rsidRDefault="0012034A">
      <w:pPr>
        <w:numPr>
          <w:ilvl w:val="0"/>
          <w:numId w:val="18"/>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w:t>
      </w:r>
      <w:bookmarkStart w:id="7" w:name="_Hlk149050178"/>
      <w:r w:rsidRPr="006F3400">
        <w:rPr>
          <w:rFonts w:ascii="Arial" w:eastAsia="Calibri" w:hAnsi="Arial" w:cs="Arial"/>
          <w:lang w:val="en-US" w:eastAsia="en-US"/>
        </w:rPr>
        <w:t xml:space="preserve">being </w:t>
      </w:r>
      <w:r w:rsidR="00982F3F" w:rsidRPr="003A25E3">
        <w:rPr>
          <w:rFonts w:ascii="Arial" w:hAnsi="Arial" w:cs="Arial"/>
          <w:bCs/>
          <w:color w:val="000000"/>
        </w:rPr>
        <w:t>Document No. 07a – As</w:t>
      </w:r>
      <w:r w:rsidR="00982F3F">
        <w:rPr>
          <w:rFonts w:ascii="Arial" w:hAnsi="Arial" w:cs="Arial"/>
          <w:bCs/>
          <w:color w:val="000000"/>
        </w:rPr>
        <w:t>eptically Prepared Specials Manufacturing Assessments a</w:t>
      </w:r>
      <w:r w:rsidR="00982F3F" w:rsidRPr="003A25E3">
        <w:rPr>
          <w:rFonts w:ascii="Arial" w:hAnsi="Arial" w:cs="Arial"/>
          <w:bCs/>
          <w:color w:val="000000"/>
        </w:rPr>
        <w:t>nd Document No. 07b – Basket of Goods</w:t>
      </w:r>
      <w:bookmarkEnd w:id="7"/>
      <w:r w:rsidR="00982F3F">
        <w:rPr>
          <w:rFonts w:ascii="Arial" w:hAnsi="Arial" w:cs="Arial"/>
          <w:bCs/>
          <w:color w:val="000000"/>
        </w:rPr>
        <w:t>)</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pPr>
        <w:numPr>
          <w:ilvl w:val="0"/>
          <w:numId w:val="18"/>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30852513" w:rsidR="0012034A" w:rsidRDefault="0012034A">
      <w:pPr>
        <w:numPr>
          <w:ilvl w:val="0"/>
          <w:numId w:val="16"/>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fulfils the Quality award criteria (</w:t>
      </w:r>
      <w:r w:rsidR="00982F3F" w:rsidRPr="006F3400">
        <w:rPr>
          <w:rFonts w:ascii="Arial" w:eastAsia="Calibri" w:hAnsi="Arial" w:cs="Arial"/>
          <w:lang w:val="en-US" w:eastAsia="en-US"/>
        </w:rPr>
        <w:t xml:space="preserve">being </w:t>
      </w:r>
      <w:r w:rsidR="00982F3F" w:rsidRPr="003A25E3">
        <w:rPr>
          <w:rFonts w:ascii="Arial" w:hAnsi="Arial" w:cs="Arial"/>
          <w:bCs/>
          <w:color w:val="000000"/>
        </w:rPr>
        <w:t>Document No. 07a – As</w:t>
      </w:r>
      <w:r w:rsidR="00982F3F">
        <w:rPr>
          <w:rFonts w:ascii="Arial" w:hAnsi="Arial" w:cs="Arial"/>
          <w:bCs/>
          <w:color w:val="000000"/>
        </w:rPr>
        <w:t>eptically Prepared Specials Manufacturing Assessments a</w:t>
      </w:r>
      <w:r w:rsidR="00982F3F" w:rsidRPr="003A25E3">
        <w:rPr>
          <w:rFonts w:ascii="Arial" w:hAnsi="Arial" w:cs="Arial"/>
          <w:bCs/>
          <w:color w:val="000000"/>
        </w:rPr>
        <w:t>nd Document No. 07b – Basket of Goods</w:t>
      </w:r>
      <w:r w:rsidRPr="006F3400">
        <w:rPr>
          <w:rFonts w:ascii="Arial" w:eastAsia="Calibri" w:hAnsi="Arial" w:cs="Arial"/>
          <w:color w:val="000000"/>
          <w:lang w:val="en-US" w:eastAsia="en-US"/>
        </w:rPr>
        <w:t xml:space="preserve">),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43BF6639" w14:textId="77777777" w:rsidR="00982F3F" w:rsidRPr="006F3400" w:rsidRDefault="00982F3F" w:rsidP="00982F3F">
      <w:pPr>
        <w:ind w:left="2835"/>
        <w:contextualSpacing/>
        <w:jc w:val="both"/>
        <w:rPr>
          <w:rFonts w:ascii="Arial" w:eastAsia="Calibri" w:hAnsi="Arial" w:cs="Arial"/>
          <w:color w:val="000000"/>
          <w:lang w:val="en-US" w:eastAsia="en-US"/>
        </w:rPr>
      </w:pPr>
    </w:p>
    <w:p w14:paraId="2B9E09BC" w14:textId="2F855F5F" w:rsidR="0012034A" w:rsidRPr="006F3400" w:rsidRDefault="0012034A">
      <w:pPr>
        <w:numPr>
          <w:ilvl w:val="0"/>
          <w:numId w:val="17"/>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fails to fulfil the Quality award criteria (</w:t>
      </w:r>
      <w:r w:rsidR="00982F3F" w:rsidRPr="006F3400">
        <w:rPr>
          <w:rFonts w:ascii="Arial" w:eastAsia="Calibri" w:hAnsi="Arial" w:cs="Arial"/>
          <w:lang w:val="en-US" w:eastAsia="en-US"/>
        </w:rPr>
        <w:t xml:space="preserve">being </w:t>
      </w:r>
      <w:r w:rsidR="00982F3F" w:rsidRPr="003A25E3">
        <w:rPr>
          <w:rFonts w:ascii="Arial" w:hAnsi="Arial" w:cs="Arial"/>
          <w:bCs/>
          <w:color w:val="000000"/>
        </w:rPr>
        <w:t>Document No. 07a – As</w:t>
      </w:r>
      <w:r w:rsidR="00982F3F">
        <w:rPr>
          <w:rFonts w:ascii="Arial" w:hAnsi="Arial" w:cs="Arial"/>
          <w:bCs/>
          <w:color w:val="000000"/>
        </w:rPr>
        <w:t>eptically Prepared Specials Manufacturing Assessments a</w:t>
      </w:r>
      <w:r w:rsidR="00982F3F" w:rsidRPr="003A25E3">
        <w:rPr>
          <w:rFonts w:ascii="Arial" w:hAnsi="Arial" w:cs="Arial"/>
          <w:bCs/>
          <w:color w:val="000000"/>
        </w:rPr>
        <w:t>nd Document No. 07b – Basket of Goods</w:t>
      </w:r>
      <w:r w:rsidRPr="006F3400">
        <w:rPr>
          <w:rFonts w:ascii="Arial" w:eastAsia="Calibri" w:hAnsi="Arial" w:cs="Arial"/>
          <w:color w:val="000000"/>
          <w:lang w:val="en-US" w:eastAsia="en-US"/>
        </w:rPr>
        <w:t xml:space="preserve">),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35C5C6FE"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where two or more offers are received at the same price and all such offers fulfil the quality award criteria (</w:t>
      </w:r>
      <w:r w:rsidR="00982F3F" w:rsidRPr="006F3400">
        <w:rPr>
          <w:rFonts w:ascii="Arial" w:eastAsia="Calibri" w:hAnsi="Arial" w:cs="Arial"/>
          <w:lang w:val="en-US" w:eastAsia="en-US"/>
        </w:rPr>
        <w:t xml:space="preserve">being </w:t>
      </w:r>
      <w:r w:rsidR="00982F3F" w:rsidRPr="003A25E3">
        <w:rPr>
          <w:rFonts w:ascii="Arial" w:hAnsi="Arial" w:cs="Arial"/>
          <w:bCs/>
          <w:color w:val="000000"/>
        </w:rPr>
        <w:t>Document No. 07a – As</w:t>
      </w:r>
      <w:r w:rsidR="00982F3F">
        <w:rPr>
          <w:rFonts w:ascii="Arial" w:hAnsi="Arial" w:cs="Arial"/>
          <w:bCs/>
          <w:color w:val="000000"/>
        </w:rPr>
        <w:t>eptically Prepared Specials Manufacturing Assessments a</w:t>
      </w:r>
      <w:r w:rsidR="00982F3F" w:rsidRPr="003A25E3">
        <w:rPr>
          <w:rFonts w:ascii="Arial" w:hAnsi="Arial" w:cs="Arial"/>
          <w:bCs/>
          <w:color w:val="000000"/>
        </w:rPr>
        <w:t>nd Document No. 07b – Basket of Goods</w:t>
      </w:r>
      <w:r w:rsidRPr="006F3400">
        <w:rPr>
          <w:rFonts w:ascii="Arial" w:eastAsia="Calibri" w:hAnsi="Arial" w:cs="Arial"/>
          <w:color w:val="000000"/>
          <w:lang w:val="en-US" w:eastAsia="en-US"/>
        </w:rPr>
        <w:t xml:space="preserve">)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77777777" w:rsidR="0012034A" w:rsidRPr="006F3400" w:rsidRDefault="0012034A">
      <w:pPr>
        <w:numPr>
          <w:ilvl w:val="2"/>
          <w:numId w:val="19"/>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the steps outlined in paragraph 11.2.1 (a) to (d) shall be repeated for each of the Lots being tendered (for the Product) in order to identify the Lowest Priced Compliant Offer for each such Lot.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pPr>
        <w:numPr>
          <w:ilvl w:val="2"/>
          <w:numId w:val="19"/>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pPr>
        <w:numPr>
          <w:ilvl w:val="2"/>
          <w:numId w:val="19"/>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pPr>
        <w:numPr>
          <w:ilvl w:val="2"/>
          <w:numId w:val="19"/>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pPr>
        <w:numPr>
          <w:ilvl w:val="0"/>
          <w:numId w:val="15"/>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pPr>
        <w:numPr>
          <w:ilvl w:val="0"/>
          <w:numId w:val="15"/>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pPr>
        <w:numPr>
          <w:ilvl w:val="0"/>
          <w:numId w:val="15"/>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pPr>
        <w:numPr>
          <w:ilvl w:val="0"/>
          <w:numId w:val="15"/>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lastRenderedPageBreak/>
        <w:tab/>
      </w:r>
    </w:p>
    <w:p w14:paraId="5289CD01" w14:textId="77777777" w:rsidR="0012034A" w:rsidRPr="006F3400" w:rsidRDefault="0012034A">
      <w:pPr>
        <w:numPr>
          <w:ilvl w:val="0"/>
          <w:numId w:val="15"/>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pPr>
        <w:numPr>
          <w:ilvl w:val="0"/>
          <w:numId w:val="15"/>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pPr>
        <w:numPr>
          <w:ilvl w:val="0"/>
          <w:numId w:val="15"/>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146C6597" w14:textId="1D820F73" w:rsidR="003D7202" w:rsidRDefault="0012034A">
      <w:pPr>
        <w:pStyle w:val="ListParagraph"/>
        <w:keepNext/>
        <w:numPr>
          <w:ilvl w:val="1"/>
          <w:numId w:val="19"/>
        </w:numPr>
        <w:ind w:left="601" w:hanging="601"/>
        <w:jc w:val="both"/>
        <w:outlineLvl w:val="1"/>
        <w:rPr>
          <w:b/>
          <w:bCs/>
          <w:iCs/>
        </w:rPr>
      </w:pPr>
      <w:r w:rsidRPr="003D7202">
        <w:rPr>
          <w:b/>
          <w:bCs/>
          <w:iCs/>
        </w:rPr>
        <w:t>Evaluation Panel</w:t>
      </w:r>
    </w:p>
    <w:p w14:paraId="5FC5C3F4" w14:textId="77777777" w:rsidR="003D7202" w:rsidRPr="003D7202" w:rsidRDefault="003D7202" w:rsidP="003D7202">
      <w:pPr>
        <w:pStyle w:val="ListParagraph"/>
        <w:keepNext/>
        <w:ind w:left="601"/>
        <w:jc w:val="both"/>
        <w:outlineLvl w:val="1"/>
        <w:rPr>
          <w:b/>
          <w:bCs/>
          <w:iCs/>
        </w:rPr>
      </w:pPr>
    </w:p>
    <w:p w14:paraId="36AC723A" w14:textId="67ED4491" w:rsidR="0012034A" w:rsidRPr="003D7202" w:rsidRDefault="0012034A">
      <w:pPr>
        <w:pStyle w:val="ListParagraph"/>
        <w:keepNext/>
        <w:numPr>
          <w:ilvl w:val="2"/>
          <w:numId w:val="25"/>
        </w:numPr>
        <w:ind w:left="1418" w:hanging="851"/>
        <w:jc w:val="both"/>
        <w:outlineLvl w:val="1"/>
        <w:rPr>
          <w:b/>
          <w:bCs/>
          <w:iCs/>
        </w:rPr>
      </w:pPr>
      <w:r w:rsidRPr="003D7202">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3D7202" w:rsidRDefault="0012034A" w:rsidP="0012034A">
      <w:pPr>
        <w:ind w:left="567" w:hanging="567"/>
        <w:jc w:val="both"/>
        <w:rPr>
          <w:rFonts w:ascii="Arial" w:hAnsi="Arial" w:cs="Arial"/>
          <w:b/>
          <w:bCs/>
        </w:rPr>
      </w:pPr>
    </w:p>
    <w:p w14:paraId="70FCF594" w14:textId="77777777" w:rsidR="0012034A" w:rsidRPr="003D7202" w:rsidRDefault="0012034A" w:rsidP="0012034A">
      <w:pPr>
        <w:ind w:left="567" w:hanging="567"/>
        <w:jc w:val="both"/>
        <w:rPr>
          <w:rFonts w:ascii="Arial" w:hAnsi="Arial" w:cs="Arial"/>
          <w:b/>
          <w:bCs/>
          <w:i/>
        </w:rPr>
      </w:pPr>
      <w:r w:rsidRPr="003D7202">
        <w:rPr>
          <w:rFonts w:ascii="Arial" w:hAnsi="Arial" w:cs="Arial"/>
          <w:b/>
          <w:bCs/>
        </w:rPr>
        <w:t>11.4</w:t>
      </w:r>
      <w:r w:rsidRPr="003D7202">
        <w:rPr>
          <w:rFonts w:ascii="Arial" w:hAnsi="Arial" w:cs="Arial"/>
          <w:b/>
          <w:bCs/>
        </w:rPr>
        <w:tab/>
        <w:t>Final Decision to Award</w:t>
      </w:r>
      <w:r w:rsidRPr="003D7202">
        <w:rPr>
          <w:rFonts w:ascii="Arial" w:hAnsi="Arial" w:cs="Arial"/>
          <w:b/>
          <w:bCs/>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DB483F2" w14:textId="77777777" w:rsidR="00982F3F" w:rsidRDefault="0012034A">
      <w:pPr>
        <w:pStyle w:val="ListParagraph"/>
        <w:numPr>
          <w:ilvl w:val="2"/>
          <w:numId w:val="27"/>
        </w:numPr>
        <w:jc w:val="both"/>
        <w:rPr>
          <w:lang w:eastAsia="en-GB"/>
        </w:rPr>
      </w:pPr>
      <w:r w:rsidRPr="00982F3F">
        <w:t>Should the successful Offeror for a particular Product within a Lot decline to accept a framework agreement then, subject to the award methodology outlined at paragraph 12.2, it may be offered to the next ranked Offeror for that Product within the relevant Lot, until it has been accepted.</w:t>
      </w:r>
    </w:p>
    <w:p w14:paraId="56107813" w14:textId="77777777" w:rsidR="00982F3F" w:rsidRDefault="00982F3F" w:rsidP="00982F3F">
      <w:pPr>
        <w:pStyle w:val="ListParagraph"/>
        <w:ind w:left="1286"/>
        <w:jc w:val="both"/>
        <w:rPr>
          <w:lang w:eastAsia="en-GB"/>
        </w:rPr>
      </w:pPr>
    </w:p>
    <w:p w14:paraId="4792F0C9" w14:textId="5057DEF0" w:rsidR="003D7202" w:rsidRPr="00982F3F" w:rsidRDefault="0012034A">
      <w:pPr>
        <w:pStyle w:val="ListParagraph"/>
        <w:numPr>
          <w:ilvl w:val="2"/>
          <w:numId w:val="27"/>
        </w:numPr>
        <w:jc w:val="both"/>
        <w:rPr>
          <w:lang w:eastAsia="en-GB"/>
        </w:rPr>
      </w:pPr>
      <w:r w:rsidRPr="00982F3F">
        <w:rPr>
          <w:bCs/>
          <w:iCs/>
        </w:rPr>
        <w:t xml:space="preserve">At any time following a standstill period of ten days, subject always to </w:t>
      </w:r>
      <w:r w:rsidR="0050363E" w:rsidRPr="00982F3F">
        <w:rPr>
          <w:bCs/>
          <w:iCs/>
        </w:rPr>
        <w:t xml:space="preserve">section </w:t>
      </w:r>
      <w:r w:rsidRPr="00982F3F">
        <w:rPr>
          <w:bCs/>
          <w:iCs/>
        </w:rPr>
        <w:t>10 above (and subject to there being no substantive challenge to that intention), a framework agreement shall be formally awarded, subject to contract, to the successful Offeror(s).</w:t>
      </w:r>
    </w:p>
    <w:p w14:paraId="50F3465A" w14:textId="77777777" w:rsidR="003D7202" w:rsidRDefault="003D7202" w:rsidP="003D7202">
      <w:pPr>
        <w:pStyle w:val="ListParagraph"/>
        <w:keepNext/>
        <w:ind w:left="1286"/>
        <w:jc w:val="both"/>
        <w:outlineLvl w:val="1"/>
        <w:rPr>
          <w:bCs/>
          <w:iCs/>
          <w:lang w:eastAsia="en-GB"/>
        </w:rPr>
      </w:pPr>
    </w:p>
    <w:p w14:paraId="5D0F7A6A" w14:textId="77777777" w:rsidR="003D7202" w:rsidRPr="003D7202" w:rsidRDefault="0012034A">
      <w:pPr>
        <w:pStyle w:val="ListParagraph"/>
        <w:keepNext/>
        <w:numPr>
          <w:ilvl w:val="0"/>
          <w:numId w:val="23"/>
        </w:numPr>
        <w:jc w:val="both"/>
        <w:outlineLvl w:val="1"/>
        <w:rPr>
          <w:b/>
          <w:iCs/>
          <w:lang w:eastAsia="en-GB"/>
        </w:rPr>
      </w:pPr>
      <w:r w:rsidRPr="003D7202">
        <w:rPr>
          <w:b/>
        </w:rPr>
        <w:t xml:space="preserve">E-auctions </w:t>
      </w:r>
      <w:bookmarkStart w:id="8" w:name="_Hlk111817252"/>
    </w:p>
    <w:p w14:paraId="5625B2C2" w14:textId="77777777" w:rsidR="003D7202" w:rsidRPr="003D7202" w:rsidRDefault="0012034A">
      <w:pPr>
        <w:pStyle w:val="ListParagraph"/>
        <w:keepNext/>
        <w:numPr>
          <w:ilvl w:val="1"/>
          <w:numId w:val="24"/>
        </w:numPr>
        <w:ind w:left="720" w:hanging="720"/>
        <w:contextualSpacing w:val="0"/>
        <w:jc w:val="both"/>
        <w:outlineLvl w:val="1"/>
        <w:rPr>
          <w:bCs/>
          <w:iCs/>
          <w:lang w:eastAsia="en-GB"/>
        </w:rPr>
      </w:pPr>
      <w:r w:rsidRPr="003D7202">
        <w:rPr>
          <w:snapToGrid w:val="0"/>
        </w:rPr>
        <w:t xml:space="preserve">This tender will not include an electronic reverse auction stage. </w:t>
      </w:r>
      <w:bookmarkEnd w:id="8"/>
    </w:p>
    <w:p w14:paraId="6E52CE3B" w14:textId="77777777" w:rsidR="003D7202" w:rsidRPr="003D7202" w:rsidRDefault="0012034A">
      <w:pPr>
        <w:pStyle w:val="ListParagraph"/>
        <w:keepNext/>
        <w:numPr>
          <w:ilvl w:val="0"/>
          <w:numId w:val="24"/>
        </w:numPr>
        <w:contextualSpacing w:val="0"/>
        <w:jc w:val="both"/>
        <w:outlineLvl w:val="1"/>
        <w:rPr>
          <w:b/>
          <w:iCs/>
          <w:lang w:eastAsia="en-GB"/>
        </w:rPr>
      </w:pPr>
      <w:r w:rsidRPr="003D7202">
        <w:rPr>
          <w:b/>
        </w:rPr>
        <w:t>Contract monitoring</w:t>
      </w:r>
    </w:p>
    <w:p w14:paraId="560C86CA" w14:textId="77777777" w:rsidR="003D7202" w:rsidRPr="003D7202" w:rsidRDefault="0012034A">
      <w:pPr>
        <w:pStyle w:val="ListParagraph"/>
        <w:keepNext/>
        <w:numPr>
          <w:ilvl w:val="1"/>
          <w:numId w:val="24"/>
        </w:numPr>
        <w:ind w:left="658" w:hanging="658"/>
        <w:contextualSpacing w:val="0"/>
        <w:jc w:val="both"/>
        <w:outlineLvl w:val="1"/>
        <w:rPr>
          <w:bCs/>
          <w:iCs/>
          <w:lang w:eastAsia="en-GB"/>
        </w:rPr>
      </w:pPr>
      <w:r w:rsidRPr="003D7202">
        <w:rPr>
          <w:snapToGrid w:val="0"/>
        </w:rPr>
        <w:t>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framework agreement - this will also be documented following agreement with the Successful Offerors.</w:t>
      </w:r>
    </w:p>
    <w:p w14:paraId="5F2C4D34" w14:textId="77777777" w:rsidR="003D7202" w:rsidRPr="003D7202" w:rsidRDefault="0012034A">
      <w:pPr>
        <w:pStyle w:val="ListParagraph"/>
        <w:keepNext/>
        <w:numPr>
          <w:ilvl w:val="0"/>
          <w:numId w:val="24"/>
        </w:numPr>
        <w:contextualSpacing w:val="0"/>
        <w:jc w:val="both"/>
        <w:outlineLvl w:val="1"/>
        <w:rPr>
          <w:b/>
          <w:iCs/>
          <w:lang w:eastAsia="en-GB"/>
        </w:rPr>
      </w:pPr>
      <w:r w:rsidRPr="003D7202">
        <w:rPr>
          <w:b/>
        </w:rPr>
        <w:t>Costs and expenses</w:t>
      </w:r>
    </w:p>
    <w:p w14:paraId="6FC08871" w14:textId="77777777" w:rsidR="003D7202" w:rsidRPr="003D7202" w:rsidRDefault="0012034A">
      <w:pPr>
        <w:pStyle w:val="ListParagraph"/>
        <w:keepNext/>
        <w:numPr>
          <w:ilvl w:val="1"/>
          <w:numId w:val="24"/>
        </w:numPr>
        <w:ind w:left="658" w:hanging="658"/>
        <w:contextualSpacing w:val="0"/>
        <w:jc w:val="both"/>
        <w:outlineLvl w:val="1"/>
        <w:rPr>
          <w:bCs/>
          <w:iCs/>
          <w:lang w:eastAsia="en-GB"/>
        </w:rPr>
      </w:pPr>
      <w:r w:rsidRPr="003D7202">
        <w:rPr>
          <w:snapToGrid w:val="0"/>
        </w:rPr>
        <w:t>The Authority will not be liable for any bid costs, expenditure, work or effort incurred by any Offeror in proceeding with or participating in this procurement, including if the procurement process is terminated or amended by the Authority.</w:t>
      </w:r>
    </w:p>
    <w:p w14:paraId="2C6E591A" w14:textId="77777777" w:rsidR="003D7202" w:rsidRPr="003D7202" w:rsidRDefault="0012034A">
      <w:pPr>
        <w:pStyle w:val="ListParagraph"/>
        <w:keepNext/>
        <w:numPr>
          <w:ilvl w:val="0"/>
          <w:numId w:val="24"/>
        </w:numPr>
        <w:contextualSpacing w:val="0"/>
        <w:jc w:val="both"/>
        <w:outlineLvl w:val="1"/>
        <w:rPr>
          <w:b/>
          <w:iCs/>
          <w:lang w:eastAsia="en-GB"/>
        </w:rPr>
      </w:pPr>
      <w:r w:rsidRPr="003D7202">
        <w:rPr>
          <w:b/>
        </w:rPr>
        <w:t xml:space="preserve">Amendments to Invitation to offer </w:t>
      </w:r>
    </w:p>
    <w:p w14:paraId="51980C75" w14:textId="77777777" w:rsidR="003D7202" w:rsidRPr="003D7202" w:rsidRDefault="0012034A">
      <w:pPr>
        <w:pStyle w:val="ListParagraph"/>
        <w:keepNext/>
        <w:numPr>
          <w:ilvl w:val="1"/>
          <w:numId w:val="24"/>
        </w:numPr>
        <w:ind w:left="658" w:hanging="658"/>
        <w:contextualSpacing w:val="0"/>
        <w:jc w:val="both"/>
        <w:outlineLvl w:val="1"/>
        <w:rPr>
          <w:bCs/>
          <w:iCs/>
          <w:lang w:eastAsia="en-GB"/>
        </w:rPr>
      </w:pPr>
      <w:r w:rsidRPr="003D7202">
        <w:rPr>
          <w:snapToGrid w:val="0"/>
        </w:rPr>
        <w:t>At any time prior to the closing time and date for the return of offers, the Authority may modify the documents comprising the Invitation to offer by notifying Offerors of the same in writing.</w:t>
      </w:r>
    </w:p>
    <w:p w14:paraId="1C61F205" w14:textId="77777777" w:rsidR="003D7202" w:rsidRPr="003D7202" w:rsidRDefault="0012034A">
      <w:pPr>
        <w:pStyle w:val="ListParagraph"/>
        <w:keepNext/>
        <w:numPr>
          <w:ilvl w:val="1"/>
          <w:numId w:val="24"/>
        </w:numPr>
        <w:ind w:left="658" w:hanging="658"/>
        <w:contextualSpacing w:val="0"/>
        <w:jc w:val="both"/>
        <w:outlineLvl w:val="1"/>
        <w:rPr>
          <w:bCs/>
          <w:iCs/>
          <w:lang w:eastAsia="en-GB"/>
        </w:rPr>
      </w:pPr>
      <w:r w:rsidRPr="003D7202">
        <w:rPr>
          <w:snapToGrid w:val="0"/>
        </w:rPr>
        <w:t>The Authority may extend the closing time and date for the return of offers to allow for significant amendments made by the Authority to be fully assessed and taken into account by Offerors.</w:t>
      </w:r>
    </w:p>
    <w:p w14:paraId="61DC5A26" w14:textId="77777777" w:rsidR="003D7202" w:rsidRPr="003D7202" w:rsidRDefault="0012034A">
      <w:pPr>
        <w:pStyle w:val="ListParagraph"/>
        <w:keepNext/>
        <w:numPr>
          <w:ilvl w:val="0"/>
          <w:numId w:val="24"/>
        </w:numPr>
        <w:contextualSpacing w:val="0"/>
        <w:jc w:val="both"/>
        <w:outlineLvl w:val="1"/>
        <w:rPr>
          <w:b/>
          <w:iCs/>
          <w:lang w:eastAsia="en-GB"/>
        </w:rPr>
      </w:pPr>
      <w:r w:rsidRPr="003D7202">
        <w:rPr>
          <w:b/>
        </w:rPr>
        <w:t>Procurement exercise timetable</w:t>
      </w:r>
    </w:p>
    <w:p w14:paraId="58CFBA04" w14:textId="2EC189C9" w:rsidR="003D7202" w:rsidRPr="003D7202" w:rsidRDefault="0012034A">
      <w:pPr>
        <w:pStyle w:val="ListParagraph"/>
        <w:keepNext/>
        <w:numPr>
          <w:ilvl w:val="1"/>
          <w:numId w:val="24"/>
        </w:numPr>
        <w:spacing w:after="360"/>
        <w:ind w:left="658" w:hanging="658"/>
        <w:contextualSpacing w:val="0"/>
        <w:jc w:val="both"/>
        <w:outlineLvl w:val="1"/>
        <w:rPr>
          <w:bCs/>
          <w:iCs/>
          <w:lang w:eastAsia="en-GB"/>
        </w:rPr>
      </w:pPr>
      <w:r w:rsidRPr="003D7202">
        <w:rPr>
          <w:snapToGrid w:val="0"/>
        </w:rPr>
        <w:t xml:space="preserve">The following is the anticipated timetable for the procurement exercise and Offerors should note that these </w:t>
      </w:r>
      <w:r w:rsidRPr="003D7202">
        <w:t xml:space="preserve">dates are indicative and are subject to change upon notice from </w:t>
      </w:r>
      <w:r w:rsidR="003D7202">
        <w:t>t</w:t>
      </w:r>
      <w:r w:rsidRPr="003D7202">
        <w:t xml:space="preserve">he Authority.  Offerors should also note and observe the timetable for the receipt of clarification queries under this procurement exercise as shown on the </w:t>
      </w:r>
      <w:r w:rsidR="00B61A35" w:rsidRPr="003D7202">
        <w:t>Atamis</w:t>
      </w:r>
      <w:r w:rsidRPr="003D7202">
        <w:t xml:space="preserve"> website.</w:t>
      </w:r>
    </w:p>
    <w:tbl>
      <w:tblPr>
        <w:tblpPr w:leftFromText="180" w:rightFromText="180" w:vertAnchor="text" w:tblpXSpec="center" w:tblpY="1"/>
        <w:tblOverlap w:val="never"/>
        <w:tblW w:w="8495" w:type="dxa"/>
        <w:tblCellMar>
          <w:left w:w="0" w:type="dxa"/>
          <w:right w:w="0" w:type="dxa"/>
        </w:tblCellMar>
        <w:tblLook w:val="0000" w:firstRow="0" w:lastRow="0" w:firstColumn="0" w:lastColumn="0" w:noHBand="0" w:noVBand="0"/>
      </w:tblPr>
      <w:tblGrid>
        <w:gridCol w:w="5494"/>
        <w:gridCol w:w="3001"/>
      </w:tblGrid>
      <w:tr w:rsidR="003D7202" w:rsidRPr="00C30449" w14:paraId="7873FC92" w14:textId="77777777" w:rsidTr="00982F3F">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545894B6" w14:textId="77777777" w:rsidR="003D7202" w:rsidRPr="006F3400" w:rsidRDefault="003D7202" w:rsidP="00426B32">
            <w:pPr>
              <w:rPr>
                <w:rFonts w:ascii="Arial" w:hAnsi="Arial" w:cs="Arial"/>
                <w:b/>
                <w:bCs/>
                <w:color w:val="FFFFFF"/>
              </w:rPr>
            </w:pPr>
            <w:r w:rsidRPr="006F3400">
              <w:rPr>
                <w:rFonts w:ascii="Arial" w:hAnsi="Arial" w:cs="Arial"/>
                <w:b/>
                <w:bCs/>
                <w:color w:val="FFFFFF"/>
              </w:rPr>
              <w:t>Tender Stage</w:t>
            </w:r>
          </w:p>
        </w:tc>
        <w:tc>
          <w:tcPr>
            <w:tcW w:w="3001"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654DE5C1" w14:textId="77777777" w:rsidR="003D7202" w:rsidRPr="006F3400" w:rsidRDefault="003D7202" w:rsidP="00426B32">
            <w:pPr>
              <w:rPr>
                <w:rFonts w:ascii="Arial" w:hAnsi="Arial" w:cs="Arial"/>
                <w:b/>
                <w:bCs/>
                <w:color w:val="FFFFFF"/>
              </w:rPr>
            </w:pPr>
            <w:r w:rsidRPr="006F3400">
              <w:rPr>
                <w:rFonts w:ascii="Arial" w:hAnsi="Arial" w:cs="Arial"/>
                <w:b/>
                <w:bCs/>
                <w:color w:val="FFFFFF"/>
              </w:rPr>
              <w:t>Date</w:t>
            </w:r>
          </w:p>
        </w:tc>
      </w:tr>
      <w:tr w:rsidR="003D7202" w:rsidRPr="00C30449" w14:paraId="3BDA0D72" w14:textId="77777777" w:rsidTr="00982F3F">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4AD569E" w14:textId="77777777" w:rsidR="003D7202" w:rsidRPr="006F3400" w:rsidRDefault="003D7202" w:rsidP="00426B32">
            <w:pPr>
              <w:rPr>
                <w:rFonts w:ascii="Arial" w:hAnsi="Arial" w:cs="Arial"/>
                <w:color w:val="000000"/>
              </w:rPr>
            </w:pPr>
            <w:r w:rsidRPr="006F3400">
              <w:rPr>
                <w:rFonts w:ascii="Arial" w:hAnsi="Arial" w:cs="Arial"/>
                <w:color w:val="000000"/>
              </w:rPr>
              <w:t xml:space="preserve">Tender Documents Returned to CMU via </w:t>
            </w:r>
            <w:r>
              <w:rPr>
                <w:rFonts w:ascii="Arial" w:hAnsi="Arial" w:cs="Arial"/>
                <w:color w:val="000000"/>
              </w:rPr>
              <w:t>Atamis</w:t>
            </w:r>
          </w:p>
        </w:tc>
        <w:tc>
          <w:tcPr>
            <w:tcW w:w="30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8E09C53" w14:textId="77777777" w:rsidR="003D7202" w:rsidRPr="00982F3F" w:rsidRDefault="003D7202" w:rsidP="00426B32">
            <w:pPr>
              <w:rPr>
                <w:rFonts w:ascii="Arial" w:hAnsi="Arial" w:cs="Arial"/>
              </w:rPr>
            </w:pPr>
            <w:r w:rsidRPr="00982F3F">
              <w:rPr>
                <w:rFonts w:ascii="Arial" w:hAnsi="Arial" w:cs="Arial"/>
              </w:rPr>
              <w:t>1 December 2023</w:t>
            </w:r>
          </w:p>
        </w:tc>
      </w:tr>
      <w:tr w:rsidR="003D7202" w:rsidRPr="00C30449" w14:paraId="7A458906" w14:textId="77777777" w:rsidTr="00982F3F">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7429A78" w14:textId="77777777" w:rsidR="003D7202" w:rsidRPr="006F3400" w:rsidRDefault="003D7202" w:rsidP="00426B32">
            <w:pPr>
              <w:rPr>
                <w:rFonts w:ascii="Arial" w:hAnsi="Arial" w:cs="Arial"/>
                <w:color w:val="000000"/>
              </w:rPr>
            </w:pPr>
            <w:r w:rsidRPr="006F3400">
              <w:rPr>
                <w:rFonts w:ascii="Arial" w:hAnsi="Arial" w:cs="Arial"/>
                <w:color w:val="000000"/>
              </w:rPr>
              <w:t>Evaluation Period</w:t>
            </w:r>
          </w:p>
        </w:tc>
        <w:tc>
          <w:tcPr>
            <w:tcW w:w="30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12CAF16" w14:textId="77777777" w:rsidR="003D7202" w:rsidRPr="00982F3F" w:rsidRDefault="003D7202" w:rsidP="00426B32">
            <w:pPr>
              <w:rPr>
                <w:rFonts w:ascii="Arial" w:hAnsi="Arial" w:cs="Arial"/>
              </w:rPr>
            </w:pPr>
            <w:r w:rsidRPr="00982F3F">
              <w:rPr>
                <w:rFonts w:ascii="Arial" w:hAnsi="Arial" w:cs="Arial"/>
              </w:rPr>
              <w:t>11 December 2024 until 22 December 2024</w:t>
            </w:r>
          </w:p>
        </w:tc>
      </w:tr>
      <w:tr w:rsidR="003D7202" w:rsidRPr="00C30449" w14:paraId="4D4F5E65" w14:textId="77777777" w:rsidTr="00982F3F">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8A6A78F" w14:textId="77777777" w:rsidR="003D7202" w:rsidRPr="006F3400" w:rsidRDefault="003D7202" w:rsidP="00426B32">
            <w:pPr>
              <w:rPr>
                <w:rFonts w:ascii="Arial" w:hAnsi="Arial" w:cs="Arial"/>
                <w:color w:val="000000"/>
              </w:rPr>
            </w:pPr>
            <w:r w:rsidRPr="006F3400">
              <w:rPr>
                <w:rFonts w:ascii="Arial" w:hAnsi="Arial" w:cs="Arial"/>
                <w:color w:val="000000"/>
              </w:rPr>
              <w:t>Award notification issued to Offerors</w:t>
            </w:r>
          </w:p>
        </w:tc>
        <w:tc>
          <w:tcPr>
            <w:tcW w:w="30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C7706DF" w14:textId="77777777" w:rsidR="003D7202" w:rsidRPr="00982F3F" w:rsidRDefault="003D7202" w:rsidP="00426B32">
            <w:pPr>
              <w:rPr>
                <w:rFonts w:ascii="Arial" w:hAnsi="Arial" w:cs="Arial"/>
              </w:rPr>
            </w:pPr>
            <w:r w:rsidRPr="00982F3F">
              <w:rPr>
                <w:rFonts w:ascii="Arial" w:hAnsi="Arial" w:cs="Arial"/>
              </w:rPr>
              <w:t>2 February 2024</w:t>
            </w:r>
          </w:p>
        </w:tc>
      </w:tr>
      <w:tr w:rsidR="003D7202" w:rsidRPr="00C30449" w14:paraId="47C14281" w14:textId="77777777" w:rsidTr="00982F3F">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8E52A2C" w14:textId="77777777" w:rsidR="003D7202" w:rsidRPr="006F3400" w:rsidRDefault="003D7202" w:rsidP="00426B32">
            <w:pPr>
              <w:rPr>
                <w:rFonts w:ascii="Arial" w:hAnsi="Arial" w:cs="Arial"/>
              </w:rPr>
            </w:pPr>
            <w:r w:rsidRPr="006F3400">
              <w:rPr>
                <w:rFonts w:ascii="Arial" w:hAnsi="Arial" w:cs="Arial"/>
              </w:rPr>
              <w:t>Agreement Commences</w:t>
            </w:r>
          </w:p>
        </w:tc>
        <w:tc>
          <w:tcPr>
            <w:tcW w:w="30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A8FBFE4" w14:textId="77777777" w:rsidR="003D7202" w:rsidRPr="00982F3F" w:rsidRDefault="003D7202" w:rsidP="00426B32">
            <w:pPr>
              <w:rPr>
                <w:rFonts w:ascii="Arial" w:hAnsi="Arial" w:cs="Arial"/>
              </w:rPr>
            </w:pPr>
            <w:r w:rsidRPr="00982F3F">
              <w:rPr>
                <w:rFonts w:ascii="Arial" w:hAnsi="Arial" w:cs="Arial"/>
              </w:rPr>
              <w:t>1 April 2024</w:t>
            </w:r>
          </w:p>
        </w:tc>
      </w:tr>
    </w:tbl>
    <w:p w14:paraId="4A8BBB54" w14:textId="06608AD1" w:rsidR="003D7202" w:rsidRPr="005E7565" w:rsidRDefault="00D4557D">
      <w:pPr>
        <w:pStyle w:val="ListParagraph"/>
        <w:keepNext/>
        <w:numPr>
          <w:ilvl w:val="0"/>
          <w:numId w:val="24"/>
        </w:numPr>
        <w:contextualSpacing w:val="0"/>
        <w:jc w:val="both"/>
        <w:outlineLvl w:val="1"/>
        <w:rPr>
          <w:b/>
          <w:iCs/>
          <w:lang w:eastAsia="en-GB"/>
        </w:rPr>
      </w:pPr>
      <w:r w:rsidRPr="005E7565">
        <w:rPr>
          <w:b/>
        </w:rPr>
        <w:lastRenderedPageBreak/>
        <w:t>Continuity of Supply post-Award of Framework Agreements</w:t>
      </w:r>
    </w:p>
    <w:p w14:paraId="412E82E7" w14:textId="77777777" w:rsidR="003D7202" w:rsidRPr="003D7202" w:rsidRDefault="00D4557D">
      <w:pPr>
        <w:pStyle w:val="ListParagraph"/>
        <w:keepNext/>
        <w:numPr>
          <w:ilvl w:val="1"/>
          <w:numId w:val="24"/>
        </w:numPr>
        <w:ind w:left="658" w:hanging="658"/>
        <w:contextualSpacing w:val="0"/>
        <w:jc w:val="both"/>
        <w:outlineLvl w:val="1"/>
        <w:rPr>
          <w:bCs/>
          <w:iCs/>
          <w:lang w:eastAsia="en-GB"/>
        </w:rPr>
      </w:pPr>
      <w:r w:rsidRPr="003D7202">
        <w:t xml:space="preserve">If the Framework Agreement is terminated, then the Authority may (at its option) re-tender </w:t>
      </w:r>
      <w:r w:rsidRPr="003D7202">
        <w:rPr>
          <w:u w:val="single"/>
        </w:rPr>
        <w:t>or</w:t>
      </w:r>
      <w:r w:rsidRPr="003D7202">
        <w:t xml:space="preserve"> replace the Supplier with an alternative supplier without re-opening competition. If the Authority chooses the latter option, the order of preference in which alternative suppliers will be invited to replace the Supplier will be as follows</w:t>
      </w:r>
      <w:r w:rsidR="003D7202">
        <w:t>:</w:t>
      </w:r>
    </w:p>
    <w:p w14:paraId="79B8719B" w14:textId="77777777" w:rsidR="005E7565" w:rsidRPr="005E7565" w:rsidRDefault="00D4557D">
      <w:pPr>
        <w:pStyle w:val="ListParagraph"/>
        <w:keepNext/>
        <w:numPr>
          <w:ilvl w:val="2"/>
          <w:numId w:val="26"/>
        </w:numPr>
        <w:ind w:left="1418" w:hanging="851"/>
        <w:contextualSpacing w:val="0"/>
        <w:jc w:val="both"/>
        <w:outlineLvl w:val="1"/>
        <w:rPr>
          <w:bCs/>
          <w:iCs/>
          <w:lang w:eastAsia="en-GB"/>
        </w:rPr>
      </w:pPr>
      <w:r w:rsidRPr="003D7202">
        <w:t>the Offeror which submitted the second Lowest-Priced Compliant Tender for the Product; and then (if that Offeror does not accept the Authority's invitation) the other Offerors who submitted compliant tenders, in order of price (lowest first);</w:t>
      </w:r>
    </w:p>
    <w:p w14:paraId="61184CF7" w14:textId="67566DA0" w:rsidR="0012034A" w:rsidRPr="005E7565" w:rsidRDefault="00D4557D">
      <w:pPr>
        <w:pStyle w:val="ListParagraph"/>
        <w:keepNext/>
        <w:numPr>
          <w:ilvl w:val="2"/>
          <w:numId w:val="26"/>
        </w:numPr>
        <w:ind w:left="1418" w:hanging="851"/>
        <w:contextualSpacing w:val="0"/>
        <w:jc w:val="both"/>
        <w:outlineLvl w:val="1"/>
        <w:rPr>
          <w:bCs/>
          <w:iCs/>
          <w:lang w:eastAsia="en-GB"/>
        </w:rPr>
      </w:pPr>
      <w:r w:rsidRPr="003D7202">
        <w:t>Where an alternative supplier is appointed, upon acceptance, such alternative supplier shall be appointed in place of the Supplier for the remainder of the Term of the Framework Agreement plus any extension of that Framework Agreement.</w:t>
      </w:r>
    </w:p>
    <w:sectPr w:rsidR="0012034A" w:rsidRPr="005E7565" w:rsidSect="006F25C0">
      <w:headerReference w:type="default" r:id="rId11"/>
      <w:footerReference w:type="default" r:id="rId12"/>
      <w:headerReference w:type="first" r:id="rId13"/>
      <w:footerReference w:type="first" r:id="rId14"/>
      <w:pgSz w:w="11907" w:h="16840" w:code="9"/>
      <w:pgMar w:top="1134" w:right="1009" w:bottom="1134"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C7D7" w14:textId="77777777" w:rsidR="00ED4F32" w:rsidRDefault="00ED4F32">
      <w:r>
        <w:separator/>
      </w:r>
    </w:p>
  </w:endnote>
  <w:endnote w:type="continuationSeparator" w:id="0">
    <w:p w14:paraId="3614FEF2" w14:textId="77777777" w:rsidR="00ED4F32" w:rsidRDefault="00ED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D3E" w14:textId="77777777" w:rsidR="00706C67" w:rsidRPr="006F25C0" w:rsidRDefault="00386071" w:rsidP="00345362">
    <w:pPr>
      <w:pStyle w:val="NoSpacing"/>
      <w:tabs>
        <w:tab w:val="right" w:pos="9781"/>
      </w:tabs>
      <w:rPr>
        <w:rFonts w:cs="Arial"/>
        <w:szCs w:val="24"/>
      </w:rPr>
    </w:pPr>
    <w:r w:rsidRPr="006F25C0">
      <w:rPr>
        <w:rFonts w:cs="Arial"/>
        <w:szCs w:val="24"/>
      </w:rPr>
      <w:t xml:space="preserve">Document No. 02 – Terms of offer </w:t>
    </w:r>
  </w:p>
  <w:p w14:paraId="7FF2E498" w14:textId="2C2CF6A0" w:rsidR="00386071" w:rsidRPr="006F25C0" w:rsidRDefault="00706C67" w:rsidP="000D6A74">
    <w:pPr>
      <w:pStyle w:val="Footer"/>
      <w:rPr>
        <w:rFonts w:ascii="Arial" w:hAnsi="Arial" w:cs="Arial"/>
        <w:szCs w:val="24"/>
      </w:rPr>
    </w:pPr>
    <w:r w:rsidRPr="006F25C0">
      <w:rPr>
        <w:rFonts w:ascii="Arial" w:hAnsi="Arial" w:cs="Arial"/>
        <w:szCs w:val="24"/>
      </w:rPr>
      <w:t>©</w:t>
    </w:r>
    <w:r w:rsidR="00171A8D" w:rsidRPr="006F25C0">
      <w:rPr>
        <w:rFonts w:ascii="Arial" w:hAnsi="Arial" w:cs="Arial"/>
        <w:szCs w:val="24"/>
      </w:rPr>
      <w:t xml:space="preserve"> </w:t>
    </w:r>
    <w:r w:rsidRPr="006F25C0">
      <w:rPr>
        <w:rFonts w:ascii="Arial" w:hAnsi="Arial" w:cs="Arial"/>
        <w:szCs w:val="24"/>
      </w:rPr>
      <w:t>NHS England 20</w:t>
    </w:r>
    <w:r w:rsidR="00EB532A" w:rsidRPr="006F25C0">
      <w:rPr>
        <w:rFonts w:ascii="Arial" w:hAnsi="Arial" w:cs="Arial"/>
        <w:szCs w:val="24"/>
      </w:rPr>
      <w:t>2</w:t>
    </w:r>
    <w:r w:rsidR="00C0255F" w:rsidRPr="006F25C0">
      <w:rPr>
        <w:rFonts w:ascii="Arial" w:hAnsi="Arial" w:cs="Arial"/>
        <w:szCs w:val="24"/>
      </w:rPr>
      <w:t>3</w:t>
    </w:r>
    <w:r w:rsidR="00386071" w:rsidRPr="006F25C0">
      <w:rPr>
        <w:rFonts w:ascii="Arial" w:hAnsi="Arial" w:cs="Arial"/>
        <w:szCs w:val="24"/>
      </w:rPr>
      <w:tab/>
      <w:t xml:space="preserve">Page </w:t>
    </w:r>
    <w:r w:rsidR="00386071" w:rsidRPr="006F25C0">
      <w:rPr>
        <w:rFonts w:ascii="Arial" w:hAnsi="Arial" w:cs="Arial"/>
        <w:szCs w:val="24"/>
      </w:rPr>
      <w:fldChar w:fldCharType="begin"/>
    </w:r>
    <w:r w:rsidR="00386071" w:rsidRPr="006F25C0">
      <w:rPr>
        <w:rFonts w:ascii="Arial" w:hAnsi="Arial" w:cs="Arial"/>
        <w:szCs w:val="24"/>
      </w:rPr>
      <w:instrText xml:space="preserve"> PAGE </w:instrText>
    </w:r>
    <w:r w:rsidR="00386071" w:rsidRPr="006F25C0">
      <w:rPr>
        <w:rFonts w:ascii="Arial" w:hAnsi="Arial" w:cs="Arial"/>
        <w:szCs w:val="24"/>
      </w:rPr>
      <w:fldChar w:fldCharType="separate"/>
    </w:r>
    <w:r w:rsidR="00BC5C81" w:rsidRPr="006F25C0">
      <w:rPr>
        <w:rFonts w:ascii="Arial" w:hAnsi="Arial" w:cs="Arial"/>
        <w:noProof/>
        <w:szCs w:val="24"/>
      </w:rPr>
      <w:t>17</w:t>
    </w:r>
    <w:r w:rsidR="00386071" w:rsidRPr="006F25C0">
      <w:rPr>
        <w:rFonts w:ascii="Arial" w:hAnsi="Arial" w:cs="Arial"/>
        <w:szCs w:val="24"/>
      </w:rPr>
      <w:fldChar w:fldCharType="end"/>
    </w:r>
    <w:r w:rsidR="00386071" w:rsidRPr="006F25C0">
      <w:rPr>
        <w:rFonts w:ascii="Arial" w:hAnsi="Arial" w:cs="Arial"/>
        <w:szCs w:val="24"/>
      </w:rPr>
      <w:t xml:space="preserve"> of </w:t>
    </w:r>
    <w:r w:rsidR="00386071" w:rsidRPr="006F25C0">
      <w:rPr>
        <w:rFonts w:ascii="Arial" w:hAnsi="Arial" w:cs="Arial"/>
        <w:szCs w:val="24"/>
      </w:rPr>
      <w:fldChar w:fldCharType="begin"/>
    </w:r>
    <w:r w:rsidR="00386071" w:rsidRPr="006F25C0">
      <w:rPr>
        <w:rFonts w:ascii="Arial" w:hAnsi="Arial" w:cs="Arial"/>
        <w:szCs w:val="24"/>
      </w:rPr>
      <w:instrText xml:space="preserve"> NUMPAGES  </w:instrText>
    </w:r>
    <w:r w:rsidR="00386071" w:rsidRPr="006F25C0">
      <w:rPr>
        <w:rFonts w:ascii="Arial" w:hAnsi="Arial" w:cs="Arial"/>
        <w:szCs w:val="24"/>
      </w:rPr>
      <w:fldChar w:fldCharType="separate"/>
    </w:r>
    <w:r w:rsidR="00BC5C81" w:rsidRPr="006F25C0">
      <w:rPr>
        <w:rFonts w:ascii="Arial" w:hAnsi="Arial" w:cs="Arial"/>
        <w:noProof/>
        <w:szCs w:val="24"/>
      </w:rPr>
      <w:t>17</w:t>
    </w:r>
    <w:r w:rsidR="00386071" w:rsidRPr="006F25C0">
      <w:rPr>
        <w:rFonts w:ascii="Arial" w:hAnsi="Arial" w:cs="Arial"/>
        <w:szCs w:val="24"/>
      </w:rPr>
      <w:fldChar w:fldCharType="end"/>
    </w:r>
  </w:p>
  <w:p w14:paraId="24388997" w14:textId="68924A31"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w:t>
    </w:r>
    <w:r w:rsidR="00963D1C">
      <w:rPr>
        <w:rFonts w:ascii="Arial" w:hAnsi="Arial" w:cs="Arial"/>
        <w:color w:val="BFBFBF"/>
        <w:szCs w:val="24"/>
      </w:rPr>
      <w:t xml:space="preserve">: </w:t>
    </w:r>
    <w:r w:rsidRPr="00AF6391">
      <w:rPr>
        <w:rFonts w:ascii="Arial" w:hAnsi="Arial" w:cs="Arial"/>
        <w:color w:val="BFBFBF"/>
        <w:szCs w:val="24"/>
      </w:rPr>
      <w:t>SENSITIVE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4E3A" w14:textId="77777777" w:rsidR="00ED4F32" w:rsidRDefault="00ED4F32">
      <w:r>
        <w:separator/>
      </w:r>
    </w:p>
  </w:footnote>
  <w:footnote w:type="continuationSeparator" w:id="0">
    <w:p w14:paraId="4D1DC97E" w14:textId="77777777" w:rsidR="00ED4F32" w:rsidRDefault="00ED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23FB" w14:textId="7DCD3ED8"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963D1C">
      <w:rPr>
        <w:rFonts w:ascii="Arial" w:hAnsi="Arial" w:cs="Arial"/>
        <w:color w:val="BFBFBF"/>
        <w:sz w:val="24"/>
        <w:szCs w:val="24"/>
      </w:rPr>
      <w:t>:</w:t>
    </w:r>
    <w:r w:rsidR="00AF6391" w:rsidRPr="00AF6391">
      <w:rPr>
        <w:rFonts w:ascii="Arial" w:hAnsi="Arial" w:cs="Arial"/>
        <w:color w:val="BFBFBF"/>
        <w:sz w:val="24"/>
        <w:szCs w:val="24"/>
      </w:rPr>
      <w:t xml:space="preserve"> SENSITIVE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 w15:restartNumberingAfterBreak="0">
    <w:nsid w:val="196D17FB"/>
    <w:multiLevelType w:val="multilevel"/>
    <w:tmpl w:val="904E8EEA"/>
    <w:lvl w:ilvl="0">
      <w:start w:val="11"/>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7" w15:restartNumberingAfterBreak="0">
    <w:nsid w:val="1F0005E5"/>
    <w:multiLevelType w:val="multilevel"/>
    <w:tmpl w:val="904E8EEA"/>
    <w:lvl w:ilvl="0">
      <w:start w:val="17"/>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0"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2"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5"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9"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DE586B"/>
    <w:multiLevelType w:val="multilevel"/>
    <w:tmpl w:val="A8E6E8B6"/>
    <w:lvl w:ilvl="0">
      <w:start w:val="11"/>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3F829D4"/>
    <w:multiLevelType w:val="multilevel"/>
    <w:tmpl w:val="B160252C"/>
    <w:lvl w:ilvl="0">
      <w:start w:val="8"/>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B5A6657"/>
    <w:multiLevelType w:val="multilevel"/>
    <w:tmpl w:val="9C04C0D6"/>
    <w:lvl w:ilvl="0">
      <w:start w:val="8"/>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94D03DC"/>
    <w:multiLevelType w:val="multilevel"/>
    <w:tmpl w:val="D2547F12"/>
    <w:lvl w:ilvl="0">
      <w:start w:val="1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52C6CAC"/>
    <w:multiLevelType w:val="multilevel"/>
    <w:tmpl w:val="645CB928"/>
    <w:lvl w:ilvl="0">
      <w:start w:val="11"/>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317536782">
    <w:abstractNumId w:val="14"/>
  </w:num>
  <w:num w:numId="2" w16cid:durableId="1194733343">
    <w:abstractNumId w:val="6"/>
  </w:num>
  <w:num w:numId="3" w16cid:durableId="1534002916">
    <w:abstractNumId w:val="27"/>
  </w:num>
  <w:num w:numId="4" w16cid:durableId="1723670144">
    <w:abstractNumId w:val="0"/>
  </w:num>
  <w:num w:numId="5" w16cid:durableId="1724333976">
    <w:abstractNumId w:val="26"/>
  </w:num>
  <w:num w:numId="6" w16cid:durableId="1250887513">
    <w:abstractNumId w:val="19"/>
  </w:num>
  <w:num w:numId="7" w16cid:durableId="1649944571">
    <w:abstractNumId w:val="16"/>
  </w:num>
  <w:num w:numId="8" w16cid:durableId="2019041338">
    <w:abstractNumId w:val="17"/>
  </w:num>
  <w:num w:numId="9" w16cid:durableId="1101990467">
    <w:abstractNumId w:val="21"/>
  </w:num>
  <w:num w:numId="10" w16cid:durableId="2032486882">
    <w:abstractNumId w:val="10"/>
  </w:num>
  <w:num w:numId="11" w16cid:durableId="1998417646">
    <w:abstractNumId w:val="15"/>
  </w:num>
  <w:num w:numId="12" w16cid:durableId="680207996">
    <w:abstractNumId w:val="18"/>
  </w:num>
  <w:num w:numId="13" w16cid:durableId="509179753">
    <w:abstractNumId w:val="13"/>
  </w:num>
  <w:num w:numId="14" w16cid:durableId="538277040">
    <w:abstractNumId w:val="12"/>
  </w:num>
  <w:num w:numId="15" w16cid:durableId="1981839579">
    <w:abstractNumId w:val="23"/>
  </w:num>
  <w:num w:numId="16" w16cid:durableId="677930753">
    <w:abstractNumId w:val="1"/>
  </w:num>
  <w:num w:numId="17" w16cid:durableId="748312526">
    <w:abstractNumId w:val="3"/>
  </w:num>
  <w:num w:numId="18" w16cid:durableId="1342664653">
    <w:abstractNumId w:val="11"/>
  </w:num>
  <w:num w:numId="19" w16cid:durableId="1706326903">
    <w:abstractNumId w:val="8"/>
  </w:num>
  <w:num w:numId="20" w16cid:durableId="596525707">
    <w:abstractNumId w:val="9"/>
  </w:num>
  <w:num w:numId="21" w16cid:durableId="546529038">
    <w:abstractNumId w:val="5"/>
  </w:num>
  <w:num w:numId="22" w16cid:durableId="499390500">
    <w:abstractNumId w:val="2"/>
  </w:num>
  <w:num w:numId="23" w16cid:durableId="599678828">
    <w:abstractNumId w:val="20"/>
  </w:num>
  <w:num w:numId="24" w16cid:durableId="839658471">
    <w:abstractNumId w:val="24"/>
  </w:num>
  <w:num w:numId="25" w16cid:durableId="1362978101">
    <w:abstractNumId w:val="25"/>
  </w:num>
  <w:num w:numId="26" w16cid:durableId="187640818">
    <w:abstractNumId w:val="7"/>
  </w:num>
  <w:num w:numId="27" w16cid:durableId="666324962">
    <w:abstractNumId w:val="4"/>
  </w:num>
  <w:num w:numId="28" w16cid:durableId="80886639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264DB"/>
    <w:rsid w:val="00031C6F"/>
    <w:rsid w:val="00032DEA"/>
    <w:rsid w:val="000331ED"/>
    <w:rsid w:val="000411A6"/>
    <w:rsid w:val="00041C8A"/>
    <w:rsid w:val="00042E5D"/>
    <w:rsid w:val="0004744C"/>
    <w:rsid w:val="000527FA"/>
    <w:rsid w:val="00062425"/>
    <w:rsid w:val="00070712"/>
    <w:rsid w:val="0007494D"/>
    <w:rsid w:val="00081E6F"/>
    <w:rsid w:val="00082521"/>
    <w:rsid w:val="000945C7"/>
    <w:rsid w:val="000972E1"/>
    <w:rsid w:val="00097EC8"/>
    <w:rsid w:val="000A01C7"/>
    <w:rsid w:val="000A01E4"/>
    <w:rsid w:val="000A33E6"/>
    <w:rsid w:val="000A54EC"/>
    <w:rsid w:val="000B1682"/>
    <w:rsid w:val="000B1994"/>
    <w:rsid w:val="000B1E4E"/>
    <w:rsid w:val="000B1F6D"/>
    <w:rsid w:val="000C3935"/>
    <w:rsid w:val="000C67B4"/>
    <w:rsid w:val="000D10C3"/>
    <w:rsid w:val="000D1C4E"/>
    <w:rsid w:val="000D5800"/>
    <w:rsid w:val="000D6A74"/>
    <w:rsid w:val="000D7B86"/>
    <w:rsid w:val="000E32E0"/>
    <w:rsid w:val="000E3567"/>
    <w:rsid w:val="000F23F4"/>
    <w:rsid w:val="00100047"/>
    <w:rsid w:val="0010337A"/>
    <w:rsid w:val="00103579"/>
    <w:rsid w:val="00104BA5"/>
    <w:rsid w:val="00104DDD"/>
    <w:rsid w:val="00106D72"/>
    <w:rsid w:val="00106E83"/>
    <w:rsid w:val="00114CC0"/>
    <w:rsid w:val="0012034A"/>
    <w:rsid w:val="00120E3E"/>
    <w:rsid w:val="00126616"/>
    <w:rsid w:val="00127C68"/>
    <w:rsid w:val="00133563"/>
    <w:rsid w:val="00135213"/>
    <w:rsid w:val="00140944"/>
    <w:rsid w:val="00142039"/>
    <w:rsid w:val="00151C7F"/>
    <w:rsid w:val="00152F6F"/>
    <w:rsid w:val="001565D4"/>
    <w:rsid w:val="001615B7"/>
    <w:rsid w:val="00166281"/>
    <w:rsid w:val="00171309"/>
    <w:rsid w:val="00171A8D"/>
    <w:rsid w:val="0017252C"/>
    <w:rsid w:val="00174B38"/>
    <w:rsid w:val="00175AC4"/>
    <w:rsid w:val="0017670D"/>
    <w:rsid w:val="00183131"/>
    <w:rsid w:val="001956FB"/>
    <w:rsid w:val="001A5559"/>
    <w:rsid w:val="001A5846"/>
    <w:rsid w:val="001A6C52"/>
    <w:rsid w:val="001B2DD0"/>
    <w:rsid w:val="001B53A3"/>
    <w:rsid w:val="001B6D7E"/>
    <w:rsid w:val="001C1430"/>
    <w:rsid w:val="001C32C0"/>
    <w:rsid w:val="001C47CB"/>
    <w:rsid w:val="001E0CAC"/>
    <w:rsid w:val="001E3980"/>
    <w:rsid w:val="001E7036"/>
    <w:rsid w:val="001F35ED"/>
    <w:rsid w:val="0020252F"/>
    <w:rsid w:val="00205137"/>
    <w:rsid w:val="002056E6"/>
    <w:rsid w:val="002120B4"/>
    <w:rsid w:val="00213492"/>
    <w:rsid w:val="002136EF"/>
    <w:rsid w:val="00214EF0"/>
    <w:rsid w:val="00215FDE"/>
    <w:rsid w:val="00216C56"/>
    <w:rsid w:val="00216D44"/>
    <w:rsid w:val="002171F5"/>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D59"/>
    <w:rsid w:val="0028714B"/>
    <w:rsid w:val="002914F4"/>
    <w:rsid w:val="00294DCD"/>
    <w:rsid w:val="00295719"/>
    <w:rsid w:val="002969D2"/>
    <w:rsid w:val="002A3AA4"/>
    <w:rsid w:val="002A7193"/>
    <w:rsid w:val="002B1BCF"/>
    <w:rsid w:val="002B299C"/>
    <w:rsid w:val="002B3704"/>
    <w:rsid w:val="002B5049"/>
    <w:rsid w:val="002C143B"/>
    <w:rsid w:val="002C7A3F"/>
    <w:rsid w:val="002E0E5E"/>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6755A"/>
    <w:rsid w:val="003700E1"/>
    <w:rsid w:val="003701CF"/>
    <w:rsid w:val="00370D68"/>
    <w:rsid w:val="00373B0D"/>
    <w:rsid w:val="003808EF"/>
    <w:rsid w:val="003842D8"/>
    <w:rsid w:val="00386071"/>
    <w:rsid w:val="0039547B"/>
    <w:rsid w:val="003A25E3"/>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202"/>
    <w:rsid w:val="003D7FDA"/>
    <w:rsid w:val="003E0365"/>
    <w:rsid w:val="003E1AD0"/>
    <w:rsid w:val="003E29E4"/>
    <w:rsid w:val="003E63CE"/>
    <w:rsid w:val="003E67D9"/>
    <w:rsid w:val="003F183B"/>
    <w:rsid w:val="003F21A8"/>
    <w:rsid w:val="003F287A"/>
    <w:rsid w:val="003F7620"/>
    <w:rsid w:val="004010C7"/>
    <w:rsid w:val="004027B0"/>
    <w:rsid w:val="004050CA"/>
    <w:rsid w:val="00405ABC"/>
    <w:rsid w:val="00406035"/>
    <w:rsid w:val="00414925"/>
    <w:rsid w:val="00420792"/>
    <w:rsid w:val="00434695"/>
    <w:rsid w:val="00443752"/>
    <w:rsid w:val="00445100"/>
    <w:rsid w:val="00445699"/>
    <w:rsid w:val="004462DB"/>
    <w:rsid w:val="00446950"/>
    <w:rsid w:val="004531B1"/>
    <w:rsid w:val="00456EA6"/>
    <w:rsid w:val="00464DC3"/>
    <w:rsid w:val="004668F3"/>
    <w:rsid w:val="00471A85"/>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D28E2"/>
    <w:rsid w:val="004E2364"/>
    <w:rsid w:val="004E475E"/>
    <w:rsid w:val="004E7828"/>
    <w:rsid w:val="004F068D"/>
    <w:rsid w:val="004F06BB"/>
    <w:rsid w:val="004F468A"/>
    <w:rsid w:val="004F7AD6"/>
    <w:rsid w:val="00500DB5"/>
    <w:rsid w:val="00502DC5"/>
    <w:rsid w:val="0050363E"/>
    <w:rsid w:val="00505A67"/>
    <w:rsid w:val="005130C1"/>
    <w:rsid w:val="00514FCA"/>
    <w:rsid w:val="00515B15"/>
    <w:rsid w:val="00525CC9"/>
    <w:rsid w:val="00526103"/>
    <w:rsid w:val="005275C5"/>
    <w:rsid w:val="00531665"/>
    <w:rsid w:val="005335E4"/>
    <w:rsid w:val="00533BF4"/>
    <w:rsid w:val="00533C4E"/>
    <w:rsid w:val="005350F6"/>
    <w:rsid w:val="00535252"/>
    <w:rsid w:val="00536355"/>
    <w:rsid w:val="00536CDE"/>
    <w:rsid w:val="00544B72"/>
    <w:rsid w:val="005460FC"/>
    <w:rsid w:val="00547741"/>
    <w:rsid w:val="00562F74"/>
    <w:rsid w:val="00564968"/>
    <w:rsid w:val="00564CE2"/>
    <w:rsid w:val="00564F8A"/>
    <w:rsid w:val="005677C4"/>
    <w:rsid w:val="00571661"/>
    <w:rsid w:val="00580B7C"/>
    <w:rsid w:val="00585115"/>
    <w:rsid w:val="00586EDC"/>
    <w:rsid w:val="0059183A"/>
    <w:rsid w:val="00592739"/>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E2F6A"/>
    <w:rsid w:val="005E7565"/>
    <w:rsid w:val="005F06F6"/>
    <w:rsid w:val="005F142D"/>
    <w:rsid w:val="005F4195"/>
    <w:rsid w:val="005F53BE"/>
    <w:rsid w:val="005F690E"/>
    <w:rsid w:val="005F7330"/>
    <w:rsid w:val="00602DDC"/>
    <w:rsid w:val="006052AD"/>
    <w:rsid w:val="006072CC"/>
    <w:rsid w:val="00607801"/>
    <w:rsid w:val="006118E3"/>
    <w:rsid w:val="00612F98"/>
    <w:rsid w:val="00613654"/>
    <w:rsid w:val="00616A5A"/>
    <w:rsid w:val="00617BF0"/>
    <w:rsid w:val="00621BCA"/>
    <w:rsid w:val="00624AE9"/>
    <w:rsid w:val="00626584"/>
    <w:rsid w:val="006300F9"/>
    <w:rsid w:val="00633721"/>
    <w:rsid w:val="00634203"/>
    <w:rsid w:val="00634E15"/>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4437"/>
    <w:rsid w:val="006C4DDA"/>
    <w:rsid w:val="006C6DC2"/>
    <w:rsid w:val="006D48B4"/>
    <w:rsid w:val="006D6B12"/>
    <w:rsid w:val="006E16F8"/>
    <w:rsid w:val="006F05C0"/>
    <w:rsid w:val="006F25C0"/>
    <w:rsid w:val="006F2DC6"/>
    <w:rsid w:val="006F3400"/>
    <w:rsid w:val="006F649C"/>
    <w:rsid w:val="0070351A"/>
    <w:rsid w:val="00705FC4"/>
    <w:rsid w:val="00706C67"/>
    <w:rsid w:val="00714A36"/>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51FF"/>
    <w:rsid w:val="007676DC"/>
    <w:rsid w:val="007707B8"/>
    <w:rsid w:val="00772871"/>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E1BF4"/>
    <w:rsid w:val="007F6EA9"/>
    <w:rsid w:val="008031EE"/>
    <w:rsid w:val="00814BA6"/>
    <w:rsid w:val="00814BE9"/>
    <w:rsid w:val="00815CD9"/>
    <w:rsid w:val="00821E29"/>
    <w:rsid w:val="008274F7"/>
    <w:rsid w:val="0082774B"/>
    <w:rsid w:val="00830E94"/>
    <w:rsid w:val="008349B9"/>
    <w:rsid w:val="008428DB"/>
    <w:rsid w:val="008438BC"/>
    <w:rsid w:val="00846652"/>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265D8"/>
    <w:rsid w:val="00934357"/>
    <w:rsid w:val="00941AB5"/>
    <w:rsid w:val="00941D70"/>
    <w:rsid w:val="0094265F"/>
    <w:rsid w:val="009467EB"/>
    <w:rsid w:val="00947B1D"/>
    <w:rsid w:val="00950D79"/>
    <w:rsid w:val="00952C4E"/>
    <w:rsid w:val="00954F56"/>
    <w:rsid w:val="00955559"/>
    <w:rsid w:val="0095753C"/>
    <w:rsid w:val="00961E36"/>
    <w:rsid w:val="00963D1C"/>
    <w:rsid w:val="0097044F"/>
    <w:rsid w:val="0097331A"/>
    <w:rsid w:val="009752C6"/>
    <w:rsid w:val="00980559"/>
    <w:rsid w:val="00982F3F"/>
    <w:rsid w:val="00992349"/>
    <w:rsid w:val="0099592D"/>
    <w:rsid w:val="00996BF3"/>
    <w:rsid w:val="009A0611"/>
    <w:rsid w:val="009A234E"/>
    <w:rsid w:val="009A590D"/>
    <w:rsid w:val="009B68E1"/>
    <w:rsid w:val="009B7D72"/>
    <w:rsid w:val="009C00F6"/>
    <w:rsid w:val="009C57B6"/>
    <w:rsid w:val="009C5E31"/>
    <w:rsid w:val="009C7D6B"/>
    <w:rsid w:val="009D6D38"/>
    <w:rsid w:val="009E4BEB"/>
    <w:rsid w:val="009F01EA"/>
    <w:rsid w:val="009F26D9"/>
    <w:rsid w:val="009F5DAE"/>
    <w:rsid w:val="00A00470"/>
    <w:rsid w:val="00A0492D"/>
    <w:rsid w:val="00A108E6"/>
    <w:rsid w:val="00A1240B"/>
    <w:rsid w:val="00A1393A"/>
    <w:rsid w:val="00A13CE1"/>
    <w:rsid w:val="00A15526"/>
    <w:rsid w:val="00A203F0"/>
    <w:rsid w:val="00A222CF"/>
    <w:rsid w:val="00A256B7"/>
    <w:rsid w:val="00A33F2C"/>
    <w:rsid w:val="00A345AA"/>
    <w:rsid w:val="00A356A2"/>
    <w:rsid w:val="00A41479"/>
    <w:rsid w:val="00A42A59"/>
    <w:rsid w:val="00A432CF"/>
    <w:rsid w:val="00A44BA4"/>
    <w:rsid w:val="00A52A23"/>
    <w:rsid w:val="00A55DEA"/>
    <w:rsid w:val="00A61A4E"/>
    <w:rsid w:val="00A72F73"/>
    <w:rsid w:val="00A75063"/>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D04C2"/>
    <w:rsid w:val="00AD452D"/>
    <w:rsid w:val="00AD7B48"/>
    <w:rsid w:val="00AE27B8"/>
    <w:rsid w:val="00AE5104"/>
    <w:rsid w:val="00AE5E3F"/>
    <w:rsid w:val="00AF2423"/>
    <w:rsid w:val="00AF294B"/>
    <w:rsid w:val="00AF50AD"/>
    <w:rsid w:val="00AF6391"/>
    <w:rsid w:val="00AF684A"/>
    <w:rsid w:val="00AF6E08"/>
    <w:rsid w:val="00AF7A77"/>
    <w:rsid w:val="00B02AF8"/>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37BA"/>
    <w:rsid w:val="00BA6F70"/>
    <w:rsid w:val="00BB0039"/>
    <w:rsid w:val="00BB34AB"/>
    <w:rsid w:val="00BB5262"/>
    <w:rsid w:val="00BC5C81"/>
    <w:rsid w:val="00BD05D1"/>
    <w:rsid w:val="00BD1F24"/>
    <w:rsid w:val="00BE3330"/>
    <w:rsid w:val="00BE531B"/>
    <w:rsid w:val="00BE671A"/>
    <w:rsid w:val="00BE747F"/>
    <w:rsid w:val="00BE7A78"/>
    <w:rsid w:val="00BF55FB"/>
    <w:rsid w:val="00C02512"/>
    <w:rsid w:val="00C0255F"/>
    <w:rsid w:val="00C042BA"/>
    <w:rsid w:val="00C05A2F"/>
    <w:rsid w:val="00C07CFF"/>
    <w:rsid w:val="00C10E00"/>
    <w:rsid w:val="00C162CE"/>
    <w:rsid w:val="00C21EE6"/>
    <w:rsid w:val="00C25867"/>
    <w:rsid w:val="00C2761E"/>
    <w:rsid w:val="00C30449"/>
    <w:rsid w:val="00C3327A"/>
    <w:rsid w:val="00C35558"/>
    <w:rsid w:val="00C369C3"/>
    <w:rsid w:val="00C36F19"/>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4928"/>
    <w:rsid w:val="00D123A4"/>
    <w:rsid w:val="00D2459D"/>
    <w:rsid w:val="00D30DAE"/>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4104"/>
    <w:rsid w:val="00D847F5"/>
    <w:rsid w:val="00D9130D"/>
    <w:rsid w:val="00D91881"/>
    <w:rsid w:val="00D921FA"/>
    <w:rsid w:val="00D94DEC"/>
    <w:rsid w:val="00DA0573"/>
    <w:rsid w:val="00DA1310"/>
    <w:rsid w:val="00DA2520"/>
    <w:rsid w:val="00DA3D23"/>
    <w:rsid w:val="00DA7696"/>
    <w:rsid w:val="00DB44A4"/>
    <w:rsid w:val="00DB6BEA"/>
    <w:rsid w:val="00DC20BE"/>
    <w:rsid w:val="00DC23DA"/>
    <w:rsid w:val="00DC79EC"/>
    <w:rsid w:val="00DD164C"/>
    <w:rsid w:val="00DD2453"/>
    <w:rsid w:val="00DD5DBA"/>
    <w:rsid w:val="00DD659E"/>
    <w:rsid w:val="00DE7A0F"/>
    <w:rsid w:val="00DF2C7B"/>
    <w:rsid w:val="00DF420C"/>
    <w:rsid w:val="00DF6560"/>
    <w:rsid w:val="00E028CE"/>
    <w:rsid w:val="00E12D48"/>
    <w:rsid w:val="00E200CB"/>
    <w:rsid w:val="00E24861"/>
    <w:rsid w:val="00E26F36"/>
    <w:rsid w:val="00E275F1"/>
    <w:rsid w:val="00E3607C"/>
    <w:rsid w:val="00E42396"/>
    <w:rsid w:val="00E44EFA"/>
    <w:rsid w:val="00E47F3C"/>
    <w:rsid w:val="00E608B6"/>
    <w:rsid w:val="00E639F7"/>
    <w:rsid w:val="00E71283"/>
    <w:rsid w:val="00E74F1F"/>
    <w:rsid w:val="00E75CEA"/>
    <w:rsid w:val="00E77065"/>
    <w:rsid w:val="00E809A9"/>
    <w:rsid w:val="00E80B7A"/>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D4F32"/>
    <w:rsid w:val="00EE5809"/>
    <w:rsid w:val="00EF38A4"/>
    <w:rsid w:val="00EF401D"/>
    <w:rsid w:val="00EF57E9"/>
    <w:rsid w:val="00F0113E"/>
    <w:rsid w:val="00F0172E"/>
    <w:rsid w:val="00F01C25"/>
    <w:rsid w:val="00F04650"/>
    <w:rsid w:val="00F06AB2"/>
    <w:rsid w:val="00F076A5"/>
    <w:rsid w:val="00F14D37"/>
    <w:rsid w:val="00F15049"/>
    <w:rsid w:val="00F15476"/>
    <w:rsid w:val="00F20FD9"/>
    <w:rsid w:val="00F21FDD"/>
    <w:rsid w:val="00F25540"/>
    <w:rsid w:val="00F255E2"/>
    <w:rsid w:val="00F25ED1"/>
    <w:rsid w:val="00F30D47"/>
    <w:rsid w:val="00F31CF5"/>
    <w:rsid w:val="00F31F8F"/>
    <w:rsid w:val="00F3268A"/>
    <w:rsid w:val="00F345EA"/>
    <w:rsid w:val="00F3746B"/>
    <w:rsid w:val="00F37AC4"/>
    <w:rsid w:val="00F42D3A"/>
    <w:rsid w:val="00F42F1A"/>
    <w:rsid w:val="00F43B7F"/>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80199"/>
    <w:rsid w:val="00F807E7"/>
    <w:rsid w:val="00F876DC"/>
    <w:rsid w:val="00F903AB"/>
    <w:rsid w:val="00F94C09"/>
    <w:rsid w:val="00F978AF"/>
    <w:rsid w:val="00FA69B1"/>
    <w:rsid w:val="00FA6EBC"/>
    <w:rsid w:val="00FB4E9D"/>
    <w:rsid w:val="00FC5C60"/>
    <w:rsid w:val="00FC64B1"/>
    <w:rsid w:val="00FD62EB"/>
    <w:rsid w:val="00FD6EDA"/>
    <w:rsid w:val="00FE269D"/>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2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829857730">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footer" Target="footer2.xml" Id="rId14" /><Relationship Type="http://schemas.openxmlformats.org/officeDocument/2006/relationships/customXml" Target="/customXML/item3.xml" Id="Rcde6e2f5189f41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A2757445</value>
    </field>
    <field name="Objective-Title">
      <value order="0">Document No. 02 - Terms of offer</value>
    </field>
    <field name="Objective-Description">
      <value order="0"/>
    </field>
    <field name="Objective-CreationStamp">
      <value order="0">2023-10-03T14:51:53Z</value>
    </field>
    <field name="Objective-IsApproved">
      <value order="0">false</value>
    </field>
    <field name="Objective-IsPublished">
      <value order="0">true</value>
    </field>
    <field name="Objective-DatePublished">
      <value order="0">2023-10-26T16:56:40Z</value>
    </field>
    <field name="Objective-ModificationStamp">
      <value order="0">2023-10-26T16:56:40Z</value>
    </field>
    <field name="Objective-Owner">
      <value order="0">Patrick, Collette</value>
    </field>
    <field name="Objective-Path">
      <value order="0">Global Folder:02 Branded Medicines Projects and Contracts:02 Frameworks:22 Branded Team Pharmaceutical Projects 2024:CM/PHR/22/5686 - Aseptically Prepared Cytotoxic Medicines &amp; Monoclonal Antibodies:03 Tender:02 ITO Documents</value>
    </field>
    <field name="Objective-Parent">
      <value order="0">02 ITO Documents</value>
    </field>
    <field name="Objective-State">
      <value order="0">Published</value>
    </field>
    <field name="Objective-VersionId">
      <value order="0">vA4242926</value>
    </field>
    <field name="Objective-Version">
      <value order="0">12.0</value>
    </field>
    <field name="Objective-VersionNumber">
      <value order="0">13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4314</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28849</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Collette  Patrick</cp:lastModifiedBy>
  <cp:revision>23</cp:revision>
  <cp:lastPrinted>2018-10-24T08:06:00Z</cp:lastPrinted>
  <dcterms:created xsi:type="dcterms:W3CDTF">2023-09-18T11:33:00Z</dcterms:created>
  <dcterms:modified xsi:type="dcterms:W3CDTF">2023-10-26T16:56:00Z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A2757445</vt:lpwstr>
  </property>
  <property fmtid="{D5CDD505-2E9C-101B-9397-08002B2CF9AE}" pid="3" name="Objective-Comment">
    <vt:lpwstr/>
  </property>
  <property fmtid="{D5CDD505-2E9C-101B-9397-08002B2CF9AE}" pid="4" name="Objective-CreationStamp">
    <vt:filetime>2023-10-03T14:51:53Z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2023-10-26T16:56:40Z</vt:filetime>
  </property>
  <property fmtid="{D5CDD505-2E9C-101B-9397-08002B2CF9AE}" pid="8" name="Objective-ModificationStamp">
    <vt:filetime>2023-10-26T16:56:40Z</vt:filetime>
  </property>
  <property fmtid="{D5CDD505-2E9C-101B-9397-08002B2CF9AE}" pid="9" name="Objective-Owner">
    <vt:lpwstr>Patrick, Collette</vt:lpwstr>
  </property>
  <property fmtid="{D5CDD505-2E9C-101B-9397-08002B2CF9AE}" pid="10" name="Objective-Path">
    <vt:lpwstr>Global Folder:02 Branded Medicines Projects and Contracts:02 Frameworks:22 Branded Team Pharmaceutical Projects 2024:CM/PHR/22/5686 - Aseptically Prepared Cytotoxic Medicines &amp; Monoclonal Antibodies:03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12.0</vt:lpwstr>
  </property>
  <property fmtid="{D5CDD505-2E9C-101B-9397-08002B2CF9AE}" pid="15" name="Objective-VersionComment">
    <vt:lpwstr/>
  </property>
  <property fmtid="{D5CDD505-2E9C-101B-9397-08002B2CF9AE}" pid="16" name="Objective-VersionNumber">
    <vt:r8>13</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vA4242926</vt:lpwstr>
  </property>
</Properties>
</file>