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0B68" w14:textId="6FDBC1B5" w:rsidR="00D60180" w:rsidRDefault="002D3A03">
      <w:pPr>
        <w:tabs>
          <w:tab w:val="left" w:pos="6705"/>
        </w:tabs>
        <w:ind w:left="110"/>
        <w:rPr>
          <w:rFonts w:ascii="Times New Roman"/>
          <w:sz w:val="20"/>
        </w:rPr>
      </w:pPr>
      <w:r>
        <w:rPr>
          <w:rFonts w:ascii="Times New Roman"/>
          <w:position w:val="121"/>
          <w:sz w:val="20"/>
        </w:rPr>
        <w:tab/>
      </w:r>
    </w:p>
    <w:p w14:paraId="2B0050A7" w14:textId="152CD08D" w:rsidR="00D60180" w:rsidRDefault="00D60180">
      <w:pPr>
        <w:pStyle w:val="BodyText"/>
        <w:spacing w:before="1"/>
        <w:rPr>
          <w:rFonts w:ascii="Times New Roman"/>
          <w:sz w:val="18"/>
        </w:rPr>
      </w:pPr>
    </w:p>
    <w:p w14:paraId="73496419" w14:textId="77777777" w:rsidR="00690AED" w:rsidRDefault="00690AED">
      <w:pPr>
        <w:pStyle w:val="BodyText"/>
        <w:spacing w:before="1"/>
        <w:rPr>
          <w:rFonts w:ascii="Times New Roman"/>
          <w:sz w:val="18"/>
        </w:rPr>
      </w:pPr>
    </w:p>
    <w:p w14:paraId="4622CF2A" w14:textId="77777777" w:rsidR="00D60180" w:rsidRDefault="002D3A03">
      <w:pPr>
        <w:pStyle w:val="Heading1"/>
        <w:spacing w:before="94"/>
        <w:ind w:left="3694"/>
        <w:rPr>
          <w:u w:val="none"/>
        </w:rPr>
      </w:pPr>
      <w:r>
        <w:rPr>
          <w:u w:val="none"/>
        </w:rPr>
        <w:t>Statement of Good Standing</w:t>
      </w:r>
    </w:p>
    <w:p w14:paraId="40725673" w14:textId="77777777" w:rsidR="00D60180" w:rsidRDefault="00D60180">
      <w:pPr>
        <w:pStyle w:val="BodyText"/>
        <w:spacing w:before="7"/>
        <w:rPr>
          <w:b/>
          <w:sz w:val="26"/>
        </w:rPr>
      </w:pPr>
    </w:p>
    <w:p w14:paraId="7D6B4B98" w14:textId="77777777" w:rsidR="00D60180" w:rsidRDefault="002D3A03">
      <w:pPr>
        <w:pStyle w:val="BodyText"/>
        <w:ind w:left="785"/>
      </w:pPr>
      <w:r>
        <w:t>Please review the attached questions and indicate your response in the relevant box.</w:t>
      </w:r>
    </w:p>
    <w:p w14:paraId="184013E9" w14:textId="77777777" w:rsidR="00D60180" w:rsidRDefault="00D60180">
      <w:pPr>
        <w:pStyle w:val="BodyText"/>
        <w:spacing w:before="7"/>
        <w:rPr>
          <w:sz w:val="26"/>
        </w:rPr>
      </w:pPr>
    </w:p>
    <w:p w14:paraId="6D4897B3" w14:textId="77777777" w:rsidR="00D60180" w:rsidRDefault="002D3A03">
      <w:pPr>
        <w:pStyle w:val="Heading1"/>
        <w:rPr>
          <w:u w:val="none"/>
        </w:rPr>
      </w:pPr>
      <w:r>
        <w:rPr>
          <w:u w:val="thick"/>
        </w:rPr>
        <w:t>Grounds for Mandatory Exclusion</w:t>
      </w:r>
    </w:p>
    <w:p w14:paraId="14F0A7DD" w14:textId="77777777" w:rsidR="00D60180" w:rsidRDefault="00D60180">
      <w:pPr>
        <w:pStyle w:val="BodyText"/>
        <w:rPr>
          <w:b/>
          <w:sz w:val="17"/>
        </w:rPr>
      </w:pPr>
    </w:p>
    <w:p w14:paraId="6F648A3F" w14:textId="77777777" w:rsidR="00D60180" w:rsidRDefault="002D3A03">
      <w:pPr>
        <w:pStyle w:val="BodyText"/>
        <w:spacing w:before="94"/>
        <w:ind w:left="785" w:right="229"/>
        <w:jc w:val="both"/>
      </w:pPr>
      <w: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14:paraId="7F187F3B" w14:textId="77777777" w:rsidR="00D60180" w:rsidRDefault="00D60180">
      <w:pPr>
        <w:pStyle w:val="BodyText"/>
      </w:pPr>
    </w:p>
    <w:p w14:paraId="69D5ED72" w14:textId="493F55C0" w:rsidR="00D60180" w:rsidRDefault="002D3A03">
      <w:pPr>
        <w:pStyle w:val="BodyText"/>
        <w:spacing w:before="1"/>
        <w:ind w:left="785" w:right="227"/>
        <w:jc w:val="both"/>
      </w:pPr>
      <w:r>
        <w:t>If you have answered “yes” to question 2.2 on the non-payment of taxes or social security contributions,</w:t>
      </w:r>
      <w:r w:rsidR="00690AED">
        <w:t xml:space="preserve"> </w:t>
      </w:r>
      <w:r>
        <w:t>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w:t>
      </w:r>
      <w:r>
        <w:rPr>
          <w:spacing w:val="-24"/>
        </w:rPr>
        <w:t xml:space="preserve"> </w:t>
      </w:r>
      <w:r>
        <w:t>form.</w:t>
      </w:r>
    </w:p>
    <w:p w14:paraId="4F0327B9" w14:textId="77777777" w:rsidR="00D60180" w:rsidRDefault="00D60180">
      <w:pPr>
        <w:pStyle w:val="BodyText"/>
        <w:rPr>
          <w:sz w:val="20"/>
        </w:rPr>
      </w:pPr>
    </w:p>
    <w:p w14:paraId="4717C0F8" w14:textId="77777777" w:rsidR="00D60180" w:rsidRDefault="00D60180">
      <w:pPr>
        <w:pStyle w:val="BodyText"/>
        <w:spacing w:before="8"/>
        <w:rPr>
          <w:sz w:val="28"/>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1"/>
        <w:gridCol w:w="1440"/>
        <w:gridCol w:w="1620"/>
      </w:tblGrid>
      <w:tr w:rsidR="00D60180" w14:paraId="7AA189BD" w14:textId="77777777">
        <w:trPr>
          <w:trHeight w:val="880"/>
        </w:trPr>
        <w:tc>
          <w:tcPr>
            <w:tcW w:w="5841" w:type="dxa"/>
            <w:vMerge w:val="restart"/>
          </w:tcPr>
          <w:p w14:paraId="7552BEFC" w14:textId="77777777" w:rsidR="00D60180" w:rsidRDefault="002D3A03">
            <w:pPr>
              <w:pStyle w:val="TableParagraph"/>
              <w:ind w:left="376" w:right="412" w:hanging="262"/>
              <w:jc w:val="both"/>
              <w:rPr>
                <w:b/>
              </w:rPr>
            </w:pPr>
            <w:r>
              <w:rPr>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Pr>
          <w:p w14:paraId="0275C209" w14:textId="77777777" w:rsidR="00D60180" w:rsidRDefault="002D3A03">
            <w:pPr>
              <w:pStyle w:val="TableParagraph"/>
              <w:ind w:left="239" w:right="228" w:hanging="4"/>
              <w:jc w:val="center"/>
              <w:rPr>
                <w:b/>
              </w:rPr>
            </w:pPr>
            <w:r>
              <w:rPr>
                <w:b/>
              </w:rPr>
              <w:t>Please indicate your answer by marking ‘X’ in the relevant box.</w:t>
            </w:r>
          </w:p>
        </w:tc>
      </w:tr>
      <w:tr w:rsidR="00D60180" w14:paraId="4D136499" w14:textId="77777777">
        <w:trPr>
          <w:trHeight w:val="880"/>
        </w:trPr>
        <w:tc>
          <w:tcPr>
            <w:tcW w:w="5841" w:type="dxa"/>
            <w:vMerge/>
            <w:tcBorders>
              <w:top w:val="nil"/>
            </w:tcBorders>
          </w:tcPr>
          <w:p w14:paraId="222E19E4" w14:textId="77777777" w:rsidR="00D60180" w:rsidRDefault="00D60180">
            <w:pPr>
              <w:rPr>
                <w:sz w:val="2"/>
                <w:szCs w:val="2"/>
              </w:rPr>
            </w:pPr>
          </w:p>
        </w:tc>
        <w:tc>
          <w:tcPr>
            <w:tcW w:w="1440" w:type="dxa"/>
          </w:tcPr>
          <w:p w14:paraId="5DA3FE8B" w14:textId="77777777" w:rsidR="00D60180" w:rsidRDefault="00D60180">
            <w:pPr>
              <w:pStyle w:val="TableParagraph"/>
              <w:spacing w:before="10"/>
              <w:rPr>
                <w:sz w:val="26"/>
              </w:rPr>
            </w:pPr>
          </w:p>
          <w:p w14:paraId="7768F59B" w14:textId="77777777" w:rsidR="00D60180" w:rsidRDefault="002D3A03">
            <w:pPr>
              <w:pStyle w:val="TableParagraph"/>
              <w:ind w:left="502" w:right="495"/>
              <w:jc w:val="center"/>
              <w:rPr>
                <w:b/>
              </w:rPr>
            </w:pPr>
            <w:r>
              <w:rPr>
                <w:b/>
              </w:rPr>
              <w:t>Yes</w:t>
            </w:r>
          </w:p>
        </w:tc>
        <w:tc>
          <w:tcPr>
            <w:tcW w:w="1620" w:type="dxa"/>
          </w:tcPr>
          <w:p w14:paraId="10A336B8" w14:textId="77777777" w:rsidR="00D60180" w:rsidRDefault="00D60180">
            <w:pPr>
              <w:pStyle w:val="TableParagraph"/>
              <w:spacing w:before="10"/>
              <w:rPr>
                <w:sz w:val="26"/>
              </w:rPr>
            </w:pPr>
          </w:p>
          <w:p w14:paraId="6076EA9D" w14:textId="77777777" w:rsidR="00D60180" w:rsidRDefault="002D3A03">
            <w:pPr>
              <w:pStyle w:val="TableParagraph"/>
              <w:ind w:left="641" w:right="635"/>
              <w:jc w:val="center"/>
              <w:rPr>
                <w:b/>
              </w:rPr>
            </w:pPr>
            <w:r>
              <w:rPr>
                <w:b/>
              </w:rPr>
              <w:t>No</w:t>
            </w:r>
          </w:p>
        </w:tc>
      </w:tr>
      <w:tr w:rsidR="00D60180" w14:paraId="3E63810F" w14:textId="77777777">
        <w:trPr>
          <w:trHeight w:val="2265"/>
        </w:trPr>
        <w:tc>
          <w:tcPr>
            <w:tcW w:w="5841" w:type="dxa"/>
          </w:tcPr>
          <w:p w14:paraId="7C071A12" w14:textId="77777777" w:rsidR="00D60180" w:rsidRDefault="002D3A03">
            <w:pPr>
              <w:pStyle w:val="TableParagraph"/>
              <w:spacing w:before="120"/>
              <w:ind w:left="938" w:right="131" w:hanging="360"/>
            </w:pPr>
            <w: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40" w:type="dxa"/>
          </w:tcPr>
          <w:p w14:paraId="3780123C" w14:textId="77777777" w:rsidR="00D60180" w:rsidRDefault="00D60180">
            <w:pPr>
              <w:pStyle w:val="TableParagraph"/>
              <w:rPr>
                <w:rFonts w:ascii="Times New Roman"/>
              </w:rPr>
            </w:pPr>
          </w:p>
        </w:tc>
        <w:tc>
          <w:tcPr>
            <w:tcW w:w="1620" w:type="dxa"/>
          </w:tcPr>
          <w:p w14:paraId="47485EA3" w14:textId="77777777" w:rsidR="00D60180" w:rsidRDefault="00D60180">
            <w:pPr>
              <w:pStyle w:val="TableParagraph"/>
              <w:rPr>
                <w:rFonts w:ascii="Times New Roman"/>
              </w:rPr>
            </w:pPr>
          </w:p>
        </w:tc>
      </w:tr>
      <w:tr w:rsidR="00D60180" w14:paraId="72E198A6" w14:textId="77777777">
        <w:trPr>
          <w:trHeight w:val="1252"/>
        </w:trPr>
        <w:tc>
          <w:tcPr>
            <w:tcW w:w="5841" w:type="dxa"/>
          </w:tcPr>
          <w:p w14:paraId="0A5B013B" w14:textId="77777777" w:rsidR="00D60180" w:rsidRDefault="002D3A03">
            <w:pPr>
              <w:pStyle w:val="TableParagraph"/>
              <w:spacing w:before="117"/>
              <w:ind w:left="938" w:right="226" w:hanging="360"/>
            </w:pPr>
            <w:r>
              <w:t>(b) corruption within the meaning of section 1(2) of the Public Bodies Corrupt Practices Act 1889 or section 1 of the Prevention of Corruption Act 1906;</w:t>
            </w:r>
          </w:p>
        </w:tc>
        <w:tc>
          <w:tcPr>
            <w:tcW w:w="1440" w:type="dxa"/>
          </w:tcPr>
          <w:p w14:paraId="604AF3AC" w14:textId="77777777" w:rsidR="00D60180" w:rsidRDefault="00D60180">
            <w:pPr>
              <w:pStyle w:val="TableParagraph"/>
              <w:rPr>
                <w:rFonts w:ascii="Times New Roman"/>
              </w:rPr>
            </w:pPr>
          </w:p>
        </w:tc>
        <w:tc>
          <w:tcPr>
            <w:tcW w:w="1620" w:type="dxa"/>
          </w:tcPr>
          <w:p w14:paraId="3672F303" w14:textId="77777777" w:rsidR="00D60180" w:rsidRDefault="00D60180">
            <w:pPr>
              <w:pStyle w:val="TableParagraph"/>
              <w:rPr>
                <w:rFonts w:ascii="Times New Roman"/>
              </w:rPr>
            </w:pPr>
          </w:p>
        </w:tc>
      </w:tr>
    </w:tbl>
    <w:p w14:paraId="53A9FAFC" w14:textId="77777777" w:rsidR="00D60180" w:rsidRDefault="00D60180">
      <w:pPr>
        <w:pStyle w:val="BodyText"/>
        <w:rPr>
          <w:sz w:val="20"/>
        </w:rPr>
      </w:pPr>
    </w:p>
    <w:p w14:paraId="3B0E77EE" w14:textId="77777777" w:rsidR="00D60180" w:rsidRDefault="00D60180">
      <w:pPr>
        <w:pStyle w:val="BodyText"/>
        <w:rPr>
          <w:sz w:val="20"/>
        </w:rPr>
      </w:pPr>
    </w:p>
    <w:p w14:paraId="351BABE5" w14:textId="1DC976B3" w:rsidR="00D60180" w:rsidRDefault="00D60180">
      <w:pPr>
        <w:pStyle w:val="BodyText"/>
        <w:spacing w:before="9"/>
        <w:rPr>
          <w:sz w:val="29"/>
        </w:rPr>
      </w:pPr>
    </w:p>
    <w:p w14:paraId="019E4025" w14:textId="77777777" w:rsidR="00D60180" w:rsidRDefault="00D60180">
      <w:pPr>
        <w:rPr>
          <w:sz w:val="29"/>
        </w:rPr>
        <w:sectPr w:rsidR="00D60180" w:rsidSect="00690AED">
          <w:headerReference w:type="even" r:id="rId9"/>
          <w:headerReference w:type="default" r:id="rId10"/>
          <w:footerReference w:type="even" r:id="rId11"/>
          <w:footerReference w:type="default" r:id="rId12"/>
          <w:headerReference w:type="first" r:id="rId13"/>
          <w:footerReference w:type="first" r:id="rId14"/>
          <w:type w:val="continuous"/>
          <w:pgSz w:w="11910" w:h="16840"/>
          <w:pgMar w:top="400" w:right="900" w:bottom="0" w:left="1200" w:header="720" w:footer="720" w:gutter="0"/>
          <w:cols w:space="720"/>
          <w:titlePg/>
          <w:docGrid w:linePitch="299"/>
        </w:sectPr>
      </w:pPr>
    </w:p>
    <w:p w14:paraId="2F0F77A7" w14:textId="77777777" w:rsidR="00D60180" w:rsidRDefault="00D60180">
      <w:pPr>
        <w:pStyle w:val="BodyText"/>
        <w:rPr>
          <w:sz w:val="20"/>
        </w:rPr>
      </w:pPr>
    </w:p>
    <w:p w14:paraId="7F6DFB96" w14:textId="77777777" w:rsidR="00D60180" w:rsidRDefault="00D60180">
      <w:pPr>
        <w:pStyle w:val="BodyText"/>
        <w:spacing w:before="3"/>
        <w:rPr>
          <w:sz w:val="24"/>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1"/>
        <w:gridCol w:w="1440"/>
        <w:gridCol w:w="1620"/>
      </w:tblGrid>
      <w:tr w:rsidR="00D60180" w14:paraId="4148FAB5" w14:textId="77777777">
        <w:trPr>
          <w:trHeight w:val="491"/>
        </w:trPr>
        <w:tc>
          <w:tcPr>
            <w:tcW w:w="5841" w:type="dxa"/>
          </w:tcPr>
          <w:p w14:paraId="39599E7E" w14:textId="77777777" w:rsidR="00D60180" w:rsidRDefault="002D3A03">
            <w:pPr>
              <w:pStyle w:val="TableParagraph"/>
              <w:spacing w:before="117"/>
              <w:ind w:left="578"/>
            </w:pPr>
            <w:r>
              <w:t>(c) the common law offence of bribery;</w:t>
            </w:r>
          </w:p>
        </w:tc>
        <w:tc>
          <w:tcPr>
            <w:tcW w:w="1440" w:type="dxa"/>
          </w:tcPr>
          <w:p w14:paraId="3E2226B5" w14:textId="77777777" w:rsidR="00D60180" w:rsidRDefault="00D60180">
            <w:pPr>
              <w:pStyle w:val="TableParagraph"/>
              <w:rPr>
                <w:rFonts w:ascii="Times New Roman"/>
              </w:rPr>
            </w:pPr>
          </w:p>
        </w:tc>
        <w:tc>
          <w:tcPr>
            <w:tcW w:w="1620" w:type="dxa"/>
          </w:tcPr>
          <w:p w14:paraId="3F33CCEA" w14:textId="77777777" w:rsidR="00D60180" w:rsidRDefault="00D60180">
            <w:pPr>
              <w:pStyle w:val="TableParagraph"/>
              <w:rPr>
                <w:rFonts w:ascii="Times New Roman"/>
              </w:rPr>
            </w:pPr>
          </w:p>
        </w:tc>
      </w:tr>
      <w:tr w:rsidR="00D60180" w14:paraId="3C8BEB15" w14:textId="77777777">
        <w:trPr>
          <w:trHeight w:val="1000"/>
        </w:trPr>
        <w:tc>
          <w:tcPr>
            <w:tcW w:w="5841" w:type="dxa"/>
          </w:tcPr>
          <w:p w14:paraId="27C6D975" w14:textId="77777777" w:rsidR="00D60180" w:rsidRDefault="002D3A03">
            <w:pPr>
              <w:pStyle w:val="TableParagraph"/>
              <w:spacing w:before="120"/>
              <w:ind w:left="938" w:right="226" w:hanging="360"/>
            </w:pPr>
            <w:r>
              <w:t>(d) bribery within the meaning of sections 1, 2 or 6 of the Bribery Act 2010; or section 113 of the Representation of the People Act 1983;</w:t>
            </w:r>
          </w:p>
        </w:tc>
        <w:tc>
          <w:tcPr>
            <w:tcW w:w="1440" w:type="dxa"/>
          </w:tcPr>
          <w:p w14:paraId="12911FF8" w14:textId="77777777" w:rsidR="00D60180" w:rsidRDefault="00D60180">
            <w:pPr>
              <w:pStyle w:val="TableParagraph"/>
              <w:rPr>
                <w:rFonts w:ascii="Times New Roman"/>
              </w:rPr>
            </w:pPr>
          </w:p>
        </w:tc>
        <w:tc>
          <w:tcPr>
            <w:tcW w:w="1620" w:type="dxa"/>
          </w:tcPr>
          <w:p w14:paraId="648424FD" w14:textId="77777777" w:rsidR="00D60180" w:rsidRDefault="00D60180">
            <w:pPr>
              <w:pStyle w:val="TableParagraph"/>
              <w:rPr>
                <w:rFonts w:ascii="Times New Roman"/>
              </w:rPr>
            </w:pPr>
          </w:p>
        </w:tc>
      </w:tr>
      <w:tr w:rsidR="00D60180" w14:paraId="5866BFCC" w14:textId="77777777">
        <w:trPr>
          <w:trHeight w:val="1756"/>
        </w:trPr>
        <w:tc>
          <w:tcPr>
            <w:tcW w:w="5841" w:type="dxa"/>
          </w:tcPr>
          <w:p w14:paraId="5EC6510E" w14:textId="77777777" w:rsidR="00D60180" w:rsidRDefault="002D3A03">
            <w:pPr>
              <w:pStyle w:val="TableParagraph"/>
              <w:spacing w:before="117"/>
              <w:ind w:left="938" w:right="131" w:hanging="360"/>
            </w:pPr>
            <w:r>
              <w:t>(e) any of the following offences, where the offence relates to fraud affecting the European Communities’ financial interests as defined by Article 1 of the Convention on the protection of the financial interests of the European Communities:</w:t>
            </w:r>
          </w:p>
        </w:tc>
        <w:tc>
          <w:tcPr>
            <w:tcW w:w="1440" w:type="dxa"/>
          </w:tcPr>
          <w:p w14:paraId="79206A69" w14:textId="77777777" w:rsidR="00D60180" w:rsidRDefault="00D60180">
            <w:pPr>
              <w:pStyle w:val="TableParagraph"/>
              <w:rPr>
                <w:rFonts w:ascii="Times New Roman"/>
              </w:rPr>
            </w:pPr>
          </w:p>
        </w:tc>
        <w:tc>
          <w:tcPr>
            <w:tcW w:w="1620" w:type="dxa"/>
          </w:tcPr>
          <w:p w14:paraId="6B9F46A9" w14:textId="77777777" w:rsidR="00D60180" w:rsidRDefault="00D60180">
            <w:pPr>
              <w:pStyle w:val="TableParagraph"/>
              <w:rPr>
                <w:rFonts w:ascii="Times New Roman"/>
              </w:rPr>
            </w:pPr>
          </w:p>
        </w:tc>
      </w:tr>
      <w:tr w:rsidR="00D60180" w14:paraId="5FFACAB2" w14:textId="77777777">
        <w:trPr>
          <w:trHeight w:val="494"/>
        </w:trPr>
        <w:tc>
          <w:tcPr>
            <w:tcW w:w="5841" w:type="dxa"/>
          </w:tcPr>
          <w:p w14:paraId="78D8DF6E" w14:textId="77777777" w:rsidR="00D60180" w:rsidRDefault="002D3A03">
            <w:pPr>
              <w:pStyle w:val="TableParagraph"/>
              <w:spacing w:before="120"/>
              <w:ind w:left="474"/>
            </w:pPr>
            <w:r>
              <w:t>(</w:t>
            </w:r>
            <w:proofErr w:type="spellStart"/>
            <w:r>
              <w:t>i</w:t>
            </w:r>
            <w:proofErr w:type="spellEnd"/>
            <w:r>
              <w:t>) the offence of cheating the Revenue;</w:t>
            </w:r>
          </w:p>
        </w:tc>
        <w:tc>
          <w:tcPr>
            <w:tcW w:w="1440" w:type="dxa"/>
          </w:tcPr>
          <w:p w14:paraId="33007580" w14:textId="77777777" w:rsidR="00D60180" w:rsidRDefault="00D60180">
            <w:pPr>
              <w:pStyle w:val="TableParagraph"/>
              <w:rPr>
                <w:rFonts w:ascii="Times New Roman"/>
              </w:rPr>
            </w:pPr>
          </w:p>
        </w:tc>
        <w:tc>
          <w:tcPr>
            <w:tcW w:w="1620" w:type="dxa"/>
          </w:tcPr>
          <w:p w14:paraId="33A870C3" w14:textId="77777777" w:rsidR="00D60180" w:rsidRDefault="00D60180">
            <w:pPr>
              <w:pStyle w:val="TableParagraph"/>
              <w:rPr>
                <w:rFonts w:ascii="Times New Roman"/>
              </w:rPr>
            </w:pPr>
          </w:p>
        </w:tc>
      </w:tr>
      <w:tr w:rsidR="00D60180" w14:paraId="225B453D" w14:textId="77777777">
        <w:trPr>
          <w:trHeight w:val="493"/>
        </w:trPr>
        <w:tc>
          <w:tcPr>
            <w:tcW w:w="5841" w:type="dxa"/>
          </w:tcPr>
          <w:p w14:paraId="333EF10C" w14:textId="77777777" w:rsidR="00D60180" w:rsidRDefault="002D3A03">
            <w:pPr>
              <w:pStyle w:val="TableParagraph"/>
              <w:spacing w:before="117"/>
              <w:ind w:left="474"/>
            </w:pPr>
            <w:r>
              <w:t>(ii) the offence of conspiracy to defraud;</w:t>
            </w:r>
          </w:p>
        </w:tc>
        <w:tc>
          <w:tcPr>
            <w:tcW w:w="1440" w:type="dxa"/>
          </w:tcPr>
          <w:p w14:paraId="10B21FCC" w14:textId="77777777" w:rsidR="00D60180" w:rsidRDefault="00D60180">
            <w:pPr>
              <w:pStyle w:val="TableParagraph"/>
              <w:rPr>
                <w:rFonts w:ascii="Times New Roman"/>
              </w:rPr>
            </w:pPr>
          </w:p>
        </w:tc>
        <w:tc>
          <w:tcPr>
            <w:tcW w:w="1620" w:type="dxa"/>
          </w:tcPr>
          <w:p w14:paraId="1C7A7EB2" w14:textId="77777777" w:rsidR="00D60180" w:rsidRDefault="00D60180">
            <w:pPr>
              <w:pStyle w:val="TableParagraph"/>
              <w:rPr>
                <w:rFonts w:ascii="Times New Roman"/>
              </w:rPr>
            </w:pPr>
          </w:p>
        </w:tc>
      </w:tr>
      <w:tr w:rsidR="00D60180" w14:paraId="4E541039" w14:textId="77777777">
        <w:trPr>
          <w:trHeight w:val="998"/>
        </w:trPr>
        <w:tc>
          <w:tcPr>
            <w:tcW w:w="5841" w:type="dxa"/>
          </w:tcPr>
          <w:p w14:paraId="227BEF15" w14:textId="77777777" w:rsidR="00D60180" w:rsidRDefault="002D3A03">
            <w:pPr>
              <w:pStyle w:val="TableParagraph"/>
              <w:spacing w:before="117"/>
              <w:ind w:left="474" w:right="139"/>
            </w:pPr>
            <w:r>
              <w:t>(iii) fraud or theft within the meaning of the Theft Act 1968, the Theft Act (Northern Ireland) 1969, the Theft Act 1978 or the Theft (Northern Ireland) Order 1978;</w:t>
            </w:r>
          </w:p>
        </w:tc>
        <w:tc>
          <w:tcPr>
            <w:tcW w:w="1440" w:type="dxa"/>
          </w:tcPr>
          <w:p w14:paraId="078FBBC5" w14:textId="77777777" w:rsidR="00D60180" w:rsidRDefault="00D60180">
            <w:pPr>
              <w:pStyle w:val="TableParagraph"/>
              <w:rPr>
                <w:rFonts w:ascii="Times New Roman"/>
              </w:rPr>
            </w:pPr>
          </w:p>
        </w:tc>
        <w:tc>
          <w:tcPr>
            <w:tcW w:w="1620" w:type="dxa"/>
          </w:tcPr>
          <w:p w14:paraId="30231E74" w14:textId="77777777" w:rsidR="00D60180" w:rsidRDefault="00D60180">
            <w:pPr>
              <w:pStyle w:val="TableParagraph"/>
              <w:rPr>
                <w:rFonts w:ascii="Times New Roman"/>
              </w:rPr>
            </w:pPr>
          </w:p>
        </w:tc>
      </w:tr>
      <w:tr w:rsidR="00D60180" w14:paraId="0EA8A72B" w14:textId="77777777">
        <w:trPr>
          <w:trHeight w:val="1252"/>
        </w:trPr>
        <w:tc>
          <w:tcPr>
            <w:tcW w:w="5841" w:type="dxa"/>
          </w:tcPr>
          <w:p w14:paraId="09FF2A82" w14:textId="77777777" w:rsidR="00D60180" w:rsidRDefault="002D3A03">
            <w:pPr>
              <w:pStyle w:val="TableParagraph"/>
              <w:spacing w:before="120"/>
              <w:ind w:left="474" w:right="237"/>
            </w:pPr>
            <w:r>
              <w:t>(iv) fraudulent trading within the meaning of section 458 of the Companies Act 1985, article 451 of the Companies (Northern Ireland) Order 1986 or section 993 of the Companies Act 2006;</w:t>
            </w:r>
          </w:p>
        </w:tc>
        <w:tc>
          <w:tcPr>
            <w:tcW w:w="1440" w:type="dxa"/>
          </w:tcPr>
          <w:p w14:paraId="1D0E81DD" w14:textId="77777777" w:rsidR="00D60180" w:rsidRDefault="00D60180">
            <w:pPr>
              <w:pStyle w:val="TableParagraph"/>
              <w:rPr>
                <w:rFonts w:ascii="Times New Roman"/>
              </w:rPr>
            </w:pPr>
          </w:p>
        </w:tc>
        <w:tc>
          <w:tcPr>
            <w:tcW w:w="1620" w:type="dxa"/>
          </w:tcPr>
          <w:p w14:paraId="5098BD72" w14:textId="77777777" w:rsidR="00D60180" w:rsidRDefault="00D60180">
            <w:pPr>
              <w:pStyle w:val="TableParagraph"/>
              <w:rPr>
                <w:rFonts w:ascii="Times New Roman"/>
              </w:rPr>
            </w:pPr>
          </w:p>
        </w:tc>
      </w:tr>
      <w:tr w:rsidR="00D60180" w14:paraId="54E22D32" w14:textId="77777777">
        <w:trPr>
          <w:trHeight w:val="1000"/>
        </w:trPr>
        <w:tc>
          <w:tcPr>
            <w:tcW w:w="5841" w:type="dxa"/>
          </w:tcPr>
          <w:p w14:paraId="7721CD8C" w14:textId="77777777" w:rsidR="00D60180" w:rsidRDefault="002D3A03">
            <w:pPr>
              <w:pStyle w:val="TableParagraph"/>
              <w:spacing w:before="117"/>
              <w:ind w:left="474" w:right="175"/>
            </w:pPr>
            <w:r>
              <w:t>(v) fraudulent evasion within the meaning of section 170 of the Customs and Excise Management Act 1979 or section 72 of the Value Added Tax Act 1994;</w:t>
            </w:r>
          </w:p>
        </w:tc>
        <w:tc>
          <w:tcPr>
            <w:tcW w:w="1440" w:type="dxa"/>
          </w:tcPr>
          <w:p w14:paraId="66D76526" w14:textId="77777777" w:rsidR="00D60180" w:rsidRDefault="00D60180">
            <w:pPr>
              <w:pStyle w:val="TableParagraph"/>
              <w:rPr>
                <w:rFonts w:ascii="Times New Roman"/>
              </w:rPr>
            </w:pPr>
          </w:p>
        </w:tc>
        <w:tc>
          <w:tcPr>
            <w:tcW w:w="1620" w:type="dxa"/>
          </w:tcPr>
          <w:p w14:paraId="70505538" w14:textId="77777777" w:rsidR="00D60180" w:rsidRDefault="00D60180">
            <w:pPr>
              <w:pStyle w:val="TableParagraph"/>
              <w:rPr>
                <w:rFonts w:ascii="Times New Roman"/>
              </w:rPr>
            </w:pPr>
          </w:p>
        </w:tc>
      </w:tr>
      <w:tr w:rsidR="00D60180" w14:paraId="2AF19F7A" w14:textId="77777777">
        <w:trPr>
          <w:trHeight w:val="998"/>
        </w:trPr>
        <w:tc>
          <w:tcPr>
            <w:tcW w:w="5841" w:type="dxa"/>
          </w:tcPr>
          <w:p w14:paraId="03ECA7B7" w14:textId="77777777" w:rsidR="00D60180" w:rsidRDefault="002D3A03">
            <w:pPr>
              <w:pStyle w:val="TableParagraph"/>
              <w:spacing w:before="117"/>
              <w:ind w:left="474" w:right="298"/>
            </w:pPr>
            <w:r>
              <w:t>(vi) an offence in connection with taxation in the European Union within the meaning of section 71 of the Criminal Justice Act 1993;</w:t>
            </w:r>
          </w:p>
        </w:tc>
        <w:tc>
          <w:tcPr>
            <w:tcW w:w="1440" w:type="dxa"/>
          </w:tcPr>
          <w:p w14:paraId="28EAD513" w14:textId="77777777" w:rsidR="00D60180" w:rsidRDefault="00D60180">
            <w:pPr>
              <w:pStyle w:val="TableParagraph"/>
              <w:rPr>
                <w:rFonts w:ascii="Times New Roman"/>
              </w:rPr>
            </w:pPr>
          </w:p>
        </w:tc>
        <w:tc>
          <w:tcPr>
            <w:tcW w:w="1620" w:type="dxa"/>
          </w:tcPr>
          <w:p w14:paraId="53FCF937" w14:textId="77777777" w:rsidR="00D60180" w:rsidRDefault="00D60180">
            <w:pPr>
              <w:pStyle w:val="TableParagraph"/>
              <w:rPr>
                <w:rFonts w:ascii="Times New Roman"/>
              </w:rPr>
            </w:pPr>
          </w:p>
        </w:tc>
      </w:tr>
      <w:tr w:rsidR="00D60180" w14:paraId="04E23F07" w14:textId="77777777">
        <w:trPr>
          <w:trHeight w:val="1253"/>
        </w:trPr>
        <w:tc>
          <w:tcPr>
            <w:tcW w:w="5841" w:type="dxa"/>
          </w:tcPr>
          <w:p w14:paraId="127FE5C3" w14:textId="77777777" w:rsidR="00D60180" w:rsidRDefault="002D3A03">
            <w:pPr>
              <w:pStyle w:val="TableParagraph"/>
              <w:spacing w:before="117"/>
              <w:ind w:left="474" w:right="106"/>
            </w:pPr>
            <w:r>
              <w:t>(vii)destroying, defacing or concealing of documents or procuring the execution of a valuable security within the meaning of section 20 of the Theft Act 1968 or section 19 of the Theft Act (Northern Ireland)</w:t>
            </w:r>
            <w:r>
              <w:rPr>
                <w:spacing w:val="-18"/>
              </w:rPr>
              <w:t xml:space="preserve"> </w:t>
            </w:r>
            <w:r>
              <w:t>1969;</w:t>
            </w:r>
          </w:p>
        </w:tc>
        <w:tc>
          <w:tcPr>
            <w:tcW w:w="1440" w:type="dxa"/>
          </w:tcPr>
          <w:p w14:paraId="4F9E2688" w14:textId="77777777" w:rsidR="00D60180" w:rsidRDefault="00D60180">
            <w:pPr>
              <w:pStyle w:val="TableParagraph"/>
              <w:rPr>
                <w:rFonts w:ascii="Times New Roman"/>
              </w:rPr>
            </w:pPr>
          </w:p>
        </w:tc>
        <w:tc>
          <w:tcPr>
            <w:tcW w:w="1620" w:type="dxa"/>
          </w:tcPr>
          <w:p w14:paraId="01390E32" w14:textId="77777777" w:rsidR="00D60180" w:rsidRDefault="00D60180">
            <w:pPr>
              <w:pStyle w:val="TableParagraph"/>
              <w:rPr>
                <w:rFonts w:ascii="Times New Roman"/>
              </w:rPr>
            </w:pPr>
          </w:p>
        </w:tc>
      </w:tr>
      <w:tr w:rsidR="00D60180" w14:paraId="6C7805B6" w14:textId="77777777">
        <w:trPr>
          <w:trHeight w:val="745"/>
        </w:trPr>
        <w:tc>
          <w:tcPr>
            <w:tcW w:w="5841" w:type="dxa"/>
          </w:tcPr>
          <w:p w14:paraId="76989F1F" w14:textId="77777777" w:rsidR="00D60180" w:rsidRDefault="002D3A03">
            <w:pPr>
              <w:pStyle w:val="TableParagraph"/>
              <w:spacing w:before="117"/>
              <w:ind w:left="474" w:right="131"/>
            </w:pPr>
            <w:r>
              <w:t>(viii) fraud within the meaning of section 2, 3 or 4 of the Fraud Act 2006; or</w:t>
            </w:r>
          </w:p>
        </w:tc>
        <w:tc>
          <w:tcPr>
            <w:tcW w:w="1440" w:type="dxa"/>
          </w:tcPr>
          <w:p w14:paraId="581D5AB5" w14:textId="77777777" w:rsidR="00D60180" w:rsidRDefault="00D60180">
            <w:pPr>
              <w:pStyle w:val="TableParagraph"/>
              <w:rPr>
                <w:rFonts w:ascii="Times New Roman"/>
              </w:rPr>
            </w:pPr>
          </w:p>
        </w:tc>
        <w:tc>
          <w:tcPr>
            <w:tcW w:w="1620" w:type="dxa"/>
          </w:tcPr>
          <w:p w14:paraId="792DC8A9" w14:textId="77777777" w:rsidR="00D60180" w:rsidRDefault="00D60180">
            <w:pPr>
              <w:pStyle w:val="TableParagraph"/>
              <w:rPr>
                <w:rFonts w:ascii="Times New Roman"/>
              </w:rPr>
            </w:pPr>
          </w:p>
        </w:tc>
      </w:tr>
      <w:tr w:rsidR="00D60180" w14:paraId="7FD3E2DD" w14:textId="77777777">
        <w:trPr>
          <w:trHeight w:val="1504"/>
        </w:trPr>
        <w:tc>
          <w:tcPr>
            <w:tcW w:w="5841" w:type="dxa"/>
          </w:tcPr>
          <w:p w14:paraId="537FFCF2" w14:textId="77777777" w:rsidR="00D60180" w:rsidRDefault="002D3A03">
            <w:pPr>
              <w:pStyle w:val="TableParagraph"/>
              <w:spacing w:before="117"/>
              <w:ind w:left="474" w:right="119"/>
            </w:pPr>
            <w:r>
              <w:t>(ix) the possession of articles for use in frauds within the meaning of section 6 of the Fraud Act 2006, or the making, adapting, supplying or offering to supply articles for use in frauds within the meaning of section 7 of that</w:t>
            </w:r>
            <w:r>
              <w:rPr>
                <w:spacing w:val="3"/>
              </w:rPr>
              <w:t xml:space="preserve"> </w:t>
            </w:r>
            <w:r>
              <w:t>Act;</w:t>
            </w:r>
          </w:p>
        </w:tc>
        <w:tc>
          <w:tcPr>
            <w:tcW w:w="1440" w:type="dxa"/>
          </w:tcPr>
          <w:p w14:paraId="7017A40E" w14:textId="77777777" w:rsidR="00D60180" w:rsidRDefault="00D60180">
            <w:pPr>
              <w:pStyle w:val="TableParagraph"/>
              <w:rPr>
                <w:rFonts w:ascii="Times New Roman"/>
              </w:rPr>
            </w:pPr>
          </w:p>
        </w:tc>
        <w:tc>
          <w:tcPr>
            <w:tcW w:w="1620" w:type="dxa"/>
          </w:tcPr>
          <w:p w14:paraId="55FDAC9D" w14:textId="77777777" w:rsidR="00D60180" w:rsidRDefault="00D60180">
            <w:pPr>
              <w:pStyle w:val="TableParagraph"/>
              <w:rPr>
                <w:rFonts w:ascii="Times New Roman"/>
              </w:rPr>
            </w:pPr>
          </w:p>
        </w:tc>
      </w:tr>
    </w:tbl>
    <w:p w14:paraId="7EB344B3" w14:textId="77777777" w:rsidR="00D60180" w:rsidRDefault="00D60180">
      <w:pPr>
        <w:rPr>
          <w:rFonts w:ascii="Times New Roman"/>
        </w:rPr>
        <w:sectPr w:rsidR="00D60180">
          <w:pgSz w:w="11910" w:h="16840"/>
          <w:pgMar w:top="1580" w:right="900" w:bottom="280" w:left="1200" w:header="720" w:footer="720" w:gutter="0"/>
          <w:cols w:space="720"/>
        </w:sectPr>
      </w:pPr>
    </w:p>
    <w:p w14:paraId="3E5F7027" w14:textId="77777777" w:rsidR="00D60180" w:rsidRDefault="00D60180">
      <w:pPr>
        <w:pStyle w:val="BodyText"/>
        <w:rPr>
          <w:sz w:val="20"/>
        </w:rPr>
      </w:pPr>
    </w:p>
    <w:p w14:paraId="6E5E5C03" w14:textId="77777777" w:rsidR="00D60180" w:rsidRDefault="00D60180">
      <w:pPr>
        <w:pStyle w:val="BodyText"/>
        <w:spacing w:before="3"/>
        <w:rPr>
          <w:sz w:val="24"/>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1"/>
        <w:gridCol w:w="1440"/>
        <w:gridCol w:w="1620"/>
      </w:tblGrid>
      <w:tr w:rsidR="00D60180" w14:paraId="705AA697" w14:textId="77777777">
        <w:trPr>
          <w:trHeight w:val="558"/>
        </w:trPr>
        <w:tc>
          <w:tcPr>
            <w:tcW w:w="5841" w:type="dxa"/>
          </w:tcPr>
          <w:p w14:paraId="34FCC2BF" w14:textId="77777777" w:rsidR="00D60180" w:rsidRDefault="002D3A03">
            <w:pPr>
              <w:pStyle w:val="TableParagraph"/>
              <w:spacing w:before="117"/>
              <w:ind w:left="578"/>
            </w:pPr>
            <w:r>
              <w:t>(f) any offence listed—</w:t>
            </w:r>
          </w:p>
        </w:tc>
        <w:tc>
          <w:tcPr>
            <w:tcW w:w="1440" w:type="dxa"/>
          </w:tcPr>
          <w:p w14:paraId="5FC7E357" w14:textId="77777777" w:rsidR="00D60180" w:rsidRDefault="00D60180">
            <w:pPr>
              <w:pStyle w:val="TableParagraph"/>
              <w:rPr>
                <w:rFonts w:ascii="Times New Roman"/>
              </w:rPr>
            </w:pPr>
          </w:p>
        </w:tc>
        <w:tc>
          <w:tcPr>
            <w:tcW w:w="1620" w:type="dxa"/>
          </w:tcPr>
          <w:p w14:paraId="1269652A" w14:textId="77777777" w:rsidR="00D60180" w:rsidRDefault="00D60180">
            <w:pPr>
              <w:pStyle w:val="TableParagraph"/>
              <w:rPr>
                <w:rFonts w:ascii="Times New Roman"/>
              </w:rPr>
            </w:pPr>
          </w:p>
        </w:tc>
      </w:tr>
      <w:tr w:rsidR="00D60180" w14:paraId="23EBC82B" w14:textId="77777777">
        <w:trPr>
          <w:trHeight w:val="745"/>
        </w:trPr>
        <w:tc>
          <w:tcPr>
            <w:tcW w:w="5841" w:type="dxa"/>
          </w:tcPr>
          <w:p w14:paraId="60B5E0BF" w14:textId="77777777" w:rsidR="00D60180" w:rsidRDefault="002D3A03">
            <w:pPr>
              <w:pStyle w:val="TableParagraph"/>
              <w:spacing w:before="120"/>
              <w:ind w:left="474" w:right="298"/>
            </w:pPr>
            <w:r>
              <w:t>(</w:t>
            </w:r>
            <w:proofErr w:type="spellStart"/>
            <w:r>
              <w:t>i</w:t>
            </w:r>
            <w:proofErr w:type="spellEnd"/>
            <w:r>
              <w:t>) in section 41 of the Counter Terrorism Act 2008; or</w:t>
            </w:r>
          </w:p>
        </w:tc>
        <w:tc>
          <w:tcPr>
            <w:tcW w:w="1440" w:type="dxa"/>
          </w:tcPr>
          <w:p w14:paraId="3C7BDCD3" w14:textId="77777777" w:rsidR="00D60180" w:rsidRDefault="00D60180">
            <w:pPr>
              <w:pStyle w:val="TableParagraph"/>
              <w:rPr>
                <w:rFonts w:ascii="Times New Roman"/>
              </w:rPr>
            </w:pPr>
          </w:p>
        </w:tc>
        <w:tc>
          <w:tcPr>
            <w:tcW w:w="1620" w:type="dxa"/>
          </w:tcPr>
          <w:p w14:paraId="76D35188" w14:textId="77777777" w:rsidR="00D60180" w:rsidRDefault="00D60180">
            <w:pPr>
              <w:pStyle w:val="TableParagraph"/>
              <w:rPr>
                <w:rFonts w:ascii="Times New Roman"/>
              </w:rPr>
            </w:pPr>
          </w:p>
        </w:tc>
      </w:tr>
      <w:tr w:rsidR="00D60180" w14:paraId="5EBCB686" w14:textId="77777777">
        <w:trPr>
          <w:trHeight w:val="745"/>
        </w:trPr>
        <w:tc>
          <w:tcPr>
            <w:tcW w:w="5841" w:type="dxa"/>
          </w:tcPr>
          <w:p w14:paraId="276AD38B" w14:textId="77777777" w:rsidR="00D60180" w:rsidRDefault="002D3A03">
            <w:pPr>
              <w:pStyle w:val="TableParagraph"/>
              <w:spacing w:before="120"/>
              <w:ind w:left="474" w:right="131"/>
            </w:pPr>
            <w:r>
              <w:t>(ii) in Schedule 2 to that Act where the court has determined that there is a terrorist connection;</w:t>
            </w:r>
          </w:p>
        </w:tc>
        <w:tc>
          <w:tcPr>
            <w:tcW w:w="1440" w:type="dxa"/>
          </w:tcPr>
          <w:p w14:paraId="48423EA2" w14:textId="77777777" w:rsidR="00D60180" w:rsidRDefault="00D60180">
            <w:pPr>
              <w:pStyle w:val="TableParagraph"/>
              <w:rPr>
                <w:rFonts w:ascii="Times New Roman"/>
              </w:rPr>
            </w:pPr>
          </w:p>
        </w:tc>
        <w:tc>
          <w:tcPr>
            <w:tcW w:w="1620" w:type="dxa"/>
          </w:tcPr>
          <w:p w14:paraId="30699D1A" w14:textId="77777777" w:rsidR="00D60180" w:rsidRDefault="00D60180">
            <w:pPr>
              <w:pStyle w:val="TableParagraph"/>
              <w:rPr>
                <w:rFonts w:ascii="Times New Roman"/>
              </w:rPr>
            </w:pPr>
          </w:p>
        </w:tc>
      </w:tr>
      <w:tr w:rsidR="00D60180" w14:paraId="4FC1CED8" w14:textId="77777777">
        <w:trPr>
          <w:trHeight w:val="1000"/>
        </w:trPr>
        <w:tc>
          <w:tcPr>
            <w:tcW w:w="5841" w:type="dxa"/>
          </w:tcPr>
          <w:p w14:paraId="08B328D8" w14:textId="77777777" w:rsidR="00D60180" w:rsidRDefault="002D3A03">
            <w:pPr>
              <w:pStyle w:val="TableParagraph"/>
              <w:spacing w:before="120"/>
              <w:ind w:left="938" w:right="654" w:hanging="360"/>
            </w:pPr>
            <w:r>
              <w:t>(g) any offence under sections 44 to 46 of the Serious Crime Act 2007 which relates to an offence covered by subparagraph (f);</w:t>
            </w:r>
          </w:p>
        </w:tc>
        <w:tc>
          <w:tcPr>
            <w:tcW w:w="1440" w:type="dxa"/>
          </w:tcPr>
          <w:p w14:paraId="5C32AB1A" w14:textId="77777777" w:rsidR="00D60180" w:rsidRDefault="00D60180">
            <w:pPr>
              <w:pStyle w:val="TableParagraph"/>
              <w:rPr>
                <w:rFonts w:ascii="Times New Roman"/>
              </w:rPr>
            </w:pPr>
          </w:p>
        </w:tc>
        <w:tc>
          <w:tcPr>
            <w:tcW w:w="1620" w:type="dxa"/>
          </w:tcPr>
          <w:p w14:paraId="1EDAECF9" w14:textId="77777777" w:rsidR="00D60180" w:rsidRDefault="00D60180">
            <w:pPr>
              <w:pStyle w:val="TableParagraph"/>
              <w:rPr>
                <w:rFonts w:ascii="Times New Roman"/>
              </w:rPr>
            </w:pPr>
          </w:p>
        </w:tc>
      </w:tr>
      <w:tr w:rsidR="00D60180" w14:paraId="36229440" w14:textId="77777777">
        <w:trPr>
          <w:trHeight w:val="998"/>
        </w:trPr>
        <w:tc>
          <w:tcPr>
            <w:tcW w:w="5841" w:type="dxa"/>
          </w:tcPr>
          <w:p w14:paraId="59290BC2" w14:textId="77777777" w:rsidR="00D60180" w:rsidRDefault="002D3A03">
            <w:pPr>
              <w:pStyle w:val="TableParagraph"/>
              <w:spacing w:before="117"/>
              <w:ind w:left="938" w:right="131" w:hanging="360"/>
            </w:pPr>
            <w:r>
              <w:t>(h) money laundering within the meaning of sections 340(11) and 415 of the Proceeds of Crime Act 2002;</w:t>
            </w:r>
          </w:p>
        </w:tc>
        <w:tc>
          <w:tcPr>
            <w:tcW w:w="1440" w:type="dxa"/>
          </w:tcPr>
          <w:p w14:paraId="16B502C5" w14:textId="77777777" w:rsidR="00D60180" w:rsidRDefault="00D60180">
            <w:pPr>
              <w:pStyle w:val="TableParagraph"/>
              <w:rPr>
                <w:rFonts w:ascii="Times New Roman"/>
              </w:rPr>
            </w:pPr>
          </w:p>
        </w:tc>
        <w:tc>
          <w:tcPr>
            <w:tcW w:w="1620" w:type="dxa"/>
          </w:tcPr>
          <w:p w14:paraId="39380B9F" w14:textId="77777777" w:rsidR="00D60180" w:rsidRDefault="00D60180">
            <w:pPr>
              <w:pStyle w:val="TableParagraph"/>
              <w:rPr>
                <w:rFonts w:ascii="Times New Roman"/>
              </w:rPr>
            </w:pPr>
          </w:p>
        </w:tc>
      </w:tr>
      <w:tr w:rsidR="00D60180" w14:paraId="2C23C381" w14:textId="77777777">
        <w:trPr>
          <w:trHeight w:val="1504"/>
        </w:trPr>
        <w:tc>
          <w:tcPr>
            <w:tcW w:w="5841" w:type="dxa"/>
          </w:tcPr>
          <w:p w14:paraId="679E2BA5" w14:textId="77777777" w:rsidR="00D60180" w:rsidRDefault="002D3A03">
            <w:pPr>
              <w:pStyle w:val="TableParagraph"/>
              <w:spacing w:before="117"/>
              <w:ind w:left="938" w:right="91" w:hanging="360"/>
            </w:pPr>
            <w:r>
              <w:t>(</w:t>
            </w:r>
            <w:proofErr w:type="spellStart"/>
            <w:r>
              <w:t>i</w:t>
            </w:r>
            <w:proofErr w:type="spellEnd"/>
            <w:r>
              <w:t>) an offence in connection with the proceeds of criminal conduct within the meaning of section 93A, 93B or 93C of the Criminal Justice Act 1988 or article 45, 46 or 47 of the Proceeds of Crime (Northern Ireland) Order 1996;</w:t>
            </w:r>
          </w:p>
        </w:tc>
        <w:tc>
          <w:tcPr>
            <w:tcW w:w="1440" w:type="dxa"/>
          </w:tcPr>
          <w:p w14:paraId="39FD5553" w14:textId="77777777" w:rsidR="00D60180" w:rsidRDefault="00D60180">
            <w:pPr>
              <w:pStyle w:val="TableParagraph"/>
              <w:rPr>
                <w:rFonts w:ascii="Times New Roman"/>
              </w:rPr>
            </w:pPr>
          </w:p>
        </w:tc>
        <w:tc>
          <w:tcPr>
            <w:tcW w:w="1620" w:type="dxa"/>
          </w:tcPr>
          <w:p w14:paraId="46BF18B5" w14:textId="77777777" w:rsidR="00D60180" w:rsidRDefault="00D60180">
            <w:pPr>
              <w:pStyle w:val="TableParagraph"/>
              <w:rPr>
                <w:rFonts w:ascii="Times New Roman"/>
              </w:rPr>
            </w:pPr>
          </w:p>
        </w:tc>
      </w:tr>
      <w:tr w:rsidR="00D60180" w14:paraId="751584FB" w14:textId="77777777">
        <w:trPr>
          <w:trHeight w:val="1000"/>
        </w:trPr>
        <w:tc>
          <w:tcPr>
            <w:tcW w:w="5841" w:type="dxa"/>
          </w:tcPr>
          <w:p w14:paraId="730FE6FB" w14:textId="77777777" w:rsidR="00D60180" w:rsidRDefault="002D3A03">
            <w:pPr>
              <w:pStyle w:val="TableParagraph"/>
              <w:spacing w:before="120"/>
              <w:ind w:left="938" w:right="454" w:hanging="360"/>
              <w:jc w:val="both"/>
            </w:pPr>
            <w:r>
              <w:t>(j) an offence under section 4 of the Asylum and Immigration (Treatment of Claimants etc.) Act 2004;</w:t>
            </w:r>
          </w:p>
        </w:tc>
        <w:tc>
          <w:tcPr>
            <w:tcW w:w="1440" w:type="dxa"/>
          </w:tcPr>
          <w:p w14:paraId="441D1116" w14:textId="77777777" w:rsidR="00D60180" w:rsidRDefault="00D60180">
            <w:pPr>
              <w:pStyle w:val="TableParagraph"/>
              <w:rPr>
                <w:rFonts w:ascii="Times New Roman"/>
              </w:rPr>
            </w:pPr>
          </w:p>
        </w:tc>
        <w:tc>
          <w:tcPr>
            <w:tcW w:w="1620" w:type="dxa"/>
          </w:tcPr>
          <w:p w14:paraId="2A255408" w14:textId="77777777" w:rsidR="00D60180" w:rsidRDefault="00D60180">
            <w:pPr>
              <w:pStyle w:val="TableParagraph"/>
              <w:rPr>
                <w:rFonts w:ascii="Times New Roman"/>
              </w:rPr>
            </w:pPr>
          </w:p>
        </w:tc>
      </w:tr>
      <w:tr w:rsidR="00D60180" w14:paraId="212EA898" w14:textId="77777777">
        <w:trPr>
          <w:trHeight w:val="745"/>
        </w:trPr>
        <w:tc>
          <w:tcPr>
            <w:tcW w:w="5841" w:type="dxa"/>
          </w:tcPr>
          <w:p w14:paraId="559B755D" w14:textId="77777777" w:rsidR="00D60180" w:rsidRDefault="002D3A03">
            <w:pPr>
              <w:pStyle w:val="TableParagraph"/>
              <w:spacing w:before="117"/>
              <w:ind w:left="938" w:right="131" w:hanging="360"/>
            </w:pPr>
            <w:r>
              <w:t>(k) an offence under section 59A of the Sexual Offences Act 2003;</w:t>
            </w:r>
          </w:p>
        </w:tc>
        <w:tc>
          <w:tcPr>
            <w:tcW w:w="1440" w:type="dxa"/>
          </w:tcPr>
          <w:p w14:paraId="47F24514" w14:textId="77777777" w:rsidR="00D60180" w:rsidRDefault="00D60180">
            <w:pPr>
              <w:pStyle w:val="TableParagraph"/>
              <w:rPr>
                <w:rFonts w:ascii="Times New Roman"/>
              </w:rPr>
            </w:pPr>
          </w:p>
        </w:tc>
        <w:tc>
          <w:tcPr>
            <w:tcW w:w="1620" w:type="dxa"/>
          </w:tcPr>
          <w:p w14:paraId="3450F75E" w14:textId="77777777" w:rsidR="00D60180" w:rsidRDefault="00D60180">
            <w:pPr>
              <w:pStyle w:val="TableParagraph"/>
              <w:rPr>
                <w:rFonts w:ascii="Times New Roman"/>
              </w:rPr>
            </w:pPr>
          </w:p>
        </w:tc>
      </w:tr>
      <w:tr w:rsidR="00D60180" w14:paraId="403EC671" w14:textId="77777777">
        <w:trPr>
          <w:trHeight w:val="746"/>
        </w:trPr>
        <w:tc>
          <w:tcPr>
            <w:tcW w:w="5841" w:type="dxa"/>
          </w:tcPr>
          <w:p w14:paraId="160681B9" w14:textId="77777777" w:rsidR="00D60180" w:rsidRDefault="002D3A03">
            <w:pPr>
              <w:pStyle w:val="TableParagraph"/>
              <w:spacing w:before="117"/>
              <w:ind w:left="938" w:right="131" w:hanging="360"/>
            </w:pPr>
            <w:r>
              <w:t>(l) an offence under section 71 of the Coroners and Justice Act 2009</w:t>
            </w:r>
          </w:p>
        </w:tc>
        <w:tc>
          <w:tcPr>
            <w:tcW w:w="1440" w:type="dxa"/>
          </w:tcPr>
          <w:p w14:paraId="12AB5A05" w14:textId="77777777" w:rsidR="00D60180" w:rsidRDefault="00D60180">
            <w:pPr>
              <w:pStyle w:val="TableParagraph"/>
              <w:rPr>
                <w:rFonts w:ascii="Times New Roman"/>
              </w:rPr>
            </w:pPr>
          </w:p>
        </w:tc>
        <w:tc>
          <w:tcPr>
            <w:tcW w:w="1620" w:type="dxa"/>
          </w:tcPr>
          <w:p w14:paraId="52A9340D" w14:textId="77777777" w:rsidR="00D60180" w:rsidRDefault="00D60180">
            <w:pPr>
              <w:pStyle w:val="TableParagraph"/>
              <w:rPr>
                <w:rFonts w:ascii="Times New Roman"/>
              </w:rPr>
            </w:pPr>
          </w:p>
        </w:tc>
      </w:tr>
      <w:tr w:rsidR="00D60180" w14:paraId="36020C02" w14:textId="77777777">
        <w:trPr>
          <w:trHeight w:val="997"/>
        </w:trPr>
        <w:tc>
          <w:tcPr>
            <w:tcW w:w="5841" w:type="dxa"/>
          </w:tcPr>
          <w:p w14:paraId="434FB039" w14:textId="77777777" w:rsidR="00D60180" w:rsidRDefault="002D3A03">
            <w:pPr>
              <w:pStyle w:val="TableParagraph"/>
              <w:spacing w:before="117"/>
              <w:ind w:left="938" w:right="164" w:hanging="360"/>
            </w:pPr>
            <w:r>
              <w:t>(m) an offence in connection with the proceeds of drug trafficking within the meaning of section 49, 50 or 51 of the Drug Trafficking Act 1994; or</w:t>
            </w:r>
          </w:p>
        </w:tc>
        <w:tc>
          <w:tcPr>
            <w:tcW w:w="1440" w:type="dxa"/>
          </w:tcPr>
          <w:p w14:paraId="63284602" w14:textId="77777777" w:rsidR="00D60180" w:rsidRDefault="00D60180">
            <w:pPr>
              <w:pStyle w:val="TableParagraph"/>
              <w:rPr>
                <w:rFonts w:ascii="Times New Roman"/>
              </w:rPr>
            </w:pPr>
          </w:p>
        </w:tc>
        <w:tc>
          <w:tcPr>
            <w:tcW w:w="1620" w:type="dxa"/>
          </w:tcPr>
          <w:p w14:paraId="1B12A99F" w14:textId="77777777" w:rsidR="00D60180" w:rsidRDefault="00D60180">
            <w:pPr>
              <w:pStyle w:val="TableParagraph"/>
              <w:rPr>
                <w:rFonts w:ascii="Times New Roman"/>
              </w:rPr>
            </w:pPr>
          </w:p>
        </w:tc>
      </w:tr>
      <w:tr w:rsidR="00D60180" w14:paraId="56776BF4" w14:textId="77777777">
        <w:trPr>
          <w:trHeight w:val="746"/>
        </w:trPr>
        <w:tc>
          <w:tcPr>
            <w:tcW w:w="5841" w:type="dxa"/>
          </w:tcPr>
          <w:p w14:paraId="07937B00" w14:textId="77777777" w:rsidR="00D60180" w:rsidRDefault="002D3A03">
            <w:pPr>
              <w:pStyle w:val="TableParagraph"/>
              <w:spacing w:before="117" w:line="242" w:lineRule="auto"/>
              <w:ind w:left="938" w:right="131" w:hanging="360"/>
            </w:pPr>
            <w:r>
              <w:t>(n) any other offence within the meaning of Article 57(1) of the Public Contracts Directive—</w:t>
            </w:r>
          </w:p>
        </w:tc>
        <w:tc>
          <w:tcPr>
            <w:tcW w:w="1440" w:type="dxa"/>
          </w:tcPr>
          <w:p w14:paraId="3FE27369" w14:textId="77777777" w:rsidR="00D60180" w:rsidRDefault="00D60180">
            <w:pPr>
              <w:pStyle w:val="TableParagraph"/>
              <w:rPr>
                <w:rFonts w:ascii="Times New Roman"/>
              </w:rPr>
            </w:pPr>
          </w:p>
        </w:tc>
        <w:tc>
          <w:tcPr>
            <w:tcW w:w="1620" w:type="dxa"/>
          </w:tcPr>
          <w:p w14:paraId="6D7256C3" w14:textId="77777777" w:rsidR="00D60180" w:rsidRDefault="00D60180">
            <w:pPr>
              <w:pStyle w:val="TableParagraph"/>
              <w:rPr>
                <w:rFonts w:ascii="Times New Roman"/>
              </w:rPr>
            </w:pPr>
          </w:p>
        </w:tc>
      </w:tr>
      <w:tr w:rsidR="00D60180" w14:paraId="65F1B945" w14:textId="77777777">
        <w:trPr>
          <w:trHeight w:val="745"/>
        </w:trPr>
        <w:tc>
          <w:tcPr>
            <w:tcW w:w="5841" w:type="dxa"/>
          </w:tcPr>
          <w:p w14:paraId="3E7545E2" w14:textId="77777777" w:rsidR="00D60180" w:rsidRDefault="002D3A03">
            <w:pPr>
              <w:pStyle w:val="TableParagraph"/>
              <w:spacing w:before="117"/>
              <w:ind w:left="474" w:right="131"/>
            </w:pPr>
            <w:r>
              <w:t>(</w:t>
            </w:r>
            <w:proofErr w:type="spellStart"/>
            <w:r>
              <w:t>i</w:t>
            </w:r>
            <w:proofErr w:type="spellEnd"/>
            <w:r>
              <w:t>) as defined by the law of any jurisdiction outside England and Wales and Northern Ireland; or</w:t>
            </w:r>
          </w:p>
        </w:tc>
        <w:tc>
          <w:tcPr>
            <w:tcW w:w="1440" w:type="dxa"/>
          </w:tcPr>
          <w:p w14:paraId="3406CB90" w14:textId="77777777" w:rsidR="00D60180" w:rsidRDefault="00D60180">
            <w:pPr>
              <w:pStyle w:val="TableParagraph"/>
              <w:rPr>
                <w:rFonts w:ascii="Times New Roman"/>
              </w:rPr>
            </w:pPr>
          </w:p>
        </w:tc>
        <w:tc>
          <w:tcPr>
            <w:tcW w:w="1620" w:type="dxa"/>
          </w:tcPr>
          <w:p w14:paraId="03BC32B3" w14:textId="77777777" w:rsidR="00D60180" w:rsidRDefault="00D60180">
            <w:pPr>
              <w:pStyle w:val="TableParagraph"/>
              <w:rPr>
                <w:rFonts w:ascii="Times New Roman"/>
              </w:rPr>
            </w:pPr>
          </w:p>
        </w:tc>
      </w:tr>
      <w:tr w:rsidR="00D60180" w14:paraId="08CBBD44" w14:textId="77777777">
        <w:trPr>
          <w:trHeight w:val="1000"/>
        </w:trPr>
        <w:tc>
          <w:tcPr>
            <w:tcW w:w="5841" w:type="dxa"/>
          </w:tcPr>
          <w:p w14:paraId="055D6768" w14:textId="77777777" w:rsidR="00D60180" w:rsidRDefault="002D3A03">
            <w:pPr>
              <w:pStyle w:val="TableParagraph"/>
              <w:spacing w:before="117"/>
              <w:ind w:left="474" w:right="131"/>
            </w:pPr>
            <w:r>
              <w:t>(ii) created, after the day on which these Regulations were made, in the law of England and Wales or Northern Ireland.</w:t>
            </w:r>
          </w:p>
        </w:tc>
        <w:tc>
          <w:tcPr>
            <w:tcW w:w="1440" w:type="dxa"/>
          </w:tcPr>
          <w:p w14:paraId="6B54C45D" w14:textId="77777777" w:rsidR="00D60180" w:rsidRDefault="00D60180">
            <w:pPr>
              <w:pStyle w:val="TableParagraph"/>
              <w:rPr>
                <w:rFonts w:ascii="Times New Roman"/>
              </w:rPr>
            </w:pPr>
          </w:p>
        </w:tc>
        <w:tc>
          <w:tcPr>
            <w:tcW w:w="1620" w:type="dxa"/>
          </w:tcPr>
          <w:p w14:paraId="2DFE1DD8" w14:textId="77777777" w:rsidR="00D60180" w:rsidRDefault="00D60180">
            <w:pPr>
              <w:pStyle w:val="TableParagraph"/>
              <w:rPr>
                <w:rFonts w:ascii="Times New Roman"/>
              </w:rPr>
            </w:pPr>
          </w:p>
        </w:tc>
      </w:tr>
    </w:tbl>
    <w:p w14:paraId="0B288C5C" w14:textId="77777777" w:rsidR="00D60180" w:rsidRDefault="00D60180">
      <w:pPr>
        <w:rPr>
          <w:rFonts w:ascii="Times New Roman"/>
        </w:rPr>
        <w:sectPr w:rsidR="00D60180">
          <w:pgSz w:w="11910" w:h="16840"/>
          <w:pgMar w:top="1580" w:right="900" w:bottom="280" w:left="1200" w:header="720" w:footer="720" w:gutter="0"/>
          <w:cols w:space="720"/>
        </w:sectPr>
      </w:pPr>
    </w:p>
    <w:p w14:paraId="2D9D50CF" w14:textId="77777777" w:rsidR="00D60180" w:rsidRDefault="00D60180">
      <w:pPr>
        <w:pStyle w:val="BodyText"/>
        <w:rPr>
          <w:sz w:val="20"/>
        </w:rPr>
      </w:pPr>
    </w:p>
    <w:p w14:paraId="0731CF33" w14:textId="77777777" w:rsidR="00D60180" w:rsidRDefault="00D60180">
      <w:pPr>
        <w:pStyle w:val="BodyText"/>
        <w:spacing w:before="3"/>
        <w:rPr>
          <w:sz w:val="24"/>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1"/>
        <w:gridCol w:w="1440"/>
        <w:gridCol w:w="1620"/>
      </w:tblGrid>
      <w:tr w:rsidR="00D60180" w14:paraId="39053DB1" w14:textId="77777777">
        <w:trPr>
          <w:trHeight w:val="4860"/>
        </w:trPr>
        <w:tc>
          <w:tcPr>
            <w:tcW w:w="5841" w:type="dxa"/>
          </w:tcPr>
          <w:p w14:paraId="1CE67B45" w14:textId="77777777" w:rsidR="00D60180" w:rsidRDefault="00D60180">
            <w:pPr>
              <w:pStyle w:val="TableParagraph"/>
              <w:spacing w:before="9"/>
              <w:rPr>
                <w:sz w:val="25"/>
              </w:rPr>
            </w:pPr>
          </w:p>
          <w:p w14:paraId="5113D231" w14:textId="77777777" w:rsidR="00D60180" w:rsidRDefault="002D3A03">
            <w:pPr>
              <w:pStyle w:val="TableParagraph"/>
              <w:spacing w:before="1"/>
              <w:ind w:left="114"/>
              <w:rPr>
                <w:b/>
              </w:rPr>
            </w:pPr>
            <w:r>
              <w:rPr>
                <w:b/>
                <w:u w:val="thick"/>
              </w:rPr>
              <w:t>Non-payment of taxes</w:t>
            </w:r>
          </w:p>
          <w:p w14:paraId="007390A0" w14:textId="77777777" w:rsidR="00D60180" w:rsidRDefault="002D3A03">
            <w:pPr>
              <w:pStyle w:val="TableParagraph"/>
              <w:spacing w:before="25" w:line="266" w:lineRule="auto"/>
              <w:ind w:left="114" w:right="135"/>
              <w:rPr>
                <w:b/>
              </w:rPr>
            </w:pPr>
            <w:r>
              <w:rPr>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w:t>
            </w:r>
            <w:r>
              <w:rPr>
                <w:b/>
                <w:spacing w:val="-4"/>
              </w:rPr>
              <w:t xml:space="preserve"> </w:t>
            </w:r>
            <w:r>
              <w:rPr>
                <w:b/>
              </w:rPr>
              <w:t>contributions?</w:t>
            </w:r>
          </w:p>
          <w:p w14:paraId="6C7FF009" w14:textId="77777777" w:rsidR="00D60180" w:rsidRDefault="00D60180">
            <w:pPr>
              <w:pStyle w:val="TableParagraph"/>
              <w:spacing w:before="10"/>
              <w:rPr>
                <w:sz w:val="23"/>
              </w:rPr>
            </w:pPr>
          </w:p>
          <w:p w14:paraId="03288608" w14:textId="77777777" w:rsidR="00D60180" w:rsidRDefault="002D3A03">
            <w:pPr>
              <w:pStyle w:val="TableParagraph"/>
              <w:spacing w:line="266" w:lineRule="auto"/>
              <w:ind w:left="114" w:right="181"/>
            </w:pPr>
            <w: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40" w:type="dxa"/>
          </w:tcPr>
          <w:p w14:paraId="44AA8A31" w14:textId="77777777" w:rsidR="00D60180" w:rsidRDefault="00D60180">
            <w:pPr>
              <w:pStyle w:val="TableParagraph"/>
              <w:rPr>
                <w:rFonts w:ascii="Times New Roman"/>
              </w:rPr>
            </w:pPr>
          </w:p>
        </w:tc>
        <w:tc>
          <w:tcPr>
            <w:tcW w:w="1620" w:type="dxa"/>
          </w:tcPr>
          <w:p w14:paraId="5D8456DD" w14:textId="77777777" w:rsidR="00D60180" w:rsidRDefault="00D60180">
            <w:pPr>
              <w:pStyle w:val="TableParagraph"/>
              <w:rPr>
                <w:rFonts w:ascii="Times New Roman"/>
              </w:rPr>
            </w:pPr>
          </w:p>
        </w:tc>
      </w:tr>
    </w:tbl>
    <w:p w14:paraId="191C8E3D" w14:textId="77777777" w:rsidR="00D60180" w:rsidRDefault="00D60180">
      <w:pPr>
        <w:pStyle w:val="BodyText"/>
        <w:rPr>
          <w:sz w:val="20"/>
        </w:rPr>
      </w:pPr>
    </w:p>
    <w:p w14:paraId="778972F4" w14:textId="77777777" w:rsidR="00D60180" w:rsidRDefault="00D60180">
      <w:pPr>
        <w:pStyle w:val="BodyText"/>
        <w:rPr>
          <w:sz w:val="20"/>
        </w:rPr>
      </w:pPr>
    </w:p>
    <w:p w14:paraId="6F0BEEB4" w14:textId="77777777" w:rsidR="00D60180" w:rsidRDefault="00D60180">
      <w:pPr>
        <w:pStyle w:val="BodyText"/>
        <w:rPr>
          <w:sz w:val="20"/>
        </w:rPr>
      </w:pPr>
    </w:p>
    <w:p w14:paraId="37D1572B" w14:textId="77777777" w:rsidR="00D60180" w:rsidRDefault="00D60180">
      <w:pPr>
        <w:pStyle w:val="BodyText"/>
        <w:rPr>
          <w:sz w:val="20"/>
        </w:rPr>
      </w:pPr>
    </w:p>
    <w:p w14:paraId="7509D61F" w14:textId="77777777" w:rsidR="00D60180" w:rsidRDefault="00D60180">
      <w:pPr>
        <w:pStyle w:val="BodyText"/>
        <w:spacing w:before="4"/>
        <w:rPr>
          <w:sz w:val="10"/>
        </w:rPr>
      </w:pP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7477"/>
      </w:tblGrid>
      <w:tr w:rsidR="00690AED" w14:paraId="31D7CB85" w14:textId="77777777">
        <w:trPr>
          <w:trHeight w:val="1012"/>
        </w:trPr>
        <w:tc>
          <w:tcPr>
            <w:tcW w:w="1527" w:type="dxa"/>
          </w:tcPr>
          <w:p w14:paraId="26522BE0" w14:textId="6A8F3469" w:rsidR="00690AED" w:rsidRDefault="00690AED">
            <w:pPr>
              <w:pStyle w:val="TableParagraph"/>
              <w:spacing w:line="250" w:lineRule="exact"/>
              <w:ind w:left="107"/>
            </w:pPr>
            <w:r>
              <w:t>Company</w:t>
            </w:r>
          </w:p>
        </w:tc>
        <w:tc>
          <w:tcPr>
            <w:tcW w:w="7477" w:type="dxa"/>
          </w:tcPr>
          <w:p w14:paraId="3969FB3B" w14:textId="77777777" w:rsidR="00690AED" w:rsidRDefault="00690AED">
            <w:pPr>
              <w:pStyle w:val="TableParagraph"/>
              <w:rPr>
                <w:rFonts w:ascii="Times New Roman"/>
              </w:rPr>
            </w:pPr>
          </w:p>
        </w:tc>
      </w:tr>
      <w:tr w:rsidR="00D60180" w14:paraId="07B09FB5" w14:textId="77777777">
        <w:trPr>
          <w:trHeight w:val="1012"/>
        </w:trPr>
        <w:tc>
          <w:tcPr>
            <w:tcW w:w="1527" w:type="dxa"/>
          </w:tcPr>
          <w:p w14:paraId="15686ABC" w14:textId="77777777" w:rsidR="00D60180" w:rsidRDefault="002D3A03">
            <w:pPr>
              <w:pStyle w:val="TableParagraph"/>
              <w:spacing w:line="250" w:lineRule="exact"/>
              <w:ind w:left="107"/>
            </w:pPr>
            <w:r>
              <w:t>Signature</w:t>
            </w:r>
          </w:p>
        </w:tc>
        <w:tc>
          <w:tcPr>
            <w:tcW w:w="7477" w:type="dxa"/>
          </w:tcPr>
          <w:p w14:paraId="61D3715B" w14:textId="77777777" w:rsidR="00D60180" w:rsidRDefault="00D60180">
            <w:pPr>
              <w:pStyle w:val="TableParagraph"/>
              <w:rPr>
                <w:rFonts w:ascii="Times New Roman"/>
              </w:rPr>
            </w:pPr>
          </w:p>
        </w:tc>
      </w:tr>
      <w:tr w:rsidR="00D60180" w14:paraId="18ACC81A" w14:textId="77777777">
        <w:trPr>
          <w:trHeight w:val="758"/>
        </w:trPr>
        <w:tc>
          <w:tcPr>
            <w:tcW w:w="1527" w:type="dxa"/>
          </w:tcPr>
          <w:p w14:paraId="1DEB8898" w14:textId="77777777" w:rsidR="00D60180" w:rsidRDefault="002D3A03">
            <w:pPr>
              <w:pStyle w:val="TableParagraph"/>
              <w:spacing w:line="250" w:lineRule="exact"/>
              <w:ind w:left="107"/>
            </w:pPr>
            <w:r>
              <w:t>Name</w:t>
            </w:r>
          </w:p>
        </w:tc>
        <w:tc>
          <w:tcPr>
            <w:tcW w:w="7477" w:type="dxa"/>
          </w:tcPr>
          <w:p w14:paraId="6FE3FEA4" w14:textId="77777777" w:rsidR="00D60180" w:rsidRDefault="00D60180">
            <w:pPr>
              <w:pStyle w:val="TableParagraph"/>
              <w:rPr>
                <w:rFonts w:ascii="Times New Roman"/>
              </w:rPr>
            </w:pPr>
          </w:p>
        </w:tc>
      </w:tr>
      <w:tr w:rsidR="00D60180" w14:paraId="1F76368C" w14:textId="77777777">
        <w:trPr>
          <w:trHeight w:val="760"/>
        </w:trPr>
        <w:tc>
          <w:tcPr>
            <w:tcW w:w="1527" w:type="dxa"/>
          </w:tcPr>
          <w:p w14:paraId="37853DED" w14:textId="77777777" w:rsidR="00D60180" w:rsidRDefault="002D3A03">
            <w:pPr>
              <w:pStyle w:val="TableParagraph"/>
              <w:spacing w:line="250" w:lineRule="exact"/>
              <w:ind w:left="107"/>
            </w:pPr>
            <w:r>
              <w:t>Position</w:t>
            </w:r>
          </w:p>
        </w:tc>
        <w:tc>
          <w:tcPr>
            <w:tcW w:w="7477" w:type="dxa"/>
          </w:tcPr>
          <w:p w14:paraId="0DA57495" w14:textId="77777777" w:rsidR="00D60180" w:rsidRDefault="00D60180">
            <w:pPr>
              <w:pStyle w:val="TableParagraph"/>
              <w:rPr>
                <w:rFonts w:ascii="Times New Roman"/>
              </w:rPr>
            </w:pPr>
          </w:p>
        </w:tc>
      </w:tr>
      <w:tr w:rsidR="00D60180" w14:paraId="5BD3EB3B" w14:textId="77777777">
        <w:trPr>
          <w:trHeight w:val="757"/>
        </w:trPr>
        <w:tc>
          <w:tcPr>
            <w:tcW w:w="1527" w:type="dxa"/>
          </w:tcPr>
          <w:p w14:paraId="1517581A" w14:textId="77777777" w:rsidR="00D60180" w:rsidRDefault="002D3A03">
            <w:pPr>
              <w:pStyle w:val="TableParagraph"/>
              <w:spacing w:line="250" w:lineRule="exact"/>
              <w:ind w:left="107"/>
            </w:pPr>
            <w:r>
              <w:t>Date</w:t>
            </w:r>
          </w:p>
        </w:tc>
        <w:tc>
          <w:tcPr>
            <w:tcW w:w="7477" w:type="dxa"/>
          </w:tcPr>
          <w:p w14:paraId="3B9B9C9C" w14:textId="77777777" w:rsidR="00D60180" w:rsidRDefault="00D60180">
            <w:pPr>
              <w:pStyle w:val="TableParagraph"/>
              <w:rPr>
                <w:rFonts w:ascii="Times New Roman"/>
              </w:rPr>
            </w:pPr>
          </w:p>
        </w:tc>
      </w:tr>
    </w:tbl>
    <w:p w14:paraId="6BF4191D" w14:textId="77777777" w:rsidR="002D3A03" w:rsidRDefault="002D3A03"/>
    <w:sectPr w:rsidR="002D3A03">
      <w:pgSz w:w="11910" w:h="16840"/>
      <w:pgMar w:top="1580" w:right="9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52B3" w14:textId="77777777" w:rsidR="002D3A03" w:rsidRDefault="002D3A03" w:rsidP="00690AED">
      <w:r>
        <w:separator/>
      </w:r>
    </w:p>
  </w:endnote>
  <w:endnote w:type="continuationSeparator" w:id="0">
    <w:p w14:paraId="7EFAD413" w14:textId="77777777" w:rsidR="002D3A03" w:rsidRDefault="002D3A03" w:rsidP="0069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72D6" w14:textId="77777777" w:rsidR="002624B2" w:rsidRDefault="00262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4FFC" w14:textId="635D04A8" w:rsidR="00690AED" w:rsidRDefault="00690AED">
    <w:pPr>
      <w:pStyle w:val="Footer"/>
    </w:pPr>
    <w:r>
      <w:rPr>
        <w:noProof/>
      </w:rPr>
      <w:drawing>
        <wp:inline distT="0" distB="0" distL="0" distR="0" wp14:anchorId="02888451" wp14:editId="4A48BE63">
          <wp:extent cx="6119495" cy="4933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19495" cy="493395"/>
                  </a:xfrm>
                  <a:prstGeom prst="rect">
                    <a:avLst/>
                  </a:prstGeom>
                </pic:spPr>
              </pic:pic>
            </a:graphicData>
          </a:graphic>
        </wp:inline>
      </w:drawing>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83A0" w14:textId="0224AB71" w:rsidR="00690AED" w:rsidRDefault="00690AED">
    <w:pPr>
      <w:pStyle w:val="Footer"/>
    </w:pPr>
    <w:r>
      <w:rPr>
        <w:noProof/>
      </w:rPr>
      <w:drawing>
        <wp:inline distT="0" distB="0" distL="0" distR="0" wp14:anchorId="53D1B9E3" wp14:editId="2FD50DE8">
          <wp:extent cx="6119495" cy="4933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19495" cy="493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C528" w14:textId="77777777" w:rsidR="002D3A03" w:rsidRDefault="002D3A03" w:rsidP="00690AED">
      <w:r>
        <w:separator/>
      </w:r>
    </w:p>
  </w:footnote>
  <w:footnote w:type="continuationSeparator" w:id="0">
    <w:p w14:paraId="36863E9F" w14:textId="77777777" w:rsidR="002D3A03" w:rsidRDefault="002D3A03" w:rsidP="0069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86EB" w14:textId="77777777" w:rsidR="002624B2" w:rsidRDefault="00262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E2B9" w14:textId="77777777" w:rsidR="002624B2" w:rsidRDefault="00262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8E43" w14:textId="4005F17D" w:rsidR="00690AED" w:rsidRDefault="00690AED">
    <w:pPr>
      <w:pStyle w:val="Header"/>
    </w:pPr>
    <w:r>
      <w:rPr>
        <w:noProof/>
      </w:rPr>
      <w:drawing>
        <wp:inline distT="0" distB="0" distL="0" distR="0" wp14:anchorId="3F0E2F23" wp14:editId="1E332CAE">
          <wp:extent cx="6067056" cy="9982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6067056" cy="9982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0"/>
    <w:rsid w:val="00164EAC"/>
    <w:rsid w:val="002624B2"/>
    <w:rsid w:val="002D3A03"/>
    <w:rsid w:val="00690AED"/>
    <w:rsid w:val="009235EF"/>
    <w:rsid w:val="00B833D0"/>
    <w:rsid w:val="00D601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FCBE"/>
  <w15:docId w15:val="{E703CE21-6BFE-4CA7-B9F8-AB1CCECB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
      <w:ind w:left="785"/>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0AED"/>
    <w:pPr>
      <w:tabs>
        <w:tab w:val="center" w:pos="4513"/>
        <w:tab w:val="right" w:pos="9026"/>
      </w:tabs>
    </w:pPr>
  </w:style>
  <w:style w:type="character" w:customStyle="1" w:styleId="HeaderChar">
    <w:name w:val="Header Char"/>
    <w:basedOn w:val="DefaultParagraphFont"/>
    <w:link w:val="Header"/>
    <w:uiPriority w:val="99"/>
    <w:rsid w:val="00690AED"/>
    <w:rPr>
      <w:rFonts w:ascii="Arial" w:eastAsia="Arial" w:hAnsi="Arial" w:cs="Arial"/>
      <w:lang w:val="en-GB" w:eastAsia="en-GB" w:bidi="en-GB"/>
    </w:rPr>
  </w:style>
  <w:style w:type="paragraph" w:styleId="Footer">
    <w:name w:val="footer"/>
    <w:basedOn w:val="Normal"/>
    <w:link w:val="FooterChar"/>
    <w:uiPriority w:val="99"/>
    <w:unhideWhenUsed/>
    <w:rsid w:val="00690AED"/>
    <w:pPr>
      <w:tabs>
        <w:tab w:val="center" w:pos="4513"/>
        <w:tab w:val="right" w:pos="9026"/>
      </w:tabs>
    </w:pPr>
  </w:style>
  <w:style w:type="character" w:customStyle="1" w:styleId="FooterChar">
    <w:name w:val="Footer Char"/>
    <w:basedOn w:val="DefaultParagraphFont"/>
    <w:link w:val="Footer"/>
    <w:uiPriority w:val="99"/>
    <w:rsid w:val="00690AED"/>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AC580DAFC744EAD8D8D032757FEF3" ma:contentTypeVersion="20" ma:contentTypeDescription="Create a new document." ma:contentTypeScope="" ma:versionID="6875fdc4810f861e5b5a433db5aad9cf">
  <xsd:schema xmlns:xsd="http://www.w3.org/2001/XMLSchema" xmlns:xs="http://www.w3.org/2001/XMLSchema" xmlns:p="http://schemas.microsoft.com/office/2006/metadata/properties" xmlns:ns1="http://schemas.microsoft.com/sharepoint/v3" xmlns:ns2="1cd70b45-011f-4027-aa02-8c06b8afe17f" xmlns:ns3="9b379974-0e9d-4226-9382-b74c85c08886" xmlns:ns4="bc110c32-9534-469d-bca2-21d9682d6d9f" targetNamespace="http://schemas.microsoft.com/office/2006/metadata/properties" ma:root="true" ma:fieldsID="753199fa5f104508105a6055cf050738" ns1:_="" ns2:_="" ns3:_="" ns4:_="">
    <xsd:import namespace="http://schemas.microsoft.com/sharepoint/v3"/>
    <xsd:import namespace="1cd70b45-011f-4027-aa02-8c06b8afe17f"/>
    <xsd:import namespace="9b379974-0e9d-4226-9382-b74c85c08886"/>
    <xsd:import namespace="bc110c32-9534-469d-bca2-21d9682d6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SearchProperties" minOccurs="0"/>
                <xsd:element ref="ns2:MediaServiceDateTaken" minOccurs="0"/>
                <xsd:element ref="ns2:MediaLengthInSecond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70b45-011f-4027-aa02-8c06b8af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6e7026-bd1a-4f7d-a079-728908247c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79974-0e9d-4226-9382-b74c85c0888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1bfdbc-9294-41b1-893b-85b534a39813}" ma:internalName="TaxCatchAll" ma:showField="CatchAllData" ma:web="bc110c32-9534-469d-bca2-21d9682d6d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10c32-9534-469d-bca2-21d9682d6d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d70b45-011f-4027-aa02-8c06b8afe17f">
      <Terms xmlns="http://schemas.microsoft.com/office/infopath/2007/PartnerControls"/>
    </lcf76f155ced4ddcb4097134ff3c332f>
    <_ip_UnifiedCompliancePolicyProperties xmlns="http://schemas.microsoft.com/sharepoint/v3" xsi:nil="true"/>
    <TaxCatchAll xmlns="9b379974-0e9d-4226-9382-b74c85c08886" xsi:nil="true"/>
  </documentManagement>
</p:properties>
</file>

<file path=customXml/itemProps1.xml><?xml version="1.0" encoding="utf-8"?>
<ds:datastoreItem xmlns:ds="http://schemas.openxmlformats.org/officeDocument/2006/customXml" ds:itemID="{2DD792F1-68D1-4C46-8573-6DB6BF0B56F7}"/>
</file>

<file path=customXml/itemProps2.xml><?xml version="1.0" encoding="utf-8"?>
<ds:datastoreItem xmlns:ds="http://schemas.openxmlformats.org/officeDocument/2006/customXml" ds:itemID="{75128093-86ED-4D1C-A2FB-99397AAFC20F}">
  <ds:schemaRefs>
    <ds:schemaRef ds:uri="http://schemas.microsoft.com/sharepoint/v3/contenttype/forms"/>
  </ds:schemaRefs>
</ds:datastoreItem>
</file>

<file path=customXml/itemProps3.xml><?xml version="1.0" encoding="utf-8"?>
<ds:datastoreItem xmlns:ds="http://schemas.openxmlformats.org/officeDocument/2006/customXml" ds:itemID="{7739DE1B-A256-4D31-B31A-ACB0F53DD9A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f6b81f4-6802-40eb-b916-72411fdf1a92}" enabled="1" method="Privileged" siteId="{b53a124a-0dd0-497c-9501-b66a7840c0f4}"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Smith</dc:creator>
  <cp:lastModifiedBy>Paula Smith</cp:lastModifiedBy>
  <cp:revision>2</cp:revision>
  <dcterms:created xsi:type="dcterms:W3CDTF">2025-02-21T11:09:00Z</dcterms:created>
  <dcterms:modified xsi:type="dcterms:W3CDTF">2025-02-21T11:09:00Z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Microsoft® Word 2010</vt:lpwstr>
  </property>
  <property fmtid="{D5CDD505-2E9C-101B-9397-08002B2CF9AE}" pid="4" name="LastSaved">
    <vt:filetime>2022-03-01T00:00:00Z</vt:filetime>
  </property>
  <property fmtid="{D5CDD505-2E9C-101B-9397-08002B2CF9AE}" pid="5" name="ContentTypeId">
    <vt:lpwstr>0x010100B42AC580DAFC744EAD8D8D032757FEF3</vt:lpwstr>
  </property>
</Properties>
</file>