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55A" w:rsidRDefault="007E305F">
      <w:pPr>
        <w:rPr>
          <w:b/>
        </w:rPr>
      </w:pPr>
      <w:r w:rsidRPr="007E305F">
        <w:rPr>
          <w:b/>
        </w:rPr>
        <w:t>RSSB 2</w:t>
      </w:r>
      <w:r w:rsidR="00EF65B7">
        <w:rPr>
          <w:b/>
        </w:rPr>
        <w:t xml:space="preserve">422 </w:t>
      </w:r>
      <w:r w:rsidRPr="007E305F">
        <w:rPr>
          <w:b/>
        </w:rPr>
        <w:t xml:space="preserve">-  </w:t>
      </w:r>
      <w:r w:rsidR="00EF65B7" w:rsidRPr="00EF65B7">
        <w:rPr>
          <w:b/>
        </w:rPr>
        <w:t xml:space="preserve"> Development of a Common Event Risk Scoring Methodology</w:t>
      </w:r>
    </w:p>
    <w:p w:rsidR="007E305F" w:rsidRDefault="007E305F">
      <w:pPr>
        <w:rPr>
          <w:b/>
        </w:rPr>
      </w:pPr>
    </w:p>
    <w:p w:rsidR="00946481" w:rsidRDefault="00946481">
      <w:r>
        <w:t>Tender Questions Document</w:t>
      </w:r>
    </w:p>
    <w:p w:rsidR="007E305F" w:rsidRDefault="007E305F"/>
    <w:tbl>
      <w:tblPr>
        <w:tblStyle w:val="TableGrid"/>
        <w:tblW w:w="0" w:type="auto"/>
        <w:tblLook w:val="04A0" w:firstRow="1" w:lastRow="0" w:firstColumn="1" w:lastColumn="0" w:noHBand="0" w:noVBand="1"/>
      </w:tblPr>
      <w:tblGrid>
        <w:gridCol w:w="9016"/>
      </w:tblGrid>
      <w:tr w:rsidR="00946481" w:rsidTr="00946481">
        <w:tc>
          <w:tcPr>
            <w:tcW w:w="9016" w:type="dxa"/>
          </w:tcPr>
          <w:p w:rsidR="00EE2473" w:rsidRDefault="00946481" w:rsidP="00EE2473">
            <w:pPr>
              <w:rPr>
                <w:rFonts w:asciiTheme="minorHAnsi" w:hAnsiTheme="minorHAnsi"/>
                <w:b/>
                <w:color w:val="000000" w:themeColor="text1"/>
              </w:rPr>
            </w:pPr>
            <w:r w:rsidRPr="00EE2473">
              <w:rPr>
                <w:rFonts w:asciiTheme="minorHAnsi" w:hAnsiTheme="minorHAnsi"/>
                <w:b/>
                <w:color w:val="000000" w:themeColor="text1"/>
              </w:rPr>
              <w:t>Supplier Question 1</w:t>
            </w:r>
          </w:p>
          <w:p w:rsidR="00EF65B7" w:rsidRPr="00EE2473" w:rsidRDefault="007E305F" w:rsidP="00EE2473">
            <w:pPr>
              <w:rPr>
                <w:rFonts w:asciiTheme="minorHAnsi" w:hAnsiTheme="minorHAnsi"/>
                <w:b/>
                <w:color w:val="000000" w:themeColor="text1"/>
              </w:rPr>
            </w:pPr>
            <w:r w:rsidRPr="00EE2473">
              <w:rPr>
                <w:rFonts w:asciiTheme="minorHAnsi" w:hAnsiTheme="minorHAnsi"/>
                <w:color w:val="000000" w:themeColor="text1"/>
              </w:rPr>
              <w:br/>
            </w:r>
            <w:r w:rsidR="00EF65B7" w:rsidRPr="00EE2473">
              <w:rPr>
                <w:rFonts w:asciiTheme="minorHAnsi" w:hAnsiTheme="minorHAnsi" w:cs="Arial"/>
              </w:rPr>
              <w:t>It is my intention to make a formal application</w:t>
            </w:r>
            <w:r w:rsidR="00EF65B7" w:rsidRPr="00EE2473">
              <w:rPr>
                <w:rFonts w:asciiTheme="minorHAnsi" w:hAnsiTheme="minorHAnsi"/>
              </w:rPr>
              <w:t xml:space="preserve"> </w:t>
            </w:r>
            <w:r w:rsidR="00EF65B7" w:rsidRPr="00EE2473">
              <w:rPr>
                <w:rFonts w:asciiTheme="minorHAnsi" w:hAnsiTheme="minorHAnsi" w:cs="Arial"/>
              </w:rPr>
              <w:t>to carry out</w:t>
            </w:r>
            <w:r w:rsidR="00EF65B7" w:rsidRPr="00EE2473">
              <w:rPr>
                <w:rFonts w:asciiTheme="minorHAnsi" w:hAnsiTheme="minorHAnsi"/>
              </w:rPr>
              <w:t xml:space="preserve"> </w:t>
            </w:r>
            <w:r w:rsidR="00EF65B7" w:rsidRPr="00EE2473">
              <w:rPr>
                <w:rFonts w:asciiTheme="minorHAnsi" w:hAnsiTheme="minorHAnsi" w:cs="Arial"/>
              </w:rPr>
              <w:t>this package of work (see above) but it is not clear to me whether or not I should complete</w:t>
            </w:r>
            <w:r w:rsidR="00EF65B7" w:rsidRPr="00EE2473">
              <w:rPr>
                <w:rFonts w:asciiTheme="minorHAnsi" w:hAnsiTheme="minorHAnsi"/>
              </w:rPr>
              <w:t xml:space="preserve"> </w:t>
            </w:r>
            <w:r w:rsidR="00EF65B7" w:rsidRPr="00EE2473">
              <w:rPr>
                <w:rFonts w:asciiTheme="minorHAnsi" w:hAnsiTheme="minorHAnsi" w:cs="Arial"/>
              </w:rPr>
              <w:t>the Commercial Pricing Document at the time of the application.</w:t>
            </w:r>
          </w:p>
          <w:p w:rsidR="00946481" w:rsidRPr="00EE2473" w:rsidRDefault="00EF65B7" w:rsidP="00EE2473">
            <w:pPr>
              <w:pStyle w:val="NormalWeb"/>
              <w:rPr>
                <w:rFonts w:asciiTheme="minorHAnsi" w:hAnsiTheme="minorHAnsi"/>
                <w:sz w:val="22"/>
                <w:szCs w:val="22"/>
              </w:rPr>
            </w:pPr>
            <w:r w:rsidRPr="00EE2473">
              <w:rPr>
                <w:rFonts w:asciiTheme="minorHAnsi" w:hAnsiTheme="minorHAnsi" w:cs="Arial"/>
                <w:sz w:val="22"/>
                <w:szCs w:val="22"/>
              </w:rPr>
              <w:t>I wonder, would you be kind enough to advise me please?</w:t>
            </w:r>
          </w:p>
        </w:tc>
      </w:tr>
      <w:tr w:rsidR="00946481" w:rsidTr="00946481">
        <w:tc>
          <w:tcPr>
            <w:tcW w:w="9016" w:type="dxa"/>
          </w:tcPr>
          <w:p w:rsidR="00946481" w:rsidRPr="00EE2473" w:rsidRDefault="00946481">
            <w:pPr>
              <w:rPr>
                <w:rFonts w:asciiTheme="minorHAnsi" w:hAnsiTheme="minorHAnsi"/>
                <w:b/>
                <w:color w:val="000000" w:themeColor="text1"/>
              </w:rPr>
            </w:pPr>
            <w:r w:rsidRPr="00EE2473">
              <w:rPr>
                <w:rFonts w:asciiTheme="minorHAnsi" w:hAnsiTheme="minorHAnsi"/>
                <w:b/>
                <w:color w:val="000000" w:themeColor="text1"/>
              </w:rPr>
              <w:t>RSSB Answer 1</w:t>
            </w:r>
          </w:p>
          <w:p w:rsidR="00EF65B7" w:rsidRPr="00EE2473" w:rsidRDefault="00EF65B7">
            <w:pPr>
              <w:rPr>
                <w:rFonts w:asciiTheme="minorHAnsi" w:hAnsiTheme="minorHAnsi"/>
                <w:b/>
                <w:color w:val="000000" w:themeColor="text1"/>
              </w:rPr>
            </w:pPr>
          </w:p>
          <w:p w:rsidR="00EF65B7" w:rsidRPr="00EE2473" w:rsidRDefault="00EF65B7" w:rsidP="00EF65B7">
            <w:pPr>
              <w:rPr>
                <w:rFonts w:asciiTheme="minorHAnsi" w:hAnsiTheme="minorHAnsi"/>
              </w:rPr>
            </w:pPr>
            <w:r w:rsidRPr="00EE2473">
              <w:rPr>
                <w:rFonts w:asciiTheme="minorHAnsi" w:hAnsiTheme="minorHAnsi"/>
              </w:rPr>
              <w:t>Indeed please complete the commercial pricing document at the time of bid submission.</w:t>
            </w:r>
          </w:p>
          <w:p w:rsidR="00946481" w:rsidRPr="00EE2473" w:rsidRDefault="00946481" w:rsidP="00EF65B7">
            <w:pPr>
              <w:rPr>
                <w:rFonts w:asciiTheme="minorHAnsi" w:hAnsiTheme="minorHAnsi"/>
                <w:color w:val="000000" w:themeColor="text1"/>
              </w:rPr>
            </w:pPr>
          </w:p>
        </w:tc>
      </w:tr>
      <w:tr w:rsidR="007E305F" w:rsidTr="00946481">
        <w:tc>
          <w:tcPr>
            <w:tcW w:w="9016" w:type="dxa"/>
          </w:tcPr>
          <w:p w:rsidR="007E305F" w:rsidRPr="00EE2473" w:rsidRDefault="007E305F" w:rsidP="007E305F">
            <w:pPr>
              <w:rPr>
                <w:rFonts w:asciiTheme="minorHAnsi" w:hAnsiTheme="minorHAnsi"/>
                <w:b/>
                <w:color w:val="000000" w:themeColor="text1"/>
              </w:rPr>
            </w:pPr>
            <w:r w:rsidRPr="00EE2473">
              <w:rPr>
                <w:rFonts w:asciiTheme="minorHAnsi" w:hAnsiTheme="minorHAnsi"/>
                <w:b/>
                <w:color w:val="000000" w:themeColor="text1"/>
              </w:rPr>
              <w:t>Supplier Question 2</w:t>
            </w:r>
          </w:p>
          <w:p w:rsidR="00EF65B7" w:rsidRPr="00EE2473" w:rsidRDefault="00EF65B7" w:rsidP="007E305F">
            <w:pPr>
              <w:rPr>
                <w:rFonts w:asciiTheme="minorHAnsi" w:hAnsiTheme="minorHAnsi"/>
                <w:b/>
                <w:color w:val="000000" w:themeColor="text1"/>
              </w:rPr>
            </w:pPr>
          </w:p>
          <w:p w:rsidR="007E305F" w:rsidRPr="00EE2473" w:rsidRDefault="00EF65B7">
            <w:pPr>
              <w:rPr>
                <w:rFonts w:asciiTheme="minorHAnsi" w:hAnsiTheme="minorHAnsi"/>
                <w:b/>
                <w:color w:val="000000" w:themeColor="text1"/>
              </w:rPr>
            </w:pPr>
            <w:r w:rsidRPr="00EE2473">
              <w:rPr>
                <w:rFonts w:asciiTheme="minorHAnsi" w:hAnsiTheme="minorHAnsi" w:cs="Arial"/>
              </w:rPr>
              <w:t xml:space="preserve">***omitted* intend to submit a proposal in respect to T1121 "Development of a common event risk scoring methodology". </w:t>
            </w:r>
            <w:r w:rsidRPr="00EE2473">
              <w:rPr>
                <w:rFonts w:asciiTheme="minorHAnsi" w:hAnsiTheme="minorHAnsi"/>
              </w:rPr>
              <w:br/>
            </w:r>
            <w:r w:rsidRPr="00EE2473">
              <w:rPr>
                <w:rFonts w:asciiTheme="minorHAnsi" w:hAnsiTheme="minorHAnsi"/>
              </w:rPr>
              <w:br/>
            </w:r>
            <w:r w:rsidRPr="00EE2473">
              <w:rPr>
                <w:rFonts w:asciiTheme="minorHAnsi" w:hAnsiTheme="minorHAnsi" w:cs="Arial"/>
              </w:rPr>
              <w:t xml:space="preserve">We are writing as we've noted that this new proposal does not include a Contracts Issue Memo. </w:t>
            </w:r>
            <w:r w:rsidRPr="00EE2473">
              <w:rPr>
                <w:rFonts w:asciiTheme="minorHAnsi" w:hAnsiTheme="minorHAnsi"/>
              </w:rPr>
              <w:br/>
            </w:r>
            <w:r w:rsidRPr="00EE2473">
              <w:rPr>
                <w:rFonts w:asciiTheme="minorHAnsi" w:hAnsiTheme="minorHAnsi"/>
              </w:rPr>
              <w:br/>
            </w:r>
            <w:r w:rsidRPr="00EE2473">
              <w:rPr>
                <w:rFonts w:asciiTheme="minorHAnsi" w:hAnsiTheme="minorHAnsi" w:cs="Arial"/>
              </w:rPr>
              <w:t xml:space="preserve">We would like to raise awareness of our </w:t>
            </w:r>
            <w:proofErr w:type="spellStart"/>
            <w:r w:rsidRPr="00EE2473">
              <w:rPr>
                <w:rFonts w:asciiTheme="minorHAnsi" w:hAnsiTheme="minorHAnsi" w:cs="Arial"/>
              </w:rPr>
              <w:t>self insurance</w:t>
            </w:r>
            <w:proofErr w:type="spellEnd"/>
            <w:r w:rsidRPr="00EE2473">
              <w:rPr>
                <w:rFonts w:asciiTheme="minorHAnsi" w:hAnsiTheme="minorHAnsi" w:cs="Arial"/>
              </w:rPr>
              <w:t xml:space="preserve"> as part of </w:t>
            </w:r>
            <w:r w:rsidR="00EE2473">
              <w:rPr>
                <w:rFonts w:asciiTheme="minorHAnsi" w:hAnsiTheme="minorHAnsi" w:cs="Arial"/>
              </w:rPr>
              <w:t>*omitted*</w:t>
            </w:r>
            <w:r w:rsidRPr="00EE2473">
              <w:rPr>
                <w:rFonts w:asciiTheme="minorHAnsi" w:hAnsiTheme="minorHAnsi" w:cs="Arial"/>
              </w:rPr>
              <w:t>. We have previously agreed modification of your contract , an example being project *omitted*.  I have attached the Contracts Issue memo submitted with this proposal.</w:t>
            </w:r>
            <w:r w:rsidRPr="00EE2473">
              <w:rPr>
                <w:rFonts w:asciiTheme="minorHAnsi" w:hAnsiTheme="minorHAnsi"/>
              </w:rPr>
              <w:t xml:space="preserve"> </w:t>
            </w:r>
            <w:r w:rsidRPr="00EE2473">
              <w:rPr>
                <w:rFonts w:asciiTheme="minorHAnsi" w:hAnsiTheme="minorHAnsi"/>
              </w:rPr>
              <w:br/>
            </w:r>
            <w:r w:rsidRPr="00EE2473">
              <w:rPr>
                <w:rFonts w:asciiTheme="minorHAnsi" w:hAnsiTheme="minorHAnsi"/>
              </w:rPr>
              <w:br/>
            </w:r>
            <w:r w:rsidRPr="00EE2473">
              <w:rPr>
                <w:rFonts w:asciiTheme="minorHAnsi" w:hAnsiTheme="minorHAnsi" w:cs="Arial"/>
              </w:rPr>
              <w:t>We hope you can provide written confirmation that you would be prepared to similarly modify the contract for  T1121 "Development of a common event risk scoring methodology" should we be successful</w:t>
            </w:r>
            <w:r w:rsidRPr="00EE2473">
              <w:rPr>
                <w:rFonts w:asciiTheme="minorHAnsi" w:hAnsiTheme="minorHAnsi" w:cs="Arial"/>
                <w:b/>
                <w:bCs/>
                <w:color w:val="FFFFFF"/>
              </w:rPr>
              <w:t>.</w:t>
            </w:r>
          </w:p>
        </w:tc>
      </w:tr>
      <w:tr w:rsidR="007E305F" w:rsidTr="00946481">
        <w:tc>
          <w:tcPr>
            <w:tcW w:w="9016" w:type="dxa"/>
          </w:tcPr>
          <w:p w:rsidR="007E305F" w:rsidRPr="00EE2473" w:rsidRDefault="007E305F" w:rsidP="007E305F">
            <w:pPr>
              <w:rPr>
                <w:rFonts w:asciiTheme="minorHAnsi" w:hAnsiTheme="minorHAnsi"/>
                <w:b/>
                <w:color w:val="000000" w:themeColor="text1"/>
              </w:rPr>
            </w:pPr>
            <w:r w:rsidRPr="00EE2473">
              <w:rPr>
                <w:rFonts w:asciiTheme="minorHAnsi" w:hAnsiTheme="minorHAnsi"/>
                <w:b/>
                <w:color w:val="000000" w:themeColor="text1"/>
              </w:rPr>
              <w:t>RSSB Answer 2</w:t>
            </w:r>
          </w:p>
          <w:p w:rsidR="00EF65B7" w:rsidRPr="00EE2473" w:rsidRDefault="00EF65B7" w:rsidP="007E305F">
            <w:pPr>
              <w:rPr>
                <w:rFonts w:asciiTheme="minorHAnsi" w:hAnsiTheme="minorHAnsi"/>
                <w:b/>
                <w:color w:val="000000" w:themeColor="text1"/>
              </w:rPr>
            </w:pPr>
          </w:p>
          <w:p w:rsidR="00EF65B7" w:rsidRPr="00EE2473" w:rsidRDefault="00EF65B7" w:rsidP="00EF65B7">
            <w:pPr>
              <w:rPr>
                <w:rFonts w:asciiTheme="minorHAnsi" w:hAnsiTheme="minorHAnsi"/>
              </w:rPr>
            </w:pPr>
            <w:r w:rsidRPr="00EE2473">
              <w:rPr>
                <w:rFonts w:asciiTheme="minorHAnsi" w:hAnsiTheme="minorHAnsi"/>
              </w:rPr>
              <w:t>All proposed amendments to the issued Contract Terms &amp; Conditions will be discussed with the winning tenderer.</w:t>
            </w:r>
          </w:p>
          <w:p w:rsidR="00EF65B7" w:rsidRPr="00EE2473" w:rsidRDefault="00EF65B7" w:rsidP="00EF65B7">
            <w:pPr>
              <w:rPr>
                <w:rFonts w:asciiTheme="minorHAnsi" w:hAnsiTheme="minorHAnsi"/>
              </w:rPr>
            </w:pPr>
          </w:p>
          <w:p w:rsidR="007E305F" w:rsidRPr="00EE2473" w:rsidRDefault="00EF65B7" w:rsidP="007E305F">
            <w:pPr>
              <w:rPr>
                <w:rFonts w:asciiTheme="minorHAnsi" w:hAnsiTheme="minorHAnsi"/>
              </w:rPr>
            </w:pPr>
            <w:r w:rsidRPr="00EE2473">
              <w:rPr>
                <w:rFonts w:asciiTheme="minorHAnsi" w:hAnsiTheme="minorHAnsi"/>
              </w:rPr>
              <w:t>RSSB will agree to all reasonable requests with the winning tenderer.</w:t>
            </w:r>
          </w:p>
          <w:p w:rsidR="007E305F" w:rsidRPr="00EE2473" w:rsidRDefault="007E305F" w:rsidP="00EF65B7">
            <w:pPr>
              <w:rPr>
                <w:rFonts w:asciiTheme="minorHAnsi" w:hAnsiTheme="minorHAnsi"/>
                <w:b/>
                <w:color w:val="000000" w:themeColor="text1"/>
              </w:rPr>
            </w:pPr>
          </w:p>
        </w:tc>
      </w:tr>
      <w:tr w:rsidR="007E305F" w:rsidTr="00946481">
        <w:tc>
          <w:tcPr>
            <w:tcW w:w="9016" w:type="dxa"/>
          </w:tcPr>
          <w:p w:rsidR="007E305F" w:rsidRPr="00EE2473" w:rsidRDefault="007E305F" w:rsidP="007E305F">
            <w:pPr>
              <w:rPr>
                <w:rFonts w:asciiTheme="minorHAnsi" w:hAnsiTheme="minorHAnsi"/>
                <w:b/>
                <w:color w:val="000000" w:themeColor="text1"/>
              </w:rPr>
            </w:pPr>
            <w:r w:rsidRPr="00EE2473">
              <w:rPr>
                <w:rFonts w:asciiTheme="minorHAnsi" w:hAnsiTheme="minorHAnsi"/>
                <w:b/>
                <w:color w:val="000000" w:themeColor="text1"/>
              </w:rPr>
              <w:t>Supplier Question 3</w:t>
            </w:r>
          </w:p>
          <w:p w:rsidR="0096711D" w:rsidRPr="00EE2473" w:rsidRDefault="0096711D" w:rsidP="007E305F">
            <w:pPr>
              <w:rPr>
                <w:rFonts w:asciiTheme="minorHAnsi" w:hAnsiTheme="minorHAnsi"/>
                <w:b/>
                <w:color w:val="000000" w:themeColor="text1"/>
              </w:rPr>
            </w:pPr>
          </w:p>
          <w:p w:rsidR="0096711D" w:rsidRPr="00EE2473" w:rsidRDefault="0096711D" w:rsidP="0096711D">
            <w:pPr>
              <w:rPr>
                <w:rFonts w:asciiTheme="minorHAnsi" w:hAnsiTheme="minorHAnsi"/>
              </w:rPr>
            </w:pPr>
            <w:r w:rsidRPr="00EE2473">
              <w:rPr>
                <w:rFonts w:asciiTheme="minorHAnsi" w:hAnsiTheme="minorHAnsi"/>
              </w:rPr>
              <w:t xml:space="preserve">We would be very interested in submitting a proposal for RSSB2422 - T1121 - Development of a Common Event Risk Scoring Methodology.  A combination of the Christmas break coupled with a lot of </w:t>
            </w:r>
            <w:proofErr w:type="spellStart"/>
            <w:r w:rsidRPr="00EE2473">
              <w:rPr>
                <w:rFonts w:asciiTheme="minorHAnsi" w:hAnsiTheme="minorHAnsi"/>
              </w:rPr>
              <w:t>commissionings</w:t>
            </w:r>
            <w:proofErr w:type="spellEnd"/>
            <w:r w:rsidRPr="00EE2473">
              <w:rPr>
                <w:rFonts w:asciiTheme="minorHAnsi" w:hAnsiTheme="minorHAnsi"/>
              </w:rPr>
              <w:t xml:space="preserve"> that we are supporting over the Christmas period will make it very challenging for us to develop a tender to meet the 13</w:t>
            </w:r>
            <w:r w:rsidRPr="00EE2473">
              <w:rPr>
                <w:rFonts w:asciiTheme="minorHAnsi" w:hAnsiTheme="minorHAnsi"/>
                <w:vertAlign w:val="superscript"/>
              </w:rPr>
              <w:t>th</w:t>
            </w:r>
            <w:r w:rsidRPr="00EE2473">
              <w:rPr>
                <w:rFonts w:asciiTheme="minorHAnsi" w:hAnsiTheme="minorHAnsi"/>
              </w:rPr>
              <w:t xml:space="preserve"> January deadline.  Would it be possible to have an extension to the tender submission date?</w:t>
            </w:r>
          </w:p>
          <w:p w:rsidR="007E305F" w:rsidRPr="00EE2473" w:rsidRDefault="007E305F">
            <w:pPr>
              <w:rPr>
                <w:rFonts w:asciiTheme="minorHAnsi" w:hAnsiTheme="minorHAnsi"/>
                <w:b/>
                <w:color w:val="000000" w:themeColor="text1"/>
              </w:rPr>
            </w:pPr>
          </w:p>
        </w:tc>
      </w:tr>
      <w:tr w:rsidR="007E305F" w:rsidTr="00946481">
        <w:tc>
          <w:tcPr>
            <w:tcW w:w="9016" w:type="dxa"/>
          </w:tcPr>
          <w:p w:rsidR="007E305F" w:rsidRPr="00EE2473" w:rsidRDefault="007E305F" w:rsidP="007E305F">
            <w:pPr>
              <w:rPr>
                <w:rFonts w:asciiTheme="minorHAnsi" w:hAnsiTheme="minorHAnsi"/>
                <w:b/>
                <w:color w:val="000000" w:themeColor="text1"/>
              </w:rPr>
            </w:pPr>
            <w:r w:rsidRPr="00EE2473">
              <w:rPr>
                <w:rFonts w:asciiTheme="minorHAnsi" w:hAnsiTheme="minorHAnsi"/>
                <w:b/>
                <w:color w:val="000000" w:themeColor="text1"/>
              </w:rPr>
              <w:t>RSSB Answer 3</w:t>
            </w:r>
          </w:p>
          <w:p w:rsidR="0096711D" w:rsidRPr="00EE2473" w:rsidRDefault="0096711D" w:rsidP="007E305F">
            <w:pPr>
              <w:rPr>
                <w:rFonts w:asciiTheme="minorHAnsi" w:hAnsiTheme="minorHAnsi"/>
                <w:b/>
                <w:color w:val="000000" w:themeColor="text1"/>
              </w:rPr>
            </w:pPr>
          </w:p>
          <w:p w:rsidR="0096711D" w:rsidRDefault="0096711D" w:rsidP="007E305F">
            <w:pPr>
              <w:rPr>
                <w:rFonts w:asciiTheme="minorHAnsi" w:hAnsiTheme="minorHAnsi"/>
                <w:color w:val="000000" w:themeColor="text1"/>
              </w:rPr>
            </w:pPr>
            <w:r w:rsidRPr="00EE2473">
              <w:rPr>
                <w:rFonts w:asciiTheme="minorHAnsi" w:hAnsiTheme="minorHAnsi"/>
                <w:color w:val="000000" w:themeColor="text1"/>
              </w:rPr>
              <w:t>RSSB is willing to extend the tender submission/tender deadline date to Friday 20</w:t>
            </w:r>
            <w:r w:rsidRPr="00EE2473">
              <w:rPr>
                <w:rFonts w:asciiTheme="minorHAnsi" w:hAnsiTheme="minorHAnsi"/>
                <w:color w:val="000000" w:themeColor="text1"/>
                <w:vertAlign w:val="superscript"/>
              </w:rPr>
              <w:t>th</w:t>
            </w:r>
            <w:r w:rsidRPr="00EE2473">
              <w:rPr>
                <w:rFonts w:asciiTheme="minorHAnsi" w:hAnsiTheme="minorHAnsi"/>
                <w:color w:val="000000" w:themeColor="text1"/>
              </w:rPr>
              <w:t xml:space="preserve"> January. The “Contract Notice” will be updated accordingly.</w:t>
            </w:r>
          </w:p>
          <w:p w:rsidR="00EE2473" w:rsidRDefault="00EE2473" w:rsidP="007E305F">
            <w:pPr>
              <w:rPr>
                <w:rFonts w:asciiTheme="minorHAnsi" w:hAnsiTheme="minorHAnsi"/>
                <w:color w:val="000000" w:themeColor="text1"/>
              </w:rPr>
            </w:pPr>
          </w:p>
          <w:p w:rsidR="00EE2473" w:rsidRPr="00EE2473" w:rsidRDefault="00EE2473" w:rsidP="007E305F">
            <w:pPr>
              <w:rPr>
                <w:rFonts w:asciiTheme="minorHAnsi" w:hAnsiTheme="minorHAnsi"/>
                <w:color w:val="000000" w:themeColor="text1"/>
              </w:rPr>
            </w:pPr>
          </w:p>
          <w:p w:rsidR="007E305F" w:rsidRPr="00EE2473" w:rsidRDefault="007E305F">
            <w:pPr>
              <w:rPr>
                <w:rFonts w:asciiTheme="minorHAnsi" w:hAnsiTheme="minorHAnsi"/>
                <w:color w:val="000000" w:themeColor="text1"/>
              </w:rPr>
            </w:pPr>
          </w:p>
        </w:tc>
      </w:tr>
      <w:tr w:rsidR="007E305F" w:rsidTr="00946481">
        <w:tc>
          <w:tcPr>
            <w:tcW w:w="9016" w:type="dxa"/>
          </w:tcPr>
          <w:p w:rsidR="0096711D" w:rsidRPr="00EE2473" w:rsidRDefault="0096711D" w:rsidP="0096711D">
            <w:pPr>
              <w:rPr>
                <w:rFonts w:asciiTheme="minorHAnsi" w:hAnsiTheme="minorHAnsi"/>
                <w:b/>
                <w:color w:val="000000" w:themeColor="text1"/>
              </w:rPr>
            </w:pPr>
            <w:r w:rsidRPr="00EE2473">
              <w:rPr>
                <w:rFonts w:asciiTheme="minorHAnsi" w:hAnsiTheme="minorHAnsi"/>
                <w:b/>
                <w:color w:val="000000" w:themeColor="text1"/>
              </w:rPr>
              <w:lastRenderedPageBreak/>
              <w:t>Supplier Question 4</w:t>
            </w:r>
          </w:p>
          <w:p w:rsidR="0096711D" w:rsidRPr="00EE2473" w:rsidRDefault="0096711D" w:rsidP="0096711D">
            <w:pPr>
              <w:rPr>
                <w:rFonts w:asciiTheme="minorHAnsi" w:hAnsiTheme="minorHAnsi"/>
                <w:b/>
                <w:color w:val="000000" w:themeColor="text1"/>
              </w:rPr>
            </w:pPr>
          </w:p>
          <w:p w:rsidR="0096711D" w:rsidRPr="00EE2473" w:rsidRDefault="0096711D" w:rsidP="0096711D">
            <w:pPr>
              <w:rPr>
                <w:rFonts w:asciiTheme="minorHAnsi" w:hAnsiTheme="minorHAnsi" w:cs="Arial"/>
              </w:rPr>
            </w:pPr>
            <w:r w:rsidRPr="00EE2473">
              <w:rPr>
                <w:rFonts w:asciiTheme="minorHAnsi" w:hAnsiTheme="minorHAnsi" w:cs="Arial"/>
              </w:rPr>
              <w:t xml:space="preserve">It is stated that you wish our response to be “provided in the format and order specified.” I have read though the ITT document but can find no further information in relation to this. </w:t>
            </w:r>
          </w:p>
          <w:p w:rsidR="0096711D" w:rsidRPr="00EE2473" w:rsidRDefault="0096711D" w:rsidP="0096711D">
            <w:pPr>
              <w:rPr>
                <w:rFonts w:asciiTheme="minorHAnsi" w:hAnsiTheme="minorHAnsi" w:cs="Arial"/>
              </w:rPr>
            </w:pPr>
          </w:p>
          <w:p w:rsidR="0096711D" w:rsidRPr="00EE2473" w:rsidRDefault="0096711D" w:rsidP="0096711D">
            <w:pPr>
              <w:rPr>
                <w:rFonts w:asciiTheme="minorHAnsi" w:hAnsiTheme="minorHAnsi" w:cs="Arial"/>
              </w:rPr>
            </w:pPr>
            <w:r w:rsidRPr="00EE2473">
              <w:rPr>
                <w:rFonts w:asciiTheme="minorHAnsi" w:hAnsiTheme="minorHAnsi" w:cs="Arial"/>
              </w:rPr>
              <w:t>Our intention is to supply the following:</w:t>
            </w:r>
          </w:p>
          <w:p w:rsidR="0096711D" w:rsidRPr="00EE2473" w:rsidRDefault="0096711D" w:rsidP="0096711D">
            <w:pPr>
              <w:rPr>
                <w:rFonts w:asciiTheme="minorHAnsi" w:hAnsiTheme="minorHAnsi" w:cs="Arial"/>
              </w:rPr>
            </w:pPr>
          </w:p>
          <w:p w:rsidR="0096711D" w:rsidRPr="00EE2473" w:rsidRDefault="0096711D" w:rsidP="0096711D">
            <w:pPr>
              <w:pStyle w:val="ListParagraph"/>
              <w:numPr>
                <w:ilvl w:val="0"/>
                <w:numId w:val="1"/>
              </w:numPr>
              <w:rPr>
                <w:rFonts w:asciiTheme="minorHAnsi" w:hAnsiTheme="minorHAnsi" w:cs="Arial"/>
                <w:sz w:val="22"/>
                <w:szCs w:val="22"/>
              </w:rPr>
            </w:pPr>
            <w:r w:rsidRPr="00EE2473">
              <w:rPr>
                <w:rFonts w:asciiTheme="minorHAnsi" w:hAnsiTheme="minorHAnsi" w:cs="Arial"/>
                <w:sz w:val="22"/>
                <w:szCs w:val="22"/>
              </w:rPr>
              <w:t>A tender response which deals with all the questions and issues raised in a clear manner</w:t>
            </w:r>
          </w:p>
          <w:p w:rsidR="0096711D" w:rsidRPr="00EE2473" w:rsidRDefault="0096711D" w:rsidP="0096711D">
            <w:pPr>
              <w:pStyle w:val="ListParagraph"/>
              <w:numPr>
                <w:ilvl w:val="0"/>
                <w:numId w:val="1"/>
              </w:numPr>
              <w:rPr>
                <w:rFonts w:asciiTheme="minorHAnsi" w:hAnsiTheme="minorHAnsi" w:cs="Arial"/>
                <w:sz w:val="22"/>
                <w:szCs w:val="22"/>
              </w:rPr>
            </w:pPr>
            <w:r w:rsidRPr="00EE2473">
              <w:rPr>
                <w:rFonts w:asciiTheme="minorHAnsi" w:hAnsiTheme="minorHAnsi" w:cs="Arial"/>
                <w:sz w:val="22"/>
                <w:szCs w:val="22"/>
              </w:rPr>
              <w:t>The form associated with paragraph 6.14 inserted into our response and completed with the necessary details.</w:t>
            </w:r>
          </w:p>
          <w:p w:rsidR="0096711D" w:rsidRPr="00EE2473" w:rsidRDefault="0096711D" w:rsidP="0096711D">
            <w:pPr>
              <w:pStyle w:val="ListParagraph"/>
              <w:numPr>
                <w:ilvl w:val="0"/>
                <w:numId w:val="1"/>
              </w:numPr>
              <w:rPr>
                <w:rFonts w:asciiTheme="minorHAnsi" w:hAnsiTheme="minorHAnsi" w:cs="Arial"/>
                <w:sz w:val="22"/>
                <w:szCs w:val="22"/>
              </w:rPr>
            </w:pPr>
            <w:r w:rsidRPr="00EE2473">
              <w:rPr>
                <w:rFonts w:asciiTheme="minorHAnsi" w:hAnsiTheme="minorHAnsi" w:cs="Arial"/>
                <w:sz w:val="22"/>
                <w:szCs w:val="22"/>
              </w:rPr>
              <w:t>The forms in Appendix X in the ITT completed and inserted into our response</w:t>
            </w:r>
          </w:p>
          <w:p w:rsidR="0096711D" w:rsidRPr="00EE2473" w:rsidRDefault="0096711D" w:rsidP="0096711D">
            <w:pPr>
              <w:pStyle w:val="ListParagraph"/>
              <w:numPr>
                <w:ilvl w:val="0"/>
                <w:numId w:val="1"/>
              </w:numPr>
              <w:rPr>
                <w:rFonts w:asciiTheme="minorHAnsi" w:hAnsiTheme="minorHAnsi" w:cs="Arial"/>
                <w:sz w:val="22"/>
                <w:szCs w:val="22"/>
              </w:rPr>
            </w:pPr>
            <w:r w:rsidRPr="00EE2473">
              <w:rPr>
                <w:rFonts w:asciiTheme="minorHAnsi" w:hAnsiTheme="minorHAnsi" w:cs="Arial"/>
                <w:sz w:val="22"/>
                <w:szCs w:val="22"/>
              </w:rPr>
              <w:t>A separate submission of the excel ‘commercial pricing document’ spreadsheet.</w:t>
            </w:r>
          </w:p>
          <w:p w:rsidR="0096711D" w:rsidRPr="00EE2473" w:rsidRDefault="0096711D" w:rsidP="0096711D">
            <w:pPr>
              <w:pStyle w:val="ListParagraph"/>
              <w:rPr>
                <w:rFonts w:asciiTheme="minorHAnsi" w:hAnsiTheme="minorHAnsi" w:cs="Arial"/>
                <w:sz w:val="22"/>
                <w:szCs w:val="22"/>
              </w:rPr>
            </w:pPr>
          </w:p>
          <w:p w:rsidR="0096711D" w:rsidRPr="00EE2473" w:rsidRDefault="0096711D" w:rsidP="0096711D">
            <w:pPr>
              <w:pStyle w:val="ListParagraph"/>
              <w:rPr>
                <w:rFonts w:asciiTheme="minorHAnsi" w:hAnsiTheme="minorHAnsi" w:cs="Arial"/>
                <w:sz w:val="22"/>
                <w:szCs w:val="22"/>
              </w:rPr>
            </w:pPr>
          </w:p>
          <w:p w:rsidR="0096711D" w:rsidRPr="00EE2473" w:rsidRDefault="0096711D" w:rsidP="00EE2473">
            <w:pPr>
              <w:pStyle w:val="ListParagraph"/>
              <w:ind w:left="0"/>
              <w:rPr>
                <w:rFonts w:asciiTheme="minorHAnsi" w:hAnsiTheme="minorHAnsi" w:cs="Arial"/>
                <w:sz w:val="22"/>
                <w:szCs w:val="22"/>
              </w:rPr>
            </w:pPr>
            <w:r w:rsidRPr="00EE2473">
              <w:rPr>
                <w:rFonts w:asciiTheme="minorHAnsi" w:hAnsiTheme="minorHAnsi" w:cs="Arial"/>
                <w:sz w:val="22"/>
                <w:szCs w:val="22"/>
              </w:rPr>
              <w:t>Can you kindly confirm that this approach meets your general requirements and that there is no specific format, word limit or other constraint that I have missed in my initial read through.</w:t>
            </w:r>
          </w:p>
          <w:p w:rsidR="007E305F" w:rsidRPr="00EE2473" w:rsidRDefault="007E305F">
            <w:pPr>
              <w:rPr>
                <w:rFonts w:asciiTheme="minorHAnsi" w:hAnsiTheme="minorHAnsi"/>
                <w:b/>
                <w:color w:val="000000" w:themeColor="text1"/>
              </w:rPr>
            </w:pPr>
          </w:p>
        </w:tc>
      </w:tr>
      <w:tr w:rsidR="0096711D" w:rsidTr="00946481">
        <w:tc>
          <w:tcPr>
            <w:tcW w:w="9016" w:type="dxa"/>
          </w:tcPr>
          <w:p w:rsidR="0096711D" w:rsidRPr="00EE2473" w:rsidRDefault="0096711D" w:rsidP="0096711D">
            <w:pPr>
              <w:rPr>
                <w:rFonts w:asciiTheme="minorHAnsi" w:hAnsiTheme="minorHAnsi"/>
                <w:b/>
                <w:color w:val="000000" w:themeColor="text1"/>
              </w:rPr>
            </w:pPr>
            <w:r w:rsidRPr="00EE2473">
              <w:rPr>
                <w:rFonts w:asciiTheme="minorHAnsi" w:hAnsiTheme="minorHAnsi"/>
                <w:b/>
                <w:color w:val="000000" w:themeColor="text1"/>
              </w:rPr>
              <w:t>RSSB Answer 4</w:t>
            </w:r>
          </w:p>
          <w:p w:rsidR="0096711D" w:rsidRPr="00EE2473" w:rsidRDefault="0096711D" w:rsidP="0096711D">
            <w:pPr>
              <w:rPr>
                <w:rFonts w:asciiTheme="minorHAnsi" w:hAnsiTheme="minorHAnsi"/>
                <w:b/>
                <w:color w:val="000000" w:themeColor="text1"/>
              </w:rPr>
            </w:pPr>
          </w:p>
          <w:p w:rsidR="0096711D" w:rsidRPr="00EE2473" w:rsidRDefault="0096711D" w:rsidP="0096711D">
            <w:pPr>
              <w:rPr>
                <w:rFonts w:asciiTheme="minorHAnsi" w:hAnsiTheme="minorHAnsi"/>
              </w:rPr>
            </w:pPr>
            <w:r w:rsidRPr="00EE2473">
              <w:rPr>
                <w:rFonts w:asciiTheme="minorHAnsi" w:hAnsiTheme="minorHAnsi"/>
              </w:rPr>
              <w:t xml:space="preserve">Indeed RSSB can confirm that the </w:t>
            </w:r>
            <w:r w:rsidR="00EE2473">
              <w:rPr>
                <w:rFonts w:asciiTheme="minorHAnsi" w:hAnsiTheme="minorHAnsi"/>
              </w:rPr>
              <w:t xml:space="preserve">above </w:t>
            </w:r>
            <w:r w:rsidRPr="00EE2473">
              <w:rPr>
                <w:rFonts w:asciiTheme="minorHAnsi" w:hAnsiTheme="minorHAnsi"/>
              </w:rPr>
              <w:t>4 listed points contain the required information pertaining to the required documentation for the bid.</w:t>
            </w:r>
          </w:p>
          <w:p w:rsidR="0096711D" w:rsidRPr="00EE2473" w:rsidRDefault="0096711D" w:rsidP="0096711D">
            <w:pPr>
              <w:rPr>
                <w:rFonts w:asciiTheme="minorHAnsi" w:hAnsiTheme="minorHAnsi"/>
                <w:b/>
                <w:color w:val="000000" w:themeColor="text1"/>
              </w:rPr>
            </w:pPr>
          </w:p>
        </w:tc>
      </w:tr>
      <w:tr w:rsidR="0096711D" w:rsidTr="00946481">
        <w:tc>
          <w:tcPr>
            <w:tcW w:w="9016" w:type="dxa"/>
          </w:tcPr>
          <w:p w:rsidR="0096711D" w:rsidRPr="00EE2473" w:rsidRDefault="0096711D" w:rsidP="0096711D">
            <w:pPr>
              <w:rPr>
                <w:rFonts w:asciiTheme="minorHAnsi" w:hAnsiTheme="minorHAnsi"/>
                <w:b/>
                <w:color w:val="000000" w:themeColor="text1"/>
              </w:rPr>
            </w:pPr>
            <w:r w:rsidRPr="00EE2473">
              <w:rPr>
                <w:rFonts w:asciiTheme="minorHAnsi" w:hAnsiTheme="minorHAnsi"/>
                <w:b/>
                <w:color w:val="000000" w:themeColor="text1"/>
              </w:rPr>
              <w:t>Supplier Question 5</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sz w:val="22"/>
                <w:szCs w:val="22"/>
              </w:rPr>
              <w:t>I am currently putting together a tender response for the</w:t>
            </w:r>
            <w:r w:rsidRPr="00EE2473">
              <w:rPr>
                <w:rFonts w:asciiTheme="minorHAnsi" w:hAnsiTheme="minorHAnsi"/>
                <w:sz w:val="22"/>
                <w:szCs w:val="22"/>
              </w:rPr>
              <w:t xml:space="preserve"> </w:t>
            </w:r>
            <w:r w:rsidRPr="00EE2473">
              <w:rPr>
                <w:rFonts w:asciiTheme="minorHAnsi" w:hAnsiTheme="minorHAnsi" w:cs="Arial"/>
                <w:sz w:val="22"/>
                <w:szCs w:val="22"/>
              </w:rPr>
              <w:t>“Development of a Common Event Risk Scoring Methodology” (referenced above) and would be grateful for your assistance</w:t>
            </w:r>
            <w:r w:rsidRPr="00EE2473">
              <w:rPr>
                <w:rFonts w:asciiTheme="minorHAnsi" w:hAnsiTheme="minorHAnsi"/>
                <w:sz w:val="22"/>
                <w:szCs w:val="22"/>
              </w:rPr>
              <w:t xml:space="preserve"> </w:t>
            </w:r>
            <w:r w:rsidRPr="00EE2473">
              <w:rPr>
                <w:rFonts w:asciiTheme="minorHAnsi" w:hAnsiTheme="minorHAnsi" w:cs="Arial"/>
                <w:sz w:val="22"/>
                <w:szCs w:val="22"/>
              </w:rPr>
              <w:t>/ guidance on some comparatively minor points if you would be so</w:t>
            </w:r>
            <w:r w:rsidRPr="00EE2473">
              <w:rPr>
                <w:rFonts w:asciiTheme="minorHAnsi" w:hAnsiTheme="minorHAnsi"/>
                <w:sz w:val="22"/>
                <w:szCs w:val="22"/>
              </w:rPr>
              <w:t xml:space="preserve"> </w:t>
            </w:r>
            <w:r w:rsidRPr="00EE2473">
              <w:rPr>
                <w:rFonts w:asciiTheme="minorHAnsi" w:hAnsiTheme="minorHAnsi" w:cs="Arial"/>
                <w:sz w:val="22"/>
                <w:szCs w:val="22"/>
              </w:rPr>
              <w:t>kind.</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b/>
                <w:bCs/>
                <w:sz w:val="22"/>
                <w:szCs w:val="22"/>
                <w:u w:val="single"/>
              </w:rPr>
              <w:t>Frequency of Meetings</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sz w:val="22"/>
                <w:szCs w:val="22"/>
              </w:rPr>
              <w:t>There</w:t>
            </w:r>
            <w:r w:rsidRPr="00EE2473">
              <w:rPr>
                <w:rFonts w:asciiTheme="minorHAnsi" w:hAnsiTheme="minorHAnsi"/>
                <w:sz w:val="22"/>
                <w:szCs w:val="22"/>
              </w:rPr>
              <w:t xml:space="preserve"> </w:t>
            </w:r>
            <w:r w:rsidRPr="00EE2473">
              <w:rPr>
                <w:rFonts w:asciiTheme="minorHAnsi" w:hAnsiTheme="minorHAnsi" w:cs="Arial"/>
                <w:sz w:val="22"/>
                <w:szCs w:val="22"/>
              </w:rPr>
              <w:t>appears to be a requirement for three routine / core meetings to be held at the offices of the RSSB,</w:t>
            </w:r>
            <w:r w:rsidRPr="00EE2473">
              <w:rPr>
                <w:rFonts w:asciiTheme="minorHAnsi" w:hAnsiTheme="minorHAnsi"/>
                <w:sz w:val="22"/>
                <w:szCs w:val="22"/>
              </w:rPr>
              <w:t xml:space="preserve"> </w:t>
            </w:r>
            <w:r w:rsidRPr="00EE2473">
              <w:rPr>
                <w:rFonts w:asciiTheme="minorHAnsi" w:hAnsiTheme="minorHAnsi" w:cs="Arial"/>
                <w:sz w:val="22"/>
                <w:szCs w:val="22"/>
              </w:rPr>
              <w:t>namely with the</w:t>
            </w:r>
            <w:r w:rsidRPr="00EE2473">
              <w:rPr>
                <w:rFonts w:asciiTheme="minorHAnsi" w:hAnsiTheme="minorHAnsi"/>
                <w:sz w:val="22"/>
                <w:szCs w:val="22"/>
              </w:rPr>
              <w:t xml:space="preserve"> </w:t>
            </w:r>
            <w:r w:rsidRPr="00EE2473">
              <w:rPr>
                <w:rFonts w:asciiTheme="minorHAnsi" w:hAnsiTheme="minorHAnsi" w:cs="Arial"/>
                <w:sz w:val="22"/>
                <w:szCs w:val="22"/>
              </w:rPr>
              <w:t>Project</w:t>
            </w:r>
            <w:r w:rsidRPr="00EE2473">
              <w:rPr>
                <w:rFonts w:asciiTheme="minorHAnsi" w:hAnsiTheme="minorHAnsi"/>
                <w:sz w:val="22"/>
                <w:szCs w:val="22"/>
              </w:rPr>
              <w:t xml:space="preserve"> </w:t>
            </w:r>
            <w:r w:rsidRPr="00EE2473">
              <w:rPr>
                <w:rFonts w:asciiTheme="minorHAnsi" w:hAnsiTheme="minorHAnsi" w:cs="Arial"/>
                <w:sz w:val="22"/>
                <w:szCs w:val="22"/>
              </w:rPr>
              <w:t>Steering Group, the Delivery Manager and the Technical Expert. In trying to estimate the cost in terms of consultant time and expenses clarification regarding the frequency</w:t>
            </w:r>
            <w:r w:rsidRPr="00EE2473">
              <w:rPr>
                <w:rFonts w:asciiTheme="minorHAnsi" w:hAnsiTheme="minorHAnsi"/>
                <w:sz w:val="22"/>
                <w:szCs w:val="22"/>
              </w:rPr>
              <w:t xml:space="preserve"> </w:t>
            </w:r>
            <w:r w:rsidRPr="00EE2473">
              <w:rPr>
                <w:rFonts w:asciiTheme="minorHAnsi" w:hAnsiTheme="minorHAnsi" w:cs="Arial"/>
                <w:sz w:val="22"/>
                <w:szCs w:val="22"/>
              </w:rPr>
              <w:t>and duration</w:t>
            </w:r>
            <w:r w:rsidRPr="00EE2473">
              <w:rPr>
                <w:rFonts w:asciiTheme="minorHAnsi" w:hAnsiTheme="minorHAnsi"/>
                <w:sz w:val="22"/>
                <w:szCs w:val="22"/>
              </w:rPr>
              <w:t xml:space="preserve"> </w:t>
            </w:r>
            <w:r w:rsidRPr="00EE2473">
              <w:rPr>
                <w:rFonts w:asciiTheme="minorHAnsi" w:hAnsiTheme="minorHAnsi" w:cs="Arial"/>
                <w:sz w:val="22"/>
                <w:szCs w:val="22"/>
              </w:rPr>
              <w:t>of the meetings</w:t>
            </w:r>
            <w:r w:rsidRPr="00EE2473">
              <w:rPr>
                <w:rFonts w:asciiTheme="minorHAnsi" w:hAnsiTheme="minorHAnsi"/>
                <w:sz w:val="22"/>
                <w:szCs w:val="22"/>
              </w:rPr>
              <w:t xml:space="preserve"> </w:t>
            </w:r>
            <w:r w:rsidRPr="00EE2473">
              <w:rPr>
                <w:rFonts w:asciiTheme="minorHAnsi" w:hAnsiTheme="minorHAnsi" w:cs="Arial"/>
                <w:sz w:val="22"/>
                <w:szCs w:val="22"/>
              </w:rPr>
              <w:t>( e.g.</w:t>
            </w:r>
            <w:r w:rsidRPr="00EE2473">
              <w:rPr>
                <w:rFonts w:asciiTheme="minorHAnsi" w:hAnsiTheme="minorHAnsi"/>
                <w:sz w:val="22"/>
                <w:szCs w:val="22"/>
              </w:rPr>
              <w:t xml:space="preserve"> </w:t>
            </w:r>
            <w:r w:rsidRPr="00EE2473">
              <w:rPr>
                <w:rFonts w:asciiTheme="minorHAnsi" w:hAnsiTheme="minorHAnsi" w:cs="Arial"/>
                <w:sz w:val="22"/>
                <w:szCs w:val="22"/>
              </w:rPr>
              <w:t>monthly, four-weekly etc.) would be most helpful.</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b/>
                <w:bCs/>
                <w:sz w:val="22"/>
                <w:szCs w:val="22"/>
                <w:u w:val="single"/>
              </w:rPr>
              <w:t>Format of Questions</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sz w:val="22"/>
                <w:szCs w:val="22"/>
              </w:rPr>
              <w:t>Under “General, Legal and Compliance 3.2 Format of Questions”</w:t>
            </w:r>
            <w:r w:rsidRPr="00EE2473">
              <w:rPr>
                <w:rFonts w:asciiTheme="minorHAnsi" w:hAnsiTheme="minorHAnsi"/>
                <w:sz w:val="22"/>
                <w:szCs w:val="22"/>
              </w:rPr>
              <w:t xml:space="preserve"> </w:t>
            </w:r>
            <w:r w:rsidRPr="00EE2473">
              <w:rPr>
                <w:rFonts w:asciiTheme="minorHAnsi" w:hAnsiTheme="minorHAnsi" w:cs="Arial"/>
                <w:sz w:val="22"/>
                <w:szCs w:val="22"/>
              </w:rPr>
              <w:t>I am</w:t>
            </w:r>
            <w:r w:rsidRPr="00EE2473">
              <w:rPr>
                <w:rFonts w:asciiTheme="minorHAnsi" w:hAnsiTheme="minorHAnsi"/>
                <w:sz w:val="22"/>
                <w:szCs w:val="22"/>
              </w:rPr>
              <w:t xml:space="preserve"> </w:t>
            </w:r>
            <w:r w:rsidRPr="00EE2473">
              <w:rPr>
                <w:rFonts w:asciiTheme="minorHAnsi" w:hAnsiTheme="minorHAnsi" w:cs="Arial"/>
                <w:sz w:val="22"/>
                <w:szCs w:val="22"/>
              </w:rPr>
              <w:t>required to answer questions in the “format requested”</w:t>
            </w:r>
            <w:r w:rsidRPr="00EE2473">
              <w:rPr>
                <w:rFonts w:asciiTheme="minorHAnsi" w:hAnsiTheme="minorHAnsi"/>
                <w:sz w:val="22"/>
                <w:szCs w:val="22"/>
              </w:rPr>
              <w:t xml:space="preserve"> </w:t>
            </w:r>
            <w:r w:rsidRPr="00EE2473">
              <w:rPr>
                <w:rFonts w:asciiTheme="minorHAnsi" w:hAnsiTheme="minorHAnsi" w:cs="Arial"/>
                <w:sz w:val="22"/>
                <w:szCs w:val="22"/>
              </w:rPr>
              <w:t>and on page 10 of the</w:t>
            </w:r>
            <w:r w:rsidRPr="00EE2473">
              <w:rPr>
                <w:rFonts w:asciiTheme="minorHAnsi" w:hAnsiTheme="minorHAnsi"/>
                <w:sz w:val="22"/>
                <w:szCs w:val="22"/>
              </w:rPr>
              <w:t xml:space="preserve"> </w:t>
            </w:r>
            <w:r w:rsidRPr="00EE2473">
              <w:rPr>
                <w:rFonts w:asciiTheme="minorHAnsi" w:hAnsiTheme="minorHAnsi" w:cs="Arial"/>
                <w:sz w:val="22"/>
                <w:szCs w:val="22"/>
              </w:rPr>
              <w:t>“Invitation to Tender” there is a matrix detailing three specific questions.</w:t>
            </w:r>
            <w:r w:rsidRPr="00EE2473">
              <w:rPr>
                <w:rFonts w:asciiTheme="minorHAnsi" w:hAnsiTheme="minorHAnsi"/>
                <w:sz w:val="22"/>
                <w:szCs w:val="22"/>
              </w:rPr>
              <w:t xml:space="preserve"> </w:t>
            </w:r>
            <w:r w:rsidRPr="00EE2473">
              <w:rPr>
                <w:rFonts w:asciiTheme="minorHAnsi" w:hAnsiTheme="minorHAnsi" w:cs="Arial"/>
                <w:sz w:val="22"/>
                <w:szCs w:val="22"/>
              </w:rPr>
              <w:t>As no</w:t>
            </w:r>
            <w:r w:rsidRPr="00EE2473">
              <w:rPr>
                <w:rFonts w:asciiTheme="minorHAnsi" w:hAnsiTheme="minorHAnsi"/>
                <w:i/>
                <w:iCs/>
                <w:sz w:val="22"/>
                <w:szCs w:val="22"/>
              </w:rPr>
              <w:t xml:space="preserve"> </w:t>
            </w:r>
            <w:r w:rsidRPr="00EE2473">
              <w:rPr>
                <w:rFonts w:asciiTheme="minorHAnsi" w:hAnsiTheme="minorHAnsi" w:cs="Arial"/>
                <w:i/>
                <w:iCs/>
                <w:sz w:val="22"/>
                <w:szCs w:val="22"/>
              </w:rPr>
              <w:t>explicit</w:t>
            </w:r>
            <w:r w:rsidRPr="00EE2473">
              <w:rPr>
                <w:rFonts w:asciiTheme="minorHAnsi" w:hAnsiTheme="minorHAnsi" w:cs="Arial"/>
                <w:sz w:val="22"/>
                <w:szCs w:val="22"/>
              </w:rPr>
              <w:t xml:space="preserve"> requirement</w:t>
            </w:r>
            <w:r w:rsidRPr="00EE2473">
              <w:rPr>
                <w:rFonts w:asciiTheme="minorHAnsi" w:hAnsiTheme="minorHAnsi"/>
                <w:sz w:val="22"/>
                <w:szCs w:val="22"/>
              </w:rPr>
              <w:t xml:space="preserve"> </w:t>
            </w:r>
            <w:r w:rsidRPr="00EE2473">
              <w:rPr>
                <w:rFonts w:asciiTheme="minorHAnsi" w:hAnsiTheme="minorHAnsi" w:cs="Arial"/>
                <w:sz w:val="22"/>
                <w:szCs w:val="22"/>
              </w:rPr>
              <w:t>for</w:t>
            </w:r>
            <w:r w:rsidRPr="00EE2473">
              <w:rPr>
                <w:rFonts w:asciiTheme="minorHAnsi" w:hAnsiTheme="minorHAnsi"/>
                <w:sz w:val="22"/>
                <w:szCs w:val="22"/>
              </w:rPr>
              <w:t xml:space="preserve"> </w:t>
            </w:r>
            <w:r w:rsidRPr="00EE2473">
              <w:rPr>
                <w:rFonts w:asciiTheme="minorHAnsi" w:hAnsiTheme="minorHAnsi" w:cs="Arial"/>
                <w:sz w:val="22"/>
                <w:szCs w:val="22"/>
              </w:rPr>
              <w:t>a format can be identified,</w:t>
            </w:r>
            <w:r w:rsidRPr="00EE2473">
              <w:rPr>
                <w:rFonts w:asciiTheme="minorHAnsi" w:hAnsiTheme="minorHAnsi"/>
                <w:sz w:val="22"/>
                <w:szCs w:val="22"/>
              </w:rPr>
              <w:t xml:space="preserve"> </w:t>
            </w:r>
            <w:r w:rsidRPr="00EE2473">
              <w:rPr>
                <w:rFonts w:asciiTheme="minorHAnsi" w:hAnsiTheme="minorHAnsi" w:cs="Arial"/>
                <w:sz w:val="22"/>
                <w:szCs w:val="22"/>
              </w:rPr>
              <w:t>am I</w:t>
            </w:r>
            <w:r w:rsidRPr="00EE2473">
              <w:rPr>
                <w:rFonts w:asciiTheme="minorHAnsi" w:hAnsiTheme="minorHAnsi"/>
                <w:sz w:val="22"/>
                <w:szCs w:val="22"/>
              </w:rPr>
              <w:t xml:space="preserve"> </w:t>
            </w:r>
            <w:r w:rsidRPr="00EE2473">
              <w:rPr>
                <w:rFonts w:asciiTheme="minorHAnsi" w:hAnsiTheme="minorHAnsi" w:cs="Arial"/>
                <w:sz w:val="22"/>
                <w:szCs w:val="22"/>
              </w:rPr>
              <w:t>right in assuming that</w:t>
            </w:r>
            <w:r w:rsidRPr="00EE2473">
              <w:rPr>
                <w:rFonts w:asciiTheme="minorHAnsi" w:hAnsiTheme="minorHAnsi"/>
                <w:sz w:val="22"/>
                <w:szCs w:val="22"/>
              </w:rPr>
              <w:t xml:space="preserve"> </w:t>
            </w:r>
            <w:r w:rsidRPr="00EE2473">
              <w:rPr>
                <w:rFonts w:asciiTheme="minorHAnsi" w:hAnsiTheme="minorHAnsi" w:cs="Arial"/>
                <w:sz w:val="22"/>
                <w:szCs w:val="22"/>
              </w:rPr>
              <w:t>the RSSB</w:t>
            </w:r>
            <w:r w:rsidRPr="00EE2473">
              <w:rPr>
                <w:rFonts w:asciiTheme="minorHAnsi" w:hAnsiTheme="minorHAnsi"/>
                <w:sz w:val="22"/>
                <w:szCs w:val="22"/>
              </w:rPr>
              <w:t xml:space="preserve"> </w:t>
            </w:r>
            <w:r w:rsidRPr="00EE2473">
              <w:rPr>
                <w:rFonts w:asciiTheme="minorHAnsi" w:hAnsiTheme="minorHAnsi" w:cs="Arial"/>
                <w:sz w:val="22"/>
                <w:szCs w:val="22"/>
              </w:rPr>
              <w:t>deemed that this matrix</w:t>
            </w:r>
            <w:r w:rsidRPr="00EE2473">
              <w:rPr>
                <w:rFonts w:asciiTheme="minorHAnsi" w:hAnsiTheme="minorHAnsi"/>
                <w:sz w:val="22"/>
                <w:szCs w:val="22"/>
              </w:rPr>
              <w:t xml:space="preserve"> </w:t>
            </w:r>
            <w:r w:rsidRPr="00EE2473">
              <w:rPr>
                <w:rFonts w:asciiTheme="minorHAnsi" w:hAnsiTheme="minorHAnsi" w:cs="Arial"/>
                <w:sz w:val="22"/>
                <w:szCs w:val="22"/>
              </w:rPr>
              <w:t>is adequate if populated and included</w:t>
            </w:r>
            <w:r w:rsidRPr="00EE2473">
              <w:rPr>
                <w:rFonts w:asciiTheme="minorHAnsi" w:hAnsiTheme="minorHAnsi"/>
                <w:sz w:val="22"/>
                <w:szCs w:val="22"/>
              </w:rPr>
              <w:t xml:space="preserve"> </w:t>
            </w:r>
            <w:r w:rsidRPr="00EE2473">
              <w:rPr>
                <w:rFonts w:asciiTheme="minorHAnsi" w:hAnsiTheme="minorHAnsi" w:cs="Arial"/>
                <w:sz w:val="22"/>
                <w:szCs w:val="22"/>
              </w:rPr>
              <w:t>either</w:t>
            </w:r>
            <w:r w:rsidRPr="00EE2473">
              <w:rPr>
                <w:rFonts w:asciiTheme="minorHAnsi" w:hAnsiTheme="minorHAnsi"/>
                <w:sz w:val="22"/>
                <w:szCs w:val="22"/>
              </w:rPr>
              <w:t xml:space="preserve"> </w:t>
            </w:r>
            <w:r w:rsidRPr="00EE2473">
              <w:rPr>
                <w:rFonts w:asciiTheme="minorHAnsi" w:hAnsiTheme="minorHAnsi" w:cs="Arial"/>
                <w:sz w:val="22"/>
                <w:szCs w:val="22"/>
              </w:rPr>
              <w:t>in</w:t>
            </w:r>
            <w:r w:rsidRPr="00EE2473">
              <w:rPr>
                <w:rFonts w:asciiTheme="minorHAnsi" w:hAnsiTheme="minorHAnsi"/>
                <w:sz w:val="22"/>
                <w:szCs w:val="22"/>
              </w:rPr>
              <w:t xml:space="preserve"> </w:t>
            </w:r>
            <w:r w:rsidRPr="00EE2473">
              <w:rPr>
                <w:rFonts w:asciiTheme="minorHAnsi" w:hAnsiTheme="minorHAnsi" w:cs="Arial"/>
                <w:sz w:val="22"/>
                <w:szCs w:val="22"/>
              </w:rPr>
              <w:t>the core response or as an appendix?</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b/>
                <w:bCs/>
                <w:sz w:val="22"/>
                <w:szCs w:val="22"/>
                <w:u w:val="single"/>
              </w:rPr>
              <w:t>Exclusions etc.</w:t>
            </w:r>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sz w:val="22"/>
                <w:szCs w:val="22"/>
              </w:rPr>
              <w:t>Whilst</w:t>
            </w:r>
            <w:r w:rsidRPr="00EE2473">
              <w:rPr>
                <w:rFonts w:asciiTheme="minorHAnsi" w:hAnsiTheme="minorHAnsi"/>
                <w:sz w:val="22"/>
                <w:szCs w:val="22"/>
              </w:rPr>
              <w:t xml:space="preserve"> </w:t>
            </w:r>
            <w:r w:rsidRPr="00EE2473">
              <w:rPr>
                <w:rFonts w:asciiTheme="minorHAnsi" w:hAnsiTheme="minorHAnsi" w:cs="Arial"/>
                <w:sz w:val="22"/>
                <w:szCs w:val="22"/>
              </w:rPr>
              <w:t>I am</w:t>
            </w:r>
            <w:r w:rsidRPr="00EE2473">
              <w:rPr>
                <w:rFonts w:asciiTheme="minorHAnsi" w:hAnsiTheme="minorHAnsi"/>
                <w:sz w:val="22"/>
                <w:szCs w:val="22"/>
              </w:rPr>
              <w:t xml:space="preserve"> </w:t>
            </w:r>
            <w:r w:rsidRPr="00EE2473">
              <w:rPr>
                <w:rFonts w:asciiTheme="minorHAnsi" w:hAnsiTheme="minorHAnsi" w:cs="Arial"/>
                <w:sz w:val="22"/>
                <w:szCs w:val="22"/>
              </w:rPr>
              <w:t>confident that confirming</w:t>
            </w:r>
            <w:r w:rsidRPr="00EE2473">
              <w:rPr>
                <w:rFonts w:asciiTheme="minorHAnsi" w:hAnsiTheme="minorHAnsi"/>
                <w:sz w:val="22"/>
                <w:szCs w:val="22"/>
              </w:rPr>
              <w:t xml:space="preserve"> </w:t>
            </w:r>
            <w:r w:rsidRPr="00EE2473">
              <w:rPr>
                <w:rFonts w:asciiTheme="minorHAnsi" w:hAnsiTheme="minorHAnsi" w:cs="Arial"/>
                <w:sz w:val="22"/>
                <w:szCs w:val="22"/>
              </w:rPr>
              <w:t>I will meet all mandatory and discretionary requirements</w:t>
            </w:r>
            <w:r w:rsidRPr="00EE2473">
              <w:rPr>
                <w:rFonts w:asciiTheme="minorHAnsi" w:hAnsiTheme="minorHAnsi"/>
                <w:sz w:val="22"/>
                <w:szCs w:val="22"/>
              </w:rPr>
              <w:t xml:space="preserve"> </w:t>
            </w:r>
            <w:r w:rsidRPr="00EE2473">
              <w:rPr>
                <w:rFonts w:asciiTheme="minorHAnsi" w:hAnsiTheme="minorHAnsi" w:cs="Arial"/>
                <w:sz w:val="22"/>
                <w:szCs w:val="22"/>
              </w:rPr>
              <w:t>(including those that would trigger</w:t>
            </w:r>
            <w:r w:rsidRPr="00EE2473">
              <w:rPr>
                <w:rFonts w:asciiTheme="minorHAnsi" w:hAnsiTheme="minorHAnsi"/>
                <w:sz w:val="22"/>
                <w:szCs w:val="22"/>
              </w:rPr>
              <w:t xml:space="preserve"> </w:t>
            </w:r>
            <w:r w:rsidRPr="00EE2473">
              <w:rPr>
                <w:rFonts w:asciiTheme="minorHAnsi" w:hAnsiTheme="minorHAnsi" w:cs="Arial"/>
                <w:sz w:val="22"/>
                <w:szCs w:val="22"/>
              </w:rPr>
              <w:t>rejection)</w:t>
            </w:r>
            <w:r w:rsidRPr="00EE2473">
              <w:rPr>
                <w:rFonts w:asciiTheme="minorHAnsi" w:hAnsiTheme="minorHAnsi"/>
                <w:sz w:val="22"/>
                <w:szCs w:val="22"/>
              </w:rPr>
              <w:t xml:space="preserve"> </w:t>
            </w:r>
            <w:r w:rsidRPr="00EE2473">
              <w:rPr>
                <w:rFonts w:asciiTheme="minorHAnsi" w:hAnsiTheme="minorHAnsi" w:cs="Arial"/>
                <w:sz w:val="22"/>
                <w:szCs w:val="22"/>
              </w:rPr>
              <w:t>I am</w:t>
            </w:r>
            <w:r w:rsidRPr="00EE2473">
              <w:rPr>
                <w:rFonts w:asciiTheme="minorHAnsi" w:hAnsiTheme="minorHAnsi"/>
                <w:sz w:val="22"/>
                <w:szCs w:val="22"/>
              </w:rPr>
              <w:t xml:space="preserve"> </w:t>
            </w:r>
            <w:r w:rsidRPr="00EE2473">
              <w:rPr>
                <w:rFonts w:asciiTheme="minorHAnsi" w:hAnsiTheme="minorHAnsi" w:cs="Arial"/>
                <w:sz w:val="22"/>
                <w:szCs w:val="22"/>
              </w:rPr>
              <w:t>unable to examine the detail behind this hyperlink:</w:t>
            </w:r>
          </w:p>
          <w:p w:rsidR="00EE2473" w:rsidRPr="00EE2473" w:rsidRDefault="002660F1" w:rsidP="00EE2473">
            <w:pPr>
              <w:pStyle w:val="NormalWeb"/>
              <w:rPr>
                <w:rFonts w:asciiTheme="minorHAnsi" w:hAnsiTheme="minorHAnsi"/>
                <w:sz w:val="22"/>
                <w:szCs w:val="22"/>
              </w:rPr>
            </w:pPr>
            <w:hyperlink r:id="rId5" w:history="1">
              <w:r w:rsidR="00EE2473" w:rsidRPr="00EE2473">
                <w:rPr>
                  <w:rStyle w:val="Hyperlink"/>
                  <w:rFonts w:asciiTheme="minorHAnsi" w:hAnsiTheme="minorHAnsi"/>
                  <w:color w:val="0563C1"/>
                  <w:sz w:val="22"/>
                  <w:szCs w:val="22"/>
                </w:rPr>
                <w:t>http://www.rssb.co.uk/about-rssb/working-with-us/supplier-opportunities/mandatory-and-discretionary-requirements</w:t>
              </w:r>
            </w:hyperlink>
          </w:p>
          <w:p w:rsidR="00EE2473" w:rsidRPr="00EE2473" w:rsidRDefault="00EE2473" w:rsidP="00EE2473">
            <w:pPr>
              <w:pStyle w:val="NormalWeb"/>
              <w:rPr>
                <w:rFonts w:asciiTheme="minorHAnsi" w:hAnsiTheme="minorHAnsi"/>
                <w:sz w:val="22"/>
                <w:szCs w:val="22"/>
              </w:rPr>
            </w:pPr>
            <w:r w:rsidRPr="00EE2473">
              <w:rPr>
                <w:rFonts w:asciiTheme="minorHAnsi" w:hAnsiTheme="minorHAnsi" w:cs="Arial"/>
                <w:sz w:val="22"/>
                <w:szCs w:val="22"/>
              </w:rPr>
              <w:t>Is there another hyperlink available please that would point</w:t>
            </w:r>
            <w:r w:rsidRPr="00EE2473">
              <w:rPr>
                <w:rFonts w:asciiTheme="minorHAnsi" w:hAnsiTheme="minorHAnsi"/>
                <w:sz w:val="22"/>
                <w:szCs w:val="22"/>
              </w:rPr>
              <w:t xml:space="preserve"> </w:t>
            </w:r>
            <w:r w:rsidRPr="00EE2473">
              <w:rPr>
                <w:rFonts w:asciiTheme="minorHAnsi" w:hAnsiTheme="minorHAnsi" w:cs="Arial"/>
                <w:sz w:val="22"/>
                <w:szCs w:val="22"/>
              </w:rPr>
              <w:t>me in the right direction?</w:t>
            </w:r>
          </w:p>
          <w:p w:rsidR="00EE2473" w:rsidRPr="00EE2473" w:rsidRDefault="00EE2473" w:rsidP="0096711D">
            <w:pPr>
              <w:rPr>
                <w:rFonts w:asciiTheme="minorHAnsi" w:hAnsiTheme="minorHAnsi"/>
                <w:b/>
                <w:color w:val="000000" w:themeColor="text1"/>
              </w:rPr>
            </w:pPr>
          </w:p>
        </w:tc>
      </w:tr>
      <w:tr w:rsidR="0096711D" w:rsidTr="00946481">
        <w:tc>
          <w:tcPr>
            <w:tcW w:w="9016" w:type="dxa"/>
          </w:tcPr>
          <w:p w:rsidR="0096711D" w:rsidRPr="00EE2473" w:rsidRDefault="0096711D" w:rsidP="0096711D">
            <w:pPr>
              <w:rPr>
                <w:rFonts w:asciiTheme="minorHAnsi" w:hAnsiTheme="minorHAnsi"/>
                <w:b/>
                <w:color w:val="000000" w:themeColor="text1"/>
              </w:rPr>
            </w:pPr>
            <w:r w:rsidRPr="00EE2473">
              <w:rPr>
                <w:rFonts w:asciiTheme="minorHAnsi" w:hAnsiTheme="minorHAnsi"/>
                <w:b/>
                <w:color w:val="000000" w:themeColor="text1"/>
              </w:rPr>
              <w:lastRenderedPageBreak/>
              <w:t>RSSB Answer 5</w:t>
            </w:r>
          </w:p>
          <w:p w:rsidR="00EE2473" w:rsidRPr="00EE2473" w:rsidRDefault="00EE2473" w:rsidP="0096711D">
            <w:pPr>
              <w:rPr>
                <w:rFonts w:asciiTheme="minorHAnsi" w:hAnsiTheme="minorHAnsi"/>
                <w:b/>
                <w:color w:val="000000" w:themeColor="text1"/>
              </w:rPr>
            </w:pPr>
          </w:p>
          <w:p w:rsidR="00EE2473" w:rsidRPr="00EE2473" w:rsidRDefault="00EE2473" w:rsidP="00EE2473">
            <w:pPr>
              <w:rPr>
                <w:rFonts w:asciiTheme="minorHAnsi" w:hAnsiTheme="minorHAnsi"/>
              </w:rPr>
            </w:pPr>
            <w:r w:rsidRPr="00EE2473">
              <w:rPr>
                <w:rFonts w:asciiTheme="minorHAnsi" w:hAnsiTheme="minorHAnsi"/>
              </w:rPr>
              <w:t>RSSB’s response is as follows:</w:t>
            </w:r>
          </w:p>
          <w:p w:rsidR="00EE2473" w:rsidRPr="00EE2473" w:rsidRDefault="00EE2473" w:rsidP="00EE2473">
            <w:pPr>
              <w:rPr>
                <w:rFonts w:asciiTheme="minorHAnsi" w:hAnsiTheme="minorHAnsi"/>
              </w:rPr>
            </w:pPr>
          </w:p>
          <w:p w:rsidR="00EE2473" w:rsidRPr="00A50B94" w:rsidRDefault="00EE2473" w:rsidP="00EE2473">
            <w:pPr>
              <w:pStyle w:val="ListParagraph"/>
              <w:numPr>
                <w:ilvl w:val="0"/>
                <w:numId w:val="2"/>
              </w:numPr>
              <w:spacing w:after="240"/>
              <w:contextualSpacing w:val="0"/>
              <w:rPr>
                <w:rFonts w:ascii="Arial" w:hAnsi="Arial" w:cs="Arial"/>
                <w:color w:val="000000" w:themeColor="text1"/>
                <w:sz w:val="22"/>
                <w:szCs w:val="22"/>
                <w:lang w:eastAsia="en-US"/>
              </w:rPr>
            </w:pPr>
            <w:r w:rsidRPr="00A50B94">
              <w:rPr>
                <w:rFonts w:ascii="Arial" w:hAnsi="Arial" w:cs="Arial"/>
                <w:color w:val="000000" w:themeColor="text1"/>
                <w:sz w:val="22"/>
                <w:szCs w:val="22"/>
                <w:lang w:eastAsia="en-US"/>
              </w:rPr>
              <w:t>Frequency of Meetings</w:t>
            </w:r>
            <w:r w:rsidRPr="00A50B94">
              <w:rPr>
                <w:rFonts w:ascii="Arial" w:hAnsi="Arial" w:cs="Arial"/>
                <w:color w:val="000000" w:themeColor="text1"/>
                <w:sz w:val="22"/>
                <w:szCs w:val="22"/>
                <w:lang w:eastAsia="en-US"/>
              </w:rPr>
              <w:br/>
            </w:r>
            <w:r w:rsidRPr="00A50B94">
              <w:rPr>
                <w:rFonts w:ascii="Arial" w:hAnsi="Arial" w:cs="Arial"/>
                <w:color w:val="000000" w:themeColor="text1"/>
                <w:sz w:val="22"/>
                <w:szCs w:val="22"/>
                <w:lang w:eastAsia="en-US"/>
              </w:rPr>
              <w:br/>
            </w:r>
            <w:r w:rsidR="00A50B94" w:rsidRPr="00A50B94">
              <w:rPr>
                <w:rFonts w:ascii="Arial" w:hAnsi="Arial" w:cs="Arial"/>
                <w:color w:val="000000" w:themeColor="text1"/>
                <w:sz w:val="22"/>
                <w:szCs w:val="22"/>
              </w:rPr>
              <w:t xml:space="preserve">We expect the selected supplier to have formal progress update meetings with the internal technical experts and the external stakeholder which are generally planned at </w:t>
            </w:r>
            <w:r w:rsidR="00A50B94" w:rsidRPr="00A50B94">
              <w:rPr>
                <w:rFonts w:ascii="Arial" w:hAnsi="Arial" w:cs="Arial"/>
                <w:b/>
                <w:bCs/>
                <w:color w:val="000000" w:themeColor="text1"/>
                <w:sz w:val="22"/>
                <w:szCs w:val="22"/>
                <w:u w:val="single"/>
              </w:rPr>
              <w:t>two-monthly</w:t>
            </w:r>
            <w:r w:rsidR="00A50B94" w:rsidRPr="00A50B94">
              <w:rPr>
                <w:rFonts w:ascii="Arial" w:hAnsi="Arial" w:cs="Arial"/>
                <w:color w:val="000000" w:themeColor="text1"/>
                <w:sz w:val="22"/>
                <w:szCs w:val="22"/>
              </w:rPr>
              <w:t xml:space="preserve"> (or 60 days) intervals. These meetings are integrated within the agreed project schedule (confirmed at the kick-off meeting) so that all concerned could block these timeslots in their diaries.</w:t>
            </w:r>
          </w:p>
          <w:p w:rsidR="00EE2473" w:rsidRPr="00A50B94" w:rsidRDefault="00EE2473" w:rsidP="00EE2473">
            <w:pPr>
              <w:pStyle w:val="ListParagraph"/>
              <w:numPr>
                <w:ilvl w:val="0"/>
                <w:numId w:val="2"/>
              </w:numPr>
              <w:spacing w:after="240"/>
              <w:contextualSpacing w:val="0"/>
              <w:rPr>
                <w:rFonts w:ascii="Arial" w:hAnsi="Arial" w:cs="Arial"/>
                <w:sz w:val="22"/>
                <w:szCs w:val="22"/>
                <w:lang w:eastAsia="en-US"/>
              </w:rPr>
            </w:pPr>
            <w:r w:rsidRPr="00A50B94">
              <w:rPr>
                <w:rFonts w:ascii="Arial" w:hAnsi="Arial" w:cs="Arial"/>
                <w:color w:val="000000" w:themeColor="text1"/>
                <w:sz w:val="22"/>
                <w:szCs w:val="22"/>
                <w:lang w:eastAsia="en-US"/>
              </w:rPr>
              <w:t>Format of Questions</w:t>
            </w:r>
            <w:r w:rsidRPr="00A50B94">
              <w:rPr>
                <w:rFonts w:ascii="Arial" w:hAnsi="Arial" w:cs="Arial"/>
                <w:color w:val="000000" w:themeColor="text1"/>
                <w:sz w:val="22"/>
                <w:szCs w:val="22"/>
                <w:lang w:eastAsia="en-US"/>
              </w:rPr>
              <w:br/>
            </w:r>
            <w:r w:rsidRPr="00A50B94">
              <w:rPr>
                <w:rFonts w:ascii="Arial" w:hAnsi="Arial" w:cs="Arial"/>
                <w:color w:val="000000" w:themeColor="text1"/>
                <w:sz w:val="22"/>
                <w:szCs w:val="22"/>
                <w:lang w:eastAsia="en-US"/>
              </w:rPr>
              <w:br/>
              <w:t>The preference for bids to be submitted in is PDF however tenderers are at their own discretion as to the format of their bid</w:t>
            </w:r>
            <w:r w:rsidRPr="00A50B94">
              <w:rPr>
                <w:rFonts w:ascii="Arial" w:hAnsi="Arial" w:cs="Arial"/>
                <w:sz w:val="22"/>
                <w:szCs w:val="22"/>
                <w:lang w:eastAsia="en-US"/>
              </w:rPr>
              <w:t>.</w:t>
            </w:r>
          </w:p>
          <w:p w:rsidR="00EE2473" w:rsidRPr="00A50B94" w:rsidRDefault="00EE2473" w:rsidP="00EE2473">
            <w:pPr>
              <w:pStyle w:val="ListParagraph"/>
              <w:numPr>
                <w:ilvl w:val="0"/>
                <w:numId w:val="2"/>
              </w:numPr>
              <w:spacing w:after="240"/>
              <w:contextualSpacing w:val="0"/>
              <w:rPr>
                <w:rFonts w:ascii="Arial" w:hAnsi="Arial" w:cs="Arial"/>
                <w:sz w:val="22"/>
                <w:szCs w:val="22"/>
                <w:lang w:eastAsia="en-US"/>
              </w:rPr>
            </w:pPr>
            <w:r w:rsidRPr="00A50B94">
              <w:rPr>
                <w:rFonts w:ascii="Arial" w:hAnsi="Arial" w:cs="Arial"/>
                <w:sz w:val="22"/>
                <w:szCs w:val="22"/>
                <w:lang w:eastAsia="en-US"/>
              </w:rPr>
              <w:t>Exclusions</w:t>
            </w:r>
          </w:p>
          <w:p w:rsidR="00EE2473" w:rsidRPr="00A50B94" w:rsidRDefault="00EE2473" w:rsidP="00EE2473">
            <w:pPr>
              <w:pStyle w:val="ListParagraph"/>
              <w:rPr>
                <w:rFonts w:ascii="Arial" w:hAnsi="Arial" w:cs="Arial"/>
                <w:sz w:val="22"/>
                <w:szCs w:val="22"/>
                <w:lang w:eastAsia="en-US"/>
              </w:rPr>
            </w:pPr>
            <w:r w:rsidRPr="00A50B94">
              <w:rPr>
                <w:rFonts w:ascii="Arial" w:hAnsi="Arial" w:cs="Arial"/>
                <w:sz w:val="22"/>
                <w:szCs w:val="22"/>
                <w:lang w:eastAsia="en-US"/>
              </w:rPr>
              <w:t>There are no discretionary exclusions, other than the qualitative Pass/Fail and other weighted questions that form part of the I.T.T, however these are not discretionary, per se, in the true meaning of the word.</w:t>
            </w:r>
            <w:r w:rsidRPr="00A50B94">
              <w:rPr>
                <w:rFonts w:ascii="Arial" w:hAnsi="Arial" w:cs="Arial"/>
                <w:sz w:val="22"/>
                <w:szCs w:val="22"/>
                <w:lang w:eastAsia="en-US"/>
              </w:rPr>
              <w:br/>
            </w:r>
            <w:r w:rsidRPr="00A50B94">
              <w:rPr>
                <w:rFonts w:ascii="Arial" w:hAnsi="Arial" w:cs="Arial"/>
                <w:sz w:val="22"/>
                <w:szCs w:val="22"/>
                <w:lang w:eastAsia="en-US"/>
              </w:rPr>
              <w:br/>
              <w:t>The mandatory exclusions are outlined in the Public Contracts Regulations 2015.</w:t>
            </w:r>
          </w:p>
          <w:p w:rsidR="00EE2473" w:rsidRPr="00EE2473" w:rsidRDefault="00EE2473" w:rsidP="0096711D">
            <w:pPr>
              <w:rPr>
                <w:rFonts w:asciiTheme="minorHAnsi" w:hAnsiTheme="minorHAnsi"/>
                <w:b/>
                <w:color w:val="000000" w:themeColor="text1"/>
              </w:rPr>
            </w:pPr>
          </w:p>
          <w:p w:rsidR="0096711D" w:rsidRPr="00EE2473" w:rsidRDefault="0096711D" w:rsidP="0096711D">
            <w:pPr>
              <w:rPr>
                <w:rFonts w:asciiTheme="minorHAnsi" w:hAnsiTheme="minorHAnsi"/>
                <w:b/>
                <w:color w:val="000000" w:themeColor="text1"/>
              </w:rPr>
            </w:pPr>
          </w:p>
        </w:tc>
      </w:tr>
      <w:tr w:rsidR="00647632" w:rsidTr="00946481">
        <w:tc>
          <w:tcPr>
            <w:tcW w:w="9016" w:type="dxa"/>
          </w:tcPr>
          <w:p w:rsidR="00647632" w:rsidRPr="00EE2473" w:rsidRDefault="00647632" w:rsidP="00647632">
            <w:pPr>
              <w:rPr>
                <w:rFonts w:asciiTheme="minorHAnsi" w:hAnsiTheme="minorHAnsi"/>
                <w:b/>
                <w:color w:val="000000" w:themeColor="text1"/>
              </w:rPr>
            </w:pPr>
            <w:r>
              <w:rPr>
                <w:rFonts w:asciiTheme="minorHAnsi" w:hAnsiTheme="minorHAnsi"/>
                <w:b/>
                <w:color w:val="000000" w:themeColor="text1"/>
              </w:rPr>
              <w:t>Supplier Question 6</w:t>
            </w:r>
          </w:p>
          <w:p w:rsidR="00647632" w:rsidRDefault="00647632" w:rsidP="0096711D">
            <w:pPr>
              <w:rPr>
                <w:rFonts w:asciiTheme="minorHAnsi" w:hAnsiTheme="minorHAnsi"/>
                <w:b/>
                <w:color w:val="000000" w:themeColor="text1"/>
              </w:rPr>
            </w:pPr>
          </w:p>
          <w:p w:rsidR="00647632" w:rsidRDefault="00647632" w:rsidP="00647632">
            <w:pPr>
              <w:numPr>
                <w:ilvl w:val="0"/>
                <w:numId w:val="3"/>
              </w:numPr>
              <w:rPr>
                <w:rFonts w:eastAsia="Times New Roman"/>
              </w:rPr>
            </w:pPr>
            <w:r>
              <w:rPr>
                <w:rFonts w:eastAsia="Times New Roman"/>
              </w:rPr>
              <w:t>We are not aware that a Supplier Engagement activity has taken place regarding this ITT.  If it has then please can RSSB provide meeting notes?  If such an event is scheduled please can you provide Ricardo Rail with details?</w:t>
            </w:r>
          </w:p>
          <w:p w:rsidR="00647632" w:rsidRDefault="00647632" w:rsidP="00647632">
            <w:pPr>
              <w:numPr>
                <w:ilvl w:val="0"/>
                <w:numId w:val="3"/>
              </w:numPr>
              <w:rPr>
                <w:rFonts w:eastAsia="Times New Roman"/>
              </w:rPr>
            </w:pPr>
            <w:r>
              <w:rPr>
                <w:rFonts w:eastAsia="Times New Roman"/>
              </w:rPr>
              <w:t>Can RSSB include Ricardo Rail within the circulation is any questions raised by others relating to this ITT.</w:t>
            </w:r>
          </w:p>
          <w:p w:rsidR="00647632" w:rsidRDefault="00647632" w:rsidP="00647632">
            <w:pPr>
              <w:numPr>
                <w:ilvl w:val="0"/>
                <w:numId w:val="3"/>
              </w:numPr>
              <w:rPr>
                <w:rFonts w:eastAsia="Times New Roman"/>
              </w:rPr>
            </w:pPr>
            <w:r>
              <w:rPr>
                <w:rFonts w:eastAsia="Times New Roman"/>
              </w:rPr>
              <w:t>What is the status of T1101 and does RSSB expect that to feed into/inform this study?</w:t>
            </w:r>
          </w:p>
          <w:p w:rsidR="00647632" w:rsidRDefault="00647632" w:rsidP="00647632">
            <w:pPr>
              <w:numPr>
                <w:ilvl w:val="0"/>
                <w:numId w:val="3"/>
              </w:numPr>
              <w:rPr>
                <w:rFonts w:eastAsia="Times New Roman"/>
              </w:rPr>
            </w:pPr>
            <w:r>
              <w:rPr>
                <w:rFonts w:eastAsia="Times New Roman"/>
              </w:rPr>
              <w:t>Would Ricardo (not just the Rail business) pass RSSB’s selection criteria?</w:t>
            </w:r>
          </w:p>
          <w:p w:rsidR="00647632" w:rsidRDefault="00647632" w:rsidP="00647632">
            <w:pPr>
              <w:numPr>
                <w:ilvl w:val="0"/>
                <w:numId w:val="3"/>
              </w:numPr>
              <w:rPr>
                <w:rFonts w:eastAsia="Times New Roman"/>
              </w:rPr>
            </w:pPr>
            <w:r>
              <w:rPr>
                <w:rFonts w:eastAsia="Times New Roman"/>
              </w:rPr>
              <w:t xml:space="preserve">We could interpret the requirements in a number of different ways, could you provide more guidance on what is expected – particularly for anyone not familiar with NR’s CRSM4S approach?  </w:t>
            </w:r>
          </w:p>
          <w:p w:rsidR="00647632" w:rsidRPr="00EE2473" w:rsidRDefault="00647632" w:rsidP="0096711D">
            <w:pPr>
              <w:rPr>
                <w:rFonts w:asciiTheme="minorHAnsi" w:hAnsiTheme="minorHAnsi"/>
                <w:b/>
                <w:color w:val="000000" w:themeColor="text1"/>
              </w:rPr>
            </w:pPr>
          </w:p>
        </w:tc>
      </w:tr>
      <w:tr w:rsidR="00647632" w:rsidTr="00946481">
        <w:tc>
          <w:tcPr>
            <w:tcW w:w="9016" w:type="dxa"/>
          </w:tcPr>
          <w:p w:rsidR="00647632" w:rsidRPr="00EE2473" w:rsidRDefault="00647632" w:rsidP="00647632">
            <w:pPr>
              <w:rPr>
                <w:rFonts w:asciiTheme="minorHAnsi" w:hAnsiTheme="minorHAnsi"/>
                <w:b/>
                <w:color w:val="000000" w:themeColor="text1"/>
              </w:rPr>
            </w:pPr>
            <w:r>
              <w:rPr>
                <w:rFonts w:asciiTheme="minorHAnsi" w:hAnsiTheme="minorHAnsi"/>
                <w:b/>
                <w:color w:val="000000" w:themeColor="text1"/>
              </w:rPr>
              <w:t>RSSB Answer 6</w:t>
            </w:r>
          </w:p>
          <w:p w:rsidR="00647632" w:rsidRDefault="00647632" w:rsidP="00647632">
            <w:pPr>
              <w:rPr>
                <w:rFonts w:asciiTheme="minorHAnsi" w:hAnsiTheme="minorHAnsi"/>
                <w:b/>
                <w:color w:val="000000" w:themeColor="text1"/>
              </w:rPr>
            </w:pPr>
          </w:p>
          <w:p w:rsidR="00647632" w:rsidRPr="00647632" w:rsidRDefault="00647632" w:rsidP="00647632">
            <w:pPr>
              <w:spacing w:after="240"/>
              <w:rPr>
                <w:color w:val="000000" w:themeColor="text1"/>
              </w:rPr>
            </w:pPr>
            <w:r>
              <w:t xml:space="preserve">Answer 1: </w:t>
            </w:r>
            <w:r w:rsidRPr="00647632">
              <w:rPr>
                <w:color w:val="000000" w:themeColor="text1"/>
              </w:rPr>
              <w:t>There has been no supplier engagement for this activity. There is no scheduled supplier engagement for this activity other than the current Contract Notice/Opportunity.</w:t>
            </w:r>
          </w:p>
          <w:p w:rsidR="00647632" w:rsidRPr="00647632" w:rsidRDefault="00647632" w:rsidP="00647632">
            <w:pPr>
              <w:spacing w:after="240"/>
              <w:rPr>
                <w:color w:val="000000" w:themeColor="text1"/>
              </w:rPr>
            </w:pPr>
            <w:r w:rsidRPr="00647632">
              <w:rPr>
                <w:color w:val="000000" w:themeColor="text1"/>
              </w:rPr>
              <w:t>Answer 2: RSSB has a legal obligation to ensure a fair, transparent and open procurement process</w:t>
            </w:r>
            <w:r>
              <w:rPr>
                <w:color w:val="000000" w:themeColor="text1"/>
              </w:rPr>
              <w:t xml:space="preserve"> is run</w:t>
            </w:r>
            <w:r w:rsidRPr="00647632">
              <w:rPr>
                <w:color w:val="000000" w:themeColor="text1"/>
              </w:rPr>
              <w:t xml:space="preserve">. All tender questions received and associated responses are updated via the Contract Notice through a “Tender Question &amp; Answer Document”. Said document is openly accessible to all </w:t>
            </w:r>
            <w:r w:rsidRPr="00647632">
              <w:rPr>
                <w:color w:val="000000" w:themeColor="text1"/>
              </w:rPr>
              <w:lastRenderedPageBreak/>
              <w:t>economic operators inclusive of prospective tenderers. It is the tenderers responsibility to check the Contract Notice for all updated information and other associated documentation.</w:t>
            </w:r>
          </w:p>
          <w:p w:rsidR="00647632" w:rsidRPr="00647632" w:rsidRDefault="00647632" w:rsidP="00647632">
            <w:pPr>
              <w:spacing w:after="240"/>
              <w:rPr>
                <w:color w:val="000000" w:themeColor="text1"/>
              </w:rPr>
            </w:pPr>
            <w:r w:rsidRPr="00647632">
              <w:rPr>
                <w:color w:val="000000" w:themeColor="text1"/>
              </w:rPr>
              <w:t>Answer 3 (AJ): T1101 is nearing completion and is expected to be published by mid-2017. As with all RSSB’s research, inter-relation exists between projects and if there is any direct feed into T1121 (RSSB 2242) then the selected supplier will be informed asap.</w:t>
            </w:r>
          </w:p>
          <w:p w:rsidR="00647632" w:rsidRPr="00647632" w:rsidRDefault="00647632" w:rsidP="00647632">
            <w:pPr>
              <w:rPr>
                <w:color w:val="000000" w:themeColor="text1"/>
              </w:rPr>
            </w:pPr>
            <w:r w:rsidRPr="00647632">
              <w:rPr>
                <w:color w:val="000000" w:themeColor="text1"/>
              </w:rPr>
              <w:t>Answer 4: RSSB is unable to advise on this.</w:t>
            </w:r>
          </w:p>
          <w:p w:rsidR="00647632" w:rsidRPr="00647632" w:rsidRDefault="00647632" w:rsidP="00647632">
            <w:pPr>
              <w:rPr>
                <w:color w:val="000000" w:themeColor="text1"/>
              </w:rPr>
            </w:pPr>
          </w:p>
          <w:p w:rsidR="00647632" w:rsidRDefault="00647632" w:rsidP="00647632">
            <w:r>
              <w:t>Answer 5: We are investigating this and aiming to provide an answer ASAP</w:t>
            </w:r>
          </w:p>
          <w:p w:rsidR="00647632" w:rsidRDefault="00647632" w:rsidP="00647632">
            <w:pPr>
              <w:rPr>
                <w:rFonts w:asciiTheme="minorHAnsi" w:hAnsiTheme="minorHAnsi"/>
                <w:b/>
                <w:color w:val="000000" w:themeColor="text1"/>
              </w:rPr>
            </w:pPr>
          </w:p>
        </w:tc>
      </w:tr>
      <w:tr w:rsidR="008C3B93" w:rsidTr="00946481">
        <w:tc>
          <w:tcPr>
            <w:tcW w:w="9016" w:type="dxa"/>
          </w:tcPr>
          <w:p w:rsidR="008C3B93" w:rsidRPr="00EE2473" w:rsidRDefault="008C3B93" w:rsidP="008C3B93">
            <w:pPr>
              <w:rPr>
                <w:rFonts w:asciiTheme="minorHAnsi" w:hAnsiTheme="minorHAnsi"/>
                <w:b/>
                <w:color w:val="000000" w:themeColor="text1"/>
              </w:rPr>
            </w:pPr>
            <w:r>
              <w:rPr>
                <w:rFonts w:asciiTheme="minorHAnsi" w:hAnsiTheme="minorHAnsi"/>
                <w:b/>
                <w:color w:val="000000" w:themeColor="text1"/>
              </w:rPr>
              <w:lastRenderedPageBreak/>
              <w:t>Supplier Question 7</w:t>
            </w:r>
          </w:p>
          <w:p w:rsidR="008C3B93" w:rsidRDefault="008C3B93" w:rsidP="00647632">
            <w:pPr>
              <w:rPr>
                <w:rFonts w:asciiTheme="minorHAnsi" w:hAnsiTheme="minorHAnsi"/>
                <w:b/>
                <w:color w:val="000000" w:themeColor="text1"/>
              </w:rPr>
            </w:pPr>
          </w:p>
          <w:p w:rsidR="008C3B93" w:rsidRDefault="008C3B93" w:rsidP="008C3B93">
            <w:pPr>
              <w:rPr>
                <w:rFonts w:ascii="Arial" w:hAnsi="Arial" w:cs="Arial"/>
                <w:sz w:val="20"/>
                <w:szCs w:val="20"/>
              </w:rPr>
            </w:pPr>
            <w:r>
              <w:rPr>
                <w:rFonts w:ascii="Arial" w:hAnsi="Arial" w:cs="Arial"/>
                <w:sz w:val="20"/>
                <w:szCs w:val="20"/>
              </w:rPr>
              <w:t>I am currently preparing a response to RSSB Invitation To Tender For The Provision Of: RSSB 2422 - T1121 - Development of a Common Event Risk Scoring Methodology.</w:t>
            </w:r>
          </w:p>
          <w:p w:rsidR="008C3B93" w:rsidRDefault="008C3B93" w:rsidP="008C3B93">
            <w:pPr>
              <w:rPr>
                <w:rFonts w:ascii="Arial" w:hAnsi="Arial" w:cs="Arial"/>
                <w:sz w:val="20"/>
                <w:szCs w:val="20"/>
              </w:rPr>
            </w:pPr>
          </w:p>
          <w:p w:rsidR="008C3B93" w:rsidRDefault="008C3B93" w:rsidP="008C3B93">
            <w:pPr>
              <w:pStyle w:val="ListParagraph"/>
              <w:ind w:left="0"/>
              <w:rPr>
                <w:rFonts w:ascii="Arial" w:hAnsi="Arial" w:cs="Arial"/>
                <w:sz w:val="20"/>
                <w:szCs w:val="20"/>
              </w:rPr>
            </w:pPr>
            <w:r>
              <w:rPr>
                <w:rFonts w:ascii="Arial" w:hAnsi="Arial" w:cs="Arial"/>
                <w:sz w:val="20"/>
                <w:szCs w:val="20"/>
              </w:rPr>
              <w:t>As part of this we are now reviewing the Terms and Conditions provided to us. As regards clause 16.1, there is no stated limit of liabilities and, as you can probably understand, we cannot accept unlimited liability, particularly given the size and type of work undertaken here.</w:t>
            </w:r>
          </w:p>
          <w:p w:rsidR="008C3B93" w:rsidRDefault="008C3B93" w:rsidP="008C3B93">
            <w:pPr>
              <w:pStyle w:val="ListParagraph"/>
              <w:ind w:left="0"/>
              <w:rPr>
                <w:rFonts w:ascii="Arial" w:hAnsi="Arial" w:cs="Arial"/>
                <w:sz w:val="20"/>
                <w:szCs w:val="20"/>
              </w:rPr>
            </w:pPr>
          </w:p>
          <w:p w:rsidR="008C3B93" w:rsidRDefault="008C3B93" w:rsidP="008C3B93">
            <w:pPr>
              <w:pStyle w:val="ListParagraph"/>
              <w:ind w:left="0"/>
              <w:rPr>
                <w:rFonts w:ascii="Arial" w:hAnsi="Arial" w:cs="Arial"/>
                <w:sz w:val="20"/>
                <w:szCs w:val="20"/>
              </w:rPr>
            </w:pPr>
            <w:r>
              <w:rPr>
                <w:rFonts w:ascii="Arial" w:hAnsi="Arial" w:cs="Arial"/>
                <w:sz w:val="20"/>
                <w:szCs w:val="20"/>
              </w:rPr>
              <w:t>We would suggest that liability is capped to the lessor of ten times the contract value or £1,000,000 (and which then aligns with the insurance requirements of clause 16.2). Please can you let us know of this would be acceptable.</w:t>
            </w:r>
          </w:p>
          <w:p w:rsidR="008C3B93" w:rsidRDefault="008C3B93" w:rsidP="00647632">
            <w:pPr>
              <w:rPr>
                <w:rFonts w:asciiTheme="minorHAnsi" w:hAnsiTheme="minorHAnsi"/>
                <w:b/>
                <w:color w:val="000000" w:themeColor="text1"/>
              </w:rPr>
            </w:pPr>
          </w:p>
        </w:tc>
      </w:tr>
      <w:tr w:rsidR="008C3B93" w:rsidTr="00946481">
        <w:tc>
          <w:tcPr>
            <w:tcW w:w="9016" w:type="dxa"/>
          </w:tcPr>
          <w:p w:rsidR="008C3B93" w:rsidRDefault="008C3B93" w:rsidP="008C3B93">
            <w:pPr>
              <w:rPr>
                <w:rFonts w:asciiTheme="minorHAnsi" w:hAnsiTheme="minorHAnsi"/>
                <w:b/>
                <w:color w:val="000000" w:themeColor="text1"/>
              </w:rPr>
            </w:pPr>
            <w:r>
              <w:rPr>
                <w:rFonts w:asciiTheme="minorHAnsi" w:hAnsiTheme="minorHAnsi"/>
                <w:b/>
                <w:color w:val="000000" w:themeColor="text1"/>
              </w:rPr>
              <w:t>RSSB Answer 7</w:t>
            </w:r>
          </w:p>
          <w:p w:rsidR="008C3B93" w:rsidRDefault="008C3B93" w:rsidP="008C3B93">
            <w:pPr>
              <w:rPr>
                <w:rFonts w:asciiTheme="minorHAnsi" w:hAnsiTheme="minorHAnsi"/>
                <w:b/>
                <w:color w:val="000000" w:themeColor="text1"/>
              </w:rPr>
            </w:pPr>
          </w:p>
          <w:p w:rsidR="008C3B93" w:rsidRPr="008C3B93" w:rsidRDefault="008C3B93" w:rsidP="008C3B93">
            <w:pPr>
              <w:rPr>
                <w:rFonts w:asciiTheme="minorHAnsi" w:hAnsiTheme="minorHAnsi"/>
                <w:color w:val="000000" w:themeColor="text1"/>
              </w:rPr>
            </w:pPr>
            <w:r>
              <w:rPr>
                <w:rFonts w:asciiTheme="minorHAnsi" w:hAnsiTheme="minorHAnsi"/>
                <w:color w:val="000000" w:themeColor="text1"/>
              </w:rPr>
              <w:t xml:space="preserve">RSSB will agree to all reasonable requests </w:t>
            </w:r>
            <w:r w:rsidR="008237F9">
              <w:rPr>
                <w:rFonts w:asciiTheme="minorHAnsi" w:hAnsiTheme="minorHAnsi"/>
                <w:color w:val="000000" w:themeColor="text1"/>
              </w:rPr>
              <w:t>&amp; amendments to published Terms &amp; Conditions.</w:t>
            </w:r>
            <w:r w:rsidR="00206B5C">
              <w:rPr>
                <w:rFonts w:asciiTheme="minorHAnsi" w:hAnsiTheme="minorHAnsi"/>
                <w:color w:val="000000" w:themeColor="text1"/>
              </w:rPr>
              <w:br/>
            </w:r>
            <w:r w:rsidR="00206B5C">
              <w:rPr>
                <w:rFonts w:asciiTheme="minorHAnsi" w:hAnsiTheme="minorHAnsi"/>
                <w:color w:val="000000" w:themeColor="text1"/>
              </w:rPr>
              <w:br/>
              <w:t xml:space="preserve">With regards to the above request RSSB would indeed deem this as reasonable. </w:t>
            </w:r>
          </w:p>
          <w:p w:rsidR="008C3B93" w:rsidRDefault="008C3B93" w:rsidP="00647632">
            <w:pPr>
              <w:rPr>
                <w:rFonts w:asciiTheme="minorHAnsi" w:hAnsiTheme="minorHAnsi"/>
                <w:b/>
                <w:color w:val="000000" w:themeColor="text1"/>
              </w:rPr>
            </w:pPr>
          </w:p>
        </w:tc>
      </w:tr>
      <w:tr w:rsidR="00DA5221" w:rsidTr="00946481">
        <w:tc>
          <w:tcPr>
            <w:tcW w:w="9016" w:type="dxa"/>
          </w:tcPr>
          <w:p w:rsidR="00DA5221" w:rsidRDefault="00DA5221" w:rsidP="008C3B93">
            <w:pPr>
              <w:rPr>
                <w:rFonts w:asciiTheme="minorHAnsi" w:hAnsiTheme="minorHAnsi"/>
                <w:b/>
                <w:color w:val="000000" w:themeColor="text1"/>
              </w:rPr>
            </w:pPr>
            <w:r>
              <w:rPr>
                <w:rFonts w:asciiTheme="minorHAnsi" w:hAnsiTheme="minorHAnsi"/>
                <w:b/>
                <w:color w:val="000000" w:themeColor="text1"/>
              </w:rPr>
              <w:t>Supplier Question 8</w:t>
            </w:r>
          </w:p>
          <w:p w:rsidR="00DA5221" w:rsidRDefault="00DA5221" w:rsidP="008C3B93">
            <w:pPr>
              <w:rPr>
                <w:rFonts w:asciiTheme="minorHAnsi" w:hAnsiTheme="minorHAnsi"/>
                <w:b/>
                <w:color w:val="000000" w:themeColor="text1"/>
              </w:rPr>
            </w:pPr>
          </w:p>
          <w:p w:rsidR="00DA5221" w:rsidRDefault="00DA5221" w:rsidP="00DA5221">
            <w:r>
              <w:t xml:space="preserve">We would like to ask for clarification on the following points regarding your 'Common Event Risk Scoring Methodology' ITT: </w:t>
            </w:r>
          </w:p>
          <w:p w:rsidR="00DA5221" w:rsidRDefault="00DA5221" w:rsidP="00DA5221">
            <w:pPr>
              <w:numPr>
                <w:ilvl w:val="0"/>
                <w:numId w:val="4"/>
              </w:numPr>
              <w:spacing w:before="100" w:beforeAutospacing="1" w:after="100" w:afterAutospacing="1"/>
              <w:rPr>
                <w:rFonts w:eastAsia="Times New Roman"/>
              </w:rPr>
            </w:pPr>
            <w:r>
              <w:rPr>
                <w:rFonts w:eastAsia="Times New Roman"/>
              </w:rPr>
              <w:t>The scope of the work suggested in the tender document does not seem to be aligned with our interpretation of the budget required to undertake this work to a sufficiently high standard. Is there any flexibility in the budget?</w:t>
            </w:r>
          </w:p>
          <w:p w:rsidR="00DA5221" w:rsidRDefault="00DA5221" w:rsidP="00DA5221">
            <w:pPr>
              <w:numPr>
                <w:ilvl w:val="0"/>
                <w:numId w:val="5"/>
              </w:numPr>
              <w:spacing w:before="100" w:beforeAutospacing="1" w:after="100" w:afterAutospacing="1"/>
              <w:rPr>
                <w:rFonts w:eastAsia="Times New Roman"/>
              </w:rPr>
            </w:pPr>
            <w:r>
              <w:rPr>
                <w:rFonts w:eastAsia="Times New Roman"/>
              </w:rPr>
              <w:t>The Scope in the tender document (Section 5) mentions that the methodology developed needs to be integrated with existing tools, such as the CRSM4S.</w:t>
            </w:r>
          </w:p>
          <w:p w:rsidR="00DA5221" w:rsidRDefault="00DA5221" w:rsidP="00DA5221">
            <w:r>
              <w:t xml:space="preserve">        </w:t>
            </w:r>
            <w:r>
              <w:br/>
              <w:t xml:space="preserve">        - What are the formats of these tools? </w:t>
            </w:r>
            <w:r>
              <w:br/>
            </w:r>
            <w:r>
              <w:br/>
              <w:t xml:space="preserve">        - Would the development of the scoring methodology need to include the development of appropriate automation/IT solutions to accommodate: </w:t>
            </w:r>
            <w:r>
              <w:br/>
              <w:t xml:space="preserve">                </w:t>
            </w:r>
            <w:proofErr w:type="spellStart"/>
            <w:r>
              <w:t>i</w:t>
            </w:r>
            <w:proofErr w:type="spellEnd"/>
            <w:r>
              <w:t xml:space="preserve">)  integration with the existing tools?                 </w:t>
            </w:r>
            <w:r>
              <w:br/>
              <w:t xml:space="preserve">                ii) easy-to-use analysis of the data supplied by Network Rail, TOCs and RSSB? </w:t>
            </w:r>
          </w:p>
          <w:p w:rsidR="00DA5221" w:rsidRDefault="00DA5221" w:rsidP="00DA5221">
            <w:pPr>
              <w:numPr>
                <w:ilvl w:val="0"/>
                <w:numId w:val="6"/>
              </w:numPr>
              <w:spacing w:before="100" w:beforeAutospacing="1" w:after="100" w:afterAutospacing="1"/>
              <w:rPr>
                <w:rFonts w:eastAsia="Times New Roman"/>
              </w:rPr>
            </w:pPr>
            <w:r>
              <w:rPr>
                <w:rFonts w:eastAsia="Times New Roman"/>
              </w:rPr>
              <w:t>The Methodology outlined in the tender document (Section 6) suggests: “A survey of other industries (e.g. aviation, oil and gas, nuclear) and overseas railways…”</w:t>
            </w:r>
          </w:p>
          <w:p w:rsidR="00DA5221" w:rsidRDefault="00DA5221" w:rsidP="00DA5221">
            <w:r>
              <w:lastRenderedPageBreak/>
              <w:br/>
              <w:t xml:space="preserve">         - Is the intention of this suggested approach to draft and send out questionnaires to representatives from the relevant industries both within the UK and abroad? </w:t>
            </w:r>
            <w:r>
              <w:br/>
            </w:r>
            <w:r>
              <w:br/>
              <w:t xml:space="preserve">                - If a questionnaire were to be drafted, would RSSB have a list of preferred stakeholders and contacts for this to be circulated? </w:t>
            </w:r>
            <w:r>
              <w:br/>
            </w:r>
            <w:r>
              <w:br/>
              <w:t xml:space="preserve">                - Or, would identification of relevant contacts be part of the scope of work for the supplier? </w:t>
            </w:r>
            <w:r>
              <w:br/>
            </w:r>
            <w:r>
              <w:br/>
              <w:t xml:space="preserve">        - Alternatively, is the preferred approach a literature review and holding discussions with relevant stakeholders, where appropriate? </w:t>
            </w:r>
          </w:p>
          <w:p w:rsidR="00DA5221" w:rsidRDefault="00DA5221" w:rsidP="00DA5221">
            <w:pPr>
              <w:numPr>
                <w:ilvl w:val="0"/>
                <w:numId w:val="7"/>
              </w:numPr>
              <w:spacing w:before="100" w:beforeAutospacing="1" w:after="100" w:afterAutospacing="1"/>
              <w:rPr>
                <w:rFonts w:eastAsia="Times New Roman"/>
              </w:rPr>
            </w:pPr>
            <w:r>
              <w:rPr>
                <w:rFonts w:eastAsia="Times New Roman"/>
              </w:rPr>
              <w:t>Would all of the project update meetings be expected to be held at RSSB offices, or would there be scope for some of the meetings to be held at the supplier offices, or via video conference or teleconference?</w:t>
            </w:r>
          </w:p>
          <w:p w:rsidR="00DA5221" w:rsidRDefault="00DA5221" w:rsidP="00DA5221">
            <w:pPr>
              <w:numPr>
                <w:ilvl w:val="0"/>
                <w:numId w:val="8"/>
              </w:numPr>
              <w:spacing w:before="100" w:beforeAutospacing="1" w:after="100" w:afterAutospacing="1"/>
              <w:rPr>
                <w:rFonts w:eastAsia="Times New Roman"/>
              </w:rPr>
            </w:pPr>
            <w:r>
              <w:rPr>
                <w:rFonts w:eastAsia="Times New Roman"/>
              </w:rPr>
              <w:t>Are there RSSB approved document formats / specifications for the guidance to be written and for the worked examples of the methodology?</w:t>
            </w:r>
          </w:p>
          <w:p w:rsidR="00DA5221" w:rsidRDefault="00DA5221" w:rsidP="008C3B93">
            <w:pPr>
              <w:rPr>
                <w:rFonts w:asciiTheme="minorHAnsi" w:hAnsiTheme="minorHAnsi"/>
                <w:b/>
                <w:color w:val="000000" w:themeColor="text1"/>
              </w:rPr>
            </w:pPr>
          </w:p>
          <w:p w:rsidR="00DA5221" w:rsidRDefault="00DA5221" w:rsidP="008C3B93">
            <w:pPr>
              <w:rPr>
                <w:rFonts w:asciiTheme="minorHAnsi" w:hAnsiTheme="minorHAnsi"/>
                <w:b/>
                <w:color w:val="000000" w:themeColor="text1"/>
              </w:rPr>
            </w:pPr>
          </w:p>
          <w:p w:rsidR="00DA5221" w:rsidRDefault="00DA5221" w:rsidP="008C3B93">
            <w:pPr>
              <w:rPr>
                <w:rFonts w:asciiTheme="minorHAnsi" w:hAnsiTheme="minorHAnsi"/>
                <w:b/>
                <w:color w:val="000000" w:themeColor="text1"/>
              </w:rPr>
            </w:pPr>
          </w:p>
        </w:tc>
      </w:tr>
      <w:tr w:rsidR="00DA5221" w:rsidTr="00946481">
        <w:tc>
          <w:tcPr>
            <w:tcW w:w="9016" w:type="dxa"/>
          </w:tcPr>
          <w:p w:rsidR="00DA5221" w:rsidRDefault="00DA5221" w:rsidP="008C3B93">
            <w:pPr>
              <w:rPr>
                <w:rFonts w:asciiTheme="minorHAnsi" w:hAnsiTheme="minorHAnsi"/>
                <w:b/>
                <w:color w:val="000000" w:themeColor="text1"/>
              </w:rPr>
            </w:pPr>
            <w:r>
              <w:rPr>
                <w:rFonts w:asciiTheme="minorHAnsi" w:hAnsiTheme="minorHAnsi"/>
                <w:b/>
                <w:color w:val="000000" w:themeColor="text1"/>
              </w:rPr>
              <w:lastRenderedPageBreak/>
              <w:t>RSSB Answer 8</w:t>
            </w:r>
          </w:p>
          <w:p w:rsidR="00DA5221" w:rsidRDefault="00DA5221" w:rsidP="008C3B93">
            <w:pPr>
              <w:rPr>
                <w:rFonts w:asciiTheme="minorHAnsi" w:hAnsiTheme="minorHAnsi"/>
                <w:b/>
                <w:color w:val="000000" w:themeColor="text1"/>
              </w:rPr>
            </w:pPr>
          </w:p>
          <w:tbl>
            <w:tblPr>
              <w:tblW w:w="0" w:type="auto"/>
              <w:tblCellMar>
                <w:left w:w="0" w:type="dxa"/>
                <w:right w:w="0" w:type="dxa"/>
              </w:tblCellMar>
              <w:tblLook w:val="04A0" w:firstRow="1" w:lastRow="0" w:firstColumn="1" w:lastColumn="0" w:noHBand="0" w:noVBand="1"/>
            </w:tblPr>
            <w:tblGrid>
              <w:gridCol w:w="1132"/>
              <w:gridCol w:w="4552"/>
              <w:gridCol w:w="3096"/>
            </w:tblGrid>
            <w:tr w:rsidR="002660F1" w:rsidTr="002660F1">
              <w:tc>
                <w:tcPr>
                  <w:tcW w:w="1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60F1" w:rsidRDefault="002660F1" w:rsidP="002660F1">
                  <w:r>
                    <w:t>ID</w:t>
                  </w:r>
                </w:p>
              </w:tc>
              <w:tc>
                <w:tcPr>
                  <w:tcW w:w="80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0F1" w:rsidRDefault="002660F1" w:rsidP="002660F1">
                  <w:r>
                    <w:t>Question</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60F1" w:rsidRDefault="002660F1" w:rsidP="002660F1">
                  <w:r>
                    <w:t>Response</w:t>
                  </w:r>
                </w:p>
              </w:tc>
            </w:tr>
            <w:tr w:rsidR="002660F1" w:rsidTr="002660F1">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0F1" w:rsidRDefault="002660F1" w:rsidP="002660F1">
                  <w:pPr>
                    <w:ind w:left="720"/>
                    <w:rPr>
                      <w:rFonts w:ascii="Times New Roman" w:hAnsi="Times New Roman"/>
                      <w:sz w:val="24"/>
                      <w:szCs w:val="24"/>
                      <w:lang w:eastAsia="en-GB"/>
                    </w:rPr>
                  </w:pPr>
                  <w:r>
                    <w:t>1</w:t>
                  </w:r>
                </w:p>
              </w:tc>
              <w:tc>
                <w:tcPr>
                  <w:tcW w:w="8082" w:type="dxa"/>
                  <w:tcBorders>
                    <w:top w:val="nil"/>
                    <w:left w:val="nil"/>
                    <w:bottom w:val="single" w:sz="8" w:space="0" w:color="auto"/>
                    <w:right w:val="single" w:sz="8" w:space="0" w:color="auto"/>
                  </w:tcBorders>
                  <w:tcMar>
                    <w:top w:w="0" w:type="dxa"/>
                    <w:left w:w="108" w:type="dxa"/>
                    <w:bottom w:w="0" w:type="dxa"/>
                    <w:right w:w="108" w:type="dxa"/>
                  </w:tcMar>
                  <w:hideMark/>
                </w:tcPr>
                <w:p w:rsidR="002660F1" w:rsidRDefault="002660F1" w:rsidP="002660F1">
                  <w:pPr>
                    <w:numPr>
                      <w:ilvl w:val="0"/>
                      <w:numId w:val="9"/>
                    </w:numPr>
                    <w:spacing w:before="100" w:beforeAutospacing="1" w:after="100" w:afterAutospacing="1"/>
                    <w:rPr>
                      <w:rFonts w:eastAsia="Times New Roman"/>
                    </w:rPr>
                  </w:pPr>
                  <w:r>
                    <w:rPr>
                      <w:rFonts w:eastAsia="Times New Roman"/>
                    </w:rPr>
                    <w:t xml:space="preserve">We could interpret the requirements in a number of different ways, could you provide more guidance on what is expected – particularly for anyone not familiar with NR’s CRSM4S approach?  </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2660F1" w:rsidRPr="002660F1" w:rsidRDefault="002660F1" w:rsidP="002660F1">
                  <w:pPr>
                    <w:rPr>
                      <w:color w:val="000000" w:themeColor="text1"/>
                    </w:rPr>
                  </w:pPr>
                  <w:r>
                    <w:rPr>
                      <w:color w:val="000000" w:themeColor="text1"/>
                    </w:rPr>
                    <w:t>We are still looking to provide a response on this asap.</w:t>
                  </w:r>
                  <w:bookmarkStart w:id="0" w:name="_GoBack"/>
                  <w:bookmarkEnd w:id="0"/>
                </w:p>
              </w:tc>
            </w:tr>
            <w:tr w:rsidR="002660F1" w:rsidTr="002660F1">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0F1" w:rsidRDefault="002660F1" w:rsidP="002660F1">
                  <w:pPr>
                    <w:spacing w:before="100" w:beforeAutospacing="1" w:after="100" w:afterAutospacing="1"/>
                    <w:ind w:left="720"/>
                    <w:rPr>
                      <w:sz w:val="24"/>
                      <w:szCs w:val="24"/>
                      <w:lang w:eastAsia="en-GB"/>
                    </w:rPr>
                  </w:pPr>
                  <w:r>
                    <w:t>2</w:t>
                  </w:r>
                </w:p>
              </w:tc>
              <w:tc>
                <w:tcPr>
                  <w:tcW w:w="8082" w:type="dxa"/>
                  <w:tcBorders>
                    <w:top w:val="nil"/>
                    <w:left w:val="nil"/>
                    <w:bottom w:val="single" w:sz="8" w:space="0" w:color="auto"/>
                    <w:right w:val="single" w:sz="8" w:space="0" w:color="auto"/>
                  </w:tcBorders>
                  <w:tcMar>
                    <w:top w:w="0" w:type="dxa"/>
                    <w:left w:w="108" w:type="dxa"/>
                    <w:bottom w:w="0" w:type="dxa"/>
                    <w:right w:w="108" w:type="dxa"/>
                  </w:tcMar>
                  <w:hideMark/>
                </w:tcPr>
                <w:p w:rsidR="002660F1" w:rsidRDefault="002660F1" w:rsidP="002660F1">
                  <w:pPr>
                    <w:numPr>
                      <w:ilvl w:val="0"/>
                      <w:numId w:val="9"/>
                    </w:numPr>
                    <w:spacing w:before="100" w:beforeAutospacing="1" w:after="100" w:afterAutospacing="1"/>
                    <w:rPr>
                      <w:rFonts w:eastAsia="Times New Roman"/>
                    </w:rPr>
                  </w:pPr>
                  <w:r>
                    <w:rPr>
                      <w:rFonts w:eastAsia="Times New Roman"/>
                    </w:rPr>
                    <w:t>The scope of the work suggested in the tender document does not seem to be aligned with our interpretation of the budget required to undertake this work to a sufficiently high standard. Is there any flexibility in the budget?</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2660F1" w:rsidRDefault="002660F1" w:rsidP="002660F1">
                  <w:r>
                    <w:t>The proposal should be aligned to the identified budget. However we would be willing to consider secondary tenders which have an argued variation to the parameters laid out in the ITT.</w:t>
                  </w:r>
                </w:p>
                <w:p w:rsidR="002660F1" w:rsidRDefault="002660F1" w:rsidP="002660F1">
                  <w:r>
                    <w:t>Please also not responses to Q1, Q3 and Q4 on the scope of the work</w:t>
                  </w:r>
                </w:p>
              </w:tc>
            </w:tr>
            <w:tr w:rsidR="002660F1" w:rsidTr="002660F1">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0F1" w:rsidRDefault="002660F1" w:rsidP="002660F1">
                  <w:pPr>
                    <w:spacing w:before="100" w:beforeAutospacing="1" w:after="100" w:afterAutospacing="1"/>
                    <w:ind w:left="720"/>
                    <w:rPr>
                      <w:sz w:val="24"/>
                      <w:szCs w:val="24"/>
                      <w:lang w:eastAsia="en-GB"/>
                    </w:rPr>
                  </w:pPr>
                  <w:r>
                    <w:t>3</w:t>
                  </w:r>
                </w:p>
              </w:tc>
              <w:tc>
                <w:tcPr>
                  <w:tcW w:w="8082" w:type="dxa"/>
                  <w:tcBorders>
                    <w:top w:val="nil"/>
                    <w:left w:val="nil"/>
                    <w:bottom w:val="single" w:sz="8" w:space="0" w:color="auto"/>
                    <w:right w:val="single" w:sz="8" w:space="0" w:color="auto"/>
                  </w:tcBorders>
                  <w:tcMar>
                    <w:top w:w="0" w:type="dxa"/>
                    <w:left w:w="108" w:type="dxa"/>
                    <w:bottom w:w="0" w:type="dxa"/>
                    <w:right w:w="108" w:type="dxa"/>
                  </w:tcMar>
                </w:tcPr>
                <w:p w:rsidR="002660F1" w:rsidRDefault="002660F1" w:rsidP="002660F1">
                  <w:pPr>
                    <w:numPr>
                      <w:ilvl w:val="0"/>
                      <w:numId w:val="10"/>
                    </w:numPr>
                    <w:spacing w:before="100" w:beforeAutospacing="1" w:after="100" w:afterAutospacing="1"/>
                    <w:rPr>
                      <w:rFonts w:eastAsia="Times New Roman"/>
                    </w:rPr>
                  </w:pPr>
                  <w:r>
                    <w:rPr>
                      <w:rFonts w:eastAsia="Times New Roman"/>
                    </w:rPr>
                    <w:t>The Scope in the tender document (Section 5) mentions that the methodology developed needs to be integrated with existing tools, such as the CRSM4S.</w:t>
                  </w:r>
                </w:p>
                <w:p w:rsidR="002660F1" w:rsidRDefault="002660F1" w:rsidP="002660F1">
                  <w:r>
                    <w:t xml:space="preserve">        </w:t>
                  </w:r>
                  <w:r>
                    <w:br/>
                    <w:t xml:space="preserve">        - What are the formats of these tools? </w:t>
                  </w:r>
                  <w:r>
                    <w:br/>
                  </w:r>
                  <w:r>
                    <w:br/>
                  </w:r>
                  <w:r>
                    <w:lastRenderedPageBreak/>
                    <w:t xml:space="preserve">        - Would the development of the scoring methodology need to include the development of appropriate automation/IT solutions to accommodate: </w:t>
                  </w:r>
                  <w:r>
                    <w:br/>
                    <w:t xml:space="preserve">                </w:t>
                  </w:r>
                  <w:proofErr w:type="spellStart"/>
                  <w:r>
                    <w:t>i</w:t>
                  </w:r>
                  <w:proofErr w:type="spellEnd"/>
                  <w:r>
                    <w:t xml:space="preserve">)  integration with the existing tools?                 </w:t>
                  </w:r>
                  <w:r>
                    <w:br/>
                    <w:t xml:space="preserve">                ii) easy-to-use analysis of the data supplied by Network Rail, TOCs and RSSB? </w:t>
                  </w:r>
                </w:p>
                <w:p w:rsidR="002660F1" w:rsidRDefault="002660F1" w:rsidP="002660F1"/>
              </w:tc>
              <w:tc>
                <w:tcPr>
                  <w:tcW w:w="4675" w:type="dxa"/>
                  <w:tcBorders>
                    <w:top w:val="nil"/>
                    <w:left w:val="nil"/>
                    <w:bottom w:val="single" w:sz="8" w:space="0" w:color="auto"/>
                    <w:right w:val="single" w:sz="8" w:space="0" w:color="auto"/>
                  </w:tcBorders>
                  <w:tcMar>
                    <w:top w:w="0" w:type="dxa"/>
                    <w:left w:w="108" w:type="dxa"/>
                    <w:bottom w:w="0" w:type="dxa"/>
                    <w:right w:w="108" w:type="dxa"/>
                  </w:tcMar>
                </w:tcPr>
                <w:p w:rsidR="002660F1" w:rsidRDefault="002660F1" w:rsidP="002660F1">
                  <w:r>
                    <w:lastRenderedPageBreak/>
                    <w:t>We are not looking for an IT solution. Following a successful project, future implementation would look to take on the methods and integrate into existing tools. This project is only to go  as far as:</w:t>
                  </w:r>
                </w:p>
                <w:p w:rsidR="002660F1" w:rsidRDefault="002660F1" w:rsidP="002660F1">
                  <w:pPr>
                    <w:numPr>
                      <w:ilvl w:val="0"/>
                      <w:numId w:val="11"/>
                    </w:numPr>
                    <w:rPr>
                      <w:rFonts w:eastAsia="Times New Roman"/>
                    </w:rPr>
                  </w:pPr>
                  <w:r>
                    <w:rPr>
                      <w:rFonts w:eastAsia="Times New Roman"/>
                    </w:rPr>
                    <w:t xml:space="preserve">Developing an easy-to-apply common event </w:t>
                  </w:r>
                  <w:r>
                    <w:rPr>
                      <w:rFonts w:eastAsia="Times New Roman"/>
                    </w:rPr>
                    <w:lastRenderedPageBreak/>
                    <w:t>scoring methodology that is practical and easy-to-use</w:t>
                  </w:r>
                </w:p>
                <w:p w:rsidR="002660F1" w:rsidRDefault="002660F1" w:rsidP="002660F1">
                  <w:pPr>
                    <w:numPr>
                      <w:ilvl w:val="0"/>
                      <w:numId w:val="11"/>
                    </w:numPr>
                    <w:rPr>
                      <w:rFonts w:eastAsia="Times New Roman"/>
                    </w:rPr>
                  </w:pPr>
                  <w:r>
                    <w:rPr>
                      <w:rFonts w:eastAsia="Times New Roman"/>
                    </w:rPr>
                    <w:t>Developing guidance for the use of the methodology on how to apply it to particular event types</w:t>
                  </w:r>
                </w:p>
                <w:p w:rsidR="002660F1" w:rsidRDefault="002660F1" w:rsidP="002660F1">
                  <w:pPr>
                    <w:numPr>
                      <w:ilvl w:val="0"/>
                      <w:numId w:val="11"/>
                    </w:numPr>
                    <w:rPr>
                      <w:rFonts w:eastAsia="Times New Roman"/>
                    </w:rPr>
                  </w:pPr>
                  <w:r>
                    <w:rPr>
                      <w:rFonts w:eastAsia="Times New Roman"/>
                    </w:rPr>
                    <w:t>Testing the methodology</w:t>
                  </w:r>
                </w:p>
                <w:p w:rsidR="002660F1" w:rsidRDefault="002660F1" w:rsidP="002660F1">
                  <w:pPr>
                    <w:numPr>
                      <w:ilvl w:val="0"/>
                      <w:numId w:val="11"/>
                    </w:numPr>
                    <w:rPr>
                      <w:rFonts w:eastAsia="Times New Roman"/>
                    </w:rPr>
                  </w:pPr>
                  <w:r>
                    <w:rPr>
                      <w:rFonts w:eastAsia="Times New Roman"/>
                    </w:rPr>
                    <w:t>Ensuring scoring methodology can be integrated with existing tools</w:t>
                  </w:r>
                </w:p>
                <w:p w:rsidR="002660F1" w:rsidRDefault="002660F1" w:rsidP="002660F1"/>
                <w:p w:rsidR="002660F1" w:rsidRDefault="002660F1" w:rsidP="002660F1">
                  <w:r>
                    <w:t>See also Q1 response for details on existing tools</w:t>
                  </w:r>
                </w:p>
                <w:p w:rsidR="002660F1" w:rsidRDefault="002660F1" w:rsidP="002660F1"/>
                <w:p w:rsidR="002660F1" w:rsidRDefault="002660F1" w:rsidP="002660F1"/>
              </w:tc>
            </w:tr>
            <w:tr w:rsidR="002660F1" w:rsidTr="002660F1">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0F1" w:rsidRDefault="002660F1" w:rsidP="002660F1">
                  <w:pPr>
                    <w:spacing w:before="100" w:beforeAutospacing="1" w:after="100" w:afterAutospacing="1"/>
                    <w:ind w:left="720"/>
                    <w:rPr>
                      <w:sz w:val="24"/>
                      <w:szCs w:val="24"/>
                      <w:lang w:eastAsia="en-GB"/>
                    </w:rPr>
                  </w:pPr>
                  <w:r>
                    <w:lastRenderedPageBreak/>
                    <w:t>4</w:t>
                  </w:r>
                </w:p>
              </w:tc>
              <w:tc>
                <w:tcPr>
                  <w:tcW w:w="8082" w:type="dxa"/>
                  <w:tcBorders>
                    <w:top w:val="nil"/>
                    <w:left w:val="nil"/>
                    <w:bottom w:val="single" w:sz="8" w:space="0" w:color="auto"/>
                    <w:right w:val="single" w:sz="8" w:space="0" w:color="auto"/>
                  </w:tcBorders>
                  <w:tcMar>
                    <w:top w:w="0" w:type="dxa"/>
                    <w:left w:w="108" w:type="dxa"/>
                    <w:bottom w:w="0" w:type="dxa"/>
                    <w:right w:w="108" w:type="dxa"/>
                  </w:tcMar>
                </w:tcPr>
                <w:p w:rsidR="002660F1" w:rsidRDefault="002660F1" w:rsidP="002660F1">
                  <w:pPr>
                    <w:numPr>
                      <w:ilvl w:val="0"/>
                      <w:numId w:val="12"/>
                    </w:numPr>
                    <w:spacing w:before="100" w:beforeAutospacing="1" w:after="100" w:afterAutospacing="1"/>
                    <w:rPr>
                      <w:rFonts w:eastAsia="Times New Roman"/>
                    </w:rPr>
                  </w:pPr>
                  <w:r>
                    <w:rPr>
                      <w:rFonts w:eastAsia="Times New Roman"/>
                    </w:rPr>
                    <w:t>The Methodology outlined in the tender document (Section 6) suggests: “A survey of other industries (e.g. aviation, oil and gas, nuclear) and overseas railways…”</w:t>
                  </w:r>
                </w:p>
                <w:p w:rsidR="002660F1" w:rsidRDefault="002660F1" w:rsidP="002660F1">
                  <w:r>
                    <w:br/>
                    <w:t xml:space="preserve">         - Is the intention of this suggested approach to draft and send out questionnaires to representatives from the relevant industries both within the UK and abroad? </w:t>
                  </w:r>
                  <w:r>
                    <w:br/>
                  </w:r>
                  <w:r>
                    <w:br/>
                    <w:t xml:space="preserve">                - If a questionnaire were to be drafted, would RSSB have a list of preferred stakeholders and contacts for this to be circulated? </w:t>
                  </w:r>
                  <w:r>
                    <w:br/>
                  </w:r>
                  <w:r>
                    <w:br/>
                    <w:t xml:space="preserve">                - Or, would identification of relevant contacts be part of the scope of work for the supplier? </w:t>
                  </w:r>
                  <w:r>
                    <w:br/>
                  </w:r>
                  <w:r>
                    <w:br/>
                    <w:t xml:space="preserve">        - Alternatively, is the preferred approach a literature review and holding discussions with relevant stakeholders, where appropriate? </w:t>
                  </w:r>
                </w:p>
                <w:p w:rsidR="002660F1" w:rsidRDefault="002660F1" w:rsidP="002660F1"/>
              </w:tc>
              <w:tc>
                <w:tcPr>
                  <w:tcW w:w="4675" w:type="dxa"/>
                  <w:tcBorders>
                    <w:top w:val="nil"/>
                    <w:left w:val="nil"/>
                    <w:bottom w:val="single" w:sz="8" w:space="0" w:color="auto"/>
                    <w:right w:val="single" w:sz="8" w:space="0" w:color="auto"/>
                  </w:tcBorders>
                  <w:tcMar>
                    <w:top w:w="0" w:type="dxa"/>
                    <w:left w:w="108" w:type="dxa"/>
                    <w:bottom w:w="0" w:type="dxa"/>
                    <w:right w:w="108" w:type="dxa"/>
                  </w:tcMar>
                </w:tcPr>
                <w:p w:rsidR="002660F1" w:rsidRDefault="002660F1" w:rsidP="002660F1">
                  <w:pPr>
                    <w:rPr>
                      <w:sz w:val="24"/>
                      <w:szCs w:val="24"/>
                      <w:lang w:eastAsia="en-GB"/>
                    </w:rPr>
                  </w:pPr>
                  <w:r>
                    <w:t>The supplier is expected to detail how they would approach this task, and the assessment would be based on the quality of the approach proposed without RSSB presupposing an approach. The list of relevant industries is not intended limit the scope of the exercise.</w:t>
                  </w:r>
                </w:p>
                <w:p w:rsidR="002660F1" w:rsidRDefault="002660F1" w:rsidP="002660F1"/>
                <w:p w:rsidR="002660F1" w:rsidRDefault="002660F1" w:rsidP="002660F1">
                  <w:r>
                    <w:t xml:space="preserve">RSSB can provide contact at some relevant organisations, but the expectation is that the supplier would lead the identification and contact with stakeholders in order to achieve the goals of the project. </w:t>
                  </w:r>
                </w:p>
                <w:p w:rsidR="002660F1" w:rsidRDefault="002660F1" w:rsidP="002660F1"/>
                <w:p w:rsidR="002660F1" w:rsidRDefault="002660F1" w:rsidP="002660F1">
                  <w:r>
                    <w:t>No specific approach is presupposed, and an approach which includes the review of published materials could be suitable.</w:t>
                  </w:r>
                </w:p>
              </w:tc>
            </w:tr>
            <w:tr w:rsidR="002660F1" w:rsidTr="002660F1">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0F1" w:rsidRDefault="002660F1" w:rsidP="002660F1">
                  <w:pPr>
                    <w:spacing w:before="100" w:beforeAutospacing="1" w:after="100" w:afterAutospacing="1"/>
                    <w:ind w:left="720"/>
                    <w:rPr>
                      <w:sz w:val="24"/>
                      <w:szCs w:val="24"/>
                      <w:lang w:eastAsia="en-GB"/>
                    </w:rPr>
                  </w:pPr>
                  <w:r>
                    <w:t>5</w:t>
                  </w:r>
                </w:p>
              </w:tc>
              <w:tc>
                <w:tcPr>
                  <w:tcW w:w="8082" w:type="dxa"/>
                  <w:tcBorders>
                    <w:top w:val="nil"/>
                    <w:left w:val="nil"/>
                    <w:bottom w:val="single" w:sz="8" w:space="0" w:color="auto"/>
                    <w:right w:val="single" w:sz="8" w:space="0" w:color="auto"/>
                  </w:tcBorders>
                  <w:tcMar>
                    <w:top w:w="0" w:type="dxa"/>
                    <w:left w:w="108" w:type="dxa"/>
                    <w:bottom w:w="0" w:type="dxa"/>
                    <w:right w:w="108" w:type="dxa"/>
                  </w:tcMar>
                </w:tcPr>
                <w:p w:rsidR="002660F1" w:rsidRDefault="002660F1" w:rsidP="002660F1">
                  <w:pPr>
                    <w:numPr>
                      <w:ilvl w:val="0"/>
                      <w:numId w:val="13"/>
                    </w:numPr>
                    <w:spacing w:before="100" w:beforeAutospacing="1" w:after="100" w:afterAutospacing="1"/>
                    <w:rPr>
                      <w:rFonts w:eastAsia="Times New Roman"/>
                    </w:rPr>
                  </w:pPr>
                  <w:r>
                    <w:rPr>
                      <w:rFonts w:eastAsia="Times New Roman"/>
                    </w:rPr>
                    <w:t>Would all of the project update meetings be expected to be held at RSSB offices, or would there be scope for some of the meetings to be held at the supplier offices, or via video conference or teleconference?</w:t>
                  </w:r>
                </w:p>
                <w:p w:rsidR="002660F1" w:rsidRDefault="002660F1" w:rsidP="002660F1"/>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2660F1" w:rsidRDefault="002660F1" w:rsidP="002660F1">
                  <w:r>
                    <w:t>Yes, update meetings could be arranged at supplier’s facilities, third party facilities or via video/tele-conferences.</w:t>
                  </w:r>
                </w:p>
              </w:tc>
            </w:tr>
            <w:tr w:rsidR="002660F1" w:rsidTr="002660F1">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60F1" w:rsidRDefault="002660F1" w:rsidP="002660F1">
                  <w:pPr>
                    <w:spacing w:before="100" w:beforeAutospacing="1" w:after="100" w:afterAutospacing="1"/>
                    <w:ind w:left="720"/>
                    <w:rPr>
                      <w:sz w:val="24"/>
                      <w:szCs w:val="24"/>
                      <w:lang w:eastAsia="en-GB"/>
                    </w:rPr>
                  </w:pPr>
                  <w:r>
                    <w:lastRenderedPageBreak/>
                    <w:t>6</w:t>
                  </w:r>
                </w:p>
              </w:tc>
              <w:tc>
                <w:tcPr>
                  <w:tcW w:w="8082" w:type="dxa"/>
                  <w:tcBorders>
                    <w:top w:val="nil"/>
                    <w:left w:val="nil"/>
                    <w:bottom w:val="single" w:sz="8" w:space="0" w:color="auto"/>
                    <w:right w:val="single" w:sz="8" w:space="0" w:color="auto"/>
                  </w:tcBorders>
                  <w:tcMar>
                    <w:top w:w="0" w:type="dxa"/>
                    <w:left w:w="108" w:type="dxa"/>
                    <w:bottom w:w="0" w:type="dxa"/>
                    <w:right w:w="108" w:type="dxa"/>
                  </w:tcMar>
                </w:tcPr>
                <w:p w:rsidR="002660F1" w:rsidRDefault="002660F1" w:rsidP="002660F1">
                  <w:pPr>
                    <w:numPr>
                      <w:ilvl w:val="0"/>
                      <w:numId w:val="14"/>
                    </w:numPr>
                    <w:spacing w:before="100" w:beforeAutospacing="1" w:after="100" w:afterAutospacing="1"/>
                    <w:rPr>
                      <w:rFonts w:eastAsia="Times New Roman"/>
                    </w:rPr>
                  </w:pPr>
                  <w:r>
                    <w:rPr>
                      <w:rFonts w:eastAsia="Times New Roman"/>
                    </w:rPr>
                    <w:t>Are there RSSB approved document formats / specifications for the guidance to be written and for the worked examples of the methodology?</w:t>
                  </w:r>
                </w:p>
                <w:p w:rsidR="002660F1" w:rsidRDefault="002660F1" w:rsidP="002660F1"/>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rsidR="002660F1" w:rsidRDefault="002660F1" w:rsidP="002660F1">
                  <w:r>
                    <w:t>Yes, RSSB’s templates and guidance notes are provided to the successful supplier at the kick-off meeting and RSSB’s technical writer is also available to answer any technical queries.</w:t>
                  </w:r>
                </w:p>
              </w:tc>
            </w:tr>
          </w:tbl>
          <w:p w:rsidR="002660F1" w:rsidRDefault="002660F1" w:rsidP="008C3B93">
            <w:pPr>
              <w:rPr>
                <w:rFonts w:asciiTheme="minorHAnsi" w:hAnsiTheme="minorHAnsi"/>
                <w:b/>
                <w:color w:val="000000" w:themeColor="text1"/>
              </w:rPr>
            </w:pPr>
          </w:p>
        </w:tc>
      </w:tr>
    </w:tbl>
    <w:p w:rsidR="00946481" w:rsidRDefault="00946481">
      <w:r>
        <w:lastRenderedPageBreak/>
        <w:t xml:space="preserve"> </w:t>
      </w:r>
    </w:p>
    <w:p w:rsidR="00DA5221" w:rsidRDefault="00DA5221"/>
    <w:p w:rsidR="00DA5221" w:rsidRDefault="00DA5221"/>
    <w:sectPr w:rsidR="00DA52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0E24"/>
    <w:multiLevelType w:val="multilevel"/>
    <w:tmpl w:val="7F5A4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27A45"/>
    <w:multiLevelType w:val="multilevel"/>
    <w:tmpl w:val="D5C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C23946"/>
    <w:multiLevelType w:val="multilevel"/>
    <w:tmpl w:val="C0E6B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D2A0A"/>
    <w:multiLevelType w:val="hybridMultilevel"/>
    <w:tmpl w:val="C6DA30E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2694F20"/>
    <w:multiLevelType w:val="hybridMultilevel"/>
    <w:tmpl w:val="D1E6E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4592519"/>
    <w:multiLevelType w:val="hybridMultilevel"/>
    <w:tmpl w:val="EC0C46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7064792"/>
    <w:multiLevelType w:val="hybridMultilevel"/>
    <w:tmpl w:val="6E16D02C"/>
    <w:lvl w:ilvl="0" w:tplc="22825384">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8B322F8"/>
    <w:multiLevelType w:val="multilevel"/>
    <w:tmpl w:val="5538D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D45A32"/>
    <w:multiLevelType w:val="multilevel"/>
    <w:tmpl w:val="16F64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8"/>
  </w:num>
  <w:num w:numId="6">
    <w:abstractNumId w:val="7"/>
  </w:num>
  <w:num w:numId="7">
    <w:abstractNumId w:val="1"/>
  </w:num>
  <w:num w:numId="8">
    <w:abstractNumId w:val="0"/>
  </w:num>
  <w:num w:numId="9">
    <w:abstractNumId w:val="2"/>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6"/>
    <w:lvlOverride w:ilvl="0"/>
    <w:lvlOverride w:ilvl="1"/>
    <w:lvlOverride w:ilvl="2"/>
    <w:lvlOverride w:ilvl="3"/>
    <w:lvlOverride w:ilvl="4"/>
    <w:lvlOverride w:ilvl="5"/>
    <w:lvlOverride w:ilvl="6"/>
    <w:lvlOverride w:ilvl="7"/>
    <w:lvlOverride w:ilvl="8"/>
  </w:num>
  <w:num w:numId="12">
    <w:abstractNumId w:val="7"/>
    <w:lvlOverride w:ilvl="0"/>
    <w:lvlOverride w:ilvl="1"/>
    <w:lvlOverride w:ilvl="2"/>
    <w:lvlOverride w:ilvl="3"/>
    <w:lvlOverride w:ilvl="4"/>
    <w:lvlOverride w:ilvl="5"/>
    <w:lvlOverride w:ilvl="6"/>
    <w:lvlOverride w:ilvl="7"/>
    <w:lvlOverride w:ilvl="8"/>
  </w:num>
  <w:num w:numId="13">
    <w:abstractNumId w:val="1"/>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206B5C"/>
    <w:rsid w:val="002660F1"/>
    <w:rsid w:val="0045355A"/>
    <w:rsid w:val="00647632"/>
    <w:rsid w:val="007E305F"/>
    <w:rsid w:val="008237F9"/>
    <w:rsid w:val="008C3B93"/>
    <w:rsid w:val="00946481"/>
    <w:rsid w:val="0096711D"/>
    <w:rsid w:val="00A50B94"/>
    <w:rsid w:val="00A65249"/>
    <w:rsid w:val="00BA15C8"/>
    <w:rsid w:val="00DA5221"/>
    <w:rsid w:val="00EE2473"/>
    <w:rsid w:val="00EF6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317A"/>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E305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65B7"/>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96711D"/>
    <w:pPr>
      <w:ind w:left="720"/>
      <w:contextualSpacing/>
    </w:pPr>
    <w:rPr>
      <w:rFonts w:ascii="Times New Roman" w:hAnsi="Times New Roman"/>
      <w:sz w:val="24"/>
      <w:szCs w:val="24"/>
      <w:lang w:eastAsia="en-GB"/>
    </w:rPr>
  </w:style>
  <w:style w:type="character" w:styleId="Hyperlink">
    <w:name w:val="Hyperlink"/>
    <w:basedOn w:val="DefaultParagraphFont"/>
    <w:uiPriority w:val="99"/>
    <w:semiHidden/>
    <w:unhideWhenUsed/>
    <w:rsid w:val="00EE24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31181">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27892865">
      <w:bodyDiv w:val="1"/>
      <w:marLeft w:val="0"/>
      <w:marRight w:val="0"/>
      <w:marTop w:val="0"/>
      <w:marBottom w:val="0"/>
      <w:divBdr>
        <w:top w:val="none" w:sz="0" w:space="0" w:color="auto"/>
        <w:left w:val="none" w:sz="0" w:space="0" w:color="auto"/>
        <w:bottom w:val="none" w:sz="0" w:space="0" w:color="auto"/>
        <w:right w:val="none" w:sz="0" w:space="0" w:color="auto"/>
      </w:divBdr>
    </w:div>
    <w:div w:id="330911857">
      <w:bodyDiv w:val="1"/>
      <w:marLeft w:val="0"/>
      <w:marRight w:val="0"/>
      <w:marTop w:val="0"/>
      <w:marBottom w:val="0"/>
      <w:divBdr>
        <w:top w:val="none" w:sz="0" w:space="0" w:color="auto"/>
        <w:left w:val="none" w:sz="0" w:space="0" w:color="auto"/>
        <w:bottom w:val="none" w:sz="0" w:space="0" w:color="auto"/>
        <w:right w:val="none" w:sz="0" w:space="0" w:color="auto"/>
      </w:divBdr>
    </w:div>
    <w:div w:id="460805454">
      <w:bodyDiv w:val="1"/>
      <w:marLeft w:val="0"/>
      <w:marRight w:val="0"/>
      <w:marTop w:val="0"/>
      <w:marBottom w:val="0"/>
      <w:divBdr>
        <w:top w:val="none" w:sz="0" w:space="0" w:color="auto"/>
        <w:left w:val="none" w:sz="0" w:space="0" w:color="auto"/>
        <w:bottom w:val="none" w:sz="0" w:space="0" w:color="auto"/>
        <w:right w:val="none" w:sz="0" w:space="0" w:color="auto"/>
      </w:divBdr>
    </w:div>
    <w:div w:id="684474757">
      <w:bodyDiv w:val="1"/>
      <w:marLeft w:val="0"/>
      <w:marRight w:val="0"/>
      <w:marTop w:val="0"/>
      <w:marBottom w:val="0"/>
      <w:divBdr>
        <w:top w:val="none" w:sz="0" w:space="0" w:color="auto"/>
        <w:left w:val="none" w:sz="0" w:space="0" w:color="auto"/>
        <w:bottom w:val="none" w:sz="0" w:space="0" w:color="auto"/>
        <w:right w:val="none" w:sz="0" w:space="0" w:color="auto"/>
      </w:divBdr>
    </w:div>
    <w:div w:id="690836934">
      <w:bodyDiv w:val="1"/>
      <w:marLeft w:val="0"/>
      <w:marRight w:val="0"/>
      <w:marTop w:val="0"/>
      <w:marBottom w:val="0"/>
      <w:divBdr>
        <w:top w:val="none" w:sz="0" w:space="0" w:color="auto"/>
        <w:left w:val="none" w:sz="0" w:space="0" w:color="auto"/>
        <w:bottom w:val="none" w:sz="0" w:space="0" w:color="auto"/>
        <w:right w:val="none" w:sz="0" w:space="0" w:color="auto"/>
      </w:divBdr>
    </w:div>
    <w:div w:id="743337058">
      <w:bodyDiv w:val="1"/>
      <w:marLeft w:val="0"/>
      <w:marRight w:val="0"/>
      <w:marTop w:val="0"/>
      <w:marBottom w:val="0"/>
      <w:divBdr>
        <w:top w:val="none" w:sz="0" w:space="0" w:color="auto"/>
        <w:left w:val="none" w:sz="0" w:space="0" w:color="auto"/>
        <w:bottom w:val="none" w:sz="0" w:space="0" w:color="auto"/>
        <w:right w:val="none" w:sz="0" w:space="0" w:color="auto"/>
      </w:divBdr>
    </w:div>
    <w:div w:id="1051415922">
      <w:bodyDiv w:val="1"/>
      <w:marLeft w:val="0"/>
      <w:marRight w:val="0"/>
      <w:marTop w:val="0"/>
      <w:marBottom w:val="0"/>
      <w:divBdr>
        <w:top w:val="none" w:sz="0" w:space="0" w:color="auto"/>
        <w:left w:val="none" w:sz="0" w:space="0" w:color="auto"/>
        <w:bottom w:val="none" w:sz="0" w:space="0" w:color="auto"/>
        <w:right w:val="none" w:sz="0" w:space="0" w:color="auto"/>
      </w:divBdr>
    </w:div>
    <w:div w:id="1070881221">
      <w:bodyDiv w:val="1"/>
      <w:marLeft w:val="0"/>
      <w:marRight w:val="0"/>
      <w:marTop w:val="0"/>
      <w:marBottom w:val="0"/>
      <w:divBdr>
        <w:top w:val="none" w:sz="0" w:space="0" w:color="auto"/>
        <w:left w:val="none" w:sz="0" w:space="0" w:color="auto"/>
        <w:bottom w:val="none" w:sz="0" w:space="0" w:color="auto"/>
        <w:right w:val="none" w:sz="0" w:space="0" w:color="auto"/>
      </w:divBdr>
    </w:div>
    <w:div w:id="1116102616">
      <w:bodyDiv w:val="1"/>
      <w:marLeft w:val="0"/>
      <w:marRight w:val="0"/>
      <w:marTop w:val="0"/>
      <w:marBottom w:val="0"/>
      <w:divBdr>
        <w:top w:val="none" w:sz="0" w:space="0" w:color="auto"/>
        <w:left w:val="none" w:sz="0" w:space="0" w:color="auto"/>
        <w:bottom w:val="none" w:sz="0" w:space="0" w:color="auto"/>
        <w:right w:val="none" w:sz="0" w:space="0" w:color="auto"/>
      </w:divBdr>
    </w:div>
    <w:div w:id="1137456489">
      <w:bodyDiv w:val="1"/>
      <w:marLeft w:val="0"/>
      <w:marRight w:val="0"/>
      <w:marTop w:val="0"/>
      <w:marBottom w:val="0"/>
      <w:divBdr>
        <w:top w:val="none" w:sz="0" w:space="0" w:color="auto"/>
        <w:left w:val="none" w:sz="0" w:space="0" w:color="auto"/>
        <w:bottom w:val="none" w:sz="0" w:space="0" w:color="auto"/>
        <w:right w:val="none" w:sz="0" w:space="0" w:color="auto"/>
      </w:divBdr>
    </w:div>
    <w:div w:id="1270505892">
      <w:bodyDiv w:val="1"/>
      <w:marLeft w:val="0"/>
      <w:marRight w:val="0"/>
      <w:marTop w:val="0"/>
      <w:marBottom w:val="0"/>
      <w:divBdr>
        <w:top w:val="none" w:sz="0" w:space="0" w:color="auto"/>
        <w:left w:val="none" w:sz="0" w:space="0" w:color="auto"/>
        <w:bottom w:val="none" w:sz="0" w:space="0" w:color="auto"/>
        <w:right w:val="none" w:sz="0" w:space="0" w:color="auto"/>
      </w:divBdr>
    </w:div>
    <w:div w:id="1299801165">
      <w:bodyDiv w:val="1"/>
      <w:marLeft w:val="0"/>
      <w:marRight w:val="0"/>
      <w:marTop w:val="0"/>
      <w:marBottom w:val="0"/>
      <w:divBdr>
        <w:top w:val="none" w:sz="0" w:space="0" w:color="auto"/>
        <w:left w:val="none" w:sz="0" w:space="0" w:color="auto"/>
        <w:bottom w:val="none" w:sz="0" w:space="0" w:color="auto"/>
        <w:right w:val="none" w:sz="0" w:space="0" w:color="auto"/>
      </w:divBdr>
    </w:div>
    <w:div w:id="1358390511">
      <w:bodyDiv w:val="1"/>
      <w:marLeft w:val="0"/>
      <w:marRight w:val="0"/>
      <w:marTop w:val="0"/>
      <w:marBottom w:val="0"/>
      <w:divBdr>
        <w:top w:val="none" w:sz="0" w:space="0" w:color="auto"/>
        <w:left w:val="none" w:sz="0" w:space="0" w:color="auto"/>
        <w:bottom w:val="none" w:sz="0" w:space="0" w:color="auto"/>
        <w:right w:val="none" w:sz="0" w:space="0" w:color="auto"/>
      </w:divBdr>
    </w:div>
    <w:div w:id="1861697007">
      <w:bodyDiv w:val="1"/>
      <w:marLeft w:val="0"/>
      <w:marRight w:val="0"/>
      <w:marTop w:val="0"/>
      <w:marBottom w:val="0"/>
      <w:divBdr>
        <w:top w:val="none" w:sz="0" w:space="0" w:color="auto"/>
        <w:left w:val="none" w:sz="0" w:space="0" w:color="auto"/>
        <w:bottom w:val="none" w:sz="0" w:space="0" w:color="auto"/>
        <w:right w:val="none" w:sz="0" w:space="0" w:color="auto"/>
      </w:divBdr>
    </w:div>
    <w:div w:id="18755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eu.mimecast.com/s/XDeoBULOrz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2072</Words>
  <Characters>11814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2017-01-11T09:07:00Z</dcterms:created>
  <dcterms:modified xsi:type="dcterms:W3CDTF">2017-01-11T09:07:00Z</dcterms:modified>
</cp:coreProperties>
</file>